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BF" w:rsidRPr="00E971BF" w:rsidRDefault="00A829F1" w:rsidP="00E971BF">
      <w:pPr>
        <w:pStyle w:val="Heading1"/>
        <w:jc w:val="center"/>
        <w:rPr>
          <w:rFonts w:ascii="Times New Roman" w:hAnsi="Times New Roman"/>
          <w:b w:val="0"/>
          <w:sz w:val="28"/>
          <w:szCs w:val="28"/>
        </w:rPr>
      </w:pPr>
      <w:r w:rsidRPr="00E971BF">
        <w:rPr>
          <w:rFonts w:ascii="Times New Roman" w:hAnsi="Times New Roman"/>
          <w:b w:val="0"/>
          <w:sz w:val="28"/>
          <w:szCs w:val="28"/>
        </w:rPr>
        <w:t xml:space="preserve">Ministru kabineta noteikumu projekta </w:t>
      </w:r>
    </w:p>
    <w:p w:rsidR="00E971BF" w:rsidRPr="00E971BF" w:rsidRDefault="00A829F1" w:rsidP="00E971BF">
      <w:pPr>
        <w:pStyle w:val="Heading1"/>
        <w:jc w:val="center"/>
        <w:rPr>
          <w:rFonts w:ascii="Times New Roman" w:eastAsia="Arial Unicode MS" w:hAnsi="Times New Roman"/>
          <w:noProof/>
          <w:sz w:val="28"/>
          <w:szCs w:val="28"/>
        </w:rPr>
      </w:pPr>
      <w:r w:rsidRPr="00E971BF">
        <w:rPr>
          <w:rFonts w:ascii="Times New Roman" w:hAnsi="Times New Roman"/>
          <w:b w:val="0"/>
          <w:sz w:val="28"/>
          <w:szCs w:val="28"/>
        </w:rPr>
        <w:t>„</w:t>
      </w:r>
      <w:bookmarkStart w:id="0" w:name="OLE_LINK3"/>
      <w:bookmarkStart w:id="1" w:name="OLE_LINK4"/>
      <w:r w:rsidR="00922BD9">
        <w:rPr>
          <w:rFonts w:ascii="Times New Roman" w:hAnsi="Times New Roman"/>
          <w:noProof/>
          <w:sz w:val="28"/>
          <w:szCs w:val="28"/>
        </w:rPr>
        <w:t>K</w:t>
      </w:r>
      <w:r w:rsidR="00E971BF" w:rsidRPr="00E971BF">
        <w:rPr>
          <w:rFonts w:ascii="Times New Roman" w:hAnsi="Times New Roman"/>
          <w:noProof/>
          <w:sz w:val="28"/>
          <w:szCs w:val="28"/>
        </w:rPr>
        <w:t xml:space="preserve">osmētikas līdzekļu būtisko </w:t>
      </w:r>
      <w:bookmarkEnd w:id="0"/>
      <w:bookmarkEnd w:id="1"/>
      <w:r w:rsidR="00922BD9">
        <w:rPr>
          <w:rFonts w:ascii="Times New Roman" w:hAnsi="Times New Roman"/>
          <w:noProof/>
          <w:sz w:val="28"/>
          <w:szCs w:val="28"/>
        </w:rPr>
        <w:t xml:space="preserve">prasību nodrošināšanas kārtība” </w:t>
      </w:r>
    </w:p>
    <w:p w:rsidR="00464C36" w:rsidRPr="00E971BF" w:rsidRDefault="00A829F1" w:rsidP="00464C36">
      <w:pPr>
        <w:jc w:val="center"/>
        <w:rPr>
          <w:sz w:val="28"/>
          <w:szCs w:val="28"/>
        </w:rPr>
      </w:pPr>
      <w:r w:rsidRPr="00E971BF">
        <w:rPr>
          <w:sz w:val="28"/>
          <w:szCs w:val="28"/>
        </w:rPr>
        <w:t>sākotnējās ietekmes novērtējuma ziņojums</w:t>
      </w:r>
      <w:r w:rsidR="00464C36" w:rsidRPr="00E971BF">
        <w:rPr>
          <w:sz w:val="28"/>
          <w:szCs w:val="28"/>
        </w:rPr>
        <w:t xml:space="preserve"> (anotācija)</w:t>
      </w:r>
    </w:p>
    <w:p w:rsidR="00703DB7" w:rsidRPr="00E971BF" w:rsidRDefault="00703DB7" w:rsidP="00F14F45">
      <w:pPr>
        <w:jc w:val="center"/>
        <w:rPr>
          <w:b/>
        </w:rPr>
      </w:pPr>
    </w:p>
    <w:tbl>
      <w:tblPr>
        <w:tblW w:w="5171" w:type="pct"/>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9"/>
        <w:gridCol w:w="1116"/>
        <w:gridCol w:w="7920"/>
      </w:tblGrid>
      <w:tr w:rsidR="002D3157" w:rsidRPr="00E971BF" w:rsidTr="00EF4947">
        <w:tc>
          <w:tcPr>
            <w:tcW w:w="5000" w:type="pct"/>
            <w:gridSpan w:val="3"/>
          </w:tcPr>
          <w:p w:rsidR="002D3157" w:rsidRPr="00E971BF" w:rsidRDefault="002D3157" w:rsidP="002D3157">
            <w:pPr>
              <w:spacing w:before="100" w:beforeAutospacing="1" w:after="100" w:afterAutospacing="1"/>
              <w:jc w:val="center"/>
              <w:rPr>
                <w:b/>
                <w:bCs/>
                <w:color w:val="000000"/>
              </w:rPr>
            </w:pPr>
            <w:r w:rsidRPr="00E971BF">
              <w:rPr>
                <w:b/>
                <w:bCs/>
                <w:color w:val="000000"/>
              </w:rPr>
              <w:t>I. Tiesību akta projekta izstrādes nepieciešamība</w:t>
            </w:r>
          </w:p>
        </w:tc>
      </w:tr>
      <w:tr w:rsidR="002D3157" w:rsidRPr="00E971BF" w:rsidTr="00EF4947">
        <w:tc>
          <w:tcPr>
            <w:tcW w:w="296" w:type="pct"/>
          </w:tcPr>
          <w:p w:rsidR="002D3157" w:rsidRPr="00E971BF" w:rsidRDefault="002D3157" w:rsidP="002D3157">
            <w:pPr>
              <w:spacing w:before="100" w:beforeAutospacing="1" w:after="100" w:afterAutospacing="1"/>
              <w:jc w:val="both"/>
              <w:rPr>
                <w:color w:val="000000"/>
              </w:rPr>
            </w:pPr>
            <w:r w:rsidRPr="00E971BF">
              <w:rPr>
                <w:color w:val="000000"/>
              </w:rPr>
              <w:t>1.</w:t>
            </w:r>
          </w:p>
        </w:tc>
        <w:tc>
          <w:tcPr>
            <w:tcW w:w="581" w:type="pct"/>
          </w:tcPr>
          <w:p w:rsidR="002D3157" w:rsidRPr="00E971BF" w:rsidRDefault="002D3157" w:rsidP="002D3157">
            <w:pPr>
              <w:spacing w:before="100" w:beforeAutospacing="1" w:after="100" w:afterAutospacing="1"/>
              <w:jc w:val="both"/>
              <w:rPr>
                <w:color w:val="000000"/>
              </w:rPr>
            </w:pPr>
            <w:r w:rsidRPr="00E971BF">
              <w:rPr>
                <w:color w:val="000000"/>
              </w:rPr>
              <w:t>Pamatojums</w:t>
            </w:r>
          </w:p>
        </w:tc>
        <w:tc>
          <w:tcPr>
            <w:tcW w:w="4123" w:type="pct"/>
          </w:tcPr>
          <w:p w:rsidR="002D3157" w:rsidRPr="00021F58" w:rsidRDefault="00922BD9" w:rsidP="00D46F76">
            <w:pPr>
              <w:jc w:val="both"/>
              <w:rPr>
                <w:rFonts w:eastAsia="Arial Unicode MS"/>
                <w:noProof/>
              </w:rPr>
            </w:pPr>
            <w:r w:rsidRPr="00E971BF">
              <w:t>Ministru kabineta noteikumu projekt</w:t>
            </w:r>
            <w:r>
              <w:t>s</w:t>
            </w:r>
            <w:r w:rsidRPr="00E971BF">
              <w:t xml:space="preserve"> „</w:t>
            </w:r>
            <w:r>
              <w:rPr>
                <w:noProof/>
              </w:rPr>
              <w:t>K</w:t>
            </w:r>
            <w:r w:rsidRPr="00E971BF">
              <w:rPr>
                <w:noProof/>
              </w:rPr>
              <w:t>osmētikas līdzekļu būtisko</w:t>
            </w:r>
            <w:r>
              <w:rPr>
                <w:noProof/>
              </w:rPr>
              <w:t xml:space="preserve"> prasību </w:t>
            </w:r>
            <w:r w:rsidRPr="00E971BF">
              <w:rPr>
                <w:noProof/>
              </w:rPr>
              <w:t xml:space="preserve"> </w:t>
            </w:r>
            <w:r>
              <w:rPr>
                <w:noProof/>
              </w:rPr>
              <w:t xml:space="preserve">nodrošināšanas kārtība” </w:t>
            </w:r>
            <w:r w:rsidR="004423E5">
              <w:rPr>
                <w:noProof/>
              </w:rPr>
              <w:t xml:space="preserve">(turpmāk – projekts) </w:t>
            </w:r>
            <w:r w:rsidR="00021F58">
              <w:rPr>
                <w:noProof/>
              </w:rPr>
              <w:t xml:space="preserve">izstrādāts, lai nodrošinātu </w:t>
            </w:r>
            <w:r w:rsidR="00021F58" w:rsidRPr="00E971BF">
              <w:t xml:space="preserve">Eiropas Parlamenta un Padomes 2009.gada 30.novembra Regulā (EK) Nr. </w:t>
            </w:r>
            <w:hyperlink r:id="rId7" w:tgtFrame="_blank" w:tooltip="Atvērt regulu latviešu valodā" w:history="1">
              <w:r w:rsidR="00021F58" w:rsidRPr="00E971BF">
                <w:rPr>
                  <w:rStyle w:val="Hyperlink"/>
                </w:rPr>
                <w:t>1223/2009</w:t>
              </w:r>
            </w:hyperlink>
            <w:r w:rsidR="00021F58" w:rsidRPr="00E971BF">
              <w:t xml:space="preserve">  par</w:t>
            </w:r>
            <w:r w:rsidR="00021F58">
              <w:t xml:space="preserve"> kosmētikas līdzekļiem</w:t>
            </w:r>
            <w:r w:rsidR="00F631A4">
              <w:t xml:space="preserve"> </w:t>
            </w:r>
            <w:r w:rsidR="00021F58">
              <w:t>(turpmāk – regula Nr. 1223/2009)  noteikto prasību izpildi</w:t>
            </w:r>
            <w:r w:rsidR="00D46F76">
              <w:t xml:space="preserve">, kā arī lai noteiktu astoņās Eiropas Savienības direktīvās iekļautās prasības. Projekts izstrādāts atbilstoši </w:t>
            </w:r>
            <w:r w:rsidR="00D46F76" w:rsidRPr="00D46F76">
              <w:rPr>
                <w:noProof/>
              </w:rPr>
              <w:t xml:space="preserve">likuma „Par atbilstības novērtēšanu” </w:t>
            </w:r>
            <w:r w:rsidR="00D46F76">
              <w:rPr>
                <w:noProof/>
              </w:rPr>
              <w:t xml:space="preserve">7.panta pirmajā daļā </w:t>
            </w:r>
            <w:r w:rsidR="00D46F76" w:rsidRPr="00D46F76">
              <w:rPr>
                <w:noProof/>
              </w:rPr>
              <w:t>un Patērētāju tiesību aizsardzības likuma</w:t>
            </w:r>
            <w:r w:rsidR="00D46F76">
              <w:rPr>
                <w:noProof/>
              </w:rPr>
              <w:t xml:space="preserve">  21.panta pirmajā daļā dotajam deleģējumam.</w:t>
            </w:r>
          </w:p>
        </w:tc>
      </w:tr>
      <w:tr w:rsidR="002D3157" w:rsidRPr="00E971BF" w:rsidTr="00EF4947">
        <w:tc>
          <w:tcPr>
            <w:tcW w:w="296" w:type="pct"/>
          </w:tcPr>
          <w:p w:rsidR="002D3157" w:rsidRPr="00E971BF" w:rsidRDefault="002D3157" w:rsidP="002D3157">
            <w:pPr>
              <w:spacing w:before="100" w:beforeAutospacing="1" w:after="100" w:afterAutospacing="1"/>
              <w:jc w:val="both"/>
              <w:rPr>
                <w:color w:val="000000"/>
              </w:rPr>
            </w:pPr>
            <w:r w:rsidRPr="00E971BF">
              <w:rPr>
                <w:color w:val="000000"/>
              </w:rPr>
              <w:t>2.</w:t>
            </w:r>
          </w:p>
        </w:tc>
        <w:tc>
          <w:tcPr>
            <w:tcW w:w="581" w:type="pct"/>
          </w:tcPr>
          <w:p w:rsidR="002D3157" w:rsidRPr="00E971BF" w:rsidRDefault="002D3157" w:rsidP="002D3157">
            <w:pPr>
              <w:spacing w:before="100" w:beforeAutospacing="1" w:after="100" w:afterAutospacing="1"/>
              <w:jc w:val="both"/>
              <w:rPr>
                <w:color w:val="000000"/>
              </w:rPr>
            </w:pPr>
            <w:r w:rsidRPr="00E971BF">
              <w:rPr>
                <w:color w:val="000000"/>
              </w:rPr>
              <w:t>Pašreizējā situācija un problēmas</w:t>
            </w:r>
          </w:p>
        </w:tc>
        <w:tc>
          <w:tcPr>
            <w:tcW w:w="4123" w:type="pct"/>
          </w:tcPr>
          <w:p w:rsidR="005015C5" w:rsidRPr="00E971BF" w:rsidRDefault="005015C5" w:rsidP="00655CB1">
            <w:pPr>
              <w:pStyle w:val="naisf"/>
              <w:tabs>
                <w:tab w:val="left" w:pos="6228"/>
              </w:tabs>
              <w:spacing w:before="0" w:after="0"/>
              <w:ind w:left="-74" w:right="57" w:firstLine="0"/>
            </w:pPr>
            <w:r w:rsidRPr="00E971BF">
              <w:rPr>
                <w:rFonts w:eastAsia="Arial Unicode MS"/>
                <w:color w:val="000000"/>
              </w:rPr>
              <w:t xml:space="preserve">Šobrīd ir spēkā </w:t>
            </w:r>
            <w:r w:rsidR="00943B53" w:rsidRPr="00E971BF">
              <w:t xml:space="preserve">Ministru kabineta </w:t>
            </w:r>
            <w:r w:rsidR="00E971BF" w:rsidRPr="00E971BF">
              <w:rPr>
                <w:noProof/>
              </w:rPr>
              <w:t>2004. gada 20. aprīļa noteikum</w:t>
            </w:r>
            <w:r w:rsidR="00021F58">
              <w:rPr>
                <w:noProof/>
              </w:rPr>
              <w:t>i</w:t>
            </w:r>
            <w:r w:rsidR="00E971BF" w:rsidRPr="00E971BF">
              <w:rPr>
                <w:noProof/>
              </w:rPr>
              <w:t xml:space="preserve"> Nr. 354 „Noteikumi par būtiskajām prasībām kosmētikas līdzekļiem un to uzraudzības kārtību”</w:t>
            </w:r>
            <w:r w:rsidR="00021F58">
              <w:rPr>
                <w:noProof/>
              </w:rPr>
              <w:t>(turpmāk – noteikumi Nr.354)</w:t>
            </w:r>
            <w:r w:rsidRPr="00E971BF">
              <w:t xml:space="preserve">, ar kuriem pārņemtas </w:t>
            </w:r>
            <w:r w:rsidR="00E971BF" w:rsidRPr="00E971BF">
              <w:rPr>
                <w:rStyle w:val="st1"/>
                <w:color w:val="222222"/>
              </w:rPr>
              <w:t>Padomes</w:t>
            </w:r>
            <w:r w:rsidR="00772BEE">
              <w:rPr>
                <w:rStyle w:val="st1"/>
                <w:color w:val="222222"/>
              </w:rPr>
              <w:t xml:space="preserve"> </w:t>
            </w:r>
            <w:r w:rsidR="00021F58">
              <w:rPr>
                <w:rStyle w:val="st1"/>
                <w:color w:val="222222"/>
              </w:rPr>
              <w:t>1976. gada 27. jūlija</w:t>
            </w:r>
            <w:r w:rsidR="00E971BF" w:rsidRPr="00E971BF">
              <w:rPr>
                <w:rStyle w:val="st1"/>
                <w:color w:val="222222"/>
              </w:rPr>
              <w:t xml:space="preserve"> </w:t>
            </w:r>
            <w:r w:rsidR="00E971BF" w:rsidRPr="00E971BF">
              <w:rPr>
                <w:rStyle w:val="st1"/>
                <w:bCs/>
                <w:color w:val="000000"/>
              </w:rPr>
              <w:t>Direktīvas 76/768</w:t>
            </w:r>
            <w:r w:rsidR="00E971BF" w:rsidRPr="00E971BF">
              <w:rPr>
                <w:rStyle w:val="st1"/>
                <w:color w:val="222222"/>
              </w:rPr>
              <w:t>/</w:t>
            </w:r>
            <w:r w:rsidR="00E971BF" w:rsidRPr="00E971BF">
              <w:rPr>
                <w:rStyle w:val="st1"/>
                <w:bCs/>
                <w:color w:val="000000"/>
              </w:rPr>
              <w:t>EEK</w:t>
            </w:r>
            <w:r w:rsidR="00E971BF" w:rsidRPr="00E971BF">
              <w:rPr>
                <w:rStyle w:val="st1"/>
                <w:color w:val="222222"/>
              </w:rPr>
              <w:t xml:space="preserve"> par dalībvalstu tiesību aktu tuvināšanu attiecībā uz kosmētikas līdzekļiem</w:t>
            </w:r>
            <w:r w:rsidR="00021F58">
              <w:rPr>
                <w:rStyle w:val="st1"/>
                <w:color w:val="222222"/>
              </w:rPr>
              <w:t xml:space="preserve"> (turpmāk – direktīva </w:t>
            </w:r>
            <w:r w:rsidR="00F631A4">
              <w:rPr>
                <w:rStyle w:val="st1"/>
                <w:color w:val="222222"/>
              </w:rPr>
              <w:t>N</w:t>
            </w:r>
            <w:r w:rsidR="00021F58">
              <w:rPr>
                <w:rStyle w:val="st1"/>
                <w:color w:val="222222"/>
              </w:rPr>
              <w:t>r. 76/768/E</w:t>
            </w:r>
            <w:r w:rsidR="00A775F8">
              <w:rPr>
                <w:rStyle w:val="st1"/>
                <w:color w:val="222222"/>
              </w:rPr>
              <w:t>E</w:t>
            </w:r>
            <w:r w:rsidR="00021F58">
              <w:rPr>
                <w:rStyle w:val="st1"/>
                <w:color w:val="222222"/>
              </w:rPr>
              <w:t>K)</w:t>
            </w:r>
            <w:r w:rsidR="00E971BF" w:rsidRPr="00E971BF">
              <w:rPr>
                <w:rStyle w:val="st1"/>
                <w:color w:val="222222"/>
              </w:rPr>
              <w:t xml:space="preserve"> </w:t>
            </w:r>
            <w:r w:rsidR="00E25CC0" w:rsidRPr="00E971BF">
              <w:t>prasības</w:t>
            </w:r>
            <w:r w:rsidR="00E971BF" w:rsidRPr="00E971BF">
              <w:t>.</w:t>
            </w:r>
            <w:r w:rsidR="00E25CC0" w:rsidRPr="00E971BF">
              <w:t xml:space="preserve"> </w:t>
            </w:r>
          </w:p>
          <w:p w:rsidR="0036220E" w:rsidRDefault="00E25CC0" w:rsidP="00655CB1">
            <w:pPr>
              <w:ind w:left="-74"/>
              <w:jc w:val="both"/>
              <w:rPr>
                <w:rStyle w:val="st1"/>
                <w:bCs/>
                <w:color w:val="000000"/>
              </w:rPr>
            </w:pPr>
            <w:r w:rsidRPr="00E971BF">
              <w:rPr>
                <w:color w:val="000000"/>
              </w:rPr>
              <w:t xml:space="preserve">Ar </w:t>
            </w:r>
            <w:r w:rsidRPr="00E971BF">
              <w:rPr>
                <w:rFonts w:eastAsia="EUAlbertina-Bold-Identity-H"/>
              </w:rPr>
              <w:t>201</w:t>
            </w:r>
            <w:r w:rsidR="00E971BF" w:rsidRPr="00E971BF">
              <w:rPr>
                <w:rFonts w:eastAsia="EUAlbertina-Bold-Identity-H"/>
              </w:rPr>
              <w:t>3</w:t>
            </w:r>
            <w:r w:rsidRPr="00E971BF">
              <w:rPr>
                <w:rFonts w:eastAsia="EUAlbertina-Bold-Identity-H"/>
              </w:rPr>
              <w:t xml:space="preserve">.gada </w:t>
            </w:r>
            <w:r w:rsidR="00E971BF" w:rsidRPr="00E971BF">
              <w:rPr>
                <w:rFonts w:eastAsia="EUAlbertina-Bold-Identity-H"/>
              </w:rPr>
              <w:t>11</w:t>
            </w:r>
            <w:r w:rsidRPr="00E971BF">
              <w:rPr>
                <w:rFonts w:eastAsia="EUAlbertina-Bold-Identity-H"/>
              </w:rPr>
              <w:t>.j</w:t>
            </w:r>
            <w:r w:rsidR="00E971BF" w:rsidRPr="00E971BF">
              <w:rPr>
                <w:rFonts w:eastAsia="EUAlbertina-Bold-Identity-H"/>
              </w:rPr>
              <w:t>ūliju</w:t>
            </w:r>
            <w:r w:rsidRPr="00E971BF">
              <w:rPr>
                <w:rFonts w:eastAsia="EUAlbertina-Bold-Identity-H"/>
              </w:rPr>
              <w:t xml:space="preserve"> </w:t>
            </w:r>
            <w:r w:rsidR="00A775F8">
              <w:rPr>
                <w:rFonts w:eastAsia="EUAlbertina-Bold-Identity-H"/>
              </w:rPr>
              <w:t xml:space="preserve">ES dalībvalstīm </w:t>
            </w:r>
            <w:r w:rsidR="0036220E" w:rsidRPr="00E971BF">
              <w:rPr>
                <w:rFonts w:eastAsia="EUAlbertina-Bold-Identity-H"/>
              </w:rPr>
              <w:t xml:space="preserve">jāpiemēro </w:t>
            </w:r>
            <w:r w:rsidR="00021F58">
              <w:t>r</w:t>
            </w:r>
            <w:r w:rsidR="00E971BF" w:rsidRPr="00E971BF">
              <w:t xml:space="preserve">egulā Nr. </w:t>
            </w:r>
            <w:hyperlink r:id="rId8" w:tgtFrame="_blank" w:tooltip="Atvērt regulu latviešu valodā" w:history="1">
              <w:r w:rsidR="00E971BF" w:rsidRPr="00E971BF">
                <w:rPr>
                  <w:rStyle w:val="Hyperlink"/>
                </w:rPr>
                <w:t>1223/2009</w:t>
              </w:r>
            </w:hyperlink>
            <w:r w:rsidR="00E971BF" w:rsidRPr="00E971BF">
              <w:t xml:space="preserve">  noteiktās prasības un</w:t>
            </w:r>
            <w:r w:rsidR="00A775F8">
              <w:t xml:space="preserve"> līdz ar to</w:t>
            </w:r>
            <w:r w:rsidR="00E971BF" w:rsidRPr="00E971BF">
              <w:t xml:space="preserve"> tiek atcelta </w:t>
            </w:r>
            <w:r w:rsidR="00021F58">
              <w:t>d</w:t>
            </w:r>
            <w:r w:rsidR="0036220E" w:rsidRPr="00E971BF">
              <w:t>irektīv</w:t>
            </w:r>
            <w:r w:rsidR="00021F58">
              <w:t>a Nr.</w:t>
            </w:r>
            <w:r w:rsidR="00E971BF" w:rsidRPr="00E971BF">
              <w:rPr>
                <w:rStyle w:val="st1"/>
                <w:bCs/>
                <w:color w:val="000000"/>
              </w:rPr>
              <w:t>76/768</w:t>
            </w:r>
            <w:r w:rsidR="00E971BF" w:rsidRPr="00E971BF">
              <w:rPr>
                <w:rStyle w:val="st1"/>
                <w:color w:val="222222"/>
              </w:rPr>
              <w:t>/</w:t>
            </w:r>
            <w:r w:rsidR="00E971BF" w:rsidRPr="00E971BF">
              <w:rPr>
                <w:rStyle w:val="st1"/>
                <w:bCs/>
                <w:color w:val="000000"/>
              </w:rPr>
              <w:t>EEK</w:t>
            </w:r>
            <w:r w:rsidR="00E971BF" w:rsidRPr="00E971BF">
              <w:rPr>
                <w:rStyle w:val="st1"/>
                <w:color w:val="222222"/>
              </w:rPr>
              <w:t>.</w:t>
            </w:r>
            <w:r w:rsidR="00021F58">
              <w:rPr>
                <w:rStyle w:val="st1"/>
                <w:color w:val="222222"/>
              </w:rPr>
              <w:t xml:space="preserve"> Tā kā noteikumu Nr. 354 teksta lielāko daļu sastāda saskaņā ar  atceļamo direktīvu </w:t>
            </w:r>
            <w:r w:rsidR="00021F58">
              <w:t>Nr.</w:t>
            </w:r>
            <w:r w:rsidR="00021F58" w:rsidRPr="00E971BF">
              <w:rPr>
                <w:rStyle w:val="st1"/>
                <w:bCs/>
                <w:color w:val="000000"/>
              </w:rPr>
              <w:t>76/768</w:t>
            </w:r>
            <w:r w:rsidR="00021F58" w:rsidRPr="00E971BF">
              <w:rPr>
                <w:rStyle w:val="st1"/>
                <w:color w:val="222222"/>
              </w:rPr>
              <w:t>/</w:t>
            </w:r>
            <w:r w:rsidR="00021F58" w:rsidRPr="00E971BF">
              <w:rPr>
                <w:rStyle w:val="st1"/>
                <w:bCs/>
                <w:color w:val="000000"/>
              </w:rPr>
              <w:t>EEK</w:t>
            </w:r>
            <w:r w:rsidR="00021F58">
              <w:rPr>
                <w:rStyle w:val="st1"/>
                <w:bCs/>
                <w:color w:val="000000"/>
              </w:rPr>
              <w:t xml:space="preserve"> noteiktās prasības, noteikumi zaudēs spēku līdz ar minēto direktīvu.</w:t>
            </w:r>
          </w:p>
          <w:p w:rsidR="00021F58" w:rsidRDefault="00A775F8" w:rsidP="00655CB1">
            <w:pPr>
              <w:ind w:left="-74"/>
              <w:jc w:val="both"/>
              <w:rPr>
                <w:rStyle w:val="st1"/>
                <w:bCs/>
                <w:color w:val="000000"/>
              </w:rPr>
            </w:pPr>
            <w:r>
              <w:rPr>
                <w:rStyle w:val="st1"/>
                <w:bCs/>
                <w:color w:val="000000"/>
              </w:rPr>
              <w:t>Ņemot vērā minēto, l</w:t>
            </w:r>
            <w:r w:rsidR="00021F58">
              <w:rPr>
                <w:rStyle w:val="st1"/>
                <w:bCs/>
                <w:color w:val="000000"/>
              </w:rPr>
              <w:t xml:space="preserve">ai nodrošinātu regulā Nr. 1223/2009 noteikto prasību izpildi, kā arī, lai nodrošinātu to prasību, kas noteikumos </w:t>
            </w:r>
            <w:r w:rsidR="00A738B2">
              <w:rPr>
                <w:rStyle w:val="st1"/>
                <w:bCs/>
                <w:color w:val="000000"/>
              </w:rPr>
              <w:t>Nr.354 tika</w:t>
            </w:r>
            <w:r w:rsidR="00021F58">
              <w:rPr>
                <w:rStyle w:val="st1"/>
                <w:bCs/>
                <w:color w:val="000000"/>
              </w:rPr>
              <w:t xml:space="preserve"> noteiktas saskaņā ar citām direktīvām vai citu deleģējumu, nepieciešam</w:t>
            </w:r>
            <w:r>
              <w:rPr>
                <w:rStyle w:val="st1"/>
                <w:bCs/>
                <w:color w:val="000000"/>
              </w:rPr>
              <w:t>s izstrādāt jaunus noteikumus, kas ietver šādus jautājumus:</w:t>
            </w:r>
          </w:p>
          <w:p w:rsidR="00F125BC" w:rsidRDefault="00F125BC" w:rsidP="00F125BC">
            <w:pPr>
              <w:jc w:val="both"/>
              <w:rPr>
                <w:rStyle w:val="st1"/>
                <w:bCs/>
                <w:color w:val="000000"/>
              </w:rPr>
            </w:pPr>
          </w:p>
          <w:p w:rsidR="004423E5" w:rsidRDefault="00F125BC" w:rsidP="00F125BC">
            <w:pPr>
              <w:jc w:val="both"/>
              <w:rPr>
                <w:rStyle w:val="st1"/>
                <w:bCs/>
                <w:color w:val="000000"/>
              </w:rPr>
            </w:pPr>
            <w:r>
              <w:rPr>
                <w:rStyle w:val="st1"/>
                <w:bCs/>
                <w:color w:val="000000"/>
              </w:rPr>
              <w:t>1.</w:t>
            </w:r>
            <w:r w:rsidR="004423E5">
              <w:rPr>
                <w:rStyle w:val="st1"/>
                <w:bCs/>
                <w:color w:val="000000"/>
              </w:rPr>
              <w:t>Saskaņā ar regulas 1223/2009</w:t>
            </w:r>
            <w:r w:rsidR="00B53B63">
              <w:rPr>
                <w:rStyle w:val="st1"/>
                <w:bCs/>
                <w:color w:val="000000"/>
              </w:rPr>
              <w:t xml:space="preserve"> 34. pantu, dalībvalstīm ir jānosaka savas kompetentās iestādes, kas pilda regulā noteiktos pienākumus kā arī sadarbojas savstarpēji un ar Komisiju, lai nodrošinātu pareizu un vienādu regulas piemērošanu. </w:t>
            </w:r>
          </w:p>
          <w:p w:rsidR="00F125BC" w:rsidRDefault="00F125BC" w:rsidP="00B53B63">
            <w:pPr>
              <w:jc w:val="both"/>
              <w:rPr>
                <w:noProof/>
              </w:rPr>
            </w:pPr>
          </w:p>
          <w:p w:rsidR="00B53B63" w:rsidRPr="00797595" w:rsidRDefault="00B53B63" w:rsidP="00B53B63">
            <w:pPr>
              <w:jc w:val="both"/>
              <w:rPr>
                <w:rFonts w:eastAsia="Calibri"/>
                <w:bCs/>
              </w:rPr>
            </w:pPr>
            <w:r w:rsidRPr="00797595">
              <w:rPr>
                <w:noProof/>
              </w:rPr>
              <w:t>2.</w:t>
            </w:r>
            <w:r w:rsidRPr="00797595">
              <w:t xml:space="preserve">Saskaņā ar </w:t>
            </w:r>
            <w:r>
              <w:t>regulas</w:t>
            </w:r>
            <w:r w:rsidRPr="00797595">
              <w:t xml:space="preserve"> Nr.1223/2009</w:t>
            </w:r>
            <w:r>
              <w:t xml:space="preserve"> 13. pantu</w:t>
            </w:r>
            <w:r w:rsidRPr="00797595">
              <w:t>, par kosmētikas līdzekli atbildīgā persona elektroniski iesniedz Eiropas Komisijai informāciju par kosmētikas līdzekli, t.sk. par tā pamatsastāvu, lai sarežģījumu gadījumā varētu veikt tūlītēju un pareizu ārstēšanu. Eiropas Komisija saņemto informāciju par kosmētikas līdzekli atbilstoši kompetence</w:t>
            </w:r>
            <w:r>
              <w:t>i dara</w:t>
            </w:r>
            <w:r w:rsidRPr="00797595">
              <w:t xml:space="preserve"> pieejamu elektroniski </w:t>
            </w:r>
            <w:r w:rsidR="00D46F76">
              <w:t xml:space="preserve">dalībvalstu </w:t>
            </w:r>
            <w:r w:rsidRPr="00797595">
              <w:t xml:space="preserve">Toksikoloģijas centriem ārstēšanas vajadzībām un Kompetentajām iestādēm tirgus uzraudzības vajadzībām. </w:t>
            </w:r>
            <w:r w:rsidRPr="00797595">
              <w:rPr>
                <w:rFonts w:eastAsia="Calibri"/>
                <w:bCs/>
              </w:rPr>
              <w:t xml:space="preserve">Tā kā minētajā datu bāzē pieejamā informācija ārstēšanas vajadzībām ir konfidenciāla (saistīta ar komercnoslēpumu), pieeja tai tiek piešķirta tikai oficiāli nominētam administratoram, kas ir atbildīgs par konfidencialitātes ievērošanu un nepieciešamās informācijas sniegšanu kolēģiem. </w:t>
            </w:r>
          </w:p>
          <w:p w:rsidR="00B53B63" w:rsidRPr="00797595" w:rsidRDefault="00B53B63" w:rsidP="00F125BC">
            <w:pPr>
              <w:jc w:val="both"/>
            </w:pPr>
            <w:r w:rsidRPr="00797595">
              <w:t xml:space="preserve">Informācijas sniegšana par kosmētikas līdzekli Eiropas Komisijai saskaņā ar regulu </w:t>
            </w:r>
            <w:r w:rsidR="00270ECC">
              <w:t>ir</w:t>
            </w:r>
            <w:r w:rsidRPr="00797595">
              <w:t xml:space="preserve"> obligāta no 2013.gada 13. jūlija, bet  to</w:t>
            </w:r>
            <w:r w:rsidR="0093195F">
              <w:t xml:space="preserve"> jau var</w:t>
            </w:r>
            <w:r w:rsidRPr="00797595">
              <w:t xml:space="preserve"> veikt un līdz ar to </w:t>
            </w:r>
            <w:r w:rsidR="00D46F76">
              <w:t xml:space="preserve">Eiropas Komisijai </w:t>
            </w:r>
            <w:r w:rsidRPr="00797595">
              <w:t>paziņoto informāciju Toksikoloģijas cent</w:t>
            </w:r>
            <w:r w:rsidR="0093195F">
              <w:t>ri un Kompetentās iestādes var</w:t>
            </w:r>
            <w:r w:rsidRPr="00797595">
              <w:t xml:space="preserve"> arī saņemt jau sākot no 2012. gada 11.janvāra. </w:t>
            </w:r>
          </w:p>
          <w:p w:rsidR="00B53B63" w:rsidRDefault="0093195F" w:rsidP="00AE054B">
            <w:pPr>
              <w:jc w:val="both"/>
            </w:pPr>
            <w:r>
              <w:lastRenderedPageBreak/>
              <w:t>Tā kā v</w:t>
            </w:r>
            <w:r w:rsidR="00B53B63" w:rsidRPr="00797595">
              <w:t xml:space="preserve">ienīgā iestāde Latvijā, kas sniedz diennakts toksikoloģisko informāciju kā mediķiem, tā arī iedzīvotājiem un līdz ar to Eiropas Komisijas kosmētikas līdzekļu datu bāzē pieejamo informāciju </w:t>
            </w:r>
            <w:r w:rsidR="00A672B9">
              <w:t>visefektīvāk</w:t>
            </w:r>
            <w:r w:rsidR="00B53B63" w:rsidRPr="00797595">
              <w:t xml:space="preserve"> izmantotu, ir </w:t>
            </w:r>
            <w:r w:rsidR="00B53B63" w:rsidRPr="00797595">
              <w:rPr>
                <w:rFonts w:eastAsia="Calibri"/>
                <w:bCs/>
              </w:rPr>
              <w:t>SIA „Rīgas Austrumu klīniskā universitātes slimnīca” Toksikoloģijas un sepses klīnikas Saindēšanās informācijas centrs (turpmāk – S</w:t>
            </w:r>
            <w:r>
              <w:rPr>
                <w:rFonts w:eastAsia="Calibri"/>
                <w:bCs/>
              </w:rPr>
              <w:t>aindēšanās informācijas centrs)</w:t>
            </w:r>
            <w:r w:rsidR="00D46F76">
              <w:rPr>
                <w:rFonts w:eastAsia="Calibri"/>
                <w:bCs/>
              </w:rPr>
              <w:t>. S</w:t>
            </w:r>
            <w:r w:rsidR="00B53B63" w:rsidRPr="00797595">
              <w:rPr>
                <w:rFonts w:eastAsia="Calibri"/>
                <w:bCs/>
              </w:rPr>
              <w:t>askaņā</w:t>
            </w:r>
            <w:r w:rsidR="00C908C6">
              <w:rPr>
                <w:rFonts w:eastAsia="Calibri"/>
                <w:bCs/>
              </w:rPr>
              <w:t xml:space="preserve"> ar</w:t>
            </w:r>
            <w:r w:rsidR="00B53B63" w:rsidRPr="00797595">
              <w:rPr>
                <w:rFonts w:eastAsia="Calibri"/>
                <w:bCs/>
              </w:rPr>
              <w:t xml:space="preserve"> 2010.gada 29.jūnija noteikumiem Nr. 575 „Noteikumi par ķīmisko vielu un maisījumu uzskaites kārtību un datu bāzi”, Saindēšanās informācijas centram ir brīva pieeja arī ķīmisko vielu datubāzei, lai to izmantotu informācijas sniegšanai par saindēšanās simptomiem un pirmās palīdzības un neatliekamajiem pasākumiem saindēšanās gadījumos</w:t>
            </w:r>
            <w:r>
              <w:rPr>
                <w:rFonts w:eastAsia="Calibri"/>
                <w:bCs/>
              </w:rPr>
              <w:t>, noteikumos Nr. 354 tika noteikts, ka pieeju</w:t>
            </w:r>
            <w:r w:rsidR="00B53B63" w:rsidRPr="00797595">
              <w:rPr>
                <w:rFonts w:eastAsia="Calibri"/>
                <w:bCs/>
              </w:rPr>
              <w:t xml:space="preserve"> Eiropas </w:t>
            </w:r>
            <w:r w:rsidR="00B53B63" w:rsidRPr="00797595">
              <w:t>Komisijas kosmētika</w:t>
            </w:r>
            <w:r>
              <w:t>s līdzekļu datubāzei</w:t>
            </w:r>
            <w:r w:rsidR="00D46F76">
              <w:t>,</w:t>
            </w:r>
            <w:r w:rsidRPr="00797595">
              <w:t xml:space="preserve"> sākot no 2012. gada 11.janvāra</w:t>
            </w:r>
            <w:r w:rsidR="00D46F76">
              <w:t>,</w:t>
            </w:r>
            <w:r>
              <w:t xml:space="preserve"> piešķir</w:t>
            </w:r>
            <w:r w:rsidR="00B53B63" w:rsidRPr="00797595">
              <w:t xml:space="preserve"> </w:t>
            </w:r>
            <w:r w:rsidR="00B53B63" w:rsidRPr="00797595">
              <w:rPr>
                <w:rFonts w:eastAsia="Calibri"/>
                <w:bCs/>
              </w:rPr>
              <w:t xml:space="preserve">Saindēšanās informācijas centram. </w:t>
            </w:r>
            <w:r>
              <w:rPr>
                <w:rFonts w:eastAsia="Calibri"/>
                <w:bCs/>
              </w:rPr>
              <w:t xml:space="preserve">Šo prasību nepieciešams noteikt arī projektā. </w:t>
            </w:r>
            <w:r w:rsidR="00B53B63" w:rsidRPr="00797595">
              <w:rPr>
                <w:rFonts w:eastAsia="Calibri"/>
                <w:bCs/>
              </w:rPr>
              <w:t>Pieejas piešķiršana paziņošanas portālā pieejamajai informācijai neparedz uzlikt papildus pienākumus Saindēšan</w:t>
            </w:r>
            <w:r>
              <w:rPr>
                <w:rFonts w:eastAsia="Calibri"/>
                <w:bCs/>
              </w:rPr>
              <w:t>ās informācijas centram, bet dod</w:t>
            </w:r>
            <w:r w:rsidR="00B53B63" w:rsidRPr="00797595">
              <w:rPr>
                <w:rFonts w:eastAsia="Calibri"/>
                <w:bCs/>
              </w:rPr>
              <w:t xml:space="preserve"> iespēju vajadzības gadījumā bez grūtībām</w:t>
            </w:r>
            <w:r w:rsidR="00D46F76">
              <w:rPr>
                <w:rFonts w:eastAsia="Calibri"/>
                <w:bCs/>
              </w:rPr>
              <w:t xml:space="preserve"> datu bāzē</w:t>
            </w:r>
            <w:r w:rsidR="00B53B63" w:rsidRPr="00797595">
              <w:rPr>
                <w:rFonts w:eastAsia="Calibri"/>
                <w:bCs/>
              </w:rPr>
              <w:t xml:space="preserve"> atrast informāciju par kosmētikas līdzekļa sastāvu, lai veiktu tūlītēju pareizu ārstēšanu vai </w:t>
            </w:r>
            <w:r w:rsidR="00B53B63" w:rsidRPr="006E5BB6">
              <w:rPr>
                <w:rFonts w:eastAsia="Calibri"/>
                <w:bCs/>
              </w:rPr>
              <w:t xml:space="preserve">sniegtu </w:t>
            </w:r>
            <w:r w:rsidR="00686266" w:rsidRPr="006E5BB6">
              <w:rPr>
                <w:rFonts w:eastAsia="Calibri"/>
                <w:bCs/>
              </w:rPr>
              <w:t xml:space="preserve">ārstēšanai </w:t>
            </w:r>
            <w:r w:rsidR="00B53B63" w:rsidRPr="006E5BB6">
              <w:rPr>
                <w:rFonts w:eastAsia="Calibri"/>
                <w:bCs/>
              </w:rPr>
              <w:t>nepieciešam</w:t>
            </w:r>
            <w:r w:rsidR="00686266" w:rsidRPr="006E5BB6">
              <w:rPr>
                <w:rFonts w:eastAsia="Calibri"/>
                <w:bCs/>
              </w:rPr>
              <w:t>u</w:t>
            </w:r>
            <w:r w:rsidR="00B53B63" w:rsidRPr="00797595">
              <w:rPr>
                <w:rFonts w:eastAsia="Calibri"/>
                <w:bCs/>
              </w:rPr>
              <w:t xml:space="preserve"> konsultāciju kolēģiem vai pacientiem. Citas ārstniecības iestādes, tāpat kā līdz šim saindēšanās gadījumos, kad nepieciešama toksikologa konsultācija un specifiska informācija, sazināsies </w:t>
            </w:r>
            <w:r w:rsidR="00B53B63" w:rsidRPr="00797595">
              <w:t>ar Saindēšanās informācijas centru pa tālruni 67042473.</w:t>
            </w:r>
          </w:p>
          <w:p w:rsidR="00AE054B" w:rsidRDefault="00AE054B" w:rsidP="00AE054B">
            <w:pPr>
              <w:jc w:val="both"/>
            </w:pPr>
          </w:p>
          <w:p w:rsidR="005A18B5" w:rsidRDefault="0093195F" w:rsidP="005A18B5">
            <w:pPr>
              <w:jc w:val="both"/>
              <w:rPr>
                <w:rStyle w:val="st1"/>
                <w:color w:val="222222"/>
              </w:rPr>
            </w:pPr>
            <w:r>
              <w:t>3.</w:t>
            </w:r>
            <w:r w:rsidR="00270ECC" w:rsidRPr="00797595">
              <w:t xml:space="preserve">Saskaņā ar </w:t>
            </w:r>
            <w:r w:rsidR="00270ECC">
              <w:t>regulas</w:t>
            </w:r>
            <w:r w:rsidR="00270ECC" w:rsidRPr="00797595">
              <w:t xml:space="preserve"> Nr.1223/2009</w:t>
            </w:r>
            <w:r w:rsidR="00270ECC">
              <w:t xml:space="preserve"> 23. pantu, gadījumā, ja kosmētikas līdzeklis izraisījis būtisku nevēlamu ietekmi, atbildīgajai personai un izplatītājiem par to nekavējoties jāziņo tās valsts kompetentajai iestādei, kurā tā konstatēta. </w:t>
            </w:r>
            <w:r w:rsidR="00A57CE6">
              <w:t xml:space="preserve">Arī ārstniecības persona un gala patērētājs var ziņot kompetentajai iestādei par konstatētu būtisku  kosmētikas līdzekļa nevēlamu ietekmi. </w:t>
            </w:r>
            <w:r w:rsidR="00270ECC">
              <w:t xml:space="preserve">Savukārt kompetentā iestāde šo informāciju pārsūta pārējo </w:t>
            </w:r>
            <w:r w:rsidR="00D46F76">
              <w:t>dalībvalstu</w:t>
            </w:r>
            <w:r w:rsidR="00270ECC">
              <w:t xml:space="preserve"> kompetentajām iestādēm (un atbildīgajai personai, ja ziņojis izplatītājs</w:t>
            </w:r>
            <w:r w:rsidR="00A57CE6">
              <w:t>, ārstniecības persona vai gala patērētājs</w:t>
            </w:r>
            <w:r w:rsidR="00270ECC">
              <w:t>). Lai šo informāciju varētu korekti paziņot un izplatīt, Eiropas Komisija ir izstrādājusi vadlīnijas paziņošanai par nevēlamu būtisku ietekmi</w:t>
            </w:r>
            <w:r w:rsidR="00A57CE6">
              <w:t>, kurās iekļautas arī paziņošanas</w:t>
            </w:r>
            <w:r w:rsidR="00D46F76">
              <w:t xml:space="preserve"> veidlapu</w:t>
            </w:r>
            <w:r w:rsidR="00A57CE6">
              <w:t xml:space="preserve"> formas. Tās pieejamas Eiropas komisijas mājas lapā (interneta adrese </w:t>
            </w:r>
            <w:r w:rsidR="00F125BC">
              <w:rPr>
                <w:rFonts w:ascii="Tms Rmn" w:hAnsi="Tms Rmn" w:cs="Tms Rmn"/>
                <w:color w:val="000000"/>
              </w:rPr>
              <w:t xml:space="preserve"> </w:t>
            </w:r>
            <w:hyperlink r:id="rId9" w:history="1">
              <w:r w:rsidR="00F125BC">
                <w:rPr>
                  <w:rFonts w:ascii="Tms Rmn" w:hAnsi="Tms Rmn" w:cs="Tms Rmn"/>
                  <w:color w:val="0000FF"/>
                </w:rPr>
                <w:t>http://ec.europa.eu/consumers/sectors/cosmetics/documents/guidelines/sue_en.htm</w:t>
              </w:r>
            </w:hyperlink>
            <w:r w:rsidR="00F125BC">
              <w:rPr>
                <w:rFonts w:ascii="Tms Rmn" w:hAnsi="Tms Rmn" w:cs="Tms Rmn"/>
                <w:color w:val="000000"/>
              </w:rPr>
              <w:t xml:space="preserve">). </w:t>
            </w:r>
            <w:r w:rsidR="005A18B5">
              <w:rPr>
                <w:rFonts w:ascii="Tms Rmn" w:hAnsi="Tms Rmn" w:cs="Tms Rmn"/>
                <w:color w:val="000000"/>
              </w:rPr>
              <w:t xml:space="preserve">Tā kā paziņošanas forma paredzēta informācijas apmaiņai ar citu ES dalībvalstu kompetentajām iestādēm un atbildīgajām personām, ērtības labad vēlams to aizpildīt angļu valodā. </w:t>
            </w:r>
            <w:r w:rsidR="00562D09">
              <w:rPr>
                <w:rFonts w:ascii="Tms Rmn" w:hAnsi="Tms Rmn" w:cs="Tms Rmn"/>
                <w:color w:val="000000"/>
              </w:rPr>
              <w:t xml:space="preserve">Projekta 1. pielikumā  ir </w:t>
            </w:r>
            <w:r w:rsidR="005A18B5">
              <w:rPr>
                <w:rFonts w:ascii="Tms Rmn" w:hAnsi="Tms Rmn" w:cs="Tms Rmn"/>
                <w:color w:val="000000"/>
              </w:rPr>
              <w:t>paredz</w:t>
            </w:r>
            <w:r w:rsidR="00562D09">
              <w:rPr>
                <w:rFonts w:ascii="Tms Rmn" w:hAnsi="Tms Rmn" w:cs="Tms Rmn"/>
                <w:color w:val="000000"/>
              </w:rPr>
              <w:t xml:space="preserve">ēta veidlapa latviešu valodā, taču </w:t>
            </w:r>
            <w:r w:rsidR="005A18B5">
              <w:rPr>
                <w:rFonts w:ascii="Tms Rmn" w:hAnsi="Tms Rmn" w:cs="Tms Rmn"/>
                <w:color w:val="000000"/>
              </w:rPr>
              <w:t>atbildīgā persona, izplatītājs, ārstniecības persona vai gala patērētājs var izvēlēties, vai aizpildīt projekta pielikumā norādīto veidlapu latviešu valodā vai arī Eiropas komisijas mājas lapā pieejamo formu angļu valodā. Veselības inspekcijas mājas lapā būs pieejamas abas veidlapas.</w:t>
            </w:r>
          </w:p>
          <w:p w:rsidR="00AE054B" w:rsidRDefault="00AE054B" w:rsidP="00784A51">
            <w:pPr>
              <w:jc w:val="both"/>
            </w:pPr>
          </w:p>
          <w:p w:rsidR="00784A51" w:rsidRPr="004423E5" w:rsidRDefault="00F125BC" w:rsidP="00784A51">
            <w:pPr>
              <w:jc w:val="both"/>
            </w:pPr>
            <w:r>
              <w:t>4</w:t>
            </w:r>
            <w:r w:rsidR="004423E5" w:rsidRPr="004423E5">
              <w:t>.</w:t>
            </w:r>
            <w:r w:rsidR="00784A51" w:rsidRPr="004423E5">
              <w:t xml:space="preserve">Pamatojoties uz Ekonomikas ministrijas ziņojumu „Par Eiropas Savienības direktīvu pārņemšanu”, kurš izskatīts 2005. gada 6.septembra Ministru Kabineta sēdē un kurā minēts, ka Latvijas nacionālos standartus jāatceļ un konkrēto direktīvu prasības jāiestrādā normatīvajos aktos līdz 2005. gada 31. decembrim, Veselības ministrija noteikumu </w:t>
            </w:r>
            <w:r w:rsidR="004423E5">
              <w:t xml:space="preserve">Nr. 354 </w:t>
            </w:r>
            <w:r w:rsidR="00784A51" w:rsidRPr="004423E5">
              <w:t xml:space="preserve">8.pielikumā </w:t>
            </w:r>
            <w:r w:rsidR="004423E5">
              <w:t>bija</w:t>
            </w:r>
            <w:r w:rsidR="00784A51" w:rsidRPr="004423E5">
              <w:t xml:space="preserve"> iestrādājusi šādu direktīvu prasības: 1)Komisijas 1980. gada 22. decembra Pirmā direktīva 80/1335/EEK par dalībvalstu tiesību aktu tuvināšanu attiecībā uz analīzes metodēm, kas vajadzīgas, lai pārbaudītu kosmētikas līdzekļu sastāvu;</w:t>
            </w:r>
          </w:p>
          <w:p w:rsidR="00784A51" w:rsidRPr="004423E5" w:rsidRDefault="00784A51" w:rsidP="00784A51">
            <w:pPr>
              <w:jc w:val="both"/>
            </w:pPr>
            <w:r w:rsidRPr="004423E5">
              <w:tab/>
              <w:t xml:space="preserve">2) Komisijas 1982. gada 14. maija Otrā direktīva 82/434/EEK par </w:t>
            </w:r>
            <w:r w:rsidRPr="004423E5">
              <w:lastRenderedPageBreak/>
              <w:t>dalībvalstu tiesību aktu tuvināšanu attiecībā uz analīzes metodēm, kas vajadzīgas, lai pārbaudītu kosmētikas līdzekļu sastāvu;</w:t>
            </w:r>
          </w:p>
          <w:p w:rsidR="00784A51" w:rsidRPr="004423E5" w:rsidRDefault="00784A51" w:rsidP="00784A51">
            <w:pPr>
              <w:pStyle w:val="H4"/>
              <w:keepNext w:val="0"/>
              <w:spacing w:before="0" w:after="0"/>
              <w:jc w:val="both"/>
              <w:outlineLvl w:val="9"/>
              <w:rPr>
                <w:b w:val="0"/>
                <w:szCs w:val="24"/>
              </w:rPr>
            </w:pPr>
            <w:r w:rsidRPr="004423E5">
              <w:rPr>
                <w:szCs w:val="24"/>
              </w:rPr>
              <w:t xml:space="preserve"> </w:t>
            </w:r>
            <w:r w:rsidRPr="004423E5">
              <w:rPr>
                <w:szCs w:val="24"/>
              </w:rPr>
              <w:tab/>
            </w:r>
            <w:r w:rsidRPr="004423E5">
              <w:rPr>
                <w:b w:val="0"/>
                <w:szCs w:val="24"/>
              </w:rPr>
              <w:t>3) Komisijas 1983. gada 27. septembra  Trešā direktīva 83/514/EEK par dalībvalstu tiesību aktu tuvināšanu attiecībā uz analīzes metodēm, kuras vajadzīgas, lai pārbaudītu kosmētikas līdzekļu sastāvu;</w:t>
            </w:r>
          </w:p>
          <w:p w:rsidR="00784A51" w:rsidRPr="004423E5" w:rsidRDefault="00784A51" w:rsidP="00784A51">
            <w:pPr>
              <w:pStyle w:val="H4"/>
              <w:keepNext w:val="0"/>
              <w:spacing w:before="0" w:after="0"/>
              <w:jc w:val="both"/>
              <w:outlineLvl w:val="9"/>
              <w:rPr>
                <w:b w:val="0"/>
                <w:szCs w:val="24"/>
              </w:rPr>
            </w:pPr>
            <w:r w:rsidRPr="004423E5">
              <w:rPr>
                <w:b w:val="0"/>
                <w:szCs w:val="24"/>
              </w:rPr>
              <w:t xml:space="preserve"> </w:t>
            </w:r>
            <w:r w:rsidRPr="004423E5">
              <w:rPr>
                <w:b w:val="0"/>
                <w:szCs w:val="24"/>
              </w:rPr>
              <w:tab/>
              <w:t>4) Komisijas 1985. gada 11. oktobra Ceturtā direktīva 85/490/EEK par dalībvalstu tiesību aktu tuvināšanu attiecībā uz analīzes metodēm, kuras vajadzīgas, lai pārbaudītu kosmētikas līdzekļu sastāvu;</w:t>
            </w:r>
          </w:p>
          <w:p w:rsidR="00784A51" w:rsidRPr="004423E5" w:rsidRDefault="00784A51" w:rsidP="00784A51">
            <w:pPr>
              <w:pStyle w:val="H4"/>
              <w:keepNext w:val="0"/>
              <w:spacing w:before="0" w:after="0"/>
              <w:jc w:val="both"/>
              <w:outlineLvl w:val="9"/>
              <w:rPr>
                <w:b w:val="0"/>
                <w:szCs w:val="24"/>
              </w:rPr>
            </w:pPr>
            <w:r w:rsidRPr="004423E5">
              <w:rPr>
                <w:b w:val="0"/>
                <w:szCs w:val="24"/>
              </w:rPr>
              <w:t xml:space="preserve"> </w:t>
            </w:r>
            <w:r w:rsidRPr="004423E5">
              <w:rPr>
                <w:b w:val="0"/>
                <w:szCs w:val="24"/>
              </w:rPr>
              <w:tab/>
              <w:t>5) Komisijas 1993. gada 9. septembra Piektā direktīva 93/73/EEK  par analīzes metodēm, kas vajadzīgas, lai pārbaudītu kosmētikas līdzekļu sastāvu;</w:t>
            </w:r>
          </w:p>
          <w:p w:rsidR="00784A51" w:rsidRPr="004423E5" w:rsidRDefault="00784A51" w:rsidP="00784A51">
            <w:pPr>
              <w:jc w:val="both"/>
            </w:pPr>
            <w:r w:rsidRPr="004423E5">
              <w:tab/>
              <w:t>6) Komisijas 1995. gada 7. jūlijs Sestā direktīva 95/32/EK attiecībā uz analīzes metodēm, kas vajadzīgas, lai pārbaudītu kosmētikas līdzekļu sastāvu;</w:t>
            </w:r>
          </w:p>
          <w:p w:rsidR="00784A51" w:rsidRPr="004423E5" w:rsidRDefault="00784A51" w:rsidP="00784A51">
            <w:pPr>
              <w:jc w:val="both"/>
            </w:pPr>
            <w:r w:rsidRPr="004423E5">
              <w:tab/>
              <w:t>7) Komisijas 1996. gada 2. jūlija Septītā direktīva 96/45/EK attiecībā uz analīzes metodēm, kas vajadzīgas, lai pārbaudītu kosmētikas līdzekļu sastāvu;</w:t>
            </w:r>
          </w:p>
          <w:p w:rsidR="00784A51" w:rsidRDefault="00784A51" w:rsidP="00784A51">
            <w:pPr>
              <w:jc w:val="both"/>
            </w:pPr>
            <w:r w:rsidRPr="004423E5">
              <w:tab/>
              <w:t>8) Komisijas 1990.gada 4.aprīļa Direktīva 90/207/EEK, ar kuru groza Otro Direktīvu 82/434/EEK par dalībvalstu tiesību aktu tuvināšanu attiecībā uz analīzes metodēm, kas vajadzīgas, lai pārbaudītu kosmētikas līdzekļu sastāvu</w:t>
            </w:r>
            <w:r w:rsidR="004423E5">
              <w:t>.</w:t>
            </w:r>
          </w:p>
          <w:p w:rsidR="004423E5" w:rsidRDefault="004423E5" w:rsidP="00784A51">
            <w:pPr>
              <w:jc w:val="both"/>
            </w:pPr>
            <w:r>
              <w:t xml:space="preserve">Lai nodrošinātu, ka arī turpmāk šo direktīvu, kas joprojām ir spēkā, prasības būtu iekļautas </w:t>
            </w:r>
            <w:r w:rsidR="00D46F76">
              <w:t>Latvijas</w:t>
            </w:r>
            <w:r>
              <w:t xml:space="preserve"> normatīvajos aktos, noteikumu Nr.354 8. pielikumā noteiktās  kosmētikas līdzekļu sastāvā esošo ķīmisko vielu noteikšanas metodes jāiekļauj projekta 2. pielikumā.</w:t>
            </w:r>
          </w:p>
          <w:p w:rsidR="00082CF4" w:rsidRDefault="00082CF4" w:rsidP="00784A51">
            <w:pPr>
              <w:jc w:val="both"/>
            </w:pPr>
          </w:p>
          <w:p w:rsidR="00082CF4" w:rsidRDefault="00082CF4" w:rsidP="00082CF4">
            <w:pPr>
              <w:tabs>
                <w:tab w:val="left" w:pos="284"/>
              </w:tabs>
              <w:overflowPunct w:val="0"/>
              <w:autoSpaceDE w:val="0"/>
              <w:autoSpaceDN w:val="0"/>
              <w:adjustRightInd w:val="0"/>
              <w:spacing w:before="120"/>
              <w:jc w:val="both"/>
              <w:textAlignment w:val="baseline"/>
              <w:rPr>
                <w:szCs w:val="28"/>
              </w:rPr>
            </w:pPr>
            <w:r>
              <w:rPr>
                <w:szCs w:val="28"/>
              </w:rPr>
              <w:t>5. P</w:t>
            </w:r>
            <w:r w:rsidR="00EF4947">
              <w:rPr>
                <w:szCs w:val="28"/>
              </w:rPr>
              <w:t>ašlaik</w:t>
            </w:r>
            <w:r w:rsidRPr="008D3953">
              <w:rPr>
                <w:szCs w:val="28"/>
              </w:rPr>
              <w:t xml:space="preserve"> noteikumu Nr.354 9.pielikumā ir doti kosmētikas līdzekļu mikrobioloģiskās tīrības kritēriji, kurus nepieciešams pārņemt projektā.</w:t>
            </w:r>
            <w:r>
              <w:rPr>
                <w:szCs w:val="28"/>
              </w:rPr>
              <w:t xml:space="preserve"> Tas nepieciešams, lai nodrošinātu atbalstu mazajiem uzņēmumiem, kuru resursi parasti nav pietiekami kvalificētu speciālistu pieņemšanai, lai patstāvīgi izstrādātu </w:t>
            </w:r>
            <w:r w:rsidRPr="008D3953">
              <w:rPr>
                <w:szCs w:val="28"/>
              </w:rPr>
              <w:t xml:space="preserve">mikrobioloģiskās tīrības </w:t>
            </w:r>
            <w:r>
              <w:rPr>
                <w:szCs w:val="28"/>
              </w:rPr>
              <w:t xml:space="preserve">kritērijus kosmētikas līdzekļa drošuma pamatojumam. Uzraudzības iestādei  nepieciešami normatīvajos aktos noteikti mikrobioloģiskās tīrības kritēriji, lai veicot uzraudzības funkcijas, uz tiem atsauktos, uzdodot pārtraukt neatbilstošu kosmētikas līdzekļu laišanu tirgū vai izplatīšanu. </w:t>
            </w:r>
          </w:p>
          <w:p w:rsidR="00082CF4" w:rsidRDefault="00082CF4" w:rsidP="00082CF4">
            <w:pPr>
              <w:tabs>
                <w:tab w:val="left" w:pos="284"/>
              </w:tabs>
              <w:ind w:left="57"/>
              <w:jc w:val="both"/>
              <w:rPr>
                <w:szCs w:val="28"/>
              </w:rPr>
            </w:pPr>
            <w:r w:rsidRPr="00A92E49">
              <w:t>Kā tīrības kritērijs norādīti mezofilie aerobie mikroorganismi – baktērijas vai raugi, jo tie atzīti kā patogēni, kas var radīt draudus cilvēka veselībai  un liecināt par trūkumiem higiēnas prasību ievērošanā ražošanā.</w:t>
            </w:r>
            <w:r>
              <w:t xml:space="preserve"> Savukārt </w:t>
            </w:r>
            <w:r w:rsidRPr="00A92E49">
              <w:rPr>
                <w:szCs w:val="28"/>
              </w:rPr>
              <w:t xml:space="preserve">tādu potenciāli patogēnu mikroorganismu klātbūtne kā </w:t>
            </w:r>
            <w:r w:rsidRPr="00A92E49">
              <w:rPr>
                <w:i/>
                <w:szCs w:val="28"/>
              </w:rPr>
              <w:t>Staphylococcus aureus, Pseudomonas aeruginosa,  Candida albicans</w:t>
            </w:r>
            <w:r>
              <w:rPr>
                <w:i/>
                <w:szCs w:val="28"/>
              </w:rPr>
              <w:t xml:space="preserve">, </w:t>
            </w:r>
            <w:r w:rsidRPr="00E72BA8">
              <w:rPr>
                <w:szCs w:val="28"/>
              </w:rPr>
              <w:t>k</w:t>
            </w:r>
            <w:r w:rsidRPr="00C06D2D">
              <w:t>osmētik</w:t>
            </w:r>
            <w:r>
              <w:t xml:space="preserve">as līdzekļos nav </w:t>
            </w:r>
            <w:r w:rsidRPr="00A92E49">
              <w:rPr>
                <w:szCs w:val="28"/>
              </w:rPr>
              <w:t>pieļaujama</w:t>
            </w:r>
            <w:r>
              <w:rPr>
                <w:i/>
                <w:szCs w:val="28"/>
              </w:rPr>
              <w:t>.</w:t>
            </w:r>
            <w:r>
              <w:rPr>
                <w:szCs w:val="28"/>
              </w:rPr>
              <w:t xml:space="preserve"> </w:t>
            </w:r>
          </w:p>
          <w:p w:rsidR="00AE054B" w:rsidRDefault="00AE054B" w:rsidP="00784A51">
            <w:pPr>
              <w:jc w:val="both"/>
            </w:pPr>
          </w:p>
          <w:p w:rsidR="000F6EF1" w:rsidRDefault="00082CF4" w:rsidP="00784A51">
            <w:pPr>
              <w:jc w:val="both"/>
            </w:pPr>
            <w:r>
              <w:t>6</w:t>
            </w:r>
            <w:r w:rsidR="00DA2F53">
              <w:t xml:space="preserve">. Saskaņā </w:t>
            </w:r>
            <w:r w:rsidR="000036C5">
              <w:t>ar regulas</w:t>
            </w:r>
            <w:r w:rsidR="000036C5" w:rsidRPr="00797595">
              <w:t xml:space="preserve"> Nr.1223/2009</w:t>
            </w:r>
            <w:r w:rsidR="000036C5">
              <w:t xml:space="preserve"> 19. panta 5.punktu, dalībvalstis nosaka valodu, kādā tiks sniegta marķējumā norādāmā informācija, izņemot sastāvdaļu sarakstu un atbildīgās personas vārdu vai reģistrētā </w:t>
            </w:r>
            <w:r w:rsidR="000F6EF1">
              <w:t>komersanta nosaukumu un adresi.</w:t>
            </w:r>
            <w:r w:rsidR="00E11103">
              <w:t xml:space="preserve"> Projektā nepieciešams noteikt valodu</w:t>
            </w:r>
            <w:r w:rsidR="006207E4">
              <w:t>, kādā tiek sniegta minētā informācija.</w:t>
            </w:r>
            <w:r w:rsidR="005354A2">
              <w:t xml:space="preserve"> </w:t>
            </w:r>
            <w:r w:rsidR="00423F21" w:rsidRPr="00423F21">
              <w:rPr>
                <w:color w:val="000000"/>
              </w:rPr>
              <w:t xml:space="preserve">Regulas Nr.1223/2009 izpratnē, kas uzskatāma par speciālo tiesību normu, kas nosaka prasības kosmētikas līdzekļiem, termins „importētājs” attiecas uz fizisko vai juridisko personu, kas reģistrēta Kopienā un laiž kādas trešās valsts kosmētikas līdzekli Kopienas tirgū. Līdz ar to regulas izpratnē importēta prece ir prece, kas ievesta no valsts, kas nav Eiropas Savienības dalībvalsts. Turpretim vispārējā tiesību norma Valsts valodas likumā neierobežo importētas preces izpratni, bet attiecina to uz jebkuru preci, kas ievesta Latvijā no citas valsts. Tādēļ projekts nosaka, ka Regulā Nr.1223/2009, kas uzskatāma par speciālo tiesību normu, kas nosaka marķējuma prasības </w:t>
            </w:r>
            <w:r w:rsidR="00423F21" w:rsidRPr="00423F21">
              <w:rPr>
                <w:color w:val="000000"/>
              </w:rPr>
              <w:lastRenderedPageBreak/>
              <w:t>kosmētikas līdzekļiem, paredzētā informācija marķējumā valsts valodā jānorāda gan Latvijā ražotiem, gan importētiem, gan  izplatītiem kosmētikas līdzekļiem.</w:t>
            </w:r>
          </w:p>
          <w:p w:rsidR="000B4FA9" w:rsidRPr="00946B47" w:rsidRDefault="002508F4" w:rsidP="000B4FA9">
            <w:pPr>
              <w:tabs>
                <w:tab w:val="left" w:pos="284"/>
              </w:tabs>
              <w:overflowPunct w:val="0"/>
              <w:autoSpaceDE w:val="0"/>
              <w:autoSpaceDN w:val="0"/>
              <w:adjustRightInd w:val="0"/>
              <w:spacing w:before="120"/>
              <w:jc w:val="both"/>
              <w:textAlignment w:val="baseline"/>
              <w:rPr>
                <w:szCs w:val="28"/>
              </w:rPr>
            </w:pPr>
            <w:r>
              <w:t>7</w:t>
            </w:r>
            <w:r w:rsidR="000F6EF1">
              <w:t>. Saskaņā ar regulas</w:t>
            </w:r>
            <w:r w:rsidR="000F6EF1" w:rsidRPr="00797595">
              <w:t xml:space="preserve"> Nr.1223/2009</w:t>
            </w:r>
            <w:r w:rsidR="000F6EF1">
              <w:t xml:space="preserve"> 19. panta 4.punktu, kosmētikas līdzekļiem, kas nav fasēti vai tiek fasēti pārdošanas vietā</w:t>
            </w:r>
            <w:r w:rsidR="006207E4">
              <w:t xml:space="preserve">, </w:t>
            </w:r>
            <w:r w:rsidR="000F6EF1">
              <w:t xml:space="preserve">ir nepieciešams norādīt </w:t>
            </w:r>
            <w:r w:rsidR="00E3639B" w:rsidRPr="006E5BB6">
              <w:t xml:space="preserve">19.panta 1.punktā </w:t>
            </w:r>
            <w:r w:rsidR="000F6EF1" w:rsidRPr="006E5BB6">
              <w:t>noteikt</w:t>
            </w:r>
            <w:r w:rsidR="00E3639B" w:rsidRPr="006E5BB6">
              <w:t>o</w:t>
            </w:r>
            <w:r w:rsidR="000F6EF1">
              <w:t xml:space="preserve"> informāciju. Tādējādi projektā paredzēts, ka šo informāciju </w:t>
            </w:r>
            <w:r w:rsidR="00C908C6">
              <w:t>pievieno</w:t>
            </w:r>
            <w:r w:rsidR="000F6EF1">
              <w:t xml:space="preserve"> anotācijā vai etiķetē.</w:t>
            </w:r>
            <w:r w:rsidR="000B4FA9" w:rsidRPr="002D37F9">
              <w:rPr>
                <w:szCs w:val="28"/>
              </w:rPr>
              <w:t xml:space="preserve"> </w:t>
            </w:r>
            <w:r w:rsidR="000B4FA9">
              <w:rPr>
                <w:szCs w:val="28"/>
              </w:rPr>
              <w:t>A</w:t>
            </w:r>
            <w:r w:rsidR="000B4FA9" w:rsidRPr="002D37F9">
              <w:rPr>
                <w:szCs w:val="28"/>
              </w:rPr>
              <w:t xml:space="preserve">tbilstoši </w:t>
            </w:r>
            <w:r w:rsidR="000B4FA9">
              <w:t>regulas</w:t>
            </w:r>
            <w:r w:rsidR="000B4FA9" w:rsidRPr="00797595">
              <w:t xml:space="preserve"> Nr.1223/2009</w:t>
            </w:r>
            <w:r w:rsidR="000B4FA9">
              <w:t xml:space="preserve"> </w:t>
            </w:r>
            <w:r w:rsidR="000B4FA9" w:rsidRPr="002D37F9">
              <w:rPr>
                <w:szCs w:val="28"/>
              </w:rPr>
              <w:t>19.panta 4.punktam</w:t>
            </w:r>
            <w:r w:rsidR="000B4FA9">
              <w:rPr>
                <w:szCs w:val="28"/>
              </w:rPr>
              <w:t>,</w:t>
            </w:r>
            <w:r w:rsidR="000B4FA9" w:rsidRPr="002D37F9">
              <w:rPr>
                <w:szCs w:val="28"/>
              </w:rPr>
              <w:t xml:space="preserve"> dalībvalstis pieņem noteikumus, kā norādīt marķējumā obligātos datus iepriekš nefasētiem kosmētikas līdzekļiem. Tādēļ projekts nosaka, ka jāveic nepieciešamie pasākumi, lai nodrošinātu un spētu demonstrēt, ka pārdošanas vietā pēc pircēja pieprasījuma fasētam vai tūlītējai pārdošanai fasētam kosmētikas līdzeklim pievienotais marķējums nepārprotami attiecināms uz šo kosmētikas līdzekli.</w:t>
            </w:r>
          </w:p>
          <w:p w:rsidR="00AE054B" w:rsidRDefault="00AE054B" w:rsidP="00784A51">
            <w:pPr>
              <w:jc w:val="both"/>
            </w:pPr>
          </w:p>
          <w:p w:rsidR="00AE054B" w:rsidRDefault="002508F4" w:rsidP="00AE054B">
            <w:pPr>
              <w:spacing w:after="60"/>
              <w:jc w:val="both"/>
              <w:rPr>
                <w:szCs w:val="28"/>
              </w:rPr>
            </w:pPr>
            <w:r>
              <w:t>8</w:t>
            </w:r>
            <w:r w:rsidR="00AE054B">
              <w:t xml:space="preserve">. </w:t>
            </w:r>
            <w:r w:rsidR="00AE054B">
              <w:rPr>
                <w:szCs w:val="28"/>
              </w:rPr>
              <w:t>P</w:t>
            </w:r>
            <w:r w:rsidR="00AE054B" w:rsidRPr="00A2117A">
              <w:rPr>
                <w:szCs w:val="28"/>
              </w:rPr>
              <w:t xml:space="preserve">amatojoties uz to, ka </w:t>
            </w:r>
            <w:r w:rsidR="000B4FA9">
              <w:rPr>
                <w:szCs w:val="28"/>
              </w:rPr>
              <w:t xml:space="preserve">Ekonomikas ministrijā un </w:t>
            </w:r>
            <w:r w:rsidR="00AE054B">
              <w:rPr>
                <w:szCs w:val="28"/>
              </w:rPr>
              <w:t>Veselības i</w:t>
            </w:r>
            <w:r w:rsidR="00AE054B" w:rsidRPr="00A2117A">
              <w:rPr>
                <w:szCs w:val="28"/>
              </w:rPr>
              <w:t>ns</w:t>
            </w:r>
            <w:r w:rsidR="00400B19">
              <w:rPr>
                <w:szCs w:val="28"/>
              </w:rPr>
              <w:t>pekcijā vērsā</w:t>
            </w:r>
            <w:r w:rsidR="00AE054B">
              <w:rPr>
                <w:szCs w:val="28"/>
              </w:rPr>
              <w:t>s uzņēmēji, kuriem</w:t>
            </w:r>
            <w:r w:rsidR="00AE054B" w:rsidRPr="00A2117A">
              <w:rPr>
                <w:szCs w:val="28"/>
              </w:rPr>
              <w:t xml:space="preserve"> kosmētikas līdzekļu eksportam uz valstīm</w:t>
            </w:r>
            <w:r w:rsidR="00AE054B">
              <w:rPr>
                <w:szCs w:val="28"/>
              </w:rPr>
              <w:t>, kas atrodas</w:t>
            </w:r>
            <w:r w:rsidR="00AE054B" w:rsidRPr="00A2117A">
              <w:rPr>
                <w:szCs w:val="28"/>
              </w:rPr>
              <w:t xml:space="preserve"> ārpus Eirop</w:t>
            </w:r>
            <w:r w:rsidR="00AE054B">
              <w:rPr>
                <w:szCs w:val="28"/>
              </w:rPr>
              <w:t>as Savienības,</w:t>
            </w:r>
            <w:r w:rsidR="00AE054B" w:rsidRPr="00A2117A">
              <w:rPr>
                <w:szCs w:val="28"/>
              </w:rPr>
              <w:t xml:space="preserve"> nepieciešami</w:t>
            </w:r>
            <w:r w:rsidR="00AE054B">
              <w:rPr>
                <w:szCs w:val="28"/>
              </w:rPr>
              <w:t xml:space="preserve"> valsts institūcijas izdoti apliecinoši</w:t>
            </w:r>
            <w:r w:rsidR="00AE054B" w:rsidRPr="00A2117A">
              <w:rPr>
                <w:szCs w:val="28"/>
              </w:rPr>
              <w:t xml:space="preserve"> dokumenti par kosmētikas līdzekļa laišanu </w:t>
            </w:r>
            <w:r w:rsidR="00AE054B">
              <w:rPr>
                <w:szCs w:val="28"/>
              </w:rPr>
              <w:t>Latvijas</w:t>
            </w:r>
            <w:r w:rsidR="00AE054B" w:rsidRPr="00A2117A">
              <w:rPr>
                <w:szCs w:val="28"/>
              </w:rPr>
              <w:t xml:space="preserve"> tirgū</w:t>
            </w:r>
            <w:r w:rsidR="00AE054B">
              <w:rPr>
                <w:szCs w:val="28"/>
              </w:rPr>
              <w:t>,</w:t>
            </w:r>
            <w:r w:rsidR="000B4FA9">
              <w:rPr>
                <w:szCs w:val="28"/>
              </w:rPr>
              <w:t xml:space="preserve"> vienojoties ar Ekonomikas ministriju, ka Brīvās tirdzniecības sertifikāts (turpmāk- BTS)  jāizsniedz kompetentajai iestādei, </w:t>
            </w:r>
            <w:r w:rsidR="00AE054B">
              <w:rPr>
                <w:szCs w:val="28"/>
              </w:rPr>
              <w:t>noteikumos Nr.354 tika iekļauta norma</w:t>
            </w:r>
            <w:r w:rsidR="00AE054B" w:rsidRPr="00A2117A">
              <w:rPr>
                <w:szCs w:val="28"/>
              </w:rPr>
              <w:t xml:space="preserve"> par </w:t>
            </w:r>
            <w:r w:rsidR="00AE054B">
              <w:rPr>
                <w:szCs w:val="28"/>
              </w:rPr>
              <w:t xml:space="preserve">Brīvās tirdzniecības sertifikāta </w:t>
            </w:r>
            <w:r w:rsidR="00AE054B" w:rsidRPr="00A2117A">
              <w:rPr>
                <w:szCs w:val="28"/>
              </w:rPr>
              <w:t xml:space="preserve"> izdošanu Latvijas uzņēmumam, kurš ražo kosmētikas līdzekļus un iesniedzis </w:t>
            </w:r>
            <w:r w:rsidR="00AE054B">
              <w:rPr>
                <w:szCs w:val="28"/>
              </w:rPr>
              <w:t>Veselības i</w:t>
            </w:r>
            <w:r w:rsidR="00AE054B" w:rsidRPr="00A2117A">
              <w:rPr>
                <w:szCs w:val="28"/>
              </w:rPr>
              <w:t xml:space="preserve">nspekcijā informāciju saskaņā ar </w:t>
            </w:r>
            <w:r w:rsidR="00AE054B" w:rsidRPr="0036156A">
              <w:t xml:space="preserve">Ministru kabineta </w:t>
            </w:r>
            <w:r w:rsidR="00AE054B" w:rsidRPr="0036156A">
              <w:rPr>
                <w:noProof/>
              </w:rPr>
              <w:t>2004. gada 20. aprīļa noteikumos Nr. 354 „Noteikumi par būtiskajām prasībām kosmētikas līdzekļiem un to uzraudzības kārtību</w:t>
            </w:r>
            <w:r w:rsidR="00AE054B">
              <w:rPr>
                <w:noProof/>
              </w:rPr>
              <w:t>”</w:t>
            </w:r>
            <w:r w:rsidR="00AE054B" w:rsidRPr="00A2117A">
              <w:rPr>
                <w:szCs w:val="28"/>
              </w:rPr>
              <w:t xml:space="preserve"> 61., 62. un 62.</w:t>
            </w:r>
            <w:r w:rsidR="00AE054B" w:rsidRPr="00A2117A">
              <w:rPr>
                <w:szCs w:val="28"/>
                <w:vertAlign w:val="superscript"/>
              </w:rPr>
              <w:t xml:space="preserve">1 </w:t>
            </w:r>
            <w:r w:rsidR="00AE054B" w:rsidRPr="00A2117A">
              <w:rPr>
                <w:szCs w:val="28"/>
              </w:rPr>
              <w:t>punktu.</w:t>
            </w:r>
          </w:p>
          <w:p w:rsidR="00AE054B" w:rsidRPr="00F314F9" w:rsidRDefault="00AE054B" w:rsidP="00AE054B">
            <w:pPr>
              <w:spacing w:after="60"/>
              <w:jc w:val="both"/>
              <w:rPr>
                <w:szCs w:val="28"/>
              </w:rPr>
            </w:pPr>
            <w:r>
              <w:rPr>
                <w:szCs w:val="28"/>
              </w:rPr>
              <w:t xml:space="preserve">Norma par BTS izsniegšanu iekļaujama arī projektā, paredzot, ka </w:t>
            </w:r>
            <w:r w:rsidR="00BD2000">
              <w:rPr>
                <w:szCs w:val="28"/>
              </w:rPr>
              <w:t xml:space="preserve">Veselības inspekcija izsniedz BTS </w:t>
            </w:r>
            <w:r w:rsidR="00BD2000" w:rsidRPr="00A2117A">
              <w:rPr>
                <w:szCs w:val="28"/>
              </w:rPr>
              <w:t>Latvijas uzņēmumam, kurš ražo kosmētikas līdzekļus un iesniedzis</w:t>
            </w:r>
            <w:r w:rsidR="00BD2000">
              <w:rPr>
                <w:szCs w:val="28"/>
              </w:rPr>
              <w:t xml:space="preserve"> elektroniski Eiropas Komisijai nepieciešamo informāciju saskaņā ar </w:t>
            </w:r>
            <w:r w:rsidR="00BD2000">
              <w:t>regulas</w:t>
            </w:r>
            <w:r w:rsidR="00BD2000" w:rsidRPr="00797595">
              <w:t xml:space="preserve"> Nr.1223/2009</w:t>
            </w:r>
            <w:r w:rsidR="00BD2000">
              <w:t xml:space="preserve"> 13. </w:t>
            </w:r>
            <w:r w:rsidR="00C908C6">
              <w:t>p</w:t>
            </w:r>
            <w:r w:rsidR="00BD2000">
              <w:t>antu</w:t>
            </w:r>
            <w:r w:rsidR="00C908C6">
              <w:t xml:space="preserve"> (vai līdz 2013.gada11. jūlijam Veselības inspekcijai </w:t>
            </w:r>
            <w:r w:rsidR="00C908C6" w:rsidRPr="00F314F9">
              <w:t>saskaņā ar noteikumiem Nr. 354)</w:t>
            </w:r>
            <w:r w:rsidR="00BD2000" w:rsidRPr="00F314F9">
              <w:t>.</w:t>
            </w:r>
            <w:r w:rsidR="00A155B6" w:rsidRPr="00F314F9">
              <w:rPr>
                <w:color w:val="000000"/>
              </w:rPr>
              <w:t xml:space="preserve"> BTS sagatavošanai </w:t>
            </w:r>
            <w:r w:rsidR="00A155B6" w:rsidRPr="00F314F9">
              <w:t>Veselības inspekcijai</w:t>
            </w:r>
            <w:r w:rsidR="00A155B6" w:rsidRPr="00F314F9">
              <w:rPr>
                <w:color w:val="000000"/>
              </w:rPr>
              <w:t xml:space="preserve"> būtu nepieciešams saņemt dokumentus  no uzņēmēja elektroniskā veidā, jo veidlapas un tās pielikumu saņemšana elektroniskā formā ļautu saīsināt izsniedzamā dokumenta sagatavošanai nepieciešamo laiku un taupītu iestādes administratīvos resursus, īpaši, ņemot vērā, ka BTS  izsniegšana ir bezmaksas pakalpojums, savukārt, uzņēmējam tas  neradītu papildus administratīvo slogu.</w:t>
            </w:r>
          </w:p>
          <w:p w:rsidR="00AE054B" w:rsidRPr="00F109DD" w:rsidRDefault="00AE054B" w:rsidP="00AE054B">
            <w:pPr>
              <w:spacing w:after="80"/>
              <w:jc w:val="both"/>
            </w:pPr>
            <w:r w:rsidRPr="00141493">
              <w:rPr>
                <w:color w:val="000000"/>
              </w:rPr>
              <w:t xml:space="preserve"> </w:t>
            </w:r>
            <w:r w:rsidR="00FA4571">
              <w:rPr>
                <w:szCs w:val="28"/>
              </w:rPr>
              <w:t>BTS</w:t>
            </w:r>
            <w:r w:rsidRPr="002C51A4">
              <w:rPr>
                <w:bCs/>
              </w:rPr>
              <w:t xml:space="preserve"> netik</w:t>
            </w:r>
            <w:r>
              <w:rPr>
                <w:bCs/>
              </w:rPr>
              <w:t>s</w:t>
            </w:r>
            <w:r w:rsidRPr="002C51A4">
              <w:rPr>
                <w:bCs/>
              </w:rPr>
              <w:t xml:space="preserve"> izsniegts par k</w:t>
            </w:r>
            <w:r w:rsidRPr="002C51A4">
              <w:t xml:space="preserve">osmētikas līdzekļiem, kuri tiek ražoti vienīgi eksportam,  jo tie bieži tiek ražoti atbilstoši trešo valstu drošuma prasībām, kas </w:t>
            </w:r>
            <w:r w:rsidR="00054C28" w:rsidRPr="006E5BB6">
              <w:t>atšķiras no</w:t>
            </w:r>
            <w:r w:rsidR="00054C28">
              <w:t xml:space="preserve"> </w:t>
            </w:r>
            <w:r w:rsidRPr="002C51A4">
              <w:t>ES prasībām.</w:t>
            </w:r>
            <w:r w:rsidRPr="002C51A4">
              <w:rPr>
                <w:bCs/>
              </w:rPr>
              <w:t xml:space="preserve"> Eiropas normatīvie akti nenosaka šādu produktu kontroli un uzraudzību, līdz ar to par šādu kosmētikas līdzekļu atbilstības izvērtēšanu trešo valstu atbilstības prasībām ir atbildīgs pats uzņēmums. Nepieciešamo </w:t>
            </w:r>
            <w:r w:rsidR="00FA4571">
              <w:rPr>
                <w:bCs/>
              </w:rPr>
              <w:t>BTS</w:t>
            </w:r>
            <w:r w:rsidRPr="002C51A4">
              <w:rPr>
                <w:bCs/>
              </w:rPr>
              <w:t xml:space="preserve"> šajā gadījumā uzņēmums var</w:t>
            </w:r>
            <w:r>
              <w:rPr>
                <w:bCs/>
              </w:rPr>
              <w:t>ēs</w:t>
            </w:r>
            <w:r w:rsidRPr="002C51A4">
              <w:rPr>
                <w:bCs/>
              </w:rPr>
              <w:t xml:space="preserve"> saņemt akreditētā sertifikācijas iestādē „</w:t>
            </w:r>
            <w:r>
              <w:rPr>
                <w:bCs/>
              </w:rPr>
              <w:t>Latvijas sertifikācijas centrs”, kas jau šobrīd</w:t>
            </w:r>
            <w:r w:rsidRPr="002C51A4">
              <w:rPr>
                <w:bCs/>
              </w:rPr>
              <w:t xml:space="preserve">  </w:t>
            </w:r>
            <w:r>
              <w:rPr>
                <w:color w:val="000000"/>
              </w:rPr>
              <w:t>izsniedz</w:t>
            </w:r>
            <w:r>
              <w:t xml:space="preserve"> </w:t>
            </w:r>
            <w:r w:rsidR="00FA4571">
              <w:rPr>
                <w:color w:val="000000"/>
              </w:rPr>
              <w:t>BTS</w:t>
            </w:r>
            <w:r>
              <w:rPr>
                <w:color w:val="000000"/>
              </w:rPr>
              <w:t>, kas apliecina produkta kvalitāti un atbilstību prasībām.</w:t>
            </w:r>
          </w:p>
          <w:p w:rsidR="00AE054B" w:rsidRDefault="00AE054B" w:rsidP="00AE054B">
            <w:pPr>
              <w:spacing w:after="60"/>
              <w:jc w:val="both"/>
              <w:rPr>
                <w:color w:val="000000"/>
              </w:rPr>
            </w:pPr>
            <w:r>
              <w:rPr>
                <w:color w:val="000000"/>
              </w:rPr>
              <w:t xml:space="preserve">Daudzu pasaules valstu </w:t>
            </w:r>
            <w:r w:rsidR="006207E4">
              <w:rPr>
                <w:color w:val="000000"/>
              </w:rPr>
              <w:t>normatīvie akti</w:t>
            </w:r>
            <w:r>
              <w:rPr>
                <w:color w:val="000000"/>
              </w:rPr>
              <w:t xml:space="preserve"> nosaka, ka ārvalstu uzņēmumiem, kas vēlas ienākt to tirgos, ir jāuzrāda </w:t>
            </w:r>
            <w:r w:rsidR="00FA4571">
              <w:rPr>
                <w:color w:val="000000"/>
              </w:rPr>
              <w:t>BTS</w:t>
            </w:r>
            <w:r>
              <w:rPr>
                <w:color w:val="000000"/>
              </w:rPr>
              <w:t xml:space="preserve"> (Free sale certificate), kas ir produkta izcelsmes valsts kompetentās institūcijas izdots apliecinājums, ka attiecīgais produkts tiek brīvi pārdots tā izcelsmes valstī.</w:t>
            </w:r>
          </w:p>
          <w:p w:rsidR="00AE054B" w:rsidRDefault="006207E4" w:rsidP="00AE054B">
            <w:pPr>
              <w:spacing w:after="60"/>
              <w:jc w:val="both"/>
              <w:rPr>
                <w:color w:val="000000"/>
              </w:rPr>
            </w:pPr>
            <w:r>
              <w:rPr>
                <w:color w:val="000000"/>
              </w:rPr>
              <w:t xml:space="preserve">Saskaņā ar šo valstu normatīvajiem aktiem, </w:t>
            </w:r>
            <w:r w:rsidR="00FA4571">
              <w:rPr>
                <w:color w:val="000000"/>
              </w:rPr>
              <w:t>BTS</w:t>
            </w:r>
            <w:r w:rsidR="00AE054B">
              <w:rPr>
                <w:color w:val="000000"/>
              </w:rPr>
              <w:t xml:space="preserve"> parasti </w:t>
            </w:r>
            <w:r>
              <w:rPr>
                <w:color w:val="000000"/>
              </w:rPr>
              <w:t>nepieciešams</w:t>
            </w:r>
            <w:r w:rsidR="00AE054B">
              <w:rPr>
                <w:color w:val="000000"/>
              </w:rPr>
              <w:t xml:space="preserve"> uzrādīt kosmētikas, farmācijas, ķīmijas vai pārtikas produktiem, medicīnas ierīcēm.</w:t>
            </w:r>
          </w:p>
          <w:p w:rsidR="00AE054B" w:rsidRDefault="00AE054B" w:rsidP="00AE054B">
            <w:pPr>
              <w:spacing w:after="60"/>
              <w:jc w:val="both"/>
              <w:rPr>
                <w:color w:val="000000"/>
              </w:rPr>
            </w:pPr>
            <w:r>
              <w:rPr>
                <w:color w:val="000000"/>
              </w:rPr>
              <w:lastRenderedPageBreak/>
              <w:t xml:space="preserve">Eiropas </w:t>
            </w:r>
            <w:r w:rsidR="00054C28">
              <w:rPr>
                <w:color w:val="000000"/>
              </w:rPr>
              <w:t>S</w:t>
            </w:r>
            <w:r>
              <w:rPr>
                <w:color w:val="000000"/>
              </w:rPr>
              <w:t xml:space="preserve">avienībā šim jautājumam nav vienotas pieejas, katra dalībvalsts izvēlas sev ērtāko </w:t>
            </w:r>
            <w:r w:rsidR="00FA4571">
              <w:rPr>
                <w:color w:val="000000"/>
              </w:rPr>
              <w:t>BTS</w:t>
            </w:r>
            <w:r>
              <w:rPr>
                <w:color w:val="000000"/>
              </w:rPr>
              <w:t xml:space="preserve"> izsniegšanas kārtību. Ir valstis, kur to izsniedz valsts iestādes (Apvienotā Karaliste, Nīderlande, Somija, Itālija) un ir valstis, kur tos izsniedz nozaru asociācijas (Polija) vai tirdzniecības kameras (Vācija, Čehija).</w:t>
            </w:r>
          </w:p>
          <w:p w:rsidR="00F125BC" w:rsidRPr="009B492E" w:rsidRDefault="002508F4" w:rsidP="009B492E">
            <w:pPr>
              <w:spacing w:after="60"/>
              <w:jc w:val="both"/>
              <w:rPr>
                <w:color w:val="000000"/>
              </w:rPr>
            </w:pPr>
            <w:r>
              <w:rPr>
                <w:color w:val="000000"/>
              </w:rPr>
              <w:t>9</w:t>
            </w:r>
            <w:r w:rsidR="00BD2000">
              <w:rPr>
                <w:color w:val="000000"/>
              </w:rPr>
              <w:t xml:space="preserve">. </w:t>
            </w:r>
            <w:r w:rsidR="00E451FE">
              <w:rPr>
                <w:color w:val="000000"/>
              </w:rPr>
              <w:t xml:space="preserve">Saskaņā ar direktīvu </w:t>
            </w:r>
            <w:r w:rsidR="00E451FE">
              <w:rPr>
                <w:rStyle w:val="st1"/>
                <w:color w:val="222222"/>
              </w:rPr>
              <w:t>Nr. 76/768/E</w:t>
            </w:r>
            <w:r w:rsidR="00FA4571">
              <w:rPr>
                <w:rStyle w:val="st1"/>
                <w:color w:val="222222"/>
              </w:rPr>
              <w:t>E</w:t>
            </w:r>
            <w:r w:rsidR="00E451FE">
              <w:rPr>
                <w:rStyle w:val="st1"/>
                <w:color w:val="222222"/>
              </w:rPr>
              <w:t xml:space="preserve">K tika izveidota un uzturēta Kosmētikas līdzekļu datu bāze, kas satur informāciju par uzņēmumu un atbildīgo personu kā arī par kosmētikas līdzekļiem un to kvalitatīvo un kvantitatīvo sastāvu (informācija par sastāvu izmantojama vienīgi medicīniskiem mērķiem). </w:t>
            </w:r>
            <w:r w:rsidR="00E451FE">
              <w:t>Saskaņā ar regulas</w:t>
            </w:r>
            <w:r w:rsidR="00E451FE" w:rsidRPr="00797595">
              <w:t xml:space="preserve"> Nr.1223/2009</w:t>
            </w:r>
            <w:r w:rsidR="00E451FE">
              <w:t xml:space="preserve"> 38. panta 4</w:t>
            </w:r>
            <w:r w:rsidR="006207E4">
              <w:t>.</w:t>
            </w:r>
            <w:r w:rsidR="00E451FE">
              <w:t xml:space="preserve"> daļu, projekts nosaka, ka Veselības inspekcija saglabā šo informāciju</w:t>
            </w:r>
            <w:r w:rsidR="006207E4">
              <w:t xml:space="preserve"> par kosmētikas līdzekļiem un to sastāvu</w:t>
            </w:r>
            <w:r w:rsidR="00E451FE">
              <w:t xml:space="preserve"> un nepieciešamības gadījumā nodrošina </w:t>
            </w:r>
            <w:r w:rsidR="009B492E">
              <w:t>tai pieeju līdz 2020.gada 11.jūlijam</w:t>
            </w:r>
            <w:r w:rsidR="009B492E">
              <w:rPr>
                <w:color w:val="000000"/>
              </w:rPr>
              <w:t>.</w:t>
            </w:r>
          </w:p>
          <w:p w:rsidR="003A1DE1" w:rsidRPr="00E971BF" w:rsidRDefault="003A1DE1" w:rsidP="00655CB1">
            <w:pPr>
              <w:ind w:left="-74"/>
              <w:jc w:val="both"/>
              <w:rPr>
                <w:color w:val="000000"/>
              </w:rPr>
            </w:pPr>
          </w:p>
        </w:tc>
      </w:tr>
      <w:tr w:rsidR="002D3157" w:rsidRPr="00E971BF" w:rsidTr="00EF4947">
        <w:tc>
          <w:tcPr>
            <w:tcW w:w="296" w:type="pct"/>
          </w:tcPr>
          <w:p w:rsidR="002D3157" w:rsidRPr="00E971BF" w:rsidRDefault="002D3157" w:rsidP="002D3157">
            <w:pPr>
              <w:spacing w:before="100" w:beforeAutospacing="1" w:after="100" w:afterAutospacing="1"/>
              <w:jc w:val="both"/>
              <w:rPr>
                <w:color w:val="000000"/>
              </w:rPr>
            </w:pPr>
            <w:r w:rsidRPr="00E971BF">
              <w:rPr>
                <w:color w:val="000000"/>
              </w:rPr>
              <w:lastRenderedPageBreak/>
              <w:t>3.</w:t>
            </w:r>
          </w:p>
        </w:tc>
        <w:tc>
          <w:tcPr>
            <w:tcW w:w="581" w:type="pct"/>
          </w:tcPr>
          <w:p w:rsidR="002D3157" w:rsidRPr="00E971BF" w:rsidRDefault="002D3157" w:rsidP="002D3157">
            <w:pPr>
              <w:spacing w:before="100" w:beforeAutospacing="1" w:after="100" w:afterAutospacing="1"/>
              <w:jc w:val="both"/>
              <w:rPr>
                <w:color w:val="000000"/>
              </w:rPr>
            </w:pPr>
            <w:r w:rsidRPr="00E971BF">
              <w:rPr>
                <w:color w:val="000000"/>
              </w:rPr>
              <w:t>Saistītie politikas ietekmes novērtējumi un pētījumi</w:t>
            </w:r>
          </w:p>
        </w:tc>
        <w:tc>
          <w:tcPr>
            <w:tcW w:w="4123" w:type="pct"/>
          </w:tcPr>
          <w:p w:rsidR="002D3157" w:rsidRPr="00E971BF" w:rsidRDefault="00B7643E" w:rsidP="002D3157">
            <w:pPr>
              <w:spacing w:before="100" w:beforeAutospacing="1" w:after="100" w:afterAutospacing="1"/>
              <w:jc w:val="both"/>
              <w:rPr>
                <w:color w:val="000000"/>
              </w:rPr>
            </w:pPr>
            <w:r w:rsidRPr="00E971BF">
              <w:rPr>
                <w:color w:val="000000"/>
              </w:rPr>
              <w:t>Nav</w:t>
            </w:r>
            <w:r w:rsidR="00703DB7" w:rsidRPr="00E971BF">
              <w:rPr>
                <w:color w:val="000000"/>
              </w:rPr>
              <w:t xml:space="preserve"> attiecināms</w:t>
            </w:r>
            <w:r w:rsidR="00EE7183" w:rsidRPr="00E971BF">
              <w:rPr>
                <w:color w:val="000000"/>
              </w:rPr>
              <w:t>.</w:t>
            </w:r>
          </w:p>
        </w:tc>
      </w:tr>
      <w:tr w:rsidR="002D3157" w:rsidRPr="00E971BF" w:rsidTr="00EF4947">
        <w:tc>
          <w:tcPr>
            <w:tcW w:w="296" w:type="pct"/>
          </w:tcPr>
          <w:p w:rsidR="002D3157" w:rsidRPr="00E971BF" w:rsidRDefault="002D3157" w:rsidP="002D3157">
            <w:pPr>
              <w:spacing w:before="100" w:beforeAutospacing="1" w:after="100" w:afterAutospacing="1"/>
              <w:jc w:val="both"/>
              <w:rPr>
                <w:color w:val="000000"/>
              </w:rPr>
            </w:pPr>
            <w:r w:rsidRPr="00E971BF">
              <w:rPr>
                <w:color w:val="000000"/>
              </w:rPr>
              <w:t>4.</w:t>
            </w:r>
          </w:p>
        </w:tc>
        <w:tc>
          <w:tcPr>
            <w:tcW w:w="581" w:type="pct"/>
          </w:tcPr>
          <w:p w:rsidR="002D3157" w:rsidRPr="00E971BF" w:rsidRDefault="002D3157" w:rsidP="002D3157">
            <w:pPr>
              <w:spacing w:before="100" w:beforeAutospacing="1" w:after="100" w:afterAutospacing="1"/>
              <w:jc w:val="both"/>
              <w:rPr>
                <w:color w:val="000000"/>
              </w:rPr>
            </w:pPr>
            <w:r w:rsidRPr="00E971BF">
              <w:rPr>
                <w:color w:val="000000"/>
              </w:rPr>
              <w:t>Tiesiskā regulējuma mērķis un būtība</w:t>
            </w:r>
          </w:p>
        </w:tc>
        <w:tc>
          <w:tcPr>
            <w:tcW w:w="4123" w:type="pct"/>
          </w:tcPr>
          <w:p w:rsidR="00DD0E43" w:rsidRDefault="00DD0E43" w:rsidP="004258E5">
            <w:pPr>
              <w:jc w:val="both"/>
            </w:pPr>
            <w:r>
              <w:rPr>
                <w:rStyle w:val="Strong"/>
                <w:b w:val="0"/>
                <w:bCs w:val="0"/>
              </w:rPr>
              <w:t>P</w:t>
            </w:r>
            <w:r w:rsidR="004258E5" w:rsidRPr="00E971BF">
              <w:rPr>
                <w:rStyle w:val="Strong"/>
                <w:b w:val="0"/>
                <w:bCs w:val="0"/>
              </w:rPr>
              <w:t xml:space="preserve">rojekta mērķis ir </w:t>
            </w:r>
            <w:r>
              <w:rPr>
                <w:rStyle w:val="Strong"/>
                <w:b w:val="0"/>
                <w:bCs w:val="0"/>
              </w:rPr>
              <w:t>nodrošināt</w:t>
            </w:r>
            <w:r w:rsidR="00D10995" w:rsidRPr="00E971BF">
              <w:t xml:space="preserve"> </w:t>
            </w:r>
            <w:r>
              <w:t>regulas</w:t>
            </w:r>
            <w:r w:rsidR="00D10995" w:rsidRPr="00E971BF">
              <w:t xml:space="preserve"> Nr. </w:t>
            </w:r>
            <w:hyperlink r:id="rId10" w:tgtFrame="_blank" w:tooltip="Atvērt regulu latviešu valodā" w:history="1">
              <w:r w:rsidR="00D10995" w:rsidRPr="00E971BF">
                <w:rPr>
                  <w:rStyle w:val="Hyperlink"/>
                </w:rPr>
                <w:t>1223/2009</w:t>
              </w:r>
            </w:hyperlink>
            <w:r w:rsidR="00D10995" w:rsidRPr="00E971BF">
              <w:t xml:space="preserve"> </w:t>
            </w:r>
            <w:r w:rsidR="00FA4571">
              <w:t>prasību</w:t>
            </w:r>
            <w:r w:rsidR="00D10995" w:rsidRPr="00E971BF">
              <w:t xml:space="preserve"> </w:t>
            </w:r>
            <w:r>
              <w:t>ieviešanu.</w:t>
            </w:r>
            <w:r w:rsidR="004258E5" w:rsidRPr="00E971BF">
              <w:t xml:space="preserve"> </w:t>
            </w:r>
          </w:p>
          <w:p w:rsidR="00DD0E43" w:rsidRDefault="00DD0E43" w:rsidP="004258E5">
            <w:pPr>
              <w:jc w:val="both"/>
            </w:pPr>
            <w:r>
              <w:t>Projekts</w:t>
            </w:r>
            <w:r w:rsidR="006207E4">
              <w:t xml:space="preserve"> ietver normas,</w:t>
            </w:r>
            <w:r w:rsidR="00054C28">
              <w:t xml:space="preserve"> </w:t>
            </w:r>
            <w:r w:rsidR="006207E4">
              <w:t>kas</w:t>
            </w:r>
            <w:r>
              <w:t>:</w:t>
            </w:r>
          </w:p>
          <w:p w:rsidR="004258E5" w:rsidRDefault="00BF739C" w:rsidP="00DD0E43">
            <w:pPr>
              <w:jc w:val="both"/>
              <w:rPr>
                <w:rFonts w:eastAsia="EUAlbertina-Bold-Identity-H"/>
              </w:rPr>
            </w:pPr>
            <w:r>
              <w:t>1)</w:t>
            </w:r>
            <w:r w:rsidR="00DD0E43">
              <w:t xml:space="preserve"> </w:t>
            </w:r>
            <w:r w:rsidR="00EA117B">
              <w:t>N</w:t>
            </w:r>
            <w:r w:rsidR="00DD0E43">
              <w:t xml:space="preserve">osaka </w:t>
            </w:r>
            <w:r w:rsidR="004258E5" w:rsidRPr="00E971BF">
              <w:t xml:space="preserve">nepieciešamo </w:t>
            </w:r>
            <w:r w:rsidR="004258E5" w:rsidRPr="00E971BF">
              <w:rPr>
                <w:rStyle w:val="Strong"/>
                <w:b w:val="0"/>
                <w:bCs w:val="0"/>
              </w:rPr>
              <w:t xml:space="preserve">kompetento </w:t>
            </w:r>
            <w:r w:rsidR="00DD0E43">
              <w:rPr>
                <w:rStyle w:val="Strong"/>
                <w:b w:val="0"/>
                <w:bCs w:val="0"/>
              </w:rPr>
              <w:t>iestādi</w:t>
            </w:r>
            <w:r w:rsidR="004258E5" w:rsidRPr="00E971BF">
              <w:rPr>
                <w:rStyle w:val="Strong"/>
                <w:b w:val="0"/>
                <w:bCs w:val="0"/>
              </w:rPr>
              <w:t xml:space="preserve"> – </w:t>
            </w:r>
            <w:r w:rsidR="00D10995">
              <w:rPr>
                <w:rStyle w:val="Strong"/>
                <w:b w:val="0"/>
                <w:bCs w:val="0"/>
              </w:rPr>
              <w:t>Veselības inspekciju</w:t>
            </w:r>
            <w:r w:rsidR="004258E5" w:rsidRPr="00E971BF">
              <w:rPr>
                <w:rStyle w:val="Strong"/>
                <w:b w:val="0"/>
                <w:bCs w:val="0"/>
              </w:rPr>
              <w:t xml:space="preserve">, kas uzraudzīs </w:t>
            </w:r>
            <w:r w:rsidR="00DD0E43">
              <w:rPr>
                <w:rStyle w:val="Strong"/>
                <w:b w:val="0"/>
                <w:bCs w:val="0"/>
              </w:rPr>
              <w:t>kosmētikas līdzekļu drošumu</w:t>
            </w:r>
            <w:r w:rsidR="004258E5" w:rsidRPr="00E971BF">
              <w:rPr>
                <w:rStyle w:val="Strong"/>
                <w:b w:val="0"/>
                <w:bCs w:val="0"/>
              </w:rPr>
              <w:t xml:space="preserve"> un </w:t>
            </w:r>
            <w:r w:rsidR="00DD0E43">
              <w:rPr>
                <w:rStyle w:val="Strong"/>
                <w:b w:val="0"/>
                <w:bCs w:val="0"/>
              </w:rPr>
              <w:t>sadarbosies ar</w:t>
            </w:r>
            <w:r w:rsidR="004258E5" w:rsidRPr="00E971BF">
              <w:rPr>
                <w:rStyle w:val="Strong"/>
                <w:b w:val="0"/>
                <w:bCs w:val="0"/>
              </w:rPr>
              <w:t xml:space="preserve"> </w:t>
            </w:r>
            <w:r w:rsidR="004258E5" w:rsidRPr="00E971BF">
              <w:rPr>
                <w:rFonts w:eastAsia="EUAlbertina-Bold-Identity-H"/>
              </w:rPr>
              <w:t>Ei</w:t>
            </w:r>
            <w:r w:rsidR="00DD0E43">
              <w:rPr>
                <w:rFonts w:eastAsia="EUAlbertina-Bold-Identity-H"/>
              </w:rPr>
              <w:t xml:space="preserve">ropas Komisiju </w:t>
            </w:r>
            <w:r w:rsidR="004258E5" w:rsidRPr="00E971BF">
              <w:rPr>
                <w:rFonts w:eastAsia="EUAlbertina-Bold-Identity-H"/>
              </w:rPr>
              <w:t xml:space="preserve">un </w:t>
            </w:r>
            <w:r w:rsidR="00DD0E43">
              <w:rPr>
                <w:rFonts w:eastAsia="EUAlbertina-Bold-Identity-H"/>
              </w:rPr>
              <w:t>citām ES dalībvalstu kompetentajām iestādēm</w:t>
            </w:r>
            <w:r w:rsidR="00EA117B">
              <w:rPr>
                <w:rFonts w:eastAsia="EUAlbertina-Bold-Identity-H"/>
              </w:rPr>
              <w:t>;</w:t>
            </w:r>
          </w:p>
          <w:p w:rsidR="00BF739C" w:rsidRDefault="00BF739C" w:rsidP="00BF739C">
            <w:pPr>
              <w:jc w:val="both"/>
              <w:rPr>
                <w:rFonts w:eastAsia="Calibri"/>
                <w:bCs/>
              </w:rPr>
            </w:pPr>
            <w:r w:rsidRPr="00797595">
              <w:t xml:space="preserve">2) </w:t>
            </w:r>
            <w:r>
              <w:t>N</w:t>
            </w:r>
            <w:r w:rsidRPr="00797595">
              <w:t xml:space="preserve">osaka, </w:t>
            </w:r>
            <w:r w:rsidRPr="00797595">
              <w:rPr>
                <w:rFonts w:eastAsia="Calibri"/>
                <w:bCs/>
              </w:rPr>
              <w:t xml:space="preserve">ka Saindēšanās informācijas centrs ir tā iestāde Latvijā, kas saņem pieeju Eiropas Komisijas kosmētikas līdzekļu datu bāzei, lai medicīniskiem mērķiem varētu saņemt informāciju </w:t>
            </w:r>
            <w:r w:rsidR="00EA117B">
              <w:rPr>
                <w:rFonts w:eastAsia="Calibri"/>
                <w:bCs/>
              </w:rPr>
              <w:t>par kosmētikas līdzekļu sastāvu;</w:t>
            </w:r>
          </w:p>
          <w:p w:rsidR="00BF739C" w:rsidRDefault="00BF739C" w:rsidP="00BF739C">
            <w:pPr>
              <w:jc w:val="both"/>
              <w:rPr>
                <w:rFonts w:eastAsia="Calibri"/>
                <w:bCs/>
              </w:rPr>
            </w:pPr>
            <w:r>
              <w:rPr>
                <w:rFonts w:eastAsia="Calibri"/>
                <w:bCs/>
              </w:rPr>
              <w:t>3)Nosaka, ka atbildīgās personas, izplatītāji, ārstniecības personas un gala patērētāji, ziņojot kompetentajai iestādei par kosmētikas līdzekļa būtisku nevēlamu ietekmi, izmanto noteiktu veidlapu</w:t>
            </w:r>
            <w:r w:rsidR="00EA117B">
              <w:rPr>
                <w:rFonts w:eastAsia="Calibri"/>
                <w:bCs/>
              </w:rPr>
              <w:t>;</w:t>
            </w:r>
          </w:p>
          <w:p w:rsidR="00EA117B" w:rsidRDefault="00EA117B" w:rsidP="00BF739C">
            <w:pPr>
              <w:jc w:val="both"/>
              <w:rPr>
                <w:rFonts w:eastAsia="Calibri"/>
                <w:bCs/>
              </w:rPr>
            </w:pPr>
            <w:r>
              <w:rPr>
                <w:rFonts w:eastAsia="Calibri"/>
                <w:bCs/>
              </w:rPr>
              <w:t xml:space="preserve">4) </w:t>
            </w:r>
            <w:r w:rsidR="00D36E0E">
              <w:rPr>
                <w:rFonts w:eastAsia="Calibri"/>
                <w:bCs/>
              </w:rPr>
              <w:t>A</w:t>
            </w:r>
            <w:r>
              <w:rPr>
                <w:rFonts w:eastAsia="Calibri"/>
                <w:bCs/>
              </w:rPr>
              <w:t xml:space="preserve">tbilstoši </w:t>
            </w:r>
            <w:r w:rsidR="006207E4">
              <w:rPr>
                <w:rFonts w:eastAsia="Calibri"/>
                <w:bCs/>
              </w:rPr>
              <w:t>anotācijas V. nodaļā minēto</w:t>
            </w:r>
            <w:r>
              <w:rPr>
                <w:rFonts w:eastAsia="Calibri"/>
                <w:bCs/>
              </w:rPr>
              <w:t xml:space="preserve"> ES direktīvu</w:t>
            </w:r>
            <w:r w:rsidR="00BF739C">
              <w:rPr>
                <w:rFonts w:eastAsia="Calibri"/>
                <w:bCs/>
              </w:rPr>
              <w:t xml:space="preserve"> prasībām, no</w:t>
            </w:r>
            <w:r w:rsidR="00FA4571">
              <w:rPr>
                <w:rFonts w:eastAsia="Calibri"/>
                <w:bCs/>
              </w:rPr>
              <w:t xml:space="preserve">saka kosmētikas līdzekļa </w:t>
            </w:r>
            <w:r w:rsidR="00BF739C">
              <w:rPr>
                <w:rFonts w:eastAsia="Calibri"/>
                <w:bCs/>
              </w:rPr>
              <w:t xml:space="preserve"> sastāva noteikšanai izmantojamās metodes</w:t>
            </w:r>
            <w:r>
              <w:rPr>
                <w:rFonts w:eastAsia="Calibri"/>
                <w:bCs/>
              </w:rPr>
              <w:t xml:space="preserve"> un laboratorijas, kuras minētos testus veic;</w:t>
            </w:r>
          </w:p>
          <w:p w:rsidR="00BF739C" w:rsidRDefault="00EA117B" w:rsidP="00BF739C">
            <w:pPr>
              <w:jc w:val="both"/>
              <w:rPr>
                <w:rFonts w:eastAsia="Calibri"/>
                <w:bCs/>
              </w:rPr>
            </w:pPr>
            <w:r>
              <w:rPr>
                <w:rFonts w:eastAsia="Calibri"/>
                <w:bCs/>
              </w:rPr>
              <w:t xml:space="preserve">5) </w:t>
            </w:r>
            <w:r w:rsidR="00D36E0E">
              <w:rPr>
                <w:rFonts w:eastAsia="Calibri"/>
                <w:bCs/>
              </w:rPr>
              <w:t>N</w:t>
            </w:r>
            <w:r>
              <w:rPr>
                <w:rFonts w:eastAsia="Calibri"/>
                <w:bCs/>
              </w:rPr>
              <w:t xml:space="preserve">osaka, kādai informācijai marķējumā jābūt </w:t>
            </w:r>
            <w:r w:rsidR="006207E4">
              <w:rPr>
                <w:rFonts w:eastAsia="Calibri"/>
                <w:bCs/>
              </w:rPr>
              <w:t>valsts</w:t>
            </w:r>
            <w:r>
              <w:rPr>
                <w:rFonts w:eastAsia="Calibri"/>
                <w:bCs/>
              </w:rPr>
              <w:t xml:space="preserve"> valodā;</w:t>
            </w:r>
          </w:p>
          <w:p w:rsidR="00415321" w:rsidRDefault="00415321" w:rsidP="00BF739C">
            <w:pPr>
              <w:jc w:val="both"/>
              <w:rPr>
                <w:rFonts w:eastAsia="Calibri"/>
                <w:bCs/>
              </w:rPr>
            </w:pPr>
            <w:r>
              <w:rPr>
                <w:rFonts w:eastAsia="Calibri"/>
                <w:bCs/>
              </w:rPr>
              <w:t xml:space="preserve">6) </w:t>
            </w:r>
            <w:r w:rsidR="00D36E0E">
              <w:rPr>
                <w:rFonts w:eastAsia="Calibri"/>
                <w:bCs/>
              </w:rPr>
              <w:t>P</w:t>
            </w:r>
            <w:r>
              <w:rPr>
                <w:rFonts w:eastAsia="Calibri"/>
                <w:bCs/>
              </w:rPr>
              <w:t xml:space="preserve">aredz, ka nefasētiem vai tirdzniecības vietā fasējamiem kosmētikas līdzekļiem nepieciešamā informācija tiek </w:t>
            </w:r>
            <w:r w:rsidR="00613A42">
              <w:rPr>
                <w:rFonts w:eastAsia="Calibri"/>
                <w:bCs/>
              </w:rPr>
              <w:t xml:space="preserve">norādīta </w:t>
            </w:r>
            <w:r>
              <w:rPr>
                <w:rFonts w:eastAsia="Calibri"/>
                <w:bCs/>
              </w:rPr>
              <w:t>pievienota</w:t>
            </w:r>
            <w:r w:rsidR="00613A42">
              <w:rPr>
                <w:rFonts w:eastAsia="Calibri"/>
                <w:bCs/>
              </w:rPr>
              <w:t>jā</w:t>
            </w:r>
            <w:r>
              <w:rPr>
                <w:rFonts w:eastAsia="Calibri"/>
                <w:bCs/>
              </w:rPr>
              <w:t xml:space="preserve"> anotācij</w:t>
            </w:r>
            <w:r w:rsidR="00613A42">
              <w:rPr>
                <w:rFonts w:eastAsia="Calibri"/>
                <w:bCs/>
              </w:rPr>
              <w:t>ā vai etiķet</w:t>
            </w:r>
            <w:r w:rsidR="00D36E0E">
              <w:rPr>
                <w:rFonts w:eastAsia="Calibri"/>
                <w:bCs/>
              </w:rPr>
              <w:t>ē;</w:t>
            </w:r>
          </w:p>
          <w:p w:rsidR="005E7769" w:rsidRDefault="005E7769" w:rsidP="00BF739C">
            <w:pPr>
              <w:jc w:val="both"/>
              <w:rPr>
                <w:rFonts w:eastAsia="Calibri"/>
                <w:bCs/>
              </w:rPr>
            </w:pPr>
            <w:r>
              <w:rPr>
                <w:rFonts w:eastAsia="Calibri"/>
                <w:bCs/>
              </w:rPr>
              <w:t>7) Nosaka kosmētikas līdzekļa mikrobioloģiskās tīrības kritērijus;</w:t>
            </w:r>
          </w:p>
          <w:p w:rsidR="00AE054B" w:rsidRDefault="005E7769" w:rsidP="004258E5">
            <w:pPr>
              <w:jc w:val="both"/>
            </w:pPr>
            <w:r>
              <w:rPr>
                <w:rFonts w:eastAsia="Calibri"/>
                <w:bCs/>
              </w:rPr>
              <w:t>8</w:t>
            </w:r>
            <w:r w:rsidR="00613A42">
              <w:rPr>
                <w:rFonts w:eastAsia="Calibri"/>
                <w:bCs/>
              </w:rPr>
              <w:t xml:space="preserve">) </w:t>
            </w:r>
            <w:r w:rsidR="00AE054B" w:rsidRPr="00AE6F17">
              <w:t xml:space="preserve">Lai veicinātu Latvijas uzņēmēju eksportspēju uz trešajām pasaules valstīm, projekts nosaka arī, ka Veselības inspekcija </w:t>
            </w:r>
            <w:r w:rsidR="00AE054B" w:rsidRPr="00AE6F17">
              <w:rPr>
                <w:bCs/>
              </w:rPr>
              <w:t xml:space="preserve">izsniedz </w:t>
            </w:r>
            <w:r w:rsidR="00FA4571">
              <w:t>BTS</w:t>
            </w:r>
            <w:r w:rsidR="00AE054B" w:rsidRPr="00AE6F17">
              <w:rPr>
                <w:bCs/>
              </w:rPr>
              <w:t xml:space="preserve"> par kosmētikas līdzekļiem, kas ir ražoti Latvijā un par kuriem ir sniegts </w:t>
            </w:r>
            <w:r w:rsidR="00D36E0E">
              <w:rPr>
                <w:bCs/>
              </w:rPr>
              <w:t xml:space="preserve">atbilstošs </w:t>
            </w:r>
            <w:r w:rsidR="00AE054B" w:rsidRPr="00AE6F17">
              <w:rPr>
                <w:bCs/>
              </w:rPr>
              <w:t xml:space="preserve">paziņojums pirms to </w:t>
            </w:r>
            <w:r w:rsidR="00AE054B" w:rsidRPr="006E5BB6">
              <w:rPr>
                <w:bCs/>
              </w:rPr>
              <w:t xml:space="preserve">laišanas ES tirgū. </w:t>
            </w:r>
            <w:r w:rsidR="00AE054B" w:rsidRPr="006E5BB6">
              <w:t xml:space="preserve">Veselības inspekcija izsniedz minēto sertifikātu pēc uzņēmuma </w:t>
            </w:r>
            <w:r w:rsidR="00054C28" w:rsidRPr="006E5BB6">
              <w:t>rakstveidā vai elektroniskā veidā</w:t>
            </w:r>
            <w:r w:rsidR="00054C28">
              <w:t xml:space="preserve"> </w:t>
            </w:r>
            <w:r w:rsidR="00AE054B" w:rsidRPr="00AE6F17">
              <w:t>iesniegta pieprasījuma par pieprasījumā nosauktiem kosmētikas līdzekļiem, ja tie ir paziņoti Veselības inspekcijā</w:t>
            </w:r>
            <w:r w:rsidR="000429A8">
              <w:t xml:space="preserve"> vai Eiropas Komisijā;</w:t>
            </w:r>
          </w:p>
          <w:p w:rsidR="00D36E0E" w:rsidRPr="006E5BB6" w:rsidRDefault="005E7769" w:rsidP="004258E5">
            <w:pPr>
              <w:jc w:val="both"/>
            </w:pPr>
            <w:r>
              <w:t>9</w:t>
            </w:r>
            <w:r w:rsidR="00D36E0E">
              <w:t xml:space="preserve">) Nosaka, ka līdz 2020.gada 11.jūlijam </w:t>
            </w:r>
            <w:r w:rsidR="000429A8">
              <w:t>Veselī</w:t>
            </w:r>
            <w:r w:rsidR="00D36E0E">
              <w:t>bas inspekcija</w:t>
            </w:r>
            <w:r w:rsidR="000429A8">
              <w:t xml:space="preserve"> saglabā Kosmētikas līdzekļu datu bāzi</w:t>
            </w:r>
            <w:r w:rsidR="00D36E0E">
              <w:t xml:space="preserve"> un nepieciešamības gadījumā nodrošināta </w:t>
            </w:r>
            <w:r w:rsidR="000429A8">
              <w:t xml:space="preserve">tajā ietvertās </w:t>
            </w:r>
            <w:r w:rsidR="00D36E0E">
              <w:t>informācija</w:t>
            </w:r>
            <w:r w:rsidR="000429A8">
              <w:t xml:space="preserve">s </w:t>
            </w:r>
            <w:r w:rsidR="000429A8" w:rsidRPr="006E5BB6">
              <w:t>sniegšan</w:t>
            </w:r>
            <w:r w:rsidR="00771EDE" w:rsidRPr="006E5BB6">
              <w:t>a</w:t>
            </w:r>
            <w:r w:rsidR="006207E4" w:rsidRPr="006E5BB6">
              <w:t xml:space="preserve"> medicīniskiem mērķiem</w:t>
            </w:r>
            <w:r w:rsidR="000429A8" w:rsidRPr="006E5BB6">
              <w:t>.</w:t>
            </w:r>
          </w:p>
          <w:p w:rsidR="001B1A4A" w:rsidRPr="00E971BF" w:rsidRDefault="001B1A4A" w:rsidP="007F02C3">
            <w:pPr>
              <w:ind w:left="-74"/>
              <w:jc w:val="both"/>
            </w:pPr>
          </w:p>
        </w:tc>
      </w:tr>
      <w:tr w:rsidR="002D3157" w:rsidRPr="00E971BF" w:rsidTr="00EF4947">
        <w:tc>
          <w:tcPr>
            <w:tcW w:w="296" w:type="pct"/>
          </w:tcPr>
          <w:p w:rsidR="002D3157" w:rsidRPr="00E971BF" w:rsidRDefault="002D3157" w:rsidP="002D3157">
            <w:pPr>
              <w:spacing w:before="100" w:beforeAutospacing="1" w:after="100" w:afterAutospacing="1"/>
              <w:jc w:val="both"/>
              <w:rPr>
                <w:color w:val="000000"/>
              </w:rPr>
            </w:pPr>
            <w:r w:rsidRPr="00E971BF">
              <w:rPr>
                <w:color w:val="000000"/>
              </w:rPr>
              <w:t>5.</w:t>
            </w:r>
          </w:p>
        </w:tc>
        <w:tc>
          <w:tcPr>
            <w:tcW w:w="581" w:type="pct"/>
          </w:tcPr>
          <w:p w:rsidR="002D3157" w:rsidRPr="00E971BF" w:rsidRDefault="002D3157" w:rsidP="002D3157">
            <w:pPr>
              <w:spacing w:before="100" w:beforeAutospacing="1" w:after="100" w:afterAutospacing="1"/>
              <w:jc w:val="both"/>
              <w:rPr>
                <w:color w:val="000000"/>
              </w:rPr>
            </w:pPr>
            <w:r w:rsidRPr="00E971BF">
              <w:rPr>
                <w:color w:val="000000"/>
              </w:rPr>
              <w:t xml:space="preserve">Projekta </w:t>
            </w:r>
            <w:r w:rsidRPr="00E971BF">
              <w:rPr>
                <w:color w:val="000000"/>
              </w:rPr>
              <w:lastRenderedPageBreak/>
              <w:t>izstrādē iesaistītās institūcijas</w:t>
            </w:r>
          </w:p>
        </w:tc>
        <w:tc>
          <w:tcPr>
            <w:tcW w:w="4123" w:type="pct"/>
          </w:tcPr>
          <w:p w:rsidR="002D3157" w:rsidRPr="00E971BF" w:rsidRDefault="000429A8" w:rsidP="003F5506">
            <w:pPr>
              <w:spacing w:before="100" w:beforeAutospacing="1" w:after="100" w:afterAutospacing="1"/>
              <w:jc w:val="both"/>
              <w:rPr>
                <w:color w:val="000000"/>
              </w:rPr>
            </w:pPr>
            <w:r>
              <w:rPr>
                <w:color w:val="000000"/>
              </w:rPr>
              <w:lastRenderedPageBreak/>
              <w:t>Projekt</w:t>
            </w:r>
            <w:r w:rsidR="003F5506">
              <w:rPr>
                <w:color w:val="000000"/>
              </w:rPr>
              <w:t>u</w:t>
            </w:r>
            <w:r>
              <w:rPr>
                <w:color w:val="000000"/>
              </w:rPr>
              <w:t xml:space="preserve"> izstrādāja Veselības ministrija un Veselības inspekcija. Projekts </w:t>
            </w:r>
            <w:r>
              <w:rPr>
                <w:color w:val="000000"/>
              </w:rPr>
              <w:lastRenderedPageBreak/>
              <w:t>izstrādes stadijā saskaņots ar Latvijas Ķīmijas un farmācijas uzņēmēju asociāciju un Latvijas Ārstu biedrību.</w:t>
            </w:r>
          </w:p>
        </w:tc>
      </w:tr>
      <w:tr w:rsidR="002D3157" w:rsidRPr="00E971BF" w:rsidTr="00EF4947">
        <w:tc>
          <w:tcPr>
            <w:tcW w:w="296" w:type="pct"/>
          </w:tcPr>
          <w:p w:rsidR="002D3157" w:rsidRPr="00E971BF" w:rsidRDefault="002D3157" w:rsidP="002D3157">
            <w:pPr>
              <w:spacing w:before="100" w:beforeAutospacing="1" w:after="100" w:afterAutospacing="1"/>
              <w:jc w:val="both"/>
              <w:rPr>
                <w:color w:val="000000"/>
              </w:rPr>
            </w:pPr>
            <w:r w:rsidRPr="00E971BF">
              <w:rPr>
                <w:color w:val="000000"/>
              </w:rPr>
              <w:lastRenderedPageBreak/>
              <w:t>6.</w:t>
            </w:r>
          </w:p>
        </w:tc>
        <w:tc>
          <w:tcPr>
            <w:tcW w:w="581" w:type="pct"/>
          </w:tcPr>
          <w:p w:rsidR="002D3157" w:rsidRPr="00E971BF" w:rsidRDefault="002D3157" w:rsidP="002D3157">
            <w:pPr>
              <w:spacing w:before="100" w:beforeAutospacing="1" w:after="100" w:afterAutospacing="1"/>
              <w:jc w:val="both"/>
              <w:rPr>
                <w:color w:val="000000"/>
              </w:rPr>
            </w:pPr>
            <w:r w:rsidRPr="00E971BF">
              <w:rPr>
                <w:color w:val="000000"/>
              </w:rPr>
              <w:t>Iemesli, kādēļ netika nodrošināta sabiedrības līdzdalība</w:t>
            </w:r>
          </w:p>
        </w:tc>
        <w:tc>
          <w:tcPr>
            <w:tcW w:w="4123" w:type="pct"/>
          </w:tcPr>
          <w:p w:rsidR="002D3157" w:rsidRPr="00E971BF" w:rsidRDefault="00B7643E" w:rsidP="002D3157">
            <w:pPr>
              <w:spacing w:before="100" w:beforeAutospacing="1" w:after="100" w:afterAutospacing="1"/>
              <w:jc w:val="both"/>
              <w:rPr>
                <w:color w:val="000000"/>
              </w:rPr>
            </w:pPr>
            <w:r w:rsidRPr="00E971BF">
              <w:rPr>
                <w:color w:val="000000"/>
              </w:rPr>
              <w:t>Nav attiecināms</w:t>
            </w:r>
            <w:r w:rsidR="00EE7183" w:rsidRPr="00E971BF">
              <w:rPr>
                <w:color w:val="000000"/>
              </w:rPr>
              <w:t>.</w:t>
            </w:r>
          </w:p>
        </w:tc>
      </w:tr>
      <w:tr w:rsidR="002D3157" w:rsidRPr="00E971BF" w:rsidTr="00EF4947">
        <w:tc>
          <w:tcPr>
            <w:tcW w:w="296" w:type="pct"/>
          </w:tcPr>
          <w:p w:rsidR="002D3157" w:rsidRPr="00E971BF" w:rsidRDefault="002D3157" w:rsidP="002D3157">
            <w:pPr>
              <w:spacing w:before="100" w:beforeAutospacing="1" w:after="100" w:afterAutospacing="1"/>
              <w:jc w:val="both"/>
              <w:rPr>
                <w:color w:val="000000"/>
              </w:rPr>
            </w:pPr>
            <w:r w:rsidRPr="00E971BF">
              <w:rPr>
                <w:color w:val="000000"/>
              </w:rPr>
              <w:t>7.</w:t>
            </w:r>
          </w:p>
        </w:tc>
        <w:tc>
          <w:tcPr>
            <w:tcW w:w="581" w:type="pct"/>
          </w:tcPr>
          <w:p w:rsidR="002D3157" w:rsidRPr="00E971BF" w:rsidRDefault="002D3157" w:rsidP="002D3157">
            <w:pPr>
              <w:spacing w:before="100" w:beforeAutospacing="1" w:after="100" w:afterAutospacing="1"/>
              <w:jc w:val="both"/>
              <w:rPr>
                <w:color w:val="000000"/>
              </w:rPr>
            </w:pPr>
            <w:r w:rsidRPr="00E971BF">
              <w:rPr>
                <w:color w:val="000000"/>
              </w:rPr>
              <w:t>Cita informācija</w:t>
            </w:r>
          </w:p>
        </w:tc>
        <w:tc>
          <w:tcPr>
            <w:tcW w:w="4123" w:type="pct"/>
          </w:tcPr>
          <w:p w:rsidR="00984A55" w:rsidRPr="00E971BF" w:rsidRDefault="00737D8E" w:rsidP="00737D8E">
            <w:pPr>
              <w:jc w:val="both"/>
              <w:rPr>
                <w:color w:val="000000"/>
              </w:rPr>
            </w:pPr>
            <w:r w:rsidRPr="00E971BF">
              <w:rPr>
                <w:color w:val="000000"/>
              </w:rPr>
              <w:t>Nav attiecināms.</w:t>
            </w:r>
          </w:p>
        </w:tc>
      </w:tr>
    </w:tbl>
    <w:p w:rsidR="002D3157" w:rsidRPr="00E971BF" w:rsidRDefault="002D3157" w:rsidP="00EE7183">
      <w:pPr>
        <w:jc w:val="both"/>
        <w:rPr>
          <w:color w:val="000000"/>
        </w:rPr>
      </w:pPr>
      <w:r w:rsidRPr="00E971BF">
        <w:rPr>
          <w:color w:val="000000"/>
        </w:rPr>
        <w:t> </w:t>
      </w: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96"/>
        <w:gridCol w:w="3147"/>
        <w:gridCol w:w="5627"/>
      </w:tblGrid>
      <w:tr w:rsidR="002D3157" w:rsidRPr="00E971BF" w:rsidTr="00566E9B">
        <w:tc>
          <w:tcPr>
            <w:tcW w:w="5000" w:type="pct"/>
            <w:gridSpan w:val="3"/>
          </w:tcPr>
          <w:p w:rsidR="002D3157" w:rsidRPr="00E971BF" w:rsidRDefault="002D3157" w:rsidP="002D3157">
            <w:pPr>
              <w:spacing w:before="100" w:beforeAutospacing="1" w:after="100" w:afterAutospacing="1"/>
              <w:jc w:val="center"/>
              <w:rPr>
                <w:b/>
                <w:bCs/>
                <w:color w:val="000000"/>
              </w:rPr>
            </w:pPr>
            <w:r w:rsidRPr="00E971BF">
              <w:rPr>
                <w:b/>
                <w:bCs/>
                <w:color w:val="000000"/>
              </w:rPr>
              <w:t>II. Tiesību akta projekta ietekme uz sabiedrību</w:t>
            </w:r>
          </w:p>
        </w:tc>
      </w:tr>
      <w:tr w:rsidR="002D3157" w:rsidRPr="00E971BF" w:rsidTr="00AB66A1">
        <w:tc>
          <w:tcPr>
            <w:tcW w:w="216" w:type="pct"/>
          </w:tcPr>
          <w:p w:rsidR="002D3157" w:rsidRPr="00E971BF" w:rsidRDefault="002D3157" w:rsidP="002D3157">
            <w:pPr>
              <w:spacing w:before="100" w:beforeAutospacing="1" w:after="100" w:afterAutospacing="1"/>
              <w:jc w:val="both"/>
              <w:rPr>
                <w:color w:val="000000"/>
              </w:rPr>
            </w:pPr>
            <w:r w:rsidRPr="00E971BF">
              <w:rPr>
                <w:color w:val="000000"/>
              </w:rPr>
              <w:t>1.</w:t>
            </w:r>
          </w:p>
        </w:tc>
        <w:tc>
          <w:tcPr>
            <w:tcW w:w="1716" w:type="pct"/>
          </w:tcPr>
          <w:p w:rsidR="002D3157" w:rsidRPr="00E971BF" w:rsidRDefault="002D3157" w:rsidP="002D3157">
            <w:pPr>
              <w:spacing w:before="100" w:beforeAutospacing="1" w:after="100" w:afterAutospacing="1"/>
              <w:jc w:val="both"/>
              <w:rPr>
                <w:color w:val="000000"/>
              </w:rPr>
            </w:pPr>
            <w:r w:rsidRPr="00E971BF">
              <w:rPr>
                <w:color w:val="000000"/>
              </w:rPr>
              <w:t>Sabiedrības mērķgrupa</w:t>
            </w:r>
          </w:p>
        </w:tc>
        <w:tc>
          <w:tcPr>
            <w:tcW w:w="3068" w:type="pct"/>
          </w:tcPr>
          <w:p w:rsidR="00DF4CF1" w:rsidRDefault="00BD2000" w:rsidP="00DF4CF1">
            <w:pPr>
              <w:jc w:val="both"/>
            </w:pPr>
            <w:r>
              <w:t>Noteikumu p</w:t>
            </w:r>
            <w:r w:rsidRPr="0036156A">
              <w:t xml:space="preserve">rojekta tiesiskais regulējums attiecas uz  kosmētikas līdzekļu ražotājiem, importētājiem un izplatītājiem. Saskaņā ar Veselības inspekcijas sniegto informāciju, </w:t>
            </w:r>
            <w:r w:rsidR="00DF4CF1" w:rsidRPr="006E5BB6">
              <w:t xml:space="preserve">987 uzņēmumi iesnieguši informāciju kosmētikas līdzekļu datu bāzei, ka nodarbojas ar </w:t>
            </w:r>
            <w:r w:rsidRPr="006E5BB6">
              <w:t xml:space="preserve">kosmētikas līdzekļu </w:t>
            </w:r>
            <w:r w:rsidR="00DF4CF1" w:rsidRPr="006E5BB6">
              <w:t>ražošanu, importēšanu vai izplatīšanu no citām dalībvalstīm  Latvijā.</w:t>
            </w:r>
          </w:p>
          <w:p w:rsidR="002D3157" w:rsidRPr="00E971BF" w:rsidRDefault="00BD2000" w:rsidP="00DF4CF1">
            <w:pPr>
              <w:jc w:val="both"/>
              <w:rPr>
                <w:color w:val="000000"/>
              </w:rPr>
            </w:pPr>
            <w:r w:rsidRPr="0036156A">
              <w:t>Projekta tiesiskais regulējums attiecas</w:t>
            </w:r>
            <w:r>
              <w:t xml:space="preserve"> arī uz </w:t>
            </w:r>
            <w:r w:rsidR="00FA4571">
              <w:t>ārstniecības personām un gala patērētājiem,</w:t>
            </w:r>
            <w:r w:rsidR="00DB19D9">
              <w:t xml:space="preserve"> </w:t>
            </w:r>
            <w:r w:rsidR="00FA4571">
              <w:t>kuri kompetentajai iestādei ziņo par kosmētikas līdzekļa būtisku nevēlamu ietekmi</w:t>
            </w:r>
            <w:r>
              <w:t>.</w:t>
            </w:r>
          </w:p>
        </w:tc>
      </w:tr>
      <w:tr w:rsidR="002D3157" w:rsidRPr="00E971BF" w:rsidTr="00AB66A1">
        <w:trPr>
          <w:trHeight w:val="833"/>
        </w:trPr>
        <w:tc>
          <w:tcPr>
            <w:tcW w:w="216" w:type="pct"/>
          </w:tcPr>
          <w:p w:rsidR="002D3157" w:rsidRPr="00E971BF" w:rsidRDefault="002D3157" w:rsidP="002D3157">
            <w:pPr>
              <w:spacing w:before="100" w:beforeAutospacing="1" w:after="100" w:afterAutospacing="1"/>
              <w:jc w:val="both"/>
              <w:rPr>
                <w:color w:val="000000"/>
              </w:rPr>
            </w:pPr>
            <w:r w:rsidRPr="00E971BF">
              <w:rPr>
                <w:color w:val="000000"/>
              </w:rPr>
              <w:t>2.</w:t>
            </w:r>
          </w:p>
        </w:tc>
        <w:tc>
          <w:tcPr>
            <w:tcW w:w="1716" w:type="pct"/>
          </w:tcPr>
          <w:p w:rsidR="002D3157" w:rsidRPr="00DB19D9" w:rsidRDefault="002D3157" w:rsidP="00DB19D9">
            <w:pPr>
              <w:spacing w:before="100" w:beforeAutospacing="1" w:after="100" w:afterAutospacing="1"/>
              <w:jc w:val="both"/>
              <w:rPr>
                <w:color w:val="000000"/>
              </w:rPr>
            </w:pPr>
            <w:r w:rsidRPr="00E971BF">
              <w:rPr>
                <w:color w:val="000000"/>
              </w:rPr>
              <w:t>Citas sabiedrības grupas (bez mērķgrupas), kuras tiesiskais regulējums arī ietekmē vai varētu ietekmēt</w:t>
            </w:r>
          </w:p>
        </w:tc>
        <w:tc>
          <w:tcPr>
            <w:tcW w:w="3068" w:type="pct"/>
          </w:tcPr>
          <w:p w:rsidR="002D3157" w:rsidRPr="00E971BF" w:rsidRDefault="00B24B87" w:rsidP="00B24B87">
            <w:pPr>
              <w:spacing w:before="100" w:beforeAutospacing="1" w:after="100" w:afterAutospacing="1"/>
              <w:jc w:val="both"/>
              <w:rPr>
                <w:color w:val="000000"/>
              </w:rPr>
            </w:pPr>
            <w:r>
              <w:rPr>
                <w:color w:val="000000"/>
              </w:rPr>
              <w:t>G</w:t>
            </w:r>
            <w:r w:rsidR="00DB19D9">
              <w:rPr>
                <w:color w:val="000000"/>
              </w:rPr>
              <w:t>ala p</w:t>
            </w:r>
            <w:r w:rsidR="004F52C7" w:rsidRPr="00E971BF">
              <w:rPr>
                <w:color w:val="000000"/>
              </w:rPr>
              <w:t>atērētāj</w:t>
            </w:r>
            <w:r w:rsidR="001B73E8" w:rsidRPr="00E971BF">
              <w:rPr>
                <w:color w:val="000000"/>
              </w:rPr>
              <w:t>i</w:t>
            </w:r>
            <w:r w:rsidR="006207E4">
              <w:rPr>
                <w:color w:val="000000"/>
              </w:rPr>
              <w:t xml:space="preserve">, kuri lietos jaunajām prasībām </w:t>
            </w:r>
            <w:r>
              <w:rPr>
                <w:color w:val="000000"/>
              </w:rPr>
              <w:t>atbilstošus kosmētikas līdzekļus</w:t>
            </w:r>
          </w:p>
        </w:tc>
      </w:tr>
      <w:tr w:rsidR="002D3157" w:rsidRPr="00E971BF" w:rsidTr="00AB66A1">
        <w:tc>
          <w:tcPr>
            <w:tcW w:w="216" w:type="pct"/>
          </w:tcPr>
          <w:p w:rsidR="002D3157" w:rsidRPr="00E971BF" w:rsidRDefault="002D3157" w:rsidP="002D3157">
            <w:pPr>
              <w:spacing w:before="100" w:beforeAutospacing="1" w:after="100" w:afterAutospacing="1"/>
              <w:jc w:val="both"/>
              <w:rPr>
                <w:color w:val="000000"/>
              </w:rPr>
            </w:pPr>
            <w:r w:rsidRPr="00E971BF">
              <w:rPr>
                <w:color w:val="000000"/>
              </w:rPr>
              <w:t>3.</w:t>
            </w:r>
          </w:p>
        </w:tc>
        <w:tc>
          <w:tcPr>
            <w:tcW w:w="1716" w:type="pct"/>
          </w:tcPr>
          <w:p w:rsidR="002D3157" w:rsidRPr="00E971BF" w:rsidRDefault="002D3157" w:rsidP="002D3157">
            <w:pPr>
              <w:spacing w:before="100" w:beforeAutospacing="1" w:after="100" w:afterAutospacing="1"/>
              <w:jc w:val="both"/>
              <w:rPr>
                <w:color w:val="000000"/>
              </w:rPr>
            </w:pPr>
            <w:r w:rsidRPr="00E971BF">
              <w:rPr>
                <w:color w:val="000000"/>
              </w:rPr>
              <w:t>Tiesiskā regulējuma finansiālā ietekme</w:t>
            </w:r>
          </w:p>
        </w:tc>
        <w:tc>
          <w:tcPr>
            <w:tcW w:w="3068" w:type="pct"/>
          </w:tcPr>
          <w:p w:rsidR="00FE1FCB" w:rsidRPr="00E971BF" w:rsidRDefault="008F73A1" w:rsidP="002D3157">
            <w:pPr>
              <w:spacing w:before="100" w:beforeAutospacing="1" w:after="100" w:afterAutospacing="1"/>
              <w:jc w:val="both"/>
              <w:rPr>
                <w:color w:val="000000"/>
              </w:rPr>
            </w:pPr>
            <w:r w:rsidRPr="00E971BF">
              <w:t xml:space="preserve">Noteikumu projekts </w:t>
            </w:r>
            <w:r w:rsidR="00B941E5" w:rsidRPr="00E971BF">
              <w:t>ne</w:t>
            </w:r>
            <w:r w:rsidRPr="00E971BF">
              <w:t>paredz valsts nodevas</w:t>
            </w:r>
            <w:r w:rsidR="00B941E5" w:rsidRPr="00E971BF">
              <w:t xml:space="preserve"> un finansiālu ietekmi.</w:t>
            </w:r>
            <w:r w:rsidRPr="00E971BF">
              <w:t xml:space="preserve"> </w:t>
            </w:r>
          </w:p>
        </w:tc>
      </w:tr>
      <w:tr w:rsidR="002D3157" w:rsidRPr="00E971BF" w:rsidTr="00AB66A1">
        <w:tc>
          <w:tcPr>
            <w:tcW w:w="216" w:type="pct"/>
          </w:tcPr>
          <w:p w:rsidR="002D3157" w:rsidRPr="00E971BF" w:rsidRDefault="002D3157" w:rsidP="002D3157">
            <w:pPr>
              <w:spacing w:before="100" w:beforeAutospacing="1" w:after="100" w:afterAutospacing="1"/>
              <w:jc w:val="both"/>
              <w:rPr>
                <w:color w:val="000000"/>
              </w:rPr>
            </w:pPr>
            <w:r w:rsidRPr="00E971BF">
              <w:rPr>
                <w:color w:val="000000"/>
              </w:rPr>
              <w:t>4.</w:t>
            </w:r>
          </w:p>
        </w:tc>
        <w:tc>
          <w:tcPr>
            <w:tcW w:w="1716" w:type="pct"/>
          </w:tcPr>
          <w:p w:rsidR="002D3157" w:rsidRPr="00E971BF" w:rsidRDefault="002D3157" w:rsidP="002D3157">
            <w:pPr>
              <w:spacing w:before="100" w:beforeAutospacing="1" w:after="100" w:afterAutospacing="1"/>
              <w:jc w:val="both"/>
              <w:rPr>
                <w:color w:val="000000"/>
              </w:rPr>
            </w:pPr>
            <w:r w:rsidRPr="00E971BF">
              <w:rPr>
                <w:color w:val="000000"/>
              </w:rPr>
              <w:t>Tiesiskā regulējuma nefinansiālā ietekme</w:t>
            </w:r>
          </w:p>
        </w:tc>
        <w:tc>
          <w:tcPr>
            <w:tcW w:w="3068" w:type="pct"/>
          </w:tcPr>
          <w:p w:rsidR="002D3157" w:rsidRPr="00E971BF" w:rsidRDefault="00280E9A" w:rsidP="002D3157">
            <w:pPr>
              <w:spacing w:before="100" w:beforeAutospacing="1" w:after="100" w:afterAutospacing="1"/>
              <w:jc w:val="both"/>
              <w:rPr>
                <w:color w:val="000000"/>
              </w:rPr>
            </w:pPr>
            <w:r w:rsidRPr="00E971BF">
              <w:rPr>
                <w:color w:val="000000"/>
              </w:rPr>
              <w:t>Nav attiecināms.</w:t>
            </w:r>
          </w:p>
        </w:tc>
      </w:tr>
      <w:tr w:rsidR="002D3157" w:rsidRPr="00E971BF" w:rsidTr="00AB66A1">
        <w:tc>
          <w:tcPr>
            <w:tcW w:w="216" w:type="pct"/>
          </w:tcPr>
          <w:p w:rsidR="002D3157" w:rsidRPr="00E971BF" w:rsidRDefault="002D3157" w:rsidP="002D3157">
            <w:pPr>
              <w:spacing w:before="100" w:beforeAutospacing="1" w:after="100" w:afterAutospacing="1"/>
              <w:jc w:val="both"/>
              <w:rPr>
                <w:color w:val="000000"/>
              </w:rPr>
            </w:pPr>
            <w:r w:rsidRPr="00E971BF">
              <w:rPr>
                <w:color w:val="000000"/>
              </w:rPr>
              <w:t>5.</w:t>
            </w:r>
          </w:p>
        </w:tc>
        <w:tc>
          <w:tcPr>
            <w:tcW w:w="1716" w:type="pct"/>
          </w:tcPr>
          <w:p w:rsidR="002D3157" w:rsidRPr="00E971BF" w:rsidRDefault="002D3157" w:rsidP="002D3157">
            <w:pPr>
              <w:spacing w:before="100" w:beforeAutospacing="1" w:after="100" w:afterAutospacing="1"/>
              <w:jc w:val="both"/>
              <w:rPr>
                <w:color w:val="000000"/>
              </w:rPr>
            </w:pPr>
            <w:r w:rsidRPr="00E971BF">
              <w:rPr>
                <w:color w:val="000000"/>
              </w:rPr>
              <w:t>Administratīvās procedūras raksturojums</w:t>
            </w:r>
          </w:p>
        </w:tc>
        <w:tc>
          <w:tcPr>
            <w:tcW w:w="3068" w:type="pct"/>
          </w:tcPr>
          <w:p w:rsidR="007F02C3" w:rsidRDefault="007F02C3" w:rsidP="007F02C3">
            <w:pPr>
              <w:jc w:val="both"/>
            </w:pPr>
            <w:r w:rsidRPr="00E971BF">
              <w:t xml:space="preserve">Kompetentās </w:t>
            </w:r>
            <w:r w:rsidR="00DF00EA">
              <w:t>iestādes</w:t>
            </w:r>
            <w:r w:rsidRPr="00E971BF">
              <w:t xml:space="preserve"> funkcijas nav paplaši</w:t>
            </w:r>
            <w:r w:rsidR="00DB19D9">
              <w:t>nātas, jo pašreiz spēkā esošajos noteikum</w:t>
            </w:r>
            <w:r w:rsidR="00DF00EA">
              <w:t>o</w:t>
            </w:r>
            <w:r w:rsidR="00DB19D9">
              <w:t>s</w:t>
            </w:r>
            <w:r w:rsidRPr="00E971BF">
              <w:t xml:space="preserve"> Nr.</w:t>
            </w:r>
            <w:r w:rsidR="00DB19D9">
              <w:t>354</w:t>
            </w:r>
            <w:r w:rsidRPr="00E971BF">
              <w:t xml:space="preserve"> </w:t>
            </w:r>
            <w:r w:rsidR="00DF00EA">
              <w:t>ir noteikts, ka Veselības inspekcija ir kompetentā iestāde kosmētikas līdzekļu drošuma jomā.</w:t>
            </w:r>
          </w:p>
          <w:p w:rsidR="004C26CA" w:rsidRPr="00E971BF" w:rsidRDefault="004C26CA" w:rsidP="007F02C3">
            <w:pPr>
              <w:jc w:val="both"/>
            </w:pPr>
            <w:r w:rsidRPr="00FF1F7F">
              <w:t>Brīvās tirdzniecības sertifikāta</w:t>
            </w:r>
            <w:r>
              <w:t xml:space="preserve"> izsniegšanas kārtība noteikta saskaņā ar Administratīvā procesa likumu.</w:t>
            </w:r>
            <w:r w:rsidRPr="00FF1F7F">
              <w:t xml:space="preserve"> </w:t>
            </w:r>
            <w:r>
              <w:t>BTS</w:t>
            </w:r>
            <w:r w:rsidRPr="00FF1F7F">
              <w:t xml:space="preserve"> var tikt izdots Latvijas uzņēmumam, kurš ražo kosmētikas līdzekļus un iesniedzis </w:t>
            </w:r>
            <w:r>
              <w:t xml:space="preserve">Eiropas komisijā vai Veselības inspekcijā nepieciešamo informāciju. </w:t>
            </w:r>
            <w:r w:rsidRPr="00FF1F7F">
              <w:t>Lai saņemtu  Brīvās tirdzniecības sertifikātu, uzņēmējs vēršas Veselības inspekcijā elektroniski vai ar rakstveida iesniegumu, kurā norādīti kosmētikas līdzekļ</w:t>
            </w:r>
            <w:r>
              <w:t>u</w:t>
            </w:r>
            <w:r w:rsidRPr="00FF1F7F">
              <w:t xml:space="preserve"> nosaukumi un eksporta valsts, </w:t>
            </w:r>
            <w:r>
              <w:t>uz kā pamata</w:t>
            </w:r>
            <w:r w:rsidRPr="00FF1F7F">
              <w:t xml:space="preserve"> </w:t>
            </w:r>
            <w:r w:rsidRPr="00FF1F7F">
              <w:lastRenderedPageBreak/>
              <w:t>Veselības inspekcija izsniedz minēto sertifikātu.</w:t>
            </w:r>
          </w:p>
          <w:p w:rsidR="007F02C3" w:rsidRPr="00E971BF" w:rsidRDefault="007F02C3" w:rsidP="008330B8">
            <w:pPr>
              <w:jc w:val="both"/>
              <w:rPr>
                <w:color w:val="000000"/>
              </w:rPr>
            </w:pPr>
          </w:p>
        </w:tc>
      </w:tr>
      <w:tr w:rsidR="002D3157" w:rsidRPr="00E971BF" w:rsidTr="00AB66A1">
        <w:tc>
          <w:tcPr>
            <w:tcW w:w="216" w:type="pct"/>
          </w:tcPr>
          <w:p w:rsidR="002D3157" w:rsidRPr="00E971BF" w:rsidRDefault="002D3157" w:rsidP="002D3157">
            <w:pPr>
              <w:spacing w:before="100" w:beforeAutospacing="1" w:after="100" w:afterAutospacing="1"/>
              <w:jc w:val="both"/>
              <w:rPr>
                <w:color w:val="000000"/>
              </w:rPr>
            </w:pPr>
            <w:r w:rsidRPr="00E971BF">
              <w:rPr>
                <w:color w:val="000000"/>
              </w:rPr>
              <w:lastRenderedPageBreak/>
              <w:t>6.</w:t>
            </w:r>
          </w:p>
        </w:tc>
        <w:tc>
          <w:tcPr>
            <w:tcW w:w="1716" w:type="pct"/>
          </w:tcPr>
          <w:p w:rsidR="002D3157" w:rsidRPr="00E971BF" w:rsidRDefault="002D3157" w:rsidP="002D3157">
            <w:pPr>
              <w:spacing w:before="100" w:beforeAutospacing="1" w:after="100" w:afterAutospacing="1"/>
              <w:jc w:val="both"/>
              <w:rPr>
                <w:color w:val="000000"/>
              </w:rPr>
            </w:pPr>
            <w:r w:rsidRPr="00E971BF">
              <w:rPr>
                <w:color w:val="000000"/>
              </w:rPr>
              <w:t>Administratīvo izmaksu monetārs novērtējums</w:t>
            </w:r>
          </w:p>
        </w:tc>
        <w:tc>
          <w:tcPr>
            <w:tcW w:w="3068" w:type="pct"/>
          </w:tcPr>
          <w:p w:rsidR="002D3157" w:rsidRPr="00E971BF" w:rsidRDefault="00F9016F" w:rsidP="002D3157">
            <w:pPr>
              <w:spacing w:before="100" w:beforeAutospacing="1" w:after="100" w:afterAutospacing="1"/>
              <w:jc w:val="both"/>
              <w:rPr>
                <w:color w:val="000000"/>
              </w:rPr>
            </w:pPr>
            <w:r w:rsidRPr="00E971BF">
              <w:rPr>
                <w:color w:val="000000"/>
              </w:rPr>
              <w:t>Nav attiecināms</w:t>
            </w:r>
            <w:r w:rsidR="00280E9A" w:rsidRPr="00E971BF">
              <w:rPr>
                <w:color w:val="000000"/>
              </w:rPr>
              <w:t>.</w:t>
            </w:r>
          </w:p>
        </w:tc>
      </w:tr>
      <w:tr w:rsidR="002D3157" w:rsidRPr="00E971BF" w:rsidTr="00AB66A1">
        <w:tc>
          <w:tcPr>
            <w:tcW w:w="216" w:type="pct"/>
          </w:tcPr>
          <w:p w:rsidR="002D3157" w:rsidRPr="00E971BF" w:rsidRDefault="002D3157" w:rsidP="002D3157">
            <w:pPr>
              <w:spacing w:before="100" w:beforeAutospacing="1" w:after="100" w:afterAutospacing="1"/>
              <w:jc w:val="both"/>
              <w:rPr>
                <w:color w:val="000000"/>
              </w:rPr>
            </w:pPr>
            <w:r w:rsidRPr="00E971BF">
              <w:rPr>
                <w:color w:val="000000"/>
              </w:rPr>
              <w:t>7.</w:t>
            </w:r>
          </w:p>
        </w:tc>
        <w:tc>
          <w:tcPr>
            <w:tcW w:w="1716" w:type="pct"/>
          </w:tcPr>
          <w:p w:rsidR="002D3157" w:rsidRPr="00E971BF" w:rsidRDefault="002D3157" w:rsidP="002D3157">
            <w:pPr>
              <w:spacing w:before="100" w:beforeAutospacing="1" w:after="100" w:afterAutospacing="1"/>
              <w:jc w:val="both"/>
              <w:rPr>
                <w:color w:val="000000"/>
              </w:rPr>
            </w:pPr>
            <w:r w:rsidRPr="00E971BF">
              <w:rPr>
                <w:color w:val="000000"/>
              </w:rPr>
              <w:t>Cita informācija</w:t>
            </w:r>
          </w:p>
        </w:tc>
        <w:tc>
          <w:tcPr>
            <w:tcW w:w="3068" w:type="pct"/>
          </w:tcPr>
          <w:p w:rsidR="002D3157" w:rsidRPr="00E971BF" w:rsidRDefault="00737D8E" w:rsidP="00B603B8">
            <w:pPr>
              <w:jc w:val="both"/>
              <w:rPr>
                <w:color w:val="000000"/>
              </w:rPr>
            </w:pPr>
            <w:r w:rsidRPr="00E971BF">
              <w:rPr>
                <w:color w:val="000000"/>
              </w:rPr>
              <w:t>Nav attiecināms.</w:t>
            </w:r>
          </w:p>
        </w:tc>
      </w:tr>
    </w:tbl>
    <w:p w:rsidR="004407CE" w:rsidRPr="00E971BF" w:rsidRDefault="004407CE" w:rsidP="004407CE">
      <w:pPr>
        <w:jc w:val="both"/>
        <w:rPr>
          <w:color w:val="000000"/>
        </w:rPr>
      </w:pPr>
    </w:p>
    <w:p w:rsidR="001A1CD3" w:rsidRPr="00E971BF" w:rsidRDefault="004E5FB9" w:rsidP="004407CE">
      <w:pPr>
        <w:jc w:val="both"/>
        <w:rPr>
          <w:i/>
          <w:color w:val="000000"/>
        </w:rPr>
      </w:pPr>
      <w:r w:rsidRPr="00E971BF">
        <w:rPr>
          <w:i/>
          <w:color w:val="000000"/>
        </w:rPr>
        <w:t xml:space="preserve">Anotācijas III </w:t>
      </w:r>
      <w:r w:rsidR="00651160" w:rsidRPr="00E971BF">
        <w:rPr>
          <w:i/>
          <w:color w:val="000000"/>
        </w:rPr>
        <w:t xml:space="preserve">un </w:t>
      </w:r>
      <w:r w:rsidRPr="00E971BF">
        <w:rPr>
          <w:i/>
          <w:color w:val="000000"/>
        </w:rPr>
        <w:t>IV sadaļa - nav attiecināms.</w:t>
      </w:r>
    </w:p>
    <w:p w:rsidR="00651160" w:rsidRPr="00E971BF" w:rsidRDefault="00651160" w:rsidP="004407CE">
      <w:pPr>
        <w:jc w:val="both"/>
        <w:rPr>
          <w:i/>
          <w:color w:val="000000"/>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0"/>
        <w:gridCol w:w="1794"/>
        <w:gridCol w:w="7097"/>
      </w:tblGrid>
      <w:tr w:rsidR="00651160" w:rsidRPr="00E971BF" w:rsidTr="00651160">
        <w:tc>
          <w:tcPr>
            <w:tcW w:w="0" w:type="auto"/>
            <w:gridSpan w:val="3"/>
            <w:tcBorders>
              <w:top w:val="single" w:sz="4" w:space="0" w:color="auto"/>
              <w:left w:val="single" w:sz="4" w:space="0" w:color="auto"/>
              <w:bottom w:val="outset" w:sz="6" w:space="0" w:color="000000"/>
              <w:right w:val="single" w:sz="4" w:space="0" w:color="auto"/>
            </w:tcBorders>
          </w:tcPr>
          <w:p w:rsidR="00651160" w:rsidRPr="00E971BF" w:rsidRDefault="00651160" w:rsidP="002D57A6">
            <w:pPr>
              <w:spacing w:before="100" w:beforeAutospacing="1" w:after="100" w:afterAutospacing="1"/>
              <w:jc w:val="center"/>
              <w:rPr>
                <w:b/>
                <w:bCs/>
              </w:rPr>
            </w:pPr>
            <w:r w:rsidRPr="00E971BF">
              <w:rPr>
                <w:b/>
                <w:bCs/>
              </w:rPr>
              <w:t>V.</w:t>
            </w:r>
            <w:r w:rsidR="00FE7C7D">
              <w:rPr>
                <w:b/>
                <w:bCs/>
              </w:rPr>
              <w:t xml:space="preserve"> </w:t>
            </w:r>
            <w:r w:rsidRPr="00E971BF">
              <w:rPr>
                <w:b/>
                <w:bCs/>
              </w:rPr>
              <w:t>Tiesību akta projekta atbilstība Latvijas Republikas starptautiskajām saistībām</w:t>
            </w:r>
          </w:p>
        </w:tc>
      </w:tr>
      <w:tr w:rsidR="00651160" w:rsidRPr="00E971BF" w:rsidTr="00651160">
        <w:tc>
          <w:tcPr>
            <w:tcW w:w="0" w:type="auto"/>
            <w:tcBorders>
              <w:top w:val="outset" w:sz="6" w:space="0" w:color="000000"/>
              <w:left w:val="outset" w:sz="6" w:space="0" w:color="000000"/>
              <w:bottom w:val="outset" w:sz="6" w:space="0" w:color="000000"/>
              <w:right w:val="outset" w:sz="6" w:space="0" w:color="000000"/>
            </w:tcBorders>
          </w:tcPr>
          <w:p w:rsidR="00651160" w:rsidRPr="00E971BF" w:rsidRDefault="00651160" w:rsidP="00651160">
            <w:pPr>
              <w:spacing w:before="100" w:beforeAutospacing="1" w:after="100" w:afterAutospacing="1"/>
            </w:pPr>
            <w:r w:rsidRPr="00E971BF">
              <w:t>1.</w:t>
            </w:r>
          </w:p>
        </w:tc>
        <w:tc>
          <w:tcPr>
            <w:tcW w:w="0" w:type="auto"/>
            <w:tcBorders>
              <w:top w:val="outset" w:sz="6" w:space="0" w:color="000000"/>
              <w:left w:val="outset" w:sz="6" w:space="0" w:color="000000"/>
              <w:bottom w:val="outset" w:sz="6" w:space="0" w:color="000000"/>
              <w:right w:val="outset" w:sz="6" w:space="0" w:color="000000"/>
            </w:tcBorders>
          </w:tcPr>
          <w:p w:rsidR="00651160" w:rsidRPr="00E971BF" w:rsidRDefault="00651160" w:rsidP="00651160">
            <w:pPr>
              <w:spacing w:before="100" w:beforeAutospacing="1" w:after="100" w:afterAutospacing="1"/>
            </w:pPr>
            <w:r w:rsidRPr="00E971BF">
              <w:t>Saistības pret Eiropas Savienību</w:t>
            </w:r>
          </w:p>
        </w:tc>
        <w:tc>
          <w:tcPr>
            <w:tcW w:w="0" w:type="auto"/>
            <w:tcBorders>
              <w:top w:val="outset" w:sz="6" w:space="0" w:color="000000"/>
              <w:left w:val="outset" w:sz="6" w:space="0" w:color="000000"/>
              <w:bottom w:val="outset" w:sz="6" w:space="0" w:color="000000"/>
              <w:right w:val="outset" w:sz="6" w:space="0" w:color="000000"/>
            </w:tcBorders>
          </w:tcPr>
          <w:p w:rsidR="00651160" w:rsidRDefault="002D57A6" w:rsidP="00651160">
            <w:pPr>
              <w:ind w:left="45" w:right="71"/>
              <w:jc w:val="both"/>
            </w:pPr>
            <w:r>
              <w:t>1</w:t>
            </w:r>
            <w:r w:rsidR="00CF7D4A">
              <w:t xml:space="preserve"> </w:t>
            </w:r>
            <w:r>
              <w:t>)</w:t>
            </w:r>
            <w:r w:rsidR="00D10995" w:rsidRPr="00E971BF">
              <w:t>Eiropas Parlamenta un Pado</w:t>
            </w:r>
            <w:r w:rsidR="00DF00EA">
              <w:t>mes 2009.gada 30.novembra Regula</w:t>
            </w:r>
            <w:r w:rsidR="00D10995" w:rsidRPr="00E971BF">
              <w:t xml:space="preserve"> (EK) Nr. </w:t>
            </w:r>
            <w:hyperlink r:id="rId11" w:tgtFrame="_blank" w:tooltip="Atvērt regulu latviešu valodā" w:history="1">
              <w:r w:rsidR="00D10995" w:rsidRPr="00E971BF">
                <w:rPr>
                  <w:rStyle w:val="Hyperlink"/>
                </w:rPr>
                <w:t>1223/2009</w:t>
              </w:r>
            </w:hyperlink>
            <w:r w:rsidR="00D10995" w:rsidRPr="00E971BF">
              <w:t xml:space="preserve">  par kosmētikas līdzekļiem</w:t>
            </w:r>
            <w:r w:rsidR="00CF7D4A">
              <w:t>;</w:t>
            </w:r>
          </w:p>
          <w:p w:rsidR="00CF7D4A" w:rsidRDefault="00CF7D4A" w:rsidP="00651160">
            <w:pPr>
              <w:ind w:left="45" w:right="71"/>
              <w:jc w:val="both"/>
            </w:pPr>
            <w:r>
              <w:t>2)</w:t>
            </w:r>
            <w:r w:rsidRPr="0068126E">
              <w:t xml:space="preserve"> Komisijas 1980. gada 22. decembra Pirmā direktīva 80/1335/EEK par dalībvalstu tiesību aktu tuvināšanu attiecībā uz analīzes metodēm, kas vajadzīgas, lai pārbaudītu kosmētikas līdzekļu sastāvu</w:t>
            </w:r>
            <w:r>
              <w:t>;</w:t>
            </w:r>
          </w:p>
          <w:p w:rsidR="00CF7D4A" w:rsidRDefault="00CF7D4A" w:rsidP="00651160">
            <w:pPr>
              <w:ind w:left="45" w:right="71"/>
              <w:jc w:val="both"/>
            </w:pPr>
            <w:r>
              <w:t xml:space="preserve">3) </w:t>
            </w:r>
            <w:r w:rsidRPr="0068126E">
              <w:t xml:space="preserve">Komisijas </w:t>
            </w:r>
            <w:r w:rsidRPr="00557FC1">
              <w:t>1982. gada 14. maija Otrā direktīva 82/434/EEK</w:t>
            </w:r>
            <w:r w:rsidRPr="0068126E">
              <w:t xml:space="preserve"> par dalībvalstu tiesību aktu tuvināšanu attiecībā uz analīzes metodēm, kas vajadzīgas, lai pārbaudītu kosmētikas līdzekļu sastāvu</w:t>
            </w:r>
            <w:r>
              <w:t>;</w:t>
            </w:r>
          </w:p>
          <w:p w:rsidR="00CF7D4A" w:rsidRDefault="00CF7D4A" w:rsidP="00651160">
            <w:pPr>
              <w:ind w:left="45" w:right="71"/>
              <w:jc w:val="both"/>
            </w:pPr>
            <w:r>
              <w:t xml:space="preserve">4) </w:t>
            </w:r>
            <w:r w:rsidRPr="0068126E">
              <w:t xml:space="preserve">Komisijas </w:t>
            </w:r>
            <w:r w:rsidRPr="004E1444">
              <w:t>1990.gada 4.aprīļa Direktīva 90/207/EEK, ar kuru groza Otro Direktīvu 82/434/EEK</w:t>
            </w:r>
            <w:r w:rsidRPr="00507991">
              <w:rPr>
                <w:sz w:val="28"/>
                <w:szCs w:val="28"/>
              </w:rPr>
              <w:t xml:space="preserve"> </w:t>
            </w:r>
            <w:r w:rsidRPr="0068126E">
              <w:t>par dalībvalstu tiesību aktu tuvināšanu attiecībā uz analīzes metodēm, kas vajadzīgas, lai pārbaudītu kosmētikas līdzekļu sastāvu</w:t>
            </w:r>
            <w:r>
              <w:t>;</w:t>
            </w:r>
          </w:p>
          <w:p w:rsidR="00CF7D4A" w:rsidRDefault="00CF7D4A" w:rsidP="00651160">
            <w:pPr>
              <w:ind w:left="45" w:right="71"/>
              <w:jc w:val="both"/>
            </w:pPr>
            <w:r>
              <w:t xml:space="preserve">5) </w:t>
            </w:r>
            <w:r w:rsidRPr="0068126E">
              <w:t xml:space="preserve">Komisijas </w:t>
            </w:r>
            <w:r w:rsidRPr="004E1444">
              <w:t>1983. gada 27. septembra  Trešā direktīva 83/514/EEK</w:t>
            </w:r>
            <w:r w:rsidRPr="0068126E">
              <w:t xml:space="preserve"> par dalībvalstu tiesību aktu tuvināšanu attiecībā uz analīzes metodēm, kas vajadzīgas, lai pārbaudītu kosmētikas līdzekļu sastāvu</w:t>
            </w:r>
            <w:r>
              <w:t>;</w:t>
            </w:r>
          </w:p>
          <w:p w:rsidR="00CF7D4A" w:rsidRDefault="00CF7D4A" w:rsidP="00651160">
            <w:pPr>
              <w:ind w:left="45" w:right="71"/>
              <w:jc w:val="both"/>
            </w:pPr>
            <w:r>
              <w:t xml:space="preserve">6) </w:t>
            </w:r>
            <w:r w:rsidRPr="0068126E">
              <w:t xml:space="preserve">Komisijas </w:t>
            </w:r>
            <w:r w:rsidRPr="006D1A0F">
              <w:t xml:space="preserve">1985. gada 11. oktobra Ceturtā direktīva 85/490/EEK </w:t>
            </w:r>
            <w:r w:rsidRPr="0068126E">
              <w:t>par dalībvalstu tiesību aktu tuvināšanu attiecībā uz analīzes metodēm, kas vajadzīgas, lai pārbaudītu kosmētikas līdzekļu sastāvu</w:t>
            </w:r>
            <w:r>
              <w:t>;</w:t>
            </w:r>
          </w:p>
          <w:p w:rsidR="00CF7D4A" w:rsidRDefault="00CF7D4A" w:rsidP="00651160">
            <w:pPr>
              <w:ind w:left="45" w:right="71"/>
              <w:jc w:val="both"/>
            </w:pPr>
            <w:r>
              <w:t xml:space="preserve">7) </w:t>
            </w:r>
            <w:r w:rsidRPr="0068126E">
              <w:t xml:space="preserve">Komisijas </w:t>
            </w:r>
            <w:r w:rsidRPr="009923C4">
              <w:t>1993. gada 9. septembra Piektā direktīva 93/73/EEK par</w:t>
            </w:r>
            <w:r w:rsidRPr="0068126E">
              <w:t xml:space="preserve"> dalībvalstu tiesību aktu tuvināšanu attiecībā uz analīzes metodēm, kas vajadzīgas, lai pārbaudītu kosmētikas līdzekļu sastāvu</w:t>
            </w:r>
            <w:r>
              <w:t>;</w:t>
            </w:r>
          </w:p>
          <w:p w:rsidR="00CF7D4A" w:rsidRDefault="00CF7D4A" w:rsidP="00651160">
            <w:pPr>
              <w:ind w:left="45" w:right="71"/>
              <w:jc w:val="both"/>
            </w:pPr>
            <w:r>
              <w:t>8)</w:t>
            </w:r>
            <w:r w:rsidR="00BF09F2">
              <w:t xml:space="preserve"> </w:t>
            </w:r>
            <w:r w:rsidR="00BF09F2" w:rsidRPr="0068126E">
              <w:t xml:space="preserve">Komisijas </w:t>
            </w:r>
            <w:r w:rsidR="00BF09F2" w:rsidRPr="009923C4">
              <w:t>1995. gada 7. jūlijs Sestā direktīva 95/32/EK</w:t>
            </w:r>
            <w:r w:rsidR="00BF09F2" w:rsidRPr="0068126E">
              <w:t xml:space="preserve"> par dalībvalstu tiesību aktu tuvināšanu attiecībā uz analīzes metodēm, kas vajadzīgas, lai pārbaudītu kosmētikas līdzekļu sastāvu</w:t>
            </w:r>
            <w:r w:rsidR="00BF09F2">
              <w:t>;</w:t>
            </w:r>
          </w:p>
          <w:p w:rsidR="00CF7D4A" w:rsidRPr="00E971BF" w:rsidRDefault="00CF7D4A" w:rsidP="00651160">
            <w:pPr>
              <w:ind w:left="45" w:right="71"/>
              <w:jc w:val="both"/>
            </w:pPr>
            <w:r>
              <w:t>9)</w:t>
            </w:r>
            <w:r w:rsidR="00BF09F2">
              <w:t xml:space="preserve"> </w:t>
            </w:r>
            <w:r w:rsidR="00BF09F2" w:rsidRPr="0068126E">
              <w:t xml:space="preserve">Komisijas </w:t>
            </w:r>
            <w:r w:rsidR="00BF09F2" w:rsidRPr="00486602">
              <w:t>1996. gada 2. jūlija Septītā direktīva 96/45/EK</w:t>
            </w:r>
            <w:r w:rsidR="00BF09F2" w:rsidRPr="0068126E">
              <w:t xml:space="preserve"> par dalībvalstu tiesību aktu tuvināšanu attiecībā uz analīzes metodēm, kas vajadzīgas, lai pārbaudītu kosmētikas līdzekļu sastāvu</w:t>
            </w:r>
            <w:r w:rsidR="00BF09F2">
              <w:t>.</w:t>
            </w:r>
          </w:p>
        </w:tc>
      </w:tr>
      <w:tr w:rsidR="00651160" w:rsidRPr="00E971BF" w:rsidTr="00651160">
        <w:tc>
          <w:tcPr>
            <w:tcW w:w="0" w:type="auto"/>
            <w:tcBorders>
              <w:top w:val="outset" w:sz="6" w:space="0" w:color="000000"/>
              <w:left w:val="outset" w:sz="6" w:space="0" w:color="000000"/>
              <w:bottom w:val="outset" w:sz="6" w:space="0" w:color="000000"/>
              <w:right w:val="outset" w:sz="6" w:space="0" w:color="000000"/>
            </w:tcBorders>
          </w:tcPr>
          <w:p w:rsidR="00651160" w:rsidRPr="00E971BF" w:rsidRDefault="00651160" w:rsidP="00651160">
            <w:pPr>
              <w:spacing w:before="100" w:beforeAutospacing="1" w:after="100" w:afterAutospacing="1"/>
            </w:pPr>
            <w:r w:rsidRPr="00E971BF">
              <w:t>2.</w:t>
            </w:r>
          </w:p>
        </w:tc>
        <w:tc>
          <w:tcPr>
            <w:tcW w:w="0" w:type="auto"/>
            <w:tcBorders>
              <w:top w:val="outset" w:sz="6" w:space="0" w:color="000000"/>
              <w:left w:val="outset" w:sz="6" w:space="0" w:color="000000"/>
              <w:bottom w:val="outset" w:sz="6" w:space="0" w:color="000000"/>
              <w:right w:val="outset" w:sz="6" w:space="0" w:color="000000"/>
            </w:tcBorders>
          </w:tcPr>
          <w:p w:rsidR="00651160" w:rsidRPr="00E971BF" w:rsidRDefault="00651160" w:rsidP="00651160">
            <w:pPr>
              <w:spacing w:before="100" w:beforeAutospacing="1" w:after="100" w:afterAutospacing="1"/>
            </w:pPr>
            <w:r w:rsidRPr="00E971BF">
              <w:t>Citas starptautiskās saistības</w:t>
            </w:r>
          </w:p>
        </w:tc>
        <w:tc>
          <w:tcPr>
            <w:tcW w:w="0" w:type="auto"/>
            <w:tcBorders>
              <w:top w:val="outset" w:sz="6" w:space="0" w:color="000000"/>
              <w:left w:val="outset" w:sz="6" w:space="0" w:color="000000"/>
              <w:bottom w:val="outset" w:sz="6" w:space="0" w:color="000000"/>
              <w:right w:val="outset" w:sz="6" w:space="0" w:color="000000"/>
            </w:tcBorders>
          </w:tcPr>
          <w:p w:rsidR="00651160" w:rsidRPr="00E971BF" w:rsidRDefault="00651160" w:rsidP="00651160">
            <w:pPr>
              <w:spacing w:before="100" w:beforeAutospacing="1" w:after="100" w:afterAutospacing="1"/>
              <w:jc w:val="both"/>
            </w:pPr>
            <w:r w:rsidRPr="00E971BF">
              <w:t>Noteikumu projekts nav tehnisko noteikumu projekts, un tas nav jāsaskaņo ar Eiropas Komisiju.</w:t>
            </w:r>
          </w:p>
        </w:tc>
      </w:tr>
      <w:tr w:rsidR="00651160" w:rsidRPr="00E971BF" w:rsidTr="00651160">
        <w:tc>
          <w:tcPr>
            <w:tcW w:w="0" w:type="auto"/>
            <w:tcBorders>
              <w:top w:val="outset" w:sz="6" w:space="0" w:color="000000"/>
              <w:left w:val="outset" w:sz="6" w:space="0" w:color="000000"/>
              <w:bottom w:val="outset" w:sz="6" w:space="0" w:color="000000"/>
              <w:right w:val="outset" w:sz="6" w:space="0" w:color="000000"/>
            </w:tcBorders>
          </w:tcPr>
          <w:p w:rsidR="00651160" w:rsidRPr="00E971BF" w:rsidRDefault="00651160" w:rsidP="00651160">
            <w:pPr>
              <w:spacing w:before="100" w:beforeAutospacing="1" w:after="100" w:afterAutospacing="1"/>
            </w:pPr>
            <w:r w:rsidRPr="00E971BF">
              <w:t>3.</w:t>
            </w:r>
          </w:p>
        </w:tc>
        <w:tc>
          <w:tcPr>
            <w:tcW w:w="0" w:type="auto"/>
            <w:tcBorders>
              <w:top w:val="outset" w:sz="6" w:space="0" w:color="000000"/>
              <w:left w:val="outset" w:sz="6" w:space="0" w:color="000000"/>
              <w:bottom w:val="outset" w:sz="6" w:space="0" w:color="000000"/>
              <w:right w:val="outset" w:sz="6" w:space="0" w:color="000000"/>
            </w:tcBorders>
          </w:tcPr>
          <w:p w:rsidR="00651160" w:rsidRPr="00E971BF" w:rsidRDefault="00651160" w:rsidP="00651160">
            <w:pPr>
              <w:spacing w:before="100" w:beforeAutospacing="1" w:after="100" w:afterAutospacing="1"/>
            </w:pPr>
            <w:r w:rsidRPr="00E971BF">
              <w:t>Cita informācija</w:t>
            </w:r>
          </w:p>
        </w:tc>
        <w:tc>
          <w:tcPr>
            <w:tcW w:w="0" w:type="auto"/>
            <w:tcBorders>
              <w:top w:val="outset" w:sz="6" w:space="0" w:color="000000"/>
              <w:left w:val="outset" w:sz="6" w:space="0" w:color="000000"/>
              <w:bottom w:val="outset" w:sz="6" w:space="0" w:color="000000"/>
              <w:right w:val="outset" w:sz="6" w:space="0" w:color="000000"/>
            </w:tcBorders>
          </w:tcPr>
          <w:p w:rsidR="00651160" w:rsidRPr="00E971BF" w:rsidRDefault="00651160" w:rsidP="00651160">
            <w:pPr>
              <w:spacing w:before="100" w:beforeAutospacing="1" w:after="100" w:afterAutospacing="1"/>
            </w:pPr>
            <w:r w:rsidRPr="00E971BF">
              <w:t>Nav</w:t>
            </w:r>
          </w:p>
        </w:tc>
      </w:tr>
    </w:tbl>
    <w:p w:rsidR="00651160" w:rsidRPr="00E971BF" w:rsidRDefault="00651160" w:rsidP="00281D17"/>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157"/>
        <w:gridCol w:w="2268"/>
        <w:gridCol w:w="2126"/>
        <w:gridCol w:w="2580"/>
      </w:tblGrid>
      <w:tr w:rsidR="00651160" w:rsidRPr="00E971BF" w:rsidTr="00651160">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651160" w:rsidRPr="00E971BF" w:rsidRDefault="00651160" w:rsidP="00651160">
            <w:pPr>
              <w:spacing w:before="100" w:beforeAutospacing="1" w:after="100" w:afterAutospacing="1"/>
              <w:jc w:val="center"/>
              <w:rPr>
                <w:b/>
                <w:bCs/>
              </w:rPr>
            </w:pPr>
            <w:r w:rsidRPr="00E971BF">
              <w:rPr>
                <w:b/>
                <w:bCs/>
              </w:rPr>
              <w:t>1.tabula</w:t>
            </w:r>
            <w:r w:rsidRPr="00E971BF">
              <w:rPr>
                <w:b/>
                <w:bCs/>
              </w:rPr>
              <w:br/>
              <w:t>Tiesību akta projekta atbilstība ES tiesību aktiem</w:t>
            </w:r>
          </w:p>
        </w:tc>
      </w:tr>
      <w:tr w:rsidR="00651160" w:rsidRPr="00E971BF" w:rsidTr="00CF7D4A">
        <w:tc>
          <w:tcPr>
            <w:tcW w:w="1181" w:type="pct"/>
            <w:tcBorders>
              <w:top w:val="outset" w:sz="6" w:space="0" w:color="000000"/>
              <w:left w:val="outset" w:sz="6" w:space="0" w:color="000000"/>
              <w:bottom w:val="outset" w:sz="6" w:space="0" w:color="000000"/>
              <w:right w:val="outset" w:sz="6" w:space="0" w:color="000000"/>
            </w:tcBorders>
            <w:vAlign w:val="center"/>
          </w:tcPr>
          <w:p w:rsidR="00651160" w:rsidRPr="00E971BF" w:rsidRDefault="00651160" w:rsidP="00651160">
            <w:pPr>
              <w:spacing w:before="100" w:beforeAutospacing="1" w:after="100" w:afterAutospacing="1"/>
              <w:jc w:val="center"/>
            </w:pPr>
            <w:r w:rsidRPr="00E971BF">
              <w:t>Attiecīgā ES tiesību akta datums, numurs un nosaukums</w:t>
            </w:r>
          </w:p>
        </w:tc>
        <w:tc>
          <w:tcPr>
            <w:tcW w:w="3819" w:type="pct"/>
            <w:gridSpan w:val="3"/>
            <w:tcBorders>
              <w:top w:val="outset" w:sz="6" w:space="0" w:color="000000"/>
              <w:left w:val="outset" w:sz="6" w:space="0" w:color="000000"/>
              <w:bottom w:val="outset" w:sz="6" w:space="0" w:color="000000"/>
              <w:right w:val="outset" w:sz="6" w:space="0" w:color="000000"/>
            </w:tcBorders>
            <w:vAlign w:val="center"/>
          </w:tcPr>
          <w:p w:rsidR="00651160" w:rsidRPr="00E971BF" w:rsidRDefault="00CF7D4A" w:rsidP="00DF00EA">
            <w:pPr>
              <w:jc w:val="both"/>
            </w:pPr>
            <w:r>
              <w:t>1)</w:t>
            </w:r>
            <w:r w:rsidR="00D10995" w:rsidRPr="00E971BF">
              <w:t>Eiropas Parlamenta un Padomes 2009.gada 30.novembra Regul</w:t>
            </w:r>
            <w:r w:rsidR="00DF00EA">
              <w:t>a</w:t>
            </w:r>
            <w:r w:rsidR="00D10995" w:rsidRPr="00E971BF">
              <w:t xml:space="preserve"> (EK) Nr. </w:t>
            </w:r>
            <w:hyperlink r:id="rId12" w:tgtFrame="_blank" w:tooltip="Atvērt regulu latviešu valodā" w:history="1">
              <w:r w:rsidR="00D10995" w:rsidRPr="00E971BF">
                <w:rPr>
                  <w:rStyle w:val="Hyperlink"/>
                </w:rPr>
                <w:t>1223/2009</w:t>
              </w:r>
            </w:hyperlink>
            <w:r w:rsidR="00D10995" w:rsidRPr="00E971BF">
              <w:t xml:space="preserve">  par kosmētikas līdzekļiem</w:t>
            </w:r>
          </w:p>
        </w:tc>
      </w:tr>
      <w:tr w:rsidR="00651160" w:rsidRPr="00E971BF" w:rsidTr="00CF7D4A">
        <w:tc>
          <w:tcPr>
            <w:tcW w:w="1181" w:type="pct"/>
            <w:tcBorders>
              <w:top w:val="outset" w:sz="6" w:space="0" w:color="000000"/>
              <w:left w:val="outset" w:sz="6" w:space="0" w:color="000000"/>
              <w:bottom w:val="outset" w:sz="6" w:space="0" w:color="000000"/>
              <w:right w:val="outset" w:sz="6" w:space="0" w:color="000000"/>
            </w:tcBorders>
            <w:vAlign w:val="center"/>
          </w:tcPr>
          <w:p w:rsidR="00651160" w:rsidRPr="00E971BF" w:rsidRDefault="00651160" w:rsidP="00651160">
            <w:pPr>
              <w:spacing w:before="100" w:beforeAutospacing="1" w:after="100" w:afterAutospacing="1"/>
              <w:jc w:val="center"/>
            </w:pPr>
            <w:r w:rsidRPr="00E971BF">
              <w:t>A</w:t>
            </w:r>
          </w:p>
        </w:tc>
        <w:tc>
          <w:tcPr>
            <w:tcW w:w="1242" w:type="pct"/>
            <w:tcBorders>
              <w:top w:val="outset" w:sz="6" w:space="0" w:color="000000"/>
              <w:left w:val="outset" w:sz="6" w:space="0" w:color="000000"/>
              <w:bottom w:val="outset" w:sz="6" w:space="0" w:color="000000"/>
              <w:right w:val="outset" w:sz="6" w:space="0" w:color="000000"/>
            </w:tcBorders>
            <w:vAlign w:val="center"/>
          </w:tcPr>
          <w:p w:rsidR="00651160" w:rsidRPr="00E971BF" w:rsidRDefault="00651160" w:rsidP="00651160">
            <w:pPr>
              <w:spacing w:before="100" w:beforeAutospacing="1" w:after="100" w:afterAutospacing="1"/>
              <w:jc w:val="center"/>
            </w:pPr>
            <w:r w:rsidRPr="00E971BF">
              <w:t>B</w:t>
            </w:r>
          </w:p>
        </w:tc>
        <w:tc>
          <w:tcPr>
            <w:tcW w:w="1164" w:type="pct"/>
            <w:tcBorders>
              <w:top w:val="outset" w:sz="6" w:space="0" w:color="000000"/>
              <w:left w:val="outset" w:sz="6" w:space="0" w:color="000000"/>
              <w:bottom w:val="outset" w:sz="6" w:space="0" w:color="000000"/>
              <w:right w:val="outset" w:sz="6" w:space="0" w:color="000000"/>
            </w:tcBorders>
            <w:vAlign w:val="center"/>
          </w:tcPr>
          <w:p w:rsidR="00651160" w:rsidRPr="00E971BF" w:rsidRDefault="00651160" w:rsidP="00651160">
            <w:pPr>
              <w:spacing w:before="100" w:beforeAutospacing="1" w:after="100" w:afterAutospacing="1"/>
              <w:jc w:val="center"/>
            </w:pPr>
            <w:r w:rsidRPr="00E971BF">
              <w:t>C</w:t>
            </w:r>
          </w:p>
        </w:tc>
        <w:tc>
          <w:tcPr>
            <w:tcW w:w="1413" w:type="pct"/>
            <w:tcBorders>
              <w:top w:val="outset" w:sz="6" w:space="0" w:color="000000"/>
              <w:left w:val="outset" w:sz="6" w:space="0" w:color="000000"/>
              <w:bottom w:val="outset" w:sz="6" w:space="0" w:color="000000"/>
              <w:right w:val="outset" w:sz="6" w:space="0" w:color="000000"/>
            </w:tcBorders>
            <w:vAlign w:val="center"/>
          </w:tcPr>
          <w:p w:rsidR="00651160" w:rsidRPr="00E971BF" w:rsidRDefault="00651160" w:rsidP="00651160">
            <w:pPr>
              <w:spacing w:before="100" w:beforeAutospacing="1" w:after="100" w:afterAutospacing="1"/>
              <w:jc w:val="center"/>
            </w:pPr>
            <w:r w:rsidRPr="00E971BF">
              <w:t>D</w:t>
            </w:r>
          </w:p>
        </w:tc>
      </w:tr>
      <w:tr w:rsidR="00754E5A" w:rsidRPr="00E971BF" w:rsidTr="00CF7D4A">
        <w:tc>
          <w:tcPr>
            <w:tcW w:w="1181" w:type="pct"/>
            <w:tcBorders>
              <w:top w:val="outset" w:sz="6" w:space="0" w:color="000000"/>
              <w:left w:val="outset" w:sz="6" w:space="0" w:color="000000"/>
              <w:bottom w:val="outset" w:sz="6" w:space="0" w:color="000000"/>
              <w:right w:val="outset" w:sz="6" w:space="0" w:color="000000"/>
            </w:tcBorders>
            <w:vAlign w:val="center"/>
          </w:tcPr>
          <w:p w:rsidR="00754E5A" w:rsidRPr="00E971BF" w:rsidRDefault="00754E5A" w:rsidP="00651160">
            <w:pPr>
              <w:spacing w:before="100" w:beforeAutospacing="1" w:after="100" w:afterAutospacing="1"/>
              <w:jc w:val="both"/>
            </w:pPr>
            <w:r w:rsidRPr="00E971BF">
              <w:t xml:space="preserve">Attiecīgā ES tiesību akta panta numurs </w:t>
            </w:r>
            <w:r w:rsidRPr="00E971BF">
              <w:lastRenderedPageBreak/>
              <w:t>(uzskaitot katru tiesību akta vienību – pantu, daļu, punktu, apakšpunktu)</w:t>
            </w:r>
          </w:p>
        </w:tc>
        <w:tc>
          <w:tcPr>
            <w:tcW w:w="1242"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lastRenderedPageBreak/>
              <w:t xml:space="preserve">Projekta vienība, kas pārņem vai ievieš </w:t>
            </w:r>
            <w:r w:rsidRPr="00754E5A">
              <w:lastRenderedPageBreak/>
              <w:t>katru šīs tabulas A ailē minēto ES tiesību akta vienību, vai tiesību akts, kur attiecīgā ES tiesību akta vienība pārņemta vai ieviesta</w:t>
            </w:r>
          </w:p>
        </w:tc>
        <w:tc>
          <w:tcPr>
            <w:tcW w:w="1164"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lastRenderedPageBreak/>
              <w:t xml:space="preserve">Informācija par to, vai šīs tabulas A ailē </w:t>
            </w:r>
            <w:r w:rsidRPr="00754E5A">
              <w:lastRenderedPageBreak/>
              <w:t xml:space="preserve">minētās ES tiesību akta vienības tiek pārņemtas vai ieviestas pilnībā vai daļēji. </w:t>
            </w:r>
          </w:p>
          <w:p w:rsidR="00754E5A" w:rsidRPr="00754E5A" w:rsidRDefault="00754E5A" w:rsidP="00754E5A">
            <w:pPr>
              <w:pStyle w:val="NoSpacing"/>
            </w:pPr>
            <w:r w:rsidRPr="00754E5A">
              <w:t>Ja attiecīgā ES tiesību akta vienība tiek pārņemta vai ieviesta daļēji, sniedz attiecīgu skaidrojumu, kā arī precīzi norāda, kad un kādā veidā ES tiesību akta vienība tiks pārņemta vai ieviesta pilnībā.</w:t>
            </w:r>
          </w:p>
          <w:p w:rsidR="00754E5A" w:rsidRPr="00754E5A" w:rsidRDefault="00754E5A" w:rsidP="00754E5A">
            <w:pPr>
              <w:pStyle w:val="NoSpacing"/>
            </w:pPr>
            <w:r w:rsidRPr="00754E5A">
              <w:t>Norāda institūciju, kas ir atbildīga par šo saistību izpildi pilnībā</w:t>
            </w:r>
          </w:p>
        </w:tc>
        <w:tc>
          <w:tcPr>
            <w:tcW w:w="1413"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lastRenderedPageBreak/>
              <w:t xml:space="preserve">Informācija par to, vai šīs tabulas B ailē minētās </w:t>
            </w:r>
            <w:r w:rsidRPr="00754E5A">
              <w:lastRenderedPageBreak/>
              <w:t xml:space="preserve">projekta vienības paredz stingrākas prasības nekā šīs tabulas A ailē minētās ES tiesību akta vienības. </w:t>
            </w:r>
          </w:p>
          <w:p w:rsidR="00754E5A" w:rsidRPr="00754E5A" w:rsidRDefault="00754E5A" w:rsidP="00754E5A">
            <w:pPr>
              <w:pStyle w:val="NoSpacing"/>
            </w:pPr>
            <w:r w:rsidRPr="00754E5A">
              <w:t>Ja projekts satur stingrākas prasības nekā attiecīgais ES tiesību akts, norāda pamatojumu un samērīgumu.</w:t>
            </w:r>
          </w:p>
          <w:p w:rsidR="00754E5A" w:rsidRPr="00754E5A" w:rsidRDefault="00754E5A" w:rsidP="00754E5A">
            <w:pPr>
              <w:pStyle w:val="NoSpacing"/>
            </w:pPr>
            <w:r w:rsidRPr="00754E5A">
              <w:t>Norāda iespējamās alternatīvas (t.sk. alternatīvas, kas neparedz tiesiskā regulējuma izstrādi) – kādos gadījumos būtu iespējams izvairīties no stingrāku prasību noteikšanas, nekā paredzēts attiecīgajos ES tiesību aktos</w:t>
            </w:r>
          </w:p>
        </w:tc>
      </w:tr>
      <w:tr w:rsidR="00007814" w:rsidRPr="00E971BF" w:rsidTr="00CF7D4A">
        <w:tc>
          <w:tcPr>
            <w:tcW w:w="1181" w:type="pct"/>
            <w:tcBorders>
              <w:top w:val="outset" w:sz="6" w:space="0" w:color="000000"/>
              <w:left w:val="outset" w:sz="6" w:space="0" w:color="000000"/>
              <w:bottom w:val="outset" w:sz="6" w:space="0" w:color="000000"/>
              <w:right w:val="outset" w:sz="6" w:space="0" w:color="000000"/>
            </w:tcBorders>
          </w:tcPr>
          <w:p w:rsidR="00007814" w:rsidRPr="00E971BF" w:rsidRDefault="00E86517" w:rsidP="00651160">
            <w:pPr>
              <w:spacing w:before="100" w:beforeAutospacing="1" w:after="100" w:afterAutospacing="1"/>
            </w:pPr>
            <w:r>
              <w:lastRenderedPageBreak/>
              <w:t>13.panta 6.punkts</w:t>
            </w:r>
          </w:p>
        </w:tc>
        <w:tc>
          <w:tcPr>
            <w:tcW w:w="1242" w:type="pct"/>
            <w:tcBorders>
              <w:top w:val="outset" w:sz="6" w:space="0" w:color="000000"/>
              <w:left w:val="outset" w:sz="6" w:space="0" w:color="000000"/>
              <w:bottom w:val="outset" w:sz="6" w:space="0" w:color="000000"/>
              <w:right w:val="outset" w:sz="6" w:space="0" w:color="000000"/>
            </w:tcBorders>
          </w:tcPr>
          <w:p w:rsidR="00007814" w:rsidRPr="00E971BF" w:rsidRDefault="00BF173B" w:rsidP="00651160">
            <w:pPr>
              <w:spacing w:before="100" w:beforeAutospacing="1" w:after="100" w:afterAutospacing="1"/>
              <w:rPr>
                <w:bCs/>
              </w:rPr>
            </w:pPr>
            <w:r>
              <w:rPr>
                <w:bCs/>
              </w:rPr>
              <w:t>4</w:t>
            </w:r>
            <w:r w:rsidR="00E86517">
              <w:rPr>
                <w:bCs/>
              </w:rPr>
              <w:t>. punkts</w:t>
            </w:r>
          </w:p>
        </w:tc>
        <w:tc>
          <w:tcPr>
            <w:tcW w:w="1164" w:type="pct"/>
            <w:tcBorders>
              <w:top w:val="outset" w:sz="6" w:space="0" w:color="000000"/>
              <w:left w:val="outset" w:sz="6" w:space="0" w:color="000000"/>
              <w:bottom w:val="outset" w:sz="6" w:space="0" w:color="000000"/>
              <w:right w:val="outset" w:sz="6" w:space="0" w:color="000000"/>
            </w:tcBorders>
          </w:tcPr>
          <w:p w:rsidR="00007814" w:rsidRPr="00E971BF" w:rsidRDefault="00007814" w:rsidP="00651160">
            <w:pPr>
              <w:spacing w:before="100" w:beforeAutospacing="1" w:after="100" w:afterAutospacing="1"/>
            </w:pPr>
            <w:r w:rsidRPr="00E971BF">
              <w:t>ieviestas pilnībā</w:t>
            </w:r>
          </w:p>
        </w:tc>
        <w:tc>
          <w:tcPr>
            <w:tcW w:w="1413" w:type="pct"/>
            <w:tcBorders>
              <w:top w:val="outset" w:sz="6" w:space="0" w:color="000000"/>
              <w:left w:val="outset" w:sz="6" w:space="0" w:color="000000"/>
              <w:bottom w:val="outset" w:sz="6" w:space="0" w:color="000000"/>
              <w:right w:val="outset" w:sz="6" w:space="0" w:color="000000"/>
            </w:tcBorders>
          </w:tcPr>
          <w:p w:rsidR="00007814" w:rsidRPr="00E971BF" w:rsidRDefault="00007814" w:rsidP="00651160">
            <w:pPr>
              <w:spacing w:before="100" w:beforeAutospacing="1" w:after="100" w:afterAutospacing="1"/>
              <w:rPr>
                <w:bCs/>
              </w:rPr>
            </w:pPr>
            <w:r w:rsidRPr="00E971BF">
              <w:rPr>
                <w:bCs/>
              </w:rPr>
              <w:t>neparedz stingrākas prasības</w:t>
            </w:r>
          </w:p>
        </w:tc>
      </w:tr>
      <w:tr w:rsidR="00007814" w:rsidRPr="00E971BF" w:rsidTr="00CF7D4A">
        <w:tc>
          <w:tcPr>
            <w:tcW w:w="1181" w:type="pct"/>
            <w:tcBorders>
              <w:top w:val="outset" w:sz="6" w:space="0" w:color="000000"/>
              <w:left w:val="outset" w:sz="6" w:space="0" w:color="000000"/>
              <w:bottom w:val="outset" w:sz="6" w:space="0" w:color="000000"/>
              <w:right w:val="outset" w:sz="6" w:space="0" w:color="000000"/>
            </w:tcBorders>
          </w:tcPr>
          <w:p w:rsidR="00007814" w:rsidRPr="00E971BF" w:rsidRDefault="00E86517" w:rsidP="00E86517">
            <w:pPr>
              <w:spacing w:before="100" w:beforeAutospacing="1" w:after="100" w:afterAutospacing="1"/>
            </w:pPr>
            <w:r>
              <w:t>19.panta 4.punkts</w:t>
            </w:r>
          </w:p>
        </w:tc>
        <w:tc>
          <w:tcPr>
            <w:tcW w:w="1242" w:type="pct"/>
            <w:tcBorders>
              <w:top w:val="outset" w:sz="6" w:space="0" w:color="000000"/>
              <w:left w:val="outset" w:sz="6" w:space="0" w:color="000000"/>
              <w:bottom w:val="outset" w:sz="6" w:space="0" w:color="000000"/>
              <w:right w:val="outset" w:sz="6" w:space="0" w:color="000000"/>
            </w:tcBorders>
          </w:tcPr>
          <w:p w:rsidR="00007814" w:rsidRPr="00E971BF" w:rsidRDefault="00BF173B" w:rsidP="00910DF9">
            <w:pPr>
              <w:spacing w:before="100" w:beforeAutospacing="1" w:after="100" w:afterAutospacing="1"/>
              <w:rPr>
                <w:bCs/>
              </w:rPr>
            </w:pPr>
            <w:r>
              <w:t>11. un 12</w:t>
            </w:r>
            <w:r w:rsidR="00E86517">
              <w:t>.punkts</w:t>
            </w:r>
          </w:p>
        </w:tc>
        <w:tc>
          <w:tcPr>
            <w:tcW w:w="1164" w:type="pct"/>
            <w:tcBorders>
              <w:top w:val="outset" w:sz="6" w:space="0" w:color="000000"/>
              <w:left w:val="outset" w:sz="6" w:space="0" w:color="000000"/>
              <w:bottom w:val="outset" w:sz="6" w:space="0" w:color="000000"/>
              <w:right w:val="outset" w:sz="6" w:space="0" w:color="000000"/>
            </w:tcBorders>
          </w:tcPr>
          <w:p w:rsidR="00007814" w:rsidRPr="00E971BF" w:rsidRDefault="00007814" w:rsidP="00651160">
            <w:pPr>
              <w:spacing w:before="100" w:beforeAutospacing="1" w:after="100" w:afterAutospacing="1"/>
            </w:pPr>
            <w:r w:rsidRPr="00E971BF">
              <w:t>ieviestas pilnībā</w:t>
            </w:r>
          </w:p>
        </w:tc>
        <w:tc>
          <w:tcPr>
            <w:tcW w:w="1413" w:type="pct"/>
            <w:tcBorders>
              <w:top w:val="outset" w:sz="6" w:space="0" w:color="000000"/>
              <w:left w:val="outset" w:sz="6" w:space="0" w:color="000000"/>
              <w:bottom w:val="outset" w:sz="6" w:space="0" w:color="000000"/>
              <w:right w:val="outset" w:sz="6" w:space="0" w:color="000000"/>
            </w:tcBorders>
          </w:tcPr>
          <w:p w:rsidR="00007814" w:rsidRPr="00E971BF" w:rsidRDefault="00007814" w:rsidP="00651160">
            <w:pPr>
              <w:spacing w:before="100" w:beforeAutospacing="1" w:after="100" w:afterAutospacing="1"/>
              <w:rPr>
                <w:bCs/>
              </w:rPr>
            </w:pPr>
            <w:r w:rsidRPr="00E971BF">
              <w:rPr>
                <w:bCs/>
              </w:rPr>
              <w:t>neparedz stingrākas prasības</w:t>
            </w:r>
          </w:p>
        </w:tc>
      </w:tr>
      <w:tr w:rsidR="00007814" w:rsidRPr="00E971BF" w:rsidTr="00CF7D4A">
        <w:tc>
          <w:tcPr>
            <w:tcW w:w="1181" w:type="pct"/>
            <w:tcBorders>
              <w:top w:val="outset" w:sz="6" w:space="0" w:color="000000"/>
              <w:left w:val="outset" w:sz="6" w:space="0" w:color="000000"/>
              <w:bottom w:val="outset" w:sz="6" w:space="0" w:color="000000"/>
              <w:right w:val="outset" w:sz="6" w:space="0" w:color="000000"/>
            </w:tcBorders>
          </w:tcPr>
          <w:p w:rsidR="00007814" w:rsidRPr="00E971BF" w:rsidRDefault="00E86517" w:rsidP="00651160">
            <w:pPr>
              <w:spacing w:before="100" w:beforeAutospacing="1" w:after="100" w:afterAutospacing="1"/>
            </w:pPr>
            <w:r>
              <w:t>19.panta 5.punkts</w:t>
            </w:r>
          </w:p>
        </w:tc>
        <w:tc>
          <w:tcPr>
            <w:tcW w:w="1242" w:type="pct"/>
            <w:tcBorders>
              <w:top w:val="outset" w:sz="6" w:space="0" w:color="000000"/>
              <w:left w:val="outset" w:sz="6" w:space="0" w:color="000000"/>
              <w:bottom w:val="outset" w:sz="6" w:space="0" w:color="000000"/>
              <w:right w:val="outset" w:sz="6" w:space="0" w:color="000000"/>
            </w:tcBorders>
          </w:tcPr>
          <w:p w:rsidR="00007814" w:rsidRPr="00E971BF" w:rsidRDefault="00E86517" w:rsidP="00651160">
            <w:pPr>
              <w:spacing w:before="100" w:beforeAutospacing="1" w:after="100" w:afterAutospacing="1"/>
              <w:rPr>
                <w:bCs/>
              </w:rPr>
            </w:pPr>
            <w:r>
              <w:rPr>
                <w:bCs/>
              </w:rPr>
              <w:t>10.punkts</w:t>
            </w:r>
          </w:p>
        </w:tc>
        <w:tc>
          <w:tcPr>
            <w:tcW w:w="1164" w:type="pct"/>
            <w:tcBorders>
              <w:top w:val="outset" w:sz="6" w:space="0" w:color="000000"/>
              <w:left w:val="outset" w:sz="6" w:space="0" w:color="000000"/>
              <w:bottom w:val="outset" w:sz="6" w:space="0" w:color="000000"/>
              <w:right w:val="outset" w:sz="6" w:space="0" w:color="000000"/>
            </w:tcBorders>
          </w:tcPr>
          <w:p w:rsidR="00007814" w:rsidRPr="00E971BF" w:rsidRDefault="004E4C8A" w:rsidP="00651160">
            <w:pPr>
              <w:spacing w:before="100" w:beforeAutospacing="1" w:after="100" w:afterAutospacing="1"/>
            </w:pPr>
            <w:r w:rsidRPr="00E971BF">
              <w:t>ieviestas pilnībā</w:t>
            </w:r>
          </w:p>
        </w:tc>
        <w:tc>
          <w:tcPr>
            <w:tcW w:w="1413" w:type="pct"/>
            <w:tcBorders>
              <w:top w:val="outset" w:sz="6" w:space="0" w:color="000000"/>
              <w:left w:val="outset" w:sz="6" w:space="0" w:color="000000"/>
              <w:bottom w:val="outset" w:sz="6" w:space="0" w:color="000000"/>
              <w:right w:val="outset" w:sz="6" w:space="0" w:color="000000"/>
            </w:tcBorders>
          </w:tcPr>
          <w:p w:rsidR="00007814" w:rsidRPr="00E971BF" w:rsidRDefault="004E4C8A" w:rsidP="00651160">
            <w:pPr>
              <w:spacing w:before="100" w:beforeAutospacing="1" w:after="100" w:afterAutospacing="1"/>
              <w:rPr>
                <w:bCs/>
              </w:rPr>
            </w:pPr>
            <w:r w:rsidRPr="00E971BF">
              <w:rPr>
                <w:bCs/>
              </w:rPr>
              <w:t>neparedz stingrākas prasības</w:t>
            </w:r>
          </w:p>
        </w:tc>
      </w:tr>
      <w:tr w:rsidR="00CA515E" w:rsidRPr="00E971BF" w:rsidTr="00CF7D4A">
        <w:tc>
          <w:tcPr>
            <w:tcW w:w="1181" w:type="pct"/>
            <w:tcBorders>
              <w:top w:val="outset" w:sz="6" w:space="0" w:color="000000"/>
              <w:left w:val="outset" w:sz="6" w:space="0" w:color="000000"/>
              <w:bottom w:val="outset" w:sz="6" w:space="0" w:color="000000"/>
              <w:right w:val="outset" w:sz="6" w:space="0" w:color="000000"/>
            </w:tcBorders>
          </w:tcPr>
          <w:p w:rsidR="00CA515E" w:rsidRPr="00E971BF" w:rsidRDefault="002348A7" w:rsidP="00651160">
            <w:pPr>
              <w:spacing w:before="100" w:beforeAutospacing="1" w:after="100" w:afterAutospacing="1"/>
            </w:pPr>
            <w:r>
              <w:t>22. pants</w:t>
            </w:r>
          </w:p>
        </w:tc>
        <w:tc>
          <w:tcPr>
            <w:tcW w:w="1242" w:type="pct"/>
            <w:tcBorders>
              <w:top w:val="outset" w:sz="6" w:space="0" w:color="000000"/>
              <w:left w:val="outset" w:sz="6" w:space="0" w:color="000000"/>
              <w:bottom w:val="outset" w:sz="6" w:space="0" w:color="000000"/>
              <w:right w:val="outset" w:sz="6" w:space="0" w:color="000000"/>
            </w:tcBorders>
          </w:tcPr>
          <w:p w:rsidR="00CA515E" w:rsidRPr="00E971BF" w:rsidRDefault="00BF173B" w:rsidP="00651160">
            <w:pPr>
              <w:spacing w:before="100" w:beforeAutospacing="1" w:after="100" w:afterAutospacing="1"/>
              <w:rPr>
                <w:bCs/>
              </w:rPr>
            </w:pPr>
            <w:r>
              <w:rPr>
                <w:bCs/>
              </w:rPr>
              <w:t>3</w:t>
            </w:r>
            <w:r w:rsidR="002348A7">
              <w:rPr>
                <w:bCs/>
              </w:rPr>
              <w:t>. punkts</w:t>
            </w:r>
          </w:p>
        </w:tc>
        <w:tc>
          <w:tcPr>
            <w:tcW w:w="1164" w:type="pct"/>
            <w:tcBorders>
              <w:top w:val="outset" w:sz="6" w:space="0" w:color="000000"/>
              <w:left w:val="outset" w:sz="6" w:space="0" w:color="000000"/>
              <w:bottom w:val="outset" w:sz="6" w:space="0" w:color="000000"/>
              <w:right w:val="outset" w:sz="6" w:space="0" w:color="000000"/>
            </w:tcBorders>
          </w:tcPr>
          <w:p w:rsidR="00CA515E" w:rsidRPr="00E971BF" w:rsidRDefault="00CA515E" w:rsidP="00651160">
            <w:pPr>
              <w:spacing w:before="100" w:beforeAutospacing="1" w:after="100" w:afterAutospacing="1"/>
            </w:pPr>
            <w:r w:rsidRPr="00E971BF">
              <w:t>ieviestas pilnībā</w:t>
            </w:r>
          </w:p>
        </w:tc>
        <w:tc>
          <w:tcPr>
            <w:tcW w:w="1413" w:type="pct"/>
            <w:tcBorders>
              <w:top w:val="outset" w:sz="6" w:space="0" w:color="000000"/>
              <w:left w:val="outset" w:sz="6" w:space="0" w:color="000000"/>
              <w:bottom w:val="outset" w:sz="6" w:space="0" w:color="000000"/>
              <w:right w:val="outset" w:sz="6" w:space="0" w:color="000000"/>
            </w:tcBorders>
          </w:tcPr>
          <w:p w:rsidR="00CA515E" w:rsidRPr="00E971BF" w:rsidRDefault="00CA515E" w:rsidP="00651160">
            <w:pPr>
              <w:spacing w:before="100" w:beforeAutospacing="1" w:after="100" w:afterAutospacing="1"/>
              <w:rPr>
                <w:bCs/>
              </w:rPr>
            </w:pPr>
            <w:r w:rsidRPr="00E971BF">
              <w:rPr>
                <w:bCs/>
              </w:rPr>
              <w:t>neparedz stingrākas prasības</w:t>
            </w:r>
          </w:p>
        </w:tc>
      </w:tr>
      <w:tr w:rsidR="00CA515E" w:rsidRPr="00E971BF" w:rsidTr="00CF7D4A">
        <w:tc>
          <w:tcPr>
            <w:tcW w:w="1181" w:type="pct"/>
            <w:tcBorders>
              <w:top w:val="outset" w:sz="6" w:space="0" w:color="000000"/>
              <w:left w:val="outset" w:sz="6" w:space="0" w:color="000000"/>
              <w:bottom w:val="outset" w:sz="6" w:space="0" w:color="000000"/>
              <w:right w:val="outset" w:sz="6" w:space="0" w:color="000000"/>
            </w:tcBorders>
          </w:tcPr>
          <w:p w:rsidR="00CA515E" w:rsidRPr="00E971BF" w:rsidRDefault="002348A7" w:rsidP="00651160">
            <w:pPr>
              <w:spacing w:before="100" w:beforeAutospacing="1" w:after="100" w:afterAutospacing="1"/>
            </w:pPr>
            <w:r>
              <w:t>23.pants</w:t>
            </w:r>
          </w:p>
        </w:tc>
        <w:tc>
          <w:tcPr>
            <w:tcW w:w="1242" w:type="pct"/>
            <w:tcBorders>
              <w:top w:val="outset" w:sz="6" w:space="0" w:color="000000"/>
              <w:left w:val="outset" w:sz="6" w:space="0" w:color="000000"/>
              <w:bottom w:val="outset" w:sz="6" w:space="0" w:color="000000"/>
              <w:right w:val="outset" w:sz="6" w:space="0" w:color="000000"/>
            </w:tcBorders>
          </w:tcPr>
          <w:p w:rsidR="00CA515E" w:rsidRPr="00E971BF" w:rsidRDefault="00BF173B" w:rsidP="00BF173B">
            <w:pPr>
              <w:spacing w:before="100" w:beforeAutospacing="1" w:after="100" w:afterAutospacing="1"/>
              <w:rPr>
                <w:bCs/>
              </w:rPr>
            </w:pPr>
            <w:r>
              <w:rPr>
                <w:bCs/>
              </w:rPr>
              <w:t>5. un 6.</w:t>
            </w:r>
            <w:r w:rsidR="002348A7">
              <w:rPr>
                <w:bCs/>
              </w:rPr>
              <w:t xml:space="preserve"> punkts</w:t>
            </w:r>
          </w:p>
        </w:tc>
        <w:tc>
          <w:tcPr>
            <w:tcW w:w="1164" w:type="pct"/>
            <w:tcBorders>
              <w:top w:val="outset" w:sz="6" w:space="0" w:color="000000"/>
              <w:left w:val="outset" w:sz="6" w:space="0" w:color="000000"/>
              <w:bottom w:val="outset" w:sz="6" w:space="0" w:color="000000"/>
              <w:right w:val="outset" w:sz="6" w:space="0" w:color="000000"/>
            </w:tcBorders>
          </w:tcPr>
          <w:p w:rsidR="00CA515E" w:rsidRPr="00E971BF" w:rsidRDefault="00A94389" w:rsidP="00651160">
            <w:pPr>
              <w:spacing w:before="100" w:beforeAutospacing="1" w:after="100" w:afterAutospacing="1"/>
            </w:pPr>
            <w:r w:rsidRPr="00E971BF">
              <w:t>ieviestas pilnībā</w:t>
            </w:r>
          </w:p>
        </w:tc>
        <w:tc>
          <w:tcPr>
            <w:tcW w:w="1413" w:type="pct"/>
            <w:tcBorders>
              <w:top w:val="outset" w:sz="6" w:space="0" w:color="000000"/>
              <w:left w:val="outset" w:sz="6" w:space="0" w:color="000000"/>
              <w:bottom w:val="outset" w:sz="6" w:space="0" w:color="000000"/>
              <w:right w:val="outset" w:sz="6" w:space="0" w:color="000000"/>
            </w:tcBorders>
          </w:tcPr>
          <w:p w:rsidR="00CA515E" w:rsidRPr="00E971BF" w:rsidRDefault="00A94389" w:rsidP="00651160">
            <w:pPr>
              <w:spacing w:before="100" w:beforeAutospacing="1" w:after="100" w:afterAutospacing="1"/>
              <w:rPr>
                <w:bCs/>
              </w:rPr>
            </w:pPr>
            <w:r w:rsidRPr="00E971BF">
              <w:rPr>
                <w:bCs/>
              </w:rPr>
              <w:t>neparedz stingrākas prasības</w:t>
            </w:r>
          </w:p>
        </w:tc>
      </w:tr>
      <w:tr w:rsidR="002348A7" w:rsidRPr="00E971BF" w:rsidTr="00CF7D4A">
        <w:tc>
          <w:tcPr>
            <w:tcW w:w="1181" w:type="pct"/>
            <w:tcBorders>
              <w:top w:val="outset" w:sz="6" w:space="0" w:color="000000"/>
              <w:left w:val="outset" w:sz="6" w:space="0" w:color="000000"/>
              <w:bottom w:val="outset" w:sz="6" w:space="0" w:color="000000"/>
              <w:right w:val="outset" w:sz="6" w:space="0" w:color="000000"/>
            </w:tcBorders>
          </w:tcPr>
          <w:p w:rsidR="002348A7" w:rsidRDefault="002348A7" w:rsidP="00651160">
            <w:pPr>
              <w:spacing w:before="100" w:beforeAutospacing="1" w:after="100" w:afterAutospacing="1"/>
            </w:pPr>
            <w:r>
              <w:t>34.panta1.punkts</w:t>
            </w:r>
          </w:p>
        </w:tc>
        <w:tc>
          <w:tcPr>
            <w:tcW w:w="1242" w:type="pct"/>
            <w:tcBorders>
              <w:top w:val="outset" w:sz="6" w:space="0" w:color="000000"/>
              <w:left w:val="outset" w:sz="6" w:space="0" w:color="000000"/>
              <w:bottom w:val="outset" w:sz="6" w:space="0" w:color="000000"/>
              <w:right w:val="outset" w:sz="6" w:space="0" w:color="000000"/>
            </w:tcBorders>
          </w:tcPr>
          <w:p w:rsidR="002348A7" w:rsidRDefault="00BF173B" w:rsidP="002348A7">
            <w:pPr>
              <w:spacing w:before="100" w:beforeAutospacing="1" w:after="100" w:afterAutospacing="1"/>
              <w:rPr>
                <w:bCs/>
              </w:rPr>
            </w:pPr>
            <w:r>
              <w:rPr>
                <w:bCs/>
              </w:rPr>
              <w:t>3</w:t>
            </w:r>
            <w:r w:rsidR="002348A7">
              <w:rPr>
                <w:bCs/>
              </w:rPr>
              <w:t>.punkts</w:t>
            </w:r>
          </w:p>
        </w:tc>
        <w:tc>
          <w:tcPr>
            <w:tcW w:w="1164" w:type="pct"/>
            <w:tcBorders>
              <w:top w:val="outset" w:sz="6" w:space="0" w:color="000000"/>
              <w:left w:val="outset" w:sz="6" w:space="0" w:color="000000"/>
              <w:bottom w:val="outset" w:sz="6" w:space="0" w:color="000000"/>
              <w:right w:val="outset" w:sz="6" w:space="0" w:color="000000"/>
            </w:tcBorders>
          </w:tcPr>
          <w:p w:rsidR="002348A7" w:rsidRPr="00E971BF" w:rsidRDefault="002348A7" w:rsidP="00651160">
            <w:pPr>
              <w:spacing w:before="100" w:beforeAutospacing="1" w:after="100" w:afterAutospacing="1"/>
            </w:pPr>
          </w:p>
        </w:tc>
        <w:tc>
          <w:tcPr>
            <w:tcW w:w="1413" w:type="pct"/>
            <w:tcBorders>
              <w:top w:val="outset" w:sz="6" w:space="0" w:color="000000"/>
              <w:left w:val="outset" w:sz="6" w:space="0" w:color="000000"/>
              <w:bottom w:val="outset" w:sz="6" w:space="0" w:color="000000"/>
              <w:right w:val="outset" w:sz="6" w:space="0" w:color="000000"/>
            </w:tcBorders>
          </w:tcPr>
          <w:p w:rsidR="002348A7" w:rsidRPr="00E971BF" w:rsidRDefault="002348A7" w:rsidP="00651160">
            <w:pPr>
              <w:spacing w:before="100" w:beforeAutospacing="1" w:after="100" w:afterAutospacing="1"/>
              <w:rPr>
                <w:bCs/>
              </w:rPr>
            </w:pPr>
          </w:p>
        </w:tc>
      </w:tr>
      <w:tr w:rsidR="00A94389" w:rsidRPr="00E971BF" w:rsidTr="00CF7D4A">
        <w:tc>
          <w:tcPr>
            <w:tcW w:w="1181" w:type="pct"/>
            <w:tcBorders>
              <w:top w:val="outset" w:sz="6" w:space="0" w:color="000000"/>
              <w:left w:val="outset" w:sz="6" w:space="0" w:color="000000"/>
              <w:bottom w:val="outset" w:sz="6" w:space="0" w:color="000000"/>
              <w:right w:val="outset" w:sz="6" w:space="0" w:color="000000"/>
            </w:tcBorders>
          </w:tcPr>
          <w:p w:rsidR="00A94389" w:rsidRPr="00E971BF" w:rsidRDefault="002348A7" w:rsidP="00EF4947">
            <w:pPr>
              <w:spacing w:before="100" w:beforeAutospacing="1" w:after="100" w:afterAutospacing="1"/>
            </w:pPr>
            <w:r>
              <w:t>3</w:t>
            </w:r>
            <w:r w:rsidR="00EF4947">
              <w:t>8</w:t>
            </w:r>
            <w:r>
              <w:t>.panta ceturtā daļa</w:t>
            </w:r>
          </w:p>
        </w:tc>
        <w:tc>
          <w:tcPr>
            <w:tcW w:w="1242" w:type="pct"/>
            <w:tcBorders>
              <w:top w:val="outset" w:sz="6" w:space="0" w:color="000000"/>
              <w:left w:val="outset" w:sz="6" w:space="0" w:color="000000"/>
              <w:bottom w:val="outset" w:sz="6" w:space="0" w:color="000000"/>
              <w:right w:val="outset" w:sz="6" w:space="0" w:color="000000"/>
            </w:tcBorders>
          </w:tcPr>
          <w:p w:rsidR="00A94389" w:rsidRPr="00E971BF" w:rsidRDefault="002348A7" w:rsidP="00BF173B">
            <w:pPr>
              <w:spacing w:before="100" w:beforeAutospacing="1" w:after="100" w:afterAutospacing="1"/>
              <w:rPr>
                <w:bCs/>
              </w:rPr>
            </w:pPr>
            <w:r>
              <w:rPr>
                <w:bCs/>
              </w:rPr>
              <w:t>1</w:t>
            </w:r>
            <w:r w:rsidR="00BF173B">
              <w:rPr>
                <w:bCs/>
              </w:rPr>
              <w:t>4</w:t>
            </w:r>
            <w:r>
              <w:rPr>
                <w:bCs/>
              </w:rPr>
              <w:t>. un 1</w:t>
            </w:r>
            <w:r w:rsidR="00BF173B">
              <w:rPr>
                <w:bCs/>
              </w:rPr>
              <w:t>7</w:t>
            </w:r>
            <w:r>
              <w:rPr>
                <w:bCs/>
              </w:rPr>
              <w:t>.punkts</w:t>
            </w:r>
          </w:p>
        </w:tc>
        <w:tc>
          <w:tcPr>
            <w:tcW w:w="1164" w:type="pct"/>
            <w:tcBorders>
              <w:top w:val="outset" w:sz="6" w:space="0" w:color="000000"/>
              <w:left w:val="outset" w:sz="6" w:space="0" w:color="000000"/>
              <w:bottom w:val="outset" w:sz="6" w:space="0" w:color="000000"/>
              <w:right w:val="outset" w:sz="6" w:space="0" w:color="000000"/>
            </w:tcBorders>
          </w:tcPr>
          <w:p w:rsidR="00A94389" w:rsidRPr="00E971BF" w:rsidRDefault="00A94389" w:rsidP="00651160">
            <w:pPr>
              <w:spacing w:before="100" w:beforeAutospacing="1" w:after="100" w:afterAutospacing="1"/>
            </w:pPr>
            <w:r w:rsidRPr="00E971BF">
              <w:t>ieviestas pilnībā</w:t>
            </w:r>
          </w:p>
        </w:tc>
        <w:tc>
          <w:tcPr>
            <w:tcW w:w="1413" w:type="pct"/>
            <w:tcBorders>
              <w:top w:val="outset" w:sz="6" w:space="0" w:color="000000"/>
              <w:left w:val="outset" w:sz="6" w:space="0" w:color="000000"/>
              <w:bottom w:val="outset" w:sz="6" w:space="0" w:color="000000"/>
              <w:right w:val="outset" w:sz="6" w:space="0" w:color="000000"/>
            </w:tcBorders>
          </w:tcPr>
          <w:p w:rsidR="00A94389" w:rsidRPr="00E971BF" w:rsidRDefault="00A94389" w:rsidP="00651160">
            <w:pPr>
              <w:spacing w:before="100" w:beforeAutospacing="1" w:after="100" w:afterAutospacing="1"/>
              <w:rPr>
                <w:bCs/>
              </w:rPr>
            </w:pPr>
            <w:r w:rsidRPr="00E971BF">
              <w:rPr>
                <w:bCs/>
              </w:rPr>
              <w:t>neparedz stingrākas prasības</w:t>
            </w:r>
          </w:p>
        </w:tc>
      </w:tr>
      <w:tr w:rsidR="00651160" w:rsidRPr="00E971BF" w:rsidTr="00CF7D4A">
        <w:tc>
          <w:tcPr>
            <w:tcW w:w="1181" w:type="pct"/>
            <w:tcBorders>
              <w:top w:val="outset" w:sz="6" w:space="0" w:color="000000"/>
              <w:left w:val="outset" w:sz="6" w:space="0" w:color="000000"/>
              <w:bottom w:val="outset" w:sz="6" w:space="0" w:color="000000"/>
              <w:right w:val="outset" w:sz="6" w:space="0" w:color="000000"/>
            </w:tcBorders>
            <w:vAlign w:val="center"/>
          </w:tcPr>
          <w:p w:rsidR="00651160" w:rsidRPr="00E971BF" w:rsidRDefault="00651160" w:rsidP="00651160">
            <w:pPr>
              <w:spacing w:before="100" w:beforeAutospacing="1" w:after="100" w:afterAutospacing="1"/>
            </w:pPr>
            <w:r w:rsidRPr="00E971BF">
              <w:t>Kā ir izmantota ES tiesību aktā paredzētā rīcības brīvība dalībvalstij pārņemt vai ieviest noteiktas ES tiesību akta normas.</w:t>
            </w:r>
          </w:p>
          <w:p w:rsidR="00651160" w:rsidRPr="00E971BF" w:rsidRDefault="00651160" w:rsidP="00651160">
            <w:pPr>
              <w:spacing w:before="100" w:beforeAutospacing="1" w:after="100" w:afterAutospacing="1"/>
            </w:pPr>
            <w:r w:rsidRPr="00E971BF">
              <w:t>Kādēļ?</w:t>
            </w:r>
          </w:p>
        </w:tc>
        <w:tc>
          <w:tcPr>
            <w:tcW w:w="3819" w:type="pct"/>
            <w:gridSpan w:val="3"/>
            <w:tcBorders>
              <w:top w:val="outset" w:sz="6" w:space="0" w:color="000000"/>
              <w:left w:val="outset" w:sz="6" w:space="0" w:color="000000"/>
              <w:bottom w:val="outset" w:sz="6" w:space="0" w:color="000000"/>
              <w:right w:val="outset" w:sz="6" w:space="0" w:color="000000"/>
            </w:tcBorders>
          </w:tcPr>
          <w:p w:rsidR="00651160" w:rsidRPr="00E971BF" w:rsidRDefault="00E26461" w:rsidP="00E26461">
            <w:pPr>
              <w:ind w:left="12" w:right="71"/>
              <w:jc w:val="both"/>
            </w:pPr>
            <w:r w:rsidRPr="00E971BF">
              <w:t>Nav attiecināms.</w:t>
            </w:r>
          </w:p>
        </w:tc>
      </w:tr>
      <w:tr w:rsidR="00651160" w:rsidRPr="00E971BF" w:rsidTr="00CF7D4A">
        <w:tc>
          <w:tcPr>
            <w:tcW w:w="1181" w:type="pct"/>
            <w:tcBorders>
              <w:top w:val="outset" w:sz="6" w:space="0" w:color="000000"/>
              <w:left w:val="outset" w:sz="6" w:space="0" w:color="000000"/>
              <w:bottom w:val="outset" w:sz="6" w:space="0" w:color="000000"/>
              <w:right w:val="outset" w:sz="6" w:space="0" w:color="000000"/>
            </w:tcBorders>
            <w:vAlign w:val="center"/>
          </w:tcPr>
          <w:p w:rsidR="00651160" w:rsidRPr="00E971BF" w:rsidRDefault="00651160" w:rsidP="00651160">
            <w:pPr>
              <w:spacing w:before="100" w:beforeAutospacing="1" w:after="100" w:afterAutospacing="1"/>
            </w:pPr>
            <w:r w:rsidRPr="00E971BF">
              <w:t xml:space="preserve">Saistības sniegt paziņojumu ES institūcijām un ES dalībvalstīm atbilstoši normatīvajiem </w:t>
            </w:r>
            <w:r w:rsidRPr="00E971BF">
              <w:lastRenderedPageBreak/>
              <w:t>aktiem, kas regulē informācijas sniegšanu par tehnisko noteikumu, valsts atbalsta piešķiršanas un finanšu noteikumu (attiecībā uz monetāro politiku) projektiem</w:t>
            </w:r>
          </w:p>
        </w:tc>
        <w:tc>
          <w:tcPr>
            <w:tcW w:w="3819" w:type="pct"/>
            <w:gridSpan w:val="3"/>
            <w:tcBorders>
              <w:top w:val="outset" w:sz="6" w:space="0" w:color="000000"/>
              <w:left w:val="outset" w:sz="6" w:space="0" w:color="000000"/>
              <w:bottom w:val="outset" w:sz="6" w:space="0" w:color="000000"/>
              <w:right w:val="outset" w:sz="6" w:space="0" w:color="000000"/>
            </w:tcBorders>
          </w:tcPr>
          <w:p w:rsidR="00651160" w:rsidRPr="00E971BF" w:rsidRDefault="00651160" w:rsidP="00651160">
            <w:pPr>
              <w:spacing w:before="100" w:beforeAutospacing="1" w:after="100" w:afterAutospacing="1"/>
              <w:jc w:val="both"/>
            </w:pPr>
            <w:r w:rsidRPr="00E971BF">
              <w:lastRenderedPageBreak/>
              <w:t>Nav attiecināms.</w:t>
            </w:r>
          </w:p>
        </w:tc>
      </w:tr>
      <w:tr w:rsidR="00651160" w:rsidRPr="00E971BF" w:rsidTr="00CF7D4A">
        <w:tc>
          <w:tcPr>
            <w:tcW w:w="1181" w:type="pct"/>
            <w:tcBorders>
              <w:top w:val="outset" w:sz="6" w:space="0" w:color="000000"/>
              <w:left w:val="outset" w:sz="6" w:space="0" w:color="000000"/>
              <w:bottom w:val="outset" w:sz="6" w:space="0" w:color="000000"/>
              <w:right w:val="outset" w:sz="6" w:space="0" w:color="000000"/>
            </w:tcBorders>
          </w:tcPr>
          <w:p w:rsidR="00651160" w:rsidRPr="00E971BF" w:rsidRDefault="00651160" w:rsidP="00651160">
            <w:pPr>
              <w:spacing w:before="100" w:beforeAutospacing="1" w:after="100" w:afterAutospacing="1"/>
            </w:pPr>
            <w:r w:rsidRPr="00E971BF">
              <w:lastRenderedPageBreak/>
              <w:t>Cita informācija</w:t>
            </w:r>
          </w:p>
        </w:tc>
        <w:tc>
          <w:tcPr>
            <w:tcW w:w="3819" w:type="pct"/>
            <w:gridSpan w:val="3"/>
            <w:tcBorders>
              <w:top w:val="outset" w:sz="6" w:space="0" w:color="000000"/>
              <w:left w:val="outset" w:sz="6" w:space="0" w:color="000000"/>
              <w:bottom w:val="outset" w:sz="6" w:space="0" w:color="000000"/>
              <w:right w:val="outset" w:sz="6" w:space="0" w:color="000000"/>
            </w:tcBorders>
          </w:tcPr>
          <w:p w:rsidR="00651160" w:rsidRPr="00E971BF" w:rsidRDefault="00D46EA6" w:rsidP="00E8659B">
            <w:pPr>
              <w:ind w:left="12" w:right="71"/>
              <w:jc w:val="both"/>
              <w:rPr>
                <w:b/>
              </w:rPr>
            </w:pPr>
            <w:r w:rsidRPr="00E971BF">
              <w:rPr>
                <w:b/>
              </w:rPr>
              <w:t xml:space="preserve"> </w:t>
            </w:r>
          </w:p>
        </w:tc>
      </w:tr>
    </w:tbl>
    <w:p w:rsidR="004E5FB9" w:rsidRDefault="004E5FB9" w:rsidP="004407CE">
      <w:pPr>
        <w:jc w:val="both"/>
        <w:rPr>
          <w:color w:val="000000"/>
        </w:rPr>
      </w:pPr>
    </w:p>
    <w:p w:rsidR="00FE7C7D" w:rsidRPr="00E971BF" w:rsidRDefault="00FE7C7D" w:rsidP="00FE7C7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48"/>
        <w:gridCol w:w="1702"/>
        <w:gridCol w:w="1702"/>
        <w:gridCol w:w="2579"/>
      </w:tblGrid>
      <w:tr w:rsidR="00FE7C7D" w:rsidRPr="00E971BF" w:rsidTr="00FE7C7D">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rPr>
                <w:b/>
                <w:bCs/>
              </w:rPr>
            </w:pPr>
            <w:r w:rsidRPr="00E971BF">
              <w:rPr>
                <w:b/>
                <w:bCs/>
              </w:rPr>
              <w:t>1.tabula</w:t>
            </w:r>
            <w:r w:rsidRPr="00E971BF">
              <w:rPr>
                <w:b/>
                <w:bCs/>
              </w:rPr>
              <w:br/>
              <w:t>Tiesību akta projekta atbilstība ES tiesību aktiem</w:t>
            </w:r>
          </w:p>
        </w:tc>
      </w:tr>
      <w:tr w:rsidR="00FE7C7D" w:rsidRPr="00E971BF" w:rsidTr="00CF7D4A">
        <w:tc>
          <w:tcPr>
            <w:tcW w:w="172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Attiecīgā ES tiesību akta datums, numurs un nosaukums</w:t>
            </w:r>
          </w:p>
        </w:tc>
        <w:tc>
          <w:tcPr>
            <w:tcW w:w="3276" w:type="pct"/>
            <w:gridSpan w:val="3"/>
            <w:tcBorders>
              <w:top w:val="outset" w:sz="6" w:space="0" w:color="000000"/>
              <w:left w:val="outset" w:sz="6" w:space="0" w:color="000000"/>
              <w:bottom w:val="outset" w:sz="6" w:space="0" w:color="000000"/>
              <w:right w:val="outset" w:sz="6" w:space="0" w:color="000000"/>
            </w:tcBorders>
            <w:vAlign w:val="center"/>
          </w:tcPr>
          <w:p w:rsidR="00FE7C7D" w:rsidRPr="00E971BF" w:rsidRDefault="00CF7D4A" w:rsidP="00FE7C7D">
            <w:pPr>
              <w:jc w:val="both"/>
            </w:pPr>
            <w:r>
              <w:t>2)</w:t>
            </w:r>
            <w:r w:rsidR="00FE7C7D" w:rsidRPr="0068126E">
              <w:t>Komisijas 1980. gada 22. decembra Pirmā direktīva 80/1335/EEK par dalībvalstu tiesību aktu tuvināšanu attiecībā uz analīzes metodēm, kas vajadzīgas, lai pārbaudītu kosmētikas līdzekļu sastāvu</w:t>
            </w:r>
          </w:p>
        </w:tc>
      </w:tr>
      <w:tr w:rsidR="00FE7C7D" w:rsidRPr="00E971BF" w:rsidTr="00CF7D4A">
        <w:tc>
          <w:tcPr>
            <w:tcW w:w="172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w:t>
            </w:r>
          </w:p>
        </w:tc>
        <w:tc>
          <w:tcPr>
            <w:tcW w:w="932"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B</w:t>
            </w:r>
          </w:p>
        </w:tc>
        <w:tc>
          <w:tcPr>
            <w:tcW w:w="932"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C</w:t>
            </w:r>
          </w:p>
        </w:tc>
        <w:tc>
          <w:tcPr>
            <w:tcW w:w="1412"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D</w:t>
            </w:r>
          </w:p>
        </w:tc>
      </w:tr>
      <w:tr w:rsidR="00754E5A" w:rsidRPr="00E971BF" w:rsidTr="00CF7D4A">
        <w:tc>
          <w:tcPr>
            <w:tcW w:w="1724" w:type="pct"/>
            <w:tcBorders>
              <w:top w:val="outset" w:sz="6" w:space="0" w:color="000000"/>
              <w:left w:val="outset" w:sz="6" w:space="0" w:color="000000"/>
              <w:bottom w:val="outset" w:sz="6" w:space="0" w:color="000000"/>
              <w:right w:val="outset" w:sz="6" w:space="0" w:color="000000"/>
            </w:tcBorders>
            <w:vAlign w:val="center"/>
          </w:tcPr>
          <w:p w:rsidR="00754E5A" w:rsidRPr="00E971BF" w:rsidRDefault="00754E5A" w:rsidP="00FE7C7D">
            <w:pPr>
              <w:spacing w:before="100" w:beforeAutospacing="1" w:after="100" w:afterAutospacing="1"/>
              <w:jc w:val="both"/>
            </w:pPr>
            <w:r w:rsidRPr="00E971BF">
              <w:t>Attiecīgā ES tiesību akta panta numurs (uzskaitot katru tiesību akta vienību – pantu, daļu, punktu, apakšpunktu)</w:t>
            </w:r>
          </w:p>
        </w:tc>
        <w:tc>
          <w:tcPr>
            <w:tcW w:w="932"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Projekta vienība, kas pārņem vai ievieš katru šīs tabulas A ailē minēto ES tiesību akta vienību, vai tiesību akts, kur attiecīgā ES tiesību akta vienība pārņemta vai ieviesta</w:t>
            </w:r>
          </w:p>
        </w:tc>
        <w:tc>
          <w:tcPr>
            <w:tcW w:w="932"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 xml:space="preserve">Informācija par to, vai šīs tabulas A ailē minētās ES tiesību akta vienības tiek pārņemtas vai ieviestas pilnībā vai daļēji. </w:t>
            </w:r>
          </w:p>
          <w:p w:rsidR="00754E5A" w:rsidRPr="00754E5A" w:rsidRDefault="00754E5A" w:rsidP="00754E5A">
            <w:pPr>
              <w:pStyle w:val="NoSpacing"/>
            </w:pPr>
            <w:r w:rsidRPr="00754E5A">
              <w:t>Ja attiecīgā ES tiesību akta vienība tiek pārņemta vai ieviesta daļēji, sniedz attiecīgu skaidrojumu, kā arī precīzi norāda, kad un kādā veidā ES tiesību akta vienība tiks pārņemta vai ieviesta pilnībā.</w:t>
            </w:r>
          </w:p>
          <w:p w:rsidR="00754E5A" w:rsidRPr="00754E5A" w:rsidRDefault="00754E5A" w:rsidP="00754E5A">
            <w:pPr>
              <w:pStyle w:val="NoSpacing"/>
            </w:pPr>
            <w:r w:rsidRPr="00754E5A">
              <w:t>Norāda institūciju, kas ir atbildīga par šo saistību izpildi pilnībā</w:t>
            </w:r>
          </w:p>
        </w:tc>
        <w:tc>
          <w:tcPr>
            <w:tcW w:w="1412"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 xml:space="preserve">Informācija par to, vai šīs tabulas B ailē minētās projekta vienības paredz stingrākas prasības nekā šīs tabulas A ailē minētās ES tiesību akta vienības. </w:t>
            </w:r>
          </w:p>
          <w:p w:rsidR="00754E5A" w:rsidRPr="00754E5A" w:rsidRDefault="00754E5A" w:rsidP="00754E5A">
            <w:pPr>
              <w:pStyle w:val="NoSpacing"/>
            </w:pPr>
            <w:r w:rsidRPr="00754E5A">
              <w:t>Ja projekts satur stingrākas prasības nekā attiecīgais ES tiesību akts, norāda pamatojumu un samērīgumu.</w:t>
            </w:r>
          </w:p>
          <w:p w:rsidR="00754E5A" w:rsidRPr="00754E5A" w:rsidRDefault="00754E5A" w:rsidP="00754E5A">
            <w:pPr>
              <w:pStyle w:val="NoSpacing"/>
            </w:pPr>
            <w:r w:rsidRPr="00754E5A">
              <w:t>Norāda iespējamās alternatīvas (t.sk. alternatīvas, kas neparedz tiesiskā regulējuma izstrādi) – kādos gadījumos būtu iespējams izvairīties no stingrāku prasību noteikšanas, nekā paredzēts attiecīgajos ES tiesību aktos</w:t>
            </w:r>
          </w:p>
        </w:tc>
      </w:tr>
      <w:tr w:rsidR="00FE7C7D" w:rsidRPr="00E971BF" w:rsidTr="00CF7D4A">
        <w:tc>
          <w:tcPr>
            <w:tcW w:w="1724" w:type="pct"/>
            <w:tcBorders>
              <w:top w:val="outset" w:sz="6" w:space="0" w:color="000000"/>
              <w:left w:val="outset" w:sz="6" w:space="0" w:color="000000"/>
              <w:bottom w:val="outset" w:sz="6" w:space="0" w:color="000000"/>
              <w:right w:val="outset" w:sz="6" w:space="0" w:color="000000"/>
            </w:tcBorders>
          </w:tcPr>
          <w:p w:rsidR="00FE7C7D" w:rsidRPr="00E971BF" w:rsidRDefault="00CB1526" w:rsidP="000E62F2">
            <w:pPr>
              <w:spacing w:before="100" w:beforeAutospacing="1" w:after="100" w:afterAutospacing="1"/>
            </w:pPr>
            <w:r>
              <w:t xml:space="preserve">1. pants </w:t>
            </w:r>
          </w:p>
        </w:tc>
        <w:tc>
          <w:tcPr>
            <w:tcW w:w="932" w:type="pct"/>
            <w:tcBorders>
              <w:top w:val="outset" w:sz="6" w:space="0" w:color="000000"/>
              <w:left w:val="outset" w:sz="6" w:space="0" w:color="000000"/>
              <w:bottom w:val="outset" w:sz="6" w:space="0" w:color="000000"/>
              <w:right w:val="outset" w:sz="6" w:space="0" w:color="000000"/>
            </w:tcBorders>
          </w:tcPr>
          <w:p w:rsidR="00FE7C7D" w:rsidRPr="00E971BF" w:rsidRDefault="000E62F2" w:rsidP="00FE7C7D">
            <w:pPr>
              <w:spacing w:before="100" w:beforeAutospacing="1" w:after="100" w:afterAutospacing="1"/>
              <w:rPr>
                <w:bCs/>
              </w:rPr>
            </w:pPr>
            <w:r>
              <w:t xml:space="preserve">7. punkts un </w:t>
            </w:r>
            <w:r w:rsidR="00CB1526">
              <w:lastRenderedPageBreak/>
              <w:t>2.pielikuma 1.- 100.punkts</w:t>
            </w:r>
          </w:p>
        </w:tc>
        <w:tc>
          <w:tcPr>
            <w:tcW w:w="932"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lastRenderedPageBreak/>
              <w:t>ieviestas pilnībā</w:t>
            </w:r>
          </w:p>
        </w:tc>
        <w:tc>
          <w:tcPr>
            <w:tcW w:w="1412"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rPr>
                <w:bCs/>
              </w:rPr>
            </w:pPr>
            <w:r w:rsidRPr="00E971BF">
              <w:rPr>
                <w:bCs/>
              </w:rPr>
              <w:t xml:space="preserve">neparedz stingrākas </w:t>
            </w:r>
            <w:r w:rsidRPr="00E971BF">
              <w:rPr>
                <w:bCs/>
              </w:rPr>
              <w:lastRenderedPageBreak/>
              <w:t>prasības</w:t>
            </w:r>
          </w:p>
        </w:tc>
      </w:tr>
      <w:tr w:rsidR="00DF7EF7" w:rsidRPr="00E971BF" w:rsidTr="00CF7D4A">
        <w:tc>
          <w:tcPr>
            <w:tcW w:w="1724"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lastRenderedPageBreak/>
              <w:t>Pielikuma I sadaļa (paraugu ņemšana)</w:t>
            </w:r>
          </w:p>
        </w:tc>
        <w:tc>
          <w:tcPr>
            <w:tcW w:w="932"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2.pielikuma 1.- 8.punkts</w:t>
            </w:r>
          </w:p>
        </w:tc>
        <w:tc>
          <w:tcPr>
            <w:tcW w:w="93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pPr>
            <w:r w:rsidRPr="00E971BF">
              <w:t>ieviestas pilnībā</w:t>
            </w:r>
          </w:p>
        </w:tc>
        <w:tc>
          <w:tcPr>
            <w:tcW w:w="141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rPr>
                <w:bCs/>
              </w:rPr>
            </w:pPr>
            <w:r w:rsidRPr="00E971BF">
              <w:rPr>
                <w:bCs/>
              </w:rPr>
              <w:t>neparedz stingrākas prasības</w:t>
            </w:r>
          </w:p>
        </w:tc>
      </w:tr>
      <w:tr w:rsidR="00DF7EF7" w:rsidRPr="00E971BF" w:rsidTr="00CF7D4A">
        <w:tc>
          <w:tcPr>
            <w:tcW w:w="1724"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Pielikuma II sadaļa (parauga sagatavošana laboratorijā)</w:t>
            </w:r>
          </w:p>
        </w:tc>
        <w:tc>
          <w:tcPr>
            <w:tcW w:w="932"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2.pielikuma 9.- 19.punkts</w:t>
            </w:r>
          </w:p>
        </w:tc>
        <w:tc>
          <w:tcPr>
            <w:tcW w:w="93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pPr>
            <w:r w:rsidRPr="00E971BF">
              <w:t>ieviestas pilnībā</w:t>
            </w:r>
          </w:p>
        </w:tc>
        <w:tc>
          <w:tcPr>
            <w:tcW w:w="141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rPr>
                <w:bCs/>
              </w:rPr>
            </w:pPr>
            <w:r w:rsidRPr="00E971BF">
              <w:rPr>
                <w:bCs/>
              </w:rPr>
              <w:t>neparedz stingrākas prasības</w:t>
            </w:r>
          </w:p>
        </w:tc>
      </w:tr>
      <w:tr w:rsidR="00DF7EF7" w:rsidRPr="00E971BF" w:rsidTr="00CF7D4A">
        <w:tc>
          <w:tcPr>
            <w:tcW w:w="1724"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Pielikuma III sadaļa (nātrija un kālija hidroksīds.)</w:t>
            </w:r>
          </w:p>
        </w:tc>
        <w:tc>
          <w:tcPr>
            <w:tcW w:w="932"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2.pielikuma 20.- 28.punkts</w:t>
            </w:r>
          </w:p>
        </w:tc>
        <w:tc>
          <w:tcPr>
            <w:tcW w:w="93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pPr>
            <w:r w:rsidRPr="00E971BF">
              <w:t>ieviestas pilnībā</w:t>
            </w:r>
          </w:p>
        </w:tc>
        <w:tc>
          <w:tcPr>
            <w:tcW w:w="141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rPr>
                <w:bCs/>
              </w:rPr>
            </w:pPr>
            <w:r w:rsidRPr="00E971BF">
              <w:rPr>
                <w:bCs/>
              </w:rPr>
              <w:t>neparedz stingrākas prasības</w:t>
            </w:r>
          </w:p>
        </w:tc>
      </w:tr>
      <w:tr w:rsidR="00DF7EF7" w:rsidRPr="00E971BF" w:rsidTr="00CF7D4A">
        <w:tc>
          <w:tcPr>
            <w:tcW w:w="1724"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Pielikuma IV sadaļa (skābeņskābe u.c.)</w:t>
            </w:r>
          </w:p>
        </w:tc>
        <w:tc>
          <w:tcPr>
            <w:tcW w:w="932"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2.pielikuma 29.- 48.punkts</w:t>
            </w:r>
          </w:p>
        </w:tc>
        <w:tc>
          <w:tcPr>
            <w:tcW w:w="93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pPr>
            <w:r w:rsidRPr="00E971BF">
              <w:t>ieviestas pilnībā</w:t>
            </w:r>
          </w:p>
        </w:tc>
        <w:tc>
          <w:tcPr>
            <w:tcW w:w="141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rPr>
                <w:bCs/>
              </w:rPr>
            </w:pPr>
            <w:r w:rsidRPr="00E971BF">
              <w:rPr>
                <w:bCs/>
              </w:rPr>
              <w:t>neparedz stingrākas prasības</w:t>
            </w:r>
          </w:p>
        </w:tc>
      </w:tr>
      <w:tr w:rsidR="00DF7EF7" w:rsidRPr="00E971BF" w:rsidTr="00CF7D4A">
        <w:tc>
          <w:tcPr>
            <w:tcW w:w="1724"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Pielikuma V sadaļa (hloroforms)</w:t>
            </w:r>
          </w:p>
        </w:tc>
        <w:tc>
          <w:tcPr>
            <w:tcW w:w="932"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2.pielikuma 49.- 62.punkts</w:t>
            </w:r>
          </w:p>
        </w:tc>
        <w:tc>
          <w:tcPr>
            <w:tcW w:w="93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pPr>
            <w:r w:rsidRPr="00E971BF">
              <w:t>ieviestas pilnībā</w:t>
            </w:r>
          </w:p>
        </w:tc>
        <w:tc>
          <w:tcPr>
            <w:tcW w:w="141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rPr>
                <w:bCs/>
              </w:rPr>
            </w:pPr>
            <w:r w:rsidRPr="00E971BF">
              <w:rPr>
                <w:bCs/>
              </w:rPr>
              <w:t>neparedz stingrākas prasības</w:t>
            </w:r>
          </w:p>
        </w:tc>
      </w:tr>
      <w:tr w:rsidR="00DF7EF7" w:rsidRPr="00E971BF" w:rsidTr="00CF7D4A">
        <w:tc>
          <w:tcPr>
            <w:tcW w:w="1724"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Pielikuma VI sadaļa (cinks)</w:t>
            </w:r>
          </w:p>
        </w:tc>
        <w:tc>
          <w:tcPr>
            <w:tcW w:w="932"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2.pielikuma 63.- 76.punkts</w:t>
            </w:r>
          </w:p>
        </w:tc>
        <w:tc>
          <w:tcPr>
            <w:tcW w:w="93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pPr>
            <w:r w:rsidRPr="00E971BF">
              <w:t>ieviestas pilnībā</w:t>
            </w:r>
          </w:p>
        </w:tc>
        <w:tc>
          <w:tcPr>
            <w:tcW w:w="141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rPr>
                <w:bCs/>
              </w:rPr>
            </w:pPr>
            <w:r w:rsidRPr="00E971BF">
              <w:rPr>
                <w:bCs/>
              </w:rPr>
              <w:t>neparedz stingrākas prasības</w:t>
            </w:r>
          </w:p>
        </w:tc>
      </w:tr>
      <w:tr w:rsidR="00DF7EF7" w:rsidRPr="00E971BF" w:rsidTr="00CF7D4A">
        <w:tc>
          <w:tcPr>
            <w:tcW w:w="1724"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PielikumaVII sadaļa (4-hidroksibenzosulfoskābe)</w:t>
            </w:r>
          </w:p>
        </w:tc>
        <w:tc>
          <w:tcPr>
            <w:tcW w:w="932" w:type="pct"/>
            <w:tcBorders>
              <w:top w:val="outset" w:sz="6" w:space="0" w:color="000000"/>
              <w:left w:val="outset" w:sz="6" w:space="0" w:color="000000"/>
              <w:bottom w:val="outset" w:sz="6" w:space="0" w:color="000000"/>
              <w:right w:val="outset" w:sz="6" w:space="0" w:color="000000"/>
            </w:tcBorders>
          </w:tcPr>
          <w:p w:rsidR="00DF7EF7" w:rsidRDefault="00DF7EF7" w:rsidP="00DF7EF7">
            <w:pPr>
              <w:spacing w:before="100" w:beforeAutospacing="1" w:after="100" w:afterAutospacing="1"/>
            </w:pPr>
            <w:r>
              <w:t>2.pielikuma 77.- 100.punkts</w:t>
            </w:r>
          </w:p>
        </w:tc>
        <w:tc>
          <w:tcPr>
            <w:tcW w:w="93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pPr>
            <w:r w:rsidRPr="00E971BF">
              <w:t>ieviestas pilnībā</w:t>
            </w:r>
          </w:p>
        </w:tc>
        <w:tc>
          <w:tcPr>
            <w:tcW w:w="1412" w:type="pct"/>
            <w:tcBorders>
              <w:top w:val="outset" w:sz="6" w:space="0" w:color="000000"/>
              <w:left w:val="outset" w:sz="6" w:space="0" w:color="000000"/>
              <w:bottom w:val="outset" w:sz="6" w:space="0" w:color="000000"/>
              <w:right w:val="outset" w:sz="6" w:space="0" w:color="000000"/>
            </w:tcBorders>
          </w:tcPr>
          <w:p w:rsidR="00DF7EF7" w:rsidRPr="00E971BF" w:rsidRDefault="00DF7EF7" w:rsidP="00C65356">
            <w:pPr>
              <w:spacing w:before="100" w:beforeAutospacing="1" w:after="100" w:afterAutospacing="1"/>
              <w:rPr>
                <w:bCs/>
              </w:rPr>
            </w:pPr>
            <w:r w:rsidRPr="00E971BF">
              <w:rPr>
                <w:bCs/>
              </w:rPr>
              <w:t>neparedz stingrākas prasības</w:t>
            </w:r>
          </w:p>
        </w:tc>
      </w:tr>
      <w:tr w:rsidR="00FE7C7D" w:rsidRPr="00E971BF" w:rsidTr="00CF7D4A">
        <w:tc>
          <w:tcPr>
            <w:tcW w:w="172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Kā ir izmantota ES tiesību aktā paredzētā rīcības brīvība dalībvalstij pārņemt vai ieviest noteiktas ES tiesību akta normas.</w:t>
            </w:r>
          </w:p>
        </w:tc>
        <w:tc>
          <w:tcPr>
            <w:tcW w:w="3276"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pPr>
            <w:r w:rsidRPr="00E971BF">
              <w:t>Nav attiecināms.</w:t>
            </w:r>
          </w:p>
        </w:tc>
      </w:tr>
      <w:tr w:rsidR="00FE7C7D" w:rsidRPr="00E971BF" w:rsidTr="00CF7D4A">
        <w:tc>
          <w:tcPr>
            <w:tcW w:w="172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76"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jc w:val="both"/>
            </w:pPr>
            <w:r w:rsidRPr="00E971BF">
              <w:t>Nav attiecināms.</w:t>
            </w:r>
          </w:p>
        </w:tc>
      </w:tr>
      <w:tr w:rsidR="00FE7C7D" w:rsidRPr="00E971BF" w:rsidTr="00CF7D4A">
        <w:tc>
          <w:tcPr>
            <w:tcW w:w="1724"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t>Cita informācija</w:t>
            </w:r>
          </w:p>
        </w:tc>
        <w:tc>
          <w:tcPr>
            <w:tcW w:w="3276" w:type="pct"/>
            <w:gridSpan w:val="3"/>
            <w:tcBorders>
              <w:top w:val="outset" w:sz="6" w:space="0" w:color="000000"/>
              <w:left w:val="outset" w:sz="6" w:space="0" w:color="000000"/>
              <w:bottom w:val="outset" w:sz="6" w:space="0" w:color="000000"/>
              <w:right w:val="outset" w:sz="6" w:space="0" w:color="000000"/>
            </w:tcBorders>
          </w:tcPr>
          <w:p w:rsidR="00FE7C7D" w:rsidRPr="00F6558D" w:rsidRDefault="00FE7C7D" w:rsidP="00FE7C7D">
            <w:pPr>
              <w:ind w:left="12" w:right="71"/>
              <w:jc w:val="both"/>
            </w:pPr>
            <w:r w:rsidRPr="00E971BF">
              <w:rPr>
                <w:b/>
              </w:rPr>
              <w:t xml:space="preserve"> </w:t>
            </w:r>
            <w:r w:rsidR="00F6558D" w:rsidRPr="00F6558D">
              <w:t>Nav</w:t>
            </w:r>
          </w:p>
        </w:tc>
      </w:tr>
    </w:tbl>
    <w:p w:rsidR="00FE7C7D" w:rsidRDefault="00FE7C7D" w:rsidP="004407CE">
      <w:pPr>
        <w:jc w:val="both"/>
        <w:rPr>
          <w:color w:val="000000"/>
        </w:rPr>
      </w:pPr>
    </w:p>
    <w:p w:rsidR="00FE7C7D" w:rsidRPr="00E971BF" w:rsidRDefault="00FE7C7D" w:rsidP="00FE7C7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573"/>
        <w:gridCol w:w="1843"/>
        <w:gridCol w:w="1843"/>
        <w:gridCol w:w="1872"/>
      </w:tblGrid>
      <w:tr w:rsidR="00FE7C7D" w:rsidRPr="00E971BF" w:rsidTr="00FE7C7D">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rPr>
                <w:b/>
                <w:bCs/>
              </w:rPr>
            </w:pPr>
            <w:r w:rsidRPr="00E971BF">
              <w:rPr>
                <w:b/>
                <w:bCs/>
              </w:rPr>
              <w:t>1.tabula</w:t>
            </w:r>
            <w:r w:rsidRPr="00E971BF">
              <w:rPr>
                <w:b/>
                <w:bCs/>
              </w:rPr>
              <w:br/>
              <w:t>Tiesību akta projekta atbilstība ES tiesību aktiem</w:t>
            </w:r>
          </w:p>
        </w:tc>
      </w:tr>
      <w:tr w:rsidR="00FE7C7D" w:rsidRPr="00E971BF" w:rsidTr="00CF7D4A">
        <w:tc>
          <w:tcPr>
            <w:tcW w:w="1957"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Attiecīgā ES tiesību akta datums, numurs un nosaukums</w:t>
            </w:r>
          </w:p>
        </w:tc>
        <w:tc>
          <w:tcPr>
            <w:tcW w:w="3043" w:type="pct"/>
            <w:gridSpan w:val="3"/>
            <w:tcBorders>
              <w:top w:val="outset" w:sz="6" w:space="0" w:color="000000"/>
              <w:left w:val="outset" w:sz="6" w:space="0" w:color="000000"/>
              <w:bottom w:val="outset" w:sz="6" w:space="0" w:color="000000"/>
              <w:right w:val="outset" w:sz="6" w:space="0" w:color="000000"/>
            </w:tcBorders>
            <w:vAlign w:val="center"/>
          </w:tcPr>
          <w:p w:rsidR="00FE7C7D" w:rsidRPr="00E971BF" w:rsidRDefault="00CF7D4A" w:rsidP="00FE7C7D">
            <w:pPr>
              <w:jc w:val="both"/>
            </w:pPr>
            <w:r>
              <w:t xml:space="preserve">3) </w:t>
            </w:r>
            <w:r w:rsidR="00B7043F" w:rsidRPr="0068126E">
              <w:t xml:space="preserve">Komisijas </w:t>
            </w:r>
            <w:r w:rsidR="00B7043F" w:rsidRPr="00557FC1">
              <w:t>1982. gada 14. maija Otrā direktīva 82/434/EEK</w:t>
            </w:r>
            <w:r w:rsidR="00B7043F" w:rsidRPr="0068126E">
              <w:t xml:space="preserve"> par dalībvalstu tiesību aktu tuvināšanu attiecībā uz analīzes metodēm, kas vajadzīgas, lai pārbaudītu kosmētikas līdzekļu sastāvu</w:t>
            </w:r>
          </w:p>
        </w:tc>
      </w:tr>
      <w:tr w:rsidR="00FE7C7D" w:rsidRPr="00E971BF" w:rsidTr="00CF7D4A">
        <w:tc>
          <w:tcPr>
            <w:tcW w:w="1957"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w:t>
            </w:r>
          </w:p>
        </w:tc>
        <w:tc>
          <w:tcPr>
            <w:tcW w:w="1009"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B</w:t>
            </w:r>
          </w:p>
        </w:tc>
        <w:tc>
          <w:tcPr>
            <w:tcW w:w="1009"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C</w:t>
            </w:r>
          </w:p>
        </w:tc>
        <w:tc>
          <w:tcPr>
            <w:tcW w:w="1025"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D</w:t>
            </w:r>
          </w:p>
        </w:tc>
      </w:tr>
      <w:tr w:rsidR="00754E5A" w:rsidRPr="00E971BF" w:rsidTr="00CF7D4A">
        <w:tc>
          <w:tcPr>
            <w:tcW w:w="1957" w:type="pct"/>
            <w:tcBorders>
              <w:top w:val="outset" w:sz="6" w:space="0" w:color="000000"/>
              <w:left w:val="outset" w:sz="6" w:space="0" w:color="000000"/>
              <w:bottom w:val="outset" w:sz="6" w:space="0" w:color="000000"/>
              <w:right w:val="outset" w:sz="6" w:space="0" w:color="000000"/>
            </w:tcBorders>
            <w:vAlign w:val="center"/>
          </w:tcPr>
          <w:p w:rsidR="00754E5A" w:rsidRPr="00E971BF" w:rsidRDefault="00754E5A" w:rsidP="00FE7C7D">
            <w:pPr>
              <w:spacing w:before="100" w:beforeAutospacing="1" w:after="100" w:afterAutospacing="1"/>
              <w:jc w:val="both"/>
            </w:pPr>
            <w:r w:rsidRPr="00E971BF">
              <w:t>Attiecīgā ES tiesību akta panta numurs (uzskaitot katru tiesību akta vienību – pantu, daļu, punktu, apakšpunktu)</w:t>
            </w:r>
          </w:p>
        </w:tc>
        <w:tc>
          <w:tcPr>
            <w:tcW w:w="1009"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 xml:space="preserve">Projekta vienība, kas pārņem vai ievieš katru šīs tabulas A ailē minēto ES tiesību akta vienību, vai tiesību akts, kur </w:t>
            </w:r>
            <w:r w:rsidRPr="00754E5A">
              <w:lastRenderedPageBreak/>
              <w:t>attiecīgā ES tiesību akta vienība pārņemta vai ieviesta</w:t>
            </w:r>
          </w:p>
        </w:tc>
        <w:tc>
          <w:tcPr>
            <w:tcW w:w="1009"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lastRenderedPageBreak/>
              <w:t xml:space="preserve">Informācija par to, vai šīs tabulas A ailē minētās ES tiesību akta vienības tiek pārņemtas vai ieviestas pilnībā </w:t>
            </w:r>
            <w:r w:rsidRPr="00754E5A">
              <w:lastRenderedPageBreak/>
              <w:t xml:space="preserve">vai daļēji. </w:t>
            </w:r>
          </w:p>
          <w:p w:rsidR="00754E5A" w:rsidRPr="00754E5A" w:rsidRDefault="00754E5A" w:rsidP="00754E5A">
            <w:pPr>
              <w:pStyle w:val="NoSpacing"/>
            </w:pPr>
            <w:r w:rsidRPr="00754E5A">
              <w:t>Ja attiecīgā ES tiesību akta vienība tiek pārņemta vai ieviesta daļēji, sniedz attiecīgu skaidrojumu, kā arī precīzi norāda, kad un kādā veidā ES tiesību akta vienība tiks pārņemta vai ieviesta pilnībā.</w:t>
            </w:r>
          </w:p>
          <w:p w:rsidR="00754E5A" w:rsidRPr="00754E5A" w:rsidRDefault="00754E5A" w:rsidP="00754E5A">
            <w:pPr>
              <w:pStyle w:val="NoSpacing"/>
            </w:pPr>
            <w:r w:rsidRPr="00754E5A">
              <w:t>Norāda institūciju, kas ir atbildīga par šo saistību izpildi pilnībā</w:t>
            </w:r>
          </w:p>
        </w:tc>
        <w:tc>
          <w:tcPr>
            <w:tcW w:w="1025"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lastRenderedPageBreak/>
              <w:t xml:space="preserve">Informācija par to, vai šīs tabulas B ailē minētās projekta vienības paredz stingrākas prasības nekā šīs tabulas A ailē </w:t>
            </w:r>
            <w:r w:rsidRPr="00754E5A">
              <w:lastRenderedPageBreak/>
              <w:t xml:space="preserve">minētās ES tiesību akta vienības. </w:t>
            </w:r>
          </w:p>
          <w:p w:rsidR="00754E5A" w:rsidRPr="00754E5A" w:rsidRDefault="00754E5A" w:rsidP="00754E5A">
            <w:pPr>
              <w:pStyle w:val="NoSpacing"/>
            </w:pPr>
            <w:r w:rsidRPr="00754E5A">
              <w:t>Ja projekts satur stingrākas prasības nekā attiecīgais ES tiesību akts, norāda pamatojumu un samērīgumu.</w:t>
            </w:r>
          </w:p>
          <w:p w:rsidR="00754E5A" w:rsidRPr="00754E5A" w:rsidRDefault="00754E5A" w:rsidP="00754E5A">
            <w:pPr>
              <w:pStyle w:val="NoSpacing"/>
            </w:pPr>
            <w:r w:rsidRPr="00754E5A">
              <w:t>Norāda iespējamās alternatīvas (t.sk. alternatīvas, kas neparedz tiesiskā regulējuma izstrādi) – kādos gadījumos būtu iespējams izvairīties no stingrāku prasību noteikšanas, nekā paredzēts attiecīgajos ES tiesību aktos</w:t>
            </w:r>
          </w:p>
        </w:tc>
      </w:tr>
      <w:tr w:rsidR="0022785C" w:rsidRPr="00E971BF" w:rsidTr="00CF7D4A">
        <w:tc>
          <w:tcPr>
            <w:tcW w:w="1957" w:type="pct"/>
            <w:tcBorders>
              <w:top w:val="outset" w:sz="6" w:space="0" w:color="000000"/>
              <w:left w:val="outset" w:sz="6" w:space="0" w:color="000000"/>
              <w:bottom w:val="outset" w:sz="6" w:space="0" w:color="000000"/>
              <w:right w:val="outset" w:sz="6" w:space="0" w:color="000000"/>
            </w:tcBorders>
          </w:tcPr>
          <w:p w:rsidR="0022785C" w:rsidRDefault="0022785C" w:rsidP="000E62F2">
            <w:r>
              <w:lastRenderedPageBreak/>
              <w:t xml:space="preserve">1. pants </w:t>
            </w:r>
          </w:p>
        </w:tc>
        <w:tc>
          <w:tcPr>
            <w:tcW w:w="1009" w:type="pct"/>
            <w:tcBorders>
              <w:top w:val="outset" w:sz="6" w:space="0" w:color="000000"/>
              <w:left w:val="outset" w:sz="6" w:space="0" w:color="000000"/>
              <w:bottom w:val="outset" w:sz="6" w:space="0" w:color="000000"/>
              <w:right w:val="outset" w:sz="6" w:space="0" w:color="000000"/>
            </w:tcBorders>
          </w:tcPr>
          <w:p w:rsidR="0022785C" w:rsidRDefault="000E62F2" w:rsidP="00B35421">
            <w:pPr>
              <w:rPr>
                <w:lang w:eastAsia="en-US"/>
              </w:rPr>
            </w:pPr>
            <w:r>
              <w:t xml:space="preserve">7. punkts un </w:t>
            </w:r>
            <w:r w:rsidR="0022785C">
              <w:t>2.pielikuma 101. – 138.punkts; 160.- 176. punkts</w:t>
            </w:r>
          </w:p>
        </w:tc>
        <w:tc>
          <w:tcPr>
            <w:tcW w:w="1009" w:type="pct"/>
            <w:tcBorders>
              <w:top w:val="outset" w:sz="6" w:space="0" w:color="000000"/>
              <w:left w:val="outset" w:sz="6" w:space="0" w:color="000000"/>
              <w:bottom w:val="outset" w:sz="6" w:space="0" w:color="000000"/>
              <w:right w:val="outset" w:sz="6" w:space="0" w:color="000000"/>
            </w:tcBorders>
          </w:tcPr>
          <w:p w:rsidR="0022785C" w:rsidRPr="00E971BF" w:rsidRDefault="0022785C" w:rsidP="00FE7C7D">
            <w:pPr>
              <w:spacing w:before="100" w:beforeAutospacing="1" w:after="100" w:afterAutospacing="1"/>
            </w:pPr>
            <w:r w:rsidRPr="00E971BF">
              <w:t>ieviestas pilnībā</w:t>
            </w:r>
          </w:p>
        </w:tc>
        <w:tc>
          <w:tcPr>
            <w:tcW w:w="1025" w:type="pct"/>
            <w:tcBorders>
              <w:top w:val="outset" w:sz="6" w:space="0" w:color="000000"/>
              <w:left w:val="outset" w:sz="6" w:space="0" w:color="000000"/>
              <w:bottom w:val="outset" w:sz="6" w:space="0" w:color="000000"/>
              <w:right w:val="outset" w:sz="6" w:space="0" w:color="000000"/>
            </w:tcBorders>
          </w:tcPr>
          <w:p w:rsidR="0022785C" w:rsidRPr="00E971BF" w:rsidRDefault="0022785C" w:rsidP="00FE7C7D">
            <w:pPr>
              <w:spacing w:before="100" w:beforeAutospacing="1" w:after="100" w:afterAutospacing="1"/>
              <w:rPr>
                <w:bCs/>
              </w:rPr>
            </w:pPr>
            <w:r w:rsidRPr="00E971BF">
              <w:rPr>
                <w:bCs/>
              </w:rPr>
              <w:t>neparedz stingrākas prasības</w:t>
            </w:r>
          </w:p>
        </w:tc>
      </w:tr>
      <w:tr w:rsidR="00792AF3" w:rsidRPr="00E971BF" w:rsidTr="00CF7D4A">
        <w:tc>
          <w:tcPr>
            <w:tcW w:w="1957" w:type="pct"/>
            <w:tcBorders>
              <w:top w:val="outset" w:sz="6" w:space="0" w:color="000000"/>
              <w:left w:val="outset" w:sz="6" w:space="0" w:color="000000"/>
              <w:bottom w:val="outset" w:sz="6" w:space="0" w:color="000000"/>
              <w:right w:val="outset" w:sz="6" w:space="0" w:color="000000"/>
            </w:tcBorders>
          </w:tcPr>
          <w:p w:rsidR="00792AF3" w:rsidRDefault="00792AF3" w:rsidP="00792AF3">
            <w:r>
              <w:t>Pielikuma I sadaļa (oksidējošie aģenti u.c.)</w:t>
            </w:r>
          </w:p>
        </w:tc>
        <w:tc>
          <w:tcPr>
            <w:tcW w:w="1009" w:type="pct"/>
            <w:tcBorders>
              <w:top w:val="outset" w:sz="6" w:space="0" w:color="000000"/>
              <w:left w:val="outset" w:sz="6" w:space="0" w:color="000000"/>
              <w:bottom w:val="outset" w:sz="6" w:space="0" w:color="000000"/>
              <w:right w:val="outset" w:sz="6" w:space="0" w:color="000000"/>
            </w:tcBorders>
          </w:tcPr>
          <w:p w:rsidR="00792AF3" w:rsidRDefault="00792AF3" w:rsidP="00861EFE">
            <w:r>
              <w:t xml:space="preserve">2.pielikuma 101. – 119.punkts; </w:t>
            </w:r>
          </w:p>
        </w:tc>
        <w:tc>
          <w:tcPr>
            <w:tcW w:w="1009" w:type="pct"/>
            <w:tcBorders>
              <w:top w:val="outset" w:sz="6" w:space="0" w:color="000000"/>
              <w:left w:val="outset" w:sz="6" w:space="0" w:color="000000"/>
              <w:bottom w:val="outset" w:sz="6" w:space="0" w:color="000000"/>
              <w:right w:val="outset" w:sz="6" w:space="0" w:color="000000"/>
            </w:tcBorders>
          </w:tcPr>
          <w:p w:rsidR="00792AF3" w:rsidRPr="00E971BF" w:rsidRDefault="00792AF3" w:rsidP="00792AF3">
            <w:pPr>
              <w:spacing w:before="100" w:beforeAutospacing="1" w:after="100" w:afterAutospacing="1"/>
            </w:pPr>
            <w:r w:rsidRPr="00E971BF">
              <w:t>ieviestas pilnībā</w:t>
            </w:r>
          </w:p>
        </w:tc>
        <w:tc>
          <w:tcPr>
            <w:tcW w:w="1025" w:type="pct"/>
            <w:tcBorders>
              <w:top w:val="outset" w:sz="6" w:space="0" w:color="000000"/>
              <w:left w:val="outset" w:sz="6" w:space="0" w:color="000000"/>
              <w:bottom w:val="outset" w:sz="6" w:space="0" w:color="000000"/>
              <w:right w:val="outset" w:sz="6" w:space="0" w:color="000000"/>
            </w:tcBorders>
          </w:tcPr>
          <w:p w:rsidR="00792AF3" w:rsidRPr="00E971BF" w:rsidRDefault="00792AF3" w:rsidP="00792AF3">
            <w:pPr>
              <w:spacing w:before="100" w:beforeAutospacing="1" w:after="100" w:afterAutospacing="1"/>
              <w:rPr>
                <w:bCs/>
              </w:rPr>
            </w:pPr>
            <w:r w:rsidRPr="00E971BF">
              <w:rPr>
                <w:bCs/>
              </w:rPr>
              <w:t>neparedz stingrākas prasības</w:t>
            </w:r>
          </w:p>
        </w:tc>
      </w:tr>
      <w:tr w:rsidR="00792AF3" w:rsidRPr="00E971BF" w:rsidTr="00CF7D4A">
        <w:tc>
          <w:tcPr>
            <w:tcW w:w="1957" w:type="pct"/>
            <w:tcBorders>
              <w:top w:val="outset" w:sz="6" w:space="0" w:color="000000"/>
              <w:left w:val="outset" w:sz="6" w:space="0" w:color="000000"/>
              <w:bottom w:val="outset" w:sz="6" w:space="0" w:color="000000"/>
              <w:right w:val="outset" w:sz="6" w:space="0" w:color="000000"/>
            </w:tcBorders>
          </w:tcPr>
          <w:p w:rsidR="00792AF3" w:rsidRDefault="00792AF3" w:rsidP="00792AF3">
            <w:r>
              <w:t>Pielikuma II sadaļa (oksidējošās krāsvielas)</w:t>
            </w:r>
          </w:p>
        </w:tc>
        <w:tc>
          <w:tcPr>
            <w:tcW w:w="1009" w:type="pct"/>
            <w:tcBorders>
              <w:top w:val="outset" w:sz="6" w:space="0" w:color="000000"/>
              <w:left w:val="outset" w:sz="6" w:space="0" w:color="000000"/>
              <w:bottom w:val="outset" w:sz="6" w:space="0" w:color="000000"/>
              <w:right w:val="outset" w:sz="6" w:space="0" w:color="000000"/>
            </w:tcBorders>
          </w:tcPr>
          <w:p w:rsidR="00792AF3" w:rsidRDefault="00792AF3" w:rsidP="00861EFE">
            <w:r>
              <w:t>2.pielikuma 120. – 125.punkts; 160.- 176. punkts</w:t>
            </w:r>
          </w:p>
        </w:tc>
        <w:tc>
          <w:tcPr>
            <w:tcW w:w="1009" w:type="pct"/>
            <w:tcBorders>
              <w:top w:val="outset" w:sz="6" w:space="0" w:color="000000"/>
              <w:left w:val="outset" w:sz="6" w:space="0" w:color="000000"/>
              <w:bottom w:val="outset" w:sz="6" w:space="0" w:color="000000"/>
              <w:right w:val="outset" w:sz="6" w:space="0" w:color="000000"/>
            </w:tcBorders>
          </w:tcPr>
          <w:p w:rsidR="00792AF3" w:rsidRPr="00E971BF" w:rsidRDefault="00792AF3" w:rsidP="00792AF3">
            <w:pPr>
              <w:spacing w:before="100" w:beforeAutospacing="1" w:after="100" w:afterAutospacing="1"/>
            </w:pPr>
            <w:r w:rsidRPr="00E971BF">
              <w:t>ieviestas pilnībā</w:t>
            </w:r>
          </w:p>
        </w:tc>
        <w:tc>
          <w:tcPr>
            <w:tcW w:w="1025" w:type="pct"/>
            <w:tcBorders>
              <w:top w:val="outset" w:sz="6" w:space="0" w:color="000000"/>
              <w:left w:val="outset" w:sz="6" w:space="0" w:color="000000"/>
              <w:bottom w:val="outset" w:sz="6" w:space="0" w:color="000000"/>
              <w:right w:val="outset" w:sz="6" w:space="0" w:color="000000"/>
            </w:tcBorders>
          </w:tcPr>
          <w:p w:rsidR="00792AF3" w:rsidRPr="00E971BF" w:rsidRDefault="00792AF3" w:rsidP="00792AF3">
            <w:pPr>
              <w:spacing w:before="100" w:beforeAutospacing="1" w:after="100" w:afterAutospacing="1"/>
              <w:rPr>
                <w:bCs/>
              </w:rPr>
            </w:pPr>
            <w:r w:rsidRPr="00E971BF">
              <w:rPr>
                <w:bCs/>
              </w:rPr>
              <w:t>neparedz stingrākas prasības</w:t>
            </w:r>
          </w:p>
        </w:tc>
      </w:tr>
      <w:tr w:rsidR="00792AF3" w:rsidRPr="00E971BF" w:rsidTr="00CF7D4A">
        <w:tc>
          <w:tcPr>
            <w:tcW w:w="1957" w:type="pct"/>
            <w:tcBorders>
              <w:top w:val="outset" w:sz="6" w:space="0" w:color="000000"/>
              <w:left w:val="outset" w:sz="6" w:space="0" w:color="000000"/>
              <w:bottom w:val="outset" w:sz="6" w:space="0" w:color="000000"/>
              <w:right w:val="outset" w:sz="6" w:space="0" w:color="000000"/>
            </w:tcBorders>
          </w:tcPr>
          <w:p w:rsidR="00792AF3" w:rsidRDefault="00792AF3" w:rsidP="00792AF3">
            <w:r>
              <w:t>Pielikuma III sadaļa (nitrīts)</w:t>
            </w:r>
          </w:p>
        </w:tc>
        <w:tc>
          <w:tcPr>
            <w:tcW w:w="1009" w:type="pct"/>
            <w:tcBorders>
              <w:top w:val="outset" w:sz="6" w:space="0" w:color="000000"/>
              <w:left w:val="outset" w:sz="6" w:space="0" w:color="000000"/>
              <w:bottom w:val="outset" w:sz="6" w:space="0" w:color="000000"/>
              <w:right w:val="outset" w:sz="6" w:space="0" w:color="000000"/>
            </w:tcBorders>
          </w:tcPr>
          <w:p w:rsidR="00792AF3" w:rsidRDefault="00792AF3" w:rsidP="00861EFE">
            <w:r>
              <w:t xml:space="preserve">2.pielikuma 126. – 138.punkts; </w:t>
            </w:r>
          </w:p>
        </w:tc>
        <w:tc>
          <w:tcPr>
            <w:tcW w:w="1009" w:type="pct"/>
            <w:tcBorders>
              <w:top w:val="outset" w:sz="6" w:space="0" w:color="000000"/>
              <w:left w:val="outset" w:sz="6" w:space="0" w:color="000000"/>
              <w:bottom w:val="outset" w:sz="6" w:space="0" w:color="000000"/>
              <w:right w:val="outset" w:sz="6" w:space="0" w:color="000000"/>
            </w:tcBorders>
          </w:tcPr>
          <w:p w:rsidR="00792AF3" w:rsidRPr="00E971BF" w:rsidRDefault="00792AF3" w:rsidP="00792AF3">
            <w:pPr>
              <w:spacing w:before="100" w:beforeAutospacing="1" w:after="100" w:afterAutospacing="1"/>
            </w:pPr>
            <w:r w:rsidRPr="00E971BF">
              <w:t>ieviestas pilnībā</w:t>
            </w:r>
          </w:p>
        </w:tc>
        <w:tc>
          <w:tcPr>
            <w:tcW w:w="1025" w:type="pct"/>
            <w:tcBorders>
              <w:top w:val="outset" w:sz="6" w:space="0" w:color="000000"/>
              <w:left w:val="outset" w:sz="6" w:space="0" w:color="000000"/>
              <w:bottom w:val="outset" w:sz="6" w:space="0" w:color="000000"/>
              <w:right w:val="outset" w:sz="6" w:space="0" w:color="000000"/>
            </w:tcBorders>
          </w:tcPr>
          <w:p w:rsidR="00792AF3" w:rsidRPr="00E971BF" w:rsidRDefault="00792AF3" w:rsidP="00792AF3">
            <w:pPr>
              <w:spacing w:before="100" w:beforeAutospacing="1" w:after="100" w:afterAutospacing="1"/>
              <w:rPr>
                <w:bCs/>
              </w:rPr>
            </w:pPr>
            <w:r w:rsidRPr="00E971BF">
              <w:rPr>
                <w:bCs/>
              </w:rPr>
              <w:t>neparedz stingrākas prasības</w:t>
            </w:r>
          </w:p>
        </w:tc>
      </w:tr>
      <w:tr w:rsidR="00792AF3" w:rsidRPr="00E971BF" w:rsidTr="00CF7D4A">
        <w:tc>
          <w:tcPr>
            <w:tcW w:w="1957" w:type="pct"/>
            <w:tcBorders>
              <w:top w:val="outset" w:sz="6" w:space="0" w:color="000000"/>
              <w:left w:val="outset" w:sz="6" w:space="0" w:color="000000"/>
              <w:bottom w:val="outset" w:sz="6" w:space="0" w:color="000000"/>
              <w:right w:val="outset" w:sz="6" w:space="0" w:color="000000"/>
            </w:tcBorders>
          </w:tcPr>
          <w:p w:rsidR="00792AF3" w:rsidRDefault="00792AF3" w:rsidP="003A03B9">
            <w:r>
              <w:t xml:space="preserve">Pielikuma IVsadaļa (formaldehīds) – grozīta ar  </w:t>
            </w:r>
            <w:r w:rsidRPr="0068126E">
              <w:t xml:space="preserve">Komisijas </w:t>
            </w:r>
            <w:r>
              <w:t>1990.gada 4.aprīļa Direktīvu</w:t>
            </w:r>
            <w:r w:rsidRPr="004E1444">
              <w:t xml:space="preserve"> 90/207/EEK, ar kuru groza Otro Direktīvu 82/434/EEK</w:t>
            </w:r>
            <w:r w:rsidRPr="00507991">
              <w:rPr>
                <w:sz w:val="28"/>
                <w:szCs w:val="28"/>
              </w:rPr>
              <w:t xml:space="preserve"> </w:t>
            </w:r>
            <w:r w:rsidRPr="0068126E">
              <w:t>par dalībvalstu tiesību aktu tuvināšanu attiecībā uz analīzes metodēm, kas vajadzīgas, lai pārbaudītu kosmētikas līdzekļu sastāvu</w:t>
            </w:r>
            <w:r>
              <w:t xml:space="preserve"> (skat.</w:t>
            </w:r>
            <w:r w:rsidR="00562D09">
              <w:t xml:space="preserve">arī </w:t>
            </w:r>
            <w:r>
              <w:t>nākošo tabulu)</w:t>
            </w:r>
          </w:p>
        </w:tc>
        <w:tc>
          <w:tcPr>
            <w:tcW w:w="1009" w:type="pct"/>
            <w:tcBorders>
              <w:top w:val="outset" w:sz="6" w:space="0" w:color="000000"/>
              <w:left w:val="outset" w:sz="6" w:space="0" w:color="000000"/>
              <w:bottom w:val="outset" w:sz="6" w:space="0" w:color="000000"/>
              <w:right w:val="outset" w:sz="6" w:space="0" w:color="000000"/>
            </w:tcBorders>
          </w:tcPr>
          <w:p w:rsidR="00792AF3" w:rsidRDefault="00792AF3" w:rsidP="00B35421">
            <w:r>
              <w:t>2.pielikuma 139.- 159. punkts</w:t>
            </w:r>
          </w:p>
        </w:tc>
        <w:tc>
          <w:tcPr>
            <w:tcW w:w="1009" w:type="pct"/>
            <w:tcBorders>
              <w:top w:val="outset" w:sz="6" w:space="0" w:color="000000"/>
              <w:left w:val="outset" w:sz="6" w:space="0" w:color="000000"/>
              <w:bottom w:val="outset" w:sz="6" w:space="0" w:color="000000"/>
              <w:right w:val="outset" w:sz="6" w:space="0" w:color="000000"/>
            </w:tcBorders>
          </w:tcPr>
          <w:p w:rsidR="00792AF3" w:rsidRPr="00E971BF" w:rsidRDefault="00792AF3" w:rsidP="00792AF3">
            <w:pPr>
              <w:spacing w:before="100" w:beforeAutospacing="1" w:after="100" w:afterAutospacing="1"/>
            </w:pPr>
            <w:r w:rsidRPr="00E971BF">
              <w:t>ieviestas pilnībā</w:t>
            </w:r>
          </w:p>
        </w:tc>
        <w:tc>
          <w:tcPr>
            <w:tcW w:w="1025" w:type="pct"/>
            <w:tcBorders>
              <w:top w:val="outset" w:sz="6" w:space="0" w:color="000000"/>
              <w:left w:val="outset" w:sz="6" w:space="0" w:color="000000"/>
              <w:bottom w:val="outset" w:sz="6" w:space="0" w:color="000000"/>
              <w:right w:val="outset" w:sz="6" w:space="0" w:color="000000"/>
            </w:tcBorders>
          </w:tcPr>
          <w:p w:rsidR="00792AF3" w:rsidRPr="00E971BF" w:rsidRDefault="00792AF3" w:rsidP="00792AF3">
            <w:pPr>
              <w:spacing w:before="100" w:beforeAutospacing="1" w:after="100" w:afterAutospacing="1"/>
              <w:rPr>
                <w:bCs/>
              </w:rPr>
            </w:pPr>
            <w:r w:rsidRPr="00E971BF">
              <w:rPr>
                <w:bCs/>
              </w:rPr>
              <w:t>neparedz stingrākas prasības</w:t>
            </w:r>
          </w:p>
        </w:tc>
      </w:tr>
      <w:tr w:rsidR="00792AF3" w:rsidRPr="00E971BF" w:rsidTr="00CF7D4A">
        <w:tc>
          <w:tcPr>
            <w:tcW w:w="1957" w:type="pct"/>
            <w:tcBorders>
              <w:top w:val="outset" w:sz="6" w:space="0" w:color="000000"/>
              <w:left w:val="outset" w:sz="6" w:space="0" w:color="000000"/>
              <w:bottom w:val="outset" w:sz="6" w:space="0" w:color="000000"/>
              <w:right w:val="outset" w:sz="6" w:space="0" w:color="000000"/>
            </w:tcBorders>
          </w:tcPr>
          <w:p w:rsidR="00792AF3" w:rsidRDefault="00792AF3" w:rsidP="00792AF3">
            <w:r>
              <w:t>Pielikuma Vsadaļa (rezorcīns)</w:t>
            </w:r>
          </w:p>
        </w:tc>
        <w:tc>
          <w:tcPr>
            <w:tcW w:w="1009" w:type="pct"/>
            <w:tcBorders>
              <w:top w:val="outset" w:sz="6" w:space="0" w:color="000000"/>
              <w:left w:val="outset" w:sz="6" w:space="0" w:color="000000"/>
              <w:bottom w:val="outset" w:sz="6" w:space="0" w:color="000000"/>
              <w:right w:val="outset" w:sz="6" w:space="0" w:color="000000"/>
            </w:tcBorders>
          </w:tcPr>
          <w:p w:rsidR="00792AF3" w:rsidRDefault="00792AF3" w:rsidP="00792AF3">
            <w:r>
              <w:t>2.pielikuma 160.- 168. punkts</w:t>
            </w:r>
          </w:p>
        </w:tc>
        <w:tc>
          <w:tcPr>
            <w:tcW w:w="1009" w:type="pct"/>
            <w:tcBorders>
              <w:top w:val="outset" w:sz="6" w:space="0" w:color="000000"/>
              <w:left w:val="outset" w:sz="6" w:space="0" w:color="000000"/>
              <w:bottom w:val="outset" w:sz="6" w:space="0" w:color="000000"/>
              <w:right w:val="outset" w:sz="6" w:space="0" w:color="000000"/>
            </w:tcBorders>
          </w:tcPr>
          <w:p w:rsidR="00792AF3" w:rsidRPr="00E971BF" w:rsidRDefault="00792AF3" w:rsidP="00792AF3">
            <w:pPr>
              <w:spacing w:before="100" w:beforeAutospacing="1" w:after="100" w:afterAutospacing="1"/>
            </w:pPr>
            <w:r w:rsidRPr="00E971BF">
              <w:t>ieviestas pilnībā</w:t>
            </w:r>
          </w:p>
        </w:tc>
        <w:tc>
          <w:tcPr>
            <w:tcW w:w="1025" w:type="pct"/>
            <w:tcBorders>
              <w:top w:val="outset" w:sz="6" w:space="0" w:color="000000"/>
              <w:left w:val="outset" w:sz="6" w:space="0" w:color="000000"/>
              <w:bottom w:val="outset" w:sz="6" w:space="0" w:color="000000"/>
              <w:right w:val="outset" w:sz="6" w:space="0" w:color="000000"/>
            </w:tcBorders>
          </w:tcPr>
          <w:p w:rsidR="00792AF3" w:rsidRPr="00E971BF" w:rsidRDefault="00792AF3" w:rsidP="00792AF3">
            <w:pPr>
              <w:spacing w:before="100" w:beforeAutospacing="1" w:after="100" w:afterAutospacing="1"/>
              <w:rPr>
                <w:bCs/>
              </w:rPr>
            </w:pPr>
            <w:r w:rsidRPr="00E971BF">
              <w:rPr>
                <w:bCs/>
              </w:rPr>
              <w:t xml:space="preserve">neparedz stingrākas </w:t>
            </w:r>
            <w:r w:rsidRPr="00E971BF">
              <w:rPr>
                <w:bCs/>
              </w:rPr>
              <w:lastRenderedPageBreak/>
              <w:t>prasības</w:t>
            </w:r>
          </w:p>
        </w:tc>
      </w:tr>
      <w:tr w:rsidR="00792AF3" w:rsidRPr="00E971BF" w:rsidTr="00CF7D4A">
        <w:tc>
          <w:tcPr>
            <w:tcW w:w="1957" w:type="pct"/>
            <w:tcBorders>
              <w:top w:val="outset" w:sz="6" w:space="0" w:color="000000"/>
              <w:left w:val="outset" w:sz="6" w:space="0" w:color="000000"/>
              <w:bottom w:val="outset" w:sz="6" w:space="0" w:color="000000"/>
              <w:right w:val="outset" w:sz="6" w:space="0" w:color="000000"/>
            </w:tcBorders>
          </w:tcPr>
          <w:p w:rsidR="00792AF3" w:rsidRDefault="00792AF3" w:rsidP="00792AF3">
            <w:r>
              <w:lastRenderedPageBreak/>
              <w:t>Pielikuma VI sadaļa (metanols )</w:t>
            </w:r>
          </w:p>
        </w:tc>
        <w:tc>
          <w:tcPr>
            <w:tcW w:w="1009" w:type="pct"/>
            <w:tcBorders>
              <w:top w:val="outset" w:sz="6" w:space="0" w:color="000000"/>
              <w:left w:val="outset" w:sz="6" w:space="0" w:color="000000"/>
              <w:bottom w:val="outset" w:sz="6" w:space="0" w:color="000000"/>
              <w:right w:val="outset" w:sz="6" w:space="0" w:color="000000"/>
            </w:tcBorders>
          </w:tcPr>
          <w:p w:rsidR="00792AF3" w:rsidRDefault="00792AF3" w:rsidP="00792AF3">
            <w:r>
              <w:t>2.pielikuma 169.- 176. punkts</w:t>
            </w:r>
          </w:p>
        </w:tc>
        <w:tc>
          <w:tcPr>
            <w:tcW w:w="1009" w:type="pct"/>
            <w:tcBorders>
              <w:top w:val="outset" w:sz="6" w:space="0" w:color="000000"/>
              <w:left w:val="outset" w:sz="6" w:space="0" w:color="000000"/>
              <w:bottom w:val="outset" w:sz="6" w:space="0" w:color="000000"/>
              <w:right w:val="outset" w:sz="6" w:space="0" w:color="000000"/>
            </w:tcBorders>
          </w:tcPr>
          <w:p w:rsidR="00792AF3" w:rsidRPr="00E971BF" w:rsidRDefault="00792AF3" w:rsidP="00792AF3">
            <w:pPr>
              <w:spacing w:before="100" w:beforeAutospacing="1" w:after="100" w:afterAutospacing="1"/>
            </w:pPr>
            <w:r w:rsidRPr="00E971BF">
              <w:t>ieviestas pilnībā</w:t>
            </w:r>
          </w:p>
        </w:tc>
        <w:tc>
          <w:tcPr>
            <w:tcW w:w="1025" w:type="pct"/>
            <w:tcBorders>
              <w:top w:val="outset" w:sz="6" w:space="0" w:color="000000"/>
              <w:left w:val="outset" w:sz="6" w:space="0" w:color="000000"/>
              <w:bottom w:val="outset" w:sz="6" w:space="0" w:color="000000"/>
              <w:right w:val="outset" w:sz="6" w:space="0" w:color="000000"/>
            </w:tcBorders>
          </w:tcPr>
          <w:p w:rsidR="00792AF3" w:rsidRPr="00E971BF" w:rsidRDefault="00792AF3" w:rsidP="00792AF3">
            <w:pPr>
              <w:spacing w:before="100" w:beforeAutospacing="1" w:after="100" w:afterAutospacing="1"/>
              <w:rPr>
                <w:bCs/>
              </w:rPr>
            </w:pPr>
            <w:r w:rsidRPr="00E971BF">
              <w:rPr>
                <w:bCs/>
              </w:rPr>
              <w:t>neparedz stingrākas prasības</w:t>
            </w:r>
          </w:p>
        </w:tc>
      </w:tr>
      <w:tr w:rsidR="00FE7C7D" w:rsidRPr="00E971BF" w:rsidTr="00CF7D4A">
        <w:tc>
          <w:tcPr>
            <w:tcW w:w="1957"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Kā ir izmantota ES tiesību aktā paredzētā rīcības brīvība dalībvalstij pārņemt vai ieviest noteiktas ES tiesību akta normas.</w:t>
            </w:r>
          </w:p>
        </w:tc>
        <w:tc>
          <w:tcPr>
            <w:tcW w:w="3043"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pPr>
            <w:r w:rsidRPr="00E971BF">
              <w:t>Nav attiecināms.</w:t>
            </w:r>
          </w:p>
        </w:tc>
      </w:tr>
      <w:tr w:rsidR="00FE7C7D" w:rsidRPr="00E971BF" w:rsidTr="00CF7D4A">
        <w:tc>
          <w:tcPr>
            <w:tcW w:w="1957"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43"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jc w:val="both"/>
            </w:pPr>
            <w:r w:rsidRPr="00E971BF">
              <w:t>Nav attiecināms.</w:t>
            </w:r>
          </w:p>
        </w:tc>
      </w:tr>
      <w:tr w:rsidR="00FE7C7D" w:rsidRPr="00E971BF" w:rsidTr="00CF7D4A">
        <w:tc>
          <w:tcPr>
            <w:tcW w:w="1957"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t>Cita informācija</w:t>
            </w:r>
          </w:p>
        </w:tc>
        <w:tc>
          <w:tcPr>
            <w:tcW w:w="3043"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rPr>
                <w:b/>
              </w:rPr>
            </w:pPr>
            <w:r w:rsidRPr="00E971BF">
              <w:rPr>
                <w:b/>
              </w:rPr>
              <w:t xml:space="preserve"> </w:t>
            </w:r>
          </w:p>
        </w:tc>
      </w:tr>
    </w:tbl>
    <w:p w:rsidR="00FE7C7D" w:rsidRPr="00E971BF" w:rsidRDefault="00FE7C7D" w:rsidP="00FE7C7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508"/>
        <w:gridCol w:w="783"/>
        <w:gridCol w:w="1700"/>
        <w:gridCol w:w="1985"/>
        <w:gridCol w:w="2155"/>
      </w:tblGrid>
      <w:tr w:rsidR="00FE7C7D" w:rsidRPr="00E971BF" w:rsidTr="00FE7C7D">
        <w:tc>
          <w:tcPr>
            <w:tcW w:w="5000" w:type="pct"/>
            <w:gridSpan w:val="5"/>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rPr>
                <w:b/>
                <w:bCs/>
              </w:rPr>
            </w:pPr>
            <w:r w:rsidRPr="00E971BF">
              <w:rPr>
                <w:b/>
                <w:bCs/>
              </w:rPr>
              <w:t>1.tabula</w:t>
            </w:r>
            <w:r w:rsidRPr="00E971BF">
              <w:rPr>
                <w:b/>
                <w:bCs/>
              </w:rPr>
              <w:br/>
              <w:t>Tiesību akta projekta atbilstība ES tiesību aktiem</w:t>
            </w:r>
          </w:p>
        </w:tc>
      </w:tr>
      <w:tr w:rsidR="00FE7C7D" w:rsidRPr="00E971BF" w:rsidTr="00FE7C7D">
        <w:tc>
          <w:tcPr>
            <w:tcW w:w="1373"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Attiecīgā ES tiesību akta datums, numurs un nosaukums</w:t>
            </w:r>
          </w:p>
        </w:tc>
        <w:tc>
          <w:tcPr>
            <w:tcW w:w="3627" w:type="pct"/>
            <w:gridSpan w:val="4"/>
            <w:tcBorders>
              <w:top w:val="outset" w:sz="6" w:space="0" w:color="000000"/>
              <w:left w:val="outset" w:sz="6" w:space="0" w:color="000000"/>
              <w:bottom w:val="outset" w:sz="6" w:space="0" w:color="000000"/>
              <w:right w:val="outset" w:sz="6" w:space="0" w:color="000000"/>
            </w:tcBorders>
            <w:vAlign w:val="center"/>
          </w:tcPr>
          <w:p w:rsidR="00FE7C7D" w:rsidRPr="00E971BF" w:rsidRDefault="00CF7D4A" w:rsidP="00FE7C7D">
            <w:pPr>
              <w:jc w:val="both"/>
            </w:pPr>
            <w:r>
              <w:t xml:space="preserve">4) </w:t>
            </w:r>
            <w:r w:rsidR="00B35421" w:rsidRPr="0068126E">
              <w:t xml:space="preserve">Komisijas </w:t>
            </w:r>
            <w:r w:rsidR="00B35421" w:rsidRPr="004E1444">
              <w:t>1990.gada 4.aprīļa Direktīva 90/207/EEK, ar kuru groza Otro Direktīvu 82/434/EEK</w:t>
            </w:r>
            <w:r w:rsidR="00B35421" w:rsidRPr="00507991">
              <w:rPr>
                <w:sz w:val="28"/>
                <w:szCs w:val="28"/>
              </w:rPr>
              <w:t xml:space="preserve"> </w:t>
            </w:r>
            <w:r w:rsidR="00B35421" w:rsidRPr="0068126E">
              <w:t>par dalībvalstu tiesību aktu tuvināšanu attiecībā uz analīzes metodēm, kas vajadzīgas, lai pārbaudītu kosmētikas līdzekļu sastāvu</w:t>
            </w:r>
          </w:p>
        </w:tc>
      </w:tr>
      <w:tr w:rsidR="00FE7C7D" w:rsidRPr="00E971BF" w:rsidTr="00CF7D4A">
        <w:tc>
          <w:tcPr>
            <w:tcW w:w="1802" w:type="pct"/>
            <w:gridSpan w:val="2"/>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w:t>
            </w:r>
          </w:p>
        </w:tc>
        <w:tc>
          <w:tcPr>
            <w:tcW w:w="931"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B</w:t>
            </w:r>
          </w:p>
        </w:tc>
        <w:tc>
          <w:tcPr>
            <w:tcW w:w="1087"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C</w:t>
            </w:r>
          </w:p>
        </w:tc>
        <w:tc>
          <w:tcPr>
            <w:tcW w:w="1180"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D</w:t>
            </w:r>
          </w:p>
        </w:tc>
      </w:tr>
      <w:tr w:rsidR="00754E5A" w:rsidRPr="00E971BF" w:rsidTr="00CF7D4A">
        <w:tc>
          <w:tcPr>
            <w:tcW w:w="1802" w:type="pct"/>
            <w:gridSpan w:val="2"/>
            <w:tcBorders>
              <w:top w:val="outset" w:sz="6" w:space="0" w:color="000000"/>
              <w:left w:val="outset" w:sz="6" w:space="0" w:color="000000"/>
              <w:bottom w:val="outset" w:sz="6" w:space="0" w:color="000000"/>
              <w:right w:val="outset" w:sz="6" w:space="0" w:color="000000"/>
            </w:tcBorders>
            <w:vAlign w:val="center"/>
          </w:tcPr>
          <w:p w:rsidR="00754E5A" w:rsidRPr="00E971BF" w:rsidRDefault="00754E5A" w:rsidP="00FE7C7D">
            <w:pPr>
              <w:spacing w:before="100" w:beforeAutospacing="1" w:after="100" w:afterAutospacing="1"/>
              <w:jc w:val="both"/>
            </w:pPr>
            <w:r w:rsidRPr="00E971BF">
              <w:t>Attiecīgā ES tiesību akta panta numurs (uzskaitot katru tiesību akta vienību – pantu, daļu, punktu, apakšpunktu)</w:t>
            </w:r>
          </w:p>
        </w:tc>
        <w:tc>
          <w:tcPr>
            <w:tcW w:w="931"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Projekta vienība, kas pārņem vai ievieš katru šīs tabulas A ailē minēto ES tiesību akta vienību, vai tiesību akts, kur attiecīgā ES tiesību akta vienība pārņemta vai ieviesta</w:t>
            </w:r>
          </w:p>
        </w:tc>
        <w:tc>
          <w:tcPr>
            <w:tcW w:w="1087"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 xml:space="preserve">Informācija par to, vai šīs tabulas A ailē minētās ES tiesību akta vienības tiek pārņemtas vai ieviestas pilnībā vai daļēji. </w:t>
            </w:r>
          </w:p>
          <w:p w:rsidR="00754E5A" w:rsidRPr="00754E5A" w:rsidRDefault="00754E5A" w:rsidP="00754E5A">
            <w:pPr>
              <w:pStyle w:val="NoSpacing"/>
            </w:pPr>
            <w:r w:rsidRPr="00754E5A">
              <w:t>Ja attiecīgā ES tiesību akta vienība tiek pārņemta vai ieviesta daļēji, sniedz attiecīgu skaidrojumu, kā arī precīzi norāda, kad un kādā veidā ES tiesību akta vienība tiks pārņemta vai ieviesta pilnībā.</w:t>
            </w:r>
          </w:p>
          <w:p w:rsidR="00754E5A" w:rsidRPr="00754E5A" w:rsidRDefault="00754E5A" w:rsidP="00754E5A">
            <w:pPr>
              <w:pStyle w:val="NoSpacing"/>
            </w:pPr>
            <w:r w:rsidRPr="00754E5A">
              <w:t>Norāda institūciju, kas ir atbildīga par šo saistību izpildi pilnībā</w:t>
            </w:r>
          </w:p>
        </w:tc>
        <w:tc>
          <w:tcPr>
            <w:tcW w:w="1180"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 xml:space="preserve">Informācija par to, vai šīs tabulas B ailē minētās projekta vienības paredz stingrākas prasības nekā šīs tabulas A ailē minētās ES tiesību akta vienības. </w:t>
            </w:r>
          </w:p>
          <w:p w:rsidR="00754E5A" w:rsidRPr="00754E5A" w:rsidRDefault="00754E5A" w:rsidP="00754E5A">
            <w:pPr>
              <w:pStyle w:val="NoSpacing"/>
            </w:pPr>
            <w:r w:rsidRPr="00754E5A">
              <w:t>Ja projekts satur stingrākas prasības nekā attiecīgais ES tiesību akts, norāda pamatojumu un samērīgumu.</w:t>
            </w:r>
          </w:p>
          <w:p w:rsidR="00754E5A" w:rsidRPr="00754E5A" w:rsidRDefault="00754E5A" w:rsidP="00754E5A">
            <w:pPr>
              <w:pStyle w:val="NoSpacing"/>
            </w:pPr>
            <w:r w:rsidRPr="00754E5A">
              <w:t xml:space="preserve">Norāda iespējamās alternatīvas (t.sk. alternatīvas, kas neparedz tiesiskā regulējuma izstrādi) – kādos gadījumos būtu iespējams izvairīties no stingrāku prasību </w:t>
            </w:r>
            <w:r w:rsidRPr="00754E5A">
              <w:lastRenderedPageBreak/>
              <w:t>noteikšanas, nekā paredzēts attiecīgajos ES tiesību aktos</w:t>
            </w:r>
          </w:p>
        </w:tc>
      </w:tr>
      <w:tr w:rsidR="004970A5" w:rsidRPr="00E971BF" w:rsidTr="00CF7D4A">
        <w:tc>
          <w:tcPr>
            <w:tcW w:w="1802" w:type="pct"/>
            <w:gridSpan w:val="2"/>
            <w:tcBorders>
              <w:top w:val="outset" w:sz="6" w:space="0" w:color="000000"/>
              <w:left w:val="outset" w:sz="6" w:space="0" w:color="000000"/>
              <w:bottom w:val="outset" w:sz="6" w:space="0" w:color="000000"/>
              <w:right w:val="outset" w:sz="6" w:space="0" w:color="000000"/>
            </w:tcBorders>
          </w:tcPr>
          <w:p w:rsidR="004970A5" w:rsidRDefault="004970A5" w:rsidP="00DC38FF">
            <w:r>
              <w:lastRenderedPageBreak/>
              <w:t xml:space="preserve">1. pants </w:t>
            </w:r>
          </w:p>
        </w:tc>
        <w:tc>
          <w:tcPr>
            <w:tcW w:w="931" w:type="pct"/>
            <w:tcBorders>
              <w:top w:val="outset" w:sz="6" w:space="0" w:color="000000"/>
              <w:left w:val="outset" w:sz="6" w:space="0" w:color="000000"/>
              <w:bottom w:val="outset" w:sz="6" w:space="0" w:color="000000"/>
              <w:right w:val="outset" w:sz="6" w:space="0" w:color="000000"/>
            </w:tcBorders>
          </w:tcPr>
          <w:p w:rsidR="004970A5" w:rsidRDefault="00DC38FF" w:rsidP="004970A5">
            <w:pPr>
              <w:rPr>
                <w:lang w:eastAsia="en-US"/>
              </w:rPr>
            </w:pPr>
            <w:r>
              <w:t xml:space="preserve">7. punkts </w:t>
            </w:r>
            <w:r w:rsidR="004970A5">
              <w:t>2.pielikuma 139.- 159. punkts</w:t>
            </w:r>
          </w:p>
        </w:tc>
        <w:tc>
          <w:tcPr>
            <w:tcW w:w="1087" w:type="pct"/>
            <w:tcBorders>
              <w:top w:val="outset" w:sz="6" w:space="0" w:color="000000"/>
              <w:left w:val="outset" w:sz="6" w:space="0" w:color="000000"/>
              <w:bottom w:val="outset" w:sz="6" w:space="0" w:color="000000"/>
              <w:right w:val="outset" w:sz="6" w:space="0" w:color="000000"/>
            </w:tcBorders>
          </w:tcPr>
          <w:p w:rsidR="004970A5" w:rsidRPr="00E971BF" w:rsidRDefault="004970A5" w:rsidP="00FE7C7D">
            <w:pPr>
              <w:spacing w:before="100" w:beforeAutospacing="1" w:after="100" w:afterAutospacing="1"/>
            </w:pPr>
            <w:r w:rsidRPr="00E971BF">
              <w:t>ieviestas pilnībā</w:t>
            </w:r>
          </w:p>
        </w:tc>
        <w:tc>
          <w:tcPr>
            <w:tcW w:w="1180" w:type="pct"/>
            <w:tcBorders>
              <w:top w:val="outset" w:sz="6" w:space="0" w:color="000000"/>
              <w:left w:val="outset" w:sz="6" w:space="0" w:color="000000"/>
              <w:bottom w:val="outset" w:sz="6" w:space="0" w:color="000000"/>
              <w:right w:val="outset" w:sz="6" w:space="0" w:color="000000"/>
            </w:tcBorders>
          </w:tcPr>
          <w:p w:rsidR="004970A5" w:rsidRPr="00E971BF" w:rsidRDefault="004970A5" w:rsidP="00FE7C7D">
            <w:pPr>
              <w:spacing w:before="100" w:beforeAutospacing="1" w:after="100" w:afterAutospacing="1"/>
              <w:rPr>
                <w:bCs/>
              </w:rPr>
            </w:pPr>
            <w:r w:rsidRPr="00E971BF">
              <w:rPr>
                <w:bCs/>
              </w:rPr>
              <w:t>neparedz stingrākas prasības</w:t>
            </w:r>
          </w:p>
        </w:tc>
      </w:tr>
      <w:tr w:rsidR="00DC38FF" w:rsidRPr="00E971BF" w:rsidTr="00CF7D4A">
        <w:tc>
          <w:tcPr>
            <w:tcW w:w="1802" w:type="pct"/>
            <w:gridSpan w:val="2"/>
            <w:tcBorders>
              <w:top w:val="outset" w:sz="6" w:space="0" w:color="000000"/>
              <w:left w:val="outset" w:sz="6" w:space="0" w:color="000000"/>
              <w:bottom w:val="outset" w:sz="6" w:space="0" w:color="000000"/>
              <w:right w:val="outset" w:sz="6" w:space="0" w:color="000000"/>
            </w:tcBorders>
          </w:tcPr>
          <w:p w:rsidR="00DC38FF" w:rsidRDefault="00DC38FF" w:rsidP="00D840C6">
            <w:r>
              <w:t>Pielikums</w:t>
            </w:r>
          </w:p>
        </w:tc>
        <w:tc>
          <w:tcPr>
            <w:tcW w:w="931" w:type="pct"/>
            <w:tcBorders>
              <w:top w:val="outset" w:sz="6" w:space="0" w:color="000000"/>
              <w:left w:val="outset" w:sz="6" w:space="0" w:color="000000"/>
              <w:bottom w:val="outset" w:sz="6" w:space="0" w:color="000000"/>
              <w:right w:val="outset" w:sz="6" w:space="0" w:color="000000"/>
            </w:tcBorders>
          </w:tcPr>
          <w:p w:rsidR="00DC38FF" w:rsidRDefault="00DC38FF" w:rsidP="004970A5">
            <w:r>
              <w:t>2.pielikuma 139.- 159. punkts</w:t>
            </w:r>
          </w:p>
        </w:tc>
        <w:tc>
          <w:tcPr>
            <w:tcW w:w="1087" w:type="pct"/>
            <w:tcBorders>
              <w:top w:val="outset" w:sz="6" w:space="0" w:color="000000"/>
              <w:left w:val="outset" w:sz="6" w:space="0" w:color="000000"/>
              <w:bottom w:val="outset" w:sz="6" w:space="0" w:color="000000"/>
              <w:right w:val="outset" w:sz="6" w:space="0" w:color="000000"/>
            </w:tcBorders>
          </w:tcPr>
          <w:p w:rsidR="00DC38FF" w:rsidRPr="00E971BF" w:rsidRDefault="00DC38FF" w:rsidP="00FE7C7D">
            <w:pPr>
              <w:spacing w:before="100" w:beforeAutospacing="1" w:after="100" w:afterAutospacing="1"/>
            </w:pPr>
          </w:p>
        </w:tc>
        <w:tc>
          <w:tcPr>
            <w:tcW w:w="1180" w:type="pct"/>
            <w:tcBorders>
              <w:top w:val="outset" w:sz="6" w:space="0" w:color="000000"/>
              <w:left w:val="outset" w:sz="6" w:space="0" w:color="000000"/>
              <w:bottom w:val="outset" w:sz="6" w:space="0" w:color="000000"/>
              <w:right w:val="outset" w:sz="6" w:space="0" w:color="000000"/>
            </w:tcBorders>
          </w:tcPr>
          <w:p w:rsidR="00DC38FF" w:rsidRPr="00E971BF" w:rsidRDefault="00DC38FF" w:rsidP="00FE7C7D">
            <w:pPr>
              <w:spacing w:before="100" w:beforeAutospacing="1" w:after="100" w:afterAutospacing="1"/>
              <w:rPr>
                <w:bCs/>
              </w:rPr>
            </w:pPr>
          </w:p>
        </w:tc>
      </w:tr>
      <w:tr w:rsidR="00FE7C7D" w:rsidRPr="00E971BF" w:rsidTr="00CF7D4A">
        <w:tc>
          <w:tcPr>
            <w:tcW w:w="1802" w:type="pct"/>
            <w:gridSpan w:val="2"/>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Kā ir izmantota ES tiesību aktā paredzētā rīcības brīvība dalībvalstij pārņemt vai ieviest noteiktas ES tiesību akta normas.</w:t>
            </w:r>
          </w:p>
        </w:tc>
        <w:tc>
          <w:tcPr>
            <w:tcW w:w="3198"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pPr>
            <w:r w:rsidRPr="00E971BF">
              <w:t>Nav attiecināms.</w:t>
            </w:r>
          </w:p>
        </w:tc>
      </w:tr>
      <w:tr w:rsidR="00FE7C7D" w:rsidRPr="00E971BF" w:rsidTr="00CF7D4A">
        <w:tc>
          <w:tcPr>
            <w:tcW w:w="1802" w:type="pct"/>
            <w:gridSpan w:val="2"/>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198"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jc w:val="both"/>
            </w:pPr>
            <w:r w:rsidRPr="00E971BF">
              <w:t>Nav attiecināms.</w:t>
            </w:r>
          </w:p>
        </w:tc>
      </w:tr>
      <w:tr w:rsidR="00FE7C7D" w:rsidRPr="00E971BF" w:rsidTr="00CF7D4A">
        <w:tc>
          <w:tcPr>
            <w:tcW w:w="1802" w:type="pct"/>
            <w:gridSpan w:val="2"/>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t>Cita informācija</w:t>
            </w:r>
          </w:p>
        </w:tc>
        <w:tc>
          <w:tcPr>
            <w:tcW w:w="3198"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rPr>
                <w:b/>
              </w:rPr>
            </w:pPr>
            <w:r w:rsidRPr="00E971BF">
              <w:rPr>
                <w:b/>
              </w:rPr>
              <w:t xml:space="preserve"> </w:t>
            </w:r>
          </w:p>
        </w:tc>
      </w:tr>
    </w:tbl>
    <w:p w:rsidR="00FE7C7D" w:rsidRDefault="00FE7C7D" w:rsidP="004407CE">
      <w:pPr>
        <w:jc w:val="both"/>
        <w:rPr>
          <w:color w:val="000000"/>
        </w:rPr>
      </w:pPr>
    </w:p>
    <w:p w:rsidR="00FE7C7D" w:rsidRPr="00E971BF" w:rsidRDefault="00FE7C7D" w:rsidP="00FE7C7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998"/>
        <w:gridCol w:w="1702"/>
        <w:gridCol w:w="1702"/>
        <w:gridCol w:w="1729"/>
      </w:tblGrid>
      <w:tr w:rsidR="00FE7C7D" w:rsidRPr="00E971BF" w:rsidTr="00FE7C7D">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rPr>
                <w:b/>
                <w:bCs/>
              </w:rPr>
            </w:pPr>
            <w:r w:rsidRPr="00E971BF">
              <w:rPr>
                <w:b/>
                <w:bCs/>
              </w:rPr>
              <w:t>1.tabula</w:t>
            </w:r>
            <w:r w:rsidRPr="00E971BF">
              <w:rPr>
                <w:b/>
                <w:bCs/>
              </w:rPr>
              <w:br/>
              <w:t>Tiesību akta projekta atbilstība ES tiesību aktiem</w:t>
            </w:r>
          </w:p>
        </w:tc>
      </w:tr>
      <w:tr w:rsidR="00FE7C7D" w:rsidRPr="00E971BF" w:rsidTr="00CF7D4A">
        <w:tc>
          <w:tcPr>
            <w:tcW w:w="2189"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Attiecīgā ES tiesību akta datums, numurs un nosaukums</w:t>
            </w:r>
          </w:p>
        </w:tc>
        <w:tc>
          <w:tcPr>
            <w:tcW w:w="2811" w:type="pct"/>
            <w:gridSpan w:val="3"/>
            <w:tcBorders>
              <w:top w:val="outset" w:sz="6" w:space="0" w:color="000000"/>
              <w:left w:val="outset" w:sz="6" w:space="0" w:color="000000"/>
              <w:bottom w:val="outset" w:sz="6" w:space="0" w:color="000000"/>
              <w:right w:val="outset" w:sz="6" w:space="0" w:color="000000"/>
            </w:tcBorders>
            <w:vAlign w:val="center"/>
          </w:tcPr>
          <w:p w:rsidR="00FE7C7D" w:rsidRPr="00E971BF" w:rsidRDefault="00D840C6" w:rsidP="00FE7C7D">
            <w:pPr>
              <w:jc w:val="both"/>
            </w:pPr>
            <w:r w:rsidRPr="0068126E">
              <w:t xml:space="preserve">Komisijas </w:t>
            </w:r>
            <w:r w:rsidRPr="004E1444">
              <w:t>1983. gada 27. septembra  Trešā direktīva 83/514/EEK</w:t>
            </w:r>
            <w:r w:rsidRPr="0068126E">
              <w:t xml:space="preserve"> par dalībvalstu tiesību aktu tuvināšanu attiecībā uz analīzes metodēm, kas vajadzīgas, lai pārbaudītu kosmētikas līdzekļu sastāvu</w:t>
            </w:r>
          </w:p>
        </w:tc>
      </w:tr>
      <w:tr w:rsidR="00FE7C7D" w:rsidRPr="00E971BF" w:rsidTr="00CF7D4A">
        <w:tc>
          <w:tcPr>
            <w:tcW w:w="2189"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w:t>
            </w:r>
          </w:p>
        </w:tc>
        <w:tc>
          <w:tcPr>
            <w:tcW w:w="932"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B</w:t>
            </w:r>
          </w:p>
        </w:tc>
        <w:tc>
          <w:tcPr>
            <w:tcW w:w="932"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C</w:t>
            </w:r>
          </w:p>
        </w:tc>
        <w:tc>
          <w:tcPr>
            <w:tcW w:w="947"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D</w:t>
            </w:r>
          </w:p>
        </w:tc>
      </w:tr>
      <w:tr w:rsidR="00754E5A" w:rsidRPr="00E971BF" w:rsidTr="00CF7D4A">
        <w:tc>
          <w:tcPr>
            <w:tcW w:w="2189" w:type="pct"/>
            <w:tcBorders>
              <w:top w:val="outset" w:sz="6" w:space="0" w:color="000000"/>
              <w:left w:val="outset" w:sz="6" w:space="0" w:color="000000"/>
              <w:bottom w:val="outset" w:sz="6" w:space="0" w:color="000000"/>
              <w:right w:val="outset" w:sz="6" w:space="0" w:color="000000"/>
            </w:tcBorders>
            <w:vAlign w:val="center"/>
          </w:tcPr>
          <w:p w:rsidR="00754E5A" w:rsidRPr="00E971BF" w:rsidRDefault="00754E5A" w:rsidP="00FE7C7D">
            <w:pPr>
              <w:spacing w:before="100" w:beforeAutospacing="1" w:after="100" w:afterAutospacing="1"/>
              <w:jc w:val="both"/>
            </w:pPr>
            <w:r w:rsidRPr="00E971BF">
              <w:t>Attiecīgā ES tiesību akta panta numurs (uzskaitot katru tiesību akta vienību – pantu, daļu, punktu, apakšpunktu)</w:t>
            </w:r>
          </w:p>
        </w:tc>
        <w:tc>
          <w:tcPr>
            <w:tcW w:w="932"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Projekta vienība, kas pārņem vai ievieš katru šīs tabulas A ailē minēto ES tiesību akta vienību, vai tiesību akts, kur attiecīgā ES tiesību akta vienība pārņemta vai ieviesta</w:t>
            </w:r>
          </w:p>
        </w:tc>
        <w:tc>
          <w:tcPr>
            <w:tcW w:w="932"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 xml:space="preserve">Informācija par to, vai šīs tabulas A ailē minētās ES tiesību akta vienības tiek pārņemtas vai ieviestas pilnībā vai daļēji. </w:t>
            </w:r>
          </w:p>
          <w:p w:rsidR="00754E5A" w:rsidRPr="00754E5A" w:rsidRDefault="00754E5A" w:rsidP="00754E5A">
            <w:pPr>
              <w:pStyle w:val="NoSpacing"/>
            </w:pPr>
            <w:r w:rsidRPr="00754E5A">
              <w:t xml:space="preserve">Ja attiecīgā ES tiesību akta vienība tiek pārņemta vai ieviesta daļēji, sniedz attiecīgu </w:t>
            </w:r>
            <w:r w:rsidRPr="00754E5A">
              <w:lastRenderedPageBreak/>
              <w:t>skaidrojumu, kā arī precīzi norāda, kad un kādā veidā ES tiesību akta vienība tiks pārņemta vai ieviesta pilnībā.</w:t>
            </w:r>
          </w:p>
          <w:p w:rsidR="00754E5A" w:rsidRPr="00754E5A" w:rsidRDefault="00754E5A" w:rsidP="00754E5A">
            <w:pPr>
              <w:pStyle w:val="NoSpacing"/>
            </w:pPr>
            <w:r w:rsidRPr="00754E5A">
              <w:t>Norāda institūciju, kas ir atbildīga par šo saistību izpildi pilnībā</w:t>
            </w:r>
          </w:p>
        </w:tc>
        <w:tc>
          <w:tcPr>
            <w:tcW w:w="947"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lastRenderedPageBreak/>
              <w:t xml:space="preserve">Informācija par to, vai šīs tabulas B ailē minētās projekta vienības paredz stingrākas prasības nekā šīs tabulas A ailē minētās ES tiesību akta vienības. </w:t>
            </w:r>
          </w:p>
          <w:p w:rsidR="00754E5A" w:rsidRPr="00754E5A" w:rsidRDefault="00754E5A" w:rsidP="00754E5A">
            <w:pPr>
              <w:pStyle w:val="NoSpacing"/>
            </w:pPr>
            <w:r w:rsidRPr="00754E5A">
              <w:t xml:space="preserve">Ja projekts satur stingrākas prasības nekā attiecīgais ES </w:t>
            </w:r>
            <w:r w:rsidRPr="00754E5A">
              <w:lastRenderedPageBreak/>
              <w:t>tiesību akts, norāda pamatojumu un samērīgumu.</w:t>
            </w:r>
          </w:p>
          <w:p w:rsidR="00754E5A" w:rsidRPr="00754E5A" w:rsidRDefault="00754E5A" w:rsidP="00754E5A">
            <w:pPr>
              <w:pStyle w:val="NoSpacing"/>
            </w:pPr>
            <w:r w:rsidRPr="00754E5A">
              <w:t>Norāda iespējamās alternatīvas (t.sk. alternatīvas, kas neparedz tiesiskā regulējuma izstrādi) – kādos gadījumos būtu iespējams izvairīties no stingrāku prasību noteikšanas, nekā paredzēts attiecīgajos ES tiesību aktos</w:t>
            </w:r>
          </w:p>
        </w:tc>
      </w:tr>
      <w:tr w:rsidR="00FE7C7D" w:rsidRPr="00E971BF" w:rsidTr="00CF7D4A">
        <w:tc>
          <w:tcPr>
            <w:tcW w:w="2189" w:type="pct"/>
            <w:tcBorders>
              <w:top w:val="outset" w:sz="6" w:space="0" w:color="000000"/>
              <w:left w:val="outset" w:sz="6" w:space="0" w:color="000000"/>
              <w:bottom w:val="outset" w:sz="6" w:space="0" w:color="000000"/>
              <w:right w:val="outset" w:sz="6" w:space="0" w:color="000000"/>
            </w:tcBorders>
          </w:tcPr>
          <w:p w:rsidR="00FE7C7D" w:rsidRPr="00E971BF" w:rsidRDefault="00E36A3E" w:rsidP="00DC38FF">
            <w:pPr>
              <w:spacing w:before="100" w:beforeAutospacing="1" w:after="100" w:afterAutospacing="1"/>
            </w:pPr>
            <w:r>
              <w:lastRenderedPageBreak/>
              <w:t xml:space="preserve">1. pants </w:t>
            </w:r>
          </w:p>
        </w:tc>
        <w:tc>
          <w:tcPr>
            <w:tcW w:w="932" w:type="pct"/>
            <w:tcBorders>
              <w:top w:val="outset" w:sz="6" w:space="0" w:color="000000"/>
              <w:left w:val="outset" w:sz="6" w:space="0" w:color="000000"/>
              <w:bottom w:val="outset" w:sz="6" w:space="0" w:color="000000"/>
              <w:right w:val="outset" w:sz="6" w:space="0" w:color="000000"/>
            </w:tcBorders>
          </w:tcPr>
          <w:p w:rsidR="00FE7C7D" w:rsidRPr="00E971BF" w:rsidRDefault="00DC38FF" w:rsidP="00FE7C7D">
            <w:pPr>
              <w:spacing w:before="100" w:beforeAutospacing="1" w:after="100" w:afterAutospacing="1"/>
              <w:rPr>
                <w:bCs/>
              </w:rPr>
            </w:pPr>
            <w:r>
              <w:t xml:space="preserve">7. punkts un </w:t>
            </w:r>
            <w:r w:rsidR="00E36A3E">
              <w:t>2.pielikuma 177.- 290. punkts</w:t>
            </w:r>
          </w:p>
        </w:tc>
        <w:tc>
          <w:tcPr>
            <w:tcW w:w="932"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t>ieviestas pilnībā</w:t>
            </w:r>
          </w:p>
        </w:tc>
        <w:tc>
          <w:tcPr>
            <w:tcW w:w="947"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rPr>
                <w:bCs/>
              </w:rPr>
            </w:pPr>
            <w:r w:rsidRPr="00E971BF">
              <w:rPr>
                <w:bCs/>
              </w:rPr>
              <w:t>neparedz stingrākas prasības</w:t>
            </w:r>
          </w:p>
        </w:tc>
      </w:tr>
      <w:tr w:rsidR="00861EFE" w:rsidRPr="00E971BF" w:rsidTr="00CF7D4A">
        <w:tc>
          <w:tcPr>
            <w:tcW w:w="2189" w:type="pct"/>
            <w:tcBorders>
              <w:top w:val="outset" w:sz="6" w:space="0" w:color="000000"/>
              <w:left w:val="outset" w:sz="6" w:space="0" w:color="000000"/>
              <w:bottom w:val="outset" w:sz="6" w:space="0" w:color="000000"/>
              <w:right w:val="outset" w:sz="6" w:space="0" w:color="000000"/>
            </w:tcBorders>
          </w:tcPr>
          <w:p w:rsidR="00861EFE" w:rsidRDefault="00861EFE" w:rsidP="00FE7C7D">
            <w:pPr>
              <w:spacing w:before="100" w:beforeAutospacing="1" w:after="100" w:afterAutospacing="1"/>
            </w:pPr>
            <w:r>
              <w:t>Pielikuma I sadaļa (dihlormetāns u.c. )</w:t>
            </w:r>
          </w:p>
        </w:tc>
        <w:tc>
          <w:tcPr>
            <w:tcW w:w="932" w:type="pct"/>
            <w:tcBorders>
              <w:top w:val="outset" w:sz="6" w:space="0" w:color="000000"/>
              <w:left w:val="outset" w:sz="6" w:space="0" w:color="000000"/>
              <w:bottom w:val="outset" w:sz="6" w:space="0" w:color="000000"/>
              <w:right w:val="outset" w:sz="6" w:space="0" w:color="000000"/>
            </w:tcBorders>
          </w:tcPr>
          <w:p w:rsidR="00861EFE" w:rsidRDefault="00861EFE" w:rsidP="00861EFE">
            <w:pPr>
              <w:spacing w:before="100" w:beforeAutospacing="1" w:after="100" w:afterAutospacing="1"/>
            </w:pPr>
            <w:r>
              <w:t>2.pielikuma 177.- 186. punkts</w:t>
            </w:r>
          </w:p>
        </w:tc>
        <w:tc>
          <w:tcPr>
            <w:tcW w:w="932"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pPr>
            <w:r w:rsidRPr="00E971BF">
              <w:t>ieviestas pilnībā</w:t>
            </w:r>
          </w:p>
        </w:tc>
        <w:tc>
          <w:tcPr>
            <w:tcW w:w="947"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rPr>
                <w:bCs/>
              </w:rPr>
            </w:pPr>
            <w:r w:rsidRPr="00E971BF">
              <w:rPr>
                <w:bCs/>
              </w:rPr>
              <w:t>neparedz stingrākas prasības</w:t>
            </w:r>
          </w:p>
        </w:tc>
      </w:tr>
      <w:tr w:rsidR="00861EFE" w:rsidRPr="00E971BF" w:rsidTr="00CF7D4A">
        <w:tc>
          <w:tcPr>
            <w:tcW w:w="2189" w:type="pct"/>
            <w:tcBorders>
              <w:top w:val="outset" w:sz="6" w:space="0" w:color="000000"/>
              <w:left w:val="outset" w:sz="6" w:space="0" w:color="000000"/>
              <w:bottom w:val="outset" w:sz="6" w:space="0" w:color="000000"/>
              <w:right w:val="outset" w:sz="6" w:space="0" w:color="000000"/>
            </w:tcBorders>
          </w:tcPr>
          <w:p w:rsidR="00861EFE" w:rsidRDefault="00861EFE" w:rsidP="00FE7C7D">
            <w:pPr>
              <w:spacing w:before="100" w:beforeAutospacing="1" w:after="100" w:afterAutospacing="1"/>
            </w:pPr>
            <w:r>
              <w:t>Pielikuma II sadaļa (hinolīn-8-ols u.c.)</w:t>
            </w:r>
          </w:p>
        </w:tc>
        <w:tc>
          <w:tcPr>
            <w:tcW w:w="932" w:type="pct"/>
            <w:tcBorders>
              <w:top w:val="outset" w:sz="6" w:space="0" w:color="000000"/>
              <w:left w:val="outset" w:sz="6" w:space="0" w:color="000000"/>
              <w:bottom w:val="outset" w:sz="6" w:space="0" w:color="000000"/>
              <w:right w:val="outset" w:sz="6" w:space="0" w:color="000000"/>
            </w:tcBorders>
          </w:tcPr>
          <w:p w:rsidR="00861EFE" w:rsidRDefault="00861EFE" w:rsidP="00861EFE">
            <w:pPr>
              <w:spacing w:before="100" w:beforeAutospacing="1" w:after="100" w:afterAutospacing="1"/>
            </w:pPr>
            <w:r>
              <w:t>2.pielikuma 187.- 196. punkts</w:t>
            </w:r>
          </w:p>
        </w:tc>
        <w:tc>
          <w:tcPr>
            <w:tcW w:w="932"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pPr>
            <w:r w:rsidRPr="00E971BF">
              <w:t>ieviestas pilnībā</w:t>
            </w:r>
          </w:p>
        </w:tc>
        <w:tc>
          <w:tcPr>
            <w:tcW w:w="947"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rPr>
                <w:bCs/>
              </w:rPr>
            </w:pPr>
            <w:r w:rsidRPr="00E971BF">
              <w:rPr>
                <w:bCs/>
              </w:rPr>
              <w:t>neparedz stingrākas prasības</w:t>
            </w:r>
          </w:p>
        </w:tc>
      </w:tr>
      <w:tr w:rsidR="00861EFE" w:rsidRPr="00E971BF" w:rsidTr="00CF7D4A">
        <w:tc>
          <w:tcPr>
            <w:tcW w:w="2189" w:type="pct"/>
            <w:tcBorders>
              <w:top w:val="outset" w:sz="6" w:space="0" w:color="000000"/>
              <w:left w:val="outset" w:sz="6" w:space="0" w:color="000000"/>
              <w:bottom w:val="outset" w:sz="6" w:space="0" w:color="000000"/>
              <w:right w:val="outset" w:sz="6" w:space="0" w:color="000000"/>
            </w:tcBorders>
          </w:tcPr>
          <w:p w:rsidR="00861EFE" w:rsidRDefault="00861EFE" w:rsidP="00FE7C7D">
            <w:pPr>
              <w:spacing w:before="100" w:beforeAutospacing="1" w:after="100" w:afterAutospacing="1"/>
            </w:pPr>
            <w:r>
              <w:t>Pielikuma III sadaļa (amonjaks)</w:t>
            </w:r>
          </w:p>
        </w:tc>
        <w:tc>
          <w:tcPr>
            <w:tcW w:w="932" w:type="pct"/>
            <w:tcBorders>
              <w:top w:val="outset" w:sz="6" w:space="0" w:color="000000"/>
              <w:left w:val="outset" w:sz="6" w:space="0" w:color="000000"/>
              <w:bottom w:val="outset" w:sz="6" w:space="0" w:color="000000"/>
              <w:right w:val="outset" w:sz="6" w:space="0" w:color="000000"/>
            </w:tcBorders>
          </w:tcPr>
          <w:p w:rsidR="00861EFE" w:rsidRDefault="00861EFE" w:rsidP="00861EFE">
            <w:pPr>
              <w:spacing w:before="100" w:beforeAutospacing="1" w:after="100" w:afterAutospacing="1"/>
            </w:pPr>
            <w:r>
              <w:t>2.pielikuma 197.- 214. punkts</w:t>
            </w:r>
          </w:p>
        </w:tc>
        <w:tc>
          <w:tcPr>
            <w:tcW w:w="932"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pPr>
            <w:r w:rsidRPr="00E971BF">
              <w:t>ieviestas pilnībā</w:t>
            </w:r>
          </w:p>
        </w:tc>
        <w:tc>
          <w:tcPr>
            <w:tcW w:w="947"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rPr>
                <w:bCs/>
              </w:rPr>
            </w:pPr>
            <w:r w:rsidRPr="00E971BF">
              <w:rPr>
                <w:bCs/>
              </w:rPr>
              <w:t>neparedz stingrākas prasības</w:t>
            </w:r>
          </w:p>
        </w:tc>
      </w:tr>
      <w:tr w:rsidR="00861EFE" w:rsidRPr="00E971BF" w:rsidTr="00CF7D4A">
        <w:tc>
          <w:tcPr>
            <w:tcW w:w="2189" w:type="pct"/>
            <w:tcBorders>
              <w:top w:val="outset" w:sz="6" w:space="0" w:color="000000"/>
              <w:left w:val="outset" w:sz="6" w:space="0" w:color="000000"/>
              <w:bottom w:val="outset" w:sz="6" w:space="0" w:color="000000"/>
              <w:right w:val="outset" w:sz="6" w:space="0" w:color="000000"/>
            </w:tcBorders>
          </w:tcPr>
          <w:p w:rsidR="00861EFE" w:rsidRDefault="00861EFE" w:rsidP="00FE7C7D">
            <w:pPr>
              <w:spacing w:before="100" w:beforeAutospacing="1" w:after="100" w:afterAutospacing="1"/>
            </w:pPr>
            <w:r>
              <w:t>Pielikuma IV sadaļa (nitrometāns)</w:t>
            </w:r>
          </w:p>
        </w:tc>
        <w:tc>
          <w:tcPr>
            <w:tcW w:w="932" w:type="pct"/>
            <w:tcBorders>
              <w:top w:val="outset" w:sz="6" w:space="0" w:color="000000"/>
              <w:left w:val="outset" w:sz="6" w:space="0" w:color="000000"/>
              <w:bottom w:val="outset" w:sz="6" w:space="0" w:color="000000"/>
              <w:right w:val="outset" w:sz="6" w:space="0" w:color="000000"/>
            </w:tcBorders>
          </w:tcPr>
          <w:p w:rsidR="00861EFE" w:rsidRDefault="00861EFE" w:rsidP="00861EFE">
            <w:pPr>
              <w:spacing w:before="100" w:beforeAutospacing="1" w:after="100" w:afterAutospacing="1"/>
            </w:pPr>
            <w:r>
              <w:t>2.pielikuma 215.- 228. punkts</w:t>
            </w:r>
          </w:p>
        </w:tc>
        <w:tc>
          <w:tcPr>
            <w:tcW w:w="932"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pPr>
            <w:r w:rsidRPr="00E971BF">
              <w:t>ieviestas pilnībā</w:t>
            </w:r>
          </w:p>
        </w:tc>
        <w:tc>
          <w:tcPr>
            <w:tcW w:w="947"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rPr>
                <w:bCs/>
              </w:rPr>
            </w:pPr>
            <w:r w:rsidRPr="00E971BF">
              <w:rPr>
                <w:bCs/>
              </w:rPr>
              <w:t>neparedz stingrākas prasības</w:t>
            </w:r>
          </w:p>
        </w:tc>
      </w:tr>
      <w:tr w:rsidR="00861EFE" w:rsidRPr="00E971BF" w:rsidTr="00CF7D4A">
        <w:tc>
          <w:tcPr>
            <w:tcW w:w="2189" w:type="pct"/>
            <w:tcBorders>
              <w:top w:val="outset" w:sz="6" w:space="0" w:color="000000"/>
              <w:left w:val="outset" w:sz="6" w:space="0" w:color="000000"/>
              <w:bottom w:val="outset" w:sz="6" w:space="0" w:color="000000"/>
              <w:right w:val="outset" w:sz="6" w:space="0" w:color="000000"/>
            </w:tcBorders>
          </w:tcPr>
          <w:p w:rsidR="00861EFE" w:rsidRDefault="00861EFE" w:rsidP="00FE7C7D">
            <w:pPr>
              <w:spacing w:before="100" w:beforeAutospacing="1" w:after="100" w:afterAutospacing="1"/>
            </w:pPr>
            <w:r>
              <w:t>Pielikuma V sadaļa (merkaptoetiķskābe)</w:t>
            </w:r>
          </w:p>
        </w:tc>
        <w:tc>
          <w:tcPr>
            <w:tcW w:w="932" w:type="pct"/>
            <w:tcBorders>
              <w:top w:val="outset" w:sz="6" w:space="0" w:color="000000"/>
              <w:left w:val="outset" w:sz="6" w:space="0" w:color="000000"/>
              <w:bottom w:val="outset" w:sz="6" w:space="0" w:color="000000"/>
              <w:right w:val="outset" w:sz="6" w:space="0" w:color="000000"/>
            </w:tcBorders>
          </w:tcPr>
          <w:p w:rsidR="00861EFE" w:rsidRDefault="00861EFE" w:rsidP="00DD2A63">
            <w:pPr>
              <w:spacing w:before="100" w:beforeAutospacing="1" w:after="100" w:afterAutospacing="1"/>
            </w:pPr>
            <w:r>
              <w:t>2.pielikuma 229.- 237. punkts</w:t>
            </w:r>
          </w:p>
        </w:tc>
        <w:tc>
          <w:tcPr>
            <w:tcW w:w="932"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pPr>
            <w:r w:rsidRPr="00E971BF">
              <w:t>ieviestas pilnībā</w:t>
            </w:r>
          </w:p>
        </w:tc>
        <w:tc>
          <w:tcPr>
            <w:tcW w:w="947"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rPr>
                <w:bCs/>
              </w:rPr>
            </w:pPr>
            <w:r w:rsidRPr="00E971BF">
              <w:rPr>
                <w:bCs/>
              </w:rPr>
              <w:t>neparedz stingrākas prasības</w:t>
            </w:r>
          </w:p>
        </w:tc>
      </w:tr>
      <w:tr w:rsidR="00861EFE" w:rsidRPr="00E971BF" w:rsidTr="00CF7D4A">
        <w:tc>
          <w:tcPr>
            <w:tcW w:w="2189" w:type="pct"/>
            <w:tcBorders>
              <w:top w:val="outset" w:sz="6" w:space="0" w:color="000000"/>
              <w:left w:val="outset" w:sz="6" w:space="0" w:color="000000"/>
              <w:bottom w:val="outset" w:sz="6" w:space="0" w:color="000000"/>
              <w:right w:val="outset" w:sz="6" w:space="0" w:color="000000"/>
            </w:tcBorders>
          </w:tcPr>
          <w:p w:rsidR="00861EFE" w:rsidRDefault="00861EFE" w:rsidP="00FE7C7D">
            <w:pPr>
              <w:spacing w:before="100" w:beforeAutospacing="1" w:after="100" w:afterAutospacing="1"/>
            </w:pPr>
            <w:r>
              <w:t>Pielikuma VI sadaļa (heksahlorofēns)</w:t>
            </w:r>
          </w:p>
        </w:tc>
        <w:tc>
          <w:tcPr>
            <w:tcW w:w="932" w:type="pct"/>
            <w:tcBorders>
              <w:top w:val="outset" w:sz="6" w:space="0" w:color="000000"/>
              <w:left w:val="outset" w:sz="6" w:space="0" w:color="000000"/>
              <w:bottom w:val="outset" w:sz="6" w:space="0" w:color="000000"/>
              <w:right w:val="outset" w:sz="6" w:space="0" w:color="000000"/>
            </w:tcBorders>
          </w:tcPr>
          <w:p w:rsidR="00861EFE" w:rsidRDefault="00861EFE" w:rsidP="00DD2A63">
            <w:pPr>
              <w:spacing w:before="100" w:beforeAutospacing="1" w:after="100" w:afterAutospacing="1"/>
            </w:pPr>
            <w:r>
              <w:t>2.pielikuma 238.- 253. punkts</w:t>
            </w:r>
          </w:p>
        </w:tc>
        <w:tc>
          <w:tcPr>
            <w:tcW w:w="932"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pPr>
            <w:r w:rsidRPr="00E971BF">
              <w:t>ieviestas pilnībā</w:t>
            </w:r>
          </w:p>
        </w:tc>
        <w:tc>
          <w:tcPr>
            <w:tcW w:w="947"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rPr>
                <w:bCs/>
              </w:rPr>
            </w:pPr>
            <w:r w:rsidRPr="00E971BF">
              <w:rPr>
                <w:bCs/>
              </w:rPr>
              <w:t>neparedz stingrākas prasības</w:t>
            </w:r>
          </w:p>
        </w:tc>
      </w:tr>
      <w:tr w:rsidR="00861EFE" w:rsidRPr="00E971BF" w:rsidTr="00CF7D4A">
        <w:tc>
          <w:tcPr>
            <w:tcW w:w="2189" w:type="pct"/>
            <w:tcBorders>
              <w:top w:val="outset" w:sz="6" w:space="0" w:color="000000"/>
              <w:left w:val="outset" w:sz="6" w:space="0" w:color="000000"/>
              <w:bottom w:val="outset" w:sz="6" w:space="0" w:color="000000"/>
              <w:right w:val="outset" w:sz="6" w:space="0" w:color="000000"/>
            </w:tcBorders>
          </w:tcPr>
          <w:p w:rsidR="00861EFE" w:rsidRDefault="00861EFE" w:rsidP="00FE7C7D">
            <w:pPr>
              <w:spacing w:before="100" w:beforeAutospacing="1" w:after="100" w:afterAutospacing="1"/>
            </w:pPr>
            <w:r>
              <w:t>Pielikuma VII sadaļa (nātrija tozihloramīds)</w:t>
            </w:r>
          </w:p>
        </w:tc>
        <w:tc>
          <w:tcPr>
            <w:tcW w:w="932" w:type="pct"/>
            <w:tcBorders>
              <w:top w:val="outset" w:sz="6" w:space="0" w:color="000000"/>
              <w:left w:val="outset" w:sz="6" w:space="0" w:color="000000"/>
              <w:bottom w:val="outset" w:sz="6" w:space="0" w:color="000000"/>
              <w:right w:val="outset" w:sz="6" w:space="0" w:color="000000"/>
            </w:tcBorders>
          </w:tcPr>
          <w:p w:rsidR="00861EFE" w:rsidRDefault="00861EFE" w:rsidP="00DD2A63">
            <w:pPr>
              <w:spacing w:before="100" w:beforeAutospacing="1" w:after="100" w:afterAutospacing="1"/>
            </w:pPr>
            <w:r>
              <w:t>2.pielikuma 254.- 262. punkts</w:t>
            </w:r>
          </w:p>
        </w:tc>
        <w:tc>
          <w:tcPr>
            <w:tcW w:w="932"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pPr>
            <w:r w:rsidRPr="00E971BF">
              <w:t>ieviestas pilnībā</w:t>
            </w:r>
          </w:p>
        </w:tc>
        <w:tc>
          <w:tcPr>
            <w:tcW w:w="947"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rPr>
                <w:bCs/>
              </w:rPr>
            </w:pPr>
            <w:r w:rsidRPr="00E971BF">
              <w:rPr>
                <w:bCs/>
              </w:rPr>
              <w:t>neparedz stingrākas prasības</w:t>
            </w:r>
          </w:p>
        </w:tc>
      </w:tr>
      <w:tr w:rsidR="00861EFE" w:rsidRPr="00E971BF" w:rsidTr="00CF7D4A">
        <w:tc>
          <w:tcPr>
            <w:tcW w:w="2189" w:type="pct"/>
            <w:tcBorders>
              <w:top w:val="outset" w:sz="6" w:space="0" w:color="000000"/>
              <w:left w:val="outset" w:sz="6" w:space="0" w:color="000000"/>
              <w:bottom w:val="outset" w:sz="6" w:space="0" w:color="000000"/>
              <w:right w:val="outset" w:sz="6" w:space="0" w:color="000000"/>
            </w:tcBorders>
          </w:tcPr>
          <w:p w:rsidR="00861EFE" w:rsidRDefault="00861EFE" w:rsidP="00FE7C7D">
            <w:pPr>
              <w:spacing w:before="100" w:beforeAutospacing="1" w:after="100" w:afterAutospacing="1"/>
            </w:pPr>
            <w:r>
              <w:t>Pielikuma VIII sadaļa (fluors)</w:t>
            </w:r>
          </w:p>
        </w:tc>
        <w:tc>
          <w:tcPr>
            <w:tcW w:w="932" w:type="pct"/>
            <w:tcBorders>
              <w:top w:val="outset" w:sz="6" w:space="0" w:color="000000"/>
              <w:left w:val="outset" w:sz="6" w:space="0" w:color="000000"/>
              <w:bottom w:val="outset" w:sz="6" w:space="0" w:color="000000"/>
              <w:right w:val="outset" w:sz="6" w:space="0" w:color="000000"/>
            </w:tcBorders>
          </w:tcPr>
          <w:p w:rsidR="00861EFE" w:rsidRDefault="00861EFE" w:rsidP="00DD2A63">
            <w:pPr>
              <w:spacing w:before="100" w:beforeAutospacing="1" w:after="100" w:afterAutospacing="1"/>
            </w:pPr>
            <w:r>
              <w:t>2.pielikuma 263.- 270. punkts</w:t>
            </w:r>
          </w:p>
        </w:tc>
        <w:tc>
          <w:tcPr>
            <w:tcW w:w="932"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pPr>
            <w:r w:rsidRPr="00E971BF">
              <w:t>ieviestas pilnībā</w:t>
            </w:r>
          </w:p>
        </w:tc>
        <w:tc>
          <w:tcPr>
            <w:tcW w:w="947"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rPr>
                <w:bCs/>
              </w:rPr>
            </w:pPr>
            <w:r w:rsidRPr="00E971BF">
              <w:rPr>
                <w:bCs/>
              </w:rPr>
              <w:t>neparedz stingrākas prasības</w:t>
            </w:r>
          </w:p>
        </w:tc>
      </w:tr>
      <w:tr w:rsidR="00861EFE" w:rsidRPr="00E971BF" w:rsidTr="00CF7D4A">
        <w:tc>
          <w:tcPr>
            <w:tcW w:w="2189" w:type="pct"/>
            <w:tcBorders>
              <w:top w:val="outset" w:sz="6" w:space="0" w:color="000000"/>
              <w:left w:val="outset" w:sz="6" w:space="0" w:color="000000"/>
              <w:bottom w:val="outset" w:sz="6" w:space="0" w:color="000000"/>
              <w:right w:val="outset" w:sz="6" w:space="0" w:color="000000"/>
            </w:tcBorders>
          </w:tcPr>
          <w:p w:rsidR="00861EFE" w:rsidRDefault="00861EFE" w:rsidP="00FE7C7D">
            <w:pPr>
              <w:spacing w:before="100" w:beforeAutospacing="1" w:after="100" w:afterAutospacing="1"/>
            </w:pPr>
            <w:r>
              <w:t xml:space="preserve">Pielikuma IX sadaļa (dzīvsudraba </w:t>
            </w:r>
            <w:r>
              <w:lastRenderedPageBreak/>
              <w:t>organiskie sav.)</w:t>
            </w:r>
          </w:p>
        </w:tc>
        <w:tc>
          <w:tcPr>
            <w:tcW w:w="932" w:type="pct"/>
            <w:tcBorders>
              <w:top w:val="outset" w:sz="6" w:space="0" w:color="000000"/>
              <w:left w:val="outset" w:sz="6" w:space="0" w:color="000000"/>
              <w:bottom w:val="outset" w:sz="6" w:space="0" w:color="000000"/>
              <w:right w:val="outset" w:sz="6" w:space="0" w:color="000000"/>
            </w:tcBorders>
          </w:tcPr>
          <w:p w:rsidR="00861EFE" w:rsidRDefault="00861EFE" w:rsidP="00DD2A63">
            <w:pPr>
              <w:spacing w:before="100" w:beforeAutospacing="1" w:after="100" w:afterAutospacing="1"/>
            </w:pPr>
            <w:r>
              <w:lastRenderedPageBreak/>
              <w:t xml:space="preserve">2.pielikuma </w:t>
            </w:r>
            <w:r>
              <w:lastRenderedPageBreak/>
              <w:t>271.- 282. punkts</w:t>
            </w:r>
          </w:p>
        </w:tc>
        <w:tc>
          <w:tcPr>
            <w:tcW w:w="932"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pPr>
            <w:r w:rsidRPr="00E971BF">
              <w:lastRenderedPageBreak/>
              <w:t>ieviestas pilnībā</w:t>
            </w:r>
          </w:p>
        </w:tc>
        <w:tc>
          <w:tcPr>
            <w:tcW w:w="947"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rPr>
                <w:bCs/>
              </w:rPr>
            </w:pPr>
            <w:r w:rsidRPr="00E971BF">
              <w:rPr>
                <w:bCs/>
              </w:rPr>
              <w:t xml:space="preserve">neparedz </w:t>
            </w:r>
            <w:r w:rsidRPr="00E971BF">
              <w:rPr>
                <w:bCs/>
              </w:rPr>
              <w:lastRenderedPageBreak/>
              <w:t>stingrākas prasības</w:t>
            </w:r>
          </w:p>
        </w:tc>
      </w:tr>
      <w:tr w:rsidR="00861EFE" w:rsidRPr="00E971BF" w:rsidTr="00CF7D4A">
        <w:tc>
          <w:tcPr>
            <w:tcW w:w="2189" w:type="pct"/>
            <w:tcBorders>
              <w:top w:val="outset" w:sz="6" w:space="0" w:color="000000"/>
              <w:left w:val="outset" w:sz="6" w:space="0" w:color="000000"/>
              <w:bottom w:val="outset" w:sz="6" w:space="0" w:color="000000"/>
              <w:right w:val="outset" w:sz="6" w:space="0" w:color="000000"/>
            </w:tcBorders>
          </w:tcPr>
          <w:p w:rsidR="00861EFE" w:rsidRDefault="00861EFE" w:rsidP="00FE7C7D">
            <w:pPr>
              <w:spacing w:before="100" w:beforeAutospacing="1" w:after="100" w:afterAutospacing="1"/>
            </w:pPr>
            <w:r>
              <w:lastRenderedPageBreak/>
              <w:t>Pielikuma X sadaļa (sārmu un sārmzemju sulfīdi)</w:t>
            </w:r>
          </w:p>
        </w:tc>
        <w:tc>
          <w:tcPr>
            <w:tcW w:w="932" w:type="pct"/>
            <w:tcBorders>
              <w:top w:val="outset" w:sz="6" w:space="0" w:color="000000"/>
              <w:left w:val="outset" w:sz="6" w:space="0" w:color="000000"/>
              <w:bottom w:val="outset" w:sz="6" w:space="0" w:color="000000"/>
              <w:right w:val="outset" w:sz="6" w:space="0" w:color="000000"/>
            </w:tcBorders>
          </w:tcPr>
          <w:p w:rsidR="00861EFE" w:rsidRDefault="00861EFE" w:rsidP="00DD2A63">
            <w:pPr>
              <w:spacing w:before="100" w:beforeAutospacing="1" w:after="100" w:afterAutospacing="1"/>
            </w:pPr>
            <w:r>
              <w:t>2.pielikuma 283.- 290. punkts</w:t>
            </w:r>
          </w:p>
        </w:tc>
        <w:tc>
          <w:tcPr>
            <w:tcW w:w="932"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pPr>
            <w:r w:rsidRPr="00E971BF">
              <w:t>ieviestas pilnībā</w:t>
            </w:r>
          </w:p>
        </w:tc>
        <w:tc>
          <w:tcPr>
            <w:tcW w:w="947" w:type="pct"/>
            <w:tcBorders>
              <w:top w:val="outset" w:sz="6" w:space="0" w:color="000000"/>
              <w:left w:val="outset" w:sz="6" w:space="0" w:color="000000"/>
              <w:bottom w:val="outset" w:sz="6" w:space="0" w:color="000000"/>
              <w:right w:val="outset" w:sz="6" w:space="0" w:color="000000"/>
            </w:tcBorders>
          </w:tcPr>
          <w:p w:rsidR="00861EFE" w:rsidRPr="00E971BF" w:rsidRDefault="00861EFE" w:rsidP="00861EFE">
            <w:pPr>
              <w:spacing w:before="100" w:beforeAutospacing="1" w:after="100" w:afterAutospacing="1"/>
              <w:rPr>
                <w:bCs/>
              </w:rPr>
            </w:pPr>
            <w:r w:rsidRPr="00E971BF">
              <w:rPr>
                <w:bCs/>
              </w:rPr>
              <w:t>neparedz stingrākas prasības</w:t>
            </w:r>
          </w:p>
        </w:tc>
      </w:tr>
      <w:tr w:rsidR="00FE7C7D" w:rsidRPr="00E971BF" w:rsidTr="00CF7D4A">
        <w:tc>
          <w:tcPr>
            <w:tcW w:w="2189"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Kā ir izmantota ES tiesību aktā paredzētā rīcības brīvība dalībvalstij pārņemt vai ieviest noteiktas ES tiesību akta normas.</w:t>
            </w:r>
          </w:p>
        </w:tc>
        <w:tc>
          <w:tcPr>
            <w:tcW w:w="2811"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pPr>
            <w:r w:rsidRPr="00E971BF">
              <w:t>Nav attiecināms.</w:t>
            </w:r>
          </w:p>
        </w:tc>
      </w:tr>
      <w:tr w:rsidR="00FE7C7D" w:rsidRPr="00E971BF" w:rsidTr="00CF7D4A">
        <w:tc>
          <w:tcPr>
            <w:tcW w:w="2189"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11"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jc w:val="both"/>
            </w:pPr>
            <w:r w:rsidRPr="00E971BF">
              <w:t>Nav attiecināms.</w:t>
            </w:r>
          </w:p>
        </w:tc>
      </w:tr>
      <w:tr w:rsidR="00FE7C7D" w:rsidRPr="00E971BF" w:rsidTr="00CF7D4A">
        <w:tc>
          <w:tcPr>
            <w:tcW w:w="2189"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t>Cita informācija</w:t>
            </w:r>
          </w:p>
        </w:tc>
        <w:tc>
          <w:tcPr>
            <w:tcW w:w="2811"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rPr>
                <w:b/>
              </w:rPr>
            </w:pPr>
            <w:r w:rsidRPr="00E971BF">
              <w:rPr>
                <w:b/>
              </w:rPr>
              <w:t xml:space="preserve"> </w:t>
            </w:r>
          </w:p>
        </w:tc>
      </w:tr>
    </w:tbl>
    <w:p w:rsidR="00FE7C7D" w:rsidRPr="00E971BF" w:rsidRDefault="00FE7C7D" w:rsidP="00FE7C7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716"/>
        <w:gridCol w:w="1843"/>
        <w:gridCol w:w="1560"/>
        <w:gridCol w:w="2012"/>
      </w:tblGrid>
      <w:tr w:rsidR="00FE7C7D" w:rsidRPr="00E971BF" w:rsidTr="00FE7C7D">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rPr>
                <w:b/>
                <w:bCs/>
              </w:rPr>
            </w:pPr>
            <w:r w:rsidRPr="00E971BF">
              <w:rPr>
                <w:b/>
                <w:bCs/>
              </w:rPr>
              <w:t>1.tabula</w:t>
            </w:r>
            <w:r w:rsidRPr="00E971BF">
              <w:rPr>
                <w:b/>
                <w:bCs/>
              </w:rPr>
              <w:br/>
              <w:t>Tiesību akta projekta atbilstība ES tiesību aktiem</w:t>
            </w:r>
          </w:p>
        </w:tc>
      </w:tr>
      <w:tr w:rsidR="00FE7C7D" w:rsidRPr="00E971BF" w:rsidTr="00D71857">
        <w:tc>
          <w:tcPr>
            <w:tcW w:w="2035"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Attiecīgā ES tiesību akta datums, numurs un nosaukums</w:t>
            </w:r>
          </w:p>
        </w:tc>
        <w:tc>
          <w:tcPr>
            <w:tcW w:w="2965" w:type="pct"/>
            <w:gridSpan w:val="3"/>
            <w:tcBorders>
              <w:top w:val="outset" w:sz="6" w:space="0" w:color="000000"/>
              <w:left w:val="outset" w:sz="6" w:space="0" w:color="000000"/>
              <w:bottom w:val="outset" w:sz="6" w:space="0" w:color="000000"/>
              <w:right w:val="outset" w:sz="6" w:space="0" w:color="000000"/>
            </w:tcBorders>
            <w:vAlign w:val="center"/>
          </w:tcPr>
          <w:p w:rsidR="00FE7C7D" w:rsidRPr="00E971BF" w:rsidRDefault="00CF7D4A" w:rsidP="00FE7C7D">
            <w:pPr>
              <w:jc w:val="both"/>
            </w:pPr>
            <w:r>
              <w:t xml:space="preserve">6) </w:t>
            </w:r>
            <w:r w:rsidR="00E36A3E" w:rsidRPr="0068126E">
              <w:t xml:space="preserve">Komisijas </w:t>
            </w:r>
            <w:r w:rsidR="00E36A3E" w:rsidRPr="006D1A0F">
              <w:t xml:space="preserve">1985. gada 11. oktobra Ceturtā direktīva 85/490/EEK </w:t>
            </w:r>
            <w:r w:rsidR="00E36A3E" w:rsidRPr="0068126E">
              <w:t>par dalībvalstu tiesību aktu tuvināšanu attiecībā uz analīzes metodēm, kas vajadzīgas, lai pārbaudītu kosmētikas līdzekļu sastāvu</w:t>
            </w:r>
          </w:p>
        </w:tc>
      </w:tr>
      <w:tr w:rsidR="00FE7C7D" w:rsidRPr="00E971BF" w:rsidTr="00D71857">
        <w:tc>
          <w:tcPr>
            <w:tcW w:w="2035"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w:t>
            </w:r>
          </w:p>
        </w:tc>
        <w:tc>
          <w:tcPr>
            <w:tcW w:w="1009"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B</w:t>
            </w:r>
          </w:p>
        </w:tc>
        <w:tc>
          <w:tcPr>
            <w:tcW w:w="85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C</w:t>
            </w:r>
          </w:p>
        </w:tc>
        <w:tc>
          <w:tcPr>
            <w:tcW w:w="1102"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D</w:t>
            </w:r>
          </w:p>
        </w:tc>
      </w:tr>
      <w:tr w:rsidR="00754E5A" w:rsidRPr="00E971BF" w:rsidTr="00754E5A">
        <w:tc>
          <w:tcPr>
            <w:tcW w:w="2035" w:type="pct"/>
            <w:tcBorders>
              <w:top w:val="outset" w:sz="6" w:space="0" w:color="000000"/>
              <w:left w:val="outset" w:sz="6" w:space="0" w:color="000000"/>
              <w:bottom w:val="outset" w:sz="6" w:space="0" w:color="000000"/>
              <w:right w:val="outset" w:sz="6" w:space="0" w:color="000000"/>
            </w:tcBorders>
            <w:vAlign w:val="center"/>
          </w:tcPr>
          <w:p w:rsidR="00754E5A" w:rsidRPr="00E971BF" w:rsidRDefault="00754E5A" w:rsidP="00FE7C7D">
            <w:pPr>
              <w:spacing w:before="100" w:beforeAutospacing="1" w:after="100" w:afterAutospacing="1"/>
              <w:jc w:val="both"/>
            </w:pPr>
            <w:r w:rsidRPr="00E971BF">
              <w:t>Attiecīgā ES tiesību akta panta numurs (uzskaitot katru tiesību akta vienību – pantu, daļu, punktu, apakšpunktu)</w:t>
            </w:r>
          </w:p>
        </w:tc>
        <w:tc>
          <w:tcPr>
            <w:tcW w:w="1009"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Projekta vienība, kas pārņem vai ievieš katru šīs tabulas A ailē minēto ES tiesību akta vienību, vai tiesību akts, kur attiecīgā ES tiesību akta vienība pārņemta vai ieviesta</w:t>
            </w:r>
          </w:p>
        </w:tc>
        <w:tc>
          <w:tcPr>
            <w:tcW w:w="854"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 xml:space="preserve">Informācija par to, vai šīs tabulas A ailē minētās ES tiesību akta vienības tiek pārņemtas vai ieviestas pilnībā vai daļēji. </w:t>
            </w:r>
          </w:p>
          <w:p w:rsidR="00754E5A" w:rsidRPr="00754E5A" w:rsidRDefault="00754E5A" w:rsidP="00754E5A">
            <w:pPr>
              <w:pStyle w:val="NoSpacing"/>
            </w:pPr>
            <w:r w:rsidRPr="00754E5A">
              <w:t xml:space="preserve">Ja attiecīgā ES tiesību akta vienība tiek pārņemta vai ieviesta daļēji, sniedz attiecīgu skaidrojumu, kā arī precīzi norāda, kad un kādā veidā ES tiesību akta vienība tiks pārņemta vai </w:t>
            </w:r>
            <w:r w:rsidRPr="00754E5A">
              <w:lastRenderedPageBreak/>
              <w:t>ieviesta pilnībā.</w:t>
            </w:r>
          </w:p>
          <w:p w:rsidR="00754E5A" w:rsidRPr="00754E5A" w:rsidRDefault="00754E5A" w:rsidP="00754E5A">
            <w:pPr>
              <w:pStyle w:val="NoSpacing"/>
            </w:pPr>
            <w:r w:rsidRPr="00754E5A">
              <w:t>Norāda institūciju, kas ir atbildīga par šo saistību izpildi pilnībā</w:t>
            </w:r>
          </w:p>
        </w:tc>
        <w:tc>
          <w:tcPr>
            <w:tcW w:w="1102"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lastRenderedPageBreak/>
              <w:t xml:space="preserve">Informācija par to, vai šīs tabulas B ailē minētās projekta vienības paredz stingrākas prasības nekā šīs tabulas A ailē minētās ES tiesību akta vienības. </w:t>
            </w:r>
          </w:p>
          <w:p w:rsidR="00754E5A" w:rsidRPr="00754E5A" w:rsidRDefault="00754E5A" w:rsidP="00754E5A">
            <w:pPr>
              <w:pStyle w:val="NoSpacing"/>
            </w:pPr>
            <w:r w:rsidRPr="00754E5A">
              <w:t>Ja projekts satur stingrākas prasības nekā attiecīgais ES tiesību akts, norāda pamatojumu un samērīgumu.</w:t>
            </w:r>
          </w:p>
          <w:p w:rsidR="00754E5A" w:rsidRPr="00754E5A" w:rsidRDefault="00754E5A" w:rsidP="00754E5A">
            <w:pPr>
              <w:pStyle w:val="NoSpacing"/>
            </w:pPr>
            <w:r w:rsidRPr="00754E5A">
              <w:t xml:space="preserve">Norāda iespējamās alternatīvas (t.sk. alternatīvas, kas neparedz tiesiskā regulējuma izstrādi) – kādos gadījumos būtu iespējams izvairīties no </w:t>
            </w:r>
            <w:r w:rsidRPr="00754E5A">
              <w:lastRenderedPageBreak/>
              <w:t>stingrāku prasību noteikšanas, nekā paredzēts attiecīgajos ES tiesību aktos</w:t>
            </w:r>
          </w:p>
        </w:tc>
      </w:tr>
      <w:tr w:rsidR="00FE7C7D" w:rsidRPr="00E971BF" w:rsidTr="00D71857">
        <w:tc>
          <w:tcPr>
            <w:tcW w:w="2035" w:type="pct"/>
            <w:tcBorders>
              <w:top w:val="outset" w:sz="6" w:space="0" w:color="000000"/>
              <w:left w:val="outset" w:sz="6" w:space="0" w:color="000000"/>
              <w:bottom w:val="outset" w:sz="6" w:space="0" w:color="000000"/>
              <w:right w:val="outset" w:sz="6" w:space="0" w:color="000000"/>
            </w:tcBorders>
          </w:tcPr>
          <w:p w:rsidR="00FE7C7D" w:rsidRPr="00E971BF" w:rsidRDefault="00D71857" w:rsidP="0082185E">
            <w:pPr>
              <w:spacing w:before="100" w:beforeAutospacing="1" w:after="100" w:afterAutospacing="1"/>
            </w:pPr>
            <w:r>
              <w:lastRenderedPageBreak/>
              <w:t xml:space="preserve">1. pants </w:t>
            </w:r>
          </w:p>
        </w:tc>
        <w:tc>
          <w:tcPr>
            <w:tcW w:w="1009" w:type="pct"/>
            <w:tcBorders>
              <w:top w:val="outset" w:sz="6" w:space="0" w:color="000000"/>
              <w:left w:val="outset" w:sz="6" w:space="0" w:color="000000"/>
              <w:bottom w:val="outset" w:sz="6" w:space="0" w:color="000000"/>
              <w:right w:val="outset" w:sz="6" w:space="0" w:color="000000"/>
            </w:tcBorders>
          </w:tcPr>
          <w:p w:rsidR="00FE7C7D" w:rsidRPr="00E971BF" w:rsidRDefault="0082185E" w:rsidP="00FE7C7D">
            <w:pPr>
              <w:spacing w:before="100" w:beforeAutospacing="1" w:after="100" w:afterAutospacing="1"/>
              <w:rPr>
                <w:bCs/>
              </w:rPr>
            </w:pPr>
            <w:r>
              <w:t xml:space="preserve">7.punkts un </w:t>
            </w:r>
            <w:r w:rsidR="00D71857">
              <w:t>2.pielikuma 291.- 364.punkts</w:t>
            </w:r>
          </w:p>
        </w:tc>
        <w:tc>
          <w:tcPr>
            <w:tcW w:w="854"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t>ieviestas pilnībā</w:t>
            </w:r>
          </w:p>
        </w:tc>
        <w:tc>
          <w:tcPr>
            <w:tcW w:w="1102"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rPr>
                <w:bCs/>
              </w:rPr>
            </w:pPr>
            <w:r w:rsidRPr="00E971BF">
              <w:rPr>
                <w:bCs/>
              </w:rPr>
              <w:t>neparedz stingrākas prasības</w:t>
            </w:r>
          </w:p>
        </w:tc>
      </w:tr>
      <w:tr w:rsidR="00F81179" w:rsidRPr="00E971BF" w:rsidTr="00D71857">
        <w:tc>
          <w:tcPr>
            <w:tcW w:w="2035" w:type="pct"/>
            <w:tcBorders>
              <w:top w:val="outset" w:sz="6" w:space="0" w:color="000000"/>
              <w:left w:val="outset" w:sz="6" w:space="0" w:color="000000"/>
              <w:bottom w:val="outset" w:sz="6" w:space="0" w:color="000000"/>
              <w:right w:val="outset" w:sz="6" w:space="0" w:color="000000"/>
            </w:tcBorders>
          </w:tcPr>
          <w:p w:rsidR="00F81179" w:rsidRDefault="00F81179" w:rsidP="00FE7C7D">
            <w:pPr>
              <w:spacing w:before="100" w:beforeAutospacing="1" w:after="100" w:afterAutospacing="1"/>
            </w:pPr>
            <w:r>
              <w:t>Pielikuma I sadaļa (glicerīna 1-(4-aminobenzoāts)</w:t>
            </w:r>
          </w:p>
        </w:tc>
        <w:tc>
          <w:tcPr>
            <w:tcW w:w="1009" w:type="pct"/>
            <w:tcBorders>
              <w:top w:val="outset" w:sz="6" w:space="0" w:color="000000"/>
              <w:left w:val="outset" w:sz="6" w:space="0" w:color="000000"/>
              <w:bottom w:val="outset" w:sz="6" w:space="0" w:color="000000"/>
              <w:right w:val="outset" w:sz="6" w:space="0" w:color="000000"/>
            </w:tcBorders>
          </w:tcPr>
          <w:p w:rsidR="00F81179" w:rsidRDefault="00F81179" w:rsidP="00F81179">
            <w:pPr>
              <w:spacing w:before="100" w:beforeAutospacing="1" w:after="100" w:afterAutospacing="1"/>
            </w:pPr>
            <w:r>
              <w:t>2.pielikuma 291.- 304.punkts</w:t>
            </w:r>
          </w:p>
        </w:tc>
        <w:tc>
          <w:tcPr>
            <w:tcW w:w="854" w:type="pct"/>
            <w:tcBorders>
              <w:top w:val="outset" w:sz="6" w:space="0" w:color="000000"/>
              <w:left w:val="outset" w:sz="6" w:space="0" w:color="000000"/>
              <w:bottom w:val="outset" w:sz="6" w:space="0" w:color="000000"/>
              <w:right w:val="outset" w:sz="6" w:space="0" w:color="000000"/>
            </w:tcBorders>
          </w:tcPr>
          <w:p w:rsidR="00F81179" w:rsidRPr="00E971BF" w:rsidRDefault="00F81179" w:rsidP="00DD2A63">
            <w:pPr>
              <w:spacing w:before="100" w:beforeAutospacing="1" w:after="100" w:afterAutospacing="1"/>
            </w:pPr>
            <w:r w:rsidRPr="00E971BF">
              <w:t>ieviestas pilnībā</w:t>
            </w:r>
          </w:p>
        </w:tc>
        <w:tc>
          <w:tcPr>
            <w:tcW w:w="1102" w:type="pct"/>
            <w:tcBorders>
              <w:top w:val="outset" w:sz="6" w:space="0" w:color="000000"/>
              <w:left w:val="outset" w:sz="6" w:space="0" w:color="000000"/>
              <w:bottom w:val="outset" w:sz="6" w:space="0" w:color="000000"/>
              <w:right w:val="outset" w:sz="6" w:space="0" w:color="000000"/>
            </w:tcBorders>
          </w:tcPr>
          <w:p w:rsidR="00F81179" w:rsidRPr="00E971BF" w:rsidRDefault="00F81179" w:rsidP="00DD2A63">
            <w:pPr>
              <w:spacing w:before="100" w:beforeAutospacing="1" w:after="100" w:afterAutospacing="1"/>
              <w:rPr>
                <w:bCs/>
              </w:rPr>
            </w:pPr>
            <w:r w:rsidRPr="00E971BF">
              <w:rPr>
                <w:bCs/>
              </w:rPr>
              <w:t>neparedz stingrākas prasības</w:t>
            </w:r>
          </w:p>
        </w:tc>
      </w:tr>
      <w:tr w:rsidR="00F81179" w:rsidRPr="00E971BF" w:rsidTr="00D71857">
        <w:tc>
          <w:tcPr>
            <w:tcW w:w="2035" w:type="pct"/>
            <w:tcBorders>
              <w:top w:val="outset" w:sz="6" w:space="0" w:color="000000"/>
              <w:left w:val="outset" w:sz="6" w:space="0" w:color="000000"/>
              <w:bottom w:val="outset" w:sz="6" w:space="0" w:color="000000"/>
              <w:right w:val="outset" w:sz="6" w:space="0" w:color="000000"/>
            </w:tcBorders>
          </w:tcPr>
          <w:p w:rsidR="00F81179" w:rsidRDefault="00F81179" w:rsidP="00F81179">
            <w:pPr>
              <w:spacing w:before="100" w:beforeAutospacing="1" w:after="100" w:afterAutospacing="1"/>
            </w:pPr>
            <w:r>
              <w:t>Pielikuma II sadaļa (hlorbutanols)</w:t>
            </w:r>
          </w:p>
        </w:tc>
        <w:tc>
          <w:tcPr>
            <w:tcW w:w="1009" w:type="pct"/>
            <w:tcBorders>
              <w:top w:val="outset" w:sz="6" w:space="0" w:color="000000"/>
              <w:left w:val="outset" w:sz="6" w:space="0" w:color="000000"/>
              <w:bottom w:val="outset" w:sz="6" w:space="0" w:color="000000"/>
              <w:right w:val="outset" w:sz="6" w:space="0" w:color="000000"/>
            </w:tcBorders>
          </w:tcPr>
          <w:p w:rsidR="00F81179" w:rsidRDefault="00F81179" w:rsidP="00F81179">
            <w:pPr>
              <w:spacing w:before="100" w:beforeAutospacing="1" w:after="100" w:afterAutospacing="1"/>
            </w:pPr>
            <w:r>
              <w:t>2.pielikuma 305.- 312.punkts</w:t>
            </w:r>
          </w:p>
        </w:tc>
        <w:tc>
          <w:tcPr>
            <w:tcW w:w="854" w:type="pct"/>
            <w:tcBorders>
              <w:top w:val="outset" w:sz="6" w:space="0" w:color="000000"/>
              <w:left w:val="outset" w:sz="6" w:space="0" w:color="000000"/>
              <w:bottom w:val="outset" w:sz="6" w:space="0" w:color="000000"/>
              <w:right w:val="outset" w:sz="6" w:space="0" w:color="000000"/>
            </w:tcBorders>
          </w:tcPr>
          <w:p w:rsidR="00F81179" w:rsidRPr="00E971BF" w:rsidRDefault="00F81179" w:rsidP="00DD2A63">
            <w:pPr>
              <w:spacing w:before="100" w:beforeAutospacing="1" w:after="100" w:afterAutospacing="1"/>
            </w:pPr>
            <w:r w:rsidRPr="00E971BF">
              <w:t>ieviestas pilnībā</w:t>
            </w:r>
          </w:p>
        </w:tc>
        <w:tc>
          <w:tcPr>
            <w:tcW w:w="1102" w:type="pct"/>
            <w:tcBorders>
              <w:top w:val="outset" w:sz="6" w:space="0" w:color="000000"/>
              <w:left w:val="outset" w:sz="6" w:space="0" w:color="000000"/>
              <w:bottom w:val="outset" w:sz="6" w:space="0" w:color="000000"/>
              <w:right w:val="outset" w:sz="6" w:space="0" w:color="000000"/>
            </w:tcBorders>
          </w:tcPr>
          <w:p w:rsidR="00F81179" w:rsidRPr="00E971BF" w:rsidRDefault="00F81179" w:rsidP="00DD2A63">
            <w:pPr>
              <w:spacing w:before="100" w:beforeAutospacing="1" w:after="100" w:afterAutospacing="1"/>
              <w:rPr>
                <w:bCs/>
              </w:rPr>
            </w:pPr>
            <w:r w:rsidRPr="00E971BF">
              <w:rPr>
                <w:bCs/>
              </w:rPr>
              <w:t>neparedz stingrākas prasības</w:t>
            </w:r>
          </w:p>
        </w:tc>
      </w:tr>
      <w:tr w:rsidR="00F81179" w:rsidRPr="00E971BF" w:rsidTr="00D71857">
        <w:tc>
          <w:tcPr>
            <w:tcW w:w="2035" w:type="pct"/>
            <w:tcBorders>
              <w:top w:val="outset" w:sz="6" w:space="0" w:color="000000"/>
              <w:left w:val="outset" w:sz="6" w:space="0" w:color="000000"/>
              <w:bottom w:val="outset" w:sz="6" w:space="0" w:color="000000"/>
              <w:right w:val="outset" w:sz="6" w:space="0" w:color="000000"/>
            </w:tcBorders>
          </w:tcPr>
          <w:p w:rsidR="00F81179" w:rsidRDefault="00F81179" w:rsidP="00F81179">
            <w:pPr>
              <w:spacing w:before="100" w:beforeAutospacing="1" w:after="100" w:afterAutospacing="1"/>
            </w:pPr>
            <w:r>
              <w:t>Pielikuma III sadaļa (hinīns)</w:t>
            </w:r>
          </w:p>
        </w:tc>
        <w:tc>
          <w:tcPr>
            <w:tcW w:w="1009" w:type="pct"/>
            <w:tcBorders>
              <w:top w:val="outset" w:sz="6" w:space="0" w:color="000000"/>
              <w:left w:val="outset" w:sz="6" w:space="0" w:color="000000"/>
              <w:bottom w:val="outset" w:sz="6" w:space="0" w:color="000000"/>
              <w:right w:val="outset" w:sz="6" w:space="0" w:color="000000"/>
            </w:tcBorders>
          </w:tcPr>
          <w:p w:rsidR="00F81179" w:rsidRDefault="00F81179" w:rsidP="00F81179">
            <w:pPr>
              <w:spacing w:before="100" w:beforeAutospacing="1" w:after="100" w:afterAutospacing="1"/>
            </w:pPr>
            <w:r>
              <w:t>2.pielikuma 313.- 325.punkts</w:t>
            </w:r>
          </w:p>
        </w:tc>
        <w:tc>
          <w:tcPr>
            <w:tcW w:w="854" w:type="pct"/>
            <w:tcBorders>
              <w:top w:val="outset" w:sz="6" w:space="0" w:color="000000"/>
              <w:left w:val="outset" w:sz="6" w:space="0" w:color="000000"/>
              <w:bottom w:val="outset" w:sz="6" w:space="0" w:color="000000"/>
              <w:right w:val="outset" w:sz="6" w:space="0" w:color="000000"/>
            </w:tcBorders>
          </w:tcPr>
          <w:p w:rsidR="00F81179" w:rsidRPr="00E971BF" w:rsidRDefault="00F81179" w:rsidP="00DD2A63">
            <w:pPr>
              <w:spacing w:before="100" w:beforeAutospacing="1" w:after="100" w:afterAutospacing="1"/>
            </w:pPr>
            <w:r w:rsidRPr="00E971BF">
              <w:t>ieviestas pilnībā</w:t>
            </w:r>
          </w:p>
        </w:tc>
        <w:tc>
          <w:tcPr>
            <w:tcW w:w="1102" w:type="pct"/>
            <w:tcBorders>
              <w:top w:val="outset" w:sz="6" w:space="0" w:color="000000"/>
              <w:left w:val="outset" w:sz="6" w:space="0" w:color="000000"/>
              <w:bottom w:val="outset" w:sz="6" w:space="0" w:color="000000"/>
              <w:right w:val="outset" w:sz="6" w:space="0" w:color="000000"/>
            </w:tcBorders>
          </w:tcPr>
          <w:p w:rsidR="00F81179" w:rsidRPr="00E971BF" w:rsidRDefault="00F81179" w:rsidP="00DD2A63">
            <w:pPr>
              <w:spacing w:before="100" w:beforeAutospacing="1" w:after="100" w:afterAutospacing="1"/>
              <w:rPr>
                <w:bCs/>
              </w:rPr>
            </w:pPr>
            <w:r w:rsidRPr="00E971BF">
              <w:rPr>
                <w:bCs/>
              </w:rPr>
              <w:t>neparedz stingrākas prasības</w:t>
            </w:r>
          </w:p>
        </w:tc>
      </w:tr>
      <w:tr w:rsidR="00F81179" w:rsidRPr="00E971BF" w:rsidTr="00D71857">
        <w:tc>
          <w:tcPr>
            <w:tcW w:w="2035" w:type="pct"/>
            <w:tcBorders>
              <w:top w:val="outset" w:sz="6" w:space="0" w:color="000000"/>
              <w:left w:val="outset" w:sz="6" w:space="0" w:color="000000"/>
              <w:bottom w:val="outset" w:sz="6" w:space="0" w:color="000000"/>
              <w:right w:val="outset" w:sz="6" w:space="0" w:color="000000"/>
            </w:tcBorders>
          </w:tcPr>
          <w:p w:rsidR="00F81179" w:rsidRDefault="00F81179" w:rsidP="00F81179">
            <w:pPr>
              <w:spacing w:before="100" w:beforeAutospacing="1" w:after="100" w:afterAutospacing="1"/>
            </w:pPr>
            <w:r>
              <w:t>Pielikuma IV sadaļa (sulfīti)</w:t>
            </w:r>
          </w:p>
        </w:tc>
        <w:tc>
          <w:tcPr>
            <w:tcW w:w="1009" w:type="pct"/>
            <w:tcBorders>
              <w:top w:val="outset" w:sz="6" w:space="0" w:color="000000"/>
              <w:left w:val="outset" w:sz="6" w:space="0" w:color="000000"/>
              <w:bottom w:val="outset" w:sz="6" w:space="0" w:color="000000"/>
              <w:right w:val="outset" w:sz="6" w:space="0" w:color="000000"/>
            </w:tcBorders>
          </w:tcPr>
          <w:p w:rsidR="00F81179" w:rsidRDefault="00F81179" w:rsidP="00F81179">
            <w:pPr>
              <w:spacing w:before="100" w:beforeAutospacing="1" w:after="100" w:afterAutospacing="1"/>
            </w:pPr>
            <w:r>
              <w:t>2.pielikuma 326.- 337.punkts</w:t>
            </w:r>
          </w:p>
        </w:tc>
        <w:tc>
          <w:tcPr>
            <w:tcW w:w="854" w:type="pct"/>
            <w:tcBorders>
              <w:top w:val="outset" w:sz="6" w:space="0" w:color="000000"/>
              <w:left w:val="outset" w:sz="6" w:space="0" w:color="000000"/>
              <w:bottom w:val="outset" w:sz="6" w:space="0" w:color="000000"/>
              <w:right w:val="outset" w:sz="6" w:space="0" w:color="000000"/>
            </w:tcBorders>
          </w:tcPr>
          <w:p w:rsidR="00F81179" w:rsidRPr="00E971BF" w:rsidRDefault="00F81179" w:rsidP="00DD2A63">
            <w:pPr>
              <w:spacing w:before="100" w:beforeAutospacing="1" w:after="100" w:afterAutospacing="1"/>
            </w:pPr>
            <w:r w:rsidRPr="00E971BF">
              <w:t>ieviestas pilnībā</w:t>
            </w:r>
          </w:p>
        </w:tc>
        <w:tc>
          <w:tcPr>
            <w:tcW w:w="1102" w:type="pct"/>
            <w:tcBorders>
              <w:top w:val="outset" w:sz="6" w:space="0" w:color="000000"/>
              <w:left w:val="outset" w:sz="6" w:space="0" w:color="000000"/>
              <w:bottom w:val="outset" w:sz="6" w:space="0" w:color="000000"/>
              <w:right w:val="outset" w:sz="6" w:space="0" w:color="000000"/>
            </w:tcBorders>
          </w:tcPr>
          <w:p w:rsidR="00F81179" w:rsidRPr="00E971BF" w:rsidRDefault="00F81179" w:rsidP="00DD2A63">
            <w:pPr>
              <w:spacing w:before="100" w:beforeAutospacing="1" w:after="100" w:afterAutospacing="1"/>
              <w:rPr>
                <w:bCs/>
              </w:rPr>
            </w:pPr>
            <w:r w:rsidRPr="00E971BF">
              <w:rPr>
                <w:bCs/>
              </w:rPr>
              <w:t>neparedz stingrākas prasības</w:t>
            </w:r>
          </w:p>
        </w:tc>
      </w:tr>
      <w:tr w:rsidR="00F81179" w:rsidRPr="00E971BF" w:rsidTr="00D71857">
        <w:tc>
          <w:tcPr>
            <w:tcW w:w="2035" w:type="pct"/>
            <w:tcBorders>
              <w:top w:val="outset" w:sz="6" w:space="0" w:color="000000"/>
              <w:left w:val="outset" w:sz="6" w:space="0" w:color="000000"/>
              <w:bottom w:val="outset" w:sz="6" w:space="0" w:color="000000"/>
              <w:right w:val="outset" w:sz="6" w:space="0" w:color="000000"/>
            </w:tcBorders>
          </w:tcPr>
          <w:p w:rsidR="00F81179" w:rsidRDefault="00F81179" w:rsidP="00FE7C7D">
            <w:pPr>
              <w:spacing w:before="100" w:beforeAutospacing="1" w:after="100" w:afterAutospacing="1"/>
            </w:pPr>
            <w:r>
              <w:t>Pielikuma Vsadaļa (sārmu metālu hlorāti)</w:t>
            </w:r>
          </w:p>
        </w:tc>
        <w:tc>
          <w:tcPr>
            <w:tcW w:w="1009" w:type="pct"/>
            <w:tcBorders>
              <w:top w:val="outset" w:sz="6" w:space="0" w:color="000000"/>
              <w:left w:val="outset" w:sz="6" w:space="0" w:color="000000"/>
              <w:bottom w:val="outset" w:sz="6" w:space="0" w:color="000000"/>
              <w:right w:val="outset" w:sz="6" w:space="0" w:color="000000"/>
            </w:tcBorders>
          </w:tcPr>
          <w:p w:rsidR="00F81179" w:rsidRDefault="00F81179" w:rsidP="00F81179">
            <w:pPr>
              <w:spacing w:before="100" w:beforeAutospacing="1" w:after="100" w:afterAutospacing="1"/>
            </w:pPr>
            <w:r>
              <w:t>2.pielikuma 338.- 350.punkts</w:t>
            </w:r>
          </w:p>
        </w:tc>
        <w:tc>
          <w:tcPr>
            <w:tcW w:w="854" w:type="pct"/>
            <w:tcBorders>
              <w:top w:val="outset" w:sz="6" w:space="0" w:color="000000"/>
              <w:left w:val="outset" w:sz="6" w:space="0" w:color="000000"/>
              <w:bottom w:val="outset" w:sz="6" w:space="0" w:color="000000"/>
              <w:right w:val="outset" w:sz="6" w:space="0" w:color="000000"/>
            </w:tcBorders>
          </w:tcPr>
          <w:p w:rsidR="00F81179" w:rsidRPr="00E971BF" w:rsidRDefault="00F81179" w:rsidP="00DD2A63">
            <w:pPr>
              <w:spacing w:before="100" w:beforeAutospacing="1" w:after="100" w:afterAutospacing="1"/>
            </w:pPr>
            <w:r w:rsidRPr="00E971BF">
              <w:t>ieviestas pilnībā</w:t>
            </w:r>
          </w:p>
        </w:tc>
        <w:tc>
          <w:tcPr>
            <w:tcW w:w="1102" w:type="pct"/>
            <w:tcBorders>
              <w:top w:val="outset" w:sz="6" w:space="0" w:color="000000"/>
              <w:left w:val="outset" w:sz="6" w:space="0" w:color="000000"/>
              <w:bottom w:val="outset" w:sz="6" w:space="0" w:color="000000"/>
              <w:right w:val="outset" w:sz="6" w:space="0" w:color="000000"/>
            </w:tcBorders>
          </w:tcPr>
          <w:p w:rsidR="00F81179" w:rsidRPr="00E971BF" w:rsidRDefault="00F81179" w:rsidP="00DD2A63">
            <w:pPr>
              <w:spacing w:before="100" w:beforeAutospacing="1" w:after="100" w:afterAutospacing="1"/>
              <w:rPr>
                <w:bCs/>
              </w:rPr>
            </w:pPr>
            <w:r w:rsidRPr="00E971BF">
              <w:rPr>
                <w:bCs/>
              </w:rPr>
              <w:t>neparedz stingrākas prasības</w:t>
            </w:r>
          </w:p>
        </w:tc>
      </w:tr>
      <w:tr w:rsidR="00F81179" w:rsidRPr="00E971BF" w:rsidTr="00D71857">
        <w:tc>
          <w:tcPr>
            <w:tcW w:w="2035" w:type="pct"/>
            <w:tcBorders>
              <w:top w:val="outset" w:sz="6" w:space="0" w:color="000000"/>
              <w:left w:val="outset" w:sz="6" w:space="0" w:color="000000"/>
              <w:bottom w:val="outset" w:sz="6" w:space="0" w:color="000000"/>
              <w:right w:val="outset" w:sz="6" w:space="0" w:color="000000"/>
            </w:tcBorders>
          </w:tcPr>
          <w:p w:rsidR="00F81179" w:rsidRDefault="00F81179" w:rsidP="00FE7C7D">
            <w:pPr>
              <w:spacing w:before="100" w:beforeAutospacing="1" w:after="100" w:afterAutospacing="1"/>
            </w:pPr>
            <w:r>
              <w:t>Pielikuma VI sadaļa (nātrija jodāts)</w:t>
            </w:r>
          </w:p>
        </w:tc>
        <w:tc>
          <w:tcPr>
            <w:tcW w:w="1009" w:type="pct"/>
            <w:tcBorders>
              <w:top w:val="outset" w:sz="6" w:space="0" w:color="000000"/>
              <w:left w:val="outset" w:sz="6" w:space="0" w:color="000000"/>
              <w:bottom w:val="outset" w:sz="6" w:space="0" w:color="000000"/>
              <w:right w:val="outset" w:sz="6" w:space="0" w:color="000000"/>
            </w:tcBorders>
          </w:tcPr>
          <w:p w:rsidR="00F81179" w:rsidRDefault="00F81179" w:rsidP="00F81179">
            <w:pPr>
              <w:spacing w:before="100" w:beforeAutospacing="1" w:after="100" w:afterAutospacing="1"/>
            </w:pPr>
            <w:r>
              <w:t>2.pielikuma 251.- 364.punkts</w:t>
            </w:r>
          </w:p>
        </w:tc>
        <w:tc>
          <w:tcPr>
            <w:tcW w:w="854" w:type="pct"/>
            <w:tcBorders>
              <w:top w:val="outset" w:sz="6" w:space="0" w:color="000000"/>
              <w:left w:val="outset" w:sz="6" w:space="0" w:color="000000"/>
              <w:bottom w:val="outset" w:sz="6" w:space="0" w:color="000000"/>
              <w:right w:val="outset" w:sz="6" w:space="0" w:color="000000"/>
            </w:tcBorders>
          </w:tcPr>
          <w:p w:rsidR="00F81179" w:rsidRPr="00E971BF" w:rsidRDefault="00F81179" w:rsidP="00DD2A63">
            <w:pPr>
              <w:spacing w:before="100" w:beforeAutospacing="1" w:after="100" w:afterAutospacing="1"/>
            </w:pPr>
            <w:r w:rsidRPr="00E971BF">
              <w:t>ieviestas pilnībā</w:t>
            </w:r>
          </w:p>
        </w:tc>
        <w:tc>
          <w:tcPr>
            <w:tcW w:w="1102" w:type="pct"/>
            <w:tcBorders>
              <w:top w:val="outset" w:sz="6" w:space="0" w:color="000000"/>
              <w:left w:val="outset" w:sz="6" w:space="0" w:color="000000"/>
              <w:bottom w:val="outset" w:sz="6" w:space="0" w:color="000000"/>
              <w:right w:val="outset" w:sz="6" w:space="0" w:color="000000"/>
            </w:tcBorders>
          </w:tcPr>
          <w:p w:rsidR="00F81179" w:rsidRPr="00E971BF" w:rsidRDefault="00F81179" w:rsidP="00DD2A63">
            <w:pPr>
              <w:spacing w:before="100" w:beforeAutospacing="1" w:after="100" w:afterAutospacing="1"/>
              <w:rPr>
                <w:bCs/>
              </w:rPr>
            </w:pPr>
            <w:r w:rsidRPr="00E971BF">
              <w:rPr>
                <w:bCs/>
              </w:rPr>
              <w:t>neparedz stingrākas prasības</w:t>
            </w:r>
          </w:p>
        </w:tc>
      </w:tr>
      <w:tr w:rsidR="00FE7C7D" w:rsidRPr="00E971BF" w:rsidTr="00D71857">
        <w:tc>
          <w:tcPr>
            <w:tcW w:w="2035"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Kā ir izmantota ES tiesību aktā paredzētā rīcības brīvība dalībvalstij pārņemt vai ieviest noteiktas ES tiesību akta normas.</w:t>
            </w:r>
          </w:p>
        </w:tc>
        <w:tc>
          <w:tcPr>
            <w:tcW w:w="2965"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pPr>
            <w:r w:rsidRPr="00E971BF">
              <w:t>Nav attiecināms.</w:t>
            </w:r>
          </w:p>
        </w:tc>
      </w:tr>
      <w:tr w:rsidR="00FE7C7D" w:rsidRPr="00E971BF" w:rsidTr="00D71857">
        <w:tc>
          <w:tcPr>
            <w:tcW w:w="2035"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65"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jc w:val="both"/>
            </w:pPr>
            <w:r w:rsidRPr="00E971BF">
              <w:t>Nav attiecināms.</w:t>
            </w:r>
          </w:p>
        </w:tc>
      </w:tr>
      <w:tr w:rsidR="00FE7C7D" w:rsidRPr="00E971BF" w:rsidTr="00D71857">
        <w:tc>
          <w:tcPr>
            <w:tcW w:w="2035"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t>Cita informācija</w:t>
            </w:r>
          </w:p>
        </w:tc>
        <w:tc>
          <w:tcPr>
            <w:tcW w:w="2965"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rPr>
                <w:b/>
              </w:rPr>
            </w:pPr>
            <w:r w:rsidRPr="00E971BF">
              <w:rPr>
                <w:b/>
              </w:rPr>
              <w:t xml:space="preserve"> </w:t>
            </w:r>
          </w:p>
        </w:tc>
      </w:tr>
    </w:tbl>
    <w:p w:rsidR="00FE7C7D" w:rsidRDefault="00FE7C7D" w:rsidP="004407CE">
      <w:pPr>
        <w:jc w:val="both"/>
        <w:rPr>
          <w:color w:val="000000"/>
        </w:rPr>
      </w:pPr>
    </w:p>
    <w:p w:rsidR="00FE7C7D" w:rsidRPr="00E971BF" w:rsidRDefault="00FE7C7D" w:rsidP="00FE7C7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25"/>
        <w:gridCol w:w="424"/>
        <w:gridCol w:w="1844"/>
        <w:gridCol w:w="1983"/>
        <w:gridCol w:w="2155"/>
      </w:tblGrid>
      <w:tr w:rsidR="00FE7C7D" w:rsidRPr="00E971BF" w:rsidTr="00FE7C7D">
        <w:tc>
          <w:tcPr>
            <w:tcW w:w="5000" w:type="pct"/>
            <w:gridSpan w:val="5"/>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rPr>
                <w:b/>
                <w:bCs/>
              </w:rPr>
            </w:pPr>
            <w:r w:rsidRPr="00E971BF">
              <w:rPr>
                <w:b/>
                <w:bCs/>
              </w:rPr>
              <w:t>1.tabula</w:t>
            </w:r>
            <w:r w:rsidRPr="00E971BF">
              <w:rPr>
                <w:b/>
                <w:bCs/>
              </w:rPr>
              <w:br/>
              <w:t>Tiesību akta projekta atbilstība ES tiesību aktiem</w:t>
            </w:r>
          </w:p>
        </w:tc>
      </w:tr>
      <w:tr w:rsidR="00FE7C7D" w:rsidRPr="00E971BF" w:rsidTr="00D71857">
        <w:tc>
          <w:tcPr>
            <w:tcW w:w="1492"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Attiecīgā ES tiesību akta datums, numurs un nosaukums</w:t>
            </w:r>
          </w:p>
        </w:tc>
        <w:tc>
          <w:tcPr>
            <w:tcW w:w="3508" w:type="pct"/>
            <w:gridSpan w:val="4"/>
            <w:tcBorders>
              <w:top w:val="outset" w:sz="6" w:space="0" w:color="000000"/>
              <w:left w:val="outset" w:sz="6" w:space="0" w:color="000000"/>
              <w:bottom w:val="outset" w:sz="6" w:space="0" w:color="000000"/>
              <w:right w:val="outset" w:sz="6" w:space="0" w:color="000000"/>
            </w:tcBorders>
            <w:vAlign w:val="center"/>
          </w:tcPr>
          <w:p w:rsidR="00FE7C7D" w:rsidRPr="00E971BF" w:rsidRDefault="00D71857" w:rsidP="00FE7C7D">
            <w:pPr>
              <w:jc w:val="both"/>
            </w:pPr>
            <w:r w:rsidRPr="0068126E">
              <w:t xml:space="preserve">Komisijas </w:t>
            </w:r>
            <w:r w:rsidRPr="009923C4">
              <w:t>1993. gada 9. septembra Piektā direktīva 93/73/EEK par</w:t>
            </w:r>
            <w:r w:rsidRPr="0068126E">
              <w:t xml:space="preserve"> dalībvalstu tiesību aktu tuvināšanu attiecībā uz analīzes metodēm, kas vajadzīgas, lai pārbaudītu kosmētikas līdzekļu sastāvu</w:t>
            </w:r>
          </w:p>
        </w:tc>
      </w:tr>
      <w:tr w:rsidR="00FE7C7D" w:rsidRPr="00E971BF" w:rsidTr="001307EE">
        <w:tc>
          <w:tcPr>
            <w:tcW w:w="1724" w:type="pct"/>
            <w:gridSpan w:val="2"/>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w:t>
            </w:r>
          </w:p>
        </w:tc>
        <w:tc>
          <w:tcPr>
            <w:tcW w:w="1010"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B</w:t>
            </w:r>
          </w:p>
        </w:tc>
        <w:tc>
          <w:tcPr>
            <w:tcW w:w="1086"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C</w:t>
            </w:r>
          </w:p>
        </w:tc>
        <w:tc>
          <w:tcPr>
            <w:tcW w:w="1180"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D</w:t>
            </w:r>
          </w:p>
        </w:tc>
      </w:tr>
      <w:tr w:rsidR="00754E5A" w:rsidRPr="00E971BF" w:rsidTr="001307EE">
        <w:tc>
          <w:tcPr>
            <w:tcW w:w="1724" w:type="pct"/>
            <w:gridSpan w:val="2"/>
            <w:tcBorders>
              <w:top w:val="outset" w:sz="6" w:space="0" w:color="000000"/>
              <w:left w:val="outset" w:sz="6" w:space="0" w:color="000000"/>
              <w:bottom w:val="outset" w:sz="6" w:space="0" w:color="000000"/>
              <w:right w:val="outset" w:sz="6" w:space="0" w:color="000000"/>
            </w:tcBorders>
            <w:vAlign w:val="center"/>
          </w:tcPr>
          <w:p w:rsidR="00754E5A" w:rsidRPr="00E971BF" w:rsidRDefault="00754E5A" w:rsidP="00FE7C7D">
            <w:pPr>
              <w:spacing w:before="100" w:beforeAutospacing="1" w:after="100" w:afterAutospacing="1"/>
              <w:jc w:val="both"/>
            </w:pPr>
            <w:r w:rsidRPr="00E971BF">
              <w:t xml:space="preserve">Attiecīgā ES tiesību akta panta numurs (uzskaitot katru tiesību akta vienību – pantu, daļu, </w:t>
            </w:r>
            <w:r w:rsidRPr="00E971BF">
              <w:lastRenderedPageBreak/>
              <w:t>punktu, apakšpunktu)</w:t>
            </w:r>
          </w:p>
        </w:tc>
        <w:tc>
          <w:tcPr>
            <w:tcW w:w="1010"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lastRenderedPageBreak/>
              <w:t xml:space="preserve">Projekta vienība, kas pārņem vai ievieš katru šīs </w:t>
            </w:r>
            <w:r w:rsidRPr="00754E5A">
              <w:lastRenderedPageBreak/>
              <w:t>tabulas A ailē minēto ES tiesību akta vienību, vai tiesību akts, kur attiecīgā ES tiesību akta vienība pārņemta vai ieviesta</w:t>
            </w:r>
          </w:p>
        </w:tc>
        <w:tc>
          <w:tcPr>
            <w:tcW w:w="1086"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lastRenderedPageBreak/>
              <w:t xml:space="preserve">Informācija par to, vai šīs tabulas A ailē minētās </w:t>
            </w:r>
            <w:r w:rsidRPr="00754E5A">
              <w:lastRenderedPageBreak/>
              <w:t xml:space="preserve">ES tiesību akta vienības tiek pārņemtas vai ieviestas pilnībā vai daļēji. </w:t>
            </w:r>
          </w:p>
          <w:p w:rsidR="00754E5A" w:rsidRPr="00754E5A" w:rsidRDefault="00754E5A" w:rsidP="00754E5A">
            <w:pPr>
              <w:pStyle w:val="NoSpacing"/>
            </w:pPr>
            <w:r w:rsidRPr="00754E5A">
              <w:t>Ja attiecīgā ES tiesību akta vienība tiek pārņemta vai ieviesta daļēji, sniedz attiecīgu skaidrojumu, kā arī precīzi norāda, kad un kādā veidā ES tiesību akta vienība tiks pārņemta vai ieviesta pilnībā.</w:t>
            </w:r>
          </w:p>
          <w:p w:rsidR="00754E5A" w:rsidRPr="00754E5A" w:rsidRDefault="00754E5A" w:rsidP="00754E5A">
            <w:pPr>
              <w:pStyle w:val="NoSpacing"/>
            </w:pPr>
            <w:r w:rsidRPr="00754E5A">
              <w:t>Norāda institūciju, kas ir atbildīga par šo saistību izpildi pilnībā</w:t>
            </w:r>
          </w:p>
        </w:tc>
        <w:tc>
          <w:tcPr>
            <w:tcW w:w="1180"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lastRenderedPageBreak/>
              <w:t xml:space="preserve">Informācija par to, vai šīs tabulas B ailē minētās projekta </w:t>
            </w:r>
            <w:r w:rsidRPr="00754E5A">
              <w:lastRenderedPageBreak/>
              <w:t xml:space="preserve">vienības paredz stingrākas prasības nekā šīs tabulas A ailē minētās ES tiesību akta vienības. </w:t>
            </w:r>
          </w:p>
          <w:p w:rsidR="00754E5A" w:rsidRPr="00754E5A" w:rsidRDefault="00754E5A" w:rsidP="00754E5A">
            <w:pPr>
              <w:pStyle w:val="NoSpacing"/>
            </w:pPr>
            <w:r w:rsidRPr="00754E5A">
              <w:t>Ja projekts satur stingrākas prasības nekā attiecīgais ES tiesību akts, norāda pamatojumu un samērīgumu.</w:t>
            </w:r>
          </w:p>
          <w:p w:rsidR="00754E5A" w:rsidRPr="00754E5A" w:rsidRDefault="00754E5A" w:rsidP="00754E5A">
            <w:pPr>
              <w:pStyle w:val="NoSpacing"/>
            </w:pPr>
            <w:r w:rsidRPr="00754E5A">
              <w:t>Norāda iespējamās alternatīvas (t.sk. alternatīvas, kas neparedz tiesiskā regulējuma izstrādi) – kādos gadījumos būtu iespējams izvairīties no stingrāku prasību noteikšanas, nekā paredzēts attiecīgajos ES tiesību aktos</w:t>
            </w:r>
          </w:p>
        </w:tc>
      </w:tr>
      <w:tr w:rsidR="00FE7C7D" w:rsidRPr="00E971BF" w:rsidTr="001307EE">
        <w:tc>
          <w:tcPr>
            <w:tcW w:w="1724" w:type="pct"/>
            <w:gridSpan w:val="2"/>
            <w:tcBorders>
              <w:top w:val="outset" w:sz="6" w:space="0" w:color="000000"/>
              <w:left w:val="outset" w:sz="6" w:space="0" w:color="000000"/>
              <w:bottom w:val="outset" w:sz="6" w:space="0" w:color="000000"/>
              <w:right w:val="outset" w:sz="6" w:space="0" w:color="000000"/>
            </w:tcBorders>
          </w:tcPr>
          <w:p w:rsidR="00FE7C7D" w:rsidRPr="00E971BF" w:rsidRDefault="00D71857" w:rsidP="0082185E">
            <w:pPr>
              <w:spacing w:before="100" w:beforeAutospacing="1" w:after="100" w:afterAutospacing="1"/>
            </w:pPr>
            <w:r>
              <w:lastRenderedPageBreak/>
              <w:t xml:space="preserve">1. pants </w:t>
            </w:r>
          </w:p>
        </w:tc>
        <w:tc>
          <w:tcPr>
            <w:tcW w:w="1010" w:type="pct"/>
            <w:tcBorders>
              <w:top w:val="outset" w:sz="6" w:space="0" w:color="000000"/>
              <w:left w:val="outset" w:sz="6" w:space="0" w:color="000000"/>
              <w:bottom w:val="outset" w:sz="6" w:space="0" w:color="000000"/>
              <w:right w:val="outset" w:sz="6" w:space="0" w:color="000000"/>
            </w:tcBorders>
          </w:tcPr>
          <w:p w:rsidR="00FE7C7D" w:rsidRPr="00E971BF" w:rsidRDefault="0082185E" w:rsidP="00FE7C7D">
            <w:pPr>
              <w:spacing w:before="100" w:beforeAutospacing="1" w:after="100" w:afterAutospacing="1"/>
              <w:rPr>
                <w:bCs/>
              </w:rPr>
            </w:pPr>
            <w:r>
              <w:t xml:space="preserve">7. punkts un </w:t>
            </w:r>
            <w:r w:rsidR="00D71857">
              <w:t>2.pielikuma 365. – 456.punkts</w:t>
            </w:r>
          </w:p>
        </w:tc>
        <w:tc>
          <w:tcPr>
            <w:tcW w:w="1086"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t>ieviestas pilnībā</w:t>
            </w:r>
          </w:p>
        </w:tc>
        <w:tc>
          <w:tcPr>
            <w:tcW w:w="1180"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rPr>
                <w:bCs/>
              </w:rPr>
            </w:pPr>
            <w:r w:rsidRPr="00E971BF">
              <w:rPr>
                <w:bCs/>
              </w:rPr>
              <w:t>neparedz stingrākas prasības</w:t>
            </w:r>
          </w:p>
        </w:tc>
      </w:tr>
      <w:tr w:rsidR="00CC3691" w:rsidRPr="00E971BF" w:rsidTr="001307EE">
        <w:tc>
          <w:tcPr>
            <w:tcW w:w="1724" w:type="pct"/>
            <w:gridSpan w:val="2"/>
            <w:tcBorders>
              <w:top w:val="outset" w:sz="6" w:space="0" w:color="000000"/>
              <w:left w:val="outset" w:sz="6" w:space="0" w:color="000000"/>
              <w:bottom w:val="outset" w:sz="6" w:space="0" w:color="000000"/>
              <w:right w:val="outset" w:sz="6" w:space="0" w:color="000000"/>
            </w:tcBorders>
          </w:tcPr>
          <w:p w:rsidR="00CC3691" w:rsidRDefault="00CC3691" w:rsidP="00FE7C7D">
            <w:pPr>
              <w:spacing w:before="100" w:beforeAutospacing="1" w:after="100" w:afterAutospacing="1"/>
            </w:pPr>
            <w:r>
              <w:t>Pielikuma I sadaļa (sudraba nitrāts)</w:t>
            </w:r>
          </w:p>
        </w:tc>
        <w:tc>
          <w:tcPr>
            <w:tcW w:w="1010" w:type="pct"/>
            <w:tcBorders>
              <w:top w:val="outset" w:sz="6" w:space="0" w:color="000000"/>
              <w:left w:val="outset" w:sz="6" w:space="0" w:color="000000"/>
              <w:bottom w:val="outset" w:sz="6" w:space="0" w:color="000000"/>
              <w:right w:val="outset" w:sz="6" w:space="0" w:color="000000"/>
            </w:tcBorders>
          </w:tcPr>
          <w:p w:rsidR="00CC3691" w:rsidRDefault="00CC3691" w:rsidP="003B1ADE">
            <w:pPr>
              <w:spacing w:before="100" w:beforeAutospacing="1" w:after="100" w:afterAutospacing="1"/>
            </w:pPr>
            <w:r>
              <w:t>2.pielikuma 365. – 376.punkts</w:t>
            </w:r>
          </w:p>
        </w:tc>
        <w:tc>
          <w:tcPr>
            <w:tcW w:w="1086" w:type="pct"/>
            <w:tcBorders>
              <w:top w:val="outset" w:sz="6" w:space="0" w:color="000000"/>
              <w:left w:val="outset" w:sz="6" w:space="0" w:color="000000"/>
              <w:bottom w:val="outset" w:sz="6" w:space="0" w:color="000000"/>
              <w:right w:val="outset" w:sz="6" w:space="0" w:color="000000"/>
            </w:tcBorders>
          </w:tcPr>
          <w:p w:rsidR="00CC3691" w:rsidRPr="00E971BF" w:rsidRDefault="00CC3691" w:rsidP="00DD2A63">
            <w:pPr>
              <w:spacing w:before="100" w:beforeAutospacing="1" w:after="100" w:afterAutospacing="1"/>
            </w:pPr>
            <w:r w:rsidRPr="00E971BF">
              <w:t>ieviestas pilnībā</w:t>
            </w:r>
          </w:p>
        </w:tc>
        <w:tc>
          <w:tcPr>
            <w:tcW w:w="1180" w:type="pct"/>
            <w:tcBorders>
              <w:top w:val="outset" w:sz="6" w:space="0" w:color="000000"/>
              <w:left w:val="outset" w:sz="6" w:space="0" w:color="000000"/>
              <w:bottom w:val="outset" w:sz="6" w:space="0" w:color="000000"/>
              <w:right w:val="outset" w:sz="6" w:space="0" w:color="000000"/>
            </w:tcBorders>
          </w:tcPr>
          <w:p w:rsidR="00CC3691" w:rsidRPr="00E971BF" w:rsidRDefault="00CC3691" w:rsidP="00DD2A63">
            <w:pPr>
              <w:spacing w:before="100" w:beforeAutospacing="1" w:after="100" w:afterAutospacing="1"/>
              <w:rPr>
                <w:bCs/>
              </w:rPr>
            </w:pPr>
            <w:r w:rsidRPr="00E971BF">
              <w:rPr>
                <w:bCs/>
              </w:rPr>
              <w:t>neparedz stingrākas prasības</w:t>
            </w:r>
          </w:p>
        </w:tc>
      </w:tr>
      <w:tr w:rsidR="00CC3691" w:rsidRPr="00E971BF" w:rsidTr="001307EE">
        <w:tc>
          <w:tcPr>
            <w:tcW w:w="1724" w:type="pct"/>
            <w:gridSpan w:val="2"/>
            <w:tcBorders>
              <w:top w:val="outset" w:sz="6" w:space="0" w:color="000000"/>
              <w:left w:val="outset" w:sz="6" w:space="0" w:color="000000"/>
              <w:bottom w:val="outset" w:sz="6" w:space="0" w:color="000000"/>
              <w:right w:val="outset" w:sz="6" w:space="0" w:color="000000"/>
            </w:tcBorders>
          </w:tcPr>
          <w:p w:rsidR="00CC3691" w:rsidRDefault="00CC3691" w:rsidP="00FE7C7D">
            <w:pPr>
              <w:spacing w:before="100" w:beforeAutospacing="1" w:after="100" w:afterAutospacing="1"/>
            </w:pPr>
            <w:r>
              <w:t>Pielikuma II sadaļa (selēna disulfīds)</w:t>
            </w:r>
          </w:p>
        </w:tc>
        <w:tc>
          <w:tcPr>
            <w:tcW w:w="1010" w:type="pct"/>
            <w:tcBorders>
              <w:top w:val="outset" w:sz="6" w:space="0" w:color="000000"/>
              <w:left w:val="outset" w:sz="6" w:space="0" w:color="000000"/>
              <w:bottom w:val="outset" w:sz="6" w:space="0" w:color="000000"/>
              <w:right w:val="outset" w:sz="6" w:space="0" w:color="000000"/>
            </w:tcBorders>
          </w:tcPr>
          <w:p w:rsidR="00CC3691" w:rsidRDefault="00CC3691" w:rsidP="003B1ADE">
            <w:pPr>
              <w:spacing w:before="100" w:beforeAutospacing="1" w:after="100" w:afterAutospacing="1"/>
            </w:pPr>
            <w:r>
              <w:t>2.pielikuma 377. – 388.punkts</w:t>
            </w:r>
          </w:p>
        </w:tc>
        <w:tc>
          <w:tcPr>
            <w:tcW w:w="1086" w:type="pct"/>
            <w:tcBorders>
              <w:top w:val="outset" w:sz="6" w:space="0" w:color="000000"/>
              <w:left w:val="outset" w:sz="6" w:space="0" w:color="000000"/>
              <w:bottom w:val="outset" w:sz="6" w:space="0" w:color="000000"/>
              <w:right w:val="outset" w:sz="6" w:space="0" w:color="000000"/>
            </w:tcBorders>
          </w:tcPr>
          <w:p w:rsidR="00CC3691" w:rsidRPr="00E971BF" w:rsidRDefault="00CC3691" w:rsidP="00DD2A63">
            <w:pPr>
              <w:spacing w:before="100" w:beforeAutospacing="1" w:after="100" w:afterAutospacing="1"/>
            </w:pPr>
            <w:r w:rsidRPr="00E971BF">
              <w:t>ieviestas pilnībā</w:t>
            </w:r>
          </w:p>
        </w:tc>
        <w:tc>
          <w:tcPr>
            <w:tcW w:w="1180" w:type="pct"/>
            <w:tcBorders>
              <w:top w:val="outset" w:sz="6" w:space="0" w:color="000000"/>
              <w:left w:val="outset" w:sz="6" w:space="0" w:color="000000"/>
              <w:bottom w:val="outset" w:sz="6" w:space="0" w:color="000000"/>
              <w:right w:val="outset" w:sz="6" w:space="0" w:color="000000"/>
            </w:tcBorders>
          </w:tcPr>
          <w:p w:rsidR="00CC3691" w:rsidRPr="00E971BF" w:rsidRDefault="00CC3691" w:rsidP="00DD2A63">
            <w:pPr>
              <w:spacing w:before="100" w:beforeAutospacing="1" w:after="100" w:afterAutospacing="1"/>
              <w:rPr>
                <w:bCs/>
              </w:rPr>
            </w:pPr>
            <w:r w:rsidRPr="00E971BF">
              <w:rPr>
                <w:bCs/>
              </w:rPr>
              <w:t>neparedz stingrākas prasības</w:t>
            </w:r>
          </w:p>
        </w:tc>
      </w:tr>
      <w:tr w:rsidR="00CC3691" w:rsidRPr="00E971BF" w:rsidTr="001307EE">
        <w:tc>
          <w:tcPr>
            <w:tcW w:w="1724" w:type="pct"/>
            <w:gridSpan w:val="2"/>
            <w:tcBorders>
              <w:top w:val="outset" w:sz="6" w:space="0" w:color="000000"/>
              <w:left w:val="outset" w:sz="6" w:space="0" w:color="000000"/>
              <w:bottom w:val="outset" w:sz="6" w:space="0" w:color="000000"/>
              <w:right w:val="outset" w:sz="6" w:space="0" w:color="000000"/>
            </w:tcBorders>
          </w:tcPr>
          <w:p w:rsidR="00CC3691" w:rsidRDefault="00CC3691" w:rsidP="00CC3691">
            <w:pPr>
              <w:spacing w:before="100" w:beforeAutospacing="1" w:after="100" w:afterAutospacing="1"/>
            </w:pPr>
            <w:r>
              <w:t>Pielikuma III sadaļa (bārijs, stroncijs)</w:t>
            </w:r>
          </w:p>
        </w:tc>
        <w:tc>
          <w:tcPr>
            <w:tcW w:w="1010" w:type="pct"/>
            <w:tcBorders>
              <w:top w:val="outset" w:sz="6" w:space="0" w:color="000000"/>
              <w:left w:val="outset" w:sz="6" w:space="0" w:color="000000"/>
              <w:bottom w:val="outset" w:sz="6" w:space="0" w:color="000000"/>
              <w:right w:val="outset" w:sz="6" w:space="0" w:color="000000"/>
            </w:tcBorders>
          </w:tcPr>
          <w:p w:rsidR="00CC3691" w:rsidRDefault="00CC3691" w:rsidP="00CC3691">
            <w:pPr>
              <w:spacing w:before="100" w:beforeAutospacing="1" w:after="100" w:afterAutospacing="1"/>
            </w:pPr>
            <w:r>
              <w:t>2.pielikuma 389. – 403.punkts</w:t>
            </w:r>
          </w:p>
        </w:tc>
        <w:tc>
          <w:tcPr>
            <w:tcW w:w="1086" w:type="pct"/>
            <w:tcBorders>
              <w:top w:val="outset" w:sz="6" w:space="0" w:color="000000"/>
              <w:left w:val="outset" w:sz="6" w:space="0" w:color="000000"/>
              <w:bottom w:val="outset" w:sz="6" w:space="0" w:color="000000"/>
              <w:right w:val="outset" w:sz="6" w:space="0" w:color="000000"/>
            </w:tcBorders>
          </w:tcPr>
          <w:p w:rsidR="00CC3691" w:rsidRPr="00E971BF" w:rsidRDefault="00CC3691" w:rsidP="00DD2A63">
            <w:pPr>
              <w:spacing w:before="100" w:beforeAutospacing="1" w:after="100" w:afterAutospacing="1"/>
            </w:pPr>
            <w:r w:rsidRPr="00E971BF">
              <w:t>ieviestas pilnībā</w:t>
            </w:r>
          </w:p>
        </w:tc>
        <w:tc>
          <w:tcPr>
            <w:tcW w:w="1180" w:type="pct"/>
            <w:tcBorders>
              <w:top w:val="outset" w:sz="6" w:space="0" w:color="000000"/>
              <w:left w:val="outset" w:sz="6" w:space="0" w:color="000000"/>
              <w:bottom w:val="outset" w:sz="6" w:space="0" w:color="000000"/>
              <w:right w:val="outset" w:sz="6" w:space="0" w:color="000000"/>
            </w:tcBorders>
          </w:tcPr>
          <w:p w:rsidR="00CC3691" w:rsidRPr="00E971BF" w:rsidRDefault="00CC3691" w:rsidP="00DD2A63">
            <w:pPr>
              <w:spacing w:before="100" w:beforeAutospacing="1" w:after="100" w:afterAutospacing="1"/>
              <w:rPr>
                <w:bCs/>
              </w:rPr>
            </w:pPr>
            <w:r w:rsidRPr="00E971BF">
              <w:rPr>
                <w:bCs/>
              </w:rPr>
              <w:t>neparedz stingrākas prasības</w:t>
            </w:r>
          </w:p>
        </w:tc>
      </w:tr>
      <w:tr w:rsidR="00CC3691" w:rsidRPr="00E971BF" w:rsidTr="001307EE">
        <w:tc>
          <w:tcPr>
            <w:tcW w:w="1724" w:type="pct"/>
            <w:gridSpan w:val="2"/>
            <w:tcBorders>
              <w:top w:val="outset" w:sz="6" w:space="0" w:color="000000"/>
              <w:left w:val="outset" w:sz="6" w:space="0" w:color="000000"/>
              <w:bottom w:val="outset" w:sz="6" w:space="0" w:color="000000"/>
              <w:right w:val="outset" w:sz="6" w:space="0" w:color="000000"/>
            </w:tcBorders>
          </w:tcPr>
          <w:p w:rsidR="00CC3691" w:rsidRDefault="00CC3691" w:rsidP="00FE7C7D">
            <w:pPr>
              <w:spacing w:before="100" w:beforeAutospacing="1" w:after="100" w:afterAutospacing="1"/>
            </w:pPr>
            <w:r>
              <w:t>Pielikuma IV sadaļa (benzilspirts)</w:t>
            </w:r>
          </w:p>
        </w:tc>
        <w:tc>
          <w:tcPr>
            <w:tcW w:w="1010" w:type="pct"/>
            <w:tcBorders>
              <w:top w:val="outset" w:sz="6" w:space="0" w:color="000000"/>
              <w:left w:val="outset" w:sz="6" w:space="0" w:color="000000"/>
              <w:bottom w:val="outset" w:sz="6" w:space="0" w:color="000000"/>
              <w:right w:val="outset" w:sz="6" w:space="0" w:color="000000"/>
            </w:tcBorders>
          </w:tcPr>
          <w:p w:rsidR="00CC3691" w:rsidRDefault="00CC3691" w:rsidP="00CC3691">
            <w:pPr>
              <w:spacing w:before="100" w:beforeAutospacing="1" w:after="100" w:afterAutospacing="1"/>
            </w:pPr>
            <w:r>
              <w:t>2.pielikuma 404. – 416.punkts</w:t>
            </w:r>
          </w:p>
        </w:tc>
        <w:tc>
          <w:tcPr>
            <w:tcW w:w="1086" w:type="pct"/>
            <w:tcBorders>
              <w:top w:val="outset" w:sz="6" w:space="0" w:color="000000"/>
              <w:left w:val="outset" w:sz="6" w:space="0" w:color="000000"/>
              <w:bottom w:val="outset" w:sz="6" w:space="0" w:color="000000"/>
              <w:right w:val="outset" w:sz="6" w:space="0" w:color="000000"/>
            </w:tcBorders>
          </w:tcPr>
          <w:p w:rsidR="00CC3691" w:rsidRPr="00E971BF" w:rsidRDefault="00CC3691" w:rsidP="00DD2A63">
            <w:pPr>
              <w:spacing w:before="100" w:beforeAutospacing="1" w:after="100" w:afterAutospacing="1"/>
            </w:pPr>
            <w:r w:rsidRPr="00E971BF">
              <w:t>ieviestas pilnībā</w:t>
            </w:r>
          </w:p>
        </w:tc>
        <w:tc>
          <w:tcPr>
            <w:tcW w:w="1180" w:type="pct"/>
            <w:tcBorders>
              <w:top w:val="outset" w:sz="6" w:space="0" w:color="000000"/>
              <w:left w:val="outset" w:sz="6" w:space="0" w:color="000000"/>
              <w:bottom w:val="outset" w:sz="6" w:space="0" w:color="000000"/>
              <w:right w:val="outset" w:sz="6" w:space="0" w:color="000000"/>
            </w:tcBorders>
          </w:tcPr>
          <w:p w:rsidR="00CC3691" w:rsidRPr="00E971BF" w:rsidRDefault="00CC3691" w:rsidP="00DD2A63">
            <w:pPr>
              <w:spacing w:before="100" w:beforeAutospacing="1" w:after="100" w:afterAutospacing="1"/>
              <w:rPr>
                <w:bCs/>
              </w:rPr>
            </w:pPr>
            <w:r w:rsidRPr="00E971BF">
              <w:rPr>
                <w:bCs/>
              </w:rPr>
              <w:t>neparedz stingrākas prasības</w:t>
            </w:r>
          </w:p>
        </w:tc>
      </w:tr>
      <w:tr w:rsidR="00CC3691" w:rsidRPr="00E971BF" w:rsidTr="001307EE">
        <w:tc>
          <w:tcPr>
            <w:tcW w:w="1724" w:type="pct"/>
            <w:gridSpan w:val="2"/>
            <w:tcBorders>
              <w:top w:val="outset" w:sz="6" w:space="0" w:color="000000"/>
              <w:left w:val="outset" w:sz="6" w:space="0" w:color="000000"/>
              <w:bottom w:val="outset" w:sz="6" w:space="0" w:color="000000"/>
              <w:right w:val="outset" w:sz="6" w:space="0" w:color="000000"/>
            </w:tcBorders>
          </w:tcPr>
          <w:p w:rsidR="00CC3691" w:rsidRDefault="00CC3691" w:rsidP="00FE7C7D">
            <w:pPr>
              <w:spacing w:before="100" w:beforeAutospacing="1" w:after="100" w:afterAutospacing="1"/>
            </w:pPr>
            <w:r>
              <w:t>Pielikuma V sadaļa (cirkonijs, alumīnijs, hlors)</w:t>
            </w:r>
          </w:p>
        </w:tc>
        <w:tc>
          <w:tcPr>
            <w:tcW w:w="1010" w:type="pct"/>
            <w:tcBorders>
              <w:top w:val="outset" w:sz="6" w:space="0" w:color="000000"/>
              <w:left w:val="outset" w:sz="6" w:space="0" w:color="000000"/>
              <w:bottom w:val="outset" w:sz="6" w:space="0" w:color="000000"/>
              <w:right w:val="outset" w:sz="6" w:space="0" w:color="000000"/>
            </w:tcBorders>
          </w:tcPr>
          <w:p w:rsidR="00CC3691" w:rsidRDefault="00CC3691" w:rsidP="00CC3691">
            <w:pPr>
              <w:spacing w:before="100" w:beforeAutospacing="1" w:after="100" w:afterAutospacing="1"/>
            </w:pPr>
            <w:r>
              <w:t>2.pielikuma 417. – 446.punkts</w:t>
            </w:r>
          </w:p>
        </w:tc>
        <w:tc>
          <w:tcPr>
            <w:tcW w:w="1086" w:type="pct"/>
            <w:tcBorders>
              <w:top w:val="outset" w:sz="6" w:space="0" w:color="000000"/>
              <w:left w:val="outset" w:sz="6" w:space="0" w:color="000000"/>
              <w:bottom w:val="outset" w:sz="6" w:space="0" w:color="000000"/>
              <w:right w:val="outset" w:sz="6" w:space="0" w:color="000000"/>
            </w:tcBorders>
          </w:tcPr>
          <w:p w:rsidR="00CC3691" w:rsidRPr="00E971BF" w:rsidRDefault="00CC3691" w:rsidP="00DD2A63">
            <w:pPr>
              <w:spacing w:before="100" w:beforeAutospacing="1" w:after="100" w:afterAutospacing="1"/>
            </w:pPr>
            <w:r w:rsidRPr="00E971BF">
              <w:t>ieviestas pilnībā</w:t>
            </w:r>
          </w:p>
        </w:tc>
        <w:tc>
          <w:tcPr>
            <w:tcW w:w="1180" w:type="pct"/>
            <w:tcBorders>
              <w:top w:val="outset" w:sz="6" w:space="0" w:color="000000"/>
              <w:left w:val="outset" w:sz="6" w:space="0" w:color="000000"/>
              <w:bottom w:val="outset" w:sz="6" w:space="0" w:color="000000"/>
              <w:right w:val="outset" w:sz="6" w:space="0" w:color="000000"/>
            </w:tcBorders>
          </w:tcPr>
          <w:p w:rsidR="00CC3691" w:rsidRPr="00E971BF" w:rsidRDefault="00CC3691" w:rsidP="00DD2A63">
            <w:pPr>
              <w:spacing w:before="100" w:beforeAutospacing="1" w:after="100" w:afterAutospacing="1"/>
              <w:rPr>
                <w:bCs/>
              </w:rPr>
            </w:pPr>
            <w:r w:rsidRPr="00E971BF">
              <w:rPr>
                <w:bCs/>
              </w:rPr>
              <w:t>neparedz stingrākas prasības</w:t>
            </w:r>
          </w:p>
        </w:tc>
      </w:tr>
      <w:tr w:rsidR="00CC3691" w:rsidRPr="00E971BF" w:rsidTr="001307EE">
        <w:tc>
          <w:tcPr>
            <w:tcW w:w="1724" w:type="pct"/>
            <w:gridSpan w:val="2"/>
            <w:tcBorders>
              <w:top w:val="outset" w:sz="6" w:space="0" w:color="000000"/>
              <w:left w:val="outset" w:sz="6" w:space="0" w:color="000000"/>
              <w:bottom w:val="outset" w:sz="6" w:space="0" w:color="000000"/>
              <w:right w:val="outset" w:sz="6" w:space="0" w:color="000000"/>
            </w:tcBorders>
          </w:tcPr>
          <w:p w:rsidR="00CC3691" w:rsidRDefault="00CC3691" w:rsidP="00CC3691">
            <w:pPr>
              <w:spacing w:before="100" w:beforeAutospacing="1" w:after="100" w:afterAutospacing="1"/>
            </w:pPr>
            <w:r>
              <w:t>Pielikuma VI sadaļa (heksamidīni)</w:t>
            </w:r>
          </w:p>
        </w:tc>
        <w:tc>
          <w:tcPr>
            <w:tcW w:w="1010" w:type="pct"/>
            <w:tcBorders>
              <w:top w:val="outset" w:sz="6" w:space="0" w:color="000000"/>
              <w:left w:val="outset" w:sz="6" w:space="0" w:color="000000"/>
              <w:bottom w:val="outset" w:sz="6" w:space="0" w:color="000000"/>
              <w:right w:val="outset" w:sz="6" w:space="0" w:color="000000"/>
            </w:tcBorders>
          </w:tcPr>
          <w:p w:rsidR="00CC3691" w:rsidRDefault="00CC3691" w:rsidP="00CC3691">
            <w:pPr>
              <w:spacing w:before="100" w:beforeAutospacing="1" w:after="100" w:afterAutospacing="1"/>
            </w:pPr>
            <w:r>
              <w:t>2.pielikuma 447. – 456.punkts</w:t>
            </w:r>
          </w:p>
        </w:tc>
        <w:tc>
          <w:tcPr>
            <w:tcW w:w="1086" w:type="pct"/>
            <w:tcBorders>
              <w:top w:val="outset" w:sz="6" w:space="0" w:color="000000"/>
              <w:left w:val="outset" w:sz="6" w:space="0" w:color="000000"/>
              <w:bottom w:val="outset" w:sz="6" w:space="0" w:color="000000"/>
              <w:right w:val="outset" w:sz="6" w:space="0" w:color="000000"/>
            </w:tcBorders>
          </w:tcPr>
          <w:p w:rsidR="00CC3691" w:rsidRPr="00E971BF" w:rsidRDefault="00CC3691" w:rsidP="00DD2A63">
            <w:pPr>
              <w:spacing w:before="100" w:beforeAutospacing="1" w:after="100" w:afterAutospacing="1"/>
            </w:pPr>
            <w:r w:rsidRPr="00E971BF">
              <w:t>ieviestas pilnībā</w:t>
            </w:r>
          </w:p>
        </w:tc>
        <w:tc>
          <w:tcPr>
            <w:tcW w:w="1180" w:type="pct"/>
            <w:tcBorders>
              <w:top w:val="outset" w:sz="6" w:space="0" w:color="000000"/>
              <w:left w:val="outset" w:sz="6" w:space="0" w:color="000000"/>
              <w:bottom w:val="outset" w:sz="6" w:space="0" w:color="000000"/>
              <w:right w:val="outset" w:sz="6" w:space="0" w:color="000000"/>
            </w:tcBorders>
          </w:tcPr>
          <w:p w:rsidR="00CC3691" w:rsidRPr="00E971BF" w:rsidRDefault="00CC3691" w:rsidP="00DD2A63">
            <w:pPr>
              <w:spacing w:before="100" w:beforeAutospacing="1" w:after="100" w:afterAutospacing="1"/>
              <w:rPr>
                <w:bCs/>
              </w:rPr>
            </w:pPr>
            <w:r w:rsidRPr="00E971BF">
              <w:rPr>
                <w:bCs/>
              </w:rPr>
              <w:t>neparedz stingrākas prasības</w:t>
            </w:r>
          </w:p>
        </w:tc>
      </w:tr>
      <w:tr w:rsidR="00FE7C7D" w:rsidRPr="00E971BF" w:rsidTr="001307EE">
        <w:tc>
          <w:tcPr>
            <w:tcW w:w="1724" w:type="pct"/>
            <w:gridSpan w:val="2"/>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Kā ir izmantota ES tiesību aktā paredzētā rīcības brīvība dalībvalstij pārņemt vai ieviest noteiktas ES tiesību akta normas.</w:t>
            </w:r>
          </w:p>
        </w:tc>
        <w:tc>
          <w:tcPr>
            <w:tcW w:w="3276"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pPr>
            <w:r w:rsidRPr="00E971BF">
              <w:t>Nav attiecināms.</w:t>
            </w:r>
          </w:p>
        </w:tc>
      </w:tr>
      <w:tr w:rsidR="00FE7C7D" w:rsidRPr="00E971BF" w:rsidTr="001307EE">
        <w:tc>
          <w:tcPr>
            <w:tcW w:w="1724" w:type="pct"/>
            <w:gridSpan w:val="2"/>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 xml:space="preserve">Saistības sniegt paziņojumu ES institūcijām un ES dalībvalstīm atbilstoši normatīvajiem aktiem, kas regulē informācijas </w:t>
            </w:r>
            <w:r w:rsidRPr="00E971BF">
              <w:lastRenderedPageBreak/>
              <w:t>sniegšanu par tehnisko noteikumu, valsts atbalsta piešķiršanas un finanšu noteikumu (attiecībā uz monetāro politiku) projektiem</w:t>
            </w:r>
          </w:p>
        </w:tc>
        <w:tc>
          <w:tcPr>
            <w:tcW w:w="3276"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jc w:val="both"/>
            </w:pPr>
            <w:r w:rsidRPr="00E971BF">
              <w:lastRenderedPageBreak/>
              <w:t>Nav attiecināms.</w:t>
            </w:r>
          </w:p>
        </w:tc>
      </w:tr>
      <w:tr w:rsidR="00FE7C7D" w:rsidRPr="00E971BF" w:rsidTr="001307EE">
        <w:tc>
          <w:tcPr>
            <w:tcW w:w="1724" w:type="pct"/>
            <w:gridSpan w:val="2"/>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lastRenderedPageBreak/>
              <w:t>Cita informācija</w:t>
            </w:r>
          </w:p>
        </w:tc>
        <w:tc>
          <w:tcPr>
            <w:tcW w:w="3276"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rPr>
                <w:b/>
              </w:rPr>
            </w:pPr>
            <w:r w:rsidRPr="00E971BF">
              <w:rPr>
                <w:b/>
              </w:rPr>
              <w:t xml:space="preserve"> </w:t>
            </w:r>
          </w:p>
        </w:tc>
      </w:tr>
    </w:tbl>
    <w:p w:rsidR="00FE7C7D" w:rsidRPr="00E971BF" w:rsidRDefault="00FE7C7D" w:rsidP="00FE7C7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714"/>
        <w:gridCol w:w="1560"/>
        <w:gridCol w:w="1702"/>
        <w:gridCol w:w="2155"/>
      </w:tblGrid>
      <w:tr w:rsidR="00FE7C7D" w:rsidRPr="00E971BF" w:rsidTr="00FE7C7D">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rPr>
                <w:b/>
                <w:bCs/>
              </w:rPr>
            </w:pPr>
            <w:r w:rsidRPr="00E971BF">
              <w:rPr>
                <w:b/>
                <w:bCs/>
              </w:rPr>
              <w:t>1.tabula</w:t>
            </w:r>
            <w:r w:rsidRPr="00E971BF">
              <w:rPr>
                <w:b/>
                <w:bCs/>
              </w:rPr>
              <w:br/>
              <w:t>Tiesību akta projekta atbilstība ES tiesību aktiem</w:t>
            </w:r>
          </w:p>
        </w:tc>
      </w:tr>
      <w:tr w:rsidR="00FE7C7D" w:rsidRPr="00E971BF" w:rsidTr="00BF09F2">
        <w:tc>
          <w:tcPr>
            <w:tcW w:w="203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Attiecīgā ES tiesību akta datums, numurs un nosaukums</w:t>
            </w:r>
          </w:p>
        </w:tc>
        <w:tc>
          <w:tcPr>
            <w:tcW w:w="2966" w:type="pct"/>
            <w:gridSpan w:val="3"/>
            <w:tcBorders>
              <w:top w:val="outset" w:sz="6" w:space="0" w:color="000000"/>
              <w:left w:val="outset" w:sz="6" w:space="0" w:color="000000"/>
              <w:bottom w:val="outset" w:sz="6" w:space="0" w:color="000000"/>
              <w:right w:val="outset" w:sz="6" w:space="0" w:color="000000"/>
            </w:tcBorders>
            <w:vAlign w:val="center"/>
          </w:tcPr>
          <w:p w:rsidR="00FE7C7D" w:rsidRPr="00E971BF" w:rsidRDefault="00BF09F2" w:rsidP="00FE7C7D">
            <w:pPr>
              <w:jc w:val="both"/>
            </w:pPr>
            <w:r>
              <w:t>8)</w:t>
            </w:r>
            <w:r w:rsidR="00BC6585" w:rsidRPr="0068126E">
              <w:t xml:space="preserve">Komisijas </w:t>
            </w:r>
            <w:r w:rsidR="00BC6585" w:rsidRPr="009923C4">
              <w:t>1995. gada 7. jūlijs Sestā direktīva 95/32/EK</w:t>
            </w:r>
            <w:r w:rsidR="00BC6585" w:rsidRPr="0068126E">
              <w:t xml:space="preserve"> par dalībvalstu tiesību aktu tuvināšanu attiecībā uz analīzes metodēm, kas vajadzīgas, lai pārbaudītu kosmētikas līdzekļu sastāvu</w:t>
            </w:r>
          </w:p>
        </w:tc>
      </w:tr>
      <w:tr w:rsidR="00FE7C7D" w:rsidRPr="00E971BF" w:rsidTr="00BF09F2">
        <w:tc>
          <w:tcPr>
            <w:tcW w:w="203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w:t>
            </w:r>
          </w:p>
        </w:tc>
        <w:tc>
          <w:tcPr>
            <w:tcW w:w="85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B</w:t>
            </w:r>
          </w:p>
        </w:tc>
        <w:tc>
          <w:tcPr>
            <w:tcW w:w="932"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C</w:t>
            </w:r>
          </w:p>
        </w:tc>
        <w:tc>
          <w:tcPr>
            <w:tcW w:w="1180"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D</w:t>
            </w:r>
          </w:p>
        </w:tc>
      </w:tr>
      <w:tr w:rsidR="00754E5A" w:rsidRPr="00E971BF" w:rsidTr="00BF09F2">
        <w:tc>
          <w:tcPr>
            <w:tcW w:w="2034" w:type="pct"/>
            <w:tcBorders>
              <w:top w:val="outset" w:sz="6" w:space="0" w:color="000000"/>
              <w:left w:val="outset" w:sz="6" w:space="0" w:color="000000"/>
              <w:bottom w:val="outset" w:sz="6" w:space="0" w:color="000000"/>
              <w:right w:val="outset" w:sz="6" w:space="0" w:color="000000"/>
            </w:tcBorders>
            <w:vAlign w:val="center"/>
          </w:tcPr>
          <w:p w:rsidR="00754E5A" w:rsidRPr="00E971BF" w:rsidRDefault="00754E5A" w:rsidP="00FE7C7D">
            <w:pPr>
              <w:spacing w:before="100" w:beforeAutospacing="1" w:after="100" w:afterAutospacing="1"/>
              <w:jc w:val="both"/>
            </w:pPr>
            <w:r w:rsidRPr="00E971BF">
              <w:t>Attiecīgā ES tiesību akta panta numurs (uzskaitot katru tiesību akta vienību – pantu, daļu, punktu, apakšpunktu)</w:t>
            </w:r>
          </w:p>
        </w:tc>
        <w:tc>
          <w:tcPr>
            <w:tcW w:w="854"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Projekta vienība, kas pārņem vai ievieš katru šīs tabulas A ailē minēto ES tiesību akta vienību, vai tiesību akts, kur attiecīgā ES tiesību akta vienība pārņemta vai ieviesta</w:t>
            </w:r>
          </w:p>
        </w:tc>
        <w:tc>
          <w:tcPr>
            <w:tcW w:w="932"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 xml:space="preserve">Informācija par to, vai šīs tabulas A ailē minētās ES tiesību akta vienības tiek pārņemtas vai ieviestas pilnībā vai daļēji. </w:t>
            </w:r>
          </w:p>
          <w:p w:rsidR="00754E5A" w:rsidRPr="00754E5A" w:rsidRDefault="00754E5A" w:rsidP="00754E5A">
            <w:pPr>
              <w:pStyle w:val="NoSpacing"/>
            </w:pPr>
            <w:r w:rsidRPr="00754E5A">
              <w:t>Ja attiecīgā ES tiesību akta vienība tiek pārņemta vai ieviesta daļēji, sniedz attiecīgu skaidrojumu, kā arī precīzi norāda, kad un kādā veidā ES tiesību akta vienība tiks pārņemta vai ieviesta pilnībā.</w:t>
            </w:r>
          </w:p>
          <w:p w:rsidR="00754E5A" w:rsidRPr="00754E5A" w:rsidRDefault="00754E5A" w:rsidP="00754E5A">
            <w:pPr>
              <w:pStyle w:val="NoSpacing"/>
            </w:pPr>
            <w:r w:rsidRPr="00754E5A">
              <w:t>Norāda institūciju, kas ir atbildīga par šo saistību izpildi pilnībā</w:t>
            </w:r>
          </w:p>
        </w:tc>
        <w:tc>
          <w:tcPr>
            <w:tcW w:w="1180" w:type="pct"/>
            <w:tcBorders>
              <w:top w:val="outset" w:sz="6" w:space="0" w:color="000000"/>
              <w:left w:val="outset" w:sz="6" w:space="0" w:color="000000"/>
              <w:bottom w:val="outset" w:sz="6" w:space="0" w:color="000000"/>
              <w:right w:val="outset" w:sz="6" w:space="0" w:color="000000"/>
            </w:tcBorders>
          </w:tcPr>
          <w:p w:rsidR="00754E5A" w:rsidRPr="00754E5A" w:rsidRDefault="00754E5A" w:rsidP="00754E5A">
            <w:pPr>
              <w:pStyle w:val="NoSpacing"/>
            </w:pPr>
            <w:r w:rsidRPr="00754E5A">
              <w:t xml:space="preserve">Informācija par to, vai šīs tabulas B ailē minētās projekta vienības paredz stingrākas prasības nekā šīs tabulas A ailē minētās ES tiesību akta vienības. </w:t>
            </w:r>
          </w:p>
          <w:p w:rsidR="00754E5A" w:rsidRPr="00754E5A" w:rsidRDefault="00754E5A" w:rsidP="00754E5A">
            <w:pPr>
              <w:pStyle w:val="NoSpacing"/>
            </w:pPr>
            <w:r w:rsidRPr="00754E5A">
              <w:t>Ja projekts satur stingrākas prasības nekā attiecīgais ES tiesību akts, norāda pamatojumu un samērīgumu.</w:t>
            </w:r>
          </w:p>
          <w:p w:rsidR="00754E5A" w:rsidRPr="00754E5A" w:rsidRDefault="00754E5A" w:rsidP="00754E5A">
            <w:pPr>
              <w:pStyle w:val="NoSpacing"/>
            </w:pPr>
            <w:r w:rsidRPr="00754E5A">
              <w:t>Norāda iespējamās alternatīvas (t.sk. alternatīvas, kas neparedz tiesiskā regulējuma izstrādi) – kādos gadījumos būtu iespējams izvairīties no stingrāku prasību noteikšanas, nekā paredzēts attiecīgajos ES tiesību aktos</w:t>
            </w:r>
          </w:p>
        </w:tc>
      </w:tr>
      <w:tr w:rsidR="00FE7C7D" w:rsidRPr="00E971BF" w:rsidTr="00BF09F2">
        <w:tc>
          <w:tcPr>
            <w:tcW w:w="2034" w:type="pct"/>
            <w:tcBorders>
              <w:top w:val="outset" w:sz="6" w:space="0" w:color="000000"/>
              <w:left w:val="outset" w:sz="6" w:space="0" w:color="000000"/>
              <w:bottom w:val="outset" w:sz="6" w:space="0" w:color="000000"/>
              <w:right w:val="outset" w:sz="6" w:space="0" w:color="000000"/>
            </w:tcBorders>
          </w:tcPr>
          <w:p w:rsidR="00FE7C7D" w:rsidRPr="00E971BF" w:rsidRDefault="00BC6585" w:rsidP="0082185E">
            <w:pPr>
              <w:spacing w:before="100" w:beforeAutospacing="1" w:after="100" w:afterAutospacing="1"/>
            </w:pPr>
            <w:r>
              <w:t xml:space="preserve">1. pants </w:t>
            </w:r>
          </w:p>
        </w:tc>
        <w:tc>
          <w:tcPr>
            <w:tcW w:w="854" w:type="pct"/>
            <w:tcBorders>
              <w:top w:val="outset" w:sz="6" w:space="0" w:color="000000"/>
              <w:left w:val="outset" w:sz="6" w:space="0" w:color="000000"/>
              <w:bottom w:val="outset" w:sz="6" w:space="0" w:color="000000"/>
              <w:right w:val="outset" w:sz="6" w:space="0" w:color="000000"/>
            </w:tcBorders>
          </w:tcPr>
          <w:p w:rsidR="00FE7C7D" w:rsidRPr="00E971BF" w:rsidRDefault="0082185E" w:rsidP="00FE7C7D">
            <w:pPr>
              <w:spacing w:before="100" w:beforeAutospacing="1" w:after="100" w:afterAutospacing="1"/>
              <w:rPr>
                <w:bCs/>
              </w:rPr>
            </w:pPr>
            <w:r>
              <w:t xml:space="preserve">7. punkts </w:t>
            </w:r>
            <w:r w:rsidR="00403375">
              <w:t>2</w:t>
            </w:r>
            <w:r w:rsidR="00BC6585">
              <w:t>.pielikuma 457. - 497. punkts</w:t>
            </w:r>
          </w:p>
        </w:tc>
        <w:tc>
          <w:tcPr>
            <w:tcW w:w="932"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t>ieviestas pilnībā</w:t>
            </w:r>
          </w:p>
        </w:tc>
        <w:tc>
          <w:tcPr>
            <w:tcW w:w="1180"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rPr>
                <w:bCs/>
              </w:rPr>
            </w:pPr>
            <w:r w:rsidRPr="00E971BF">
              <w:rPr>
                <w:bCs/>
              </w:rPr>
              <w:t>neparedz stingrākas prasības</w:t>
            </w:r>
          </w:p>
        </w:tc>
      </w:tr>
      <w:tr w:rsidR="003B1ADE" w:rsidRPr="00E971BF" w:rsidTr="00BF09F2">
        <w:tc>
          <w:tcPr>
            <w:tcW w:w="2034" w:type="pct"/>
            <w:tcBorders>
              <w:top w:val="outset" w:sz="6" w:space="0" w:color="000000"/>
              <w:left w:val="outset" w:sz="6" w:space="0" w:color="000000"/>
              <w:bottom w:val="outset" w:sz="6" w:space="0" w:color="000000"/>
              <w:right w:val="outset" w:sz="6" w:space="0" w:color="000000"/>
            </w:tcBorders>
          </w:tcPr>
          <w:p w:rsidR="003B1ADE" w:rsidRDefault="003B1ADE" w:rsidP="00FE7C7D">
            <w:pPr>
              <w:spacing w:before="100" w:beforeAutospacing="1" w:after="100" w:afterAutospacing="1"/>
            </w:pPr>
            <w:r>
              <w:t>Pielikuma I sadaļa</w:t>
            </w:r>
          </w:p>
        </w:tc>
        <w:tc>
          <w:tcPr>
            <w:tcW w:w="854" w:type="pct"/>
            <w:tcBorders>
              <w:top w:val="outset" w:sz="6" w:space="0" w:color="000000"/>
              <w:left w:val="outset" w:sz="6" w:space="0" w:color="000000"/>
              <w:bottom w:val="outset" w:sz="6" w:space="0" w:color="000000"/>
              <w:right w:val="outset" w:sz="6" w:space="0" w:color="000000"/>
            </w:tcBorders>
          </w:tcPr>
          <w:p w:rsidR="003B1ADE" w:rsidRDefault="003B1ADE" w:rsidP="003B1ADE">
            <w:pPr>
              <w:spacing w:before="100" w:beforeAutospacing="1" w:after="100" w:afterAutospacing="1"/>
            </w:pPr>
            <w:r>
              <w:t>2.pielikuma 457. - 477. punkts</w:t>
            </w:r>
          </w:p>
        </w:tc>
        <w:tc>
          <w:tcPr>
            <w:tcW w:w="932" w:type="pct"/>
            <w:tcBorders>
              <w:top w:val="outset" w:sz="6" w:space="0" w:color="000000"/>
              <w:left w:val="outset" w:sz="6" w:space="0" w:color="000000"/>
              <w:bottom w:val="outset" w:sz="6" w:space="0" w:color="000000"/>
              <w:right w:val="outset" w:sz="6" w:space="0" w:color="000000"/>
            </w:tcBorders>
          </w:tcPr>
          <w:p w:rsidR="003B1ADE" w:rsidRPr="00E971BF" w:rsidRDefault="003B1ADE" w:rsidP="00DD2A63">
            <w:pPr>
              <w:spacing w:before="100" w:beforeAutospacing="1" w:after="100" w:afterAutospacing="1"/>
            </w:pPr>
            <w:r w:rsidRPr="00E971BF">
              <w:t>ieviestas pilnībā</w:t>
            </w:r>
          </w:p>
        </w:tc>
        <w:tc>
          <w:tcPr>
            <w:tcW w:w="1180" w:type="pct"/>
            <w:tcBorders>
              <w:top w:val="outset" w:sz="6" w:space="0" w:color="000000"/>
              <w:left w:val="outset" w:sz="6" w:space="0" w:color="000000"/>
              <w:bottom w:val="outset" w:sz="6" w:space="0" w:color="000000"/>
              <w:right w:val="outset" w:sz="6" w:space="0" w:color="000000"/>
            </w:tcBorders>
          </w:tcPr>
          <w:p w:rsidR="003B1ADE" w:rsidRPr="00E971BF" w:rsidRDefault="003B1ADE" w:rsidP="00DD2A63">
            <w:pPr>
              <w:spacing w:before="100" w:beforeAutospacing="1" w:after="100" w:afterAutospacing="1"/>
              <w:rPr>
                <w:bCs/>
              </w:rPr>
            </w:pPr>
            <w:r w:rsidRPr="00E971BF">
              <w:rPr>
                <w:bCs/>
              </w:rPr>
              <w:t>neparedz stingrākas prasības</w:t>
            </w:r>
          </w:p>
        </w:tc>
      </w:tr>
      <w:tr w:rsidR="003B1ADE" w:rsidRPr="00E971BF" w:rsidTr="00BF09F2">
        <w:tc>
          <w:tcPr>
            <w:tcW w:w="2034" w:type="pct"/>
            <w:tcBorders>
              <w:top w:val="outset" w:sz="6" w:space="0" w:color="000000"/>
              <w:left w:val="outset" w:sz="6" w:space="0" w:color="000000"/>
              <w:bottom w:val="outset" w:sz="6" w:space="0" w:color="000000"/>
              <w:right w:val="outset" w:sz="6" w:space="0" w:color="000000"/>
            </w:tcBorders>
          </w:tcPr>
          <w:p w:rsidR="003B1ADE" w:rsidRDefault="003B1ADE" w:rsidP="00FE7C7D">
            <w:pPr>
              <w:spacing w:before="100" w:beforeAutospacing="1" w:after="100" w:afterAutospacing="1"/>
            </w:pPr>
            <w:r>
              <w:lastRenderedPageBreak/>
              <w:t>Pielikuma II sadaļa</w:t>
            </w:r>
          </w:p>
        </w:tc>
        <w:tc>
          <w:tcPr>
            <w:tcW w:w="854" w:type="pct"/>
            <w:tcBorders>
              <w:top w:val="outset" w:sz="6" w:space="0" w:color="000000"/>
              <w:left w:val="outset" w:sz="6" w:space="0" w:color="000000"/>
              <w:bottom w:val="outset" w:sz="6" w:space="0" w:color="000000"/>
              <w:right w:val="outset" w:sz="6" w:space="0" w:color="000000"/>
            </w:tcBorders>
          </w:tcPr>
          <w:p w:rsidR="003B1ADE" w:rsidRDefault="003B1ADE" w:rsidP="003B1ADE">
            <w:pPr>
              <w:spacing w:before="100" w:beforeAutospacing="1" w:after="100" w:afterAutospacing="1"/>
            </w:pPr>
            <w:r>
              <w:t>2.pielikuma 478. - 497. punkts</w:t>
            </w:r>
          </w:p>
        </w:tc>
        <w:tc>
          <w:tcPr>
            <w:tcW w:w="932" w:type="pct"/>
            <w:tcBorders>
              <w:top w:val="outset" w:sz="6" w:space="0" w:color="000000"/>
              <w:left w:val="outset" w:sz="6" w:space="0" w:color="000000"/>
              <w:bottom w:val="outset" w:sz="6" w:space="0" w:color="000000"/>
              <w:right w:val="outset" w:sz="6" w:space="0" w:color="000000"/>
            </w:tcBorders>
          </w:tcPr>
          <w:p w:rsidR="003B1ADE" w:rsidRPr="00E971BF" w:rsidRDefault="003B1ADE" w:rsidP="00DD2A63">
            <w:pPr>
              <w:spacing w:before="100" w:beforeAutospacing="1" w:after="100" w:afterAutospacing="1"/>
            </w:pPr>
            <w:r w:rsidRPr="00E971BF">
              <w:t>ieviestas pilnībā</w:t>
            </w:r>
          </w:p>
        </w:tc>
        <w:tc>
          <w:tcPr>
            <w:tcW w:w="1180" w:type="pct"/>
            <w:tcBorders>
              <w:top w:val="outset" w:sz="6" w:space="0" w:color="000000"/>
              <w:left w:val="outset" w:sz="6" w:space="0" w:color="000000"/>
              <w:bottom w:val="outset" w:sz="6" w:space="0" w:color="000000"/>
              <w:right w:val="outset" w:sz="6" w:space="0" w:color="000000"/>
            </w:tcBorders>
          </w:tcPr>
          <w:p w:rsidR="003B1ADE" w:rsidRPr="00E971BF" w:rsidRDefault="003B1ADE" w:rsidP="00DD2A63">
            <w:pPr>
              <w:spacing w:before="100" w:beforeAutospacing="1" w:after="100" w:afterAutospacing="1"/>
              <w:rPr>
                <w:bCs/>
              </w:rPr>
            </w:pPr>
            <w:r w:rsidRPr="00E971BF">
              <w:rPr>
                <w:bCs/>
              </w:rPr>
              <w:t>neparedz stingrākas prasības</w:t>
            </w:r>
          </w:p>
        </w:tc>
      </w:tr>
      <w:tr w:rsidR="00FE7C7D" w:rsidRPr="00E971BF" w:rsidTr="00BF09F2">
        <w:tc>
          <w:tcPr>
            <w:tcW w:w="203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Kā ir izmantota ES tiesību aktā paredzētā rīcības brīvība dalībvalstij pārņemt vai ieviest noteiktas ES tiesību akta normas.</w:t>
            </w:r>
          </w:p>
        </w:tc>
        <w:tc>
          <w:tcPr>
            <w:tcW w:w="2966"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pPr>
            <w:r w:rsidRPr="00E971BF">
              <w:t>Nav attiecināms.</w:t>
            </w:r>
          </w:p>
        </w:tc>
      </w:tr>
      <w:tr w:rsidR="00FE7C7D" w:rsidRPr="00E971BF" w:rsidTr="00BF09F2">
        <w:tc>
          <w:tcPr>
            <w:tcW w:w="203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66"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jc w:val="both"/>
            </w:pPr>
            <w:r w:rsidRPr="00E971BF">
              <w:t>Nav attiecināms.</w:t>
            </w:r>
          </w:p>
        </w:tc>
      </w:tr>
      <w:tr w:rsidR="00FE7C7D" w:rsidRPr="00E971BF" w:rsidTr="00BF09F2">
        <w:tc>
          <w:tcPr>
            <w:tcW w:w="2034"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t>Cita informācija</w:t>
            </w:r>
          </w:p>
        </w:tc>
        <w:tc>
          <w:tcPr>
            <w:tcW w:w="2966"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rPr>
                <w:b/>
              </w:rPr>
            </w:pPr>
            <w:r w:rsidRPr="00E971BF">
              <w:rPr>
                <w:b/>
              </w:rPr>
              <w:t xml:space="preserve"> </w:t>
            </w:r>
          </w:p>
        </w:tc>
      </w:tr>
    </w:tbl>
    <w:p w:rsidR="00FE7C7D" w:rsidRPr="00E971BF" w:rsidRDefault="00FE7C7D" w:rsidP="00FE7C7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49"/>
        <w:gridCol w:w="1844"/>
        <w:gridCol w:w="1841"/>
        <w:gridCol w:w="2297"/>
      </w:tblGrid>
      <w:tr w:rsidR="00FE7C7D" w:rsidRPr="00E971BF" w:rsidTr="00FE7C7D">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rPr>
                <w:b/>
                <w:bCs/>
              </w:rPr>
            </w:pPr>
            <w:r w:rsidRPr="00E971BF">
              <w:rPr>
                <w:b/>
                <w:bCs/>
              </w:rPr>
              <w:t>1.tabula</w:t>
            </w:r>
            <w:r w:rsidRPr="00E971BF">
              <w:rPr>
                <w:b/>
                <w:bCs/>
              </w:rPr>
              <w:br/>
              <w:t>Tiesību akta projekta atbilstība ES tiesību aktiem</w:t>
            </w:r>
          </w:p>
        </w:tc>
      </w:tr>
      <w:tr w:rsidR="00FE7C7D" w:rsidRPr="00E971BF" w:rsidTr="00BF09F2">
        <w:tc>
          <w:tcPr>
            <w:tcW w:w="172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Attiecīgā ES tiesību akta datums, numurs un nosaukums</w:t>
            </w:r>
          </w:p>
        </w:tc>
        <w:tc>
          <w:tcPr>
            <w:tcW w:w="3276" w:type="pct"/>
            <w:gridSpan w:val="3"/>
            <w:tcBorders>
              <w:top w:val="outset" w:sz="6" w:space="0" w:color="000000"/>
              <w:left w:val="outset" w:sz="6" w:space="0" w:color="000000"/>
              <w:bottom w:val="outset" w:sz="6" w:space="0" w:color="000000"/>
              <w:right w:val="outset" w:sz="6" w:space="0" w:color="000000"/>
            </w:tcBorders>
            <w:vAlign w:val="center"/>
          </w:tcPr>
          <w:p w:rsidR="00FE7C7D" w:rsidRPr="00E971BF" w:rsidRDefault="00BF09F2" w:rsidP="00FE7C7D">
            <w:pPr>
              <w:jc w:val="both"/>
            </w:pPr>
            <w:r>
              <w:t xml:space="preserve">9) </w:t>
            </w:r>
            <w:r w:rsidR="00403375" w:rsidRPr="0068126E">
              <w:t xml:space="preserve">Komisijas </w:t>
            </w:r>
            <w:r w:rsidR="00403375" w:rsidRPr="00486602">
              <w:t>1996. gada 2. jūlija Septītā direktīva 96/45/EK</w:t>
            </w:r>
            <w:r w:rsidR="00403375" w:rsidRPr="0068126E">
              <w:t xml:space="preserve"> par dalībvalstu tiesību aktu tuvināšanu attiecībā uz analīzes metodēm, kas vajadzīgas, lai pārbaudītu kosmētikas līdzekļu sastāvu</w:t>
            </w:r>
          </w:p>
        </w:tc>
      </w:tr>
      <w:tr w:rsidR="00FE7C7D" w:rsidRPr="00E971BF" w:rsidTr="00BF09F2">
        <w:tc>
          <w:tcPr>
            <w:tcW w:w="172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A</w:t>
            </w:r>
          </w:p>
        </w:tc>
        <w:tc>
          <w:tcPr>
            <w:tcW w:w="1010"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B</w:t>
            </w:r>
          </w:p>
        </w:tc>
        <w:tc>
          <w:tcPr>
            <w:tcW w:w="1008"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C</w:t>
            </w:r>
          </w:p>
        </w:tc>
        <w:tc>
          <w:tcPr>
            <w:tcW w:w="1258"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jc w:val="center"/>
            </w:pPr>
            <w:r w:rsidRPr="00E971BF">
              <w:t>D</w:t>
            </w:r>
          </w:p>
        </w:tc>
      </w:tr>
      <w:tr w:rsidR="00EB2AAB" w:rsidRPr="00E971BF" w:rsidTr="00BF09F2">
        <w:tc>
          <w:tcPr>
            <w:tcW w:w="1724" w:type="pct"/>
            <w:tcBorders>
              <w:top w:val="outset" w:sz="6" w:space="0" w:color="000000"/>
              <w:left w:val="outset" w:sz="6" w:space="0" w:color="000000"/>
              <w:bottom w:val="outset" w:sz="6" w:space="0" w:color="000000"/>
              <w:right w:val="outset" w:sz="6" w:space="0" w:color="000000"/>
            </w:tcBorders>
            <w:vAlign w:val="center"/>
          </w:tcPr>
          <w:p w:rsidR="00EB2AAB" w:rsidRPr="00E971BF" w:rsidRDefault="00EB2AAB" w:rsidP="00FE7C7D">
            <w:pPr>
              <w:spacing w:before="100" w:beforeAutospacing="1" w:after="100" w:afterAutospacing="1"/>
              <w:jc w:val="both"/>
            </w:pPr>
            <w:r w:rsidRPr="00E971BF">
              <w:t>Attiecīgā ES tiesību akta panta numurs (uzskaitot katru tiesību akta vienību – pantu, daļu, punktu, apakšpunktu)</w:t>
            </w:r>
          </w:p>
        </w:tc>
        <w:tc>
          <w:tcPr>
            <w:tcW w:w="1010" w:type="pct"/>
            <w:tcBorders>
              <w:top w:val="outset" w:sz="6" w:space="0" w:color="000000"/>
              <w:left w:val="outset" w:sz="6" w:space="0" w:color="000000"/>
              <w:bottom w:val="outset" w:sz="6" w:space="0" w:color="000000"/>
              <w:right w:val="outset" w:sz="6" w:space="0" w:color="000000"/>
            </w:tcBorders>
          </w:tcPr>
          <w:p w:rsidR="00EB2AAB" w:rsidRPr="00754E5A" w:rsidRDefault="00EB2AAB" w:rsidP="00CF7D4A">
            <w:pPr>
              <w:pStyle w:val="NoSpacing"/>
            </w:pPr>
            <w:r w:rsidRPr="00754E5A">
              <w:t>Projekta vienība, kas pārņem vai ievieš katru šīs tabulas A ailē minēto ES tiesību akta vienību, vai tiesību akts, kur attiecīgā ES tiesību akta vienība pārņemta vai ieviesta</w:t>
            </w:r>
          </w:p>
        </w:tc>
        <w:tc>
          <w:tcPr>
            <w:tcW w:w="1008" w:type="pct"/>
            <w:tcBorders>
              <w:top w:val="outset" w:sz="6" w:space="0" w:color="000000"/>
              <w:left w:val="outset" w:sz="6" w:space="0" w:color="000000"/>
              <w:bottom w:val="outset" w:sz="6" w:space="0" w:color="000000"/>
              <w:right w:val="outset" w:sz="6" w:space="0" w:color="000000"/>
            </w:tcBorders>
          </w:tcPr>
          <w:p w:rsidR="00EB2AAB" w:rsidRPr="00754E5A" w:rsidRDefault="00EB2AAB" w:rsidP="00CF7D4A">
            <w:pPr>
              <w:pStyle w:val="NoSpacing"/>
            </w:pPr>
            <w:r w:rsidRPr="00754E5A">
              <w:t xml:space="preserve">Informācija par to, vai šīs tabulas A ailē minētās ES tiesību akta vienības tiek pārņemtas vai ieviestas pilnībā vai daļēji. </w:t>
            </w:r>
          </w:p>
          <w:p w:rsidR="00EB2AAB" w:rsidRPr="00754E5A" w:rsidRDefault="00EB2AAB" w:rsidP="00CF7D4A">
            <w:pPr>
              <w:pStyle w:val="NoSpacing"/>
            </w:pPr>
            <w:r w:rsidRPr="00754E5A">
              <w:t>Ja attiecīgā ES tiesību akta vienība tiek pārņemta vai ieviesta daļēji, sniedz attiecīgu skaidrojumu, kā arī precīzi norāda, kad un kādā veidā ES tiesību akta vienība tiks pārņemta vai ieviesta pilnībā.</w:t>
            </w:r>
          </w:p>
          <w:p w:rsidR="00EB2AAB" w:rsidRPr="00754E5A" w:rsidRDefault="00EB2AAB" w:rsidP="00CF7D4A">
            <w:pPr>
              <w:pStyle w:val="NoSpacing"/>
            </w:pPr>
            <w:r w:rsidRPr="00754E5A">
              <w:t xml:space="preserve">Norāda institūciju, kas ir atbildīga par šo saistību izpildi </w:t>
            </w:r>
            <w:r w:rsidRPr="00754E5A">
              <w:lastRenderedPageBreak/>
              <w:t>pilnībā</w:t>
            </w:r>
          </w:p>
        </w:tc>
        <w:tc>
          <w:tcPr>
            <w:tcW w:w="1258" w:type="pct"/>
            <w:tcBorders>
              <w:top w:val="outset" w:sz="6" w:space="0" w:color="000000"/>
              <w:left w:val="outset" w:sz="6" w:space="0" w:color="000000"/>
              <w:bottom w:val="outset" w:sz="6" w:space="0" w:color="000000"/>
              <w:right w:val="outset" w:sz="6" w:space="0" w:color="000000"/>
            </w:tcBorders>
          </w:tcPr>
          <w:p w:rsidR="00EB2AAB" w:rsidRPr="00754E5A" w:rsidRDefault="00EB2AAB" w:rsidP="00CF7D4A">
            <w:pPr>
              <w:pStyle w:val="NoSpacing"/>
            </w:pPr>
            <w:r w:rsidRPr="00754E5A">
              <w:lastRenderedPageBreak/>
              <w:t xml:space="preserve">Informācija par to, vai šīs tabulas B ailē minētās projekta vienības paredz stingrākas prasības nekā šīs tabulas A ailē minētās ES tiesību akta vienības. </w:t>
            </w:r>
          </w:p>
          <w:p w:rsidR="00EB2AAB" w:rsidRPr="00754E5A" w:rsidRDefault="00EB2AAB" w:rsidP="00CF7D4A">
            <w:pPr>
              <w:pStyle w:val="NoSpacing"/>
            </w:pPr>
            <w:r w:rsidRPr="00754E5A">
              <w:t>Ja projekts satur stingrākas prasības nekā attiecīgais ES tiesību akts, norāda pamatojumu un samērīgumu.</w:t>
            </w:r>
          </w:p>
          <w:p w:rsidR="00EB2AAB" w:rsidRPr="00754E5A" w:rsidRDefault="00EB2AAB" w:rsidP="00CF7D4A">
            <w:pPr>
              <w:pStyle w:val="NoSpacing"/>
            </w:pPr>
            <w:r w:rsidRPr="00754E5A">
              <w:t>Norāda iespējamās alternatīvas (t.sk. alternatīvas, kas neparedz tiesiskā regulējuma izstrādi) – kādos gadījumos būtu iespējams izvairīties no stingrāku prasību noteikšanas, nekā paredzēts attiecīgajos ES tiesību aktos</w:t>
            </w:r>
          </w:p>
        </w:tc>
      </w:tr>
      <w:tr w:rsidR="00FE7C7D" w:rsidRPr="00E971BF" w:rsidTr="00BF09F2">
        <w:tc>
          <w:tcPr>
            <w:tcW w:w="1724" w:type="pct"/>
            <w:tcBorders>
              <w:top w:val="outset" w:sz="6" w:space="0" w:color="000000"/>
              <w:left w:val="outset" w:sz="6" w:space="0" w:color="000000"/>
              <w:bottom w:val="outset" w:sz="6" w:space="0" w:color="000000"/>
              <w:right w:val="outset" w:sz="6" w:space="0" w:color="000000"/>
            </w:tcBorders>
          </w:tcPr>
          <w:p w:rsidR="00FE7C7D" w:rsidRPr="00E971BF" w:rsidRDefault="00403375" w:rsidP="0082185E">
            <w:pPr>
              <w:spacing w:before="100" w:beforeAutospacing="1" w:after="100" w:afterAutospacing="1"/>
            </w:pPr>
            <w:r>
              <w:lastRenderedPageBreak/>
              <w:t xml:space="preserve">1. pants </w:t>
            </w:r>
          </w:p>
        </w:tc>
        <w:tc>
          <w:tcPr>
            <w:tcW w:w="1010" w:type="pct"/>
            <w:tcBorders>
              <w:top w:val="outset" w:sz="6" w:space="0" w:color="000000"/>
              <w:left w:val="outset" w:sz="6" w:space="0" w:color="000000"/>
              <w:bottom w:val="outset" w:sz="6" w:space="0" w:color="000000"/>
              <w:right w:val="outset" w:sz="6" w:space="0" w:color="000000"/>
            </w:tcBorders>
          </w:tcPr>
          <w:p w:rsidR="00FE7C7D" w:rsidRPr="00E971BF" w:rsidRDefault="0082185E" w:rsidP="00FE7C7D">
            <w:pPr>
              <w:spacing w:before="100" w:beforeAutospacing="1" w:after="100" w:afterAutospacing="1"/>
              <w:rPr>
                <w:bCs/>
              </w:rPr>
            </w:pPr>
            <w:r>
              <w:t xml:space="preserve">7.punkts un </w:t>
            </w:r>
            <w:r w:rsidR="00403375">
              <w:t>2.pielikuma 498. – 505. punkts</w:t>
            </w:r>
          </w:p>
        </w:tc>
        <w:tc>
          <w:tcPr>
            <w:tcW w:w="1008"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t>ieviestas pilnībā</w:t>
            </w:r>
          </w:p>
        </w:tc>
        <w:tc>
          <w:tcPr>
            <w:tcW w:w="1258"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rPr>
                <w:bCs/>
              </w:rPr>
            </w:pPr>
            <w:r w:rsidRPr="00E971BF">
              <w:rPr>
                <w:bCs/>
              </w:rPr>
              <w:t>neparedz stingrākas prasības</w:t>
            </w:r>
          </w:p>
        </w:tc>
      </w:tr>
      <w:tr w:rsidR="003B1ADE" w:rsidRPr="00E971BF" w:rsidTr="00BF09F2">
        <w:tc>
          <w:tcPr>
            <w:tcW w:w="1724" w:type="pct"/>
            <w:tcBorders>
              <w:top w:val="outset" w:sz="6" w:space="0" w:color="000000"/>
              <w:left w:val="outset" w:sz="6" w:space="0" w:color="000000"/>
              <w:bottom w:val="outset" w:sz="6" w:space="0" w:color="000000"/>
              <w:right w:val="outset" w:sz="6" w:space="0" w:color="000000"/>
            </w:tcBorders>
          </w:tcPr>
          <w:p w:rsidR="003B1ADE" w:rsidRDefault="003B1ADE" w:rsidP="00FE7C7D">
            <w:pPr>
              <w:spacing w:before="100" w:beforeAutospacing="1" w:after="100" w:afterAutospacing="1"/>
            </w:pPr>
            <w:r>
              <w:t>Pielikums</w:t>
            </w:r>
          </w:p>
        </w:tc>
        <w:tc>
          <w:tcPr>
            <w:tcW w:w="1010" w:type="pct"/>
            <w:tcBorders>
              <w:top w:val="outset" w:sz="6" w:space="0" w:color="000000"/>
              <w:left w:val="outset" w:sz="6" w:space="0" w:color="000000"/>
              <w:bottom w:val="outset" w:sz="6" w:space="0" w:color="000000"/>
              <w:right w:val="outset" w:sz="6" w:space="0" w:color="000000"/>
            </w:tcBorders>
          </w:tcPr>
          <w:p w:rsidR="003B1ADE" w:rsidRDefault="003B1ADE" w:rsidP="00FE7C7D">
            <w:pPr>
              <w:spacing w:before="100" w:beforeAutospacing="1" w:after="100" w:afterAutospacing="1"/>
            </w:pPr>
            <w:r>
              <w:t>2.pielikuma 498. – 505. punkts</w:t>
            </w:r>
          </w:p>
        </w:tc>
        <w:tc>
          <w:tcPr>
            <w:tcW w:w="1008" w:type="pct"/>
            <w:tcBorders>
              <w:top w:val="outset" w:sz="6" w:space="0" w:color="000000"/>
              <w:left w:val="outset" w:sz="6" w:space="0" w:color="000000"/>
              <w:bottom w:val="outset" w:sz="6" w:space="0" w:color="000000"/>
              <w:right w:val="outset" w:sz="6" w:space="0" w:color="000000"/>
            </w:tcBorders>
          </w:tcPr>
          <w:p w:rsidR="003B1ADE" w:rsidRPr="00E971BF" w:rsidRDefault="003B1ADE" w:rsidP="00DD2A63">
            <w:pPr>
              <w:spacing w:before="100" w:beforeAutospacing="1" w:after="100" w:afterAutospacing="1"/>
            </w:pPr>
            <w:r w:rsidRPr="00E971BF">
              <w:t>ieviestas pilnībā</w:t>
            </w:r>
          </w:p>
        </w:tc>
        <w:tc>
          <w:tcPr>
            <w:tcW w:w="1258" w:type="pct"/>
            <w:tcBorders>
              <w:top w:val="outset" w:sz="6" w:space="0" w:color="000000"/>
              <w:left w:val="outset" w:sz="6" w:space="0" w:color="000000"/>
              <w:bottom w:val="outset" w:sz="6" w:space="0" w:color="000000"/>
              <w:right w:val="outset" w:sz="6" w:space="0" w:color="000000"/>
            </w:tcBorders>
          </w:tcPr>
          <w:p w:rsidR="003B1ADE" w:rsidRPr="00E971BF" w:rsidRDefault="003B1ADE" w:rsidP="00DD2A63">
            <w:pPr>
              <w:spacing w:before="100" w:beforeAutospacing="1" w:after="100" w:afterAutospacing="1"/>
              <w:rPr>
                <w:bCs/>
              </w:rPr>
            </w:pPr>
            <w:r w:rsidRPr="00E971BF">
              <w:rPr>
                <w:bCs/>
              </w:rPr>
              <w:t>neparedz stingrākas prasības</w:t>
            </w:r>
          </w:p>
        </w:tc>
      </w:tr>
      <w:tr w:rsidR="00FE7C7D" w:rsidRPr="00E971BF" w:rsidTr="00BF09F2">
        <w:tc>
          <w:tcPr>
            <w:tcW w:w="172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Kā ir izmantota ES tiesību aktā paredzētā rīcības brīvība dalībvalstij pārņemt vai ieviest noteiktas ES tiesību akta normas.</w:t>
            </w:r>
          </w:p>
        </w:tc>
        <w:tc>
          <w:tcPr>
            <w:tcW w:w="3276"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pPr>
            <w:r w:rsidRPr="00E971BF">
              <w:t>Nav attiecināms.</w:t>
            </w:r>
          </w:p>
        </w:tc>
      </w:tr>
      <w:tr w:rsidR="00FE7C7D" w:rsidRPr="00E971BF" w:rsidTr="00BF09F2">
        <w:tc>
          <w:tcPr>
            <w:tcW w:w="1724" w:type="pct"/>
            <w:tcBorders>
              <w:top w:val="outset" w:sz="6" w:space="0" w:color="000000"/>
              <w:left w:val="outset" w:sz="6" w:space="0" w:color="000000"/>
              <w:bottom w:val="outset" w:sz="6" w:space="0" w:color="000000"/>
              <w:right w:val="outset" w:sz="6" w:space="0" w:color="000000"/>
            </w:tcBorders>
            <w:vAlign w:val="center"/>
          </w:tcPr>
          <w:p w:rsidR="00FE7C7D" w:rsidRPr="00E971BF" w:rsidRDefault="00FE7C7D" w:rsidP="00FE7C7D">
            <w:pPr>
              <w:spacing w:before="100" w:beforeAutospacing="1" w:after="100" w:afterAutospacing="1"/>
            </w:pPr>
            <w:r w:rsidRPr="00E971B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76"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jc w:val="both"/>
            </w:pPr>
            <w:r w:rsidRPr="00E971BF">
              <w:t>Nav attiecināms.</w:t>
            </w:r>
          </w:p>
        </w:tc>
      </w:tr>
      <w:tr w:rsidR="00FE7C7D" w:rsidRPr="00E971BF" w:rsidTr="00BF09F2">
        <w:tc>
          <w:tcPr>
            <w:tcW w:w="1724" w:type="pct"/>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spacing w:before="100" w:beforeAutospacing="1" w:after="100" w:afterAutospacing="1"/>
            </w:pPr>
            <w:r w:rsidRPr="00E971BF">
              <w:t>Cita informācija</w:t>
            </w:r>
          </w:p>
        </w:tc>
        <w:tc>
          <w:tcPr>
            <w:tcW w:w="3276" w:type="pct"/>
            <w:gridSpan w:val="3"/>
            <w:tcBorders>
              <w:top w:val="outset" w:sz="6" w:space="0" w:color="000000"/>
              <w:left w:val="outset" w:sz="6" w:space="0" w:color="000000"/>
              <w:bottom w:val="outset" w:sz="6" w:space="0" w:color="000000"/>
              <w:right w:val="outset" w:sz="6" w:space="0" w:color="000000"/>
            </w:tcBorders>
          </w:tcPr>
          <w:p w:rsidR="00FE7C7D" w:rsidRPr="00E971BF" w:rsidRDefault="00FE7C7D" w:rsidP="00FE7C7D">
            <w:pPr>
              <w:ind w:left="12" w:right="71"/>
              <w:jc w:val="both"/>
              <w:rPr>
                <w:b/>
              </w:rPr>
            </w:pPr>
            <w:r w:rsidRPr="00E971BF">
              <w:rPr>
                <w:b/>
              </w:rPr>
              <w:t xml:space="preserve"> </w:t>
            </w:r>
          </w:p>
        </w:tc>
      </w:tr>
    </w:tbl>
    <w:p w:rsidR="00FE7C7D" w:rsidRDefault="00FE7C7D" w:rsidP="004407CE">
      <w:pPr>
        <w:jc w:val="both"/>
        <w:rPr>
          <w:color w:val="000000"/>
        </w:rPr>
      </w:pPr>
    </w:p>
    <w:p w:rsidR="002D2E01" w:rsidRPr="00E971BF" w:rsidRDefault="002D2E01" w:rsidP="002D2E01">
      <w:pPr>
        <w:jc w:val="both"/>
        <w:rPr>
          <w:i/>
          <w:color w:val="000000"/>
        </w:rPr>
      </w:pPr>
      <w:r w:rsidRPr="00E971BF">
        <w:rPr>
          <w:i/>
          <w:color w:val="000000"/>
        </w:rPr>
        <w:t>Anotācijas VI sadaļa - nav attiecināms.</w:t>
      </w:r>
    </w:p>
    <w:p w:rsidR="00216DA7" w:rsidRPr="00E971BF" w:rsidRDefault="00216DA7" w:rsidP="00EE7183">
      <w:pPr>
        <w:jc w:val="both"/>
        <w:rPr>
          <w:color w:val="000000"/>
        </w:rPr>
      </w:pPr>
    </w:p>
    <w:tbl>
      <w:tblPr>
        <w:tblpPr w:leftFromText="180" w:rightFromText="180" w:vertAnchor="text" w:horzAnchor="margin" w:tblpX="108" w:tblpY="113"/>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96"/>
        <w:gridCol w:w="4107"/>
        <w:gridCol w:w="4676"/>
      </w:tblGrid>
      <w:tr w:rsidR="00703DB7" w:rsidRPr="00E971BF" w:rsidTr="00B04F44">
        <w:tc>
          <w:tcPr>
            <w:tcW w:w="5000" w:type="pct"/>
            <w:gridSpan w:val="3"/>
          </w:tcPr>
          <w:p w:rsidR="00703DB7" w:rsidRPr="00E971BF" w:rsidRDefault="00703DB7" w:rsidP="00B04F44">
            <w:pPr>
              <w:spacing w:before="100" w:beforeAutospacing="1" w:after="100" w:afterAutospacing="1"/>
              <w:jc w:val="center"/>
              <w:rPr>
                <w:b/>
                <w:bCs/>
                <w:color w:val="000000"/>
              </w:rPr>
            </w:pPr>
            <w:r w:rsidRPr="00E971BF">
              <w:rPr>
                <w:b/>
                <w:bCs/>
                <w:color w:val="000000"/>
              </w:rPr>
              <w:t>VII. Tiesību akta projekta izpildes nodrošināšana un tās ietekme uz institūcijām</w:t>
            </w:r>
          </w:p>
        </w:tc>
      </w:tr>
      <w:tr w:rsidR="00703DB7" w:rsidRPr="00E971BF" w:rsidTr="00BF09F2">
        <w:tc>
          <w:tcPr>
            <w:tcW w:w="216" w:type="pct"/>
          </w:tcPr>
          <w:p w:rsidR="00703DB7" w:rsidRPr="00E971BF" w:rsidRDefault="00703DB7" w:rsidP="00B04F44">
            <w:pPr>
              <w:spacing w:before="100" w:beforeAutospacing="1" w:after="100" w:afterAutospacing="1"/>
              <w:rPr>
                <w:color w:val="000000"/>
              </w:rPr>
            </w:pPr>
            <w:r w:rsidRPr="00E971BF">
              <w:rPr>
                <w:color w:val="000000"/>
              </w:rPr>
              <w:t>1.</w:t>
            </w:r>
          </w:p>
        </w:tc>
        <w:tc>
          <w:tcPr>
            <w:tcW w:w="2237" w:type="pct"/>
          </w:tcPr>
          <w:p w:rsidR="00703DB7" w:rsidRPr="00E971BF" w:rsidRDefault="00703DB7" w:rsidP="00B04F44">
            <w:pPr>
              <w:spacing w:before="100" w:beforeAutospacing="1" w:after="100" w:afterAutospacing="1"/>
              <w:rPr>
                <w:color w:val="000000"/>
              </w:rPr>
            </w:pPr>
            <w:r w:rsidRPr="00E971BF">
              <w:rPr>
                <w:color w:val="000000"/>
              </w:rPr>
              <w:t>Projekta izpildē iesaistītās institūcijas</w:t>
            </w:r>
          </w:p>
        </w:tc>
        <w:tc>
          <w:tcPr>
            <w:tcW w:w="2547" w:type="pct"/>
          </w:tcPr>
          <w:p w:rsidR="00BF09F2" w:rsidRPr="00E971BF" w:rsidRDefault="00BF09F2" w:rsidP="00B04F44">
            <w:pPr>
              <w:spacing w:before="100" w:beforeAutospacing="1" w:after="100" w:afterAutospacing="1"/>
              <w:rPr>
                <w:color w:val="000000"/>
              </w:rPr>
            </w:pPr>
            <w:r>
              <w:rPr>
                <w:color w:val="000000"/>
              </w:rPr>
              <w:t xml:space="preserve">Veselības inspekcija, </w:t>
            </w:r>
            <w:r w:rsidRPr="00797595">
              <w:rPr>
                <w:rFonts w:eastAsia="Calibri"/>
                <w:bCs/>
              </w:rPr>
              <w:t>SIA „Rīgas Austrumu klīniskā universitātes slimnīca” Toksikoloģijas un sepses klīnikas Saindēšanās informācijas centrs</w:t>
            </w:r>
            <w:r>
              <w:rPr>
                <w:color w:val="000000"/>
              </w:rPr>
              <w:t xml:space="preserve"> </w:t>
            </w:r>
          </w:p>
        </w:tc>
      </w:tr>
      <w:tr w:rsidR="00703DB7" w:rsidRPr="00E971BF" w:rsidTr="00BF09F2">
        <w:tc>
          <w:tcPr>
            <w:tcW w:w="216" w:type="pct"/>
          </w:tcPr>
          <w:p w:rsidR="00703DB7" w:rsidRPr="00E971BF" w:rsidRDefault="00703DB7" w:rsidP="00B04F44">
            <w:pPr>
              <w:spacing w:before="100" w:beforeAutospacing="1" w:after="100" w:afterAutospacing="1"/>
              <w:rPr>
                <w:color w:val="000000"/>
              </w:rPr>
            </w:pPr>
            <w:r w:rsidRPr="00E971BF">
              <w:rPr>
                <w:color w:val="000000"/>
              </w:rPr>
              <w:t>2.</w:t>
            </w:r>
          </w:p>
        </w:tc>
        <w:tc>
          <w:tcPr>
            <w:tcW w:w="2237" w:type="pct"/>
          </w:tcPr>
          <w:p w:rsidR="00703DB7" w:rsidRPr="00E971BF" w:rsidRDefault="00703DB7" w:rsidP="00B04F44">
            <w:pPr>
              <w:spacing w:before="100" w:beforeAutospacing="1" w:after="100" w:afterAutospacing="1"/>
              <w:rPr>
                <w:color w:val="000000"/>
              </w:rPr>
            </w:pPr>
            <w:r w:rsidRPr="00E971BF">
              <w:rPr>
                <w:color w:val="000000"/>
              </w:rPr>
              <w:t>Projekta izpildes ietekme uz pārvaldes funkcijām</w:t>
            </w:r>
          </w:p>
        </w:tc>
        <w:tc>
          <w:tcPr>
            <w:tcW w:w="2547" w:type="pct"/>
          </w:tcPr>
          <w:p w:rsidR="00703DB7" w:rsidRPr="00E971BF" w:rsidRDefault="00703DB7" w:rsidP="00B04F44">
            <w:pPr>
              <w:spacing w:before="100" w:beforeAutospacing="1" w:after="100" w:afterAutospacing="1"/>
              <w:rPr>
                <w:color w:val="000000"/>
              </w:rPr>
            </w:pPr>
            <w:bookmarkStart w:id="2" w:name="OLE_LINK1"/>
            <w:bookmarkStart w:id="3" w:name="OLE_LINK2"/>
            <w:r w:rsidRPr="00E971BF">
              <w:rPr>
                <w:color w:val="000000"/>
              </w:rPr>
              <w:t>Nav attiecināms</w:t>
            </w:r>
            <w:bookmarkEnd w:id="2"/>
            <w:bookmarkEnd w:id="3"/>
            <w:r w:rsidR="00F417BE" w:rsidRPr="00E971BF">
              <w:rPr>
                <w:color w:val="000000"/>
              </w:rPr>
              <w:t>.</w:t>
            </w:r>
          </w:p>
        </w:tc>
      </w:tr>
      <w:tr w:rsidR="00703DB7" w:rsidRPr="00E971BF" w:rsidTr="00BF09F2">
        <w:tc>
          <w:tcPr>
            <w:tcW w:w="216" w:type="pct"/>
          </w:tcPr>
          <w:p w:rsidR="00703DB7" w:rsidRPr="00E971BF" w:rsidRDefault="00703DB7" w:rsidP="00B04F44">
            <w:pPr>
              <w:spacing w:before="100" w:beforeAutospacing="1" w:after="100" w:afterAutospacing="1"/>
              <w:rPr>
                <w:color w:val="000000"/>
              </w:rPr>
            </w:pPr>
            <w:r w:rsidRPr="00E971BF">
              <w:rPr>
                <w:color w:val="000000"/>
              </w:rPr>
              <w:t>3.</w:t>
            </w:r>
          </w:p>
        </w:tc>
        <w:tc>
          <w:tcPr>
            <w:tcW w:w="2237" w:type="pct"/>
          </w:tcPr>
          <w:p w:rsidR="00703DB7" w:rsidRPr="00E971BF" w:rsidRDefault="00703DB7" w:rsidP="00B04F44">
            <w:pPr>
              <w:spacing w:before="100" w:beforeAutospacing="1" w:after="100" w:afterAutospacing="1"/>
              <w:rPr>
                <w:color w:val="000000"/>
              </w:rPr>
            </w:pPr>
            <w:r w:rsidRPr="00E971BF">
              <w:rPr>
                <w:color w:val="000000"/>
              </w:rPr>
              <w:t>Projekta izpildes ietekme uz pārvaldes institucionālo struktūru.</w:t>
            </w:r>
          </w:p>
          <w:p w:rsidR="00703DB7" w:rsidRPr="00E971BF" w:rsidRDefault="00703DB7" w:rsidP="00B04F44">
            <w:pPr>
              <w:spacing w:before="100" w:beforeAutospacing="1" w:after="100" w:afterAutospacing="1"/>
              <w:rPr>
                <w:color w:val="000000"/>
              </w:rPr>
            </w:pPr>
            <w:r w:rsidRPr="00E971BF">
              <w:rPr>
                <w:color w:val="000000"/>
              </w:rPr>
              <w:t>Jaunu institūciju izveide</w:t>
            </w:r>
          </w:p>
        </w:tc>
        <w:tc>
          <w:tcPr>
            <w:tcW w:w="2547" w:type="pct"/>
          </w:tcPr>
          <w:p w:rsidR="00703DB7" w:rsidRPr="00E971BF" w:rsidRDefault="005015C5" w:rsidP="00B04F44">
            <w:pPr>
              <w:spacing w:before="100" w:beforeAutospacing="1" w:after="100" w:afterAutospacing="1"/>
              <w:rPr>
                <w:color w:val="000000"/>
              </w:rPr>
            </w:pPr>
            <w:r w:rsidRPr="00E971BF">
              <w:rPr>
                <w:color w:val="000000"/>
              </w:rPr>
              <w:t>Nav attiecināms.</w:t>
            </w:r>
          </w:p>
        </w:tc>
      </w:tr>
      <w:tr w:rsidR="00703DB7" w:rsidRPr="00E971BF" w:rsidTr="00BF09F2">
        <w:tc>
          <w:tcPr>
            <w:tcW w:w="216" w:type="pct"/>
          </w:tcPr>
          <w:p w:rsidR="00703DB7" w:rsidRPr="00E971BF" w:rsidRDefault="00703DB7" w:rsidP="00B04F44">
            <w:pPr>
              <w:spacing w:before="100" w:beforeAutospacing="1" w:after="100" w:afterAutospacing="1"/>
              <w:rPr>
                <w:color w:val="000000"/>
              </w:rPr>
            </w:pPr>
            <w:r w:rsidRPr="00E971BF">
              <w:rPr>
                <w:color w:val="000000"/>
              </w:rPr>
              <w:t>4.</w:t>
            </w:r>
          </w:p>
        </w:tc>
        <w:tc>
          <w:tcPr>
            <w:tcW w:w="2237" w:type="pct"/>
          </w:tcPr>
          <w:p w:rsidR="00703DB7" w:rsidRPr="00E971BF" w:rsidRDefault="00703DB7" w:rsidP="00B04F44">
            <w:pPr>
              <w:spacing w:before="100" w:beforeAutospacing="1" w:after="100" w:afterAutospacing="1"/>
              <w:rPr>
                <w:color w:val="000000"/>
              </w:rPr>
            </w:pPr>
            <w:r w:rsidRPr="00E971BF">
              <w:rPr>
                <w:color w:val="000000"/>
              </w:rPr>
              <w:t>Projekta izpildes ietekme uz pārvaldes institucionālo struktūru.</w:t>
            </w:r>
          </w:p>
          <w:p w:rsidR="00703DB7" w:rsidRPr="00E971BF" w:rsidRDefault="00703DB7" w:rsidP="00B04F44">
            <w:pPr>
              <w:spacing w:before="100" w:beforeAutospacing="1" w:after="100" w:afterAutospacing="1"/>
              <w:rPr>
                <w:color w:val="000000"/>
              </w:rPr>
            </w:pPr>
            <w:r w:rsidRPr="00E971BF">
              <w:rPr>
                <w:color w:val="000000"/>
              </w:rPr>
              <w:t>Esošu institūciju likvidācija</w:t>
            </w:r>
          </w:p>
        </w:tc>
        <w:tc>
          <w:tcPr>
            <w:tcW w:w="2547" w:type="pct"/>
          </w:tcPr>
          <w:p w:rsidR="00703DB7" w:rsidRPr="00E971BF" w:rsidRDefault="00703DB7" w:rsidP="00B04F44">
            <w:pPr>
              <w:spacing w:before="100" w:beforeAutospacing="1" w:after="100" w:afterAutospacing="1"/>
              <w:rPr>
                <w:color w:val="000000"/>
              </w:rPr>
            </w:pPr>
            <w:r w:rsidRPr="00E971BF">
              <w:rPr>
                <w:color w:val="000000"/>
              </w:rPr>
              <w:t>Nav attiecināms</w:t>
            </w:r>
            <w:r w:rsidR="004407CE" w:rsidRPr="00E971BF">
              <w:rPr>
                <w:color w:val="000000"/>
              </w:rPr>
              <w:t>.</w:t>
            </w:r>
          </w:p>
        </w:tc>
      </w:tr>
      <w:tr w:rsidR="00703DB7" w:rsidRPr="00E971BF" w:rsidTr="00BF09F2">
        <w:tc>
          <w:tcPr>
            <w:tcW w:w="216" w:type="pct"/>
          </w:tcPr>
          <w:p w:rsidR="00703DB7" w:rsidRPr="00E971BF" w:rsidRDefault="00703DB7" w:rsidP="00B04F44">
            <w:pPr>
              <w:spacing w:before="100" w:beforeAutospacing="1" w:after="100" w:afterAutospacing="1"/>
              <w:rPr>
                <w:color w:val="000000"/>
              </w:rPr>
            </w:pPr>
            <w:r w:rsidRPr="00E971BF">
              <w:rPr>
                <w:color w:val="000000"/>
              </w:rPr>
              <w:t>5.</w:t>
            </w:r>
          </w:p>
        </w:tc>
        <w:tc>
          <w:tcPr>
            <w:tcW w:w="2237" w:type="pct"/>
          </w:tcPr>
          <w:p w:rsidR="00703DB7" w:rsidRPr="00E971BF" w:rsidRDefault="00703DB7" w:rsidP="00B04F44">
            <w:pPr>
              <w:spacing w:before="100" w:beforeAutospacing="1" w:after="100" w:afterAutospacing="1"/>
              <w:rPr>
                <w:color w:val="000000"/>
              </w:rPr>
            </w:pPr>
            <w:r w:rsidRPr="00E971BF">
              <w:rPr>
                <w:color w:val="000000"/>
              </w:rPr>
              <w:t>Projekta izpildes ietekme uz pārvaldes institucionālo struktūru.</w:t>
            </w:r>
          </w:p>
          <w:p w:rsidR="00703DB7" w:rsidRPr="00E971BF" w:rsidRDefault="00703DB7" w:rsidP="00B04F44">
            <w:pPr>
              <w:spacing w:before="100" w:beforeAutospacing="1" w:after="100" w:afterAutospacing="1"/>
              <w:rPr>
                <w:color w:val="000000"/>
              </w:rPr>
            </w:pPr>
            <w:r w:rsidRPr="00E971BF">
              <w:rPr>
                <w:color w:val="000000"/>
              </w:rPr>
              <w:t>Esošu institūciju reorganizācija</w:t>
            </w:r>
          </w:p>
        </w:tc>
        <w:tc>
          <w:tcPr>
            <w:tcW w:w="2547" w:type="pct"/>
          </w:tcPr>
          <w:p w:rsidR="00703DB7" w:rsidRPr="00E971BF" w:rsidRDefault="00F417BE" w:rsidP="00B04F44">
            <w:pPr>
              <w:spacing w:before="100" w:beforeAutospacing="1" w:after="100" w:afterAutospacing="1"/>
              <w:rPr>
                <w:color w:val="000000"/>
              </w:rPr>
            </w:pPr>
            <w:r w:rsidRPr="00E971BF">
              <w:rPr>
                <w:color w:val="000000"/>
              </w:rPr>
              <w:t>Nav attiecināms.</w:t>
            </w:r>
          </w:p>
        </w:tc>
      </w:tr>
      <w:tr w:rsidR="00703DB7" w:rsidRPr="00E971BF" w:rsidTr="00BF09F2">
        <w:tc>
          <w:tcPr>
            <w:tcW w:w="216" w:type="pct"/>
          </w:tcPr>
          <w:p w:rsidR="00703DB7" w:rsidRPr="00E971BF" w:rsidRDefault="00703DB7" w:rsidP="00B04F44">
            <w:pPr>
              <w:spacing w:before="100" w:beforeAutospacing="1" w:after="100" w:afterAutospacing="1"/>
              <w:jc w:val="both"/>
              <w:rPr>
                <w:color w:val="000000"/>
              </w:rPr>
            </w:pPr>
            <w:r w:rsidRPr="00E971BF">
              <w:rPr>
                <w:color w:val="000000"/>
              </w:rPr>
              <w:t>6.</w:t>
            </w:r>
          </w:p>
        </w:tc>
        <w:tc>
          <w:tcPr>
            <w:tcW w:w="2237" w:type="pct"/>
          </w:tcPr>
          <w:p w:rsidR="00703DB7" w:rsidRPr="00E971BF" w:rsidRDefault="00703DB7" w:rsidP="00B04F44">
            <w:pPr>
              <w:spacing w:before="100" w:beforeAutospacing="1" w:after="100" w:afterAutospacing="1"/>
              <w:jc w:val="both"/>
              <w:rPr>
                <w:color w:val="000000"/>
              </w:rPr>
            </w:pPr>
            <w:r w:rsidRPr="00E971BF">
              <w:rPr>
                <w:color w:val="000000"/>
              </w:rPr>
              <w:t>Cita informācija</w:t>
            </w:r>
          </w:p>
        </w:tc>
        <w:tc>
          <w:tcPr>
            <w:tcW w:w="2547" w:type="pct"/>
          </w:tcPr>
          <w:p w:rsidR="00703DB7" w:rsidRPr="00E971BF" w:rsidRDefault="00703DB7" w:rsidP="00B04F44">
            <w:pPr>
              <w:spacing w:before="100" w:beforeAutospacing="1" w:after="100" w:afterAutospacing="1"/>
              <w:jc w:val="both"/>
              <w:rPr>
                <w:color w:val="000000"/>
              </w:rPr>
            </w:pPr>
            <w:r w:rsidRPr="00E971BF">
              <w:rPr>
                <w:color w:val="000000"/>
              </w:rPr>
              <w:t>Nav</w:t>
            </w:r>
          </w:p>
        </w:tc>
      </w:tr>
    </w:tbl>
    <w:p w:rsidR="002530FE" w:rsidRDefault="002D3157" w:rsidP="00281D17">
      <w:pPr>
        <w:jc w:val="both"/>
      </w:pPr>
      <w:r w:rsidRPr="002D3157">
        <w:t> </w:t>
      </w:r>
    </w:p>
    <w:p w:rsidR="00492C5D" w:rsidRDefault="00492C5D" w:rsidP="00281D17">
      <w:pPr>
        <w:jc w:val="both"/>
        <w:rPr>
          <w:sz w:val="28"/>
          <w:szCs w:val="28"/>
        </w:rPr>
      </w:pPr>
    </w:p>
    <w:p w:rsidR="00E971BF" w:rsidRPr="006D137C" w:rsidRDefault="00E971BF" w:rsidP="00E971BF">
      <w:pPr>
        <w:rPr>
          <w:sz w:val="28"/>
          <w:szCs w:val="28"/>
        </w:rPr>
      </w:pPr>
      <w:r>
        <w:rPr>
          <w:sz w:val="28"/>
          <w:szCs w:val="28"/>
        </w:rPr>
        <w:t>Veselības ministre</w:t>
      </w:r>
      <w:r w:rsidRPr="006D137C">
        <w:rPr>
          <w:sz w:val="28"/>
          <w:szCs w:val="28"/>
        </w:rPr>
        <w:tab/>
      </w:r>
      <w:r w:rsidRPr="006D137C">
        <w:rPr>
          <w:sz w:val="28"/>
          <w:szCs w:val="28"/>
        </w:rPr>
        <w:tab/>
      </w:r>
      <w:r w:rsidRPr="006D137C">
        <w:rPr>
          <w:sz w:val="28"/>
          <w:szCs w:val="28"/>
        </w:rPr>
        <w:tab/>
      </w:r>
      <w:r w:rsidRPr="006D137C">
        <w:rPr>
          <w:sz w:val="28"/>
          <w:szCs w:val="28"/>
        </w:rPr>
        <w:tab/>
      </w:r>
      <w:r w:rsidRPr="006D137C">
        <w:rPr>
          <w:sz w:val="28"/>
          <w:szCs w:val="28"/>
        </w:rPr>
        <w:tab/>
      </w:r>
      <w:r w:rsidRPr="006D137C">
        <w:rPr>
          <w:sz w:val="28"/>
          <w:szCs w:val="28"/>
        </w:rPr>
        <w:tab/>
      </w:r>
      <w:r>
        <w:rPr>
          <w:sz w:val="28"/>
          <w:szCs w:val="28"/>
        </w:rPr>
        <w:t xml:space="preserve">                                I.Circene</w:t>
      </w:r>
    </w:p>
    <w:p w:rsidR="00E971BF" w:rsidRPr="006D137C" w:rsidRDefault="00E971BF" w:rsidP="00E971BF">
      <w:pPr>
        <w:pStyle w:val="NoSpacing"/>
      </w:pPr>
    </w:p>
    <w:p w:rsidR="00E971BF" w:rsidRDefault="00E971BF" w:rsidP="00E971BF">
      <w:pPr>
        <w:pStyle w:val="Header"/>
        <w:jc w:val="both"/>
        <w:rPr>
          <w:noProof/>
        </w:rPr>
      </w:pPr>
    </w:p>
    <w:p w:rsidR="00E971BF" w:rsidRDefault="00E971BF" w:rsidP="00E971BF">
      <w:pPr>
        <w:pStyle w:val="Header"/>
        <w:jc w:val="both"/>
        <w:rPr>
          <w:noProof/>
        </w:rPr>
      </w:pPr>
    </w:p>
    <w:p w:rsidR="00E971BF" w:rsidRDefault="00E971BF" w:rsidP="00E971BF">
      <w:pPr>
        <w:pStyle w:val="Header"/>
        <w:jc w:val="both"/>
        <w:rPr>
          <w:noProof/>
        </w:rPr>
      </w:pPr>
    </w:p>
    <w:p w:rsidR="00E971BF" w:rsidRDefault="00E971BF" w:rsidP="00E971BF">
      <w:pPr>
        <w:pStyle w:val="Header"/>
        <w:jc w:val="both"/>
        <w:rPr>
          <w:noProof/>
        </w:rPr>
      </w:pPr>
    </w:p>
    <w:p w:rsidR="00E971BF" w:rsidRPr="006D137C" w:rsidRDefault="008318B5" w:rsidP="00E971BF">
      <w:pPr>
        <w:pStyle w:val="Header"/>
        <w:jc w:val="both"/>
        <w:rPr>
          <w:noProof/>
        </w:rPr>
      </w:pPr>
      <w:r>
        <w:rPr>
          <w:noProof/>
        </w:rPr>
        <w:t>23</w:t>
      </w:r>
      <w:r w:rsidR="002C14C2">
        <w:rPr>
          <w:noProof/>
        </w:rPr>
        <w:t>.04</w:t>
      </w:r>
      <w:r w:rsidR="00910DF9">
        <w:rPr>
          <w:noProof/>
        </w:rPr>
        <w:t>.2013.</w:t>
      </w:r>
      <w:r w:rsidR="00E971BF" w:rsidRPr="0038503F">
        <w:rPr>
          <w:noProof/>
        </w:rPr>
        <w:t xml:space="preserve"> </w:t>
      </w:r>
      <w:r>
        <w:rPr>
          <w:noProof/>
        </w:rPr>
        <w:t>15:04</w:t>
      </w:r>
    </w:p>
    <w:p w:rsidR="00E971BF" w:rsidRPr="00F65799" w:rsidRDefault="00EF4947" w:rsidP="00E971BF">
      <w:pPr>
        <w:jc w:val="both"/>
        <w:rPr>
          <w:sz w:val="20"/>
          <w:szCs w:val="20"/>
          <w:lang w:val="it-IT"/>
        </w:rPr>
      </w:pPr>
      <w:r>
        <w:rPr>
          <w:sz w:val="20"/>
          <w:szCs w:val="20"/>
          <w:lang w:val="it-IT"/>
        </w:rPr>
        <w:t>5</w:t>
      </w:r>
      <w:r w:rsidR="00345A73">
        <w:rPr>
          <w:sz w:val="20"/>
          <w:szCs w:val="20"/>
          <w:lang w:val="it-IT"/>
        </w:rPr>
        <w:t>707</w:t>
      </w:r>
    </w:p>
    <w:p w:rsidR="00E971BF" w:rsidRPr="00F65799" w:rsidRDefault="00E971BF" w:rsidP="00E971BF">
      <w:pPr>
        <w:jc w:val="both"/>
        <w:rPr>
          <w:sz w:val="20"/>
          <w:szCs w:val="20"/>
          <w:lang w:val="it-IT"/>
        </w:rPr>
      </w:pPr>
      <w:r w:rsidRPr="00F65799">
        <w:rPr>
          <w:sz w:val="20"/>
          <w:szCs w:val="20"/>
          <w:lang w:val="it-IT"/>
        </w:rPr>
        <w:t xml:space="preserve">A.Segliņa </w:t>
      </w:r>
    </w:p>
    <w:p w:rsidR="00E971BF" w:rsidRPr="00F65799" w:rsidRDefault="00E971BF" w:rsidP="00E971BF">
      <w:pPr>
        <w:jc w:val="both"/>
        <w:rPr>
          <w:sz w:val="20"/>
          <w:szCs w:val="20"/>
          <w:lang w:val="it-IT"/>
        </w:rPr>
      </w:pPr>
      <w:r w:rsidRPr="00F65799">
        <w:rPr>
          <w:sz w:val="20"/>
          <w:szCs w:val="20"/>
          <w:lang w:val="it-IT"/>
        </w:rPr>
        <w:t xml:space="preserve">67876102, </w:t>
      </w:r>
      <w:hyperlink r:id="rId13" w:history="1">
        <w:r w:rsidRPr="00F65799">
          <w:rPr>
            <w:rStyle w:val="Hyperlink"/>
            <w:sz w:val="20"/>
            <w:szCs w:val="20"/>
            <w:lang w:val="it-IT"/>
          </w:rPr>
          <w:t>anita.seglina@vm.gov.lv</w:t>
        </w:r>
      </w:hyperlink>
    </w:p>
    <w:p w:rsidR="00E971BF" w:rsidRDefault="00E971BF" w:rsidP="00E971BF">
      <w:pPr>
        <w:pStyle w:val="NoSpacing"/>
      </w:pPr>
    </w:p>
    <w:p w:rsidR="002E3E1C" w:rsidRDefault="002E3E1C" w:rsidP="00E971BF">
      <w:pPr>
        <w:pStyle w:val="naisf"/>
        <w:spacing w:before="0" w:after="0"/>
        <w:ind w:firstLine="720"/>
      </w:pPr>
    </w:p>
    <w:sectPr w:rsidR="002E3E1C" w:rsidSect="00D8707A">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D3" w:rsidRDefault="008221D3">
      <w:r>
        <w:separator/>
      </w:r>
    </w:p>
  </w:endnote>
  <w:endnote w:type="continuationSeparator" w:id="0">
    <w:p w:rsidR="008221D3" w:rsidRDefault="00822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D3" w:rsidRPr="004C26CA" w:rsidRDefault="008221D3" w:rsidP="004C26CA">
    <w:pPr>
      <w:jc w:val="both"/>
      <w:rPr>
        <w:sz w:val="20"/>
        <w:szCs w:val="20"/>
      </w:rPr>
    </w:pPr>
    <w:r w:rsidRPr="00D10995">
      <w:rPr>
        <w:sz w:val="20"/>
        <w:szCs w:val="20"/>
      </w:rPr>
      <w:t>VMAnot_</w:t>
    </w:r>
    <w:r w:rsidR="008318B5">
      <w:rPr>
        <w:sz w:val="20"/>
        <w:szCs w:val="20"/>
      </w:rPr>
      <w:t>23</w:t>
    </w:r>
    <w:r>
      <w:rPr>
        <w:sz w:val="20"/>
        <w:szCs w:val="20"/>
      </w:rPr>
      <w:t>0413_kosm;</w:t>
    </w:r>
    <w:r w:rsidRPr="00D10995">
      <w:rPr>
        <w:sz w:val="20"/>
        <w:szCs w:val="20"/>
      </w:rPr>
      <w:t xml:space="preserve"> Ministru kabineta noteikumu projekt</w:t>
    </w:r>
    <w:r>
      <w:rPr>
        <w:sz w:val="20"/>
        <w:szCs w:val="20"/>
      </w:rPr>
      <w:t>a</w:t>
    </w:r>
    <w:r w:rsidRPr="00D10995">
      <w:rPr>
        <w:sz w:val="20"/>
        <w:szCs w:val="20"/>
      </w:rPr>
      <w:t xml:space="preserve"> </w:t>
    </w:r>
    <w:r w:rsidRPr="00D10995">
      <w:rPr>
        <w:b/>
        <w:sz w:val="20"/>
        <w:szCs w:val="20"/>
      </w:rPr>
      <w:t>„</w:t>
    </w:r>
    <w:r w:rsidRPr="00D10995">
      <w:rPr>
        <w:noProof/>
        <w:sz w:val="20"/>
        <w:szCs w:val="20"/>
      </w:rPr>
      <w:t>Noteikumi par kosmētikas līdzekļu būtisko prasību ievērošanas uzraudzību”</w:t>
    </w:r>
    <w:r>
      <w:rPr>
        <w:noProof/>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D3" w:rsidRPr="00D10995" w:rsidRDefault="008221D3" w:rsidP="003F45CF">
    <w:pPr>
      <w:jc w:val="both"/>
      <w:rPr>
        <w:sz w:val="20"/>
        <w:szCs w:val="20"/>
      </w:rPr>
    </w:pPr>
    <w:r w:rsidRPr="00D10995">
      <w:rPr>
        <w:sz w:val="20"/>
        <w:szCs w:val="20"/>
      </w:rPr>
      <w:t>VMAnot_</w:t>
    </w:r>
    <w:r>
      <w:rPr>
        <w:sz w:val="20"/>
        <w:szCs w:val="20"/>
      </w:rPr>
      <w:t>230413_kosm;</w:t>
    </w:r>
    <w:r w:rsidRPr="00D10995">
      <w:rPr>
        <w:sz w:val="20"/>
        <w:szCs w:val="20"/>
      </w:rPr>
      <w:t xml:space="preserve"> Ministru kabineta noteikumu projekt</w:t>
    </w:r>
    <w:r>
      <w:rPr>
        <w:sz w:val="20"/>
        <w:szCs w:val="20"/>
      </w:rPr>
      <w:t>a</w:t>
    </w:r>
    <w:r w:rsidRPr="00D10995">
      <w:rPr>
        <w:sz w:val="20"/>
        <w:szCs w:val="20"/>
      </w:rPr>
      <w:t xml:space="preserve"> </w:t>
    </w:r>
    <w:r w:rsidRPr="00D10995">
      <w:rPr>
        <w:b/>
        <w:sz w:val="20"/>
        <w:szCs w:val="20"/>
      </w:rPr>
      <w:t>„</w:t>
    </w:r>
    <w:r w:rsidRPr="00D10995">
      <w:rPr>
        <w:noProof/>
        <w:sz w:val="20"/>
        <w:szCs w:val="20"/>
      </w:rPr>
      <w:t>Noteikumi par kosmētikas līdzekļu būtisko prasību ievērošanas uzraudzību”</w:t>
    </w:r>
    <w:r>
      <w:rPr>
        <w:noProof/>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D3" w:rsidRDefault="008221D3">
      <w:r>
        <w:separator/>
      </w:r>
    </w:p>
  </w:footnote>
  <w:footnote w:type="continuationSeparator" w:id="0">
    <w:p w:rsidR="008221D3" w:rsidRDefault="00822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D3" w:rsidRDefault="008221D3" w:rsidP="007106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1D3" w:rsidRDefault="008221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D3" w:rsidRDefault="008221D3" w:rsidP="007106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8B5">
      <w:rPr>
        <w:rStyle w:val="PageNumber"/>
        <w:noProof/>
      </w:rPr>
      <w:t>21</w:t>
    </w:r>
    <w:r>
      <w:rPr>
        <w:rStyle w:val="PageNumber"/>
      </w:rPr>
      <w:fldChar w:fldCharType="end"/>
    </w:r>
  </w:p>
  <w:p w:rsidR="008221D3" w:rsidRDefault="008221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871"/>
    <w:multiLevelType w:val="hybridMultilevel"/>
    <w:tmpl w:val="9E58429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944239"/>
    <w:multiLevelType w:val="hybridMultilevel"/>
    <w:tmpl w:val="2E3AD5E8"/>
    <w:lvl w:ilvl="0" w:tplc="F0B4D6F0">
      <w:start w:val="1"/>
      <w:numFmt w:val="decimal"/>
      <w:lvlText w:val="%1."/>
      <w:lvlJc w:val="left"/>
      <w:pPr>
        <w:ind w:left="286" w:hanging="360"/>
      </w:pPr>
      <w:rPr>
        <w:rFonts w:hint="default"/>
      </w:rPr>
    </w:lvl>
    <w:lvl w:ilvl="1" w:tplc="04260019" w:tentative="1">
      <w:start w:val="1"/>
      <w:numFmt w:val="lowerLetter"/>
      <w:lvlText w:val="%2."/>
      <w:lvlJc w:val="left"/>
      <w:pPr>
        <w:ind w:left="1006" w:hanging="360"/>
      </w:pPr>
    </w:lvl>
    <w:lvl w:ilvl="2" w:tplc="0426001B" w:tentative="1">
      <w:start w:val="1"/>
      <w:numFmt w:val="lowerRoman"/>
      <w:lvlText w:val="%3."/>
      <w:lvlJc w:val="right"/>
      <w:pPr>
        <w:ind w:left="1726" w:hanging="180"/>
      </w:pPr>
    </w:lvl>
    <w:lvl w:ilvl="3" w:tplc="0426000F" w:tentative="1">
      <w:start w:val="1"/>
      <w:numFmt w:val="decimal"/>
      <w:lvlText w:val="%4."/>
      <w:lvlJc w:val="left"/>
      <w:pPr>
        <w:ind w:left="2446" w:hanging="360"/>
      </w:pPr>
    </w:lvl>
    <w:lvl w:ilvl="4" w:tplc="04260019" w:tentative="1">
      <w:start w:val="1"/>
      <w:numFmt w:val="lowerLetter"/>
      <w:lvlText w:val="%5."/>
      <w:lvlJc w:val="left"/>
      <w:pPr>
        <w:ind w:left="3166" w:hanging="360"/>
      </w:pPr>
    </w:lvl>
    <w:lvl w:ilvl="5" w:tplc="0426001B" w:tentative="1">
      <w:start w:val="1"/>
      <w:numFmt w:val="lowerRoman"/>
      <w:lvlText w:val="%6."/>
      <w:lvlJc w:val="right"/>
      <w:pPr>
        <w:ind w:left="3886" w:hanging="180"/>
      </w:pPr>
    </w:lvl>
    <w:lvl w:ilvl="6" w:tplc="0426000F" w:tentative="1">
      <w:start w:val="1"/>
      <w:numFmt w:val="decimal"/>
      <w:lvlText w:val="%7."/>
      <w:lvlJc w:val="left"/>
      <w:pPr>
        <w:ind w:left="4606" w:hanging="360"/>
      </w:pPr>
    </w:lvl>
    <w:lvl w:ilvl="7" w:tplc="04260019" w:tentative="1">
      <w:start w:val="1"/>
      <w:numFmt w:val="lowerLetter"/>
      <w:lvlText w:val="%8."/>
      <w:lvlJc w:val="left"/>
      <w:pPr>
        <w:ind w:left="5326" w:hanging="360"/>
      </w:pPr>
    </w:lvl>
    <w:lvl w:ilvl="8" w:tplc="0426001B" w:tentative="1">
      <w:start w:val="1"/>
      <w:numFmt w:val="lowerRoman"/>
      <w:lvlText w:val="%9."/>
      <w:lvlJc w:val="right"/>
      <w:pPr>
        <w:ind w:left="6046" w:hanging="180"/>
      </w:pPr>
    </w:lvl>
  </w:abstractNum>
  <w:abstractNum w:abstractNumId="2">
    <w:nsid w:val="37A27EC9"/>
    <w:multiLevelType w:val="hybridMultilevel"/>
    <w:tmpl w:val="A9442A7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674D4C72"/>
    <w:multiLevelType w:val="hybridMultilevel"/>
    <w:tmpl w:val="67EA00F8"/>
    <w:lvl w:ilvl="0" w:tplc="70889C8E">
      <w:start w:val="1"/>
      <w:numFmt w:val="decimal"/>
      <w:lvlText w:val="%1."/>
      <w:lvlJc w:val="left"/>
      <w:pPr>
        <w:ind w:left="286" w:hanging="360"/>
      </w:pPr>
      <w:rPr>
        <w:rFonts w:hint="default"/>
      </w:rPr>
    </w:lvl>
    <w:lvl w:ilvl="1" w:tplc="04260019" w:tentative="1">
      <w:start w:val="1"/>
      <w:numFmt w:val="lowerLetter"/>
      <w:lvlText w:val="%2."/>
      <w:lvlJc w:val="left"/>
      <w:pPr>
        <w:ind w:left="1006" w:hanging="360"/>
      </w:pPr>
    </w:lvl>
    <w:lvl w:ilvl="2" w:tplc="0426001B" w:tentative="1">
      <w:start w:val="1"/>
      <w:numFmt w:val="lowerRoman"/>
      <w:lvlText w:val="%3."/>
      <w:lvlJc w:val="right"/>
      <w:pPr>
        <w:ind w:left="1726" w:hanging="180"/>
      </w:pPr>
    </w:lvl>
    <w:lvl w:ilvl="3" w:tplc="0426000F" w:tentative="1">
      <w:start w:val="1"/>
      <w:numFmt w:val="decimal"/>
      <w:lvlText w:val="%4."/>
      <w:lvlJc w:val="left"/>
      <w:pPr>
        <w:ind w:left="2446" w:hanging="360"/>
      </w:pPr>
    </w:lvl>
    <w:lvl w:ilvl="4" w:tplc="04260019" w:tentative="1">
      <w:start w:val="1"/>
      <w:numFmt w:val="lowerLetter"/>
      <w:lvlText w:val="%5."/>
      <w:lvlJc w:val="left"/>
      <w:pPr>
        <w:ind w:left="3166" w:hanging="360"/>
      </w:pPr>
    </w:lvl>
    <w:lvl w:ilvl="5" w:tplc="0426001B" w:tentative="1">
      <w:start w:val="1"/>
      <w:numFmt w:val="lowerRoman"/>
      <w:lvlText w:val="%6."/>
      <w:lvlJc w:val="right"/>
      <w:pPr>
        <w:ind w:left="3886" w:hanging="180"/>
      </w:pPr>
    </w:lvl>
    <w:lvl w:ilvl="6" w:tplc="0426000F" w:tentative="1">
      <w:start w:val="1"/>
      <w:numFmt w:val="decimal"/>
      <w:lvlText w:val="%7."/>
      <w:lvlJc w:val="left"/>
      <w:pPr>
        <w:ind w:left="4606" w:hanging="360"/>
      </w:pPr>
    </w:lvl>
    <w:lvl w:ilvl="7" w:tplc="04260019" w:tentative="1">
      <w:start w:val="1"/>
      <w:numFmt w:val="lowerLetter"/>
      <w:lvlText w:val="%8."/>
      <w:lvlJc w:val="left"/>
      <w:pPr>
        <w:ind w:left="5326" w:hanging="360"/>
      </w:pPr>
    </w:lvl>
    <w:lvl w:ilvl="8" w:tplc="0426001B" w:tentative="1">
      <w:start w:val="1"/>
      <w:numFmt w:val="lowerRoman"/>
      <w:lvlText w:val="%9."/>
      <w:lvlJc w:val="right"/>
      <w:pPr>
        <w:ind w:left="6046" w:hanging="180"/>
      </w:pPr>
    </w:lvl>
  </w:abstractNum>
  <w:abstractNum w:abstractNumId="4">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A404F35"/>
    <w:multiLevelType w:val="hybridMultilevel"/>
    <w:tmpl w:val="EA7C2820"/>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3157"/>
    <w:rsid w:val="0000361E"/>
    <w:rsid w:val="000036C5"/>
    <w:rsid w:val="0000395A"/>
    <w:rsid w:val="00004F3A"/>
    <w:rsid w:val="000056EE"/>
    <w:rsid w:val="00005B64"/>
    <w:rsid w:val="00007814"/>
    <w:rsid w:val="00013F08"/>
    <w:rsid w:val="00014FB1"/>
    <w:rsid w:val="000171D5"/>
    <w:rsid w:val="00017860"/>
    <w:rsid w:val="00020785"/>
    <w:rsid w:val="00021DE0"/>
    <w:rsid w:val="00021F58"/>
    <w:rsid w:val="00025BC8"/>
    <w:rsid w:val="00025D74"/>
    <w:rsid w:val="00026EE0"/>
    <w:rsid w:val="00027C3D"/>
    <w:rsid w:val="00032753"/>
    <w:rsid w:val="000346B7"/>
    <w:rsid w:val="00037FBF"/>
    <w:rsid w:val="00040407"/>
    <w:rsid w:val="00040FFC"/>
    <w:rsid w:val="00042143"/>
    <w:rsid w:val="000429A8"/>
    <w:rsid w:val="000449F3"/>
    <w:rsid w:val="00046F1B"/>
    <w:rsid w:val="0004733B"/>
    <w:rsid w:val="00051DF0"/>
    <w:rsid w:val="00052320"/>
    <w:rsid w:val="00052CF8"/>
    <w:rsid w:val="00054C28"/>
    <w:rsid w:val="000564D6"/>
    <w:rsid w:val="00062C68"/>
    <w:rsid w:val="0007147E"/>
    <w:rsid w:val="000753AB"/>
    <w:rsid w:val="00081BD2"/>
    <w:rsid w:val="00082CF4"/>
    <w:rsid w:val="000849BB"/>
    <w:rsid w:val="000A40F9"/>
    <w:rsid w:val="000B29C3"/>
    <w:rsid w:val="000B29F1"/>
    <w:rsid w:val="000B4FA9"/>
    <w:rsid w:val="000B7DEF"/>
    <w:rsid w:val="000C2C3B"/>
    <w:rsid w:val="000D06D7"/>
    <w:rsid w:val="000D3F65"/>
    <w:rsid w:val="000D670D"/>
    <w:rsid w:val="000E1F85"/>
    <w:rsid w:val="000E2086"/>
    <w:rsid w:val="000E4203"/>
    <w:rsid w:val="000E62F2"/>
    <w:rsid w:val="000F16B8"/>
    <w:rsid w:val="000F258E"/>
    <w:rsid w:val="000F6EF1"/>
    <w:rsid w:val="00100F3B"/>
    <w:rsid w:val="001059EC"/>
    <w:rsid w:val="00114F41"/>
    <w:rsid w:val="00115AAC"/>
    <w:rsid w:val="00126F40"/>
    <w:rsid w:val="001274C7"/>
    <w:rsid w:val="001307EE"/>
    <w:rsid w:val="00130EF3"/>
    <w:rsid w:val="001329EF"/>
    <w:rsid w:val="00136480"/>
    <w:rsid w:val="0014110F"/>
    <w:rsid w:val="00142381"/>
    <w:rsid w:val="0014288E"/>
    <w:rsid w:val="001528AF"/>
    <w:rsid w:val="00163737"/>
    <w:rsid w:val="0017589B"/>
    <w:rsid w:val="001801DD"/>
    <w:rsid w:val="00180F1C"/>
    <w:rsid w:val="00190A25"/>
    <w:rsid w:val="001972C1"/>
    <w:rsid w:val="001A1CD3"/>
    <w:rsid w:val="001A4761"/>
    <w:rsid w:val="001A6427"/>
    <w:rsid w:val="001A773D"/>
    <w:rsid w:val="001A77DA"/>
    <w:rsid w:val="001B1A4A"/>
    <w:rsid w:val="001B1E8E"/>
    <w:rsid w:val="001B260B"/>
    <w:rsid w:val="001B5786"/>
    <w:rsid w:val="001B5ADD"/>
    <w:rsid w:val="001B73E8"/>
    <w:rsid w:val="001B7E0C"/>
    <w:rsid w:val="001C3450"/>
    <w:rsid w:val="001C4EC5"/>
    <w:rsid w:val="001D4C6A"/>
    <w:rsid w:val="001E1215"/>
    <w:rsid w:val="001E5C5E"/>
    <w:rsid w:val="001F09A9"/>
    <w:rsid w:val="001F3765"/>
    <w:rsid w:val="001F456F"/>
    <w:rsid w:val="001F52C9"/>
    <w:rsid w:val="00201F71"/>
    <w:rsid w:val="002024E4"/>
    <w:rsid w:val="00211BE9"/>
    <w:rsid w:val="00216DA7"/>
    <w:rsid w:val="00217063"/>
    <w:rsid w:val="00221EF4"/>
    <w:rsid w:val="00221F35"/>
    <w:rsid w:val="0022785C"/>
    <w:rsid w:val="00231F20"/>
    <w:rsid w:val="002348A7"/>
    <w:rsid w:val="002352FF"/>
    <w:rsid w:val="002368CB"/>
    <w:rsid w:val="00241EDE"/>
    <w:rsid w:val="0024491E"/>
    <w:rsid w:val="002457C0"/>
    <w:rsid w:val="002508F4"/>
    <w:rsid w:val="002530FE"/>
    <w:rsid w:val="00253AB0"/>
    <w:rsid w:val="00263FCA"/>
    <w:rsid w:val="00267820"/>
    <w:rsid w:val="00270ECC"/>
    <w:rsid w:val="002736C2"/>
    <w:rsid w:val="0027668D"/>
    <w:rsid w:val="00280917"/>
    <w:rsid w:val="00280E9A"/>
    <w:rsid w:val="00281D17"/>
    <w:rsid w:val="00281F85"/>
    <w:rsid w:val="002857B0"/>
    <w:rsid w:val="00286B95"/>
    <w:rsid w:val="00287CAC"/>
    <w:rsid w:val="0029748E"/>
    <w:rsid w:val="002A2DBE"/>
    <w:rsid w:val="002A40F3"/>
    <w:rsid w:val="002B2DD6"/>
    <w:rsid w:val="002C0334"/>
    <w:rsid w:val="002C14C2"/>
    <w:rsid w:val="002C1E26"/>
    <w:rsid w:val="002C52F0"/>
    <w:rsid w:val="002C5E18"/>
    <w:rsid w:val="002C765A"/>
    <w:rsid w:val="002D0854"/>
    <w:rsid w:val="002D2E01"/>
    <w:rsid w:val="002D3157"/>
    <w:rsid w:val="002D5258"/>
    <w:rsid w:val="002D57A6"/>
    <w:rsid w:val="002E39AC"/>
    <w:rsid w:val="002E3E1C"/>
    <w:rsid w:val="002F2642"/>
    <w:rsid w:val="002F5C60"/>
    <w:rsid w:val="002F7986"/>
    <w:rsid w:val="00301F8F"/>
    <w:rsid w:val="003037FD"/>
    <w:rsid w:val="003042E4"/>
    <w:rsid w:val="00304DCC"/>
    <w:rsid w:val="0031072D"/>
    <w:rsid w:val="00310905"/>
    <w:rsid w:val="00315622"/>
    <w:rsid w:val="00315C8B"/>
    <w:rsid w:val="00323DE4"/>
    <w:rsid w:val="00333689"/>
    <w:rsid w:val="00334174"/>
    <w:rsid w:val="00337A51"/>
    <w:rsid w:val="00337F03"/>
    <w:rsid w:val="0034073C"/>
    <w:rsid w:val="003420C2"/>
    <w:rsid w:val="003428C8"/>
    <w:rsid w:val="003436E4"/>
    <w:rsid w:val="00343777"/>
    <w:rsid w:val="003456AC"/>
    <w:rsid w:val="00345A73"/>
    <w:rsid w:val="00346642"/>
    <w:rsid w:val="00347521"/>
    <w:rsid w:val="0035398B"/>
    <w:rsid w:val="0036220E"/>
    <w:rsid w:val="00374CAB"/>
    <w:rsid w:val="003761A4"/>
    <w:rsid w:val="00380494"/>
    <w:rsid w:val="00384EB9"/>
    <w:rsid w:val="00391230"/>
    <w:rsid w:val="003976C8"/>
    <w:rsid w:val="00397900"/>
    <w:rsid w:val="003A03B9"/>
    <w:rsid w:val="003A1DE1"/>
    <w:rsid w:val="003B1ADE"/>
    <w:rsid w:val="003B2086"/>
    <w:rsid w:val="003B3A5F"/>
    <w:rsid w:val="003C1F1F"/>
    <w:rsid w:val="003C2B0C"/>
    <w:rsid w:val="003C3280"/>
    <w:rsid w:val="003C4744"/>
    <w:rsid w:val="003D4EA2"/>
    <w:rsid w:val="003D73C9"/>
    <w:rsid w:val="003E6CF5"/>
    <w:rsid w:val="003E6F76"/>
    <w:rsid w:val="003E7394"/>
    <w:rsid w:val="003E7A81"/>
    <w:rsid w:val="003F0979"/>
    <w:rsid w:val="003F45CF"/>
    <w:rsid w:val="003F543B"/>
    <w:rsid w:val="003F5506"/>
    <w:rsid w:val="003F5EEC"/>
    <w:rsid w:val="00400B19"/>
    <w:rsid w:val="00403375"/>
    <w:rsid w:val="00404C1F"/>
    <w:rsid w:val="00404F51"/>
    <w:rsid w:val="0040517A"/>
    <w:rsid w:val="00407B8F"/>
    <w:rsid w:val="00411FE9"/>
    <w:rsid w:val="00412C60"/>
    <w:rsid w:val="00415321"/>
    <w:rsid w:val="00423F21"/>
    <w:rsid w:val="00425029"/>
    <w:rsid w:val="004258E5"/>
    <w:rsid w:val="00427430"/>
    <w:rsid w:val="0043520D"/>
    <w:rsid w:val="00435EF7"/>
    <w:rsid w:val="004407CE"/>
    <w:rsid w:val="004423E5"/>
    <w:rsid w:val="00444571"/>
    <w:rsid w:val="00444D59"/>
    <w:rsid w:val="004453AF"/>
    <w:rsid w:val="00447F5E"/>
    <w:rsid w:val="00452A47"/>
    <w:rsid w:val="0045589D"/>
    <w:rsid w:val="00457C85"/>
    <w:rsid w:val="00464C36"/>
    <w:rsid w:val="00474575"/>
    <w:rsid w:val="004811D1"/>
    <w:rsid w:val="004867DE"/>
    <w:rsid w:val="00492339"/>
    <w:rsid w:val="00492C5D"/>
    <w:rsid w:val="00494070"/>
    <w:rsid w:val="00494212"/>
    <w:rsid w:val="00495570"/>
    <w:rsid w:val="004970A5"/>
    <w:rsid w:val="004A6F5F"/>
    <w:rsid w:val="004B16A4"/>
    <w:rsid w:val="004C26CA"/>
    <w:rsid w:val="004C4B93"/>
    <w:rsid w:val="004E1C6A"/>
    <w:rsid w:val="004E209D"/>
    <w:rsid w:val="004E4C8A"/>
    <w:rsid w:val="004E5E64"/>
    <w:rsid w:val="004E5FB9"/>
    <w:rsid w:val="004F21BB"/>
    <w:rsid w:val="004F3EF9"/>
    <w:rsid w:val="004F4E90"/>
    <w:rsid w:val="004F52C7"/>
    <w:rsid w:val="00500CF1"/>
    <w:rsid w:val="00500D4C"/>
    <w:rsid w:val="00500E04"/>
    <w:rsid w:val="005015C5"/>
    <w:rsid w:val="00503BC8"/>
    <w:rsid w:val="00507989"/>
    <w:rsid w:val="00507E3B"/>
    <w:rsid w:val="00513841"/>
    <w:rsid w:val="0051541F"/>
    <w:rsid w:val="005164FE"/>
    <w:rsid w:val="005269E2"/>
    <w:rsid w:val="005305CF"/>
    <w:rsid w:val="00535261"/>
    <w:rsid w:val="005354A2"/>
    <w:rsid w:val="00536DA0"/>
    <w:rsid w:val="00550A9F"/>
    <w:rsid w:val="005547D3"/>
    <w:rsid w:val="005612E7"/>
    <w:rsid w:val="00562D09"/>
    <w:rsid w:val="00566294"/>
    <w:rsid w:val="00566A7A"/>
    <w:rsid w:val="00566E9B"/>
    <w:rsid w:val="00567321"/>
    <w:rsid w:val="00570FCE"/>
    <w:rsid w:val="00571C41"/>
    <w:rsid w:val="005736DD"/>
    <w:rsid w:val="005740D6"/>
    <w:rsid w:val="00575F66"/>
    <w:rsid w:val="00577769"/>
    <w:rsid w:val="00577CA7"/>
    <w:rsid w:val="00577E0C"/>
    <w:rsid w:val="005834AA"/>
    <w:rsid w:val="00586A7A"/>
    <w:rsid w:val="00592966"/>
    <w:rsid w:val="00596617"/>
    <w:rsid w:val="005A110D"/>
    <w:rsid w:val="005A18B5"/>
    <w:rsid w:val="005A389B"/>
    <w:rsid w:val="005B1DBC"/>
    <w:rsid w:val="005B2C01"/>
    <w:rsid w:val="005B50A7"/>
    <w:rsid w:val="005B667C"/>
    <w:rsid w:val="005B7BB2"/>
    <w:rsid w:val="005C037B"/>
    <w:rsid w:val="005C2438"/>
    <w:rsid w:val="005C2826"/>
    <w:rsid w:val="005C709F"/>
    <w:rsid w:val="005E3529"/>
    <w:rsid w:val="005E6F97"/>
    <w:rsid w:val="005E7769"/>
    <w:rsid w:val="005E7EA7"/>
    <w:rsid w:val="005F1857"/>
    <w:rsid w:val="005F2B7D"/>
    <w:rsid w:val="005F2DB5"/>
    <w:rsid w:val="005F3B26"/>
    <w:rsid w:val="005F413D"/>
    <w:rsid w:val="005F48AB"/>
    <w:rsid w:val="005F553A"/>
    <w:rsid w:val="00604FE9"/>
    <w:rsid w:val="006124FD"/>
    <w:rsid w:val="00612C7C"/>
    <w:rsid w:val="00613A42"/>
    <w:rsid w:val="00614743"/>
    <w:rsid w:val="00615453"/>
    <w:rsid w:val="00616180"/>
    <w:rsid w:val="006207E4"/>
    <w:rsid w:val="00621A1A"/>
    <w:rsid w:val="0062324B"/>
    <w:rsid w:val="00623AC7"/>
    <w:rsid w:val="00624930"/>
    <w:rsid w:val="00630E39"/>
    <w:rsid w:val="006422BA"/>
    <w:rsid w:val="006427EA"/>
    <w:rsid w:val="0064403B"/>
    <w:rsid w:val="00651160"/>
    <w:rsid w:val="00654A0F"/>
    <w:rsid w:val="00655CB1"/>
    <w:rsid w:val="006622A3"/>
    <w:rsid w:val="00670361"/>
    <w:rsid w:val="00674B11"/>
    <w:rsid w:val="00680ABA"/>
    <w:rsid w:val="006824B6"/>
    <w:rsid w:val="006837F0"/>
    <w:rsid w:val="00686266"/>
    <w:rsid w:val="006875F2"/>
    <w:rsid w:val="00691A66"/>
    <w:rsid w:val="00696AEA"/>
    <w:rsid w:val="006A6678"/>
    <w:rsid w:val="006A6E16"/>
    <w:rsid w:val="006A79D6"/>
    <w:rsid w:val="006B059E"/>
    <w:rsid w:val="006B3D64"/>
    <w:rsid w:val="006B4406"/>
    <w:rsid w:val="006C5B70"/>
    <w:rsid w:val="006D1C6D"/>
    <w:rsid w:val="006D4556"/>
    <w:rsid w:val="006D547E"/>
    <w:rsid w:val="006E0AAF"/>
    <w:rsid w:val="006E109C"/>
    <w:rsid w:val="006E2A64"/>
    <w:rsid w:val="006E5842"/>
    <w:rsid w:val="006E5BB6"/>
    <w:rsid w:val="006F1BFA"/>
    <w:rsid w:val="006F22ED"/>
    <w:rsid w:val="006F4129"/>
    <w:rsid w:val="00703DB7"/>
    <w:rsid w:val="0070752D"/>
    <w:rsid w:val="007106FE"/>
    <w:rsid w:val="0071106E"/>
    <w:rsid w:val="00715FCF"/>
    <w:rsid w:val="007219C9"/>
    <w:rsid w:val="00725487"/>
    <w:rsid w:val="00726893"/>
    <w:rsid w:val="00727530"/>
    <w:rsid w:val="00727AD8"/>
    <w:rsid w:val="00732968"/>
    <w:rsid w:val="00737D8E"/>
    <w:rsid w:val="00741122"/>
    <w:rsid w:val="0074339E"/>
    <w:rsid w:val="00744F07"/>
    <w:rsid w:val="0075198D"/>
    <w:rsid w:val="00754E5A"/>
    <w:rsid w:val="00763D5B"/>
    <w:rsid w:val="00766E79"/>
    <w:rsid w:val="00767F8B"/>
    <w:rsid w:val="00771510"/>
    <w:rsid w:val="00771EDE"/>
    <w:rsid w:val="00772BEE"/>
    <w:rsid w:val="00774956"/>
    <w:rsid w:val="00776633"/>
    <w:rsid w:val="0078139C"/>
    <w:rsid w:val="00784A51"/>
    <w:rsid w:val="00792AF3"/>
    <w:rsid w:val="00795A6A"/>
    <w:rsid w:val="00796666"/>
    <w:rsid w:val="007A6171"/>
    <w:rsid w:val="007B2A0E"/>
    <w:rsid w:val="007B2D3D"/>
    <w:rsid w:val="007B5F00"/>
    <w:rsid w:val="007B7BE7"/>
    <w:rsid w:val="007B7EDA"/>
    <w:rsid w:val="007C1F71"/>
    <w:rsid w:val="007C36DA"/>
    <w:rsid w:val="007C724E"/>
    <w:rsid w:val="007C7B22"/>
    <w:rsid w:val="007D01AB"/>
    <w:rsid w:val="007D08DE"/>
    <w:rsid w:val="007D5558"/>
    <w:rsid w:val="007D5808"/>
    <w:rsid w:val="007D66D5"/>
    <w:rsid w:val="007E1839"/>
    <w:rsid w:val="007E5206"/>
    <w:rsid w:val="007E5796"/>
    <w:rsid w:val="007F02C3"/>
    <w:rsid w:val="007F1851"/>
    <w:rsid w:val="007F461D"/>
    <w:rsid w:val="00800620"/>
    <w:rsid w:val="00802EEF"/>
    <w:rsid w:val="00803675"/>
    <w:rsid w:val="008038BD"/>
    <w:rsid w:val="008039C1"/>
    <w:rsid w:val="0080529F"/>
    <w:rsid w:val="00806BEC"/>
    <w:rsid w:val="00812933"/>
    <w:rsid w:val="0082185E"/>
    <w:rsid w:val="008221D3"/>
    <w:rsid w:val="00826217"/>
    <w:rsid w:val="008303E3"/>
    <w:rsid w:val="008318B5"/>
    <w:rsid w:val="008330B8"/>
    <w:rsid w:val="00833431"/>
    <w:rsid w:val="008348FF"/>
    <w:rsid w:val="00840334"/>
    <w:rsid w:val="0084418A"/>
    <w:rsid w:val="00844F65"/>
    <w:rsid w:val="008478A1"/>
    <w:rsid w:val="0085527A"/>
    <w:rsid w:val="008558DD"/>
    <w:rsid w:val="00861EFE"/>
    <w:rsid w:val="0086279A"/>
    <w:rsid w:val="00864C3B"/>
    <w:rsid w:val="008655A5"/>
    <w:rsid w:val="00865EEC"/>
    <w:rsid w:val="00876A33"/>
    <w:rsid w:val="00880261"/>
    <w:rsid w:val="00881174"/>
    <w:rsid w:val="00887885"/>
    <w:rsid w:val="0089130E"/>
    <w:rsid w:val="008A0582"/>
    <w:rsid w:val="008B2D7C"/>
    <w:rsid w:val="008B4AFB"/>
    <w:rsid w:val="008B67B9"/>
    <w:rsid w:val="008B7208"/>
    <w:rsid w:val="008C25EC"/>
    <w:rsid w:val="008D758F"/>
    <w:rsid w:val="008D7D54"/>
    <w:rsid w:val="008E105B"/>
    <w:rsid w:val="008E6703"/>
    <w:rsid w:val="008F6B0D"/>
    <w:rsid w:val="008F73A1"/>
    <w:rsid w:val="008F7A81"/>
    <w:rsid w:val="0090375E"/>
    <w:rsid w:val="00910DF9"/>
    <w:rsid w:val="00912C5E"/>
    <w:rsid w:val="00914CF4"/>
    <w:rsid w:val="00914E51"/>
    <w:rsid w:val="00915A35"/>
    <w:rsid w:val="009215F7"/>
    <w:rsid w:val="00922BD9"/>
    <w:rsid w:val="00931544"/>
    <w:rsid w:val="0093195F"/>
    <w:rsid w:val="009333AB"/>
    <w:rsid w:val="00936BC8"/>
    <w:rsid w:val="00941378"/>
    <w:rsid w:val="0094389B"/>
    <w:rsid w:val="00943B53"/>
    <w:rsid w:val="00945727"/>
    <w:rsid w:val="00946DFE"/>
    <w:rsid w:val="00955C5D"/>
    <w:rsid w:val="009577AC"/>
    <w:rsid w:val="00962E93"/>
    <w:rsid w:val="009778CC"/>
    <w:rsid w:val="009803FD"/>
    <w:rsid w:val="00983840"/>
    <w:rsid w:val="00984A55"/>
    <w:rsid w:val="00985213"/>
    <w:rsid w:val="00991757"/>
    <w:rsid w:val="00992843"/>
    <w:rsid w:val="009A067B"/>
    <w:rsid w:val="009A238D"/>
    <w:rsid w:val="009B2659"/>
    <w:rsid w:val="009B492E"/>
    <w:rsid w:val="009C049F"/>
    <w:rsid w:val="009C4860"/>
    <w:rsid w:val="009C4B42"/>
    <w:rsid w:val="009C4B97"/>
    <w:rsid w:val="009C59BA"/>
    <w:rsid w:val="009D4809"/>
    <w:rsid w:val="009D4F0D"/>
    <w:rsid w:val="009E23FF"/>
    <w:rsid w:val="009E357E"/>
    <w:rsid w:val="009F147B"/>
    <w:rsid w:val="009F2B31"/>
    <w:rsid w:val="009F3220"/>
    <w:rsid w:val="009F4BE4"/>
    <w:rsid w:val="00A03FF9"/>
    <w:rsid w:val="00A0554C"/>
    <w:rsid w:val="00A12238"/>
    <w:rsid w:val="00A12C0F"/>
    <w:rsid w:val="00A14823"/>
    <w:rsid w:val="00A155B6"/>
    <w:rsid w:val="00A20833"/>
    <w:rsid w:val="00A24B54"/>
    <w:rsid w:val="00A252CA"/>
    <w:rsid w:val="00A27774"/>
    <w:rsid w:val="00A308D2"/>
    <w:rsid w:val="00A326B5"/>
    <w:rsid w:val="00A33A92"/>
    <w:rsid w:val="00A4573D"/>
    <w:rsid w:val="00A5353D"/>
    <w:rsid w:val="00A538D4"/>
    <w:rsid w:val="00A57CE6"/>
    <w:rsid w:val="00A67261"/>
    <w:rsid w:val="00A672B9"/>
    <w:rsid w:val="00A738B2"/>
    <w:rsid w:val="00A759B2"/>
    <w:rsid w:val="00A775F8"/>
    <w:rsid w:val="00A813CB"/>
    <w:rsid w:val="00A81BB5"/>
    <w:rsid w:val="00A829F1"/>
    <w:rsid w:val="00A87D2F"/>
    <w:rsid w:val="00A901C5"/>
    <w:rsid w:val="00A94389"/>
    <w:rsid w:val="00AA131B"/>
    <w:rsid w:val="00AA21A5"/>
    <w:rsid w:val="00AA2213"/>
    <w:rsid w:val="00AA3724"/>
    <w:rsid w:val="00AA5318"/>
    <w:rsid w:val="00AB0E59"/>
    <w:rsid w:val="00AB66A1"/>
    <w:rsid w:val="00AC15F9"/>
    <w:rsid w:val="00AC3E4F"/>
    <w:rsid w:val="00AC5EFC"/>
    <w:rsid w:val="00AE054B"/>
    <w:rsid w:val="00AE1FDA"/>
    <w:rsid w:val="00AE3640"/>
    <w:rsid w:val="00AF000F"/>
    <w:rsid w:val="00AF1342"/>
    <w:rsid w:val="00AF21C6"/>
    <w:rsid w:val="00AF2F27"/>
    <w:rsid w:val="00AF4866"/>
    <w:rsid w:val="00B04F44"/>
    <w:rsid w:val="00B05A95"/>
    <w:rsid w:val="00B10E43"/>
    <w:rsid w:val="00B20044"/>
    <w:rsid w:val="00B20CDB"/>
    <w:rsid w:val="00B24B87"/>
    <w:rsid w:val="00B35421"/>
    <w:rsid w:val="00B364E0"/>
    <w:rsid w:val="00B36D08"/>
    <w:rsid w:val="00B37AB4"/>
    <w:rsid w:val="00B4007B"/>
    <w:rsid w:val="00B404AF"/>
    <w:rsid w:val="00B42987"/>
    <w:rsid w:val="00B468F2"/>
    <w:rsid w:val="00B52C9D"/>
    <w:rsid w:val="00B53B63"/>
    <w:rsid w:val="00B55A96"/>
    <w:rsid w:val="00B57A26"/>
    <w:rsid w:val="00B603B8"/>
    <w:rsid w:val="00B64B15"/>
    <w:rsid w:val="00B65C6A"/>
    <w:rsid w:val="00B7043F"/>
    <w:rsid w:val="00B7643E"/>
    <w:rsid w:val="00B7775A"/>
    <w:rsid w:val="00B8387B"/>
    <w:rsid w:val="00B87260"/>
    <w:rsid w:val="00B91C07"/>
    <w:rsid w:val="00B941E5"/>
    <w:rsid w:val="00B94D15"/>
    <w:rsid w:val="00B968B5"/>
    <w:rsid w:val="00BA22FD"/>
    <w:rsid w:val="00BA75AB"/>
    <w:rsid w:val="00BB4664"/>
    <w:rsid w:val="00BB5D3D"/>
    <w:rsid w:val="00BB5DFA"/>
    <w:rsid w:val="00BC6585"/>
    <w:rsid w:val="00BD01EA"/>
    <w:rsid w:val="00BD1984"/>
    <w:rsid w:val="00BD2000"/>
    <w:rsid w:val="00BD7A39"/>
    <w:rsid w:val="00BF09F2"/>
    <w:rsid w:val="00BF173B"/>
    <w:rsid w:val="00BF56CF"/>
    <w:rsid w:val="00BF6E25"/>
    <w:rsid w:val="00BF739C"/>
    <w:rsid w:val="00C03F1C"/>
    <w:rsid w:val="00C10817"/>
    <w:rsid w:val="00C1293D"/>
    <w:rsid w:val="00C225FB"/>
    <w:rsid w:val="00C23288"/>
    <w:rsid w:val="00C23DDA"/>
    <w:rsid w:val="00C24153"/>
    <w:rsid w:val="00C2629E"/>
    <w:rsid w:val="00C2706E"/>
    <w:rsid w:val="00C369C5"/>
    <w:rsid w:val="00C36B56"/>
    <w:rsid w:val="00C44C7D"/>
    <w:rsid w:val="00C4736B"/>
    <w:rsid w:val="00C50DAF"/>
    <w:rsid w:val="00C52DA7"/>
    <w:rsid w:val="00C54527"/>
    <w:rsid w:val="00C54A66"/>
    <w:rsid w:val="00C64459"/>
    <w:rsid w:val="00C65356"/>
    <w:rsid w:val="00C661C1"/>
    <w:rsid w:val="00C83EFB"/>
    <w:rsid w:val="00C908C6"/>
    <w:rsid w:val="00C91A12"/>
    <w:rsid w:val="00C94E1A"/>
    <w:rsid w:val="00C960DF"/>
    <w:rsid w:val="00C97705"/>
    <w:rsid w:val="00C97A9C"/>
    <w:rsid w:val="00CA2717"/>
    <w:rsid w:val="00CA32DC"/>
    <w:rsid w:val="00CA515E"/>
    <w:rsid w:val="00CA5D6B"/>
    <w:rsid w:val="00CB1168"/>
    <w:rsid w:val="00CB1526"/>
    <w:rsid w:val="00CB599A"/>
    <w:rsid w:val="00CB6E18"/>
    <w:rsid w:val="00CC1B93"/>
    <w:rsid w:val="00CC331A"/>
    <w:rsid w:val="00CC3691"/>
    <w:rsid w:val="00CD6DE7"/>
    <w:rsid w:val="00CD714B"/>
    <w:rsid w:val="00CE0CE8"/>
    <w:rsid w:val="00CE6B1A"/>
    <w:rsid w:val="00CF00D4"/>
    <w:rsid w:val="00CF3797"/>
    <w:rsid w:val="00CF7D4A"/>
    <w:rsid w:val="00D00B9B"/>
    <w:rsid w:val="00D10995"/>
    <w:rsid w:val="00D10D0E"/>
    <w:rsid w:val="00D17BCF"/>
    <w:rsid w:val="00D21E61"/>
    <w:rsid w:val="00D23AA1"/>
    <w:rsid w:val="00D23BD4"/>
    <w:rsid w:val="00D26093"/>
    <w:rsid w:val="00D3149D"/>
    <w:rsid w:val="00D33BFA"/>
    <w:rsid w:val="00D36E0E"/>
    <w:rsid w:val="00D41CE8"/>
    <w:rsid w:val="00D44A7B"/>
    <w:rsid w:val="00D46EA6"/>
    <w:rsid w:val="00D46F76"/>
    <w:rsid w:val="00D47CAB"/>
    <w:rsid w:val="00D545A8"/>
    <w:rsid w:val="00D63AF1"/>
    <w:rsid w:val="00D66871"/>
    <w:rsid w:val="00D71857"/>
    <w:rsid w:val="00D7722C"/>
    <w:rsid w:val="00D80978"/>
    <w:rsid w:val="00D840C6"/>
    <w:rsid w:val="00D85999"/>
    <w:rsid w:val="00D8707A"/>
    <w:rsid w:val="00D87BE3"/>
    <w:rsid w:val="00D90C2C"/>
    <w:rsid w:val="00D91068"/>
    <w:rsid w:val="00D92B26"/>
    <w:rsid w:val="00D937C1"/>
    <w:rsid w:val="00DA2F53"/>
    <w:rsid w:val="00DA4372"/>
    <w:rsid w:val="00DB19D9"/>
    <w:rsid w:val="00DB2942"/>
    <w:rsid w:val="00DB2B26"/>
    <w:rsid w:val="00DB4FD8"/>
    <w:rsid w:val="00DB583E"/>
    <w:rsid w:val="00DB7247"/>
    <w:rsid w:val="00DB7639"/>
    <w:rsid w:val="00DC0CF7"/>
    <w:rsid w:val="00DC38FF"/>
    <w:rsid w:val="00DC519C"/>
    <w:rsid w:val="00DC5937"/>
    <w:rsid w:val="00DC676D"/>
    <w:rsid w:val="00DD0E43"/>
    <w:rsid w:val="00DD16F9"/>
    <w:rsid w:val="00DD2A63"/>
    <w:rsid w:val="00DE1221"/>
    <w:rsid w:val="00DE62DD"/>
    <w:rsid w:val="00DF00EA"/>
    <w:rsid w:val="00DF0E69"/>
    <w:rsid w:val="00DF3AF4"/>
    <w:rsid w:val="00DF3F36"/>
    <w:rsid w:val="00DF4CF1"/>
    <w:rsid w:val="00DF7EF7"/>
    <w:rsid w:val="00E04B87"/>
    <w:rsid w:val="00E0512A"/>
    <w:rsid w:val="00E11103"/>
    <w:rsid w:val="00E117EE"/>
    <w:rsid w:val="00E11C67"/>
    <w:rsid w:val="00E12475"/>
    <w:rsid w:val="00E12778"/>
    <w:rsid w:val="00E16F83"/>
    <w:rsid w:val="00E22250"/>
    <w:rsid w:val="00E24477"/>
    <w:rsid w:val="00E25CC0"/>
    <w:rsid w:val="00E26461"/>
    <w:rsid w:val="00E3639B"/>
    <w:rsid w:val="00E36A3E"/>
    <w:rsid w:val="00E3709D"/>
    <w:rsid w:val="00E417EE"/>
    <w:rsid w:val="00E451FE"/>
    <w:rsid w:val="00E50781"/>
    <w:rsid w:val="00E53C4F"/>
    <w:rsid w:val="00E56FFC"/>
    <w:rsid w:val="00E60526"/>
    <w:rsid w:val="00E66FD4"/>
    <w:rsid w:val="00E72F6E"/>
    <w:rsid w:val="00E756BC"/>
    <w:rsid w:val="00E76500"/>
    <w:rsid w:val="00E86517"/>
    <w:rsid w:val="00E8659B"/>
    <w:rsid w:val="00E92D2F"/>
    <w:rsid w:val="00E96425"/>
    <w:rsid w:val="00E971BF"/>
    <w:rsid w:val="00E973D9"/>
    <w:rsid w:val="00EA117B"/>
    <w:rsid w:val="00EB0FC5"/>
    <w:rsid w:val="00EB1BFE"/>
    <w:rsid w:val="00EB1C43"/>
    <w:rsid w:val="00EB1FE7"/>
    <w:rsid w:val="00EB2AAB"/>
    <w:rsid w:val="00EB6CC5"/>
    <w:rsid w:val="00EC11D5"/>
    <w:rsid w:val="00EC24D7"/>
    <w:rsid w:val="00EC2E82"/>
    <w:rsid w:val="00EC460E"/>
    <w:rsid w:val="00EC6BAE"/>
    <w:rsid w:val="00ED30B5"/>
    <w:rsid w:val="00EE2D2D"/>
    <w:rsid w:val="00EE344E"/>
    <w:rsid w:val="00EE5960"/>
    <w:rsid w:val="00EE5FBB"/>
    <w:rsid w:val="00EE6F72"/>
    <w:rsid w:val="00EE7183"/>
    <w:rsid w:val="00EF0CCE"/>
    <w:rsid w:val="00EF4947"/>
    <w:rsid w:val="00EF64D3"/>
    <w:rsid w:val="00F040B4"/>
    <w:rsid w:val="00F07DE5"/>
    <w:rsid w:val="00F125BC"/>
    <w:rsid w:val="00F14F45"/>
    <w:rsid w:val="00F24738"/>
    <w:rsid w:val="00F25CA7"/>
    <w:rsid w:val="00F30ABB"/>
    <w:rsid w:val="00F314F9"/>
    <w:rsid w:val="00F32228"/>
    <w:rsid w:val="00F41735"/>
    <w:rsid w:val="00F417BE"/>
    <w:rsid w:val="00F4347F"/>
    <w:rsid w:val="00F439FE"/>
    <w:rsid w:val="00F440C9"/>
    <w:rsid w:val="00F45042"/>
    <w:rsid w:val="00F4556F"/>
    <w:rsid w:val="00F50C48"/>
    <w:rsid w:val="00F60B3D"/>
    <w:rsid w:val="00F631A4"/>
    <w:rsid w:val="00F6558D"/>
    <w:rsid w:val="00F67188"/>
    <w:rsid w:val="00F71064"/>
    <w:rsid w:val="00F71B3E"/>
    <w:rsid w:val="00F743A9"/>
    <w:rsid w:val="00F7528B"/>
    <w:rsid w:val="00F81179"/>
    <w:rsid w:val="00F8268B"/>
    <w:rsid w:val="00F82E17"/>
    <w:rsid w:val="00F9016F"/>
    <w:rsid w:val="00F9027E"/>
    <w:rsid w:val="00F94162"/>
    <w:rsid w:val="00F9450F"/>
    <w:rsid w:val="00F9467A"/>
    <w:rsid w:val="00F975AD"/>
    <w:rsid w:val="00FA2604"/>
    <w:rsid w:val="00FA4571"/>
    <w:rsid w:val="00FB2571"/>
    <w:rsid w:val="00FB3C85"/>
    <w:rsid w:val="00FB6390"/>
    <w:rsid w:val="00FB6C78"/>
    <w:rsid w:val="00FB728B"/>
    <w:rsid w:val="00FC08CB"/>
    <w:rsid w:val="00FC1C1B"/>
    <w:rsid w:val="00FC2B54"/>
    <w:rsid w:val="00FC6346"/>
    <w:rsid w:val="00FD0AA0"/>
    <w:rsid w:val="00FD303A"/>
    <w:rsid w:val="00FD32B1"/>
    <w:rsid w:val="00FD7B4E"/>
    <w:rsid w:val="00FE1FCB"/>
    <w:rsid w:val="00FE2DEB"/>
    <w:rsid w:val="00FE3CD4"/>
    <w:rsid w:val="00FE46B2"/>
    <w:rsid w:val="00FE7C7D"/>
    <w:rsid w:val="00FE7F5D"/>
    <w:rsid w:val="00FF40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905"/>
    <w:rPr>
      <w:sz w:val="24"/>
      <w:szCs w:val="24"/>
    </w:rPr>
  </w:style>
  <w:style w:type="paragraph" w:styleId="Heading1">
    <w:name w:val="heading 1"/>
    <w:basedOn w:val="Normal"/>
    <w:next w:val="Normal"/>
    <w:link w:val="Heading1Char"/>
    <w:qFormat/>
    <w:rsid w:val="00E971BF"/>
    <w:pPr>
      <w:keepNext/>
      <w:spacing w:before="240" w:after="60"/>
      <w:outlineLvl w:val="0"/>
    </w:pPr>
    <w:rPr>
      <w:rFonts w:ascii="Cambria" w:hAnsi="Cambria"/>
      <w:b/>
      <w:bCs/>
      <w:kern w:val="32"/>
      <w:sz w:val="32"/>
      <w:szCs w:val="32"/>
    </w:rPr>
  </w:style>
  <w:style w:type="paragraph" w:styleId="Heading4">
    <w:name w:val="heading 4"/>
    <w:basedOn w:val="Normal"/>
    <w:qFormat/>
    <w:rsid w:val="002D315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3157"/>
    <w:pPr>
      <w:spacing w:before="100" w:beforeAutospacing="1" w:after="100" w:afterAutospacing="1"/>
      <w:jc w:val="both"/>
    </w:pPr>
    <w:rPr>
      <w:color w:val="000000"/>
      <w:sz w:val="20"/>
      <w:szCs w:val="20"/>
    </w:rPr>
  </w:style>
  <w:style w:type="paragraph" w:styleId="BodyText">
    <w:name w:val="Body Text"/>
    <w:basedOn w:val="Normal"/>
    <w:rsid w:val="00B7643E"/>
    <w:pPr>
      <w:jc w:val="both"/>
    </w:pPr>
    <w:rPr>
      <w:sz w:val="28"/>
      <w:szCs w:val="20"/>
      <w:lang w:val="en-AU"/>
    </w:rPr>
  </w:style>
  <w:style w:type="paragraph" w:customStyle="1" w:styleId="naisf">
    <w:name w:val="naisf"/>
    <w:basedOn w:val="Normal"/>
    <w:rsid w:val="00F14F45"/>
    <w:pPr>
      <w:spacing w:before="75" w:after="75"/>
      <w:ind w:firstLine="375"/>
      <w:jc w:val="both"/>
    </w:pPr>
  </w:style>
  <w:style w:type="paragraph" w:styleId="Header">
    <w:name w:val="header"/>
    <w:basedOn w:val="Normal"/>
    <w:link w:val="HeaderChar"/>
    <w:uiPriority w:val="99"/>
    <w:rsid w:val="00F14F45"/>
    <w:pPr>
      <w:tabs>
        <w:tab w:val="center" w:pos="4153"/>
        <w:tab w:val="right" w:pos="8306"/>
      </w:tabs>
    </w:pPr>
  </w:style>
  <w:style w:type="paragraph" w:styleId="Footer">
    <w:name w:val="footer"/>
    <w:basedOn w:val="Normal"/>
    <w:rsid w:val="00F14F45"/>
    <w:pPr>
      <w:tabs>
        <w:tab w:val="center" w:pos="4153"/>
        <w:tab w:val="right" w:pos="8306"/>
      </w:tabs>
    </w:pPr>
  </w:style>
  <w:style w:type="paragraph" w:styleId="BalloonText">
    <w:name w:val="Balloon Text"/>
    <w:basedOn w:val="Normal"/>
    <w:semiHidden/>
    <w:rsid w:val="00EE7183"/>
    <w:rPr>
      <w:rFonts w:ascii="Tahoma" w:hAnsi="Tahoma" w:cs="Tahoma"/>
      <w:sz w:val="16"/>
      <w:szCs w:val="16"/>
    </w:rPr>
  </w:style>
  <w:style w:type="character" w:styleId="CommentReference">
    <w:name w:val="annotation reference"/>
    <w:basedOn w:val="DefaultParagraphFont"/>
    <w:semiHidden/>
    <w:rsid w:val="00EE7183"/>
    <w:rPr>
      <w:sz w:val="16"/>
      <w:szCs w:val="16"/>
    </w:rPr>
  </w:style>
  <w:style w:type="paragraph" w:styleId="CommentText">
    <w:name w:val="annotation text"/>
    <w:basedOn w:val="Normal"/>
    <w:semiHidden/>
    <w:rsid w:val="00EE7183"/>
    <w:rPr>
      <w:sz w:val="20"/>
      <w:szCs w:val="20"/>
    </w:rPr>
  </w:style>
  <w:style w:type="paragraph" w:styleId="CommentSubject">
    <w:name w:val="annotation subject"/>
    <w:basedOn w:val="CommentText"/>
    <w:next w:val="CommentText"/>
    <w:semiHidden/>
    <w:rsid w:val="00EE7183"/>
    <w:rPr>
      <w:b/>
      <w:bCs/>
    </w:rPr>
  </w:style>
  <w:style w:type="character" w:styleId="Strong">
    <w:name w:val="Strong"/>
    <w:basedOn w:val="DefaultParagraphFont"/>
    <w:qFormat/>
    <w:rsid w:val="00744F07"/>
    <w:rPr>
      <w:b/>
      <w:bCs/>
    </w:rPr>
  </w:style>
  <w:style w:type="character" w:styleId="PageNumber">
    <w:name w:val="page number"/>
    <w:basedOn w:val="DefaultParagraphFont"/>
    <w:rsid w:val="00FE1FCB"/>
  </w:style>
  <w:style w:type="character" w:styleId="Hyperlink">
    <w:name w:val="Hyperlink"/>
    <w:basedOn w:val="DefaultParagraphFont"/>
    <w:rsid w:val="002E39AC"/>
    <w:rPr>
      <w:color w:val="0000FF"/>
      <w:u w:val="single"/>
    </w:rPr>
  </w:style>
  <w:style w:type="paragraph" w:customStyle="1" w:styleId="ListParagraph1">
    <w:name w:val="List Paragraph1"/>
    <w:basedOn w:val="Normal"/>
    <w:qFormat/>
    <w:rsid w:val="00691A66"/>
    <w:pPr>
      <w:spacing w:after="200" w:line="276" w:lineRule="auto"/>
      <w:ind w:left="720"/>
    </w:pPr>
    <w:rPr>
      <w:rFonts w:ascii="Calibri" w:eastAsia="Calibri" w:hAnsi="Calibri"/>
      <w:sz w:val="22"/>
      <w:szCs w:val="22"/>
      <w:lang w:val="en-US" w:eastAsia="en-US"/>
    </w:rPr>
  </w:style>
  <w:style w:type="character" w:styleId="Emphasis">
    <w:name w:val="Emphasis"/>
    <w:basedOn w:val="DefaultParagraphFont"/>
    <w:qFormat/>
    <w:rsid w:val="008F7A81"/>
    <w:rPr>
      <w:b/>
      <w:bCs/>
      <w:i w:val="0"/>
      <w:iCs w:val="0"/>
    </w:rPr>
  </w:style>
  <w:style w:type="character" w:customStyle="1" w:styleId="st1">
    <w:name w:val="st1"/>
    <w:basedOn w:val="DefaultParagraphFont"/>
    <w:rsid w:val="00E971BF"/>
  </w:style>
  <w:style w:type="character" w:customStyle="1" w:styleId="Heading1Char">
    <w:name w:val="Heading 1 Char"/>
    <w:basedOn w:val="DefaultParagraphFont"/>
    <w:link w:val="Heading1"/>
    <w:rsid w:val="00E971BF"/>
    <w:rPr>
      <w:rFonts w:ascii="Cambria" w:eastAsia="Times New Roman" w:hAnsi="Cambria" w:cs="Times New Roman"/>
      <w:b/>
      <w:bCs/>
      <w:kern w:val="32"/>
      <w:sz w:val="32"/>
      <w:szCs w:val="32"/>
    </w:rPr>
  </w:style>
  <w:style w:type="paragraph" w:styleId="NoSpacing">
    <w:name w:val="No Spacing"/>
    <w:qFormat/>
    <w:rsid w:val="00E971BF"/>
    <w:rPr>
      <w:sz w:val="24"/>
      <w:szCs w:val="24"/>
    </w:rPr>
  </w:style>
  <w:style w:type="character" w:customStyle="1" w:styleId="HeaderChar">
    <w:name w:val="Header Char"/>
    <w:basedOn w:val="DefaultParagraphFont"/>
    <w:link w:val="Header"/>
    <w:uiPriority w:val="99"/>
    <w:rsid w:val="00E971BF"/>
    <w:rPr>
      <w:sz w:val="24"/>
      <w:szCs w:val="24"/>
    </w:rPr>
  </w:style>
  <w:style w:type="paragraph" w:customStyle="1" w:styleId="H4">
    <w:name w:val="H4"/>
    <w:basedOn w:val="Normal"/>
    <w:next w:val="Normal"/>
    <w:rsid w:val="00784A51"/>
    <w:pPr>
      <w:keepNext/>
      <w:spacing w:before="100" w:after="100"/>
      <w:outlineLvl w:val="4"/>
    </w:pPr>
    <w:rPr>
      <w:b/>
      <w:snapToGrid w:val="0"/>
      <w:szCs w:val="20"/>
      <w:lang w:eastAsia="en-US"/>
    </w:rPr>
  </w:style>
  <w:style w:type="paragraph" w:customStyle="1" w:styleId="tvhtml1">
    <w:name w:val="tv_html1"/>
    <w:basedOn w:val="Normal"/>
    <w:rsid w:val="00754E5A"/>
    <w:pPr>
      <w:spacing w:before="100" w:beforeAutospacing="1" w:line="360" w:lineRule="auto"/>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346517085">
      <w:bodyDiv w:val="1"/>
      <w:marLeft w:val="45"/>
      <w:marRight w:val="45"/>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354:0034:01:LV:HTML" TargetMode="External"/><Relationship Id="rId13" Type="http://schemas.openxmlformats.org/officeDocument/2006/relationships/hyperlink" Target="mailto:anita.seglina@vm.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xUriServ/LexUriServ.do?uri=OJ:L:2008:354:0034:01:LV:HTML" TargetMode="External"/><Relationship Id="rId12" Type="http://schemas.openxmlformats.org/officeDocument/2006/relationships/hyperlink" Target="http://eur-lex.europa.eu/LexUriServ/LexUriServ.do?uri=OJ:L:2008:354:0034:01:LV: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08:354:0034:01:LV: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ur-lex.europa.eu/LexUriServ/LexUriServ.do?uri=OJ:L:2008:354:0034:01:LV: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europa.eu/consumers/sectors/cosmetics/documents/guidelines/sue_en.htm"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21</Pages>
  <Words>6790</Words>
  <Characters>38703</Characters>
  <Application>Microsoft Office Word</Application>
  <DocSecurity>0</DocSecurity>
  <Lines>322</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kosmētikas līdzekļu būtisko prasību ievērošanas uzraudzību</vt:lpstr>
      <vt:lpstr>Noteikumi par kosmētikas līdzekļu būtisko prasību ievērošanas uzraudzību</vt:lpstr>
    </vt:vector>
  </TitlesOfParts>
  <Company>Veselības ministrija</Company>
  <LinksUpToDate>false</LinksUpToDate>
  <CharactersWithSpaces>45403</CharactersWithSpaces>
  <SharedDoc>false</SharedDoc>
  <HLinks>
    <vt:vector size="42" baseType="variant">
      <vt:variant>
        <vt:i4>7864393</vt:i4>
      </vt:variant>
      <vt:variant>
        <vt:i4>18</vt:i4>
      </vt:variant>
      <vt:variant>
        <vt:i4>0</vt:i4>
      </vt:variant>
      <vt:variant>
        <vt:i4>5</vt:i4>
      </vt:variant>
      <vt:variant>
        <vt:lpwstr>mailto:anita.seglina@vm.gov.lv</vt:lpwstr>
      </vt:variant>
      <vt:variant>
        <vt:lpwstr/>
      </vt:variant>
      <vt:variant>
        <vt:i4>7209009</vt:i4>
      </vt:variant>
      <vt:variant>
        <vt:i4>15</vt:i4>
      </vt:variant>
      <vt:variant>
        <vt:i4>0</vt:i4>
      </vt:variant>
      <vt:variant>
        <vt:i4>5</vt:i4>
      </vt:variant>
      <vt:variant>
        <vt:lpwstr>http://eur-lex.europa.eu/LexUriServ/LexUriServ.do?uri=OJ:L:2008:354:0034:01:LV:HTML</vt:lpwstr>
      </vt:variant>
      <vt:variant>
        <vt:lpwstr/>
      </vt:variant>
      <vt:variant>
        <vt:i4>7209009</vt:i4>
      </vt:variant>
      <vt:variant>
        <vt:i4>12</vt:i4>
      </vt:variant>
      <vt:variant>
        <vt:i4>0</vt:i4>
      </vt:variant>
      <vt:variant>
        <vt:i4>5</vt:i4>
      </vt:variant>
      <vt:variant>
        <vt:lpwstr>http://eur-lex.europa.eu/LexUriServ/LexUriServ.do?uri=OJ:L:2008:354:0034:01:LV:HTML</vt:lpwstr>
      </vt:variant>
      <vt:variant>
        <vt:lpwstr/>
      </vt:variant>
      <vt:variant>
        <vt:i4>7209009</vt:i4>
      </vt:variant>
      <vt:variant>
        <vt:i4>9</vt:i4>
      </vt:variant>
      <vt:variant>
        <vt:i4>0</vt:i4>
      </vt:variant>
      <vt:variant>
        <vt:i4>5</vt:i4>
      </vt:variant>
      <vt:variant>
        <vt:lpwstr>http://eur-lex.europa.eu/LexUriServ/LexUriServ.do?uri=OJ:L:2008:354:0034:01:LV:HTML</vt:lpwstr>
      </vt:variant>
      <vt:variant>
        <vt:lpwstr/>
      </vt:variant>
      <vt:variant>
        <vt:i4>6684744</vt:i4>
      </vt:variant>
      <vt:variant>
        <vt:i4>6</vt:i4>
      </vt:variant>
      <vt:variant>
        <vt:i4>0</vt:i4>
      </vt:variant>
      <vt:variant>
        <vt:i4>5</vt:i4>
      </vt:variant>
      <vt:variant>
        <vt:lpwstr>http://ec.europa.eu/consumers/sectors/cosmetics/documents/guidelines/sue_en.htm</vt:lpwstr>
      </vt:variant>
      <vt:variant>
        <vt:lpwstr/>
      </vt:variant>
      <vt:variant>
        <vt:i4>7209009</vt:i4>
      </vt:variant>
      <vt:variant>
        <vt:i4>3</vt:i4>
      </vt:variant>
      <vt:variant>
        <vt:i4>0</vt:i4>
      </vt:variant>
      <vt:variant>
        <vt:i4>5</vt:i4>
      </vt:variant>
      <vt:variant>
        <vt:lpwstr>http://eur-lex.europa.eu/LexUriServ/LexUriServ.do?uri=OJ:L:2008:354:0034:01:LV:HTML</vt:lpwstr>
      </vt:variant>
      <vt:variant>
        <vt:lpwstr/>
      </vt:variant>
      <vt:variant>
        <vt:i4>7209009</vt:i4>
      </vt:variant>
      <vt:variant>
        <vt:i4>0</vt:i4>
      </vt:variant>
      <vt:variant>
        <vt:i4>0</vt:i4>
      </vt:variant>
      <vt:variant>
        <vt:i4>5</vt:i4>
      </vt:variant>
      <vt:variant>
        <vt:lpwstr>http://eur-lex.europa.eu/LexUriServ/LexUriServ.do?uri=OJ:L:2008:354:0034:01:LV:HTML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kosmētikas līdzekļu būtisko prasību ievērošanas uzraudzību</dc:title>
  <dc:subject>anotācija</dc:subject>
  <dc:creator>Anita Segliņa</dc:creator>
  <dc:description>anita.seglina@vm.gov.lv, 67876102</dc:description>
  <cp:lastModifiedBy>aseglina</cp:lastModifiedBy>
  <cp:revision>15</cp:revision>
  <cp:lastPrinted>2012-11-01T08:55:00Z</cp:lastPrinted>
  <dcterms:created xsi:type="dcterms:W3CDTF">2013-04-15T07:04:00Z</dcterms:created>
  <dcterms:modified xsi:type="dcterms:W3CDTF">2013-04-23T12:04:00Z</dcterms:modified>
</cp:coreProperties>
</file>