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F26819" w:rsidRDefault="00956BE6" w:rsidP="00956BE6">
      <w:pPr>
        <w:jc w:val="center"/>
        <w:rPr>
          <w:b/>
        </w:rPr>
      </w:pPr>
      <w:bookmarkStart w:id="0" w:name="OLE_LINK3"/>
      <w:bookmarkStart w:id="1" w:name="OLE_LINK4"/>
      <w:bookmarkStart w:id="2" w:name="OLE_LINK1"/>
      <w:bookmarkStart w:id="3" w:name="OLE_LINK2"/>
      <w:bookmarkStart w:id="4" w:name="OLE_LINK12"/>
      <w:bookmarkStart w:id="5" w:name="OLE_LINK13"/>
      <w:r w:rsidRPr="00F26819">
        <w:rPr>
          <w:b/>
        </w:rPr>
        <w:t>Ministru kabineta noteikumu projekta</w:t>
      </w:r>
    </w:p>
    <w:p w:rsidR="00F26819" w:rsidRDefault="00956BE6" w:rsidP="00956BE6">
      <w:pPr>
        <w:jc w:val="center"/>
        <w:rPr>
          <w:b/>
        </w:rPr>
      </w:pPr>
      <w:r w:rsidRPr="00F26819">
        <w:rPr>
          <w:b/>
        </w:rPr>
        <w:t xml:space="preserve">“Grozījumi </w:t>
      </w:r>
      <w:r w:rsidR="00F26819" w:rsidRPr="00F26819">
        <w:rPr>
          <w:b/>
        </w:rPr>
        <w:t>Ministru kabineta 1999.gada 5.janvāra noteikumos Nr.7</w:t>
      </w:r>
    </w:p>
    <w:p w:rsidR="00F26819" w:rsidRDefault="00F26819" w:rsidP="00956BE6">
      <w:pPr>
        <w:jc w:val="center"/>
        <w:rPr>
          <w:b/>
        </w:rPr>
      </w:pPr>
      <w:r w:rsidRPr="00F26819">
        <w:rPr>
          <w:b/>
        </w:rPr>
        <w:t xml:space="preserve"> </w:t>
      </w:r>
      <w:r w:rsidR="002B42A3">
        <w:rPr>
          <w:b/>
        </w:rPr>
        <w:t>„</w:t>
      </w:r>
      <w:r w:rsidRPr="00F26819">
        <w:rPr>
          <w:b/>
        </w:rPr>
        <w:t>Infekcijas slimību reģistrācijas kārtība</w:t>
      </w:r>
      <w:r>
        <w:rPr>
          <w:b/>
        </w:rPr>
        <w:t>”</w:t>
      </w:r>
      <w:r w:rsidR="00301C9B">
        <w:rPr>
          <w:b/>
        </w:rPr>
        <w:t>”</w:t>
      </w:r>
    </w:p>
    <w:p w:rsidR="00956BE6" w:rsidRPr="00F26819" w:rsidRDefault="00956BE6" w:rsidP="00956BE6">
      <w:pPr>
        <w:jc w:val="center"/>
        <w:rPr>
          <w:b/>
        </w:rPr>
      </w:pPr>
      <w:r w:rsidRPr="00F26819">
        <w:rPr>
          <w:b/>
          <w:bCs/>
        </w:rPr>
        <w:t>sākotnējās ietekmes novērtējuma ziņojums (anotācija)</w:t>
      </w:r>
    </w:p>
    <w:bookmarkEnd w:id="0"/>
    <w:bookmarkEnd w:id="1"/>
    <w:p w:rsidR="002F17DF" w:rsidRPr="00F26819" w:rsidRDefault="002F17DF" w:rsidP="00586F93">
      <w:pPr>
        <w:jc w:val="cente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1417"/>
        <w:gridCol w:w="7385"/>
      </w:tblGrid>
      <w:tr w:rsidR="002F17DF" w:rsidRPr="003E4B12" w:rsidTr="00DF408E">
        <w:trPr>
          <w:tblCellSpacing w:w="0" w:type="dxa"/>
        </w:trPr>
        <w:tc>
          <w:tcPr>
            <w:tcW w:w="9228"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6765CD">
        <w:trPr>
          <w:trHeight w:val="630"/>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1417"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7385" w:type="dxa"/>
            <w:tcBorders>
              <w:top w:val="outset" w:sz="6" w:space="0" w:color="auto"/>
              <w:left w:val="outset" w:sz="6" w:space="0" w:color="auto"/>
              <w:bottom w:val="outset" w:sz="6" w:space="0" w:color="auto"/>
              <w:right w:val="outset" w:sz="6" w:space="0" w:color="auto"/>
            </w:tcBorders>
            <w:hideMark/>
          </w:tcPr>
          <w:p w:rsidR="00995D80" w:rsidRPr="00995D80" w:rsidRDefault="00956BE6" w:rsidP="005F673D">
            <w:pPr>
              <w:ind w:left="126" w:firstLine="126"/>
              <w:jc w:val="both"/>
              <w:rPr>
                <w:u w:val="single"/>
              </w:rPr>
            </w:pPr>
            <w:r w:rsidRPr="00E04F41">
              <w:t xml:space="preserve">Ministru kabineta noteikumu projekts „Grozījumi </w:t>
            </w:r>
            <w:r w:rsidR="00F26819" w:rsidRPr="00B04120">
              <w:t>Ministru kabineta 1999.gada 5.janvāra noteikum</w:t>
            </w:r>
            <w:r w:rsidR="005F673D">
              <w:t>os</w:t>
            </w:r>
            <w:r w:rsidR="00F26819" w:rsidRPr="00B04120">
              <w:t xml:space="preserve"> Nr.7 „Infekcijas slimību reģistrācijas kārtība”” </w:t>
            </w:r>
            <w:r w:rsidR="00AC130D">
              <w:t xml:space="preserve">(turpmāk – noteikumu projekts) </w:t>
            </w:r>
            <w:r w:rsidRPr="00E04F41">
              <w:t xml:space="preserve">izstrādāts </w:t>
            </w:r>
            <w:r w:rsidR="00E04F41" w:rsidRPr="00E04F41">
              <w:t xml:space="preserve">saskaņā ar </w:t>
            </w:r>
            <w:r w:rsidR="00903E98">
              <w:t xml:space="preserve">Epidemioloģiskās drošības likuma 10.pantu un 14.panta pirmās daļas 4.punktu </w:t>
            </w:r>
          </w:p>
        </w:tc>
      </w:tr>
      <w:tr w:rsidR="00956BE6" w:rsidRPr="003E4B12" w:rsidTr="006765CD">
        <w:trPr>
          <w:trHeight w:val="472"/>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141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7385" w:type="dxa"/>
            <w:tcBorders>
              <w:top w:val="outset" w:sz="6" w:space="0" w:color="auto"/>
              <w:left w:val="outset" w:sz="6" w:space="0" w:color="auto"/>
              <w:bottom w:val="outset" w:sz="6" w:space="0" w:color="auto"/>
              <w:right w:val="outset" w:sz="6" w:space="0" w:color="auto"/>
            </w:tcBorders>
            <w:hideMark/>
          </w:tcPr>
          <w:p w:rsidR="00F26819" w:rsidRDefault="00842362" w:rsidP="00842362">
            <w:pPr>
              <w:ind w:firstLine="127"/>
              <w:jc w:val="both"/>
            </w:pPr>
            <w:r>
              <w:t>M</w:t>
            </w:r>
            <w:r w:rsidR="00F26819" w:rsidRPr="00B04120">
              <w:t xml:space="preserve">inistru kabineta 1999.gada 5.janvāra noteikumi  Nr.7 „Infekcijas slimību reģistrācijas kārtība”” (turpmāk – MK noteikumi) nosaka kārtību, kādā reģistrējami gadījumi, kad konstatētas cilvēku infekcijas slimības un inficēšanās ar tām, kā arī gadījumi, kad konstatēti infekcijas slimību izraisītāji. Infekcijas slimību un laboratoriski konstatēto infekcijas slimību izraisītāju uzskaiti atbilstoši kompetencei veic </w:t>
            </w:r>
            <w:r w:rsidR="008A7B24">
              <w:t>Slimību profilakses un kontroles centrs.</w:t>
            </w:r>
          </w:p>
          <w:p w:rsidR="005C3785" w:rsidRPr="006D7D68" w:rsidRDefault="005C3785" w:rsidP="00842362">
            <w:pPr>
              <w:ind w:firstLine="127"/>
              <w:jc w:val="both"/>
            </w:pPr>
            <w:r w:rsidRPr="006D7D68">
              <w:t>Infekcijas slimību reģistrācijas kārtība valstī pamatojas uz Epidemioloģiskās drošības likumu, kā arī uz Eiropas Parlamenta un Padomes 1998.gada 24.septembra Lēmumu 2119/98/EK par epidemioloģiskās uzraudzības un infekcijas slimību kontroles tīkla izveidošanu Kopienā, Eiropas</w:t>
            </w:r>
            <w:r w:rsidRPr="006D7D68">
              <w:rPr>
                <w:sz w:val="28"/>
                <w:szCs w:val="28"/>
              </w:rPr>
              <w:t xml:space="preserve"> </w:t>
            </w:r>
            <w:r w:rsidRPr="006D7D68">
              <w:t>Komisijas 1999. gada 22. decembra Lēmumu 2000/96/EK „Par infekcijas slimībām, uz kurām pakāpeniski attiecinās Kopienas tīklu saskaņā ar Eiropas Parlamenta un Padomes Lēmumu Nr. 2119/98/EK” (turpmāk – Lēmums 2000/96/EK), Eiropas Komisijas Īstenošanas lēmumu (2012.gada 8.augusts), ar kuru groza Lēmumu 2002/253/EK, ar ko nosaka gadījumu definīcijas ziņošanai par infekcijas slimībām Kopienas tīklā saskaņā ar Eiropas Parlamenta un Padomes Lēmumu Nr.2119/98/EK (turpmāk – Lēmums 2012/506/ES). Grozījumi minētajos lēmumos tiek iestrādāti Latvijas tiesību aktos.</w:t>
            </w:r>
          </w:p>
          <w:p w:rsidR="00E911B6" w:rsidRPr="00451436" w:rsidRDefault="004070DE" w:rsidP="00E911B6">
            <w:pPr>
              <w:ind w:firstLine="127"/>
              <w:jc w:val="both"/>
            </w:pPr>
            <w:r w:rsidRPr="006D7D68">
              <w:t xml:space="preserve"> </w:t>
            </w:r>
            <w:r w:rsidR="00E911B6" w:rsidRPr="006D7D68">
              <w:t>Ņemot vērā infekcijas slimību epidemioloģisko situāciju</w:t>
            </w:r>
            <w:r w:rsidR="00E911B6" w:rsidRPr="00451436">
              <w:t xml:space="preserve"> un r</w:t>
            </w:r>
            <w:r w:rsidR="00451436">
              <w:t>a</w:t>
            </w:r>
            <w:r w:rsidR="00E911B6" w:rsidRPr="00451436">
              <w:t>dītos draudus sabiedrības veselībai Kopienā, Eiropas Savienības infekcijas slimību epidemioloģiskās uzraudzības sistēma tiek papildināta ar jaunām infekcijas slimībām, par kurām jāziņo citām valstīm un Eiropas Komisijai ar Eiropas slimību profilakses un kontroles centra (turpmāk – ECDC) starpniecību. ECDC</w:t>
            </w:r>
            <w:r w:rsidR="00E345A7">
              <w:t>,</w:t>
            </w:r>
            <w:r w:rsidR="00E911B6" w:rsidRPr="00451436">
              <w:t xml:space="preserve"> kā galvenais epidemioloģiskās uzraudzības koordinators, savāc, apkopo, analīzē, veic riska analīzi un izplata informāciju par infekcijas slimībām Eiropas Savienības valstīs.</w:t>
            </w:r>
          </w:p>
          <w:p w:rsidR="001A1493" w:rsidRPr="00D12E60" w:rsidRDefault="006346B4" w:rsidP="00A207FC">
            <w:pPr>
              <w:jc w:val="both"/>
            </w:pPr>
            <w:r>
              <w:t>1.</w:t>
            </w:r>
            <w:r w:rsidR="00490633">
              <w:t xml:space="preserve"> </w:t>
            </w:r>
            <w:r w:rsidR="00E911B6">
              <w:t xml:space="preserve">Līdz šim </w:t>
            </w:r>
            <w:r w:rsidR="00E911B6" w:rsidRPr="00451436">
              <w:t>Eiropas Savienības valstīs, ieskaitot Latviju,</w:t>
            </w:r>
            <w:r w:rsidR="00E911B6">
              <w:t xml:space="preserve"> </w:t>
            </w:r>
            <w:r w:rsidR="00C66280">
              <w:t xml:space="preserve">nebija pievērsta </w:t>
            </w:r>
            <w:r w:rsidR="007C469C">
              <w:t>vajadzīgā</w:t>
            </w:r>
            <w:r w:rsidR="00C66280">
              <w:t xml:space="preserve"> uzmanīb</w:t>
            </w:r>
            <w:r w:rsidR="007C469C">
              <w:t>a</w:t>
            </w:r>
            <w:r w:rsidR="00C66280">
              <w:t xml:space="preserve"> </w:t>
            </w:r>
            <w:r w:rsidR="00E00364">
              <w:t xml:space="preserve">pieaugošai </w:t>
            </w:r>
            <w:r w:rsidR="00C66280" w:rsidRPr="00842362">
              <w:t>gono</w:t>
            </w:r>
            <w:r w:rsidR="00E00364">
              <w:t>koku infekcijas uzraudzībai un prof</w:t>
            </w:r>
            <w:r w:rsidR="006832C9">
              <w:t>i</w:t>
            </w:r>
            <w:r w:rsidR="00E00364">
              <w:t>laksei, īpaši</w:t>
            </w:r>
            <w:r w:rsidR="007C469C">
              <w:t xml:space="preserve"> gadījumiem, </w:t>
            </w:r>
            <w:r w:rsidR="00C66280" w:rsidRPr="00842362">
              <w:t xml:space="preserve">kad ārstēšana </w:t>
            </w:r>
            <w:r w:rsidR="00C66280">
              <w:t xml:space="preserve"> ar antib</w:t>
            </w:r>
            <w:r w:rsidR="0033673B">
              <w:t>akteriāliem līdzekļiem</w:t>
            </w:r>
            <w:r w:rsidR="00C66280">
              <w:t xml:space="preserve"> (</w:t>
            </w:r>
            <w:proofErr w:type="spellStart"/>
            <w:r w:rsidR="00C66280">
              <w:t>c</w:t>
            </w:r>
            <w:r w:rsidR="00C66280" w:rsidRPr="00842362">
              <w:t>eftriakson</w:t>
            </w:r>
            <w:r w:rsidR="00C66280">
              <w:t>s</w:t>
            </w:r>
            <w:proofErr w:type="spellEnd"/>
            <w:r w:rsidR="00E32F29">
              <w:t>,</w:t>
            </w:r>
            <w:r w:rsidR="00C66280" w:rsidRPr="00842362">
              <w:t xml:space="preserve"> </w:t>
            </w:r>
            <w:proofErr w:type="spellStart"/>
            <w:r w:rsidR="00E32F29" w:rsidRPr="00E732B1">
              <w:rPr>
                <w:szCs w:val="28"/>
              </w:rPr>
              <w:t>ciprofloksacīn</w:t>
            </w:r>
            <w:r w:rsidR="00E32F29">
              <w:rPr>
                <w:szCs w:val="28"/>
              </w:rPr>
              <w:t>s</w:t>
            </w:r>
            <w:proofErr w:type="spellEnd"/>
            <w:r w:rsidR="00E32F29">
              <w:t xml:space="preserve"> </w:t>
            </w:r>
            <w:r w:rsidR="00C66280">
              <w:t xml:space="preserve">vai </w:t>
            </w:r>
            <w:proofErr w:type="spellStart"/>
            <w:r w:rsidR="00C66280" w:rsidRPr="00842362">
              <w:t>cefiksīm</w:t>
            </w:r>
            <w:r w:rsidR="00C66280">
              <w:t>s</w:t>
            </w:r>
            <w:proofErr w:type="spellEnd"/>
            <w:r w:rsidR="00C66280">
              <w:t xml:space="preserve">) </w:t>
            </w:r>
            <w:r w:rsidR="00C66280" w:rsidRPr="00842362">
              <w:t>nav bijusi veiksmīga</w:t>
            </w:r>
            <w:r w:rsidR="00C66280">
              <w:t xml:space="preserve">. </w:t>
            </w:r>
            <w:r w:rsidR="007C469C">
              <w:t>K</w:t>
            </w:r>
            <w:r w:rsidR="00C66280">
              <w:t>ā norāda ECDC (</w:t>
            </w:r>
            <w:r w:rsidR="00C66280" w:rsidRPr="006346B4">
              <w:rPr>
                <w:i/>
              </w:rPr>
              <w:t xml:space="preserve">ECDC </w:t>
            </w:r>
            <w:proofErr w:type="spellStart"/>
            <w:r w:rsidR="00C66280" w:rsidRPr="006346B4">
              <w:rPr>
                <w:i/>
              </w:rPr>
              <w:t>Special</w:t>
            </w:r>
            <w:proofErr w:type="spellEnd"/>
            <w:r w:rsidR="00C66280" w:rsidRPr="006346B4">
              <w:rPr>
                <w:i/>
              </w:rPr>
              <w:t xml:space="preserve"> </w:t>
            </w:r>
            <w:proofErr w:type="spellStart"/>
            <w:r w:rsidR="00C66280" w:rsidRPr="006346B4">
              <w:rPr>
                <w:i/>
              </w:rPr>
              <w:t>report</w:t>
            </w:r>
            <w:proofErr w:type="spellEnd"/>
            <w:r w:rsidR="00C66280" w:rsidRPr="006346B4">
              <w:rPr>
                <w:i/>
              </w:rPr>
              <w:t xml:space="preserve"> „</w:t>
            </w:r>
            <w:proofErr w:type="spellStart"/>
            <w:r w:rsidR="00C66280" w:rsidRPr="006346B4">
              <w:rPr>
                <w:i/>
              </w:rPr>
              <w:t>Responce</w:t>
            </w:r>
            <w:proofErr w:type="spellEnd"/>
            <w:r w:rsidR="00C66280" w:rsidRPr="006346B4">
              <w:rPr>
                <w:i/>
              </w:rPr>
              <w:t xml:space="preserve"> </w:t>
            </w:r>
            <w:proofErr w:type="spellStart"/>
            <w:r w:rsidR="00C66280" w:rsidRPr="006346B4">
              <w:rPr>
                <w:i/>
              </w:rPr>
              <w:t>plan</w:t>
            </w:r>
            <w:proofErr w:type="spellEnd"/>
            <w:r w:rsidR="00C66280" w:rsidRPr="006346B4">
              <w:rPr>
                <w:i/>
              </w:rPr>
              <w:t xml:space="preserve"> to </w:t>
            </w:r>
            <w:proofErr w:type="spellStart"/>
            <w:r w:rsidR="00C66280" w:rsidRPr="006346B4">
              <w:rPr>
                <w:i/>
              </w:rPr>
              <w:t>control</w:t>
            </w:r>
            <w:proofErr w:type="spellEnd"/>
            <w:r w:rsidR="00C66280" w:rsidRPr="006346B4">
              <w:rPr>
                <w:i/>
              </w:rPr>
              <w:t xml:space="preserve"> </w:t>
            </w:r>
            <w:proofErr w:type="spellStart"/>
            <w:r w:rsidR="00C66280" w:rsidRPr="006346B4">
              <w:rPr>
                <w:i/>
              </w:rPr>
              <w:t>and</w:t>
            </w:r>
            <w:proofErr w:type="spellEnd"/>
            <w:r w:rsidR="00C66280" w:rsidRPr="006346B4">
              <w:rPr>
                <w:i/>
              </w:rPr>
              <w:t xml:space="preserve"> </w:t>
            </w:r>
            <w:proofErr w:type="spellStart"/>
            <w:r w:rsidR="00C66280" w:rsidRPr="006346B4">
              <w:rPr>
                <w:i/>
              </w:rPr>
              <w:t>manage</w:t>
            </w:r>
            <w:proofErr w:type="spellEnd"/>
            <w:r w:rsidR="00C66280" w:rsidRPr="006346B4">
              <w:rPr>
                <w:i/>
              </w:rPr>
              <w:t xml:space="preserve"> </w:t>
            </w:r>
            <w:proofErr w:type="spellStart"/>
            <w:r w:rsidR="00C66280" w:rsidRPr="006346B4">
              <w:rPr>
                <w:i/>
              </w:rPr>
              <w:t>the</w:t>
            </w:r>
            <w:proofErr w:type="spellEnd"/>
            <w:r w:rsidR="00C66280" w:rsidRPr="006346B4">
              <w:rPr>
                <w:i/>
              </w:rPr>
              <w:t xml:space="preserve"> </w:t>
            </w:r>
            <w:proofErr w:type="spellStart"/>
            <w:r w:rsidR="00C66280" w:rsidRPr="006346B4">
              <w:rPr>
                <w:i/>
              </w:rPr>
              <w:t>threat</w:t>
            </w:r>
            <w:proofErr w:type="spellEnd"/>
            <w:r w:rsidR="00C66280" w:rsidRPr="006346B4">
              <w:rPr>
                <w:i/>
              </w:rPr>
              <w:t xml:space="preserve"> </w:t>
            </w:r>
            <w:proofErr w:type="spellStart"/>
            <w:r w:rsidR="00C66280" w:rsidRPr="006346B4">
              <w:rPr>
                <w:i/>
              </w:rPr>
              <w:t>of</w:t>
            </w:r>
            <w:proofErr w:type="spellEnd"/>
            <w:r w:rsidR="00C66280" w:rsidRPr="006346B4">
              <w:rPr>
                <w:i/>
              </w:rPr>
              <w:t xml:space="preserve"> </w:t>
            </w:r>
            <w:proofErr w:type="spellStart"/>
            <w:r w:rsidR="00C66280" w:rsidRPr="006346B4">
              <w:rPr>
                <w:i/>
              </w:rPr>
              <w:t>multidrug-resistant</w:t>
            </w:r>
            <w:proofErr w:type="spellEnd"/>
            <w:r w:rsidR="00C66280" w:rsidRPr="006346B4">
              <w:rPr>
                <w:i/>
              </w:rPr>
              <w:t xml:space="preserve"> </w:t>
            </w:r>
            <w:proofErr w:type="spellStart"/>
            <w:r w:rsidR="00C66280" w:rsidRPr="006346B4">
              <w:rPr>
                <w:i/>
              </w:rPr>
              <w:t>gonorrhoea</w:t>
            </w:r>
            <w:proofErr w:type="spellEnd"/>
            <w:r w:rsidR="00C66280" w:rsidRPr="006346B4">
              <w:rPr>
                <w:i/>
              </w:rPr>
              <w:t xml:space="preserve"> </w:t>
            </w:r>
            <w:proofErr w:type="spellStart"/>
            <w:r w:rsidR="00C66280" w:rsidRPr="006346B4">
              <w:rPr>
                <w:i/>
              </w:rPr>
              <w:t>in</w:t>
            </w:r>
            <w:proofErr w:type="spellEnd"/>
            <w:r w:rsidR="00C66280" w:rsidRPr="006346B4">
              <w:rPr>
                <w:i/>
              </w:rPr>
              <w:t xml:space="preserve"> </w:t>
            </w:r>
            <w:proofErr w:type="spellStart"/>
            <w:r w:rsidR="00C66280" w:rsidRPr="006346B4">
              <w:rPr>
                <w:i/>
              </w:rPr>
              <w:t>Europe</w:t>
            </w:r>
            <w:proofErr w:type="spellEnd"/>
            <w:r w:rsidR="00C66280" w:rsidRPr="006346B4">
              <w:rPr>
                <w:i/>
              </w:rPr>
              <w:t>” (</w:t>
            </w:r>
            <w:proofErr w:type="spellStart"/>
            <w:r w:rsidR="00C66280" w:rsidRPr="006346B4">
              <w:rPr>
                <w:i/>
              </w:rPr>
              <w:t>June</w:t>
            </w:r>
            <w:proofErr w:type="spellEnd"/>
            <w:r w:rsidR="00C66280" w:rsidRPr="006346B4">
              <w:rPr>
                <w:i/>
              </w:rPr>
              <w:t xml:space="preserve"> 2012</w:t>
            </w:r>
            <w:r w:rsidR="00354BDB">
              <w:rPr>
                <w:i/>
              </w:rPr>
              <w:t>)</w:t>
            </w:r>
            <w:r w:rsidR="00C66280" w:rsidRPr="006346B4">
              <w:rPr>
                <w:i/>
              </w:rPr>
              <w:t>)</w:t>
            </w:r>
            <w:r w:rsidR="00226153" w:rsidRPr="006346B4">
              <w:rPr>
                <w:i/>
              </w:rPr>
              <w:t xml:space="preserve"> -</w:t>
            </w:r>
            <w:r w:rsidR="00C66280" w:rsidRPr="00C54783">
              <w:t xml:space="preserve"> </w:t>
            </w:r>
            <w:r w:rsidR="00C66280">
              <w:t>p</w:t>
            </w:r>
            <w:r w:rsidR="00C66280" w:rsidRPr="00C54783">
              <w:t xml:space="preserve">ēdējos gados Eiropas valstīs arvien biežāk tiek reģistrēta gonorejas izraisītāja </w:t>
            </w:r>
            <w:proofErr w:type="spellStart"/>
            <w:r w:rsidR="00C66280" w:rsidRPr="006346B4">
              <w:rPr>
                <w:i/>
              </w:rPr>
              <w:t>Neisseria</w:t>
            </w:r>
            <w:proofErr w:type="spellEnd"/>
            <w:r w:rsidR="00C66280" w:rsidRPr="006346B4">
              <w:rPr>
                <w:i/>
              </w:rPr>
              <w:t xml:space="preserve"> </w:t>
            </w:r>
            <w:proofErr w:type="spellStart"/>
            <w:r w:rsidR="00C66280" w:rsidRPr="006D7D68">
              <w:rPr>
                <w:i/>
              </w:rPr>
              <w:t>gonorrhoeae</w:t>
            </w:r>
            <w:proofErr w:type="spellEnd"/>
            <w:r w:rsidR="00C66280" w:rsidRPr="006D7D68">
              <w:rPr>
                <w:i/>
              </w:rPr>
              <w:t xml:space="preserve"> </w:t>
            </w:r>
            <w:r w:rsidR="00C66280" w:rsidRPr="006D7D68">
              <w:t>rezistence</w:t>
            </w:r>
            <w:r w:rsidR="00D456FC" w:rsidRPr="006D7D68">
              <w:t xml:space="preserve"> (nejutība)</w:t>
            </w:r>
            <w:r w:rsidR="00C66280" w:rsidRPr="006D7D68">
              <w:t xml:space="preserve"> pret </w:t>
            </w:r>
            <w:r w:rsidR="00E01EB6" w:rsidRPr="006D7D68">
              <w:t>antibakteriāliem līdzekļiem</w:t>
            </w:r>
            <w:r w:rsidR="00F77C03" w:rsidRPr="006D7D68">
              <w:t>, t</w:t>
            </w:r>
            <w:r w:rsidR="00C66280" w:rsidRPr="006D7D68">
              <w:t>āpēc gonoreja tiek uzskatīta par nopietnu sabiedrības veselības problēmu, jo, turpinoties šai tendencei</w:t>
            </w:r>
            <w:r w:rsidR="00C66280" w:rsidRPr="00C54783">
              <w:t xml:space="preserve">, nākotnē infekcija var kļūt neārstējama. </w:t>
            </w:r>
            <w:r w:rsidR="00E911B6" w:rsidRPr="00C54783">
              <w:t xml:space="preserve">Starptautiskie ceļojumi un migrācija veicina </w:t>
            </w:r>
            <w:r w:rsidR="00E911B6" w:rsidRPr="00C54783">
              <w:lastRenderedPageBreak/>
              <w:t xml:space="preserve">gonorejas, </w:t>
            </w:r>
            <w:r w:rsidR="00E911B6" w:rsidRPr="00D12E60">
              <w:t xml:space="preserve">ieskaitot </w:t>
            </w:r>
            <w:proofErr w:type="spellStart"/>
            <w:r w:rsidR="00E911B6" w:rsidRPr="00D12E60">
              <w:t>rezistento</w:t>
            </w:r>
            <w:proofErr w:type="spellEnd"/>
            <w:r w:rsidR="00E911B6" w:rsidRPr="00D12E60">
              <w:t xml:space="preserve"> </w:t>
            </w:r>
            <w:r w:rsidR="006044B5" w:rsidRPr="00D12E60">
              <w:t xml:space="preserve">mikroorganismu </w:t>
            </w:r>
            <w:r w:rsidR="00E911B6" w:rsidRPr="00D12E60">
              <w:t>formu</w:t>
            </w:r>
            <w:r w:rsidR="00E01EB6" w:rsidRPr="00D12E60">
              <w:t xml:space="preserve"> pret antibakteriāliem līdzekļiem</w:t>
            </w:r>
            <w:r w:rsidR="00E911B6" w:rsidRPr="00D12E60">
              <w:t xml:space="preserve"> izplatīšanos. Lai apzinātu un pastāvīgi kontrolētu situāciju ir nepieciešams nodrošināt</w:t>
            </w:r>
            <w:r w:rsidR="001A1493" w:rsidRPr="00D12E60">
              <w:t xml:space="preserve">: </w:t>
            </w:r>
          </w:p>
          <w:p w:rsidR="0039061C" w:rsidRPr="00D12E60" w:rsidRDefault="001A1493" w:rsidP="00A207FC">
            <w:pPr>
              <w:jc w:val="both"/>
            </w:pPr>
            <w:r w:rsidRPr="00D12E60">
              <w:t>1) ziņošanu par gadījumiem, kad ārstēšana ar antib</w:t>
            </w:r>
            <w:r w:rsidR="00E01EB6" w:rsidRPr="00D12E60">
              <w:t>akteriāliem līdzekļiem nav bijusi</w:t>
            </w:r>
            <w:r w:rsidRPr="00D12E60">
              <w:t xml:space="preserve"> veiksmīga</w:t>
            </w:r>
            <w:r w:rsidR="00EC1E50" w:rsidRPr="00D12E60">
              <w:t>;</w:t>
            </w:r>
            <w:r w:rsidR="00E00364" w:rsidRPr="00D12E60">
              <w:t xml:space="preserve"> </w:t>
            </w:r>
          </w:p>
          <w:p w:rsidR="00A207FC" w:rsidRPr="00D12E60" w:rsidRDefault="001A1493" w:rsidP="00A207FC">
            <w:pPr>
              <w:jc w:val="both"/>
              <w:rPr>
                <w:strike/>
              </w:rPr>
            </w:pPr>
            <w:r w:rsidRPr="00D12E60">
              <w:t xml:space="preserve">2) </w:t>
            </w:r>
            <w:r w:rsidR="00E911B6" w:rsidRPr="00D12E60">
              <w:t xml:space="preserve">efektīvu </w:t>
            </w:r>
            <w:proofErr w:type="spellStart"/>
            <w:r w:rsidR="00E911B6" w:rsidRPr="00D12E60">
              <w:rPr>
                <w:i/>
              </w:rPr>
              <w:t>Neisseria</w:t>
            </w:r>
            <w:proofErr w:type="spellEnd"/>
            <w:r w:rsidR="00E911B6" w:rsidRPr="00D12E60">
              <w:rPr>
                <w:i/>
              </w:rPr>
              <w:t xml:space="preserve"> </w:t>
            </w:r>
            <w:proofErr w:type="spellStart"/>
            <w:r w:rsidR="00E911B6" w:rsidRPr="00D12E60">
              <w:rPr>
                <w:i/>
              </w:rPr>
              <w:t>gonorrhoeae</w:t>
            </w:r>
            <w:proofErr w:type="spellEnd"/>
            <w:r w:rsidR="00E911B6" w:rsidRPr="00D12E60">
              <w:t xml:space="preserve"> jutības pret antibakteriāliem līdzekļiem</w:t>
            </w:r>
            <w:r w:rsidR="00894C69" w:rsidRPr="00D12E60">
              <w:t xml:space="preserve"> </w:t>
            </w:r>
            <w:r w:rsidR="00E911B6" w:rsidRPr="00D12E60">
              <w:t xml:space="preserve"> </w:t>
            </w:r>
            <w:r w:rsidR="00894C69" w:rsidRPr="00D12E60">
              <w:t xml:space="preserve"> (</w:t>
            </w:r>
            <w:proofErr w:type="spellStart"/>
            <w:r w:rsidR="00894C69" w:rsidRPr="00D12E60">
              <w:rPr>
                <w:szCs w:val="28"/>
              </w:rPr>
              <w:t>ceftriaksons</w:t>
            </w:r>
            <w:proofErr w:type="spellEnd"/>
            <w:r w:rsidR="00894C69" w:rsidRPr="00D12E60">
              <w:rPr>
                <w:szCs w:val="28"/>
              </w:rPr>
              <w:t xml:space="preserve">, </w:t>
            </w:r>
            <w:proofErr w:type="spellStart"/>
            <w:r w:rsidR="00894C69" w:rsidRPr="00D12E60">
              <w:rPr>
                <w:szCs w:val="28"/>
              </w:rPr>
              <w:t>cefiksīms</w:t>
            </w:r>
            <w:proofErr w:type="spellEnd"/>
            <w:r w:rsidR="00894C69" w:rsidRPr="00D12E60">
              <w:rPr>
                <w:szCs w:val="28"/>
              </w:rPr>
              <w:t xml:space="preserve">, </w:t>
            </w:r>
            <w:proofErr w:type="spellStart"/>
            <w:r w:rsidR="00894C69" w:rsidRPr="00D12E60">
              <w:rPr>
                <w:szCs w:val="28"/>
              </w:rPr>
              <w:t>ciprofloksacīns</w:t>
            </w:r>
            <w:proofErr w:type="spellEnd"/>
            <w:r w:rsidR="00894C69" w:rsidRPr="00D12E60">
              <w:rPr>
                <w:szCs w:val="28"/>
              </w:rPr>
              <w:t xml:space="preserve">, </w:t>
            </w:r>
            <w:proofErr w:type="spellStart"/>
            <w:r w:rsidR="00894C69" w:rsidRPr="00D12E60">
              <w:rPr>
                <w:szCs w:val="28"/>
              </w:rPr>
              <w:t>azitromicīns</w:t>
            </w:r>
            <w:proofErr w:type="spellEnd"/>
            <w:r w:rsidR="00894C69" w:rsidRPr="00D12E60">
              <w:rPr>
                <w:szCs w:val="28"/>
              </w:rPr>
              <w:t xml:space="preserve">, </w:t>
            </w:r>
            <w:proofErr w:type="spellStart"/>
            <w:r w:rsidR="00894C69" w:rsidRPr="00D12E60">
              <w:rPr>
                <w:szCs w:val="28"/>
              </w:rPr>
              <w:t>spektinomicīns</w:t>
            </w:r>
            <w:proofErr w:type="spellEnd"/>
            <w:r w:rsidR="00894C69" w:rsidRPr="00D12E60">
              <w:rPr>
                <w:szCs w:val="28"/>
              </w:rPr>
              <w:t xml:space="preserve">, </w:t>
            </w:r>
            <w:proofErr w:type="spellStart"/>
            <w:r w:rsidR="00894C69" w:rsidRPr="00D12E60">
              <w:rPr>
                <w:szCs w:val="28"/>
              </w:rPr>
              <w:t>gentamicīns</w:t>
            </w:r>
            <w:proofErr w:type="spellEnd"/>
            <w:r w:rsidR="00894C69" w:rsidRPr="00D12E60">
              <w:rPr>
                <w:szCs w:val="28"/>
              </w:rPr>
              <w:t xml:space="preserve"> un </w:t>
            </w:r>
            <w:proofErr w:type="spellStart"/>
            <w:r w:rsidR="00894C69" w:rsidRPr="00D12E60">
              <w:rPr>
                <w:szCs w:val="28"/>
              </w:rPr>
              <w:t>tetraciklīns</w:t>
            </w:r>
            <w:proofErr w:type="spellEnd"/>
            <w:r w:rsidR="00894C69" w:rsidRPr="00D12E60">
              <w:rPr>
                <w:szCs w:val="28"/>
              </w:rPr>
              <w:t>)</w:t>
            </w:r>
            <w:r w:rsidR="00894C69" w:rsidRPr="00D12E60">
              <w:t xml:space="preserve"> </w:t>
            </w:r>
            <w:r w:rsidR="00E911B6" w:rsidRPr="00D12E60">
              <w:t>monitoringu</w:t>
            </w:r>
            <w:r w:rsidRPr="00D12E60">
              <w:t xml:space="preserve"> (noteikumu projekta </w:t>
            </w:r>
            <w:r w:rsidR="001B367A" w:rsidRPr="00D12E60">
              <w:t>1.</w:t>
            </w:r>
            <w:r w:rsidR="005F6DDB" w:rsidRPr="00D12E60">
              <w:t>8</w:t>
            </w:r>
            <w:r w:rsidRPr="00D12E60">
              <w:t>.</w:t>
            </w:r>
            <w:r w:rsidR="001B367A" w:rsidRPr="00D12E60">
              <w:t>apakšpunkts</w:t>
            </w:r>
            <w:r w:rsidRPr="00D12E60">
              <w:t xml:space="preserve">) saskaņā </w:t>
            </w:r>
            <w:r w:rsidR="004664EF" w:rsidRPr="00D12E60">
              <w:t xml:space="preserve">ar </w:t>
            </w:r>
            <w:r w:rsidR="00A977DD" w:rsidRPr="00D12E60">
              <w:t>Lēmum</w:t>
            </w:r>
            <w:r w:rsidR="003D43FD" w:rsidRPr="00D12E60">
              <w:t>a</w:t>
            </w:r>
            <w:r w:rsidR="00A977DD" w:rsidRPr="00D12E60">
              <w:t xml:space="preserve"> 200</w:t>
            </w:r>
            <w:r w:rsidR="003D43FD" w:rsidRPr="00D12E60">
              <w:t>0/96/EK</w:t>
            </w:r>
            <w:r w:rsidR="00A977DD" w:rsidRPr="00D12E60">
              <w:t xml:space="preserve"> </w:t>
            </w:r>
            <w:r w:rsidR="00AE0C88" w:rsidRPr="00D12E60">
              <w:t xml:space="preserve">1.pielikuma </w:t>
            </w:r>
            <w:r w:rsidRPr="00D12E60">
              <w:t xml:space="preserve">3.2. apakšpunktu, kas paredz </w:t>
            </w:r>
            <w:r w:rsidR="002D5017" w:rsidRPr="00D12E60">
              <w:t xml:space="preserve">specializēto uzraudzības tīklu par </w:t>
            </w:r>
            <w:r w:rsidR="00730F63" w:rsidRPr="00D12E60">
              <w:t xml:space="preserve">antibakteriālo rezistenci. </w:t>
            </w:r>
          </w:p>
          <w:p w:rsidR="00E911B6" w:rsidRPr="00451436" w:rsidRDefault="006346B4" w:rsidP="00E911B6">
            <w:pPr>
              <w:jc w:val="both"/>
            </w:pPr>
            <w:r w:rsidRPr="00D12E60">
              <w:t xml:space="preserve">2. </w:t>
            </w:r>
            <w:r w:rsidR="00E911B6" w:rsidRPr="00D12E60">
              <w:t>Atbilstoši MK noteikumiem šobrīd ārstniecības persona</w:t>
            </w:r>
            <w:r w:rsidR="00354BDB" w:rsidRPr="00D12E60">
              <w:t>s</w:t>
            </w:r>
            <w:r w:rsidR="00E911B6" w:rsidRPr="00D12E60">
              <w:t xml:space="preserve"> ziņo</w:t>
            </w:r>
            <w:r w:rsidR="00E911B6" w:rsidRPr="00451436">
              <w:t xml:space="preserve"> par infekcijas slimības gadījumiem jaundzimušajiem. Savukārt tiesiskais regulējums ziņošanai par iespējamu infekcijas slimības avotu - jaundzimušā māti - šobrīd nav noteikts. Minētā nosacījuma iekļaušana tiesību aktā, ļaus efektīvāk veikt epidemioloģisko izmeklēšanu un turpmākos profilakses pasākumus arī pēc bērna un mātes izrakstīšanās no dzemdību nodaļas. Nereti jaundzimušajiem nav vēl piešķirts personas kods un nav noteikts vārds un uzvārds, līdz ar to pastāv risks, ka inficēt</w:t>
            </w:r>
            <w:r w:rsidR="0099509D">
              <w:t>ais</w:t>
            </w:r>
            <w:r w:rsidR="00E911B6" w:rsidRPr="00451436">
              <w:t xml:space="preserve"> bērns un māte var </w:t>
            </w:r>
            <w:r w:rsidR="0099509D">
              <w:t>nenonākt</w:t>
            </w:r>
            <w:r w:rsidR="00E911B6" w:rsidRPr="00451436">
              <w:t xml:space="preserve"> veselības aprūpes un sabiedrības veselības speciālistu redzeslokā pēc izrakstīšanās no stacionāra, kas var negatīvi ietekmēt bērna veselību un apdraudēt dzīvību. </w:t>
            </w:r>
          </w:p>
          <w:p w:rsidR="00E911B6" w:rsidRPr="00451436" w:rsidRDefault="003648B3" w:rsidP="00E911B6">
            <w:pPr>
              <w:jc w:val="both"/>
            </w:pPr>
            <w:r>
              <w:t xml:space="preserve">  </w:t>
            </w:r>
            <w:r w:rsidR="006346B4">
              <w:t>3.</w:t>
            </w:r>
            <w:r w:rsidR="00E53AD1">
              <w:t xml:space="preserve"> </w:t>
            </w:r>
            <w:r w:rsidR="00E911B6" w:rsidRPr="00451436">
              <w:t xml:space="preserve">Veselības aprūpes pakalpojumu saņemšanas laikā nopietns risks pacientu veselībai nereti ir saistīts ar dažādiem mikroorganismiem, kuriem izveidojusies </w:t>
            </w:r>
            <w:r w:rsidR="00451436" w:rsidRPr="00451436">
              <w:t xml:space="preserve">rezistence </w:t>
            </w:r>
            <w:r w:rsidR="00E911B6" w:rsidRPr="00D12E60">
              <w:t>pret anti</w:t>
            </w:r>
            <w:r w:rsidR="00FD177D" w:rsidRPr="00D12E60">
              <w:t>bakteriāliem</w:t>
            </w:r>
            <w:r w:rsidR="00E911B6" w:rsidRPr="00D12E60">
              <w:t xml:space="preserve"> līdzekļiem</w:t>
            </w:r>
            <w:r w:rsidR="00E911B6" w:rsidRPr="005C3785">
              <w:rPr>
                <w:u w:val="single"/>
              </w:rPr>
              <w:t>.</w:t>
            </w:r>
            <w:r w:rsidR="00E911B6" w:rsidRPr="00451436">
              <w:t xml:space="preserve"> Līdz ar to ir nepieciešams apzināt un novērot situāciju saistībā ar to </w:t>
            </w:r>
            <w:proofErr w:type="spellStart"/>
            <w:r w:rsidR="00E911B6" w:rsidRPr="00451436">
              <w:t>rezistent</w:t>
            </w:r>
            <w:r w:rsidR="006004ED">
              <w:t>o</w:t>
            </w:r>
            <w:proofErr w:type="spellEnd"/>
            <w:r w:rsidR="00E911B6" w:rsidRPr="00451436">
              <w:t xml:space="preserve"> mikroorganismu izplatību, kuriem ir vislielākā ietekme uz sabiedrības veselību. Viena no aktuālām mikroorganismu grupām</w:t>
            </w:r>
            <w:r w:rsidR="00E911B6" w:rsidRPr="005C3785">
              <w:t xml:space="preserve">, </w:t>
            </w:r>
            <w:r w:rsidR="00E911B6" w:rsidRPr="00D12E60">
              <w:t>kas</w:t>
            </w:r>
            <w:r w:rsidR="001B367A" w:rsidRPr="00D12E60">
              <w:t xml:space="preserve"> ir </w:t>
            </w:r>
            <w:proofErr w:type="spellStart"/>
            <w:r w:rsidR="001B367A" w:rsidRPr="00D12E60">
              <w:t>rezistenti</w:t>
            </w:r>
            <w:proofErr w:type="spellEnd"/>
            <w:r w:rsidR="001B367A" w:rsidRPr="00D12E60">
              <w:t xml:space="preserve"> pret antibakteriāliem līdzekļiem un</w:t>
            </w:r>
            <w:r w:rsidR="00E911B6" w:rsidRPr="00D12E60">
              <w:t xml:space="preserve"> rada vislielāko apdraudējumu</w:t>
            </w:r>
            <w:r w:rsidR="001B367A" w:rsidRPr="005C3785">
              <w:t>,</w:t>
            </w:r>
            <w:r w:rsidR="00E911B6" w:rsidRPr="00451436">
              <w:t xml:space="preserve"> ir </w:t>
            </w:r>
            <w:proofErr w:type="spellStart"/>
            <w:r w:rsidR="00E911B6" w:rsidRPr="00451436">
              <w:t>karbapenemāzes</w:t>
            </w:r>
            <w:proofErr w:type="spellEnd"/>
            <w:r w:rsidR="00E911B6" w:rsidRPr="00451436">
              <w:t xml:space="preserve"> producējošie </w:t>
            </w:r>
            <w:proofErr w:type="spellStart"/>
            <w:r w:rsidR="00E911B6" w:rsidRPr="00451436">
              <w:rPr>
                <w:i/>
              </w:rPr>
              <w:t>Enterobacteriaceae</w:t>
            </w:r>
            <w:proofErr w:type="spellEnd"/>
            <w:r w:rsidR="00E911B6" w:rsidRPr="00451436">
              <w:t xml:space="preserve"> dzimtas mikroorganismi, kas ir relatīvi jauni un līdz šim </w:t>
            </w:r>
            <w:r w:rsidR="00CB5DD5" w:rsidRPr="00451436">
              <w:t xml:space="preserve">Latvijā </w:t>
            </w:r>
            <w:r w:rsidR="00E911B6" w:rsidRPr="00451436">
              <w:t>nebija pakļauti epidemioloģiskajai uzraudzībai un efektīvai laboratoriskajai testēšanai. Līdz ar to nepieciešams uzlabot minēto mikroorganismu uzraudzību, kas balstās uz laboratoriskās pārbaudes veikšanu references laboratorijā.</w:t>
            </w:r>
          </w:p>
          <w:p w:rsidR="006B4684" w:rsidRDefault="003648B3" w:rsidP="00842362">
            <w:pPr>
              <w:jc w:val="both"/>
            </w:pPr>
            <w:r w:rsidRPr="00ED7B87">
              <w:t xml:space="preserve"> </w:t>
            </w:r>
            <w:r w:rsidR="006B4684" w:rsidRPr="00ED7B87">
              <w:t xml:space="preserve">  </w:t>
            </w:r>
            <w:r w:rsidR="00490633">
              <w:t>4</w:t>
            </w:r>
            <w:r w:rsidR="00490633" w:rsidRPr="007419F8">
              <w:t>.</w:t>
            </w:r>
            <w:r w:rsidR="00E911B6" w:rsidRPr="007419F8">
              <w:t xml:space="preserve"> Redakcionālas izmaiņas nepieciešams veikt MK noteikumu 9.</w:t>
            </w:r>
            <w:r w:rsidR="00E911B6" w:rsidRPr="007419F8">
              <w:rPr>
                <w:vertAlign w:val="superscript"/>
              </w:rPr>
              <w:t xml:space="preserve">2 </w:t>
            </w:r>
            <w:r w:rsidR="00E911B6" w:rsidRPr="007419F8">
              <w:t>punktā,</w:t>
            </w:r>
            <w:r w:rsidR="006B4684" w:rsidRPr="007419F8">
              <w:t xml:space="preserve"> nosakot, </w:t>
            </w:r>
            <w:r w:rsidR="006B4684" w:rsidRPr="006D7D68">
              <w:t xml:space="preserve">ka </w:t>
            </w:r>
            <w:r w:rsidR="005C3785" w:rsidRPr="006D7D68">
              <w:t>noteikto</w:t>
            </w:r>
            <w:r w:rsidR="00F81A20" w:rsidRPr="007419F8">
              <w:t xml:space="preserve"> infekcijas slimību diagnostikai </w:t>
            </w:r>
            <w:r w:rsidR="006B4684" w:rsidRPr="007419F8">
              <w:t xml:space="preserve">var izmantot arī citas metodes, ne tikai </w:t>
            </w:r>
            <w:r w:rsidR="00D66AA9" w:rsidRPr="007419F8">
              <w:t>virusoloģijas izmeklējum</w:t>
            </w:r>
            <w:r w:rsidR="006B4684" w:rsidRPr="007419F8">
              <w:t>us</w:t>
            </w:r>
            <w:r w:rsidR="0014702A" w:rsidRPr="007419F8">
              <w:t xml:space="preserve"> un</w:t>
            </w:r>
            <w:r w:rsidR="00D66AA9" w:rsidRPr="007419F8">
              <w:t xml:space="preserve"> seroloģisk</w:t>
            </w:r>
            <w:r w:rsidR="006B4684" w:rsidRPr="007419F8">
              <w:t>o</w:t>
            </w:r>
            <w:r w:rsidR="00D66AA9" w:rsidRPr="007419F8">
              <w:t xml:space="preserve"> testēšan</w:t>
            </w:r>
            <w:r w:rsidR="006B4684" w:rsidRPr="007419F8">
              <w:t>u.</w:t>
            </w:r>
            <w:r w:rsidR="006B4684">
              <w:t xml:space="preserve"> </w:t>
            </w:r>
          </w:p>
          <w:p w:rsidR="00950179" w:rsidRDefault="006B4684" w:rsidP="001B2DBB">
            <w:pPr>
              <w:jc w:val="both"/>
            </w:pPr>
            <w:r>
              <w:t xml:space="preserve">  </w:t>
            </w:r>
            <w:r w:rsidR="00490633">
              <w:t>5.</w:t>
            </w:r>
            <w:r>
              <w:t xml:space="preserve"> </w:t>
            </w:r>
            <w:r w:rsidR="001B2DBB" w:rsidRPr="007419F8">
              <w:t xml:space="preserve">Lai panāktu maksimāli ātru un efektīvu masalu, masaliņu, epidēmiskā parotīta, </w:t>
            </w:r>
            <w:proofErr w:type="spellStart"/>
            <w:r w:rsidR="001B2DBB" w:rsidRPr="007419F8">
              <w:t>Denges</w:t>
            </w:r>
            <w:proofErr w:type="spellEnd"/>
            <w:r w:rsidR="001B2DBB" w:rsidRPr="007419F8">
              <w:t xml:space="preserve"> drudža, Q drudža un bīstamu infekcijas slimību diagnostiku, kurām ir liela ietekme uz sabiedrības veselību, kā arī ietaupītu valsts budžeta līdzekļus slimību diagnostikā, </w:t>
            </w:r>
            <w:r w:rsidR="00950179" w:rsidRPr="007419F8">
              <w:t xml:space="preserve">nepieciešams minēto infekcijas slimību diagnostikas funkciju nodot references laboratorijai, </w:t>
            </w:r>
            <w:r w:rsidR="00950179">
              <w:t>tādejādi</w:t>
            </w:r>
            <w:r w:rsidR="00950179" w:rsidRPr="007419F8">
              <w:t xml:space="preserve"> </w:t>
            </w:r>
            <w:r w:rsidR="001B2DBB" w:rsidRPr="007419F8">
              <w:t>koncentrējot reti izmantojamu sarežģīto testēšan</w:t>
            </w:r>
            <w:r w:rsidR="000C4A2A">
              <w:t>as</w:t>
            </w:r>
            <w:r w:rsidR="001B2DBB" w:rsidRPr="007419F8">
              <w:t xml:space="preserve"> metodoloģiju un aprīkojumu specializētajā laboratorijā, </w:t>
            </w:r>
            <w:r w:rsidR="00FC620C">
              <w:t>jo</w:t>
            </w:r>
            <w:r w:rsidR="001B2DBB" w:rsidRPr="007419F8">
              <w:t xml:space="preserve"> nav izmaksu efektīvi uzturēt diagnostikas metodikas vairākās laboratorijās</w:t>
            </w:r>
            <w:r w:rsidR="00950179">
              <w:t>,</w:t>
            </w:r>
            <w:r w:rsidR="00950179" w:rsidRPr="007419F8">
              <w:t xml:space="preserve"> ņemot vērā, ka minētās slimības tiek reģistrētas ļoti reti</w:t>
            </w:r>
            <w:r w:rsidR="001B2DBB" w:rsidRPr="007419F8">
              <w:t xml:space="preserve">. </w:t>
            </w:r>
          </w:p>
          <w:p w:rsidR="005A711E" w:rsidRDefault="00FC620C" w:rsidP="001B2DBB">
            <w:pPr>
              <w:jc w:val="both"/>
            </w:pPr>
            <w:r>
              <w:t>Šobrīd n</w:t>
            </w:r>
            <w:r w:rsidR="001B2DBB" w:rsidRPr="007419F8">
              <w:t>ormatīvā akta regulējuma trūkums ievieš neskaidrības, kura laboratorija pašreiz veic šādus izmeklējumus un kāds tam ir pamatojums.</w:t>
            </w:r>
          </w:p>
          <w:p w:rsidR="005A711E" w:rsidRPr="005A711E" w:rsidRDefault="001B2DBB" w:rsidP="005A711E">
            <w:pPr>
              <w:jc w:val="both"/>
            </w:pPr>
            <w:r w:rsidRPr="007419F8">
              <w:t xml:space="preserve"> </w:t>
            </w:r>
            <w:r w:rsidR="005A711E">
              <w:t xml:space="preserve">  I</w:t>
            </w:r>
            <w:r w:rsidRPr="007419F8">
              <w:t xml:space="preserve">nfekcijas slimību laboratoriskā diagnostika jāveic maksimāli īsā laikā ar maksimāli skaidru un vienkāršu loģistikas procedūru testējamo materiālu nosūtīšanā un piegādē </w:t>
            </w:r>
            <w:r w:rsidRPr="005242E8">
              <w:t>konkrētajā references laboratorijā,</w:t>
            </w:r>
            <w:r w:rsidRPr="007419F8">
              <w:t xml:space="preserve"> tad normatīvais </w:t>
            </w:r>
            <w:r w:rsidRPr="007419F8">
              <w:lastRenderedPageBreak/>
              <w:t>regulējums ieviesīs skaidrību un dos iespēju ārstniecības personām un sabiedrības veselības speciālistiem rīkoties maksimāli ātri un efektīvi,</w:t>
            </w:r>
            <w:r w:rsidR="005A711E" w:rsidRPr="007419F8">
              <w:t xml:space="preserve"> ja pastāv aizdomās </w:t>
            </w:r>
            <w:r w:rsidR="005A711E" w:rsidRPr="005A711E">
              <w:t xml:space="preserve">par kādu no šo noteikumu projekta 1.5. apakšpunktā minētajām infekcijas slimībām, kas var izraisīt valsts un starptautiskas nozīmes sabiedrības veselības apdraudējumu. </w:t>
            </w:r>
          </w:p>
          <w:p w:rsidR="001B2DBB" w:rsidRPr="007419F8" w:rsidRDefault="0099509D" w:rsidP="001B2DBB">
            <w:pPr>
              <w:jc w:val="both"/>
            </w:pPr>
            <w:r>
              <w:t xml:space="preserve"> </w:t>
            </w:r>
            <w:r w:rsidR="00905C4D" w:rsidRPr="00490633">
              <w:t xml:space="preserve">  </w:t>
            </w:r>
            <w:r w:rsidR="006B4684" w:rsidRPr="00490633">
              <w:t xml:space="preserve"> </w:t>
            </w:r>
            <w:r w:rsidR="00490633" w:rsidRPr="00490633">
              <w:t>6.</w:t>
            </w:r>
            <w:r w:rsidR="00E53AD1">
              <w:t xml:space="preserve"> </w:t>
            </w:r>
            <w:r w:rsidR="001B2DBB" w:rsidRPr="007419F8">
              <w:t>Redakcionāli precizējumi veicami MK noteikumu 9.</w:t>
            </w:r>
            <w:r w:rsidR="001B2DBB" w:rsidRPr="007419F8">
              <w:rPr>
                <w:vertAlign w:val="superscript"/>
              </w:rPr>
              <w:t xml:space="preserve">3 </w:t>
            </w:r>
            <w:r w:rsidR="001B2DBB" w:rsidRPr="007419F8">
              <w:t>punkt</w:t>
            </w:r>
            <w:r w:rsidR="006832C9">
              <w:t>a ievaddaļā</w:t>
            </w:r>
            <w:r w:rsidR="001B2DBB" w:rsidRPr="007419F8">
              <w:t>,</w:t>
            </w:r>
            <w:r w:rsidR="007419F8">
              <w:t xml:space="preserve"> jo</w:t>
            </w:r>
            <w:r w:rsidR="001B2DBB" w:rsidRPr="007419F8">
              <w:t xml:space="preserve"> laboratorisko izmeklēšanu var veikt jebkuram klīniskam materiālam.</w:t>
            </w:r>
          </w:p>
          <w:p w:rsidR="00631678" w:rsidRDefault="001B2DBB" w:rsidP="001B2DBB">
            <w:pPr>
              <w:jc w:val="both"/>
            </w:pPr>
            <w:r>
              <w:rPr>
                <w:color w:val="FF0000"/>
              </w:rPr>
              <w:t xml:space="preserve">  </w:t>
            </w:r>
            <w:r w:rsidR="00905C4D">
              <w:rPr>
                <w:color w:val="FF0000"/>
              </w:rPr>
              <w:t xml:space="preserve">  </w:t>
            </w:r>
            <w:r w:rsidR="00490633" w:rsidRPr="00490633">
              <w:t>7.</w:t>
            </w:r>
            <w:r w:rsidR="00905C4D">
              <w:rPr>
                <w:color w:val="FF0000"/>
              </w:rPr>
              <w:t xml:space="preserve"> </w:t>
            </w:r>
            <w:r w:rsidRPr="004B77E9">
              <w:t xml:space="preserve">Lai savlaicīgi identificētu uzliesmojumus, </w:t>
            </w:r>
            <w:r w:rsidR="00F9158D" w:rsidRPr="00631678">
              <w:t>infekcijas pārnēsāšanas faktorus</w:t>
            </w:r>
            <w:r w:rsidR="00E32F29">
              <w:t>,</w:t>
            </w:r>
            <w:r w:rsidR="00F9158D" w:rsidRPr="00631678">
              <w:t xml:space="preserve"> avotus</w:t>
            </w:r>
            <w:r w:rsidR="001F2927">
              <w:t xml:space="preserve"> un izplatīšanās ceļus, mērķtiecīgi </w:t>
            </w:r>
            <w:r w:rsidR="00F9158D" w:rsidRPr="00631678">
              <w:t xml:space="preserve">veiktu uz laboratoriskajiem un epidemioloģiskajiem pierādījumiem balstītus </w:t>
            </w:r>
            <w:r w:rsidR="001F2927">
              <w:t xml:space="preserve">profilakses </w:t>
            </w:r>
            <w:r w:rsidR="00F9158D" w:rsidRPr="00631678">
              <w:t>kontroles pasākumus, kā arī nodrošinātu epidemioloģiski svarīgas informācijas apmaiņu ar citām valstīm, apzinātu un kontrolētu starptautiskā mēroga uzliesmojumus</w:t>
            </w:r>
            <w:r w:rsidR="001F2927">
              <w:t>,</w:t>
            </w:r>
            <w:r w:rsidR="00F9158D" w:rsidRPr="00631678">
              <w:t xml:space="preserve"> </w:t>
            </w:r>
            <w:r w:rsidR="00F9158D" w:rsidRPr="004B77E9">
              <w:t>mikroorganismu detalizēta identifikācija</w:t>
            </w:r>
            <w:r w:rsidR="00F9158D">
              <w:t xml:space="preserve"> - izdalītā izraisītāja </w:t>
            </w:r>
            <w:proofErr w:type="spellStart"/>
            <w:r w:rsidR="00F9158D">
              <w:t>tipēšana</w:t>
            </w:r>
            <w:proofErr w:type="spellEnd"/>
            <w:r w:rsidR="00631678">
              <w:t>,</w:t>
            </w:r>
            <w:r w:rsidR="00F9158D">
              <w:t xml:space="preserve"> </w:t>
            </w:r>
            <w:r w:rsidR="00F9158D" w:rsidRPr="00203481">
              <w:rPr>
                <w:szCs w:val="28"/>
              </w:rPr>
              <w:t xml:space="preserve">nosakot </w:t>
            </w:r>
            <w:proofErr w:type="spellStart"/>
            <w:r w:rsidR="00F9158D" w:rsidRPr="00203481">
              <w:rPr>
                <w:szCs w:val="28"/>
              </w:rPr>
              <w:t>serotipu</w:t>
            </w:r>
            <w:proofErr w:type="spellEnd"/>
            <w:r w:rsidR="00F9158D" w:rsidRPr="00203481">
              <w:rPr>
                <w:i/>
                <w:szCs w:val="28"/>
              </w:rPr>
              <w:t xml:space="preserve"> Salmonella,</w:t>
            </w:r>
            <w:r w:rsidR="00F9158D" w:rsidRPr="00203481">
              <w:rPr>
                <w:szCs w:val="28"/>
              </w:rPr>
              <w:t xml:space="preserve"> </w:t>
            </w:r>
            <w:proofErr w:type="spellStart"/>
            <w:r w:rsidR="00F9158D" w:rsidRPr="00203481">
              <w:rPr>
                <w:i/>
                <w:szCs w:val="28"/>
              </w:rPr>
              <w:t>Shigella</w:t>
            </w:r>
            <w:proofErr w:type="spellEnd"/>
            <w:r w:rsidR="00F9158D" w:rsidRPr="00F73170">
              <w:rPr>
                <w:i/>
                <w:szCs w:val="28"/>
              </w:rPr>
              <w:t xml:space="preserve">, </w:t>
            </w:r>
            <w:proofErr w:type="spellStart"/>
            <w:r w:rsidR="00F9158D" w:rsidRPr="00F73170">
              <w:rPr>
                <w:i/>
                <w:szCs w:val="28"/>
              </w:rPr>
              <w:t>Yersinia</w:t>
            </w:r>
            <w:proofErr w:type="spellEnd"/>
            <w:r w:rsidR="00F9158D" w:rsidRPr="00F73170">
              <w:rPr>
                <w:i/>
                <w:szCs w:val="28"/>
              </w:rPr>
              <w:t xml:space="preserve">, </w:t>
            </w:r>
            <w:proofErr w:type="spellStart"/>
            <w:r w:rsidR="00F9158D" w:rsidRPr="00F73170">
              <w:rPr>
                <w:i/>
                <w:szCs w:val="28"/>
              </w:rPr>
              <w:t>Listeria</w:t>
            </w:r>
            <w:proofErr w:type="spellEnd"/>
            <w:r w:rsidR="00F9158D" w:rsidRPr="00203481">
              <w:rPr>
                <w:i/>
                <w:szCs w:val="28"/>
              </w:rPr>
              <w:t xml:space="preserve"> un </w:t>
            </w:r>
            <w:proofErr w:type="spellStart"/>
            <w:r w:rsidR="00F9158D" w:rsidRPr="00203481">
              <w:rPr>
                <w:i/>
                <w:iCs/>
                <w:szCs w:val="28"/>
              </w:rPr>
              <w:t>Streptococcus</w:t>
            </w:r>
            <w:proofErr w:type="spellEnd"/>
            <w:r w:rsidR="00F9158D" w:rsidRPr="00203481">
              <w:rPr>
                <w:i/>
                <w:iCs/>
                <w:szCs w:val="28"/>
              </w:rPr>
              <w:t xml:space="preserve"> </w:t>
            </w:r>
            <w:proofErr w:type="spellStart"/>
            <w:r w:rsidR="00F9158D" w:rsidRPr="00203481">
              <w:rPr>
                <w:i/>
                <w:iCs/>
                <w:szCs w:val="28"/>
              </w:rPr>
              <w:t>pneumoniae</w:t>
            </w:r>
            <w:proofErr w:type="spellEnd"/>
            <w:r w:rsidR="00F9158D" w:rsidRPr="00203481">
              <w:rPr>
                <w:i/>
                <w:szCs w:val="28"/>
              </w:rPr>
              <w:t xml:space="preserve"> </w:t>
            </w:r>
            <w:r w:rsidR="00F9158D" w:rsidRPr="00203481">
              <w:rPr>
                <w:szCs w:val="28"/>
              </w:rPr>
              <w:t>kultūrām un sugu</w:t>
            </w:r>
            <w:r w:rsidR="00F9158D" w:rsidRPr="00203481">
              <w:rPr>
                <w:i/>
                <w:szCs w:val="28"/>
              </w:rPr>
              <w:t xml:space="preserve"> </w:t>
            </w:r>
            <w:proofErr w:type="spellStart"/>
            <w:r w:rsidR="00F9158D" w:rsidRPr="00203481">
              <w:rPr>
                <w:i/>
                <w:szCs w:val="28"/>
              </w:rPr>
              <w:t>Campylobacter</w:t>
            </w:r>
            <w:proofErr w:type="spellEnd"/>
            <w:r w:rsidR="00F9158D" w:rsidRPr="00203481">
              <w:rPr>
                <w:szCs w:val="28"/>
              </w:rPr>
              <w:t xml:space="preserve"> kultūrām</w:t>
            </w:r>
            <w:r w:rsidR="00631678">
              <w:rPr>
                <w:szCs w:val="28"/>
              </w:rPr>
              <w:t>,</w:t>
            </w:r>
            <w:r w:rsidR="00F9158D" w:rsidRPr="00203481">
              <w:rPr>
                <w:szCs w:val="28"/>
              </w:rPr>
              <w:t xml:space="preserve"> </w:t>
            </w:r>
            <w:r w:rsidR="00F9158D" w:rsidRPr="004B77E9">
              <w:t>ir svarīgs epidemioloģiskās uzraudzības pasākums katrā valstī un Eiropas Savienības mērogā</w:t>
            </w:r>
            <w:r w:rsidR="00F9158D">
              <w:t xml:space="preserve">. </w:t>
            </w:r>
            <w:r w:rsidRPr="004B77E9">
              <w:t xml:space="preserve">Tomēr, pašreiz ne visas mikrobioloģijas laboratorijas Latvijā veic </w:t>
            </w:r>
            <w:r w:rsidR="00F9158D">
              <w:t>iepriekšminēto</w:t>
            </w:r>
            <w:r w:rsidRPr="004B77E9">
              <w:t xml:space="preserve"> izraisītāju izmeklēšanu to </w:t>
            </w:r>
            <w:proofErr w:type="spellStart"/>
            <w:r w:rsidRPr="004B77E9">
              <w:t>serotipu</w:t>
            </w:r>
            <w:proofErr w:type="spellEnd"/>
            <w:r w:rsidRPr="004B77E9">
              <w:t xml:space="preserve"> noteikšanai, jo nav ieinteresēti šādā testēšanā tādēļ, ka ārstniecības procesam šie rezultāti parasti nav vajadzīgi, jo neietekmē ārstēšanas procesu. </w:t>
            </w:r>
          </w:p>
          <w:p w:rsidR="00F9158D" w:rsidRDefault="00A207FC" w:rsidP="001B2DBB">
            <w:pPr>
              <w:jc w:val="both"/>
            </w:pPr>
            <w:r>
              <w:t xml:space="preserve"> Attiecībā par </w:t>
            </w:r>
            <w:proofErr w:type="spellStart"/>
            <w:r w:rsidR="00631678" w:rsidRPr="004B77E9">
              <w:rPr>
                <w:i/>
              </w:rPr>
              <w:t>Streptococcus</w:t>
            </w:r>
            <w:proofErr w:type="spellEnd"/>
            <w:r w:rsidR="00631678" w:rsidRPr="004B77E9">
              <w:rPr>
                <w:i/>
              </w:rPr>
              <w:t xml:space="preserve"> </w:t>
            </w:r>
            <w:proofErr w:type="spellStart"/>
            <w:r w:rsidR="00631678" w:rsidRPr="004B77E9">
              <w:rPr>
                <w:i/>
              </w:rPr>
              <w:t>pneumoniae</w:t>
            </w:r>
            <w:proofErr w:type="spellEnd"/>
            <w:r w:rsidR="00631678" w:rsidRPr="004B77E9">
              <w:t xml:space="preserve"> cirkulējošo </w:t>
            </w:r>
            <w:proofErr w:type="spellStart"/>
            <w:r w:rsidR="00631678" w:rsidRPr="004B77E9">
              <w:t>serotipu</w:t>
            </w:r>
            <w:proofErr w:type="spellEnd"/>
            <w:r w:rsidR="00631678" w:rsidRPr="004B77E9">
              <w:t xml:space="preserve"> monitoring</w:t>
            </w:r>
            <w:r>
              <w:t>u –</w:t>
            </w:r>
            <w:r w:rsidR="00631678" w:rsidRPr="004B77E9">
              <w:t xml:space="preserve"> </w:t>
            </w:r>
            <w:r>
              <w:t xml:space="preserve">tas </w:t>
            </w:r>
            <w:r w:rsidR="00631678" w:rsidRPr="004B77E9">
              <w:t>ir svarīgs imunizācijas efektivitātes novērtēšanā, salīdzinot vakcīnā iekļ</w:t>
            </w:r>
            <w:r w:rsidR="00631678">
              <w:t>au</w:t>
            </w:r>
            <w:r w:rsidR="00631678" w:rsidRPr="004B77E9">
              <w:t xml:space="preserve">tos izraisītāja </w:t>
            </w:r>
            <w:proofErr w:type="spellStart"/>
            <w:r w:rsidR="00631678" w:rsidRPr="004B77E9">
              <w:t>serotipus</w:t>
            </w:r>
            <w:proofErr w:type="spellEnd"/>
            <w:r w:rsidR="00631678" w:rsidRPr="004B77E9">
              <w:t xml:space="preserve"> ar izraisītāja celmiem, kas ir izdalīti no nevakcinētiem un vakcinētiem </w:t>
            </w:r>
            <w:r w:rsidR="005A4C2A">
              <w:t>pacientiem</w:t>
            </w:r>
            <w:r w:rsidR="00631678" w:rsidRPr="004B77E9">
              <w:t>.</w:t>
            </w:r>
          </w:p>
          <w:p w:rsidR="001B2DBB" w:rsidRPr="00A207FC" w:rsidRDefault="00631678" w:rsidP="001B2DBB">
            <w:pPr>
              <w:jc w:val="both"/>
            </w:pPr>
            <w:r>
              <w:rPr>
                <w:color w:val="FF0000"/>
              </w:rPr>
              <w:t xml:space="preserve">  </w:t>
            </w:r>
            <w:r w:rsidR="001B2DBB" w:rsidRPr="00ED7610">
              <w:rPr>
                <w:color w:val="FF0000"/>
              </w:rPr>
              <w:t xml:space="preserve"> </w:t>
            </w:r>
            <w:r w:rsidR="001B2DBB" w:rsidRPr="00A207FC">
              <w:t>8.</w:t>
            </w:r>
            <w:r w:rsidR="001B2DBB" w:rsidRPr="00ED7610">
              <w:rPr>
                <w:color w:val="FF0000"/>
              </w:rPr>
              <w:t xml:space="preserve">  </w:t>
            </w:r>
            <w:r w:rsidR="001B2DBB" w:rsidRPr="00A207FC">
              <w:t xml:space="preserve">Lai nodrošinātu efektīvu uzliesmojumu epidemioloģisko izmeklēšanu un kontroles pasākumu veikšanu infekcijas slimību uzliesmojuma </w:t>
            </w:r>
            <w:r w:rsidR="001B2DBB" w:rsidRPr="005C3785">
              <w:t>gadījumā</w:t>
            </w:r>
            <w:r w:rsidR="005C3785">
              <w:t>,</w:t>
            </w:r>
            <w:r w:rsidR="001B2DBB" w:rsidRPr="00A207FC">
              <w:t xml:space="preserve"> noteikumu projekt</w:t>
            </w:r>
            <w:r w:rsidR="006832C9">
              <w:t>ā jā</w:t>
            </w:r>
            <w:r w:rsidR="001B2DBB" w:rsidRPr="00A207FC">
              <w:t>paredz papildus pienākumus un tiesības Slimību profilakses un kontroles centra attiecīgās reģionālās nodaļas epidemiologam attiecībā uz slimības izraisītāja tālāku detalizētu izmeklēšanu. Pašreiz šādu pienākumu un tiesību nav, līdz ar to uzliesmojuma gadījumā pastāv risks, ka epidemioloģiskā izmeklēšana un kontroles pasākumi netiks veikti pietiekami efektīvi, jo nebūs precīzas laboratoriskās informācijas par izraisītāju.</w:t>
            </w:r>
          </w:p>
          <w:p w:rsidR="001B2DBB" w:rsidRPr="00C458B1" w:rsidRDefault="00990574" w:rsidP="001B2DBB">
            <w:pPr>
              <w:jc w:val="both"/>
              <w:rPr>
                <w:u w:val="single"/>
              </w:rPr>
            </w:pPr>
            <w:r>
              <w:t xml:space="preserve"> </w:t>
            </w:r>
            <w:r w:rsidR="007F0BED">
              <w:rPr>
                <w:sz w:val="28"/>
                <w:szCs w:val="28"/>
              </w:rPr>
              <w:t xml:space="preserve">  </w:t>
            </w:r>
            <w:r w:rsidR="00C458B1">
              <w:rPr>
                <w:sz w:val="28"/>
                <w:szCs w:val="28"/>
              </w:rPr>
              <w:t>9.</w:t>
            </w:r>
            <w:r w:rsidR="00E53AD1">
              <w:rPr>
                <w:sz w:val="28"/>
                <w:szCs w:val="28"/>
              </w:rPr>
              <w:t xml:space="preserve"> </w:t>
            </w:r>
            <w:r w:rsidR="001B2DBB">
              <w:t>N</w:t>
            </w:r>
            <w:r w:rsidR="001B2DBB" w:rsidRPr="007F0BED">
              <w:t xml:space="preserve">epieciešams uzlabot HIV infekcijas epidemioloģisko uzraudzību, lai savlaicīgi identificētu gadījumus, kad nav </w:t>
            </w:r>
            <w:r w:rsidR="001B2DBB" w:rsidRPr="00C458B1">
              <w:t>saņemts ārstniecības personu steidzamais paziņojums par HIV infekcijas atklāšanu un, līdzīgi kā vairāku citu infekcijas slimību gadījumā, paredzēt laboratorijas (references laboratorijas) ziņošanu par apstiprinātajiem HIV infekcijas gadījumiem.</w:t>
            </w:r>
          </w:p>
          <w:p w:rsidR="00990574" w:rsidRPr="00D12E60" w:rsidRDefault="00990574" w:rsidP="00990574">
            <w:pPr>
              <w:ind w:hanging="157"/>
              <w:jc w:val="both"/>
              <w:rPr>
                <w:strike/>
              </w:rPr>
            </w:pPr>
            <w:r>
              <w:t>1 1</w:t>
            </w:r>
            <w:r w:rsidR="00C458B1">
              <w:t>0</w:t>
            </w:r>
            <w:r>
              <w:t xml:space="preserve">. </w:t>
            </w:r>
            <w:r w:rsidR="00D21EF4">
              <w:t>L</w:t>
            </w:r>
            <w:r w:rsidR="00D21EF4" w:rsidRPr="00990574">
              <w:t>ai</w:t>
            </w:r>
            <w:r w:rsidR="00D21EF4">
              <w:t xml:space="preserve"> uzlabotu tuberkulozes epidemioloģisko uzraudzību un savlaicīgi identificētu gadījumus, kad nav saņemts ārstniecības personas steidzamais ziņojums par tuberkulozes atklāšanu, kā arī, lai nodrošinātu </w:t>
            </w:r>
            <w:proofErr w:type="spellStart"/>
            <w:r w:rsidR="00D21EF4">
              <w:t>rezistento</w:t>
            </w:r>
            <w:proofErr w:type="spellEnd"/>
            <w:r w:rsidR="004848B5">
              <w:t xml:space="preserve"> mikroorganismu</w:t>
            </w:r>
            <w:r w:rsidR="00D21EF4">
              <w:t xml:space="preserve"> </w:t>
            </w:r>
            <w:proofErr w:type="spellStart"/>
            <w:r w:rsidR="00D21EF4" w:rsidRPr="00D51DFA">
              <w:rPr>
                <w:i/>
              </w:rPr>
              <w:t>Micobacterium</w:t>
            </w:r>
            <w:proofErr w:type="spellEnd"/>
            <w:r w:rsidR="00D21EF4" w:rsidRPr="00D51DFA">
              <w:rPr>
                <w:i/>
              </w:rPr>
              <w:t xml:space="preserve"> </w:t>
            </w:r>
            <w:proofErr w:type="spellStart"/>
            <w:r w:rsidR="00D21EF4" w:rsidRPr="00D51DFA">
              <w:rPr>
                <w:i/>
              </w:rPr>
              <w:t>tuberculosis</w:t>
            </w:r>
            <w:proofErr w:type="spellEnd"/>
            <w:r w:rsidR="00D21EF4" w:rsidRPr="00D51DFA">
              <w:t xml:space="preserve"> gadījumu monitoringu valstī</w:t>
            </w:r>
            <w:r w:rsidR="00A304D5">
              <w:t>,</w:t>
            </w:r>
            <w:r w:rsidR="00D21EF4">
              <w:t xml:space="preserve"> </w:t>
            </w:r>
            <w:r w:rsidR="00A304D5">
              <w:t>n</w:t>
            </w:r>
            <w:r w:rsidRPr="00C458B1">
              <w:t>oteikts</w:t>
            </w:r>
            <w:r w:rsidRPr="00990574">
              <w:rPr>
                <w:color w:val="FF0000"/>
              </w:rPr>
              <w:t xml:space="preserve"> </w:t>
            </w:r>
            <w:r w:rsidRPr="00990574">
              <w:t>mikrobioloģijas laboratorijas vadītāja vai viņa pilnvarotās personas pienākums ziņot Slimību profilakses un kontroles centram par tuberkulozes izraisītāja jutības noteikšanas</w:t>
            </w:r>
            <w:r w:rsidR="00944BEF">
              <w:t xml:space="preserve"> </w:t>
            </w:r>
            <w:r w:rsidR="00944BEF" w:rsidRPr="00D12E60">
              <w:t>pret antibakteriāliem līdzekļiem</w:t>
            </w:r>
            <w:r w:rsidRPr="00D12E60">
              <w:t xml:space="preserve"> rezultātiem</w:t>
            </w:r>
            <w:r w:rsidR="005C3785" w:rsidRPr="00D12E60">
              <w:t>.</w:t>
            </w:r>
            <w:r w:rsidRPr="00D12E60">
              <w:t xml:space="preserve"> </w:t>
            </w:r>
          </w:p>
          <w:p w:rsidR="00990574" w:rsidRPr="00D12E60" w:rsidRDefault="00165D29" w:rsidP="00990574">
            <w:pPr>
              <w:ind w:firstLine="112"/>
              <w:jc w:val="both"/>
            </w:pPr>
            <w:r>
              <w:t xml:space="preserve">   </w:t>
            </w:r>
            <w:r w:rsidR="00990574">
              <w:t>1</w:t>
            </w:r>
            <w:r w:rsidR="00C458B1">
              <w:t>1</w:t>
            </w:r>
            <w:r w:rsidR="00990574">
              <w:t xml:space="preserve">. </w:t>
            </w:r>
            <w:r w:rsidR="00990574" w:rsidRPr="00D12E60">
              <w:t>Grozījum</w:t>
            </w:r>
            <w:r w:rsidR="006832C9" w:rsidRPr="00D12E60">
              <w:t>us</w:t>
            </w:r>
            <w:r w:rsidR="00990574" w:rsidRPr="00D12E60">
              <w:t xml:space="preserve">, kas ir saistīti ar </w:t>
            </w:r>
            <w:r w:rsidR="00A674FB" w:rsidRPr="00D12E60">
              <w:t>mikroorganismu jutības noteikšanu pret antibakteriāliem līdzekļiem,</w:t>
            </w:r>
            <w:r w:rsidR="00990574" w:rsidRPr="00D12E60">
              <w:t xml:space="preserve"> </w:t>
            </w:r>
            <w:r w:rsidR="006832C9" w:rsidRPr="00D12E60">
              <w:t>nepieciešams</w:t>
            </w:r>
            <w:r w:rsidR="00990574" w:rsidRPr="00D12E60">
              <w:t xml:space="preserve"> </w:t>
            </w:r>
            <w:r w:rsidR="006832C9" w:rsidRPr="00D12E60">
              <w:t xml:space="preserve">veikt, lai </w:t>
            </w:r>
            <w:r w:rsidR="00990574" w:rsidRPr="00D12E60">
              <w:t>pild</w:t>
            </w:r>
            <w:r w:rsidR="006832C9" w:rsidRPr="00D12E60">
              <w:t>ītu</w:t>
            </w:r>
            <w:r w:rsidR="00990574" w:rsidRPr="00D12E60">
              <w:t xml:space="preserve"> </w:t>
            </w:r>
            <w:r w:rsidR="002D5017" w:rsidRPr="00D12E60">
              <w:t>Lēmum</w:t>
            </w:r>
            <w:r w:rsidR="00A002C2" w:rsidRPr="00D12E60">
              <w:t>a</w:t>
            </w:r>
            <w:r w:rsidR="002D5017" w:rsidRPr="00D12E60">
              <w:t xml:space="preserve"> 200</w:t>
            </w:r>
            <w:r w:rsidR="004C25C5" w:rsidRPr="00D12E60">
              <w:t>9</w:t>
            </w:r>
            <w:r w:rsidR="002D5017" w:rsidRPr="00D12E60">
              <w:t>/</w:t>
            </w:r>
            <w:r w:rsidR="004C25C5" w:rsidRPr="00D12E60">
              <w:t>312</w:t>
            </w:r>
            <w:r w:rsidR="002D5017" w:rsidRPr="00D12E60">
              <w:t>/EK</w:t>
            </w:r>
            <w:r w:rsidR="00A002C2" w:rsidRPr="00D12E60">
              <w:t xml:space="preserve"> </w:t>
            </w:r>
            <w:r w:rsidR="004D774F" w:rsidRPr="00D12E60">
              <w:t>1.pielikuma</w:t>
            </w:r>
            <w:r w:rsidR="00990574" w:rsidRPr="00D12E60">
              <w:t xml:space="preserve"> 3.2. apakšpunktu, </w:t>
            </w:r>
            <w:r w:rsidR="00ED2DE4" w:rsidRPr="00D12E60">
              <w:t xml:space="preserve">kas paredz </w:t>
            </w:r>
            <w:r w:rsidR="004848B5" w:rsidRPr="00D12E60">
              <w:t xml:space="preserve">rezistences pret antibakteriāliem līdzekļiem </w:t>
            </w:r>
            <w:r w:rsidR="00990574" w:rsidRPr="00D12E60">
              <w:t xml:space="preserve">reģistrāciju </w:t>
            </w:r>
            <w:r w:rsidR="00721E49" w:rsidRPr="00D12E60">
              <w:t xml:space="preserve">un ziņošanu </w:t>
            </w:r>
            <w:r w:rsidR="00990574" w:rsidRPr="00D12E60">
              <w:t xml:space="preserve">Eiropas Savienībā. </w:t>
            </w:r>
          </w:p>
          <w:p w:rsidR="00F268BA" w:rsidRDefault="00352692" w:rsidP="006751F4">
            <w:pPr>
              <w:jc w:val="both"/>
            </w:pPr>
            <w:r w:rsidRPr="005C63F4">
              <w:t xml:space="preserve">Eiropas </w:t>
            </w:r>
            <w:r>
              <w:t>mikrobu</w:t>
            </w:r>
            <w:r w:rsidRPr="005C63F4">
              <w:t xml:space="preserve"> rezistences uzraudzības tīkls (</w:t>
            </w:r>
            <w:r>
              <w:t xml:space="preserve">turpmāk - </w:t>
            </w:r>
            <w:r w:rsidRPr="005C63F4">
              <w:t>EARS-</w:t>
            </w:r>
            <w:proofErr w:type="spellStart"/>
            <w:r w:rsidRPr="005C63F4">
              <w:t>Net</w:t>
            </w:r>
            <w:proofErr w:type="spellEnd"/>
            <w:r w:rsidRPr="005C63F4">
              <w:t xml:space="preserve">) </w:t>
            </w:r>
            <w:r w:rsidRPr="005C63F4">
              <w:lastRenderedPageBreak/>
              <w:t>apvieno nacionālās uzraudzības sistēmas un nodrošina sabiedrības veselības nolūkiem nepieciešamos</w:t>
            </w:r>
            <w:r w:rsidR="006751F4">
              <w:t xml:space="preserve"> Eiropas references datus par mikro</w:t>
            </w:r>
            <w:r w:rsidR="00513E37">
              <w:t>organismu</w:t>
            </w:r>
            <w:r w:rsidR="006751F4">
              <w:t xml:space="preserve"> rezistenci pret antibakteriāliem līdzekļiem. </w:t>
            </w:r>
            <w:r w:rsidRPr="005C63F4">
              <w:t>EARS-</w:t>
            </w:r>
            <w:proofErr w:type="spellStart"/>
            <w:r w:rsidRPr="005C63F4">
              <w:t>Net</w:t>
            </w:r>
            <w:proofErr w:type="spellEnd"/>
            <w:r w:rsidRPr="005C63F4">
              <w:t xml:space="preserve"> koordinē un finansē E</w:t>
            </w:r>
            <w:r>
              <w:t>CDC</w:t>
            </w:r>
            <w:r w:rsidRPr="005C63F4">
              <w:t xml:space="preserve">. Uzraudzībai pakļautas septiņas baktēriju sugas: </w:t>
            </w:r>
            <w:proofErr w:type="spellStart"/>
            <w:r w:rsidRPr="005C63F4">
              <w:rPr>
                <w:i/>
                <w:iCs/>
              </w:rPr>
              <w:t>Streptococcus</w:t>
            </w:r>
            <w:proofErr w:type="spellEnd"/>
            <w:r w:rsidRPr="005C63F4">
              <w:rPr>
                <w:i/>
                <w:iCs/>
              </w:rPr>
              <w:t xml:space="preserve"> </w:t>
            </w:r>
            <w:proofErr w:type="spellStart"/>
            <w:r w:rsidRPr="005C63F4">
              <w:rPr>
                <w:i/>
                <w:iCs/>
              </w:rPr>
              <w:t>pneumoniae</w:t>
            </w:r>
            <w:proofErr w:type="spellEnd"/>
            <w:r w:rsidRPr="005C63F4">
              <w:t xml:space="preserve">, </w:t>
            </w:r>
            <w:proofErr w:type="spellStart"/>
            <w:r w:rsidRPr="005C63F4">
              <w:rPr>
                <w:i/>
                <w:iCs/>
              </w:rPr>
              <w:t>Staphylococcus</w:t>
            </w:r>
            <w:proofErr w:type="spellEnd"/>
            <w:r w:rsidRPr="005C63F4">
              <w:rPr>
                <w:i/>
                <w:iCs/>
              </w:rPr>
              <w:t xml:space="preserve"> </w:t>
            </w:r>
            <w:proofErr w:type="spellStart"/>
            <w:r w:rsidRPr="005C63F4">
              <w:rPr>
                <w:i/>
                <w:iCs/>
              </w:rPr>
              <w:t>aureus</w:t>
            </w:r>
            <w:proofErr w:type="spellEnd"/>
            <w:r w:rsidRPr="005C63F4">
              <w:t xml:space="preserve">, </w:t>
            </w:r>
            <w:proofErr w:type="spellStart"/>
            <w:r w:rsidRPr="005C63F4">
              <w:rPr>
                <w:i/>
                <w:iCs/>
              </w:rPr>
              <w:t>Enterococcus</w:t>
            </w:r>
            <w:proofErr w:type="spellEnd"/>
            <w:r w:rsidRPr="005C63F4">
              <w:rPr>
                <w:i/>
                <w:iCs/>
              </w:rPr>
              <w:t xml:space="preserve"> </w:t>
            </w:r>
            <w:proofErr w:type="spellStart"/>
            <w:r w:rsidRPr="005C63F4">
              <w:rPr>
                <w:i/>
                <w:iCs/>
              </w:rPr>
              <w:t>faecalis</w:t>
            </w:r>
            <w:proofErr w:type="spellEnd"/>
            <w:r w:rsidRPr="005C63F4">
              <w:t xml:space="preserve">, </w:t>
            </w:r>
            <w:proofErr w:type="spellStart"/>
            <w:r w:rsidRPr="005C63F4">
              <w:rPr>
                <w:i/>
                <w:iCs/>
              </w:rPr>
              <w:t>Enterococcus</w:t>
            </w:r>
            <w:proofErr w:type="spellEnd"/>
            <w:r w:rsidRPr="005C63F4">
              <w:rPr>
                <w:i/>
                <w:iCs/>
              </w:rPr>
              <w:t xml:space="preserve"> </w:t>
            </w:r>
            <w:proofErr w:type="spellStart"/>
            <w:r w:rsidRPr="005C63F4">
              <w:rPr>
                <w:i/>
                <w:iCs/>
              </w:rPr>
              <w:t>faecium</w:t>
            </w:r>
            <w:proofErr w:type="spellEnd"/>
            <w:r w:rsidRPr="005C63F4">
              <w:t xml:space="preserve">, </w:t>
            </w:r>
            <w:proofErr w:type="spellStart"/>
            <w:r w:rsidRPr="005C63F4">
              <w:rPr>
                <w:i/>
                <w:iCs/>
              </w:rPr>
              <w:t>Escherichia</w:t>
            </w:r>
            <w:proofErr w:type="spellEnd"/>
            <w:r w:rsidRPr="005C63F4">
              <w:rPr>
                <w:i/>
                <w:iCs/>
              </w:rPr>
              <w:t xml:space="preserve"> </w:t>
            </w:r>
            <w:proofErr w:type="spellStart"/>
            <w:r w:rsidRPr="005C63F4">
              <w:rPr>
                <w:i/>
                <w:iCs/>
              </w:rPr>
              <w:t>coli</w:t>
            </w:r>
            <w:proofErr w:type="spellEnd"/>
            <w:r w:rsidRPr="005C63F4">
              <w:t xml:space="preserve">, </w:t>
            </w:r>
            <w:proofErr w:type="spellStart"/>
            <w:r w:rsidRPr="005C63F4">
              <w:rPr>
                <w:i/>
                <w:iCs/>
              </w:rPr>
              <w:t>Klebsiella</w:t>
            </w:r>
            <w:proofErr w:type="spellEnd"/>
            <w:r w:rsidRPr="005C63F4">
              <w:rPr>
                <w:i/>
                <w:iCs/>
              </w:rPr>
              <w:t xml:space="preserve"> </w:t>
            </w:r>
            <w:proofErr w:type="spellStart"/>
            <w:r w:rsidRPr="005C63F4">
              <w:rPr>
                <w:i/>
                <w:iCs/>
              </w:rPr>
              <w:t>pneumoniae</w:t>
            </w:r>
            <w:proofErr w:type="spellEnd"/>
            <w:r w:rsidRPr="005C63F4">
              <w:t xml:space="preserve"> un </w:t>
            </w:r>
            <w:proofErr w:type="spellStart"/>
            <w:r w:rsidRPr="005C63F4">
              <w:rPr>
                <w:i/>
                <w:iCs/>
              </w:rPr>
              <w:t>Pseudomonas</w:t>
            </w:r>
            <w:proofErr w:type="spellEnd"/>
            <w:r w:rsidRPr="005C63F4">
              <w:rPr>
                <w:i/>
                <w:iCs/>
              </w:rPr>
              <w:t xml:space="preserve"> </w:t>
            </w:r>
            <w:proofErr w:type="spellStart"/>
            <w:r w:rsidRPr="005C63F4">
              <w:rPr>
                <w:i/>
                <w:iCs/>
              </w:rPr>
              <w:t>aeruginosa</w:t>
            </w:r>
            <w:proofErr w:type="spellEnd"/>
            <w:r w:rsidRPr="005C63F4">
              <w:t xml:space="preserve"> </w:t>
            </w:r>
            <w:r w:rsidR="006751F4" w:rsidRPr="006751F4">
              <w:rPr>
                <w:i/>
                <w:iCs/>
              </w:rPr>
              <w:t>(izolēti no asinīm un muguras smadzeņu šķidruma)</w:t>
            </w:r>
            <w:r w:rsidR="006751F4" w:rsidRPr="006751F4">
              <w:t>.</w:t>
            </w:r>
          </w:p>
          <w:p w:rsidR="00F268BA" w:rsidRDefault="00EC144F" w:rsidP="00F268BA">
            <w:pPr>
              <w:jc w:val="both"/>
            </w:pPr>
            <w:r>
              <w:t xml:space="preserve"> </w:t>
            </w:r>
            <w:r w:rsidR="00F268BA" w:rsidRPr="00F268BA">
              <w:t xml:space="preserve">Lai nodrošinātu </w:t>
            </w:r>
            <w:r w:rsidR="00081A8A">
              <w:t>MK n</w:t>
            </w:r>
            <w:r w:rsidR="00F268BA" w:rsidRPr="00F268BA">
              <w:t>oteikumu 12.</w:t>
            </w:r>
            <w:r w:rsidR="00F268BA" w:rsidRPr="00F268BA">
              <w:rPr>
                <w:vertAlign w:val="superscript"/>
              </w:rPr>
              <w:t>1</w:t>
            </w:r>
            <w:r w:rsidR="00F268BA" w:rsidRPr="00F268BA">
              <w:t xml:space="preserve"> punkta izpildi attiecībā uz </w:t>
            </w:r>
            <w:proofErr w:type="spellStart"/>
            <w:r w:rsidR="00F268BA" w:rsidRPr="00F268BA">
              <w:t>rezistento</w:t>
            </w:r>
            <w:proofErr w:type="spellEnd"/>
            <w:r w:rsidR="00F268BA" w:rsidRPr="00F268BA">
              <w:t xml:space="preserve"> mikroorganismu uzraudzību Latvijā un datu apmaiņu starptautiskajā līmenī, ir nepieciešams reglamentēt datu reģistrāciju par šiem mikroorganismiem un papildināt </w:t>
            </w:r>
            <w:r w:rsidR="00081A8A">
              <w:t xml:space="preserve"> MK n</w:t>
            </w:r>
            <w:r w:rsidR="00F268BA" w:rsidRPr="00F268BA">
              <w:t>oteikumus ar attiecīgajiem punktiem un pielikumiem</w:t>
            </w:r>
            <w:r w:rsidR="002F4172">
              <w:t xml:space="preserve"> (</w:t>
            </w:r>
            <w:r w:rsidR="002F4172" w:rsidRPr="005242E8">
              <w:t xml:space="preserve">noteikumu </w:t>
            </w:r>
            <w:r w:rsidR="002F4172" w:rsidRPr="00E94F0B">
              <w:t xml:space="preserve">projekta </w:t>
            </w:r>
            <w:r w:rsidR="00E01EB6">
              <w:t>1.</w:t>
            </w:r>
            <w:r w:rsidR="00E94F0B" w:rsidRPr="00E94F0B">
              <w:t>8</w:t>
            </w:r>
            <w:r w:rsidR="00E94F0B" w:rsidRPr="00E01EB6">
              <w:t xml:space="preserve">., </w:t>
            </w:r>
            <w:r w:rsidR="00E01EB6" w:rsidRPr="00E01EB6">
              <w:t>1.</w:t>
            </w:r>
            <w:r w:rsidR="00773DAF" w:rsidRPr="00E01EB6">
              <w:t xml:space="preserve">9. </w:t>
            </w:r>
            <w:r w:rsidR="004D774F" w:rsidRPr="00E01EB6">
              <w:t xml:space="preserve">un </w:t>
            </w:r>
            <w:r w:rsidR="00E01EB6" w:rsidRPr="00E01EB6">
              <w:t>1.</w:t>
            </w:r>
            <w:r w:rsidR="00E94F0B" w:rsidRPr="00E01EB6">
              <w:t>20</w:t>
            </w:r>
            <w:r w:rsidR="002F4172" w:rsidRPr="004D774F">
              <w:t>.</w:t>
            </w:r>
            <w:r w:rsidR="00E01EB6">
              <w:t>apakš</w:t>
            </w:r>
            <w:r w:rsidR="002F4172" w:rsidRPr="004D774F">
              <w:t>punkts</w:t>
            </w:r>
            <w:r w:rsidR="002F4172" w:rsidRPr="005242E8">
              <w:rPr>
                <w:b/>
              </w:rPr>
              <w:t>)</w:t>
            </w:r>
            <w:r w:rsidR="00F268BA" w:rsidRPr="005242E8">
              <w:rPr>
                <w:b/>
              </w:rPr>
              <w:t>,</w:t>
            </w:r>
            <w:r w:rsidR="00F268BA" w:rsidRPr="00F268BA">
              <w:t xml:space="preserve"> kas atbilst EARS-</w:t>
            </w:r>
            <w:proofErr w:type="spellStart"/>
            <w:r w:rsidR="00F268BA" w:rsidRPr="00F268BA">
              <w:t>Net</w:t>
            </w:r>
            <w:proofErr w:type="spellEnd"/>
            <w:r w:rsidR="00F268BA" w:rsidRPr="00F268BA">
              <w:t xml:space="preserve"> tīkla prasībām </w:t>
            </w:r>
            <w:r w:rsidR="006832C9">
              <w:t>a</w:t>
            </w:r>
            <w:r w:rsidR="00F268BA" w:rsidRPr="00F268BA">
              <w:t>ttiecībā uz epidemioloģiskās informācijas vākšanu.</w:t>
            </w:r>
          </w:p>
          <w:p w:rsidR="002F4172" w:rsidRPr="00F268BA" w:rsidRDefault="005242E8" w:rsidP="00F268BA">
            <w:pPr>
              <w:jc w:val="both"/>
            </w:pPr>
            <w:r>
              <w:t xml:space="preserve"> </w:t>
            </w:r>
            <w:r w:rsidR="00A304D5">
              <w:t>N</w:t>
            </w:r>
            <w:r w:rsidR="00860A9A" w:rsidRPr="005242E8">
              <w:t xml:space="preserve">osakot jaunu uzraudzības </w:t>
            </w:r>
            <w:r w:rsidR="00860A9A" w:rsidRPr="00D12E60">
              <w:t xml:space="preserve">kārtību par </w:t>
            </w:r>
            <w:r w:rsidR="00ED2DE4" w:rsidRPr="00D12E60">
              <w:t xml:space="preserve">mikroorganismu rezistenci pret antibakteriāliem līdzekļiem, </w:t>
            </w:r>
            <w:r w:rsidR="00860A9A" w:rsidRPr="00D12E60">
              <w:t xml:space="preserve">no reģistrējamiem laboratoriski konstatētiem infekcijas slimību izraisītājiem </w:t>
            </w:r>
            <w:r w:rsidR="00E35245" w:rsidRPr="00D12E60">
              <w:t xml:space="preserve">nepieciešams </w:t>
            </w:r>
            <w:r w:rsidR="00860A9A" w:rsidRPr="00D12E60">
              <w:t xml:space="preserve">svītrot: </w:t>
            </w:r>
            <w:proofErr w:type="spellStart"/>
            <w:r w:rsidR="00860A9A" w:rsidRPr="00D12E60">
              <w:t>Meticilīna</w:t>
            </w:r>
            <w:proofErr w:type="spellEnd"/>
            <w:r w:rsidR="00860A9A" w:rsidRPr="00D12E60">
              <w:t xml:space="preserve"> </w:t>
            </w:r>
            <w:proofErr w:type="spellStart"/>
            <w:r w:rsidR="00860A9A" w:rsidRPr="00D12E60">
              <w:t>rezistentais</w:t>
            </w:r>
            <w:proofErr w:type="spellEnd"/>
            <w:r w:rsidR="00860A9A" w:rsidRPr="00D12E60">
              <w:rPr>
                <w:i/>
              </w:rPr>
              <w:t xml:space="preserve"> </w:t>
            </w:r>
            <w:proofErr w:type="spellStart"/>
            <w:r w:rsidR="00860A9A" w:rsidRPr="00D12E60">
              <w:rPr>
                <w:i/>
              </w:rPr>
              <w:t>S.aureus</w:t>
            </w:r>
            <w:proofErr w:type="spellEnd"/>
            <w:r w:rsidR="00860A9A" w:rsidRPr="00D12E60">
              <w:rPr>
                <w:i/>
              </w:rPr>
              <w:t xml:space="preserve">, </w:t>
            </w:r>
            <w:proofErr w:type="spellStart"/>
            <w:r w:rsidR="00860A9A" w:rsidRPr="00D12E60">
              <w:rPr>
                <w:i/>
              </w:rPr>
              <w:t>vankomicīna</w:t>
            </w:r>
            <w:proofErr w:type="spellEnd"/>
            <w:r w:rsidR="00860A9A" w:rsidRPr="00D12E60">
              <w:rPr>
                <w:i/>
              </w:rPr>
              <w:t xml:space="preserve"> </w:t>
            </w:r>
            <w:proofErr w:type="spellStart"/>
            <w:r w:rsidR="00860A9A" w:rsidRPr="00D12E60">
              <w:rPr>
                <w:i/>
              </w:rPr>
              <w:t>rezistentais</w:t>
            </w:r>
            <w:proofErr w:type="spellEnd"/>
            <w:r w:rsidR="00860A9A" w:rsidRPr="00D12E60">
              <w:rPr>
                <w:i/>
              </w:rPr>
              <w:t xml:space="preserve"> </w:t>
            </w:r>
            <w:proofErr w:type="spellStart"/>
            <w:r w:rsidR="00860A9A" w:rsidRPr="00D12E60">
              <w:rPr>
                <w:i/>
              </w:rPr>
              <w:t>S.aureus</w:t>
            </w:r>
            <w:proofErr w:type="spellEnd"/>
            <w:r w:rsidR="00860A9A" w:rsidRPr="00D12E60">
              <w:t xml:space="preserve"> un </w:t>
            </w:r>
            <w:proofErr w:type="spellStart"/>
            <w:r w:rsidR="00860A9A" w:rsidRPr="00D12E60">
              <w:rPr>
                <w:i/>
              </w:rPr>
              <w:t>Streptococcus</w:t>
            </w:r>
            <w:proofErr w:type="spellEnd"/>
            <w:r w:rsidR="00860A9A" w:rsidRPr="00D12E60">
              <w:rPr>
                <w:i/>
              </w:rPr>
              <w:t>–</w:t>
            </w:r>
            <w:proofErr w:type="spellStart"/>
            <w:r w:rsidR="00860A9A" w:rsidRPr="00D12E60">
              <w:rPr>
                <w:i/>
              </w:rPr>
              <w:t>pneumoniae</w:t>
            </w:r>
            <w:proofErr w:type="spellEnd"/>
            <w:r w:rsidR="00860A9A" w:rsidRPr="005242E8">
              <w:t xml:space="preserve"> (</w:t>
            </w:r>
            <w:proofErr w:type="spellStart"/>
            <w:r w:rsidR="00860A9A" w:rsidRPr="005242E8">
              <w:t>invazīva</w:t>
            </w:r>
            <w:proofErr w:type="spellEnd"/>
            <w:r w:rsidR="00860A9A" w:rsidRPr="005242E8">
              <w:t xml:space="preserve"> pneimokoku izraisīta slimība)</w:t>
            </w:r>
            <w:r w:rsidR="002E3E6D">
              <w:t xml:space="preserve">  - noteikumu projekta </w:t>
            </w:r>
            <w:r w:rsidR="00245CF8">
              <w:t>1.</w:t>
            </w:r>
            <w:r w:rsidR="002E3E6D">
              <w:t>1</w:t>
            </w:r>
            <w:r w:rsidR="00245CF8">
              <w:t>8.apakšpunkts</w:t>
            </w:r>
            <w:r w:rsidR="00860A9A" w:rsidRPr="005242E8">
              <w:t>.</w:t>
            </w:r>
          </w:p>
          <w:p w:rsidR="00056846" w:rsidRPr="004D774F" w:rsidRDefault="00380675" w:rsidP="00056846">
            <w:pPr>
              <w:jc w:val="both"/>
            </w:pPr>
            <w:r>
              <w:t xml:space="preserve"> </w:t>
            </w:r>
            <w:r w:rsidR="0083355A">
              <w:t xml:space="preserve"> </w:t>
            </w:r>
            <w:r w:rsidR="002B6476">
              <w:t>1</w:t>
            </w:r>
            <w:r w:rsidR="001D449F">
              <w:t>2</w:t>
            </w:r>
            <w:r w:rsidR="002B6476">
              <w:t xml:space="preserve">. </w:t>
            </w:r>
            <w:r w:rsidR="0083355A">
              <w:t xml:space="preserve">Šobrīd MK noteikumi neparedz ziņošanu par </w:t>
            </w:r>
            <w:proofErr w:type="spellStart"/>
            <w:r w:rsidR="0083355A">
              <w:t>toksokariozi</w:t>
            </w:r>
            <w:proofErr w:type="spellEnd"/>
            <w:r w:rsidR="0083355A">
              <w:t xml:space="preserve">, taču pēc ASV Slimību kontroles centra informācijas </w:t>
            </w:r>
            <w:proofErr w:type="spellStart"/>
            <w:r w:rsidR="0083355A">
              <w:t>toksokarioze</w:t>
            </w:r>
            <w:proofErr w:type="spellEnd"/>
            <w:r w:rsidR="00A600B5">
              <w:t xml:space="preserve"> (</w:t>
            </w:r>
            <w:proofErr w:type="spellStart"/>
            <w:r w:rsidR="00A600B5">
              <w:t>zoonoze</w:t>
            </w:r>
            <w:proofErr w:type="spellEnd"/>
            <w:r w:rsidR="00A600B5">
              <w:t>)</w:t>
            </w:r>
            <w:r w:rsidR="0083355A">
              <w:t xml:space="preserve"> ir viena no novārtā atstātām parazītu infekcijām, kas uzskatāma par prioritāru slimību sabiedrības veselības rīcības programmā, pamatojoties uz lielu in</w:t>
            </w:r>
            <w:r w:rsidR="00A600B5">
              <w:t>ficēto</w:t>
            </w:r>
            <w:r w:rsidR="0083355A">
              <w:t xml:space="preserve"> personu skaitu, slimības smagumu, iespēju šo slimību ārstēt un novērst</w:t>
            </w:r>
            <w:r w:rsidR="00EF4401">
              <w:t xml:space="preserve">, </w:t>
            </w:r>
            <w:r w:rsidR="00EF4401" w:rsidRPr="00EF4401">
              <w:t>apzinot epidemioloģisko situāciju un veicot preventīvus pasākumus.</w:t>
            </w:r>
            <w:r w:rsidR="00EF4401">
              <w:t xml:space="preserve"> </w:t>
            </w:r>
            <w:r w:rsidR="00A600B5">
              <w:t xml:space="preserve"> </w:t>
            </w:r>
            <w:r w:rsidR="00C33A7F">
              <w:t>Ņemot vērā</w:t>
            </w:r>
            <w:r w:rsidR="00A600B5">
              <w:t xml:space="preserve"> iepriekšminēto</w:t>
            </w:r>
            <w:r w:rsidR="00C33A7F">
              <w:t>,</w:t>
            </w:r>
            <w:r w:rsidR="00A600B5">
              <w:t xml:space="preserve"> </w:t>
            </w:r>
            <w:r w:rsidR="00C33A7F">
              <w:t xml:space="preserve">kā arī pildot </w:t>
            </w:r>
            <w:r w:rsidR="00C33A7F" w:rsidRPr="000B31B5">
              <w:t>Lēmuma 2</w:t>
            </w:r>
            <w:r w:rsidR="00696BEC" w:rsidRPr="000B31B5">
              <w:t>00</w:t>
            </w:r>
            <w:r w:rsidR="00533889" w:rsidRPr="000B31B5">
              <w:t>9</w:t>
            </w:r>
            <w:r w:rsidR="00C33A7F" w:rsidRPr="000B31B5">
              <w:t>/</w:t>
            </w:r>
            <w:r w:rsidR="00533889" w:rsidRPr="000B31B5">
              <w:t>312</w:t>
            </w:r>
            <w:r w:rsidR="00C33A7F" w:rsidRPr="000B31B5">
              <w:t xml:space="preserve">/EK 1.pielikuma 2.5.3. apakšpunktā noteikto, </w:t>
            </w:r>
            <w:r w:rsidR="00056846" w:rsidRPr="000B31B5">
              <w:t>noteikumu projekts paredz</w:t>
            </w:r>
            <w:r w:rsidR="00A600B5" w:rsidRPr="000B31B5">
              <w:t xml:space="preserve"> papildināt </w:t>
            </w:r>
            <w:r w:rsidR="00056846" w:rsidRPr="000B31B5">
              <w:t xml:space="preserve"> </w:t>
            </w:r>
            <w:r w:rsidR="00A600B5" w:rsidRPr="000B31B5">
              <w:t>reģistrējamo slimību sarakst</w:t>
            </w:r>
            <w:r w:rsidR="00056846" w:rsidRPr="000B31B5">
              <w:t>u</w:t>
            </w:r>
            <w:r w:rsidR="00C33A7F" w:rsidRPr="000B31B5">
              <w:t xml:space="preserve"> ar </w:t>
            </w:r>
            <w:proofErr w:type="spellStart"/>
            <w:r w:rsidR="00056846" w:rsidRPr="000B31B5">
              <w:t>toksokariozi</w:t>
            </w:r>
            <w:proofErr w:type="spellEnd"/>
            <w:r w:rsidR="00743DD6" w:rsidRPr="000B31B5">
              <w:t xml:space="preserve"> (noteikumu projekta </w:t>
            </w:r>
            <w:r w:rsidR="00696BEC" w:rsidRPr="000B31B5">
              <w:t>1.</w:t>
            </w:r>
            <w:r w:rsidR="00743DD6" w:rsidRPr="000B31B5">
              <w:t>1</w:t>
            </w:r>
            <w:r w:rsidR="00E94F0B" w:rsidRPr="000B31B5">
              <w:t>1</w:t>
            </w:r>
            <w:r w:rsidR="00743DD6" w:rsidRPr="000B31B5">
              <w:t>.</w:t>
            </w:r>
            <w:r w:rsidR="00696BEC" w:rsidRPr="000B31B5">
              <w:t>apakšpunkts</w:t>
            </w:r>
            <w:r w:rsidR="00743DD6" w:rsidRPr="000B31B5">
              <w:t>)</w:t>
            </w:r>
            <w:r w:rsidR="00C33A7F" w:rsidRPr="000B31B5">
              <w:t>.</w:t>
            </w:r>
            <w:r w:rsidR="00056846" w:rsidRPr="000B31B5">
              <w:t xml:space="preserve"> </w:t>
            </w:r>
            <w:r w:rsidR="00C33A7F" w:rsidRPr="000B31B5">
              <w:t>A</w:t>
            </w:r>
            <w:r w:rsidR="00056846" w:rsidRPr="000B31B5">
              <w:t xml:space="preserve">tbilstoši noteikta arī ziņošana par </w:t>
            </w:r>
            <w:r w:rsidR="00373824" w:rsidRPr="000B31B5">
              <w:t xml:space="preserve">izraisītāja </w:t>
            </w:r>
            <w:proofErr w:type="spellStart"/>
            <w:r w:rsidR="00373824" w:rsidRPr="000B31B5">
              <w:rPr>
                <w:i/>
              </w:rPr>
              <w:t>Toxocara</w:t>
            </w:r>
            <w:proofErr w:type="spellEnd"/>
            <w:r w:rsidR="00373824" w:rsidRPr="000B31B5">
              <w:rPr>
                <w:i/>
              </w:rPr>
              <w:t xml:space="preserve"> </w:t>
            </w:r>
            <w:proofErr w:type="spellStart"/>
            <w:r w:rsidR="00373824" w:rsidRPr="000B31B5">
              <w:rPr>
                <w:i/>
              </w:rPr>
              <w:t>canis</w:t>
            </w:r>
            <w:proofErr w:type="spellEnd"/>
            <w:r w:rsidR="00373824" w:rsidRPr="000B31B5">
              <w:t xml:space="preserve"> </w:t>
            </w:r>
            <w:r w:rsidR="00056846" w:rsidRPr="000B31B5">
              <w:t>konstatēšanu laboratoriskajos izmeklējumos, ko paredz noteikumu projekta</w:t>
            </w:r>
            <w:r w:rsidR="00373824" w:rsidRPr="000B31B5">
              <w:t xml:space="preserve"> </w:t>
            </w:r>
            <w:r w:rsidR="00696BEC" w:rsidRPr="000B31B5">
              <w:t>1.</w:t>
            </w:r>
            <w:r w:rsidR="00743DD6" w:rsidRPr="000B31B5">
              <w:t>18</w:t>
            </w:r>
            <w:r w:rsidR="00056846" w:rsidRPr="000B31B5">
              <w:t>.</w:t>
            </w:r>
            <w:r w:rsidR="00696BEC" w:rsidRPr="000B31B5">
              <w:t>apakšpunkts</w:t>
            </w:r>
            <w:r w:rsidR="00056846" w:rsidRPr="000B31B5">
              <w:t>.</w:t>
            </w:r>
          </w:p>
          <w:p w:rsidR="00F268BA" w:rsidRDefault="00056846" w:rsidP="00F268BA">
            <w:pPr>
              <w:jc w:val="both"/>
            </w:pPr>
            <w:r>
              <w:t xml:space="preserve"> </w:t>
            </w:r>
            <w:r w:rsidR="00EB323F">
              <w:t xml:space="preserve">  </w:t>
            </w:r>
            <w:r w:rsidR="002B6476">
              <w:t>1</w:t>
            </w:r>
            <w:r w:rsidR="001D449F">
              <w:t>3</w:t>
            </w:r>
            <w:r w:rsidR="002B6476">
              <w:t xml:space="preserve">. </w:t>
            </w:r>
            <w:r w:rsidR="00EB323F">
              <w:t>Redakcionāli labojumi vei</w:t>
            </w:r>
            <w:r w:rsidR="00E35245">
              <w:t>cami</w:t>
            </w:r>
            <w:r w:rsidR="00EB323F">
              <w:t xml:space="preserve"> saskaņojot slimības nosaukumu, kas definēts MK noteikumos - „iedzimta sifilisa sindroms” ar definīciju Starptautiskā statistiskā slimību un veselības problēmu klasifikācijā </w:t>
            </w:r>
            <w:r w:rsidR="00B457D5">
              <w:t>(SSK</w:t>
            </w:r>
            <w:r w:rsidR="00A304D5">
              <w:t>-</w:t>
            </w:r>
            <w:r w:rsidR="00B457D5">
              <w:t xml:space="preserve"> </w:t>
            </w:r>
            <w:r w:rsidR="001D449F">
              <w:t>10</w:t>
            </w:r>
            <w:r w:rsidR="00B457D5">
              <w:t>)</w:t>
            </w:r>
            <w:r w:rsidR="001D449F">
              <w:t xml:space="preserve"> </w:t>
            </w:r>
            <w:r w:rsidR="00EB323F">
              <w:t>– „iedzimts sifiliss”</w:t>
            </w:r>
            <w:r w:rsidR="00FC3E73">
              <w:t>.</w:t>
            </w:r>
            <w:r w:rsidR="001D449F">
              <w:t xml:space="preserve"> </w:t>
            </w:r>
          </w:p>
          <w:p w:rsidR="002A1444" w:rsidRPr="001D449F" w:rsidRDefault="00691D02" w:rsidP="002A1444">
            <w:pPr>
              <w:jc w:val="both"/>
            </w:pPr>
            <w:r>
              <w:t xml:space="preserve">  </w:t>
            </w:r>
            <w:r w:rsidR="002B6476">
              <w:t>1</w:t>
            </w:r>
            <w:r w:rsidR="001D449F">
              <w:t>4</w:t>
            </w:r>
            <w:r w:rsidR="002B6476">
              <w:t xml:space="preserve">. </w:t>
            </w:r>
            <w:r>
              <w:t xml:space="preserve">Saskaņā ar </w:t>
            </w:r>
            <w:r w:rsidR="00F67E7C" w:rsidRPr="000B31B5">
              <w:t>Lēmuma 2</w:t>
            </w:r>
            <w:r w:rsidR="00696BEC" w:rsidRPr="000B31B5">
              <w:t>0</w:t>
            </w:r>
            <w:r w:rsidR="009419CD" w:rsidRPr="000B31B5">
              <w:t>12/506</w:t>
            </w:r>
            <w:r w:rsidR="00F67E7C" w:rsidRPr="000B31B5">
              <w:t>//E</w:t>
            </w:r>
            <w:r w:rsidR="009419CD" w:rsidRPr="000B31B5">
              <w:t>S</w:t>
            </w:r>
            <w:r w:rsidR="00F67E7C">
              <w:t xml:space="preserve"> </w:t>
            </w:r>
            <w:r w:rsidR="004D774F">
              <w:t xml:space="preserve">1.pielikuma </w:t>
            </w:r>
            <w:r>
              <w:t>2.5</w:t>
            </w:r>
            <w:r w:rsidR="009419CD">
              <w:t>0</w:t>
            </w:r>
            <w:r>
              <w:t xml:space="preserve">.apakšpunktu noteikumu projekts paredz </w:t>
            </w:r>
            <w:r w:rsidR="00E97CFA">
              <w:t xml:space="preserve">ziņošanu par </w:t>
            </w:r>
            <w:r>
              <w:t>vīrusu hemorāģisko drud</w:t>
            </w:r>
            <w:r w:rsidR="00E97CFA">
              <w:t>zi</w:t>
            </w:r>
            <w:r>
              <w:t xml:space="preserve"> – </w:t>
            </w:r>
            <w:proofErr w:type="spellStart"/>
            <w:r w:rsidRPr="001D449F">
              <w:t>Denges</w:t>
            </w:r>
            <w:proofErr w:type="spellEnd"/>
            <w:r w:rsidRPr="001D449F">
              <w:t xml:space="preserve"> drudzi</w:t>
            </w:r>
            <w:r w:rsidR="00E97CFA" w:rsidRPr="001D449F">
              <w:t>,</w:t>
            </w:r>
            <w:r w:rsidRPr="001D449F">
              <w:t xml:space="preserve"> </w:t>
            </w:r>
            <w:r w:rsidR="002A1444" w:rsidRPr="001D449F">
              <w:t xml:space="preserve">kas līdz šim </w:t>
            </w:r>
            <w:r w:rsidR="00696BEC">
              <w:t xml:space="preserve">tiesību aktos </w:t>
            </w:r>
            <w:r w:rsidR="002A1444" w:rsidRPr="001D449F">
              <w:t xml:space="preserve">nebija reglamentēta. </w:t>
            </w:r>
          </w:p>
          <w:p w:rsidR="002E3E6D" w:rsidRDefault="002A1444" w:rsidP="006518DF">
            <w:pPr>
              <w:jc w:val="both"/>
            </w:pPr>
            <w:r w:rsidRPr="001D449F">
              <w:t xml:space="preserve">   Sakarā ar ziņošanas nepieciešamību par </w:t>
            </w:r>
            <w:proofErr w:type="spellStart"/>
            <w:r w:rsidRPr="001D449F">
              <w:t>Denges</w:t>
            </w:r>
            <w:proofErr w:type="spellEnd"/>
            <w:r w:rsidRPr="001D449F">
              <w:t xml:space="preserve"> drudzi atbilstoši no</w:t>
            </w:r>
            <w:r w:rsidR="00E35245">
              <w:t>sakāma</w:t>
            </w:r>
            <w:r w:rsidRPr="001D449F">
              <w:t xml:space="preserve"> arī ziņošana par </w:t>
            </w:r>
            <w:proofErr w:type="spellStart"/>
            <w:r w:rsidRPr="001D449F">
              <w:t>Denges</w:t>
            </w:r>
            <w:proofErr w:type="spellEnd"/>
            <w:r w:rsidRPr="001D449F">
              <w:t xml:space="preserve"> drudža vīrusa konstatēšanu laboratoriskajos izmeklējumos</w:t>
            </w:r>
            <w:r w:rsidR="00E97CFA" w:rsidRPr="001D449F">
              <w:t>, ko paredz noteikumu projekta</w:t>
            </w:r>
            <w:r w:rsidR="002F4172">
              <w:t xml:space="preserve"> </w:t>
            </w:r>
            <w:r w:rsidR="005A034C" w:rsidRPr="000B31B5">
              <w:t>1.</w:t>
            </w:r>
            <w:r w:rsidR="00E97CFA" w:rsidRPr="000B31B5">
              <w:t>1</w:t>
            </w:r>
            <w:r w:rsidR="00E94F0B" w:rsidRPr="000B31B5">
              <w:t>3</w:t>
            </w:r>
            <w:r w:rsidR="00E97CFA" w:rsidRPr="000B31B5">
              <w:t>.</w:t>
            </w:r>
            <w:r w:rsidR="005A034C" w:rsidRPr="000B31B5">
              <w:t>apakšpunkts</w:t>
            </w:r>
            <w:r w:rsidR="00E97CFA" w:rsidRPr="000B31B5">
              <w:t>.</w:t>
            </w:r>
          </w:p>
          <w:p w:rsidR="003F12BA" w:rsidRDefault="003F12BA" w:rsidP="003F12BA">
            <w:pPr>
              <w:jc w:val="both"/>
            </w:pPr>
            <w:r>
              <w:t xml:space="preserve"> 15. Atbilstoši Eiropas Komisijas 2012.gada 8.augustā pieņemtajam  Lēmumam 2012/312/ES, tiek papildināta MK noteikumu punkts par Latvijai saistošajiem Eiropas Komisijas dokumentiem.</w:t>
            </w:r>
          </w:p>
          <w:p w:rsidR="003F12BA" w:rsidRDefault="003F12BA" w:rsidP="003F12BA">
            <w:pPr>
              <w:jc w:val="both"/>
            </w:pPr>
            <w:r>
              <w:t xml:space="preserve"> 16. Saskaņā ar </w:t>
            </w:r>
            <w:r w:rsidRPr="003F12BA">
              <w:rPr>
                <w:iCs/>
              </w:rPr>
              <w:t>Ministru kabineta 2012.gada 21.februāra noteikum</w:t>
            </w:r>
            <w:r>
              <w:rPr>
                <w:iCs/>
              </w:rPr>
              <w:t>os</w:t>
            </w:r>
            <w:r w:rsidRPr="003F12BA">
              <w:rPr>
                <w:iCs/>
              </w:rPr>
              <w:t xml:space="preserve">  Nr.127 „Noteikumi par ziņojamām, reģistrējamām un valsts uzraudzībā esošam dzīvnieku infekcijas slimībām un kārtību, kādā par tām sniedzama informācija Pārtikas un veterinārajam dienestam” </w:t>
            </w:r>
            <w:r>
              <w:rPr>
                <w:iCs/>
              </w:rPr>
              <w:t>noteikto redakcionāli precizēti dzīvnieku infekciju slimību nosaukumi 1.pielikumā un 2.pielikumā.</w:t>
            </w:r>
          </w:p>
          <w:p w:rsidR="006518DF" w:rsidRPr="00D12E60" w:rsidRDefault="00B34AF9" w:rsidP="006518DF">
            <w:pPr>
              <w:jc w:val="both"/>
            </w:pPr>
            <w:r>
              <w:lastRenderedPageBreak/>
              <w:t xml:space="preserve"> </w:t>
            </w:r>
            <w:r w:rsidR="00A77221">
              <w:t xml:space="preserve"> </w:t>
            </w:r>
            <w:r w:rsidR="0014702A">
              <w:rPr>
                <w:color w:val="FF0000"/>
              </w:rPr>
              <w:t xml:space="preserve"> </w:t>
            </w:r>
            <w:r w:rsidR="00E97CFA">
              <w:rPr>
                <w:color w:val="FF0000"/>
              </w:rPr>
              <w:t xml:space="preserve"> </w:t>
            </w:r>
            <w:r w:rsidR="002B6476" w:rsidRPr="004D774F">
              <w:t>1</w:t>
            </w:r>
            <w:r w:rsidR="003F12BA">
              <w:t>7</w:t>
            </w:r>
            <w:r w:rsidR="002B6476" w:rsidRPr="004D774F">
              <w:t xml:space="preserve">. </w:t>
            </w:r>
            <w:r w:rsidR="00417E99" w:rsidRPr="004D774F">
              <w:t>Precizē</w:t>
            </w:r>
            <w:r w:rsidR="00E35245">
              <w:t>jams</w:t>
            </w:r>
            <w:r w:rsidR="006765CD" w:rsidRPr="004D774F">
              <w:t xml:space="preserve"> MK noteikumu 3.pielikuma 1.sada</w:t>
            </w:r>
            <w:r w:rsidR="00617CFC" w:rsidRPr="004D774F">
              <w:t>ļ</w:t>
            </w:r>
            <w:r w:rsidR="006765CD" w:rsidRPr="004D774F">
              <w:t xml:space="preserve">as Bakteriālās infekcijas </w:t>
            </w:r>
            <w:r w:rsidR="00617CFC" w:rsidRPr="004D774F">
              <w:t xml:space="preserve">slimības </w:t>
            </w:r>
            <w:r w:rsidR="006765CD" w:rsidRPr="004D774F">
              <w:t>23.punkt</w:t>
            </w:r>
            <w:r w:rsidR="00417E99" w:rsidRPr="004D774F">
              <w:t>s attiecībā par ziņošanu</w:t>
            </w:r>
            <w:r w:rsidR="00C3096E" w:rsidRPr="004D774F">
              <w:t>,</w:t>
            </w:r>
            <w:r w:rsidR="00417E99" w:rsidRPr="004D774F">
              <w:t xml:space="preserve"> veicot laboratorisko</w:t>
            </w:r>
            <w:r w:rsidR="00C3096E" w:rsidRPr="004D774F">
              <w:t>s</w:t>
            </w:r>
            <w:r w:rsidR="00417E99" w:rsidRPr="004D774F">
              <w:t xml:space="preserve"> </w:t>
            </w:r>
            <w:r w:rsidR="00617CFC" w:rsidRPr="004D774F">
              <w:t>izmeklējumus (</w:t>
            </w:r>
            <w:proofErr w:type="spellStart"/>
            <w:r w:rsidR="00617CFC" w:rsidRPr="004D774F">
              <w:t>skrīninga</w:t>
            </w:r>
            <w:proofErr w:type="spellEnd"/>
            <w:r w:rsidR="00617CFC" w:rsidRPr="004D774F">
              <w:t xml:space="preserve"> testus) sifilisa gadījuma apstiprināšanai, </w:t>
            </w:r>
            <w:r w:rsidR="00417E99" w:rsidRPr="004D774F">
              <w:t xml:space="preserve">lai saskaņotu noteiktas prasības, kas pašreiz attiecas uz </w:t>
            </w:r>
            <w:r w:rsidR="00C3096E" w:rsidRPr="004D774F">
              <w:t xml:space="preserve">sifilisa gadījuma definīciju un uz iedzimta </w:t>
            </w:r>
            <w:r w:rsidR="00890805">
              <w:t xml:space="preserve">un jaundzimušo </w:t>
            </w:r>
            <w:r w:rsidR="00C3096E" w:rsidRPr="004D774F">
              <w:t xml:space="preserve">sifilisa gadījuma definīciju </w:t>
            </w:r>
            <w:r w:rsidR="009419CD" w:rsidRPr="00D12E60">
              <w:t>saskaņā ar</w:t>
            </w:r>
            <w:r w:rsidR="006518DF" w:rsidRPr="00D12E60">
              <w:t xml:space="preserve"> Lēmum</w:t>
            </w:r>
            <w:r w:rsidR="009419CD" w:rsidRPr="00D12E60">
              <w:t>a</w:t>
            </w:r>
            <w:r w:rsidR="006518DF" w:rsidRPr="00D12E60">
              <w:t xml:space="preserve"> 20</w:t>
            </w:r>
            <w:r w:rsidR="00890805" w:rsidRPr="00D12E60">
              <w:t>12</w:t>
            </w:r>
            <w:r w:rsidR="006518DF" w:rsidRPr="00D12E60">
              <w:t>/</w:t>
            </w:r>
            <w:r w:rsidR="00890805" w:rsidRPr="00D12E60">
              <w:t>506</w:t>
            </w:r>
            <w:r w:rsidR="006518DF" w:rsidRPr="00D12E60">
              <w:t>/E</w:t>
            </w:r>
            <w:r w:rsidR="00890805" w:rsidRPr="00D12E60">
              <w:t>S</w:t>
            </w:r>
            <w:r w:rsidR="009419CD" w:rsidRPr="00D12E60">
              <w:t xml:space="preserve">  2.41. un 2.42</w:t>
            </w:r>
            <w:r w:rsidR="006518DF" w:rsidRPr="00D12E60">
              <w:t>.</w:t>
            </w:r>
            <w:r w:rsidR="009419CD" w:rsidRPr="00D12E60">
              <w:t xml:space="preserve"> apakšpunktā noteikto.</w:t>
            </w:r>
          </w:p>
          <w:p w:rsidR="00F268BA" w:rsidRDefault="00B63BDF" w:rsidP="00F268BA">
            <w:pPr>
              <w:jc w:val="both"/>
            </w:pPr>
            <w:r w:rsidRPr="00D12E60">
              <w:t xml:space="preserve">  </w:t>
            </w:r>
            <w:r w:rsidR="00451436" w:rsidRPr="00D12E60">
              <w:t>1</w:t>
            </w:r>
            <w:r w:rsidR="003F12BA" w:rsidRPr="00D12E60">
              <w:t>8</w:t>
            </w:r>
            <w:r w:rsidR="00451436" w:rsidRPr="00D12E60">
              <w:t>.</w:t>
            </w:r>
            <w:r w:rsidRPr="00D12E60">
              <w:t xml:space="preserve"> </w:t>
            </w:r>
            <w:r w:rsidR="00A77221" w:rsidRPr="00D12E60">
              <w:t>Atbilstoši noteikumu projekta</w:t>
            </w:r>
            <w:r w:rsidR="00A77221" w:rsidRPr="00D12E60">
              <w:rPr>
                <w:color w:val="00B0F0"/>
              </w:rPr>
              <w:t xml:space="preserve"> </w:t>
            </w:r>
            <w:r w:rsidR="004848B5" w:rsidRPr="00D12E60">
              <w:t>1.</w:t>
            </w:r>
            <w:r w:rsidR="00A77221" w:rsidRPr="00D12E60">
              <w:t>3.</w:t>
            </w:r>
            <w:r w:rsidR="004848B5" w:rsidRPr="00D12E60">
              <w:t>apakšpunktā</w:t>
            </w:r>
            <w:r w:rsidR="00A77221" w:rsidRPr="00D12E60">
              <w:t xml:space="preserve"> noteiktajam</w:t>
            </w:r>
            <w:r w:rsidR="00A77221">
              <w:t xml:space="preserve"> ir </w:t>
            </w:r>
            <w:r w:rsidR="00E35245">
              <w:t xml:space="preserve">nepieciešams </w:t>
            </w:r>
            <w:r w:rsidR="00A77221">
              <w:t>papildināt arī MK noteikumu 3.pielikum</w:t>
            </w:r>
            <w:r w:rsidR="00E35245">
              <w:t>u</w:t>
            </w:r>
            <w:r w:rsidR="00A77221">
              <w:t xml:space="preserve"> „</w:t>
            </w:r>
            <w:r w:rsidR="00B34AF9">
              <w:t>Reģistrējam</w:t>
            </w:r>
            <w:r w:rsidR="00A77221">
              <w:t>ie</w:t>
            </w:r>
            <w:r w:rsidR="00B34AF9">
              <w:t xml:space="preserve"> laboratoriski konstatēt</w:t>
            </w:r>
            <w:r w:rsidR="00A77221">
              <w:t>ie</w:t>
            </w:r>
            <w:r w:rsidR="00B34AF9">
              <w:t xml:space="preserve"> infekcijas slimību izraisītāj</w:t>
            </w:r>
            <w:r w:rsidR="00A77221">
              <w:t>i, to noteikšanas metodes un</w:t>
            </w:r>
            <w:r w:rsidR="006547EB">
              <w:t xml:space="preserve"> </w:t>
            </w:r>
            <w:r w:rsidR="00A77221">
              <w:t>izmeklējamie paraugi” ar „</w:t>
            </w:r>
            <w:r w:rsidR="00A77221" w:rsidRPr="00A77221">
              <w:rPr>
                <w:i/>
              </w:rPr>
              <w:t xml:space="preserve">pret </w:t>
            </w:r>
            <w:proofErr w:type="spellStart"/>
            <w:r w:rsidR="00A77221" w:rsidRPr="00A77221">
              <w:rPr>
                <w:i/>
              </w:rPr>
              <w:t>karbap</w:t>
            </w:r>
            <w:r>
              <w:rPr>
                <w:i/>
              </w:rPr>
              <w:t>e</w:t>
            </w:r>
            <w:r w:rsidR="00A77221" w:rsidRPr="00A77221">
              <w:rPr>
                <w:i/>
              </w:rPr>
              <w:t>nēmiem</w:t>
            </w:r>
            <w:proofErr w:type="spellEnd"/>
            <w:r w:rsidR="00A77221" w:rsidRPr="00A77221">
              <w:rPr>
                <w:i/>
              </w:rPr>
              <w:t xml:space="preserve"> </w:t>
            </w:r>
            <w:proofErr w:type="spellStart"/>
            <w:r w:rsidR="00A77221" w:rsidRPr="00A77221">
              <w:rPr>
                <w:i/>
              </w:rPr>
              <w:t>rezistento</w:t>
            </w:r>
            <w:proofErr w:type="spellEnd"/>
            <w:r w:rsidR="00A77221">
              <w:t xml:space="preserve"> </w:t>
            </w:r>
            <w:proofErr w:type="spellStart"/>
            <w:r w:rsidR="00A77221" w:rsidRPr="00A77221">
              <w:rPr>
                <w:i/>
              </w:rPr>
              <w:t>Enterobacteriaceae</w:t>
            </w:r>
            <w:proofErr w:type="spellEnd"/>
            <w:r w:rsidR="00A77221">
              <w:rPr>
                <w:i/>
              </w:rPr>
              <w:t xml:space="preserve"> mikroorganismu”, </w:t>
            </w:r>
            <w:r w:rsidR="00A77221" w:rsidRPr="00A77221">
              <w:t>par kur</w:t>
            </w:r>
            <w:r w:rsidR="00A77221">
              <w:t>u</w:t>
            </w:r>
            <w:r w:rsidR="00A77221" w:rsidRPr="00A77221">
              <w:t xml:space="preserve"> konstatēšanas gadījumā ziņo mikrobioloģijas laboratorijas vadītājs</w:t>
            </w:r>
            <w:r w:rsidR="00A77221">
              <w:t>.</w:t>
            </w:r>
          </w:p>
          <w:p w:rsidR="00090D48" w:rsidRDefault="003D43FD" w:rsidP="006B6CAD">
            <w:pPr>
              <w:jc w:val="both"/>
            </w:pPr>
            <w:r>
              <w:t xml:space="preserve"> </w:t>
            </w:r>
            <w:r w:rsidR="00661DF1" w:rsidRPr="004D774F">
              <w:t xml:space="preserve"> </w:t>
            </w:r>
            <w:r w:rsidR="00661DF1" w:rsidRPr="00E35245">
              <w:t>1</w:t>
            </w:r>
            <w:r w:rsidR="003F12BA">
              <w:t>9</w:t>
            </w:r>
            <w:r w:rsidR="00661DF1" w:rsidRPr="00E35245">
              <w:t>.</w:t>
            </w:r>
            <w:r w:rsidR="002560CE" w:rsidRPr="00E35245">
              <w:t xml:space="preserve"> </w:t>
            </w:r>
            <w:r w:rsidR="00661DF1" w:rsidRPr="00E35245">
              <w:t>Noteikumu projekt</w:t>
            </w:r>
            <w:r w:rsidR="00E35245" w:rsidRPr="00E35245">
              <w:t>ā</w:t>
            </w:r>
            <w:r w:rsidR="0053496D" w:rsidRPr="00E35245">
              <w:t xml:space="preserve"> </w:t>
            </w:r>
            <w:r w:rsidR="00E35245" w:rsidRPr="00E35245">
              <w:t>jā</w:t>
            </w:r>
            <w:r w:rsidR="0053496D" w:rsidRPr="00E35245">
              <w:t>paredz</w:t>
            </w:r>
            <w:r w:rsidR="006715EF">
              <w:t xml:space="preserve"> pārejas laiks – 2013.gada 1.</w:t>
            </w:r>
            <w:r w:rsidR="00090D48">
              <w:t>februāris</w:t>
            </w:r>
            <w:r w:rsidR="006715EF">
              <w:t>, lai uzsāktu MK noteikumos iestrādāto grozījumu īstenošanu</w:t>
            </w:r>
            <w:r w:rsidR="00090D48">
              <w:t>.</w:t>
            </w:r>
            <w:r w:rsidR="00216EA4">
              <w:t xml:space="preserve"> </w:t>
            </w:r>
          </w:p>
          <w:p w:rsidR="006B6CAD" w:rsidRPr="00216EA4" w:rsidRDefault="00090D48" w:rsidP="006B6CAD">
            <w:pPr>
              <w:jc w:val="both"/>
            </w:pPr>
            <w:r>
              <w:t xml:space="preserve"> </w:t>
            </w:r>
            <w:r w:rsidR="003F12BA">
              <w:t>20.</w:t>
            </w:r>
            <w:r w:rsidR="00216EA4">
              <w:t xml:space="preserve"> Atšķirīgs pārejas laiks ir jāparedz noteikumu 10.</w:t>
            </w:r>
            <w:r w:rsidR="00216EA4" w:rsidRPr="00216EA4">
              <w:rPr>
                <w:vertAlign w:val="superscript"/>
              </w:rPr>
              <w:t>5</w:t>
            </w:r>
            <w:r w:rsidR="00216EA4">
              <w:rPr>
                <w:vertAlign w:val="superscript"/>
              </w:rPr>
              <w:t xml:space="preserve"> </w:t>
            </w:r>
            <w:r w:rsidR="00216EA4" w:rsidRPr="00216EA4">
              <w:t>punktam</w:t>
            </w:r>
            <w:r w:rsidR="00216EA4">
              <w:t>, kas paredz  ziņojuma</w:t>
            </w:r>
            <w:r w:rsidR="003845F6">
              <w:t xml:space="preserve"> </w:t>
            </w:r>
            <w:r w:rsidR="00216EA4">
              <w:t xml:space="preserve">sniegšanu Slimību profilakses un kontroles centram par </w:t>
            </w:r>
            <w:r w:rsidR="003845F6">
              <w:t xml:space="preserve">katru </w:t>
            </w:r>
            <w:r w:rsidR="00216EA4">
              <w:t>ceturksni.</w:t>
            </w:r>
          </w:p>
          <w:p w:rsidR="001D449F" w:rsidRPr="00E35245" w:rsidRDefault="006B6CAD" w:rsidP="00EB323F">
            <w:pPr>
              <w:ind w:hanging="157"/>
              <w:jc w:val="both"/>
            </w:pPr>
            <w:r w:rsidRPr="00E35245">
              <w:t xml:space="preserve">       </w:t>
            </w:r>
            <w:r w:rsidR="006751F4" w:rsidRPr="00E35245">
              <w:t xml:space="preserve"> </w:t>
            </w:r>
            <w:r w:rsidR="00F268BA" w:rsidRPr="00E35245">
              <w:t xml:space="preserve">      </w:t>
            </w:r>
          </w:p>
          <w:p w:rsidR="00995D80" w:rsidRPr="003E4B12" w:rsidRDefault="00A912E3" w:rsidP="00661DF1">
            <w:pPr>
              <w:jc w:val="both"/>
            </w:pPr>
            <w:r>
              <w:rPr>
                <w:rFonts w:ascii="Swiss TL" w:hAnsi="Swiss TL"/>
                <w:color w:val="FF0000"/>
              </w:rPr>
              <w:t xml:space="preserve">  </w:t>
            </w:r>
          </w:p>
        </w:tc>
      </w:tr>
      <w:tr w:rsidR="00956BE6" w:rsidRPr="003E4B12" w:rsidTr="006765CD">
        <w:trPr>
          <w:trHeight w:val="759"/>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141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Saistītie politikas ietekmes novērtējumi un pētījumi</w:t>
            </w:r>
          </w:p>
        </w:tc>
        <w:tc>
          <w:tcPr>
            <w:tcW w:w="7385" w:type="dxa"/>
            <w:tcBorders>
              <w:top w:val="outset" w:sz="6" w:space="0" w:color="auto"/>
              <w:left w:val="outset" w:sz="6" w:space="0" w:color="auto"/>
              <w:bottom w:val="outset" w:sz="6" w:space="0" w:color="auto"/>
              <w:right w:val="outset" w:sz="6" w:space="0" w:color="auto"/>
            </w:tcBorders>
            <w:hideMark/>
          </w:tcPr>
          <w:p w:rsidR="00DF408E" w:rsidRPr="00DF408E" w:rsidRDefault="00DF408E" w:rsidP="00A912E3">
            <w:pPr>
              <w:jc w:val="both"/>
            </w:pPr>
            <w:r w:rsidRPr="00DF408E">
              <w:t>1)</w:t>
            </w:r>
            <w:r>
              <w:t xml:space="preserve"> </w:t>
            </w:r>
            <w:r w:rsidR="00A912E3" w:rsidRPr="00DF408E">
              <w:t xml:space="preserve">ECDC </w:t>
            </w:r>
            <w:proofErr w:type="spellStart"/>
            <w:r w:rsidR="00A912E3" w:rsidRPr="00DF408E">
              <w:t>Special</w:t>
            </w:r>
            <w:proofErr w:type="spellEnd"/>
            <w:r w:rsidR="00A912E3" w:rsidRPr="00DF408E">
              <w:t xml:space="preserve"> </w:t>
            </w:r>
            <w:proofErr w:type="spellStart"/>
            <w:r w:rsidR="00A912E3" w:rsidRPr="00DF408E">
              <w:t>report</w:t>
            </w:r>
            <w:proofErr w:type="spellEnd"/>
            <w:r w:rsidR="00A912E3" w:rsidRPr="00DF408E">
              <w:t xml:space="preserve"> „</w:t>
            </w:r>
            <w:proofErr w:type="spellStart"/>
            <w:r w:rsidR="00A912E3" w:rsidRPr="00DF408E">
              <w:t>Responce</w:t>
            </w:r>
            <w:proofErr w:type="spellEnd"/>
            <w:r w:rsidR="00A912E3" w:rsidRPr="00DF408E">
              <w:t xml:space="preserve"> </w:t>
            </w:r>
            <w:proofErr w:type="spellStart"/>
            <w:r w:rsidR="00A912E3" w:rsidRPr="00DF408E">
              <w:t>plan</w:t>
            </w:r>
            <w:proofErr w:type="spellEnd"/>
            <w:r w:rsidR="00A912E3" w:rsidRPr="00DF408E">
              <w:t xml:space="preserve"> to </w:t>
            </w:r>
            <w:proofErr w:type="spellStart"/>
            <w:r w:rsidR="00A912E3" w:rsidRPr="00DF408E">
              <w:t>control</w:t>
            </w:r>
            <w:proofErr w:type="spellEnd"/>
            <w:r w:rsidR="00A912E3" w:rsidRPr="00DF408E">
              <w:t xml:space="preserve"> </w:t>
            </w:r>
            <w:proofErr w:type="spellStart"/>
            <w:r w:rsidR="00A912E3" w:rsidRPr="00DF408E">
              <w:t>and</w:t>
            </w:r>
            <w:proofErr w:type="spellEnd"/>
            <w:r w:rsidR="00A912E3" w:rsidRPr="00DF408E">
              <w:t xml:space="preserve"> </w:t>
            </w:r>
            <w:proofErr w:type="spellStart"/>
            <w:r w:rsidR="00A912E3" w:rsidRPr="00DF408E">
              <w:t>manage</w:t>
            </w:r>
            <w:proofErr w:type="spellEnd"/>
            <w:r w:rsidR="00A912E3" w:rsidRPr="00DF408E">
              <w:t xml:space="preserve"> </w:t>
            </w:r>
            <w:proofErr w:type="spellStart"/>
            <w:r w:rsidR="00A912E3" w:rsidRPr="00DF408E">
              <w:t>the</w:t>
            </w:r>
            <w:proofErr w:type="spellEnd"/>
            <w:r w:rsidR="00A912E3" w:rsidRPr="00DF408E">
              <w:t xml:space="preserve"> </w:t>
            </w:r>
            <w:proofErr w:type="spellStart"/>
            <w:r w:rsidR="00A912E3" w:rsidRPr="00DF408E">
              <w:t>threat</w:t>
            </w:r>
            <w:proofErr w:type="spellEnd"/>
            <w:r w:rsidR="00A912E3" w:rsidRPr="00DF408E">
              <w:t xml:space="preserve"> </w:t>
            </w:r>
            <w:proofErr w:type="spellStart"/>
            <w:r w:rsidR="00A912E3" w:rsidRPr="00DF408E">
              <w:t>of</w:t>
            </w:r>
            <w:proofErr w:type="spellEnd"/>
            <w:r w:rsidR="00A912E3" w:rsidRPr="00DF408E">
              <w:t xml:space="preserve"> </w:t>
            </w:r>
            <w:proofErr w:type="spellStart"/>
            <w:r w:rsidR="00A912E3" w:rsidRPr="00DF408E">
              <w:t>multidrug-resistant</w:t>
            </w:r>
            <w:proofErr w:type="spellEnd"/>
            <w:r w:rsidR="00A912E3" w:rsidRPr="00DF408E">
              <w:t xml:space="preserve"> </w:t>
            </w:r>
            <w:proofErr w:type="spellStart"/>
            <w:r w:rsidR="00A912E3" w:rsidRPr="00DF408E">
              <w:t>gonorrhoea</w:t>
            </w:r>
            <w:proofErr w:type="spellEnd"/>
            <w:r w:rsidR="00A912E3" w:rsidRPr="00DF408E">
              <w:t xml:space="preserve"> </w:t>
            </w:r>
            <w:proofErr w:type="spellStart"/>
            <w:r w:rsidR="00A912E3" w:rsidRPr="00DF408E">
              <w:t>in</w:t>
            </w:r>
            <w:proofErr w:type="spellEnd"/>
            <w:r w:rsidR="00A912E3" w:rsidRPr="00DF408E">
              <w:t xml:space="preserve"> </w:t>
            </w:r>
            <w:proofErr w:type="spellStart"/>
            <w:r w:rsidR="00A912E3" w:rsidRPr="00DF408E">
              <w:t>Europe</w:t>
            </w:r>
            <w:proofErr w:type="spellEnd"/>
            <w:r w:rsidR="00A912E3" w:rsidRPr="00DF408E">
              <w:t>” (</w:t>
            </w:r>
            <w:proofErr w:type="spellStart"/>
            <w:r w:rsidR="00A912E3" w:rsidRPr="00DF408E">
              <w:t>June</w:t>
            </w:r>
            <w:proofErr w:type="spellEnd"/>
            <w:r w:rsidR="00A912E3" w:rsidRPr="00DF408E">
              <w:t xml:space="preserve"> 2012))</w:t>
            </w:r>
            <w:r w:rsidRPr="00DF408E">
              <w:t>;</w:t>
            </w:r>
          </w:p>
          <w:p w:rsidR="00DF408E" w:rsidRPr="00DF408E" w:rsidRDefault="00DF408E" w:rsidP="00DF408E">
            <w:pPr>
              <w:ind w:left="172" w:hanging="172"/>
              <w:jc w:val="both"/>
            </w:pPr>
            <w:r w:rsidRPr="00DF408E">
              <w:t>2)</w:t>
            </w:r>
            <w:r>
              <w:t xml:space="preserve"> </w:t>
            </w:r>
            <w:r w:rsidRPr="00DF408E">
              <w:t>Gonokoku rezistences uzraudzība Eiropas Savienībā:</w:t>
            </w:r>
          </w:p>
          <w:p w:rsidR="00956BE6" w:rsidRDefault="00DF408E" w:rsidP="00DF408E">
            <w:pPr>
              <w:jc w:val="both"/>
              <w:rPr>
                <w:u w:val="single"/>
              </w:rPr>
            </w:pPr>
            <w:r w:rsidRPr="00DF408E">
              <w:rPr>
                <w:i/>
                <w:u w:val="single"/>
              </w:rPr>
              <w:t>http://www.ecdc.europa.eu/en/Publication/Forms/ECDCDispForm.aspx?ID=902</w:t>
            </w:r>
            <w:r w:rsidR="00A912E3" w:rsidRPr="00DF408E">
              <w:rPr>
                <w:u w:val="single"/>
              </w:rPr>
              <w:t xml:space="preserve"> </w:t>
            </w:r>
            <w:r w:rsidR="00960742">
              <w:rPr>
                <w:u w:val="single"/>
              </w:rPr>
              <w:t>;</w:t>
            </w:r>
          </w:p>
          <w:p w:rsidR="00DF408E" w:rsidRDefault="00DF408E" w:rsidP="00DF408E">
            <w:pPr>
              <w:jc w:val="both"/>
            </w:pPr>
            <w:r w:rsidRPr="00DF408E">
              <w:t>3)</w:t>
            </w:r>
            <w:r>
              <w:t xml:space="preserve"> Antibakteriālās rezistences uzraudzība</w:t>
            </w:r>
            <w:r w:rsidR="00960742">
              <w:t>:</w:t>
            </w:r>
          </w:p>
          <w:p w:rsidR="00960742" w:rsidRPr="00DF408E" w:rsidRDefault="00960742" w:rsidP="002F69D1">
            <w:pPr>
              <w:jc w:val="both"/>
            </w:pPr>
            <w:r w:rsidRPr="00DF408E">
              <w:rPr>
                <w:i/>
                <w:u w:val="single"/>
              </w:rPr>
              <w:t>http://www.ecdc.europa.eu/en/Publication/Forms/ECDCDispForm.aspx?ID=</w:t>
            </w:r>
            <w:r>
              <w:rPr>
                <w:i/>
                <w:u w:val="single"/>
              </w:rPr>
              <w:t>774</w:t>
            </w:r>
          </w:p>
        </w:tc>
      </w:tr>
      <w:tr w:rsidR="00956BE6" w:rsidRPr="003E4B12" w:rsidTr="006765CD">
        <w:trPr>
          <w:trHeight w:val="384"/>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141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7385" w:type="dxa"/>
            <w:tcBorders>
              <w:top w:val="outset" w:sz="6" w:space="0" w:color="auto"/>
              <w:left w:val="outset" w:sz="6" w:space="0" w:color="auto"/>
              <w:bottom w:val="outset" w:sz="6" w:space="0" w:color="auto"/>
              <w:right w:val="outset" w:sz="6" w:space="0" w:color="auto"/>
            </w:tcBorders>
            <w:hideMark/>
          </w:tcPr>
          <w:p w:rsidR="00EE48E2" w:rsidRDefault="00E35245" w:rsidP="00E35245">
            <w:pPr>
              <w:jc w:val="both"/>
            </w:pPr>
            <w:r>
              <w:t xml:space="preserve">  </w:t>
            </w:r>
            <w:r w:rsidR="00742C11">
              <w:t>Noteikumu projekta mērķis ir</w:t>
            </w:r>
            <w:r>
              <w:t xml:space="preserve"> </w:t>
            </w:r>
            <w:r w:rsidR="00996149">
              <w:t>pilnveidot</w:t>
            </w:r>
            <w:r w:rsidR="00742C11">
              <w:t xml:space="preserve"> </w:t>
            </w:r>
            <w:r w:rsidR="00742C11" w:rsidRPr="00451436">
              <w:t>infekcijas slimību epidemioloģiskās uzraudzības sistēm</w:t>
            </w:r>
            <w:r w:rsidR="00742C11">
              <w:t>u</w:t>
            </w:r>
            <w:r w:rsidR="00742C11" w:rsidRPr="00451436">
              <w:t xml:space="preserve"> </w:t>
            </w:r>
            <w:r w:rsidR="00996149">
              <w:t xml:space="preserve">un papildināt to </w:t>
            </w:r>
            <w:r w:rsidR="00742C11" w:rsidRPr="00451436">
              <w:t>ar infekcijas slimībām, par kurām jāziņo citām</w:t>
            </w:r>
            <w:r w:rsidR="00E957E6">
              <w:t xml:space="preserve"> Eiropas Savienības</w:t>
            </w:r>
            <w:r w:rsidR="00742C11" w:rsidRPr="00451436">
              <w:t xml:space="preserve"> valstīm un Eiropas Komisijai ar E</w:t>
            </w:r>
            <w:r w:rsidR="00742C11">
              <w:t>CDC starpniecību, ņ</w:t>
            </w:r>
            <w:r w:rsidR="00742C11" w:rsidRPr="00451436">
              <w:t>emot vērā infekcijas slimību epidemioloģisko situāciju</w:t>
            </w:r>
            <w:r w:rsidR="00742C11">
              <w:t xml:space="preserve"> Eiropā un iespējamos draudus </w:t>
            </w:r>
            <w:r w:rsidR="00742C11" w:rsidRPr="00451436">
              <w:t xml:space="preserve"> sabiedrības veselībai</w:t>
            </w:r>
            <w:r w:rsidR="00E957E6">
              <w:t xml:space="preserve"> Latvijā un Kopienā</w:t>
            </w:r>
            <w:r>
              <w:t>.</w:t>
            </w:r>
            <w:r w:rsidR="00EE48E2">
              <w:t xml:space="preserve"> </w:t>
            </w:r>
          </w:p>
          <w:p w:rsidR="00AE52A2" w:rsidRDefault="00AE52A2" w:rsidP="00AE52A2">
            <w:pPr>
              <w:jc w:val="both"/>
            </w:pPr>
            <w:r>
              <w:t>Īstenojot noteikumu projekta mērķi tiks:</w:t>
            </w:r>
          </w:p>
          <w:p w:rsidR="00AE52A2" w:rsidRDefault="00AE52A2" w:rsidP="00AE52A2">
            <w:pPr>
              <w:pStyle w:val="ListParagraph"/>
              <w:numPr>
                <w:ilvl w:val="0"/>
                <w:numId w:val="7"/>
              </w:numPr>
              <w:jc w:val="both"/>
            </w:pPr>
            <w:r>
              <w:t xml:space="preserve"> uzlabota infekcijas slimību reģistrācija valstī, veicot slimību izraisītāju    detalizētu laboratorisko izmeklēšanu, kas nodrošinās</w:t>
            </w:r>
            <w:r w:rsidRPr="004B77E9">
              <w:t xml:space="preserve"> savlaicīg</w:t>
            </w:r>
            <w:r>
              <w:t>u</w:t>
            </w:r>
            <w:r w:rsidRPr="004B77E9">
              <w:t xml:space="preserve"> uzliesmojumu </w:t>
            </w:r>
            <w:r>
              <w:t>atklāšanu un saslimšanas gadījumu epidemioloģisko izmeklēšanu, lai mērķtiecīgi veiktu pasākumus, kas  nepieļautu infekcijas slimību tālāku izplatīšanos;</w:t>
            </w:r>
          </w:p>
          <w:p w:rsidR="00B4498A" w:rsidRPr="004D774F" w:rsidRDefault="00AE52A2" w:rsidP="00AE52A2">
            <w:pPr>
              <w:pStyle w:val="ListParagraph"/>
              <w:numPr>
                <w:ilvl w:val="0"/>
                <w:numId w:val="7"/>
              </w:numPr>
              <w:jc w:val="both"/>
            </w:pPr>
            <w:r>
              <w:t>u</w:t>
            </w:r>
            <w:r w:rsidR="00B4498A" w:rsidRPr="004D774F">
              <w:t>zlabot</w:t>
            </w:r>
            <w:r w:rsidR="008874ED">
              <w:t>a</w:t>
            </w:r>
            <w:r w:rsidR="00B4498A" w:rsidRPr="004D774F">
              <w:t xml:space="preserve"> </w:t>
            </w:r>
            <w:r w:rsidR="002B2AD6">
              <w:t xml:space="preserve">pret antibiotikām izturīgu izraisītāju </w:t>
            </w:r>
            <w:r w:rsidR="00875EB5" w:rsidRPr="004D774F">
              <w:t>uzraudzīb</w:t>
            </w:r>
            <w:r w:rsidR="008874ED">
              <w:t>a</w:t>
            </w:r>
            <w:r w:rsidR="00875EB5" w:rsidRPr="004D774F">
              <w:t xml:space="preserve"> valstī, nosakot </w:t>
            </w:r>
            <w:r w:rsidR="005928F5" w:rsidRPr="004D774F">
              <w:t xml:space="preserve">jaunu </w:t>
            </w:r>
            <w:r w:rsidR="00875EB5" w:rsidRPr="004D774F">
              <w:t xml:space="preserve">ziņošanas kārtību </w:t>
            </w:r>
            <w:r w:rsidR="005928F5" w:rsidRPr="004D774F">
              <w:t xml:space="preserve">par </w:t>
            </w:r>
            <w:r w:rsidR="00960742" w:rsidRPr="004D774F">
              <w:t xml:space="preserve">jutības </w:t>
            </w:r>
            <w:r w:rsidR="005928F5" w:rsidRPr="004D774F">
              <w:t xml:space="preserve">testēšanas rezultātiem </w:t>
            </w:r>
            <w:r w:rsidR="00960742" w:rsidRPr="004D774F">
              <w:t xml:space="preserve">septiņiem </w:t>
            </w:r>
            <w:proofErr w:type="spellStart"/>
            <w:r w:rsidR="00960742" w:rsidRPr="004D774F">
              <w:t>invazīviem</w:t>
            </w:r>
            <w:proofErr w:type="spellEnd"/>
            <w:r w:rsidR="00960742" w:rsidRPr="004D774F">
              <w:t xml:space="preserve"> patogēniem pret antibakteriāliem līdzekļiem</w:t>
            </w:r>
            <w:r w:rsidR="005928F5" w:rsidRPr="004D774F">
              <w:t>;</w:t>
            </w:r>
          </w:p>
          <w:p w:rsidR="005242E8" w:rsidRPr="004D774F" w:rsidRDefault="000D75C1" w:rsidP="00AE52A2">
            <w:pPr>
              <w:pStyle w:val="ListParagraph"/>
              <w:numPr>
                <w:ilvl w:val="0"/>
                <w:numId w:val="7"/>
              </w:numPr>
              <w:jc w:val="both"/>
            </w:pPr>
            <w:r>
              <w:t>noteikti</w:t>
            </w:r>
            <w:r w:rsidR="00AE52A2">
              <w:t xml:space="preserve"> </w:t>
            </w:r>
            <w:r w:rsidR="00B4498A" w:rsidRPr="004D774F">
              <w:t xml:space="preserve">Slimību profilakses un kontroles centra </w:t>
            </w:r>
            <w:r w:rsidR="00EE48E2" w:rsidRPr="004D774F">
              <w:t>pienākum</w:t>
            </w:r>
            <w:r w:rsidR="008874ED">
              <w:t>i</w:t>
            </w:r>
            <w:r w:rsidR="00EE48E2" w:rsidRPr="004D774F">
              <w:t xml:space="preserve"> attiecībā uz slimību izraisītāju tālāku detalizētu izmeklēšanu</w:t>
            </w:r>
            <w:r w:rsidR="004B28D3">
              <w:t xml:space="preserve">, </w:t>
            </w:r>
            <w:r>
              <w:t>kas uzlabos</w:t>
            </w:r>
            <w:r w:rsidR="00D11EBE">
              <w:t xml:space="preserve"> </w:t>
            </w:r>
            <w:r>
              <w:t xml:space="preserve">epidemioloģisko </w:t>
            </w:r>
            <w:r w:rsidR="00D11EBE">
              <w:t>datu apmaiņu ar citām Eiropas institūcijām</w:t>
            </w:r>
            <w:r w:rsidR="00EE48E2" w:rsidRPr="004D774F">
              <w:t>;</w:t>
            </w:r>
          </w:p>
          <w:p w:rsidR="00B4498A" w:rsidRPr="004D774F" w:rsidRDefault="00B4498A" w:rsidP="00AE52A2">
            <w:pPr>
              <w:pStyle w:val="ListParagraph"/>
              <w:numPr>
                <w:ilvl w:val="0"/>
                <w:numId w:val="7"/>
              </w:numPr>
              <w:jc w:val="both"/>
            </w:pPr>
            <w:r w:rsidRPr="004D774F">
              <w:t>noteikt</w:t>
            </w:r>
            <w:r w:rsidR="00AE52A2">
              <w:t>a</w:t>
            </w:r>
            <w:r w:rsidR="00AE52A2" w:rsidRPr="004D774F">
              <w:t xml:space="preserve"> references laboratorija</w:t>
            </w:r>
            <w:r w:rsidR="00AE52A2">
              <w:t>s kompetence</w:t>
            </w:r>
            <w:r w:rsidRPr="004D774F">
              <w:t xml:space="preserve"> at</w:t>
            </w:r>
            <w:r w:rsidR="00AE52A2">
              <w:t>tiecībā uz laboratoriskiem izmeklējumiem atse</w:t>
            </w:r>
            <w:r w:rsidRPr="004D774F">
              <w:t>višķ</w:t>
            </w:r>
            <w:r w:rsidR="00AE52A2">
              <w:t>u</w:t>
            </w:r>
            <w:r w:rsidRPr="004D774F">
              <w:t xml:space="preserve"> </w:t>
            </w:r>
            <w:r w:rsidR="005B1D73">
              <w:t xml:space="preserve"> retu un bīstamu </w:t>
            </w:r>
            <w:r w:rsidRPr="004D774F">
              <w:t xml:space="preserve">infekcijas slimību saslimšanas gadījumos, tādejādi lietderīgi izmantojot infekcijas slimību laboratoriskai izmeklēšanai paredzētos valsts budžeta līdzekļus; </w:t>
            </w:r>
          </w:p>
          <w:p w:rsidR="00DC18F0" w:rsidRDefault="00B4498A" w:rsidP="00AE52A2">
            <w:pPr>
              <w:pStyle w:val="ListParagraph"/>
              <w:numPr>
                <w:ilvl w:val="0"/>
                <w:numId w:val="7"/>
              </w:numPr>
              <w:jc w:val="both"/>
            </w:pPr>
            <w:r>
              <w:t>precizēt</w:t>
            </w:r>
            <w:r w:rsidR="00D11EBE">
              <w:t>a</w:t>
            </w:r>
            <w:r w:rsidR="00DC18F0">
              <w:t>s</w:t>
            </w:r>
            <w:r>
              <w:t xml:space="preserve"> slimību</w:t>
            </w:r>
            <w:r w:rsidR="003D2909">
              <w:t xml:space="preserve"> gadījuma</w:t>
            </w:r>
            <w:r>
              <w:t xml:space="preserve"> definīcijas, lai būtu iespējama</w:t>
            </w:r>
            <w:r w:rsidR="005B1D73">
              <w:t xml:space="preserve"> </w:t>
            </w:r>
            <w:r w:rsidR="005B1D73">
              <w:lastRenderedPageBreak/>
              <w:t>epidemioloģisko</w:t>
            </w:r>
            <w:r>
              <w:t xml:space="preserve"> datu apmaiņa ar Eiropas Savienību</w:t>
            </w:r>
            <w:r w:rsidR="00DC18F0">
              <w:t>;</w:t>
            </w:r>
          </w:p>
          <w:p w:rsidR="00DC18F0" w:rsidRDefault="00DC18F0" w:rsidP="00AE52A2">
            <w:pPr>
              <w:pStyle w:val="ListParagraph"/>
              <w:numPr>
                <w:ilvl w:val="0"/>
                <w:numId w:val="7"/>
              </w:numPr>
              <w:jc w:val="both"/>
            </w:pPr>
            <w:r>
              <w:t>pārņemts Eiropas Komisijas Īstenošanas lēmums 2012/506/ES;</w:t>
            </w:r>
          </w:p>
          <w:p w:rsidR="00B4498A" w:rsidRDefault="00DC18F0" w:rsidP="00AE52A2">
            <w:pPr>
              <w:pStyle w:val="ListParagraph"/>
              <w:numPr>
                <w:ilvl w:val="0"/>
                <w:numId w:val="7"/>
              </w:numPr>
              <w:jc w:val="both"/>
            </w:pPr>
            <w:r>
              <w:t>precizēti dzīvnieku infekcijas slimību nosaukumi.</w:t>
            </w:r>
            <w:r w:rsidR="00B4498A">
              <w:t xml:space="preserve"> </w:t>
            </w:r>
          </w:p>
          <w:p w:rsidR="00AE52A2" w:rsidRDefault="00AE52A2" w:rsidP="00D11EBE">
            <w:pPr>
              <w:pStyle w:val="ListParagraph"/>
              <w:jc w:val="both"/>
            </w:pPr>
          </w:p>
          <w:p w:rsidR="00551BD7" w:rsidRDefault="00666F0B" w:rsidP="002F69D1">
            <w:pPr>
              <w:ind w:left="360"/>
              <w:jc w:val="both"/>
            </w:pPr>
            <w:r w:rsidRPr="00551BD7">
              <w:t>Noteikumu projekts atrisinās šīs sadaļas 2.punktā minētās problēmas.</w:t>
            </w:r>
          </w:p>
          <w:p w:rsidR="00870B0A" w:rsidRPr="00666F0B" w:rsidRDefault="00870B0A" w:rsidP="002F69D1">
            <w:pPr>
              <w:ind w:left="360"/>
              <w:jc w:val="both"/>
              <w:rPr>
                <w:highlight w:val="yellow"/>
              </w:rPr>
            </w:pPr>
          </w:p>
        </w:tc>
      </w:tr>
      <w:tr w:rsidR="00956BE6" w:rsidRPr="003E4B12" w:rsidTr="006765CD">
        <w:trPr>
          <w:trHeight w:val="47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lastRenderedPageBreak/>
              <w:t> 5.</w:t>
            </w:r>
          </w:p>
        </w:tc>
        <w:tc>
          <w:tcPr>
            <w:tcW w:w="141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7385" w:type="dxa"/>
            <w:tcBorders>
              <w:top w:val="outset" w:sz="6" w:space="0" w:color="auto"/>
              <w:left w:val="outset" w:sz="6" w:space="0" w:color="auto"/>
              <w:bottom w:val="outset" w:sz="6" w:space="0" w:color="auto"/>
              <w:right w:val="outset" w:sz="6" w:space="0" w:color="auto"/>
            </w:tcBorders>
            <w:hideMark/>
          </w:tcPr>
          <w:p w:rsidR="00956BE6" w:rsidRPr="00995D80" w:rsidRDefault="001C311A" w:rsidP="00E70D8A">
            <w:pPr>
              <w:pStyle w:val="BodyTextIndent"/>
              <w:autoSpaceDE w:val="0"/>
              <w:autoSpaceDN w:val="0"/>
              <w:adjustRightInd w:val="0"/>
              <w:spacing w:after="0"/>
              <w:ind w:left="0"/>
              <w:jc w:val="both"/>
              <w:rPr>
                <w:u w:val="single"/>
                <w:lang w:val="sv-SE"/>
              </w:rPr>
            </w:pPr>
            <w:r>
              <w:rPr>
                <w:lang w:val="sv-SE"/>
              </w:rPr>
              <w:t xml:space="preserve"> </w:t>
            </w:r>
            <w:r w:rsidR="00FD4353" w:rsidRPr="003E4B12">
              <w:rPr>
                <w:lang w:val="sv-SE"/>
              </w:rPr>
              <w:t>Veselības ministrija</w:t>
            </w:r>
            <w:r w:rsidR="008A6CE3">
              <w:rPr>
                <w:lang w:val="sv-SE"/>
              </w:rPr>
              <w:t>,</w:t>
            </w:r>
            <w:r w:rsidR="00FD4353" w:rsidRPr="003E4B12">
              <w:rPr>
                <w:lang w:val="sv-SE"/>
              </w:rPr>
              <w:t xml:space="preserve"> </w:t>
            </w:r>
            <w:r w:rsidR="005C63F4">
              <w:rPr>
                <w:lang w:val="sv-SE"/>
              </w:rPr>
              <w:t>Slimību profilakses un kontroles centr</w:t>
            </w:r>
            <w:r w:rsidR="008A6CE3">
              <w:rPr>
                <w:lang w:val="sv-SE"/>
              </w:rPr>
              <w:t>s</w:t>
            </w:r>
            <w:r w:rsidR="00DC4502">
              <w:rPr>
                <w:lang w:val="sv-SE"/>
              </w:rPr>
              <w:t xml:space="preserve">, sabiedrība ar ierobežotu atbildību ”Rīgas Austrumu klīniskā universitātes slimnīca”, Latvijas Ārstu biedrība, </w:t>
            </w:r>
            <w:r w:rsidR="004E6C98" w:rsidRPr="00D456FC">
              <w:rPr>
                <w:lang w:val="sv-SE"/>
              </w:rPr>
              <w:t xml:space="preserve">Latvijas </w:t>
            </w:r>
            <w:r w:rsidR="00C37A94">
              <w:rPr>
                <w:lang w:val="sv-SE"/>
              </w:rPr>
              <w:t>L</w:t>
            </w:r>
            <w:r w:rsidR="004E6C98" w:rsidRPr="00D456FC">
              <w:rPr>
                <w:lang w:val="sv-SE"/>
              </w:rPr>
              <w:t>aboratorijas speciālistu biedrība</w:t>
            </w:r>
            <w:r w:rsidR="000D75C1">
              <w:rPr>
                <w:lang w:val="sv-SE"/>
              </w:rPr>
              <w:t xml:space="preserve">, </w:t>
            </w:r>
            <w:r w:rsidR="00E70D8A">
              <w:rPr>
                <w:lang w:val="sv-SE"/>
              </w:rPr>
              <w:t>Latvijas Infektologu un hepatalogu asociācija</w:t>
            </w:r>
          </w:p>
        </w:tc>
      </w:tr>
      <w:tr w:rsidR="00956BE6" w:rsidRPr="003E4B12" w:rsidTr="006765CD">
        <w:trPr>
          <w:trHeight w:val="921"/>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141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7385" w:type="dxa"/>
            <w:tcBorders>
              <w:top w:val="outset" w:sz="6" w:space="0" w:color="auto"/>
              <w:left w:val="outset" w:sz="6" w:space="0" w:color="auto"/>
              <w:bottom w:val="outset" w:sz="6" w:space="0" w:color="auto"/>
              <w:right w:val="outset" w:sz="6" w:space="0" w:color="auto"/>
            </w:tcBorders>
            <w:hideMark/>
          </w:tcPr>
          <w:p w:rsidR="00956BE6" w:rsidRPr="003E4B12" w:rsidRDefault="001C311A" w:rsidP="00A01C5D">
            <w:pPr>
              <w:jc w:val="both"/>
              <w:rPr>
                <w:color w:val="000000"/>
              </w:rPr>
            </w:pPr>
            <w:r>
              <w:rPr>
                <w:color w:val="000000"/>
              </w:rPr>
              <w:t xml:space="preserve"> </w:t>
            </w:r>
            <w:r w:rsidR="00A01C5D">
              <w:rPr>
                <w:color w:val="000000"/>
              </w:rPr>
              <w:t>Ņemot vērā, ka noteikumu projekta tiesību normas saistītas ar specifiskiem medicīniskiem jautājumiem, sabiedrības pārstāvjus tā izstrādē iesaistīt nebija lietderīgi</w:t>
            </w:r>
          </w:p>
        </w:tc>
      </w:tr>
      <w:tr w:rsidR="00956BE6" w:rsidRPr="003E4B12" w:rsidTr="006765C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1417"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7385" w:type="dxa"/>
            <w:tcBorders>
              <w:top w:val="outset" w:sz="6" w:space="0" w:color="auto"/>
              <w:left w:val="outset" w:sz="6" w:space="0" w:color="auto"/>
              <w:bottom w:val="outset" w:sz="6" w:space="0" w:color="auto"/>
              <w:right w:val="outset" w:sz="6" w:space="0" w:color="auto"/>
            </w:tcBorders>
            <w:hideMark/>
          </w:tcPr>
          <w:p w:rsidR="00956BE6" w:rsidRDefault="001C311A" w:rsidP="0007003F">
            <w:pPr>
              <w:spacing w:after="120"/>
              <w:jc w:val="both"/>
            </w:pPr>
            <w:r>
              <w:t xml:space="preserve"> </w:t>
            </w:r>
            <w:r w:rsidR="00617968">
              <w:t>Nav</w:t>
            </w:r>
          </w:p>
          <w:p w:rsidR="00617968" w:rsidRPr="00CC1231" w:rsidRDefault="00617968" w:rsidP="0007003F">
            <w:pPr>
              <w:spacing w:after="120"/>
              <w:jc w:val="both"/>
            </w:pPr>
          </w:p>
        </w:tc>
      </w:tr>
      <w:bookmarkEnd w:id="2"/>
      <w:bookmarkEnd w:id="3"/>
      <w:bookmarkEnd w:id="4"/>
      <w:bookmarkEnd w:id="5"/>
    </w:tbl>
    <w:p w:rsidR="00C8067C" w:rsidRPr="003E4B12" w:rsidRDefault="00C8067C"/>
    <w:tbl>
      <w:tblPr>
        <w:tblW w:w="5062"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2727"/>
        <w:gridCol w:w="5844"/>
      </w:tblGrid>
      <w:tr w:rsidR="00C8067C" w:rsidRPr="003E4B12" w:rsidTr="003D2909">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F69D1" w:rsidRDefault="002F69D1" w:rsidP="006007F8">
            <w:pPr>
              <w:spacing w:before="100" w:beforeAutospacing="1" w:after="100" w:afterAutospacing="1"/>
              <w:jc w:val="center"/>
              <w:rPr>
                <w:b/>
              </w:rPr>
            </w:pPr>
          </w:p>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3D2909">
        <w:trPr>
          <w:trHeight w:val="467"/>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148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Sabiedrības mērķgrupa</w:t>
            </w:r>
          </w:p>
        </w:tc>
        <w:tc>
          <w:tcPr>
            <w:tcW w:w="3171" w:type="pct"/>
            <w:tcBorders>
              <w:top w:val="outset" w:sz="6" w:space="0" w:color="auto"/>
              <w:left w:val="outset" w:sz="6" w:space="0" w:color="auto"/>
              <w:bottom w:val="outset" w:sz="6" w:space="0" w:color="auto"/>
              <w:right w:val="outset" w:sz="6" w:space="0" w:color="auto"/>
            </w:tcBorders>
            <w:hideMark/>
          </w:tcPr>
          <w:p w:rsidR="00956BE6" w:rsidRPr="003E4B12" w:rsidRDefault="00E53AD1" w:rsidP="00A01C5D">
            <w:pPr>
              <w:jc w:val="both"/>
            </w:pPr>
            <w:r>
              <w:t xml:space="preserve"> Noteikumu projektā ietvertās prasības attiecas uz ārstniecības personām</w:t>
            </w:r>
            <w:r w:rsidR="00A01C5D">
              <w:t>, mikrobioloģijas laboratorijām, Slimību profilakses un kontroles centru; pavisam ~ 1520 personas</w:t>
            </w:r>
          </w:p>
        </w:tc>
      </w:tr>
      <w:tr w:rsidR="00956BE6" w:rsidRPr="003E4B12" w:rsidTr="003D2909">
        <w:trPr>
          <w:trHeight w:val="523"/>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148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Citas sabiedrības grupas (bez mērķgrupas), kuras tiesiskais regulējums arī ietekmē vai varētu ietekmēt</w:t>
            </w:r>
          </w:p>
        </w:tc>
        <w:tc>
          <w:tcPr>
            <w:tcW w:w="3171" w:type="pct"/>
            <w:tcBorders>
              <w:top w:val="outset" w:sz="6" w:space="0" w:color="auto"/>
              <w:left w:val="outset" w:sz="6" w:space="0" w:color="auto"/>
              <w:bottom w:val="outset" w:sz="6" w:space="0" w:color="auto"/>
              <w:right w:val="outset" w:sz="6" w:space="0" w:color="auto"/>
            </w:tcBorders>
            <w:hideMark/>
          </w:tcPr>
          <w:p w:rsidR="00956BE6" w:rsidRPr="003C397B" w:rsidRDefault="00E911B6" w:rsidP="00727BA4">
            <w:pPr>
              <w:autoSpaceDE w:val="0"/>
              <w:autoSpaceDN w:val="0"/>
              <w:adjustRightInd w:val="0"/>
              <w:jc w:val="both"/>
            </w:pPr>
            <w:r w:rsidRPr="003C397B">
              <w:t>Netieši uz visu sabiedrību, lai savlaicīgi reģistrētu infekcijas slimību gadījumus, pret anti</w:t>
            </w:r>
            <w:r w:rsidR="00727BA4">
              <w:t>bakteriālajiem līdzekļiem</w:t>
            </w:r>
            <w:r w:rsidRPr="003C397B">
              <w:t xml:space="preserve">  </w:t>
            </w:r>
            <w:proofErr w:type="spellStart"/>
            <w:r w:rsidRPr="003C397B">
              <w:t>rezistentus</w:t>
            </w:r>
            <w:proofErr w:type="spellEnd"/>
            <w:r w:rsidRPr="003C397B">
              <w:t xml:space="preserve"> mikroorganismus, identificētu ar to saistītus sabiedrības veselības draudus, veiktu nepieciešamo epidemioloģisko izmeklēšanu un kontroles pasākumus infekcijas slimību izplatīšanās ierobežošanai un apkarošanai </w:t>
            </w:r>
          </w:p>
        </w:tc>
      </w:tr>
      <w:tr w:rsidR="00956BE6" w:rsidRPr="003E4B12" w:rsidTr="003D2909">
        <w:trPr>
          <w:trHeight w:val="517"/>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148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3171" w:type="pct"/>
            <w:tcBorders>
              <w:top w:val="outset" w:sz="6" w:space="0" w:color="auto"/>
              <w:left w:val="outset" w:sz="6" w:space="0" w:color="auto"/>
              <w:bottom w:val="outset" w:sz="6" w:space="0" w:color="auto"/>
              <w:right w:val="outset" w:sz="6" w:space="0" w:color="auto"/>
            </w:tcBorders>
            <w:hideMark/>
          </w:tcPr>
          <w:p w:rsidR="00995D80" w:rsidRPr="003E4B12" w:rsidRDefault="00956BE6" w:rsidP="00D11EBE">
            <w:pPr>
              <w:jc w:val="both"/>
              <w:rPr>
                <w:bCs/>
                <w:iCs/>
              </w:rPr>
            </w:pPr>
            <w:r w:rsidRPr="003E4B12">
              <w:rPr>
                <w:bCs/>
                <w:iCs/>
              </w:rPr>
              <w:t>Tiešas finansiālas izmaksas (nodokļi, nodevas, sodi, institūciju maksas pakalpojumi) nav paredzētas. Netiešas finansiālas izmaksas un ietekme uz ienākumiem nav</w:t>
            </w:r>
            <w:r w:rsidR="00D11EBE">
              <w:rPr>
                <w:bCs/>
                <w:iCs/>
              </w:rPr>
              <w:t>.  Datu apmaiņa un veidlapas tiek iesniegtas elektroniski.</w:t>
            </w:r>
          </w:p>
        </w:tc>
      </w:tr>
      <w:tr w:rsidR="00956BE6" w:rsidRPr="003E4B12" w:rsidTr="003D2909">
        <w:trPr>
          <w:trHeight w:val="517"/>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148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3171" w:type="pct"/>
            <w:tcBorders>
              <w:top w:val="outset" w:sz="6" w:space="0" w:color="auto"/>
              <w:left w:val="outset" w:sz="6" w:space="0" w:color="auto"/>
              <w:bottom w:val="outset" w:sz="6" w:space="0" w:color="auto"/>
              <w:right w:val="outset" w:sz="6" w:space="0" w:color="auto"/>
            </w:tcBorders>
            <w:hideMark/>
          </w:tcPr>
          <w:p w:rsidR="00995D80" w:rsidRPr="003E4B12" w:rsidRDefault="00A01C5D" w:rsidP="00482F92">
            <w:pPr>
              <w:jc w:val="both"/>
            </w:pPr>
            <w:r>
              <w:t xml:space="preserve"> Infekcijas slimību reģistrācijas uzlabošana, infekcijas slimību izplatīšanās riska mazināšana vai novēršana </w:t>
            </w:r>
          </w:p>
        </w:tc>
      </w:tr>
      <w:tr w:rsidR="00956BE6" w:rsidRPr="003E4B12" w:rsidTr="003D2909">
        <w:trPr>
          <w:trHeight w:val="531"/>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148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317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3D2909">
        <w:trPr>
          <w:trHeight w:val="357"/>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148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3171" w:type="pct"/>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3D2909">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1480"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3171" w:type="pct"/>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bl>
    <w:p w:rsidR="00F23F58" w:rsidRDefault="00432C60" w:rsidP="00F23F58">
      <w:pPr>
        <w:jc w:val="center"/>
      </w:pPr>
      <w:r w:rsidRPr="003E4B12">
        <w:tab/>
      </w: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14"/>
      </w:tblGrid>
      <w:tr w:rsidR="00F23F58" w:rsidRPr="002C129C" w:rsidTr="003D2909">
        <w:trPr>
          <w:tblCellSpacing w:w="0" w:type="dxa"/>
        </w:trPr>
        <w:tc>
          <w:tcPr>
            <w:tcW w:w="9214" w:type="dxa"/>
            <w:tcBorders>
              <w:top w:val="outset" w:sz="6" w:space="0" w:color="auto"/>
              <w:left w:val="outset" w:sz="6" w:space="0" w:color="auto"/>
              <w:bottom w:val="outset" w:sz="6" w:space="0" w:color="auto"/>
              <w:right w:val="outset" w:sz="6" w:space="0" w:color="auto"/>
            </w:tcBorders>
            <w:hideMark/>
          </w:tcPr>
          <w:p w:rsidR="00F23F58" w:rsidRPr="00E44643" w:rsidRDefault="00F23F58" w:rsidP="00F23F58">
            <w:pPr>
              <w:spacing w:before="100" w:beforeAutospacing="1" w:after="100" w:afterAutospacing="1"/>
              <w:jc w:val="center"/>
              <w:rPr>
                <w:b/>
                <w:bCs/>
              </w:rPr>
            </w:pPr>
            <w:r w:rsidRPr="002C129C">
              <w:rPr>
                <w:b/>
                <w:bCs/>
              </w:rPr>
              <w:t>I</w:t>
            </w:r>
            <w:r>
              <w:rPr>
                <w:b/>
                <w:bCs/>
              </w:rPr>
              <w:t>V</w:t>
            </w:r>
            <w:r w:rsidRPr="002C129C">
              <w:rPr>
                <w:b/>
                <w:bCs/>
              </w:rPr>
              <w:t>. Tiesību akta projekta ietekme uz</w:t>
            </w:r>
            <w:r>
              <w:rPr>
                <w:b/>
                <w:bCs/>
              </w:rPr>
              <w:t xml:space="preserve"> spēkā esošo tiesību normu sistēmu </w:t>
            </w:r>
            <w:r w:rsidRPr="002C129C">
              <w:rPr>
                <w:b/>
                <w:bCs/>
              </w:rPr>
              <w:t xml:space="preserve"> </w:t>
            </w:r>
          </w:p>
        </w:tc>
      </w:tr>
    </w:tbl>
    <w:tbl>
      <w:tblPr>
        <w:tblStyle w:val="TableGrid"/>
        <w:tblW w:w="9214" w:type="dxa"/>
        <w:tblInd w:w="-34" w:type="dxa"/>
        <w:tblLook w:val="04A0"/>
      </w:tblPr>
      <w:tblGrid>
        <w:gridCol w:w="709"/>
        <w:gridCol w:w="2694"/>
        <w:gridCol w:w="5811"/>
      </w:tblGrid>
      <w:tr w:rsidR="00F23F58" w:rsidRPr="00AE7287" w:rsidTr="003D2909">
        <w:tc>
          <w:tcPr>
            <w:tcW w:w="709" w:type="dxa"/>
            <w:hideMark/>
          </w:tcPr>
          <w:p w:rsidR="00F23F58" w:rsidRPr="002C129C" w:rsidRDefault="00F23F58" w:rsidP="00F23F58">
            <w:r w:rsidRPr="002C129C">
              <w:t> 1.</w:t>
            </w:r>
          </w:p>
        </w:tc>
        <w:tc>
          <w:tcPr>
            <w:tcW w:w="2694" w:type="dxa"/>
            <w:hideMark/>
          </w:tcPr>
          <w:p w:rsidR="00F23F58" w:rsidRPr="002C129C" w:rsidRDefault="00F23F58" w:rsidP="00F23F58">
            <w:r w:rsidRPr="002C129C">
              <w:t> Nepieciešamie saistītie tiesību aktu projekti</w:t>
            </w:r>
          </w:p>
        </w:tc>
        <w:tc>
          <w:tcPr>
            <w:tcW w:w="5811" w:type="dxa"/>
            <w:hideMark/>
          </w:tcPr>
          <w:p w:rsidR="00F23F58" w:rsidRPr="00D12E60" w:rsidRDefault="00F23F58" w:rsidP="00F23F58">
            <w:pPr>
              <w:jc w:val="both"/>
            </w:pPr>
            <w:r w:rsidRPr="00AE7287">
              <w:t> </w:t>
            </w:r>
            <w:r w:rsidR="00AE0C88" w:rsidRPr="000B31B5">
              <w:t xml:space="preserve">Veselības ministrija ir sagatavojusi Ministru kabineta noteikumu projektu „Noteikumi par masalu un masaliņu pretepidēmijas pasākumiem”, </w:t>
            </w:r>
            <w:r w:rsidR="00332E3F" w:rsidRPr="00D12E60">
              <w:t xml:space="preserve">kas </w:t>
            </w:r>
            <w:r w:rsidR="000B31B5" w:rsidRPr="00D12E60">
              <w:t xml:space="preserve">apstiprināts Ministru kabineta 2012.gada 8.novembra sēdē. </w:t>
            </w:r>
          </w:p>
          <w:p w:rsidR="00F23F58" w:rsidRPr="00AE7287" w:rsidRDefault="00F23F58" w:rsidP="00F23F58">
            <w:pPr>
              <w:jc w:val="both"/>
            </w:pPr>
          </w:p>
        </w:tc>
      </w:tr>
      <w:tr w:rsidR="00F23F58" w:rsidRPr="002C129C" w:rsidTr="003D2909">
        <w:trPr>
          <w:trHeight w:val="647"/>
        </w:trPr>
        <w:tc>
          <w:tcPr>
            <w:tcW w:w="709" w:type="dxa"/>
            <w:hideMark/>
          </w:tcPr>
          <w:p w:rsidR="00F23F58" w:rsidRPr="002C129C" w:rsidRDefault="00F23F58" w:rsidP="00F23F58">
            <w:r w:rsidRPr="002C129C">
              <w:lastRenderedPageBreak/>
              <w:t> 2.</w:t>
            </w:r>
          </w:p>
        </w:tc>
        <w:tc>
          <w:tcPr>
            <w:tcW w:w="2694" w:type="dxa"/>
            <w:hideMark/>
          </w:tcPr>
          <w:p w:rsidR="00F23F58" w:rsidRPr="002C129C" w:rsidRDefault="00F23F58" w:rsidP="00F23F58">
            <w:r w:rsidRPr="002C129C">
              <w:t> Cita informācija</w:t>
            </w:r>
          </w:p>
        </w:tc>
        <w:tc>
          <w:tcPr>
            <w:tcW w:w="5811" w:type="dxa"/>
            <w:hideMark/>
          </w:tcPr>
          <w:p w:rsidR="00F23F58" w:rsidRPr="002C129C" w:rsidRDefault="00F23F58" w:rsidP="00F23F58">
            <w:pPr>
              <w:jc w:val="both"/>
            </w:pPr>
            <w:r>
              <w:t>Nav</w:t>
            </w:r>
          </w:p>
        </w:tc>
      </w:tr>
    </w:tbl>
    <w:p w:rsidR="00F23F58" w:rsidRDefault="00F23F58" w:rsidP="00F23F58">
      <w:pPr>
        <w:jc w:val="center"/>
        <w:rPr>
          <w:b/>
        </w:rPr>
      </w:pPr>
      <w:r>
        <w:rPr>
          <w:b/>
        </w:rPr>
        <w:t>V. Tiesību akta projekta atbilstība Latvijas Republikas starptautiskajām saistībām</w:t>
      </w:r>
    </w:p>
    <w:tbl>
      <w:tblPr>
        <w:tblStyle w:val="TableGrid"/>
        <w:tblW w:w="9180" w:type="dxa"/>
        <w:tblLook w:val="04A0"/>
      </w:tblPr>
      <w:tblGrid>
        <w:gridCol w:w="959"/>
        <w:gridCol w:w="2410"/>
        <w:gridCol w:w="5811"/>
      </w:tblGrid>
      <w:tr w:rsidR="00F23F58" w:rsidTr="00AE0C88">
        <w:tc>
          <w:tcPr>
            <w:tcW w:w="959" w:type="dxa"/>
          </w:tcPr>
          <w:p w:rsidR="00F23F58" w:rsidRPr="002C129C" w:rsidRDefault="00F23F58" w:rsidP="00AE0C88">
            <w:r w:rsidRPr="002C129C">
              <w:t>1.</w:t>
            </w:r>
          </w:p>
        </w:tc>
        <w:tc>
          <w:tcPr>
            <w:tcW w:w="2410" w:type="dxa"/>
          </w:tcPr>
          <w:p w:rsidR="00F23F58" w:rsidRDefault="00F23F58" w:rsidP="00F23F58">
            <w:pPr>
              <w:jc w:val="both"/>
              <w:rPr>
                <w:b/>
              </w:rPr>
            </w:pPr>
            <w:r w:rsidRPr="002C129C">
              <w:t xml:space="preserve">Saistības pret Eiropas </w:t>
            </w:r>
            <w:r w:rsidRPr="004E6C98">
              <w:t>Savienību</w:t>
            </w:r>
          </w:p>
        </w:tc>
        <w:tc>
          <w:tcPr>
            <w:tcW w:w="5811" w:type="dxa"/>
          </w:tcPr>
          <w:p w:rsidR="00F23F58" w:rsidRPr="003D43FD" w:rsidRDefault="00434801" w:rsidP="00F448D3">
            <w:pPr>
              <w:jc w:val="both"/>
            </w:pPr>
            <w:r>
              <w:t>1)</w:t>
            </w:r>
            <w:r w:rsidR="00A34A0E">
              <w:t xml:space="preserve"> </w:t>
            </w:r>
            <w:r w:rsidR="00F448D3">
              <w:t>Eiropas Komisijas Lēmums (1999.gada 22.decembris) par infekcijas slimībām</w:t>
            </w:r>
            <w:r w:rsidR="004F4DDD">
              <w:t>,</w:t>
            </w:r>
            <w:r w:rsidR="00F448D3">
              <w:t xml:space="preserve"> uz kurām pakāpeniski attiecinās Kopienas tīklu saskaņā ar Eiropas Parlamenta un Padomes Lēmumu Nr.2119/98/EK </w:t>
            </w:r>
            <w:r w:rsidR="00F448D3" w:rsidRPr="003D43FD">
              <w:t>(</w:t>
            </w:r>
            <w:r w:rsidR="006518DF" w:rsidRPr="003D43FD">
              <w:t>iz</w:t>
            </w:r>
            <w:r w:rsidR="00F448D3" w:rsidRPr="003D43FD">
              <w:t>ziņots ar dokumenta numuru C(1999) 4015);</w:t>
            </w:r>
          </w:p>
          <w:p w:rsidR="00A34A0E" w:rsidRPr="00367E49" w:rsidRDefault="00446927" w:rsidP="00242525">
            <w:pPr>
              <w:jc w:val="both"/>
            </w:pPr>
            <w:r>
              <w:t>2</w:t>
            </w:r>
            <w:r w:rsidR="00434801">
              <w:t>)</w:t>
            </w:r>
            <w:r w:rsidR="004E6C98">
              <w:t xml:space="preserve"> Eiropas Komisijas Lēmums (20</w:t>
            </w:r>
            <w:r w:rsidR="00890805">
              <w:t>12</w:t>
            </w:r>
            <w:r w:rsidR="004E6C98">
              <w:t>.gada 8.</w:t>
            </w:r>
            <w:r w:rsidR="00890805">
              <w:t>augusts</w:t>
            </w:r>
            <w:r w:rsidR="004E6C98">
              <w:t>)</w:t>
            </w:r>
            <w:r w:rsidR="00185443">
              <w:t>,</w:t>
            </w:r>
            <w:r w:rsidR="004E6C98">
              <w:t xml:space="preserve"> ar kuru groza Lēmumu 2002/253/EK</w:t>
            </w:r>
            <w:r w:rsidR="004E6C98" w:rsidRPr="004E6C98">
              <w:t xml:space="preserve">, ar ko nosaka gadījumu definīcijas ziņošanai par </w:t>
            </w:r>
            <w:r w:rsidR="004E6C98">
              <w:t xml:space="preserve">infekcijas slimībām Kopienas tīklā saskaņā ar Eiropas Parlamenta un Padomes </w:t>
            </w:r>
            <w:r w:rsidR="004E6C98" w:rsidRPr="004E6C98">
              <w:t>Lēmumu 2119/98/EK</w:t>
            </w:r>
            <w:r w:rsidR="004E6C98">
              <w:t xml:space="preserve"> (izziņots ar dokumenta numuru C(20</w:t>
            </w:r>
            <w:r w:rsidR="00890805">
              <w:t>12</w:t>
            </w:r>
            <w:r w:rsidR="004E6C98">
              <w:t xml:space="preserve">) </w:t>
            </w:r>
            <w:r w:rsidR="00890805">
              <w:t>5538</w:t>
            </w:r>
            <w:r w:rsidR="004E6C98">
              <w:t>)</w:t>
            </w:r>
            <w:r w:rsidR="006518DF">
              <w:t xml:space="preserve"> </w:t>
            </w:r>
          </w:p>
        </w:tc>
      </w:tr>
      <w:tr w:rsidR="00F23F58" w:rsidTr="00AE0C88">
        <w:tc>
          <w:tcPr>
            <w:tcW w:w="959" w:type="dxa"/>
          </w:tcPr>
          <w:p w:rsidR="00F23F58" w:rsidRPr="002C129C" w:rsidRDefault="00F23F58" w:rsidP="00F23F58">
            <w:pPr>
              <w:jc w:val="center"/>
            </w:pPr>
            <w:r w:rsidRPr="002C129C">
              <w:t>2.</w:t>
            </w:r>
          </w:p>
        </w:tc>
        <w:tc>
          <w:tcPr>
            <w:tcW w:w="2410" w:type="dxa"/>
          </w:tcPr>
          <w:p w:rsidR="00F23F58" w:rsidRPr="002C129C" w:rsidRDefault="00F23F58" w:rsidP="00F23F58">
            <w:pPr>
              <w:jc w:val="both"/>
            </w:pPr>
            <w:r w:rsidRPr="002C129C">
              <w:t>Citas starptautiskas saistības</w:t>
            </w:r>
          </w:p>
        </w:tc>
        <w:tc>
          <w:tcPr>
            <w:tcW w:w="5811" w:type="dxa"/>
          </w:tcPr>
          <w:p w:rsidR="005016BA" w:rsidRPr="00367E49" w:rsidRDefault="00434801" w:rsidP="005016BA">
            <w:pPr>
              <w:jc w:val="both"/>
            </w:pPr>
            <w:r>
              <w:rPr>
                <w:sz w:val="22"/>
                <w:szCs w:val="22"/>
              </w:rPr>
              <w:t xml:space="preserve"> </w:t>
            </w:r>
            <w:r w:rsidR="005016BA">
              <w:rPr>
                <w:sz w:val="22"/>
                <w:szCs w:val="22"/>
              </w:rPr>
              <w:t>Nav</w:t>
            </w:r>
          </w:p>
          <w:p w:rsidR="00F23F58" w:rsidRPr="00367E49" w:rsidRDefault="00F23F58" w:rsidP="00DE062E">
            <w:pPr>
              <w:jc w:val="both"/>
            </w:pPr>
          </w:p>
        </w:tc>
      </w:tr>
      <w:tr w:rsidR="00F23F58" w:rsidRPr="000B31B5" w:rsidTr="00AE0C88">
        <w:tc>
          <w:tcPr>
            <w:tcW w:w="959" w:type="dxa"/>
          </w:tcPr>
          <w:p w:rsidR="00F23F58" w:rsidRPr="000B31B5" w:rsidRDefault="00F23F58" w:rsidP="005016BA">
            <w:pPr>
              <w:jc w:val="center"/>
            </w:pPr>
            <w:r w:rsidRPr="000B31B5">
              <w:t>3.</w:t>
            </w:r>
          </w:p>
        </w:tc>
        <w:tc>
          <w:tcPr>
            <w:tcW w:w="2410" w:type="dxa"/>
          </w:tcPr>
          <w:p w:rsidR="00F23F58" w:rsidRPr="000B31B5" w:rsidRDefault="00F23F58" w:rsidP="00F23F58">
            <w:pPr>
              <w:jc w:val="both"/>
            </w:pPr>
            <w:r w:rsidRPr="000B31B5">
              <w:t>Cita informācija</w:t>
            </w:r>
          </w:p>
        </w:tc>
        <w:tc>
          <w:tcPr>
            <w:tcW w:w="5811" w:type="dxa"/>
          </w:tcPr>
          <w:p w:rsidR="00F23F58" w:rsidRPr="000B31B5" w:rsidRDefault="000B31B5" w:rsidP="00727BA4">
            <w:pPr>
              <w:jc w:val="both"/>
            </w:pPr>
            <w:r w:rsidRPr="000B31B5">
              <w:t>Nav</w:t>
            </w:r>
          </w:p>
        </w:tc>
      </w:tr>
    </w:tbl>
    <w:tbl>
      <w:tblPr>
        <w:tblW w:w="922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4399"/>
        <w:gridCol w:w="4247"/>
        <w:gridCol w:w="14"/>
      </w:tblGrid>
      <w:tr w:rsidR="00F23F58" w:rsidRPr="002E5F19" w:rsidTr="003D2909">
        <w:trPr>
          <w:gridAfter w:val="1"/>
          <w:wAfter w:w="14" w:type="dxa"/>
          <w:trHeight w:val="792"/>
          <w:tblCellSpacing w:w="0" w:type="dxa"/>
        </w:trPr>
        <w:tc>
          <w:tcPr>
            <w:tcW w:w="9214" w:type="dxa"/>
            <w:gridSpan w:val="3"/>
            <w:tcBorders>
              <w:top w:val="outset" w:sz="6" w:space="0" w:color="auto"/>
              <w:left w:val="outset" w:sz="6" w:space="0" w:color="auto"/>
              <w:bottom w:val="outset" w:sz="6" w:space="0" w:color="auto"/>
              <w:right w:val="outset" w:sz="6" w:space="0" w:color="auto"/>
            </w:tcBorders>
            <w:vAlign w:val="center"/>
            <w:hideMark/>
          </w:tcPr>
          <w:p w:rsidR="000B31B5" w:rsidRDefault="000B31B5" w:rsidP="00D3623F">
            <w:pPr>
              <w:pStyle w:val="tvhtml"/>
              <w:spacing w:before="0" w:beforeAutospacing="0" w:after="0" w:afterAutospacing="0"/>
              <w:jc w:val="center"/>
              <w:rPr>
                <w:rFonts w:ascii="Times New Roman" w:hAnsi="Times New Roman"/>
                <w:b/>
                <w:bCs/>
                <w:sz w:val="24"/>
                <w:szCs w:val="24"/>
              </w:rPr>
            </w:pPr>
          </w:p>
          <w:p w:rsidR="00D3623F" w:rsidRPr="00D3623F" w:rsidRDefault="00D3623F" w:rsidP="00D3623F">
            <w:pPr>
              <w:pStyle w:val="tvhtml"/>
              <w:spacing w:before="0" w:beforeAutospacing="0" w:after="0" w:afterAutospacing="0"/>
              <w:jc w:val="center"/>
              <w:rPr>
                <w:rFonts w:ascii="Times New Roman" w:hAnsi="Times New Roman"/>
                <w:sz w:val="24"/>
                <w:szCs w:val="24"/>
              </w:rPr>
            </w:pPr>
            <w:r w:rsidRPr="00D3623F">
              <w:rPr>
                <w:rFonts w:ascii="Times New Roman" w:hAnsi="Times New Roman"/>
                <w:b/>
                <w:bCs/>
                <w:sz w:val="24"/>
                <w:szCs w:val="24"/>
              </w:rPr>
              <w:t>1.tabula</w:t>
            </w:r>
            <w:r w:rsidR="00242525">
              <w:rPr>
                <w:rFonts w:ascii="Times New Roman" w:hAnsi="Times New Roman"/>
                <w:b/>
                <w:bCs/>
                <w:sz w:val="24"/>
                <w:szCs w:val="24"/>
              </w:rPr>
              <w:t xml:space="preserve"> </w:t>
            </w:r>
            <w:r w:rsidRPr="00D3623F">
              <w:rPr>
                <w:rFonts w:ascii="Times New Roman" w:hAnsi="Times New Roman"/>
                <w:b/>
                <w:bCs/>
                <w:sz w:val="24"/>
                <w:szCs w:val="24"/>
              </w:rPr>
              <w:br/>
              <w:t>Tiesību akta projekta atbilstība ES tiesību aktiem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89"/>
              <w:gridCol w:w="1607"/>
              <w:gridCol w:w="2736"/>
              <w:gridCol w:w="2736"/>
            </w:tblGrid>
            <w:tr w:rsidR="00D3623F" w:rsidRPr="00D3623F" w:rsidTr="00032A68">
              <w:tc>
                <w:tcPr>
                  <w:tcW w:w="1147" w:type="pct"/>
                  <w:tcBorders>
                    <w:top w:val="outset" w:sz="6" w:space="0" w:color="auto"/>
                    <w:left w:val="outset" w:sz="6" w:space="0" w:color="auto"/>
                    <w:bottom w:val="outset" w:sz="6" w:space="0" w:color="auto"/>
                    <w:right w:val="outset" w:sz="6" w:space="0" w:color="auto"/>
                  </w:tcBorders>
                  <w:hideMark/>
                </w:tcPr>
                <w:p w:rsidR="00D3623F" w:rsidRPr="00D3623F" w:rsidRDefault="00D3623F" w:rsidP="00D3623F"/>
              </w:tc>
              <w:tc>
                <w:tcPr>
                  <w:tcW w:w="3853" w:type="pct"/>
                  <w:gridSpan w:val="3"/>
                  <w:tcBorders>
                    <w:top w:val="outset" w:sz="6" w:space="0" w:color="auto"/>
                    <w:left w:val="outset" w:sz="6" w:space="0" w:color="auto"/>
                    <w:bottom w:val="outset" w:sz="6" w:space="0" w:color="auto"/>
                    <w:right w:val="outset" w:sz="6" w:space="0" w:color="auto"/>
                  </w:tcBorders>
                  <w:hideMark/>
                </w:tcPr>
                <w:p w:rsidR="00D3623F" w:rsidRPr="00D3623F" w:rsidRDefault="00D3623F" w:rsidP="00D3623F"/>
              </w:tc>
            </w:tr>
            <w:tr w:rsidR="00D3623F" w:rsidRPr="00D3623F" w:rsidTr="00032A68">
              <w:tc>
                <w:tcPr>
                  <w:tcW w:w="1147" w:type="pct"/>
                  <w:tcBorders>
                    <w:top w:val="outset" w:sz="6" w:space="0" w:color="auto"/>
                    <w:left w:val="outset" w:sz="6" w:space="0" w:color="auto"/>
                    <w:bottom w:val="outset" w:sz="6" w:space="0" w:color="auto"/>
                    <w:right w:val="outset" w:sz="6" w:space="0" w:color="auto"/>
                  </w:tcBorders>
                  <w:vAlign w:val="center"/>
                  <w:hideMark/>
                </w:tcPr>
                <w:p w:rsidR="00D3623F" w:rsidRPr="00D3623F" w:rsidRDefault="00D3623F" w:rsidP="00D3623F">
                  <w:pPr>
                    <w:jc w:val="center"/>
                  </w:pPr>
                  <w:r w:rsidRPr="00D3623F">
                    <w:t>A</w:t>
                  </w:r>
                </w:p>
              </w:tc>
              <w:tc>
                <w:tcPr>
                  <w:tcW w:w="854" w:type="pct"/>
                  <w:tcBorders>
                    <w:top w:val="outset" w:sz="6" w:space="0" w:color="auto"/>
                    <w:left w:val="outset" w:sz="6" w:space="0" w:color="auto"/>
                    <w:bottom w:val="outset" w:sz="6" w:space="0" w:color="auto"/>
                    <w:right w:val="outset" w:sz="6" w:space="0" w:color="auto"/>
                  </w:tcBorders>
                  <w:vAlign w:val="center"/>
                  <w:hideMark/>
                </w:tcPr>
                <w:p w:rsidR="00D3623F" w:rsidRPr="00D3623F" w:rsidRDefault="00D3623F" w:rsidP="00D3623F">
                  <w:pPr>
                    <w:jc w:val="center"/>
                  </w:pPr>
                  <w:r w:rsidRPr="00D3623F">
                    <w:t>B</w:t>
                  </w:r>
                </w:p>
              </w:tc>
              <w:tc>
                <w:tcPr>
                  <w:tcW w:w="1500" w:type="pct"/>
                  <w:tcBorders>
                    <w:top w:val="outset" w:sz="6" w:space="0" w:color="auto"/>
                    <w:left w:val="outset" w:sz="6" w:space="0" w:color="auto"/>
                    <w:bottom w:val="outset" w:sz="6" w:space="0" w:color="auto"/>
                    <w:right w:val="outset" w:sz="6" w:space="0" w:color="auto"/>
                  </w:tcBorders>
                  <w:vAlign w:val="center"/>
                  <w:hideMark/>
                </w:tcPr>
                <w:p w:rsidR="00D3623F" w:rsidRPr="00D3623F" w:rsidRDefault="00D3623F" w:rsidP="00D3623F">
                  <w:pPr>
                    <w:jc w:val="center"/>
                  </w:pPr>
                  <w:r w:rsidRPr="00D3623F">
                    <w:t>C</w:t>
                  </w:r>
                </w:p>
              </w:tc>
              <w:tc>
                <w:tcPr>
                  <w:tcW w:w="1499" w:type="pct"/>
                  <w:tcBorders>
                    <w:top w:val="outset" w:sz="6" w:space="0" w:color="auto"/>
                    <w:left w:val="outset" w:sz="6" w:space="0" w:color="auto"/>
                    <w:bottom w:val="outset" w:sz="6" w:space="0" w:color="auto"/>
                    <w:right w:val="outset" w:sz="6" w:space="0" w:color="auto"/>
                  </w:tcBorders>
                  <w:vAlign w:val="center"/>
                  <w:hideMark/>
                </w:tcPr>
                <w:p w:rsidR="00D3623F" w:rsidRPr="00D3623F" w:rsidRDefault="00D3623F" w:rsidP="00D3623F">
                  <w:pPr>
                    <w:jc w:val="center"/>
                  </w:pPr>
                  <w:r w:rsidRPr="00D3623F">
                    <w:t>D</w:t>
                  </w:r>
                </w:p>
              </w:tc>
            </w:tr>
            <w:tr w:rsidR="00D3623F" w:rsidRPr="00D3623F" w:rsidTr="00032A68">
              <w:tc>
                <w:tcPr>
                  <w:tcW w:w="1147" w:type="pct"/>
                  <w:tcBorders>
                    <w:top w:val="outset" w:sz="6" w:space="0" w:color="auto"/>
                    <w:left w:val="outset" w:sz="6" w:space="0" w:color="auto"/>
                    <w:bottom w:val="outset" w:sz="6" w:space="0" w:color="auto"/>
                    <w:right w:val="outset" w:sz="6" w:space="0" w:color="auto"/>
                  </w:tcBorders>
                  <w:hideMark/>
                </w:tcPr>
                <w:p w:rsidR="00242525" w:rsidRPr="00F7234A" w:rsidRDefault="00DE062E" w:rsidP="00EE030F">
                  <w:pPr>
                    <w:rPr>
                      <w:b/>
                    </w:rPr>
                  </w:pPr>
                  <w:r w:rsidRPr="00F7234A">
                    <w:rPr>
                      <w:b/>
                    </w:rPr>
                    <w:t xml:space="preserve"> </w:t>
                  </w:r>
                  <w:r w:rsidR="00EE030F" w:rsidRPr="00F7234A">
                    <w:rPr>
                      <w:b/>
                    </w:rPr>
                    <w:t xml:space="preserve">Lēmums </w:t>
                  </w:r>
                </w:p>
                <w:p w:rsidR="00EE030F" w:rsidRDefault="00EE030F" w:rsidP="00EE030F">
                  <w:r w:rsidRPr="00F7234A">
                    <w:rPr>
                      <w:b/>
                    </w:rPr>
                    <w:t>2</w:t>
                  </w:r>
                  <w:r w:rsidR="000B31B5" w:rsidRPr="00F7234A">
                    <w:rPr>
                      <w:b/>
                    </w:rPr>
                    <w:t>000/96</w:t>
                  </w:r>
                  <w:r w:rsidRPr="00F7234A">
                    <w:rPr>
                      <w:b/>
                    </w:rPr>
                    <w:t>/EK</w:t>
                  </w:r>
                  <w:r>
                    <w:t xml:space="preserve"> 1.pielikums</w:t>
                  </w:r>
                </w:p>
                <w:p w:rsidR="00D3623F" w:rsidRPr="00D3623F" w:rsidRDefault="00EE030F" w:rsidP="00EE030F">
                  <w:r>
                    <w:t>2.2. apakšpunkts</w:t>
                  </w:r>
                </w:p>
              </w:tc>
              <w:tc>
                <w:tcPr>
                  <w:tcW w:w="854" w:type="pct"/>
                  <w:tcBorders>
                    <w:top w:val="outset" w:sz="6" w:space="0" w:color="auto"/>
                    <w:left w:val="outset" w:sz="6" w:space="0" w:color="auto"/>
                    <w:bottom w:val="outset" w:sz="6" w:space="0" w:color="auto"/>
                    <w:right w:val="outset" w:sz="6" w:space="0" w:color="auto"/>
                  </w:tcBorders>
                  <w:hideMark/>
                </w:tcPr>
                <w:p w:rsidR="00D3623F" w:rsidRPr="00D3623F" w:rsidRDefault="006457FE" w:rsidP="006457FE">
                  <w:r>
                    <w:t>1.</w:t>
                  </w:r>
                  <w:r w:rsidR="00EE030F">
                    <w:t>1.</w:t>
                  </w:r>
                  <w:r>
                    <w:t>apakšp</w:t>
                  </w:r>
                  <w:r w:rsidR="00EE030F">
                    <w:t>unkts</w:t>
                  </w:r>
                </w:p>
              </w:tc>
              <w:tc>
                <w:tcPr>
                  <w:tcW w:w="1500" w:type="pct"/>
                  <w:tcBorders>
                    <w:top w:val="outset" w:sz="6" w:space="0" w:color="auto"/>
                    <w:left w:val="outset" w:sz="6" w:space="0" w:color="auto"/>
                    <w:bottom w:val="outset" w:sz="6" w:space="0" w:color="auto"/>
                    <w:right w:val="outset" w:sz="6" w:space="0" w:color="auto"/>
                  </w:tcBorders>
                  <w:hideMark/>
                </w:tcPr>
                <w:p w:rsidR="00D3623F" w:rsidRPr="00D3623F" w:rsidRDefault="00EE030F" w:rsidP="00D3623F">
                  <w:r>
                    <w:t>Tiek pārņemts pilnībā</w:t>
                  </w:r>
                </w:p>
              </w:tc>
              <w:tc>
                <w:tcPr>
                  <w:tcW w:w="1499" w:type="pct"/>
                  <w:tcBorders>
                    <w:top w:val="outset" w:sz="6" w:space="0" w:color="auto"/>
                    <w:left w:val="outset" w:sz="6" w:space="0" w:color="auto"/>
                    <w:bottom w:val="outset" w:sz="6" w:space="0" w:color="auto"/>
                    <w:right w:val="outset" w:sz="6" w:space="0" w:color="auto"/>
                  </w:tcBorders>
                  <w:hideMark/>
                </w:tcPr>
                <w:p w:rsidR="00D3623F" w:rsidRPr="00D3623F" w:rsidRDefault="00EE030F" w:rsidP="00D3623F">
                  <w:r>
                    <w:t>Stingrākas prasības neparedz</w:t>
                  </w:r>
                </w:p>
              </w:tc>
            </w:tr>
            <w:tr w:rsidR="00C33A7F" w:rsidRPr="00D3623F" w:rsidTr="00032A68">
              <w:tc>
                <w:tcPr>
                  <w:tcW w:w="1147" w:type="pct"/>
                  <w:tcBorders>
                    <w:top w:val="outset" w:sz="6" w:space="0" w:color="auto"/>
                    <w:left w:val="outset" w:sz="6" w:space="0" w:color="auto"/>
                    <w:bottom w:val="outset" w:sz="6" w:space="0" w:color="auto"/>
                    <w:right w:val="outset" w:sz="6" w:space="0" w:color="auto"/>
                  </w:tcBorders>
                  <w:hideMark/>
                </w:tcPr>
                <w:p w:rsidR="009A35A6" w:rsidRDefault="009A35A6" w:rsidP="009A35A6">
                  <w:r w:rsidRPr="00F7234A">
                    <w:rPr>
                      <w:b/>
                    </w:rPr>
                    <w:t>Lēmums 2</w:t>
                  </w:r>
                  <w:r w:rsidR="00F7234A" w:rsidRPr="00F7234A">
                    <w:rPr>
                      <w:b/>
                    </w:rPr>
                    <w:t>000/96</w:t>
                  </w:r>
                  <w:r w:rsidRPr="00F7234A">
                    <w:rPr>
                      <w:b/>
                    </w:rPr>
                    <w:t>/EK</w:t>
                  </w:r>
                  <w:r>
                    <w:t xml:space="preserve"> 1.pielikums</w:t>
                  </w:r>
                </w:p>
                <w:p w:rsidR="00C33A7F" w:rsidRDefault="009A35A6" w:rsidP="009A35A6">
                  <w:r>
                    <w:t>2.5.3.apakšpunkts</w:t>
                  </w:r>
                </w:p>
              </w:tc>
              <w:tc>
                <w:tcPr>
                  <w:tcW w:w="854" w:type="pct"/>
                  <w:tcBorders>
                    <w:top w:val="outset" w:sz="6" w:space="0" w:color="auto"/>
                    <w:left w:val="outset" w:sz="6" w:space="0" w:color="auto"/>
                    <w:bottom w:val="outset" w:sz="6" w:space="0" w:color="auto"/>
                    <w:right w:val="outset" w:sz="6" w:space="0" w:color="auto"/>
                  </w:tcBorders>
                  <w:hideMark/>
                </w:tcPr>
                <w:p w:rsidR="00C33A7F" w:rsidRDefault="006457FE" w:rsidP="00C00FB8">
                  <w:r>
                    <w:t>1.</w:t>
                  </w:r>
                  <w:r w:rsidR="00C33A7F">
                    <w:t>1</w:t>
                  </w:r>
                  <w:r w:rsidR="00C00FB8">
                    <w:t>4</w:t>
                  </w:r>
                  <w:r w:rsidR="00C33A7F">
                    <w:t>.</w:t>
                  </w:r>
                  <w:r w:rsidR="00EF3E94">
                    <w:t xml:space="preserve">, </w:t>
                  </w:r>
                  <w:r>
                    <w:t>1.</w:t>
                  </w:r>
                  <w:r w:rsidR="00C00FB8">
                    <w:t>22</w:t>
                  </w:r>
                  <w:r w:rsidR="00EF3E94">
                    <w:t xml:space="preserve">. </w:t>
                  </w:r>
                  <w:r>
                    <w:t xml:space="preserve"> apakšpunkts </w:t>
                  </w:r>
                </w:p>
              </w:tc>
              <w:tc>
                <w:tcPr>
                  <w:tcW w:w="1500" w:type="pct"/>
                  <w:tcBorders>
                    <w:top w:val="outset" w:sz="6" w:space="0" w:color="auto"/>
                    <w:left w:val="outset" w:sz="6" w:space="0" w:color="auto"/>
                    <w:bottom w:val="outset" w:sz="6" w:space="0" w:color="auto"/>
                    <w:right w:val="outset" w:sz="6" w:space="0" w:color="auto"/>
                  </w:tcBorders>
                  <w:hideMark/>
                </w:tcPr>
                <w:p w:rsidR="00C33A7F" w:rsidRDefault="00C33A7F" w:rsidP="00D3623F">
                  <w:r>
                    <w:t>Tiek pārņemts pilnībā</w:t>
                  </w:r>
                </w:p>
              </w:tc>
              <w:tc>
                <w:tcPr>
                  <w:tcW w:w="1499" w:type="pct"/>
                  <w:tcBorders>
                    <w:top w:val="outset" w:sz="6" w:space="0" w:color="auto"/>
                    <w:left w:val="outset" w:sz="6" w:space="0" w:color="auto"/>
                    <w:bottom w:val="outset" w:sz="6" w:space="0" w:color="auto"/>
                    <w:right w:val="outset" w:sz="6" w:space="0" w:color="auto"/>
                  </w:tcBorders>
                  <w:hideMark/>
                </w:tcPr>
                <w:p w:rsidR="00C33A7F" w:rsidRDefault="00C33A7F" w:rsidP="00D3623F">
                  <w:r>
                    <w:t>Stingrākas prasības neparedz</w:t>
                  </w:r>
                </w:p>
              </w:tc>
            </w:tr>
            <w:tr w:rsidR="009A35A6" w:rsidRPr="00D3623F" w:rsidTr="00032A68">
              <w:tc>
                <w:tcPr>
                  <w:tcW w:w="1147" w:type="pct"/>
                  <w:tcBorders>
                    <w:top w:val="outset" w:sz="6" w:space="0" w:color="auto"/>
                    <w:left w:val="outset" w:sz="6" w:space="0" w:color="auto"/>
                    <w:bottom w:val="outset" w:sz="6" w:space="0" w:color="auto"/>
                    <w:right w:val="outset" w:sz="6" w:space="0" w:color="auto"/>
                  </w:tcBorders>
                  <w:hideMark/>
                </w:tcPr>
                <w:p w:rsidR="009A35A6" w:rsidRDefault="009A35A6" w:rsidP="009A35A6">
                  <w:r w:rsidRPr="00F7234A">
                    <w:rPr>
                      <w:b/>
                    </w:rPr>
                    <w:t>Lēmums 2</w:t>
                  </w:r>
                  <w:r w:rsidR="00F7234A" w:rsidRPr="00F7234A">
                    <w:rPr>
                      <w:b/>
                    </w:rPr>
                    <w:t>000</w:t>
                  </w:r>
                  <w:r w:rsidRPr="00F7234A">
                    <w:rPr>
                      <w:b/>
                    </w:rPr>
                    <w:t>/9</w:t>
                  </w:r>
                  <w:r w:rsidR="00F7234A" w:rsidRPr="00F7234A">
                    <w:rPr>
                      <w:b/>
                    </w:rPr>
                    <w:t>6</w:t>
                  </w:r>
                  <w:r w:rsidRPr="00F7234A">
                    <w:rPr>
                      <w:b/>
                    </w:rPr>
                    <w:t>/EK</w:t>
                  </w:r>
                  <w:r>
                    <w:t xml:space="preserve"> 1.pielikums</w:t>
                  </w:r>
                </w:p>
                <w:p w:rsidR="009A35A6" w:rsidRDefault="009A35A6" w:rsidP="009A35A6">
                  <w:r>
                    <w:t>2.5.4.apakšpunkts</w:t>
                  </w:r>
                </w:p>
              </w:tc>
              <w:tc>
                <w:tcPr>
                  <w:tcW w:w="854" w:type="pct"/>
                  <w:tcBorders>
                    <w:top w:val="outset" w:sz="6" w:space="0" w:color="auto"/>
                    <w:left w:val="outset" w:sz="6" w:space="0" w:color="auto"/>
                    <w:bottom w:val="outset" w:sz="6" w:space="0" w:color="auto"/>
                    <w:right w:val="outset" w:sz="6" w:space="0" w:color="auto"/>
                  </w:tcBorders>
                  <w:hideMark/>
                </w:tcPr>
                <w:p w:rsidR="006457FE" w:rsidRDefault="006457FE" w:rsidP="00E70D8A">
                  <w:r>
                    <w:t>1.</w:t>
                  </w:r>
                  <w:r w:rsidR="00AF7D60">
                    <w:t xml:space="preserve">5., </w:t>
                  </w:r>
                  <w:r>
                    <w:t>1.</w:t>
                  </w:r>
                  <w:r w:rsidR="009A35A6">
                    <w:t>1</w:t>
                  </w:r>
                  <w:r w:rsidR="00C00FB8">
                    <w:t>7</w:t>
                  </w:r>
                  <w:r w:rsidR="009A35A6">
                    <w:t xml:space="preserve">., </w:t>
                  </w:r>
                  <w:r>
                    <w:t>1.</w:t>
                  </w:r>
                  <w:r w:rsidR="00C00FB8">
                    <w:t>2</w:t>
                  </w:r>
                  <w:r w:rsidR="009A35A6">
                    <w:t>1.</w:t>
                  </w:r>
                </w:p>
                <w:p w:rsidR="009A35A6" w:rsidRDefault="006457FE" w:rsidP="006457FE">
                  <w:r>
                    <w:t xml:space="preserve">apakšpunkts </w:t>
                  </w:r>
                </w:p>
              </w:tc>
              <w:tc>
                <w:tcPr>
                  <w:tcW w:w="1500" w:type="pct"/>
                  <w:tcBorders>
                    <w:top w:val="outset" w:sz="6" w:space="0" w:color="auto"/>
                    <w:left w:val="outset" w:sz="6" w:space="0" w:color="auto"/>
                    <w:bottom w:val="outset" w:sz="6" w:space="0" w:color="auto"/>
                    <w:right w:val="outset" w:sz="6" w:space="0" w:color="auto"/>
                  </w:tcBorders>
                  <w:hideMark/>
                </w:tcPr>
                <w:p w:rsidR="009A35A6" w:rsidRDefault="009A35A6" w:rsidP="00D3623F">
                  <w:r>
                    <w:t>Tiek pārņemts pilnībā</w:t>
                  </w:r>
                </w:p>
              </w:tc>
              <w:tc>
                <w:tcPr>
                  <w:tcW w:w="1499" w:type="pct"/>
                  <w:tcBorders>
                    <w:top w:val="outset" w:sz="6" w:space="0" w:color="auto"/>
                    <w:left w:val="outset" w:sz="6" w:space="0" w:color="auto"/>
                    <w:bottom w:val="outset" w:sz="6" w:space="0" w:color="auto"/>
                    <w:right w:val="outset" w:sz="6" w:space="0" w:color="auto"/>
                  </w:tcBorders>
                  <w:hideMark/>
                </w:tcPr>
                <w:p w:rsidR="009A35A6" w:rsidRDefault="009A35A6" w:rsidP="00D3623F">
                  <w:r>
                    <w:t>Stingrākas prasības neparedz</w:t>
                  </w:r>
                </w:p>
              </w:tc>
            </w:tr>
            <w:tr w:rsidR="00EE030F" w:rsidRPr="00D3623F" w:rsidTr="00032A68">
              <w:tc>
                <w:tcPr>
                  <w:tcW w:w="1147" w:type="pct"/>
                  <w:tcBorders>
                    <w:top w:val="outset" w:sz="6" w:space="0" w:color="auto"/>
                    <w:left w:val="outset" w:sz="6" w:space="0" w:color="auto"/>
                    <w:bottom w:val="outset" w:sz="6" w:space="0" w:color="auto"/>
                    <w:right w:val="outset" w:sz="6" w:space="0" w:color="auto"/>
                  </w:tcBorders>
                  <w:hideMark/>
                </w:tcPr>
                <w:p w:rsidR="00032A68" w:rsidRPr="00F7234A" w:rsidRDefault="00EE030F" w:rsidP="00EE030F">
                  <w:pPr>
                    <w:rPr>
                      <w:b/>
                    </w:rPr>
                  </w:pPr>
                  <w:r w:rsidRPr="00F7234A">
                    <w:rPr>
                      <w:b/>
                    </w:rPr>
                    <w:t xml:space="preserve">Lēmums </w:t>
                  </w:r>
                </w:p>
                <w:p w:rsidR="00EE030F" w:rsidRDefault="00EE030F" w:rsidP="00EE030F">
                  <w:r w:rsidRPr="00F7234A">
                    <w:rPr>
                      <w:b/>
                    </w:rPr>
                    <w:t>2</w:t>
                  </w:r>
                  <w:r w:rsidR="00F7234A" w:rsidRPr="00F7234A">
                    <w:rPr>
                      <w:b/>
                    </w:rPr>
                    <w:t>000</w:t>
                  </w:r>
                  <w:r w:rsidR="00C33A7F" w:rsidRPr="00F7234A">
                    <w:rPr>
                      <w:b/>
                    </w:rPr>
                    <w:t>/</w:t>
                  </w:r>
                  <w:r w:rsidRPr="00F7234A">
                    <w:rPr>
                      <w:b/>
                    </w:rPr>
                    <w:t>9</w:t>
                  </w:r>
                  <w:r w:rsidR="00F7234A" w:rsidRPr="00F7234A">
                    <w:rPr>
                      <w:b/>
                    </w:rPr>
                    <w:t>6</w:t>
                  </w:r>
                  <w:r w:rsidRPr="00F7234A">
                    <w:rPr>
                      <w:b/>
                    </w:rPr>
                    <w:t>/EK</w:t>
                  </w:r>
                  <w:r>
                    <w:t xml:space="preserve"> 1.pielikums</w:t>
                  </w:r>
                </w:p>
                <w:p w:rsidR="00EE030F" w:rsidRDefault="00EE030F" w:rsidP="00EE030F">
                  <w:r>
                    <w:t>3.2. apakšpunkts</w:t>
                  </w:r>
                </w:p>
              </w:tc>
              <w:tc>
                <w:tcPr>
                  <w:tcW w:w="854" w:type="pct"/>
                  <w:tcBorders>
                    <w:top w:val="outset" w:sz="6" w:space="0" w:color="auto"/>
                    <w:left w:val="outset" w:sz="6" w:space="0" w:color="auto"/>
                    <w:bottom w:val="outset" w:sz="6" w:space="0" w:color="auto"/>
                    <w:right w:val="outset" w:sz="6" w:space="0" w:color="auto"/>
                  </w:tcBorders>
                  <w:hideMark/>
                </w:tcPr>
                <w:p w:rsidR="00743DD6" w:rsidRDefault="006457FE" w:rsidP="003E3DB9">
                  <w:r>
                    <w:t>1.</w:t>
                  </w:r>
                  <w:r w:rsidR="003F0D1B">
                    <w:t>3.,</w:t>
                  </w:r>
                  <w:r w:rsidR="009A35A6">
                    <w:t xml:space="preserve"> </w:t>
                  </w:r>
                  <w:r>
                    <w:t>1.</w:t>
                  </w:r>
                  <w:r w:rsidR="00C00FB8">
                    <w:t>8</w:t>
                  </w:r>
                  <w:r w:rsidR="00EE030F">
                    <w:t>.</w:t>
                  </w:r>
                  <w:r w:rsidR="003E3DB9">
                    <w:t xml:space="preserve">, </w:t>
                  </w:r>
                  <w:r>
                    <w:t>1.</w:t>
                  </w:r>
                  <w:r w:rsidR="00C00FB8">
                    <w:t>9</w:t>
                  </w:r>
                  <w:r w:rsidR="003E3DB9">
                    <w:t xml:space="preserve">., </w:t>
                  </w:r>
                  <w:r>
                    <w:t>1.</w:t>
                  </w:r>
                  <w:r w:rsidR="00210EDB">
                    <w:t>20</w:t>
                  </w:r>
                  <w:r w:rsidR="00AF7D60">
                    <w:t>.</w:t>
                  </w:r>
                  <w:r w:rsidR="00210EDB">
                    <w:t>,1.24.</w:t>
                  </w:r>
                </w:p>
                <w:p w:rsidR="00EE030F" w:rsidRDefault="006457FE" w:rsidP="001A355D">
                  <w:r>
                    <w:t>apakšpunkts</w:t>
                  </w:r>
                </w:p>
              </w:tc>
              <w:tc>
                <w:tcPr>
                  <w:tcW w:w="1500" w:type="pct"/>
                  <w:tcBorders>
                    <w:top w:val="outset" w:sz="6" w:space="0" w:color="auto"/>
                    <w:left w:val="outset" w:sz="6" w:space="0" w:color="auto"/>
                    <w:bottom w:val="outset" w:sz="6" w:space="0" w:color="auto"/>
                    <w:right w:val="outset" w:sz="6" w:space="0" w:color="auto"/>
                  </w:tcBorders>
                  <w:hideMark/>
                </w:tcPr>
                <w:p w:rsidR="00EE030F" w:rsidRDefault="00EE030F" w:rsidP="00D3623F">
                  <w:r>
                    <w:t>Tiek pārņemts pilnībā</w:t>
                  </w:r>
                </w:p>
              </w:tc>
              <w:tc>
                <w:tcPr>
                  <w:tcW w:w="1499" w:type="pct"/>
                  <w:tcBorders>
                    <w:top w:val="outset" w:sz="6" w:space="0" w:color="auto"/>
                    <w:left w:val="outset" w:sz="6" w:space="0" w:color="auto"/>
                    <w:bottom w:val="outset" w:sz="6" w:space="0" w:color="auto"/>
                    <w:right w:val="outset" w:sz="6" w:space="0" w:color="auto"/>
                  </w:tcBorders>
                  <w:hideMark/>
                </w:tcPr>
                <w:p w:rsidR="00EE030F" w:rsidRDefault="00EE030F" w:rsidP="00D3623F">
                  <w:r>
                    <w:t>Stingrākas prasības neparedz</w:t>
                  </w:r>
                </w:p>
              </w:tc>
            </w:tr>
            <w:tr w:rsidR="00032A68" w:rsidRPr="00D3623F" w:rsidTr="00032A68">
              <w:tc>
                <w:tcPr>
                  <w:tcW w:w="1147" w:type="pct"/>
                  <w:tcBorders>
                    <w:top w:val="outset" w:sz="6" w:space="0" w:color="auto"/>
                    <w:left w:val="outset" w:sz="6" w:space="0" w:color="auto"/>
                    <w:bottom w:val="outset" w:sz="6" w:space="0" w:color="auto"/>
                    <w:right w:val="outset" w:sz="6" w:space="0" w:color="auto"/>
                  </w:tcBorders>
                  <w:hideMark/>
                </w:tcPr>
                <w:p w:rsidR="00032A68" w:rsidRPr="00974E96" w:rsidRDefault="00974E96" w:rsidP="00032A68">
                  <w:pPr>
                    <w:rPr>
                      <w:b/>
                    </w:rPr>
                  </w:pPr>
                  <w:r w:rsidRPr="00974E96">
                    <w:rPr>
                      <w:b/>
                    </w:rPr>
                    <w:t xml:space="preserve"> </w:t>
                  </w:r>
                  <w:r w:rsidR="00032A68" w:rsidRPr="00974E96">
                    <w:rPr>
                      <w:b/>
                    </w:rPr>
                    <w:t xml:space="preserve">Lēmums </w:t>
                  </w:r>
                </w:p>
                <w:p w:rsidR="00214476" w:rsidRDefault="00032A68" w:rsidP="00032A68">
                  <w:pPr>
                    <w:rPr>
                      <w:b/>
                    </w:rPr>
                  </w:pPr>
                  <w:r w:rsidRPr="00974E96">
                    <w:rPr>
                      <w:b/>
                    </w:rPr>
                    <w:t>20</w:t>
                  </w:r>
                  <w:r w:rsidR="00214476">
                    <w:rPr>
                      <w:b/>
                    </w:rPr>
                    <w:t>12</w:t>
                  </w:r>
                  <w:r w:rsidRPr="00974E96">
                    <w:rPr>
                      <w:b/>
                    </w:rPr>
                    <w:t>/</w:t>
                  </w:r>
                  <w:r w:rsidR="00214476">
                    <w:rPr>
                      <w:b/>
                    </w:rPr>
                    <w:t>506</w:t>
                  </w:r>
                  <w:r w:rsidRPr="00974E96">
                    <w:rPr>
                      <w:b/>
                    </w:rPr>
                    <w:t>/E</w:t>
                  </w:r>
                  <w:r w:rsidR="00214476">
                    <w:rPr>
                      <w:b/>
                    </w:rPr>
                    <w:t>S</w:t>
                  </w:r>
                </w:p>
                <w:p w:rsidR="00032A68" w:rsidRPr="00214476" w:rsidRDefault="00214476" w:rsidP="00032A68">
                  <w:r w:rsidRPr="00214476">
                    <w:t>2.41. un 2.42. apakšpunkts</w:t>
                  </w:r>
                  <w:r w:rsidR="00032A68" w:rsidRPr="00214476">
                    <w:t xml:space="preserve"> </w:t>
                  </w:r>
                </w:p>
                <w:p w:rsidR="00032A68" w:rsidRDefault="00032A68" w:rsidP="00032A68">
                  <w:r>
                    <w:t>Gadījuma definīcijas:</w:t>
                  </w:r>
                </w:p>
                <w:p w:rsidR="00032A68" w:rsidRDefault="00032A68" w:rsidP="00032A68">
                  <w:r>
                    <w:t>Sifiliss</w:t>
                  </w:r>
                </w:p>
                <w:p w:rsidR="00032A68" w:rsidRDefault="00032A68" w:rsidP="00032A68">
                  <w:r>
                    <w:t>Iedzimtais un jaundzimušo sifiliss</w:t>
                  </w:r>
                </w:p>
              </w:tc>
              <w:tc>
                <w:tcPr>
                  <w:tcW w:w="854" w:type="pct"/>
                  <w:tcBorders>
                    <w:top w:val="outset" w:sz="6" w:space="0" w:color="auto"/>
                    <w:left w:val="outset" w:sz="6" w:space="0" w:color="auto"/>
                    <w:bottom w:val="outset" w:sz="6" w:space="0" w:color="auto"/>
                    <w:right w:val="outset" w:sz="6" w:space="0" w:color="auto"/>
                  </w:tcBorders>
                  <w:hideMark/>
                </w:tcPr>
                <w:p w:rsidR="00032A68" w:rsidRDefault="006457FE" w:rsidP="00210EDB">
                  <w:r>
                    <w:t>1.</w:t>
                  </w:r>
                  <w:r w:rsidR="003F0D1B">
                    <w:t>1</w:t>
                  </w:r>
                  <w:r w:rsidR="00210EDB">
                    <w:t>6</w:t>
                  </w:r>
                  <w:r w:rsidR="003F0D1B">
                    <w:t>.</w:t>
                  </w:r>
                  <w:r w:rsidR="00E94F0B">
                    <w:t xml:space="preserve">, </w:t>
                  </w:r>
                  <w:r>
                    <w:t>1.</w:t>
                  </w:r>
                  <w:r w:rsidR="00210EDB">
                    <w:t>23</w:t>
                  </w:r>
                  <w:r w:rsidR="00E94F0B">
                    <w:t>.</w:t>
                  </w:r>
                  <w:r>
                    <w:t xml:space="preserve"> apakšpunkts</w:t>
                  </w:r>
                </w:p>
              </w:tc>
              <w:tc>
                <w:tcPr>
                  <w:tcW w:w="1500" w:type="pct"/>
                  <w:tcBorders>
                    <w:top w:val="outset" w:sz="6" w:space="0" w:color="auto"/>
                    <w:left w:val="outset" w:sz="6" w:space="0" w:color="auto"/>
                    <w:bottom w:val="outset" w:sz="6" w:space="0" w:color="auto"/>
                    <w:right w:val="outset" w:sz="6" w:space="0" w:color="auto"/>
                  </w:tcBorders>
                  <w:hideMark/>
                </w:tcPr>
                <w:p w:rsidR="00032A68" w:rsidRDefault="00FC3E73" w:rsidP="00D3623F">
                  <w:r>
                    <w:t>Tiek pārņemts pilnībā</w:t>
                  </w:r>
                </w:p>
              </w:tc>
              <w:tc>
                <w:tcPr>
                  <w:tcW w:w="1499" w:type="pct"/>
                  <w:tcBorders>
                    <w:top w:val="outset" w:sz="6" w:space="0" w:color="auto"/>
                    <w:left w:val="outset" w:sz="6" w:space="0" w:color="auto"/>
                    <w:bottom w:val="outset" w:sz="6" w:space="0" w:color="auto"/>
                    <w:right w:val="outset" w:sz="6" w:space="0" w:color="auto"/>
                  </w:tcBorders>
                  <w:hideMark/>
                </w:tcPr>
                <w:p w:rsidR="00032A68" w:rsidRDefault="00FC3E73" w:rsidP="00D3623F">
                  <w:r>
                    <w:t>Stingrākas prasības neparedz</w:t>
                  </w:r>
                </w:p>
              </w:tc>
            </w:tr>
            <w:tr w:rsidR="009A35A6" w:rsidRPr="00D3623F" w:rsidTr="00974E96">
              <w:tc>
                <w:tcPr>
                  <w:tcW w:w="1147" w:type="pct"/>
                  <w:tcBorders>
                    <w:top w:val="outset" w:sz="6" w:space="0" w:color="auto"/>
                    <w:left w:val="outset" w:sz="6" w:space="0" w:color="auto"/>
                    <w:bottom w:val="single" w:sz="4" w:space="0" w:color="auto"/>
                    <w:right w:val="outset" w:sz="6" w:space="0" w:color="auto"/>
                  </w:tcBorders>
                  <w:hideMark/>
                </w:tcPr>
                <w:p w:rsidR="009A35A6" w:rsidRPr="00F7234A" w:rsidRDefault="009A35A6" w:rsidP="009A35A6">
                  <w:pPr>
                    <w:rPr>
                      <w:b/>
                    </w:rPr>
                  </w:pPr>
                  <w:r w:rsidRPr="00F7234A">
                    <w:rPr>
                      <w:b/>
                    </w:rPr>
                    <w:t xml:space="preserve">Lēmums </w:t>
                  </w:r>
                </w:p>
                <w:p w:rsidR="00214476" w:rsidRPr="00F7234A" w:rsidRDefault="009A35A6" w:rsidP="009A35A6">
                  <w:pPr>
                    <w:rPr>
                      <w:b/>
                    </w:rPr>
                  </w:pPr>
                  <w:r w:rsidRPr="00F7234A">
                    <w:rPr>
                      <w:b/>
                    </w:rPr>
                    <w:t>20</w:t>
                  </w:r>
                  <w:r w:rsidR="00214476" w:rsidRPr="00F7234A">
                    <w:rPr>
                      <w:b/>
                    </w:rPr>
                    <w:t>12</w:t>
                  </w:r>
                  <w:r w:rsidRPr="00F7234A">
                    <w:rPr>
                      <w:b/>
                    </w:rPr>
                    <w:t>/</w:t>
                  </w:r>
                  <w:r w:rsidR="00214476" w:rsidRPr="00F7234A">
                    <w:rPr>
                      <w:b/>
                    </w:rPr>
                    <w:t>50</w:t>
                  </w:r>
                  <w:r w:rsidRPr="00F7234A">
                    <w:rPr>
                      <w:b/>
                    </w:rPr>
                    <w:t>6/E</w:t>
                  </w:r>
                  <w:r w:rsidR="00214476" w:rsidRPr="00F7234A">
                    <w:rPr>
                      <w:b/>
                    </w:rPr>
                    <w:t>S</w:t>
                  </w:r>
                </w:p>
                <w:p w:rsidR="009A35A6" w:rsidRDefault="00214476" w:rsidP="009A35A6">
                  <w:r>
                    <w:lastRenderedPageBreak/>
                    <w:t>2.50. apakšpunkts</w:t>
                  </w:r>
                  <w:r w:rsidR="009A35A6">
                    <w:t xml:space="preserve"> </w:t>
                  </w:r>
                </w:p>
                <w:p w:rsidR="009A35A6" w:rsidRDefault="009A35A6" w:rsidP="009A35A6">
                  <w:r>
                    <w:t>Gadījuma definīcijas:</w:t>
                  </w:r>
                </w:p>
                <w:p w:rsidR="009A35A6" w:rsidRDefault="00B52A88" w:rsidP="00B52A88">
                  <w:r>
                    <w:t>Vīrusu hemorāģiskie drudži (VHD)</w:t>
                  </w:r>
                </w:p>
              </w:tc>
              <w:tc>
                <w:tcPr>
                  <w:tcW w:w="854" w:type="pct"/>
                  <w:tcBorders>
                    <w:top w:val="outset" w:sz="6" w:space="0" w:color="auto"/>
                    <w:left w:val="outset" w:sz="6" w:space="0" w:color="auto"/>
                    <w:bottom w:val="single" w:sz="4" w:space="0" w:color="auto"/>
                    <w:right w:val="outset" w:sz="6" w:space="0" w:color="auto"/>
                  </w:tcBorders>
                  <w:hideMark/>
                </w:tcPr>
                <w:p w:rsidR="009A35A6" w:rsidRDefault="006457FE" w:rsidP="006457FE">
                  <w:r>
                    <w:lastRenderedPageBreak/>
                    <w:t>1.</w:t>
                  </w:r>
                  <w:r w:rsidR="00AF7D60">
                    <w:t>5.,</w:t>
                  </w:r>
                  <w:r>
                    <w:t>1.</w:t>
                  </w:r>
                  <w:r w:rsidR="00210EDB">
                    <w:t>2</w:t>
                  </w:r>
                  <w:r w:rsidR="009A35A6">
                    <w:t>1.</w:t>
                  </w:r>
                </w:p>
                <w:p w:rsidR="006457FE" w:rsidRDefault="006457FE" w:rsidP="006457FE">
                  <w:r>
                    <w:t>apakšpunkts</w:t>
                  </w:r>
                </w:p>
              </w:tc>
              <w:tc>
                <w:tcPr>
                  <w:tcW w:w="1500" w:type="pct"/>
                  <w:tcBorders>
                    <w:top w:val="outset" w:sz="6" w:space="0" w:color="auto"/>
                    <w:left w:val="outset" w:sz="6" w:space="0" w:color="auto"/>
                    <w:bottom w:val="single" w:sz="4" w:space="0" w:color="auto"/>
                    <w:right w:val="outset" w:sz="6" w:space="0" w:color="auto"/>
                  </w:tcBorders>
                  <w:hideMark/>
                </w:tcPr>
                <w:p w:rsidR="009A35A6" w:rsidRDefault="009A35A6" w:rsidP="00D3623F">
                  <w:r>
                    <w:t>Tiek pārņemts pilnībā</w:t>
                  </w:r>
                </w:p>
              </w:tc>
              <w:tc>
                <w:tcPr>
                  <w:tcW w:w="1499" w:type="pct"/>
                  <w:tcBorders>
                    <w:top w:val="outset" w:sz="6" w:space="0" w:color="auto"/>
                    <w:left w:val="outset" w:sz="6" w:space="0" w:color="auto"/>
                    <w:bottom w:val="single" w:sz="4" w:space="0" w:color="auto"/>
                    <w:right w:val="outset" w:sz="6" w:space="0" w:color="auto"/>
                  </w:tcBorders>
                  <w:hideMark/>
                </w:tcPr>
                <w:p w:rsidR="009A35A6" w:rsidRDefault="009A35A6" w:rsidP="00D3623F">
                  <w:r>
                    <w:t>Stingrākas prasības neparedz</w:t>
                  </w:r>
                </w:p>
              </w:tc>
            </w:tr>
            <w:tr w:rsidR="00D3623F" w:rsidRPr="00D3623F" w:rsidTr="00974E96">
              <w:tc>
                <w:tcPr>
                  <w:tcW w:w="1147" w:type="pct"/>
                  <w:tcBorders>
                    <w:top w:val="single" w:sz="4" w:space="0" w:color="auto"/>
                    <w:left w:val="single" w:sz="4" w:space="0" w:color="auto"/>
                    <w:bottom w:val="single" w:sz="4" w:space="0" w:color="auto"/>
                    <w:right w:val="outset" w:sz="6" w:space="0" w:color="auto"/>
                  </w:tcBorders>
                  <w:hideMark/>
                </w:tcPr>
                <w:p w:rsidR="00D3623F" w:rsidRPr="00D3623F" w:rsidRDefault="00D3623F" w:rsidP="00D3623F">
                  <w:r w:rsidRPr="00D3623F">
                    <w:lastRenderedPageBreak/>
                    <w:t xml:space="preserve">Kā ir izmantota ES tiesību aktā paredzētā rīcības brīvība dalībvalstij pārņemt vai ieviest noteiktas ES tiesību akta normas? </w:t>
                  </w:r>
                </w:p>
                <w:p w:rsidR="00D3623F" w:rsidRPr="00D3623F" w:rsidRDefault="00D3623F" w:rsidP="00D3623F">
                  <w:r w:rsidRPr="00D3623F">
                    <w:t>Kādēļ?</w:t>
                  </w:r>
                </w:p>
              </w:tc>
              <w:tc>
                <w:tcPr>
                  <w:tcW w:w="3853" w:type="pct"/>
                  <w:gridSpan w:val="3"/>
                  <w:tcBorders>
                    <w:top w:val="single" w:sz="4" w:space="0" w:color="auto"/>
                    <w:left w:val="outset" w:sz="6" w:space="0" w:color="auto"/>
                    <w:bottom w:val="single" w:sz="4" w:space="0" w:color="auto"/>
                    <w:right w:val="single" w:sz="4" w:space="0" w:color="auto"/>
                  </w:tcBorders>
                  <w:hideMark/>
                </w:tcPr>
                <w:p w:rsidR="00D3623F" w:rsidRPr="00D3623F" w:rsidRDefault="003D2909" w:rsidP="003D2909">
                  <w:r>
                    <w:t>P</w:t>
                  </w:r>
                  <w:r w:rsidR="006421F0">
                    <w:t>rojekts šo jomu neskar</w:t>
                  </w:r>
                </w:p>
              </w:tc>
            </w:tr>
            <w:tr w:rsidR="00D3623F" w:rsidRPr="00D3623F" w:rsidTr="00974E96">
              <w:tc>
                <w:tcPr>
                  <w:tcW w:w="1147" w:type="pct"/>
                  <w:tcBorders>
                    <w:top w:val="single" w:sz="4" w:space="0" w:color="auto"/>
                    <w:left w:val="outset" w:sz="6" w:space="0" w:color="auto"/>
                    <w:bottom w:val="outset" w:sz="6" w:space="0" w:color="auto"/>
                    <w:right w:val="outset" w:sz="6" w:space="0" w:color="auto"/>
                  </w:tcBorders>
                  <w:hideMark/>
                </w:tcPr>
                <w:p w:rsidR="00D3623F" w:rsidRPr="00D3623F" w:rsidRDefault="00D3623F" w:rsidP="00D3623F">
                  <w:pPr>
                    <w:jc w:val="both"/>
                  </w:pPr>
                  <w:r w:rsidRPr="00D3623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3" w:type="pct"/>
                  <w:gridSpan w:val="3"/>
                  <w:tcBorders>
                    <w:top w:val="single" w:sz="4" w:space="0" w:color="auto"/>
                    <w:left w:val="outset" w:sz="6" w:space="0" w:color="auto"/>
                    <w:bottom w:val="outset" w:sz="6" w:space="0" w:color="auto"/>
                    <w:right w:val="outset" w:sz="6" w:space="0" w:color="auto"/>
                  </w:tcBorders>
                  <w:hideMark/>
                </w:tcPr>
                <w:p w:rsidR="00D3623F" w:rsidRPr="00D3623F" w:rsidRDefault="003D2909" w:rsidP="003D2909">
                  <w:r>
                    <w:t>P</w:t>
                  </w:r>
                  <w:r w:rsidR="003D60CA">
                    <w:t>rojekts šo jomu neskar</w:t>
                  </w:r>
                </w:p>
              </w:tc>
            </w:tr>
            <w:tr w:rsidR="00D3623F" w:rsidRPr="00D3623F" w:rsidTr="00032A68">
              <w:tc>
                <w:tcPr>
                  <w:tcW w:w="1147" w:type="pct"/>
                  <w:tcBorders>
                    <w:top w:val="outset" w:sz="6" w:space="0" w:color="auto"/>
                    <w:left w:val="outset" w:sz="6" w:space="0" w:color="auto"/>
                    <w:bottom w:val="outset" w:sz="6" w:space="0" w:color="auto"/>
                    <w:right w:val="outset" w:sz="6" w:space="0" w:color="auto"/>
                  </w:tcBorders>
                  <w:hideMark/>
                </w:tcPr>
                <w:p w:rsidR="00D3623F" w:rsidRPr="00D3623F" w:rsidRDefault="00D3623F" w:rsidP="00D3623F">
                  <w:r w:rsidRPr="00D3623F">
                    <w:t>Cita informācija</w:t>
                  </w:r>
                </w:p>
              </w:tc>
              <w:tc>
                <w:tcPr>
                  <w:tcW w:w="3853" w:type="pct"/>
                  <w:gridSpan w:val="3"/>
                  <w:tcBorders>
                    <w:top w:val="outset" w:sz="6" w:space="0" w:color="auto"/>
                    <w:left w:val="outset" w:sz="6" w:space="0" w:color="auto"/>
                    <w:bottom w:val="outset" w:sz="6" w:space="0" w:color="auto"/>
                    <w:right w:val="outset" w:sz="6" w:space="0" w:color="auto"/>
                  </w:tcBorders>
                  <w:hideMark/>
                </w:tcPr>
                <w:p w:rsidR="00D3623F" w:rsidRPr="00D3623F" w:rsidRDefault="00D3623F" w:rsidP="000F4CA0">
                  <w:r w:rsidRPr="00D3623F">
                    <w:t>Nav</w:t>
                  </w:r>
                </w:p>
              </w:tc>
            </w:tr>
          </w:tbl>
          <w:p w:rsidR="000C53D9" w:rsidRPr="002E5F19" w:rsidRDefault="000C53D9" w:rsidP="005D5180">
            <w:pPr>
              <w:jc w:val="center"/>
            </w:pPr>
          </w:p>
        </w:tc>
      </w:tr>
      <w:tr w:rsidR="00F23F58" w:rsidTr="003D2909">
        <w:trPr>
          <w:tblCellSpacing w:w="0" w:type="dxa"/>
        </w:trPr>
        <w:tc>
          <w:tcPr>
            <w:tcW w:w="9228" w:type="dxa"/>
            <w:gridSpan w:val="4"/>
            <w:tcBorders>
              <w:top w:val="outset" w:sz="6" w:space="0" w:color="auto"/>
              <w:left w:val="outset" w:sz="6" w:space="0" w:color="auto"/>
              <w:bottom w:val="outset" w:sz="6" w:space="0" w:color="auto"/>
              <w:right w:val="outset" w:sz="6" w:space="0" w:color="auto"/>
            </w:tcBorders>
            <w:hideMark/>
          </w:tcPr>
          <w:p w:rsidR="00F23F58" w:rsidRPr="00F23F58" w:rsidRDefault="00F23F58" w:rsidP="00F23F58">
            <w:pPr>
              <w:spacing w:before="100" w:beforeAutospacing="1" w:after="100" w:afterAutospacing="1"/>
              <w:jc w:val="center"/>
              <w:rPr>
                <w:b/>
                <w:bCs/>
              </w:rPr>
            </w:pPr>
          </w:p>
        </w:tc>
      </w:tr>
      <w:tr w:rsidR="0091617D" w:rsidRPr="003E4B12" w:rsidTr="003D2909">
        <w:trPr>
          <w:tblCellSpacing w:w="0" w:type="dxa"/>
        </w:trPr>
        <w:tc>
          <w:tcPr>
            <w:tcW w:w="9228" w:type="dxa"/>
            <w:gridSpan w:val="4"/>
            <w:tcBorders>
              <w:top w:val="outset" w:sz="6" w:space="0" w:color="auto"/>
              <w:left w:val="outset" w:sz="6" w:space="0" w:color="auto"/>
              <w:bottom w:val="outset" w:sz="6" w:space="0" w:color="auto"/>
              <w:right w:val="outset" w:sz="6" w:space="0" w:color="auto"/>
            </w:tcBorders>
            <w:hideMark/>
          </w:tcPr>
          <w:p w:rsidR="0091617D" w:rsidRPr="003E4B12" w:rsidRDefault="0091617D" w:rsidP="00900E0C">
            <w:pPr>
              <w:spacing w:before="100" w:beforeAutospacing="1" w:after="100" w:afterAutospacing="1"/>
              <w:jc w:val="center"/>
            </w:pPr>
            <w:r w:rsidRPr="003E4B12">
              <w:rPr>
                <w:b/>
                <w:bCs/>
              </w:rPr>
              <w:t>VII. Tiesību akta projekta izpildes nodrošināšana un tās ietekme uz institūcijām</w:t>
            </w:r>
          </w:p>
        </w:tc>
      </w:tr>
      <w:tr w:rsidR="00956BE6" w:rsidRPr="003E4B12" w:rsidTr="003D2909">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1.</w:t>
            </w:r>
          </w:p>
        </w:tc>
        <w:tc>
          <w:tcPr>
            <w:tcW w:w="4399"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izpildē iesaistītās institūcijas</w:t>
            </w:r>
          </w:p>
        </w:tc>
        <w:tc>
          <w:tcPr>
            <w:tcW w:w="4261"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09381D" w:rsidP="0009381D">
            <w:pPr>
              <w:pStyle w:val="BodyTextIndent"/>
              <w:autoSpaceDE w:val="0"/>
              <w:autoSpaceDN w:val="0"/>
              <w:adjustRightInd w:val="0"/>
              <w:spacing w:after="0"/>
              <w:ind w:left="0"/>
              <w:jc w:val="both"/>
            </w:pPr>
            <w:r>
              <w:t xml:space="preserve">Ārstniecības personas, </w:t>
            </w:r>
            <w:r w:rsidR="007B7A83">
              <w:t>Slimību profilakses un kontroles centrs</w:t>
            </w:r>
            <w:r>
              <w:t>, sabiedrība ar ierobežotu atbildību „Rīgas Austrumu klīniskā universitātes slimnīca”</w:t>
            </w:r>
          </w:p>
        </w:tc>
      </w:tr>
      <w:tr w:rsidR="00956BE6" w:rsidRPr="003E4B12" w:rsidTr="003D2909">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2.</w:t>
            </w:r>
          </w:p>
        </w:tc>
        <w:tc>
          <w:tcPr>
            <w:tcW w:w="4399"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funkcijām</w:t>
            </w:r>
          </w:p>
        </w:tc>
        <w:tc>
          <w:tcPr>
            <w:tcW w:w="4261"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7B7A83" w:rsidP="007755B7">
            <w:pPr>
              <w:jc w:val="both"/>
            </w:pPr>
            <w:r>
              <w:t>Jaunas funkcijas netiek noteiktas</w:t>
            </w:r>
          </w:p>
        </w:tc>
      </w:tr>
      <w:tr w:rsidR="00956BE6" w:rsidRPr="003E4B12" w:rsidTr="003D2909">
        <w:trPr>
          <w:trHeight w:val="725"/>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3.</w:t>
            </w:r>
          </w:p>
        </w:tc>
        <w:tc>
          <w:tcPr>
            <w:tcW w:w="4399" w:type="dxa"/>
            <w:tcBorders>
              <w:top w:val="outset" w:sz="6" w:space="0" w:color="auto"/>
              <w:left w:val="outset" w:sz="6" w:space="0" w:color="auto"/>
              <w:bottom w:val="outset" w:sz="6" w:space="0" w:color="auto"/>
              <w:right w:val="outset" w:sz="6" w:space="0" w:color="auto"/>
            </w:tcBorders>
            <w:hideMark/>
          </w:tcPr>
          <w:p w:rsidR="00956BE6" w:rsidRPr="003E4B12" w:rsidRDefault="00956BE6" w:rsidP="00A93C08">
            <w:r w:rsidRPr="003E4B12">
              <w:t> Projekta izpildes ietekme uz pārvaldes institucionālo struktūru.</w:t>
            </w:r>
          </w:p>
          <w:p w:rsidR="00956BE6" w:rsidRPr="003E4B12" w:rsidRDefault="00956BE6" w:rsidP="00A93C08">
            <w:r w:rsidRPr="003E4B12">
              <w:t>Jaunu institūciju izveide</w:t>
            </w:r>
          </w:p>
        </w:tc>
        <w:tc>
          <w:tcPr>
            <w:tcW w:w="4261"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827932" w:rsidP="007B7A83">
            <w:pPr>
              <w:jc w:val="both"/>
            </w:pPr>
            <w:r>
              <w:t>Projekts neparedz funkciju paplašināšanu</w:t>
            </w:r>
          </w:p>
        </w:tc>
      </w:tr>
      <w:tr w:rsidR="00956BE6" w:rsidRPr="003E4B12" w:rsidTr="003D2909">
        <w:trPr>
          <w:trHeight w:val="780"/>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4.</w:t>
            </w:r>
          </w:p>
        </w:tc>
        <w:tc>
          <w:tcPr>
            <w:tcW w:w="4399"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likvidācija</w:t>
            </w:r>
          </w:p>
        </w:tc>
        <w:tc>
          <w:tcPr>
            <w:tcW w:w="4261"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3D2909">
        <w:trPr>
          <w:trHeight w:val="703"/>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5.</w:t>
            </w:r>
          </w:p>
        </w:tc>
        <w:tc>
          <w:tcPr>
            <w:tcW w:w="4399"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Projekta izpildes ietekme uz pārvaldes institucionālo struktūru.</w:t>
            </w:r>
          </w:p>
          <w:p w:rsidR="00956BE6" w:rsidRPr="003E4B12" w:rsidRDefault="00956BE6" w:rsidP="0091617D">
            <w:pPr>
              <w:spacing w:before="100" w:beforeAutospacing="1" w:after="100" w:afterAutospacing="1"/>
            </w:pPr>
            <w:r w:rsidRPr="003E4B12">
              <w:t>Esošu institūciju reorganizācija</w:t>
            </w:r>
          </w:p>
        </w:tc>
        <w:tc>
          <w:tcPr>
            <w:tcW w:w="4261"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Projekts šo jomu neskar</w:t>
            </w:r>
          </w:p>
        </w:tc>
      </w:tr>
      <w:tr w:rsidR="00956BE6" w:rsidRPr="003E4B12" w:rsidTr="003D2909">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lastRenderedPageBreak/>
              <w:t> 6.</w:t>
            </w:r>
          </w:p>
        </w:tc>
        <w:tc>
          <w:tcPr>
            <w:tcW w:w="4399"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1617D">
            <w:pPr>
              <w:spacing w:before="100" w:beforeAutospacing="1" w:after="100" w:afterAutospacing="1"/>
            </w:pPr>
            <w:r w:rsidRPr="003E4B12">
              <w:t> Cita informācija</w:t>
            </w:r>
          </w:p>
        </w:tc>
        <w:tc>
          <w:tcPr>
            <w:tcW w:w="4261" w:type="dxa"/>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7755B7">
            <w:pPr>
              <w:jc w:val="both"/>
            </w:pPr>
            <w:r w:rsidRPr="003E4B12">
              <w:t>Nav</w:t>
            </w:r>
          </w:p>
        </w:tc>
      </w:tr>
    </w:tbl>
    <w:p w:rsidR="0090617A" w:rsidRDefault="00900E0C" w:rsidP="002F69D1">
      <w:pPr>
        <w:pStyle w:val="tvhtml"/>
        <w:rPr>
          <w:sz w:val="28"/>
          <w:szCs w:val="28"/>
        </w:rPr>
      </w:pPr>
      <w:r w:rsidRPr="00D85A21">
        <w:rPr>
          <w:rFonts w:ascii="Times New Roman" w:hAnsi="Times New Roman"/>
          <w:iCs/>
          <w:sz w:val="24"/>
          <w:szCs w:val="24"/>
        </w:rPr>
        <w:t xml:space="preserve">Anotācijas III, </w:t>
      </w:r>
      <w:r w:rsidR="002D08AD">
        <w:rPr>
          <w:rFonts w:ascii="Times New Roman" w:hAnsi="Times New Roman"/>
          <w:iCs/>
          <w:sz w:val="24"/>
          <w:szCs w:val="24"/>
        </w:rPr>
        <w:t xml:space="preserve"> </w:t>
      </w:r>
      <w:r w:rsidR="00FD4353">
        <w:rPr>
          <w:rFonts w:ascii="Times New Roman" w:hAnsi="Times New Roman"/>
          <w:iCs/>
          <w:sz w:val="24"/>
          <w:szCs w:val="24"/>
        </w:rPr>
        <w:t>VI</w:t>
      </w:r>
      <w:r w:rsidRPr="00D85A21">
        <w:rPr>
          <w:rFonts w:ascii="Times New Roman" w:hAnsi="Times New Roman"/>
          <w:iCs/>
          <w:sz w:val="24"/>
          <w:szCs w:val="24"/>
        </w:rPr>
        <w:t xml:space="preserve"> sadaļa – projekts šīs jomas neskar.</w:t>
      </w:r>
      <w:r w:rsidR="003D5511" w:rsidRPr="001C05FE">
        <w:rPr>
          <w:sz w:val="28"/>
          <w:szCs w:val="28"/>
        </w:rPr>
        <w:tab/>
      </w:r>
      <w:r w:rsidR="003D5511" w:rsidRPr="001C05FE">
        <w:rPr>
          <w:sz w:val="28"/>
          <w:szCs w:val="28"/>
        </w:rPr>
        <w:tab/>
      </w:r>
      <w:r w:rsidR="00884F2A">
        <w:rPr>
          <w:sz w:val="28"/>
          <w:szCs w:val="28"/>
        </w:rPr>
        <w:tab/>
      </w:r>
      <w:r w:rsidR="00884F2A">
        <w:rPr>
          <w:sz w:val="28"/>
          <w:szCs w:val="28"/>
        </w:rPr>
        <w:tab/>
      </w:r>
      <w:r w:rsidR="00884F2A">
        <w:rPr>
          <w:sz w:val="28"/>
          <w:szCs w:val="28"/>
        </w:rPr>
        <w:tab/>
      </w:r>
    </w:p>
    <w:p w:rsidR="0090617A" w:rsidRDefault="002F69D1" w:rsidP="001F27B8">
      <w:pPr>
        <w:pStyle w:val="PlainText"/>
        <w:jc w:val="both"/>
        <w:rPr>
          <w:rFonts w:ascii="Times New Roman" w:hAnsi="Times New Roman" w:cs="Times New Roman"/>
          <w:sz w:val="28"/>
          <w:szCs w:val="28"/>
        </w:rPr>
      </w:pPr>
      <w:r>
        <w:rPr>
          <w:rFonts w:ascii="Times New Roman" w:hAnsi="Times New Roman" w:cs="Times New Roman"/>
          <w:sz w:val="28"/>
          <w:szCs w:val="28"/>
        </w:rPr>
        <w:t xml:space="preserve">Veselības ministre                                                               </w:t>
      </w:r>
      <w:proofErr w:type="spellStart"/>
      <w:r>
        <w:rPr>
          <w:rFonts w:ascii="Times New Roman" w:hAnsi="Times New Roman" w:cs="Times New Roman"/>
          <w:sz w:val="28"/>
          <w:szCs w:val="28"/>
        </w:rPr>
        <w:t>I.Circene</w:t>
      </w:r>
      <w:proofErr w:type="spellEnd"/>
      <w:r>
        <w:rPr>
          <w:rFonts w:ascii="Times New Roman" w:hAnsi="Times New Roman" w:cs="Times New Roman"/>
          <w:sz w:val="28"/>
          <w:szCs w:val="28"/>
        </w:rPr>
        <w:t xml:space="preserve">   </w:t>
      </w:r>
    </w:p>
    <w:p w:rsidR="00D85A21" w:rsidRDefault="00D85A21" w:rsidP="001F27B8">
      <w:pPr>
        <w:pStyle w:val="PlainText"/>
        <w:jc w:val="both"/>
        <w:rPr>
          <w:rFonts w:ascii="Times New Roman" w:hAnsi="Times New Roman" w:cs="Times New Roman"/>
        </w:rPr>
      </w:pPr>
    </w:p>
    <w:p w:rsidR="007314E4" w:rsidRDefault="007314E4" w:rsidP="001F27B8">
      <w:pPr>
        <w:pStyle w:val="PlainText"/>
        <w:jc w:val="both"/>
        <w:rPr>
          <w:rFonts w:ascii="Times New Roman" w:hAnsi="Times New Roman" w:cs="Times New Roman"/>
        </w:rPr>
      </w:pPr>
    </w:p>
    <w:p w:rsidR="007314E4" w:rsidRDefault="007314E4" w:rsidP="001F27B8">
      <w:pPr>
        <w:pStyle w:val="PlainText"/>
        <w:jc w:val="both"/>
        <w:rPr>
          <w:rFonts w:ascii="Times New Roman" w:hAnsi="Times New Roman" w:cs="Times New Roman"/>
        </w:rPr>
      </w:pPr>
    </w:p>
    <w:p w:rsidR="007314E4" w:rsidRDefault="007314E4" w:rsidP="001F27B8">
      <w:pPr>
        <w:pStyle w:val="PlainText"/>
        <w:jc w:val="both"/>
        <w:rPr>
          <w:rFonts w:ascii="Times New Roman" w:hAnsi="Times New Roman" w:cs="Times New Roman"/>
        </w:rPr>
      </w:pPr>
    </w:p>
    <w:p w:rsidR="0007003F" w:rsidRDefault="00405198" w:rsidP="001F27B8">
      <w:pPr>
        <w:pStyle w:val="PlainText"/>
        <w:jc w:val="both"/>
        <w:rPr>
          <w:rFonts w:ascii="Times New Roman" w:hAnsi="Times New Roman" w:cs="Times New Roman"/>
        </w:rPr>
      </w:pPr>
      <w:r>
        <w:rPr>
          <w:rFonts w:ascii="Times New Roman" w:hAnsi="Times New Roman" w:cs="Times New Roman"/>
        </w:rPr>
        <w:t>26.11.2012 11:48</w:t>
      </w:r>
    </w:p>
    <w:p w:rsidR="00640774" w:rsidRPr="001F27B8" w:rsidRDefault="00EF3E94" w:rsidP="001F27B8">
      <w:pPr>
        <w:pStyle w:val="PlainText"/>
        <w:jc w:val="both"/>
        <w:rPr>
          <w:rFonts w:ascii="Times New Roman" w:hAnsi="Times New Roman" w:cs="Times New Roman"/>
        </w:rPr>
      </w:pPr>
      <w:r>
        <w:rPr>
          <w:rFonts w:ascii="Times New Roman" w:hAnsi="Times New Roman" w:cs="Times New Roman"/>
        </w:rPr>
        <w:t xml:space="preserve">2 </w:t>
      </w:r>
      <w:r w:rsidR="00A05FD3">
        <w:rPr>
          <w:rFonts w:ascii="Times New Roman" w:hAnsi="Times New Roman" w:cs="Times New Roman"/>
        </w:rPr>
        <w:t>5</w:t>
      </w:r>
      <w:r w:rsidR="00405198">
        <w:rPr>
          <w:rFonts w:ascii="Times New Roman" w:hAnsi="Times New Roman" w:cs="Times New Roman"/>
        </w:rPr>
        <w:t>13</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p>
    <w:p w:rsidR="00D85A21" w:rsidRDefault="00F33E5F" w:rsidP="001F27B8">
      <w:pPr>
        <w:pStyle w:val="PlainText"/>
        <w:jc w:val="both"/>
        <w:rPr>
          <w:rFonts w:ascii="Times New Roman" w:hAnsi="Times New Roman" w:cs="Times New Roman"/>
        </w:rPr>
      </w:pPr>
      <w:hyperlink r:id="rId8" w:history="1">
        <w:r w:rsidR="00D85A21" w:rsidRPr="006D6BBD">
          <w:rPr>
            <w:rStyle w:val="Hyperlink"/>
            <w:rFonts w:ascii="Times New Roman" w:hAnsi="Times New Roman" w:cs="Times New Roman"/>
          </w:rPr>
          <w:t>dace.viluma@vm.gov.lv</w:t>
        </w:r>
      </w:hyperlink>
    </w:p>
    <w:p w:rsidR="00D85A21" w:rsidRDefault="00D85A21" w:rsidP="001F27B8">
      <w:pPr>
        <w:pStyle w:val="PlainText"/>
        <w:jc w:val="both"/>
        <w:rPr>
          <w:rFonts w:ascii="Times New Roman" w:hAnsi="Times New Roman" w:cs="Times New Roman"/>
        </w:rPr>
      </w:pPr>
      <w:r>
        <w:rPr>
          <w:rFonts w:ascii="Times New Roman" w:hAnsi="Times New Roman" w:cs="Times New Roman"/>
        </w:rPr>
        <w:t>67876080</w:t>
      </w:r>
    </w:p>
    <w:sectPr w:rsidR="00D85A21" w:rsidSect="00F13826">
      <w:headerReference w:type="even" r:id="rId9"/>
      <w:headerReference w:type="default" r:id="rId10"/>
      <w:footerReference w:type="default" r:id="rId11"/>
      <w:footerReference w:type="first" r:id="rId12"/>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FB8" w:rsidRDefault="00C00FB8">
      <w:r>
        <w:separator/>
      </w:r>
    </w:p>
  </w:endnote>
  <w:endnote w:type="continuationSeparator" w:id="0">
    <w:p w:rsidR="00C00FB8" w:rsidRDefault="00C0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Swiss TL">
    <w:panose1 w:val="020B0504020202020204"/>
    <w:charset w:val="BA"/>
    <w:family w:val="swiss"/>
    <w:pitch w:val="variable"/>
    <w:sig w:usb0="A00002EF" w:usb1="00000048" w:usb2="00000000" w:usb3="00000000" w:csb0="00000197"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B8" w:rsidRPr="00CC20A0" w:rsidRDefault="00C00FB8" w:rsidP="00661DF1">
    <w:pPr>
      <w:pStyle w:val="Footer"/>
      <w:jc w:val="both"/>
      <w:rPr>
        <w:sz w:val="20"/>
      </w:rPr>
    </w:pPr>
    <w:r>
      <w:rPr>
        <w:sz w:val="20"/>
        <w:szCs w:val="20"/>
      </w:rPr>
      <w:t>VManot_</w:t>
    </w:r>
    <w:r w:rsidR="00090D48">
      <w:rPr>
        <w:sz w:val="20"/>
        <w:szCs w:val="20"/>
      </w:rPr>
      <w:t>26</w:t>
    </w:r>
    <w:r>
      <w:rPr>
        <w:sz w:val="20"/>
        <w:szCs w:val="20"/>
      </w:rPr>
      <w:t xml:space="preserve">1112_infslim </w:t>
    </w:r>
    <w:r w:rsidRPr="00AF7124">
      <w:rPr>
        <w:sz w:val="20"/>
        <w:szCs w:val="20"/>
      </w:rPr>
      <w:t>;</w:t>
    </w:r>
    <w:r w:rsidRPr="00CC1231">
      <w:rPr>
        <w:sz w:val="20"/>
      </w:rPr>
      <w:t xml:space="preserve"> </w:t>
    </w:r>
    <w:r>
      <w:rPr>
        <w:sz w:val="20"/>
      </w:rPr>
      <w:t>Ministru kabineta noteikumu projekts „Grozījumi Ministru kabineta 1999.gada 5.janvāra noteikumos Nr.7 „Infekcijas slimību reģistrācijas kārtība””</w:t>
    </w:r>
    <w:r w:rsidRPr="00CC1231">
      <w:rPr>
        <w:sz w:val="20"/>
        <w:szCs w:val="20"/>
      </w:rPr>
      <w:t xml:space="preserve"> </w:t>
    </w:r>
    <w:r w:rsidRPr="00E47996">
      <w:rPr>
        <w:sz w:val="20"/>
        <w:szCs w:val="20"/>
      </w:rPr>
      <w:t>sākotnējās ietekmes novērtējuma ziņojums (anotācija)</w:t>
    </w:r>
  </w:p>
  <w:p w:rsidR="00C00FB8" w:rsidRDefault="00C00FB8" w:rsidP="00CC1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B8" w:rsidRDefault="00C00FB8" w:rsidP="00CC1231">
    <w:pPr>
      <w:pStyle w:val="Footer"/>
    </w:pPr>
  </w:p>
  <w:p w:rsidR="00C00FB8" w:rsidRPr="00CC20A0" w:rsidRDefault="00C00FB8" w:rsidP="00F13826">
    <w:pPr>
      <w:pStyle w:val="Footer"/>
      <w:rPr>
        <w:sz w:val="20"/>
      </w:rPr>
    </w:pPr>
    <w:r>
      <w:rPr>
        <w:sz w:val="20"/>
        <w:szCs w:val="20"/>
      </w:rPr>
      <w:t>VManot_</w:t>
    </w:r>
    <w:r w:rsidR="00090D48">
      <w:rPr>
        <w:sz w:val="20"/>
        <w:szCs w:val="20"/>
      </w:rPr>
      <w:t>26</w:t>
    </w:r>
    <w:r>
      <w:rPr>
        <w:sz w:val="20"/>
        <w:szCs w:val="20"/>
      </w:rPr>
      <w:t>1112_infslim</w:t>
    </w:r>
    <w:r w:rsidRPr="00AF7124">
      <w:rPr>
        <w:sz w:val="20"/>
        <w:szCs w:val="20"/>
      </w:rPr>
      <w:t>;</w:t>
    </w:r>
    <w:r w:rsidRPr="00CC1231">
      <w:rPr>
        <w:sz w:val="20"/>
      </w:rPr>
      <w:t xml:space="preserve"> </w:t>
    </w:r>
    <w:r>
      <w:rPr>
        <w:sz w:val="20"/>
      </w:rPr>
      <w:t>Ministru kabineta noteikumu projekts „Grozījumi Ministru kabineta 1999.gada 5.janvāra noteikumos Nr.7 „Infekcijas slimību reģistrācijas kārtība””</w:t>
    </w:r>
    <w:r w:rsidRPr="00CC1231">
      <w:rPr>
        <w:sz w:val="20"/>
        <w:szCs w:val="20"/>
      </w:rPr>
      <w:t xml:space="preserve"> </w:t>
    </w:r>
    <w:r w:rsidRPr="00E47996">
      <w:rPr>
        <w:sz w:val="20"/>
        <w:szCs w:val="20"/>
      </w:rPr>
      <w:t>sākotnējās ietekmes novērtējuma ziņojums (anotācija)</w:t>
    </w:r>
  </w:p>
  <w:p w:rsidR="00C00FB8" w:rsidRDefault="00C00FB8" w:rsidP="00F13826">
    <w:pPr>
      <w:pStyle w:val="Footer"/>
    </w:pPr>
  </w:p>
  <w:p w:rsidR="00C00FB8" w:rsidRPr="0023734A" w:rsidRDefault="00C00FB8" w:rsidP="003B0A8C">
    <w:pPr>
      <w:jc w:val="both"/>
      <w:rPr>
        <w:sz w:val="20"/>
        <w:szCs w:val="20"/>
      </w:rPr>
    </w:pPr>
    <w:r w:rsidRPr="00AF7124">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FB8" w:rsidRDefault="00C00FB8">
      <w:r>
        <w:separator/>
      </w:r>
    </w:p>
  </w:footnote>
  <w:footnote w:type="continuationSeparator" w:id="0">
    <w:p w:rsidR="00C00FB8" w:rsidRDefault="00C00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B8" w:rsidRDefault="00F33E5F" w:rsidP="002935F0">
    <w:pPr>
      <w:pStyle w:val="Header"/>
      <w:framePr w:wrap="around" w:vAnchor="text" w:hAnchor="margin" w:xAlign="center" w:y="1"/>
      <w:rPr>
        <w:rStyle w:val="PageNumber"/>
      </w:rPr>
    </w:pPr>
    <w:r>
      <w:rPr>
        <w:rStyle w:val="PageNumber"/>
      </w:rPr>
      <w:fldChar w:fldCharType="begin"/>
    </w:r>
    <w:r w:rsidR="00C00FB8">
      <w:rPr>
        <w:rStyle w:val="PageNumber"/>
      </w:rPr>
      <w:instrText xml:space="preserve">PAGE  </w:instrText>
    </w:r>
    <w:r>
      <w:rPr>
        <w:rStyle w:val="PageNumber"/>
      </w:rPr>
      <w:fldChar w:fldCharType="end"/>
    </w:r>
  </w:p>
  <w:p w:rsidR="00C00FB8" w:rsidRDefault="00C00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B8" w:rsidRDefault="00F33E5F" w:rsidP="002935F0">
    <w:pPr>
      <w:pStyle w:val="Header"/>
      <w:framePr w:wrap="around" w:vAnchor="text" w:hAnchor="margin" w:xAlign="center" w:y="1"/>
      <w:rPr>
        <w:rStyle w:val="PageNumber"/>
      </w:rPr>
    </w:pPr>
    <w:r>
      <w:rPr>
        <w:rStyle w:val="PageNumber"/>
      </w:rPr>
      <w:fldChar w:fldCharType="begin"/>
    </w:r>
    <w:r w:rsidR="00C00FB8">
      <w:rPr>
        <w:rStyle w:val="PageNumber"/>
      </w:rPr>
      <w:instrText xml:space="preserve">PAGE  </w:instrText>
    </w:r>
    <w:r>
      <w:rPr>
        <w:rStyle w:val="PageNumber"/>
      </w:rPr>
      <w:fldChar w:fldCharType="separate"/>
    </w:r>
    <w:r w:rsidR="00405198">
      <w:rPr>
        <w:rStyle w:val="PageNumber"/>
        <w:noProof/>
      </w:rPr>
      <w:t>9</w:t>
    </w:r>
    <w:r>
      <w:rPr>
        <w:rStyle w:val="PageNumber"/>
      </w:rPr>
      <w:fldChar w:fldCharType="end"/>
    </w:r>
  </w:p>
  <w:p w:rsidR="00C00FB8" w:rsidRDefault="00C00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6A2"/>
    <w:multiLevelType w:val="hybridMultilevel"/>
    <w:tmpl w:val="6CE06C60"/>
    <w:lvl w:ilvl="0" w:tplc="C7C2DA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391FE4"/>
    <w:multiLevelType w:val="hybridMultilevel"/>
    <w:tmpl w:val="97A89260"/>
    <w:lvl w:ilvl="0" w:tplc="F6E69F8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996E15"/>
    <w:multiLevelType w:val="hybridMultilevel"/>
    <w:tmpl w:val="E7264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F2703A"/>
    <w:multiLevelType w:val="hybridMultilevel"/>
    <w:tmpl w:val="BAA4B530"/>
    <w:lvl w:ilvl="0" w:tplc="6AD031C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856FD7"/>
    <w:multiLevelType w:val="hybridMultilevel"/>
    <w:tmpl w:val="62968E78"/>
    <w:lvl w:ilvl="0" w:tplc="BA6424F6">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6">
    <w:nsid w:val="7CAC1416"/>
    <w:multiLevelType w:val="hybridMultilevel"/>
    <w:tmpl w:val="F1E69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17D"/>
    <w:rsid w:val="00001803"/>
    <w:rsid w:val="000029E3"/>
    <w:rsid w:val="00003293"/>
    <w:rsid w:val="00004359"/>
    <w:rsid w:val="00005DFA"/>
    <w:rsid w:val="00010C72"/>
    <w:rsid w:val="00010DDA"/>
    <w:rsid w:val="00015BE4"/>
    <w:rsid w:val="00016FEA"/>
    <w:rsid w:val="000205A7"/>
    <w:rsid w:val="00021276"/>
    <w:rsid w:val="00021D18"/>
    <w:rsid w:val="00023887"/>
    <w:rsid w:val="000259C0"/>
    <w:rsid w:val="0003154A"/>
    <w:rsid w:val="00032A68"/>
    <w:rsid w:val="00033E5E"/>
    <w:rsid w:val="0003431E"/>
    <w:rsid w:val="00035450"/>
    <w:rsid w:val="0003583F"/>
    <w:rsid w:val="000460B9"/>
    <w:rsid w:val="000473CC"/>
    <w:rsid w:val="00052148"/>
    <w:rsid w:val="00052C8D"/>
    <w:rsid w:val="00052C94"/>
    <w:rsid w:val="00056846"/>
    <w:rsid w:val="00057A45"/>
    <w:rsid w:val="0007003F"/>
    <w:rsid w:val="00070CC2"/>
    <w:rsid w:val="00071B24"/>
    <w:rsid w:val="000745B5"/>
    <w:rsid w:val="00076EF5"/>
    <w:rsid w:val="0007735D"/>
    <w:rsid w:val="00081A8A"/>
    <w:rsid w:val="00090D48"/>
    <w:rsid w:val="0009381D"/>
    <w:rsid w:val="000947C0"/>
    <w:rsid w:val="00094944"/>
    <w:rsid w:val="00097499"/>
    <w:rsid w:val="000A00D8"/>
    <w:rsid w:val="000A68D7"/>
    <w:rsid w:val="000B04D8"/>
    <w:rsid w:val="000B1841"/>
    <w:rsid w:val="000B31B5"/>
    <w:rsid w:val="000B4364"/>
    <w:rsid w:val="000B664E"/>
    <w:rsid w:val="000C0D48"/>
    <w:rsid w:val="000C1193"/>
    <w:rsid w:val="000C4A2A"/>
    <w:rsid w:val="000C53D9"/>
    <w:rsid w:val="000C656E"/>
    <w:rsid w:val="000C682A"/>
    <w:rsid w:val="000C7C62"/>
    <w:rsid w:val="000D4FF4"/>
    <w:rsid w:val="000D5011"/>
    <w:rsid w:val="000D75C1"/>
    <w:rsid w:val="000E52AF"/>
    <w:rsid w:val="000E581B"/>
    <w:rsid w:val="000E5874"/>
    <w:rsid w:val="000E5BFF"/>
    <w:rsid w:val="000E705D"/>
    <w:rsid w:val="000F1E99"/>
    <w:rsid w:val="000F293E"/>
    <w:rsid w:val="000F4CA0"/>
    <w:rsid w:val="0010194C"/>
    <w:rsid w:val="0010462C"/>
    <w:rsid w:val="00105F79"/>
    <w:rsid w:val="00106273"/>
    <w:rsid w:val="00107CE4"/>
    <w:rsid w:val="00110EAA"/>
    <w:rsid w:val="001116A8"/>
    <w:rsid w:val="00116265"/>
    <w:rsid w:val="001256C9"/>
    <w:rsid w:val="00126108"/>
    <w:rsid w:val="00133483"/>
    <w:rsid w:val="00135B78"/>
    <w:rsid w:val="00142843"/>
    <w:rsid w:val="0014702A"/>
    <w:rsid w:val="001475CE"/>
    <w:rsid w:val="00147D00"/>
    <w:rsid w:val="00151D4E"/>
    <w:rsid w:val="001536C6"/>
    <w:rsid w:val="001551C6"/>
    <w:rsid w:val="00165D29"/>
    <w:rsid w:val="0016645F"/>
    <w:rsid w:val="001676C1"/>
    <w:rsid w:val="00167B6E"/>
    <w:rsid w:val="00176922"/>
    <w:rsid w:val="0018044A"/>
    <w:rsid w:val="001808A7"/>
    <w:rsid w:val="00185443"/>
    <w:rsid w:val="0019600B"/>
    <w:rsid w:val="001966C0"/>
    <w:rsid w:val="00197BFC"/>
    <w:rsid w:val="001A0E3D"/>
    <w:rsid w:val="001A1493"/>
    <w:rsid w:val="001A355D"/>
    <w:rsid w:val="001A495C"/>
    <w:rsid w:val="001A783A"/>
    <w:rsid w:val="001B1652"/>
    <w:rsid w:val="001B25AF"/>
    <w:rsid w:val="001B2DBB"/>
    <w:rsid w:val="001B367A"/>
    <w:rsid w:val="001C05FE"/>
    <w:rsid w:val="001C14FA"/>
    <w:rsid w:val="001C311A"/>
    <w:rsid w:val="001C3946"/>
    <w:rsid w:val="001C5CEA"/>
    <w:rsid w:val="001D0D61"/>
    <w:rsid w:val="001D11D4"/>
    <w:rsid w:val="001D2C60"/>
    <w:rsid w:val="001D39DE"/>
    <w:rsid w:val="001D3BEE"/>
    <w:rsid w:val="001D449F"/>
    <w:rsid w:val="001D6900"/>
    <w:rsid w:val="001E7CE4"/>
    <w:rsid w:val="001F201E"/>
    <w:rsid w:val="001F27B8"/>
    <w:rsid w:val="001F2927"/>
    <w:rsid w:val="001F7E4A"/>
    <w:rsid w:val="00201CB9"/>
    <w:rsid w:val="00201E76"/>
    <w:rsid w:val="00205EED"/>
    <w:rsid w:val="00210EDB"/>
    <w:rsid w:val="002120B6"/>
    <w:rsid w:val="00214299"/>
    <w:rsid w:val="00214476"/>
    <w:rsid w:val="00214C14"/>
    <w:rsid w:val="00215749"/>
    <w:rsid w:val="00216EA4"/>
    <w:rsid w:val="00217578"/>
    <w:rsid w:val="0022074C"/>
    <w:rsid w:val="00221ADE"/>
    <w:rsid w:val="00222714"/>
    <w:rsid w:val="00223EDB"/>
    <w:rsid w:val="002248A3"/>
    <w:rsid w:val="00226153"/>
    <w:rsid w:val="00226548"/>
    <w:rsid w:val="002265D8"/>
    <w:rsid w:val="002266C1"/>
    <w:rsid w:val="002267D6"/>
    <w:rsid w:val="00226CA4"/>
    <w:rsid w:val="00230B5C"/>
    <w:rsid w:val="00231D49"/>
    <w:rsid w:val="00233327"/>
    <w:rsid w:val="0023734A"/>
    <w:rsid w:val="00242525"/>
    <w:rsid w:val="002434D6"/>
    <w:rsid w:val="002450C1"/>
    <w:rsid w:val="00245A6F"/>
    <w:rsid w:val="00245CF8"/>
    <w:rsid w:val="00245D71"/>
    <w:rsid w:val="00246C24"/>
    <w:rsid w:val="00250A2D"/>
    <w:rsid w:val="0025234D"/>
    <w:rsid w:val="00253B7F"/>
    <w:rsid w:val="002556E9"/>
    <w:rsid w:val="002560CE"/>
    <w:rsid w:val="00257AAF"/>
    <w:rsid w:val="002631A5"/>
    <w:rsid w:val="00263E65"/>
    <w:rsid w:val="00264888"/>
    <w:rsid w:val="0026536D"/>
    <w:rsid w:val="00267EB5"/>
    <w:rsid w:val="0027058E"/>
    <w:rsid w:val="00272776"/>
    <w:rsid w:val="00272C1F"/>
    <w:rsid w:val="00280334"/>
    <w:rsid w:val="00281DD1"/>
    <w:rsid w:val="00283F02"/>
    <w:rsid w:val="00284A74"/>
    <w:rsid w:val="0028541D"/>
    <w:rsid w:val="00287B3F"/>
    <w:rsid w:val="002935F0"/>
    <w:rsid w:val="00295590"/>
    <w:rsid w:val="002967F8"/>
    <w:rsid w:val="00296B9D"/>
    <w:rsid w:val="00297635"/>
    <w:rsid w:val="00297F16"/>
    <w:rsid w:val="002A10A8"/>
    <w:rsid w:val="002A1444"/>
    <w:rsid w:val="002A179C"/>
    <w:rsid w:val="002A1822"/>
    <w:rsid w:val="002A3CA8"/>
    <w:rsid w:val="002A6687"/>
    <w:rsid w:val="002A69EA"/>
    <w:rsid w:val="002B1874"/>
    <w:rsid w:val="002B2AD6"/>
    <w:rsid w:val="002B42A3"/>
    <w:rsid w:val="002B5960"/>
    <w:rsid w:val="002B6476"/>
    <w:rsid w:val="002C0DBF"/>
    <w:rsid w:val="002C0FE8"/>
    <w:rsid w:val="002C2C45"/>
    <w:rsid w:val="002C400D"/>
    <w:rsid w:val="002C458D"/>
    <w:rsid w:val="002C6C0C"/>
    <w:rsid w:val="002D08AD"/>
    <w:rsid w:val="002D2047"/>
    <w:rsid w:val="002D24E7"/>
    <w:rsid w:val="002D4E97"/>
    <w:rsid w:val="002D5017"/>
    <w:rsid w:val="002D7528"/>
    <w:rsid w:val="002D7D70"/>
    <w:rsid w:val="002E1C26"/>
    <w:rsid w:val="002E2EF1"/>
    <w:rsid w:val="002E39BB"/>
    <w:rsid w:val="002E3BFA"/>
    <w:rsid w:val="002E3E6D"/>
    <w:rsid w:val="002E7758"/>
    <w:rsid w:val="002E7C61"/>
    <w:rsid w:val="002F1748"/>
    <w:rsid w:val="002F17DF"/>
    <w:rsid w:val="002F2EDB"/>
    <w:rsid w:val="002F4172"/>
    <w:rsid w:val="002F50C2"/>
    <w:rsid w:val="002F69D1"/>
    <w:rsid w:val="002F705C"/>
    <w:rsid w:val="00301C9B"/>
    <w:rsid w:val="00304C3D"/>
    <w:rsid w:val="00310936"/>
    <w:rsid w:val="003109AF"/>
    <w:rsid w:val="0031200C"/>
    <w:rsid w:val="003147B4"/>
    <w:rsid w:val="0031578B"/>
    <w:rsid w:val="0031753A"/>
    <w:rsid w:val="00323832"/>
    <w:rsid w:val="00323BBA"/>
    <w:rsid w:val="0033121E"/>
    <w:rsid w:val="00332E3F"/>
    <w:rsid w:val="00333143"/>
    <w:rsid w:val="003343BC"/>
    <w:rsid w:val="00334D11"/>
    <w:rsid w:val="0033572B"/>
    <w:rsid w:val="003366B8"/>
    <w:rsid w:val="0033673B"/>
    <w:rsid w:val="003368B0"/>
    <w:rsid w:val="00343ECB"/>
    <w:rsid w:val="00345053"/>
    <w:rsid w:val="003472FC"/>
    <w:rsid w:val="00350EFD"/>
    <w:rsid w:val="0035176B"/>
    <w:rsid w:val="00352238"/>
    <w:rsid w:val="00352692"/>
    <w:rsid w:val="00352CB6"/>
    <w:rsid w:val="00354BDB"/>
    <w:rsid w:val="00355359"/>
    <w:rsid w:val="0035690D"/>
    <w:rsid w:val="00362B79"/>
    <w:rsid w:val="003630A9"/>
    <w:rsid w:val="003648B3"/>
    <w:rsid w:val="00365349"/>
    <w:rsid w:val="00370F56"/>
    <w:rsid w:val="00371EAD"/>
    <w:rsid w:val="00372022"/>
    <w:rsid w:val="0037305E"/>
    <w:rsid w:val="00373824"/>
    <w:rsid w:val="00373ADD"/>
    <w:rsid w:val="003747BF"/>
    <w:rsid w:val="00380675"/>
    <w:rsid w:val="003845F6"/>
    <w:rsid w:val="00386C81"/>
    <w:rsid w:val="00387954"/>
    <w:rsid w:val="0039061C"/>
    <w:rsid w:val="003908C0"/>
    <w:rsid w:val="00391A41"/>
    <w:rsid w:val="00391E1D"/>
    <w:rsid w:val="003929DA"/>
    <w:rsid w:val="00392C5D"/>
    <w:rsid w:val="00392F7B"/>
    <w:rsid w:val="0039373A"/>
    <w:rsid w:val="00394804"/>
    <w:rsid w:val="00395C59"/>
    <w:rsid w:val="003969C4"/>
    <w:rsid w:val="00397AAD"/>
    <w:rsid w:val="003A0B83"/>
    <w:rsid w:val="003A25AD"/>
    <w:rsid w:val="003A326D"/>
    <w:rsid w:val="003A3AD4"/>
    <w:rsid w:val="003A3B68"/>
    <w:rsid w:val="003A3C9F"/>
    <w:rsid w:val="003A64E5"/>
    <w:rsid w:val="003B0034"/>
    <w:rsid w:val="003B0A8C"/>
    <w:rsid w:val="003C002A"/>
    <w:rsid w:val="003C397B"/>
    <w:rsid w:val="003C58B7"/>
    <w:rsid w:val="003D076C"/>
    <w:rsid w:val="003D0D07"/>
    <w:rsid w:val="003D2380"/>
    <w:rsid w:val="003D2909"/>
    <w:rsid w:val="003D3D72"/>
    <w:rsid w:val="003D43FD"/>
    <w:rsid w:val="003D5511"/>
    <w:rsid w:val="003D5656"/>
    <w:rsid w:val="003D5F6B"/>
    <w:rsid w:val="003D60CA"/>
    <w:rsid w:val="003E0241"/>
    <w:rsid w:val="003E2728"/>
    <w:rsid w:val="003E3DB9"/>
    <w:rsid w:val="003E4B12"/>
    <w:rsid w:val="003E6161"/>
    <w:rsid w:val="003E657B"/>
    <w:rsid w:val="003E79DE"/>
    <w:rsid w:val="003E7A7E"/>
    <w:rsid w:val="003F0D1B"/>
    <w:rsid w:val="003F12BA"/>
    <w:rsid w:val="003F3652"/>
    <w:rsid w:val="003F4BA1"/>
    <w:rsid w:val="003F52EF"/>
    <w:rsid w:val="003F6149"/>
    <w:rsid w:val="00400A9B"/>
    <w:rsid w:val="00405198"/>
    <w:rsid w:val="00405602"/>
    <w:rsid w:val="0040677F"/>
    <w:rsid w:val="004070DE"/>
    <w:rsid w:val="00411ECA"/>
    <w:rsid w:val="00416246"/>
    <w:rsid w:val="00417E5D"/>
    <w:rsid w:val="00417E99"/>
    <w:rsid w:val="00422BD5"/>
    <w:rsid w:val="004238D5"/>
    <w:rsid w:val="00423B16"/>
    <w:rsid w:val="00423CA2"/>
    <w:rsid w:val="00426858"/>
    <w:rsid w:val="00432794"/>
    <w:rsid w:val="00432B91"/>
    <w:rsid w:val="00432C60"/>
    <w:rsid w:val="00434736"/>
    <w:rsid w:val="00434801"/>
    <w:rsid w:val="0044008E"/>
    <w:rsid w:val="004406EB"/>
    <w:rsid w:val="0044431D"/>
    <w:rsid w:val="0044472C"/>
    <w:rsid w:val="0044497B"/>
    <w:rsid w:val="00446927"/>
    <w:rsid w:val="00451436"/>
    <w:rsid w:val="004529B0"/>
    <w:rsid w:val="00452DC9"/>
    <w:rsid w:val="00453EE3"/>
    <w:rsid w:val="00454124"/>
    <w:rsid w:val="0045427B"/>
    <w:rsid w:val="00454F2F"/>
    <w:rsid w:val="00462184"/>
    <w:rsid w:val="00462DBD"/>
    <w:rsid w:val="004664EF"/>
    <w:rsid w:val="00466AC2"/>
    <w:rsid w:val="00467807"/>
    <w:rsid w:val="00467F17"/>
    <w:rsid w:val="00472FC2"/>
    <w:rsid w:val="00473183"/>
    <w:rsid w:val="00473E25"/>
    <w:rsid w:val="0047649A"/>
    <w:rsid w:val="00476E56"/>
    <w:rsid w:val="0048090D"/>
    <w:rsid w:val="00482B5D"/>
    <w:rsid w:val="00482F92"/>
    <w:rsid w:val="004848B5"/>
    <w:rsid w:val="00485E59"/>
    <w:rsid w:val="00490199"/>
    <w:rsid w:val="00490633"/>
    <w:rsid w:val="00492FF8"/>
    <w:rsid w:val="00493F81"/>
    <w:rsid w:val="0049541F"/>
    <w:rsid w:val="00496ECA"/>
    <w:rsid w:val="004A00FE"/>
    <w:rsid w:val="004A0B1A"/>
    <w:rsid w:val="004A13C5"/>
    <w:rsid w:val="004A1436"/>
    <w:rsid w:val="004A290E"/>
    <w:rsid w:val="004A2DE6"/>
    <w:rsid w:val="004A3DB9"/>
    <w:rsid w:val="004A3E3F"/>
    <w:rsid w:val="004B0BBE"/>
    <w:rsid w:val="004B28D3"/>
    <w:rsid w:val="004B4CAB"/>
    <w:rsid w:val="004B515D"/>
    <w:rsid w:val="004B77E9"/>
    <w:rsid w:val="004B7A43"/>
    <w:rsid w:val="004C25C5"/>
    <w:rsid w:val="004D0540"/>
    <w:rsid w:val="004D1489"/>
    <w:rsid w:val="004D774F"/>
    <w:rsid w:val="004E6C98"/>
    <w:rsid w:val="004F453E"/>
    <w:rsid w:val="004F4C8C"/>
    <w:rsid w:val="004F4DDD"/>
    <w:rsid w:val="004F509D"/>
    <w:rsid w:val="004F5A60"/>
    <w:rsid w:val="004F6A4E"/>
    <w:rsid w:val="005016BA"/>
    <w:rsid w:val="0050369C"/>
    <w:rsid w:val="005102C9"/>
    <w:rsid w:val="00511A64"/>
    <w:rsid w:val="005138EE"/>
    <w:rsid w:val="00513E37"/>
    <w:rsid w:val="0051496D"/>
    <w:rsid w:val="00514D1B"/>
    <w:rsid w:val="00516F40"/>
    <w:rsid w:val="00517A7D"/>
    <w:rsid w:val="00521B2E"/>
    <w:rsid w:val="005236E8"/>
    <w:rsid w:val="00523C52"/>
    <w:rsid w:val="00523EAC"/>
    <w:rsid w:val="005242E8"/>
    <w:rsid w:val="00525143"/>
    <w:rsid w:val="005256A8"/>
    <w:rsid w:val="005275B5"/>
    <w:rsid w:val="00530BAF"/>
    <w:rsid w:val="0053118C"/>
    <w:rsid w:val="00533277"/>
    <w:rsid w:val="005333D0"/>
    <w:rsid w:val="00533889"/>
    <w:rsid w:val="00534946"/>
    <w:rsid w:val="0053496D"/>
    <w:rsid w:val="005349D2"/>
    <w:rsid w:val="00535FF1"/>
    <w:rsid w:val="005412BD"/>
    <w:rsid w:val="00543740"/>
    <w:rsid w:val="005439A1"/>
    <w:rsid w:val="00544BCB"/>
    <w:rsid w:val="005454DA"/>
    <w:rsid w:val="00551BD7"/>
    <w:rsid w:val="00561C3C"/>
    <w:rsid w:val="005621A7"/>
    <w:rsid w:val="005658F4"/>
    <w:rsid w:val="0057222B"/>
    <w:rsid w:val="005741B0"/>
    <w:rsid w:val="00574F12"/>
    <w:rsid w:val="00575AF7"/>
    <w:rsid w:val="00582FA1"/>
    <w:rsid w:val="0058350C"/>
    <w:rsid w:val="00586F93"/>
    <w:rsid w:val="0058755B"/>
    <w:rsid w:val="005918CC"/>
    <w:rsid w:val="005928F5"/>
    <w:rsid w:val="005934F7"/>
    <w:rsid w:val="00594E33"/>
    <w:rsid w:val="005A034C"/>
    <w:rsid w:val="005A0FA3"/>
    <w:rsid w:val="005A4C2A"/>
    <w:rsid w:val="005A6A36"/>
    <w:rsid w:val="005A711E"/>
    <w:rsid w:val="005B098C"/>
    <w:rsid w:val="005B16C5"/>
    <w:rsid w:val="005B19A4"/>
    <w:rsid w:val="005B1D73"/>
    <w:rsid w:val="005B443E"/>
    <w:rsid w:val="005B64DC"/>
    <w:rsid w:val="005B6D49"/>
    <w:rsid w:val="005C0543"/>
    <w:rsid w:val="005C0840"/>
    <w:rsid w:val="005C0FC2"/>
    <w:rsid w:val="005C1B7D"/>
    <w:rsid w:val="005C3785"/>
    <w:rsid w:val="005C63F4"/>
    <w:rsid w:val="005D5180"/>
    <w:rsid w:val="005D775B"/>
    <w:rsid w:val="005E1AD1"/>
    <w:rsid w:val="005E3A57"/>
    <w:rsid w:val="005E60C6"/>
    <w:rsid w:val="005E6990"/>
    <w:rsid w:val="005F1171"/>
    <w:rsid w:val="005F5E9E"/>
    <w:rsid w:val="005F6124"/>
    <w:rsid w:val="005F673D"/>
    <w:rsid w:val="005F6C4D"/>
    <w:rsid w:val="005F6DDB"/>
    <w:rsid w:val="005F7F91"/>
    <w:rsid w:val="006002B0"/>
    <w:rsid w:val="006004ED"/>
    <w:rsid w:val="006007F8"/>
    <w:rsid w:val="00601C82"/>
    <w:rsid w:val="00601DCD"/>
    <w:rsid w:val="00604328"/>
    <w:rsid w:val="006044B5"/>
    <w:rsid w:val="00606890"/>
    <w:rsid w:val="00610277"/>
    <w:rsid w:val="006103B7"/>
    <w:rsid w:val="00610601"/>
    <w:rsid w:val="00610A65"/>
    <w:rsid w:val="0061287A"/>
    <w:rsid w:val="0061347B"/>
    <w:rsid w:val="00613768"/>
    <w:rsid w:val="006150A7"/>
    <w:rsid w:val="006154F2"/>
    <w:rsid w:val="00617064"/>
    <w:rsid w:val="00617251"/>
    <w:rsid w:val="00617968"/>
    <w:rsid w:val="00617CFC"/>
    <w:rsid w:val="00623A78"/>
    <w:rsid w:val="00623FFD"/>
    <w:rsid w:val="006248F0"/>
    <w:rsid w:val="00624B30"/>
    <w:rsid w:val="00626B4C"/>
    <w:rsid w:val="00626F77"/>
    <w:rsid w:val="00627523"/>
    <w:rsid w:val="00627ADD"/>
    <w:rsid w:val="0063131B"/>
    <w:rsid w:val="00631678"/>
    <w:rsid w:val="00632550"/>
    <w:rsid w:val="006330A8"/>
    <w:rsid w:val="006346B4"/>
    <w:rsid w:val="00635109"/>
    <w:rsid w:val="00635561"/>
    <w:rsid w:val="00636E5F"/>
    <w:rsid w:val="00640774"/>
    <w:rsid w:val="00640C17"/>
    <w:rsid w:val="006421F0"/>
    <w:rsid w:val="00643275"/>
    <w:rsid w:val="006436CF"/>
    <w:rsid w:val="006457FE"/>
    <w:rsid w:val="00645B83"/>
    <w:rsid w:val="00645D7D"/>
    <w:rsid w:val="00646222"/>
    <w:rsid w:val="006501C0"/>
    <w:rsid w:val="006518DF"/>
    <w:rsid w:val="006547EB"/>
    <w:rsid w:val="00657209"/>
    <w:rsid w:val="00657BD6"/>
    <w:rsid w:val="0066046A"/>
    <w:rsid w:val="00661DF1"/>
    <w:rsid w:val="006644D5"/>
    <w:rsid w:val="00665BAB"/>
    <w:rsid w:val="00666F0B"/>
    <w:rsid w:val="006715EF"/>
    <w:rsid w:val="00671D41"/>
    <w:rsid w:val="006725B5"/>
    <w:rsid w:val="00673825"/>
    <w:rsid w:val="0067509B"/>
    <w:rsid w:val="006751F4"/>
    <w:rsid w:val="006755D8"/>
    <w:rsid w:val="00676221"/>
    <w:rsid w:val="006765CD"/>
    <w:rsid w:val="00677CE4"/>
    <w:rsid w:val="00680090"/>
    <w:rsid w:val="00681626"/>
    <w:rsid w:val="006832C9"/>
    <w:rsid w:val="006836F3"/>
    <w:rsid w:val="00685D78"/>
    <w:rsid w:val="00685F7B"/>
    <w:rsid w:val="0068748D"/>
    <w:rsid w:val="00687DB4"/>
    <w:rsid w:val="00691D02"/>
    <w:rsid w:val="00692083"/>
    <w:rsid w:val="00693C20"/>
    <w:rsid w:val="00694455"/>
    <w:rsid w:val="0069556E"/>
    <w:rsid w:val="00696BEC"/>
    <w:rsid w:val="0069791F"/>
    <w:rsid w:val="006A1298"/>
    <w:rsid w:val="006A20B8"/>
    <w:rsid w:val="006A300E"/>
    <w:rsid w:val="006A36CC"/>
    <w:rsid w:val="006A4EAD"/>
    <w:rsid w:val="006A7143"/>
    <w:rsid w:val="006B13C1"/>
    <w:rsid w:val="006B2C6D"/>
    <w:rsid w:val="006B434F"/>
    <w:rsid w:val="006B4684"/>
    <w:rsid w:val="006B475A"/>
    <w:rsid w:val="006B51D7"/>
    <w:rsid w:val="006B68CC"/>
    <w:rsid w:val="006B6CAD"/>
    <w:rsid w:val="006B7219"/>
    <w:rsid w:val="006C014C"/>
    <w:rsid w:val="006C0F84"/>
    <w:rsid w:val="006C5847"/>
    <w:rsid w:val="006C5B64"/>
    <w:rsid w:val="006C674E"/>
    <w:rsid w:val="006C73B3"/>
    <w:rsid w:val="006D13E6"/>
    <w:rsid w:val="006D1F52"/>
    <w:rsid w:val="006D2673"/>
    <w:rsid w:val="006D347D"/>
    <w:rsid w:val="006D3E67"/>
    <w:rsid w:val="006D53CE"/>
    <w:rsid w:val="006D7D24"/>
    <w:rsid w:val="006D7D68"/>
    <w:rsid w:val="006E16F1"/>
    <w:rsid w:val="006E2526"/>
    <w:rsid w:val="006E33CD"/>
    <w:rsid w:val="006E3F4B"/>
    <w:rsid w:val="006F266A"/>
    <w:rsid w:val="006F6868"/>
    <w:rsid w:val="00705FFB"/>
    <w:rsid w:val="00707C80"/>
    <w:rsid w:val="00707F3A"/>
    <w:rsid w:val="00710975"/>
    <w:rsid w:val="00710BDE"/>
    <w:rsid w:val="00713776"/>
    <w:rsid w:val="00713B3D"/>
    <w:rsid w:val="00715E63"/>
    <w:rsid w:val="00716CD8"/>
    <w:rsid w:val="00721E49"/>
    <w:rsid w:val="0072604C"/>
    <w:rsid w:val="00727BA4"/>
    <w:rsid w:val="007303D0"/>
    <w:rsid w:val="00730F63"/>
    <w:rsid w:val="007314E4"/>
    <w:rsid w:val="00732F65"/>
    <w:rsid w:val="0073466D"/>
    <w:rsid w:val="007359AA"/>
    <w:rsid w:val="00735D7B"/>
    <w:rsid w:val="007376A3"/>
    <w:rsid w:val="007419F8"/>
    <w:rsid w:val="00741FC8"/>
    <w:rsid w:val="00742C11"/>
    <w:rsid w:val="00743DD6"/>
    <w:rsid w:val="00744AC4"/>
    <w:rsid w:val="00744D23"/>
    <w:rsid w:val="0074610C"/>
    <w:rsid w:val="00746D3D"/>
    <w:rsid w:val="0075644D"/>
    <w:rsid w:val="0075695E"/>
    <w:rsid w:val="007576E7"/>
    <w:rsid w:val="007601AB"/>
    <w:rsid w:val="00760875"/>
    <w:rsid w:val="007625A5"/>
    <w:rsid w:val="00762FC9"/>
    <w:rsid w:val="007658D5"/>
    <w:rsid w:val="007666D7"/>
    <w:rsid w:val="00766A87"/>
    <w:rsid w:val="00773DAF"/>
    <w:rsid w:val="00773E29"/>
    <w:rsid w:val="00774479"/>
    <w:rsid w:val="007755B7"/>
    <w:rsid w:val="007778AC"/>
    <w:rsid w:val="00780C45"/>
    <w:rsid w:val="00784919"/>
    <w:rsid w:val="00785007"/>
    <w:rsid w:val="0078779A"/>
    <w:rsid w:val="007929F2"/>
    <w:rsid w:val="007941BE"/>
    <w:rsid w:val="007944FB"/>
    <w:rsid w:val="0079601D"/>
    <w:rsid w:val="007A0328"/>
    <w:rsid w:val="007A1164"/>
    <w:rsid w:val="007A2DEC"/>
    <w:rsid w:val="007A35D5"/>
    <w:rsid w:val="007A4768"/>
    <w:rsid w:val="007A5BDA"/>
    <w:rsid w:val="007B1778"/>
    <w:rsid w:val="007B7A83"/>
    <w:rsid w:val="007C0AAE"/>
    <w:rsid w:val="007C0DD8"/>
    <w:rsid w:val="007C26C3"/>
    <w:rsid w:val="007C469C"/>
    <w:rsid w:val="007C5E07"/>
    <w:rsid w:val="007D3012"/>
    <w:rsid w:val="007E0B03"/>
    <w:rsid w:val="007E1D8A"/>
    <w:rsid w:val="007E4147"/>
    <w:rsid w:val="007E5394"/>
    <w:rsid w:val="007E69C2"/>
    <w:rsid w:val="007F0BED"/>
    <w:rsid w:val="007F1EFB"/>
    <w:rsid w:val="007F2ED7"/>
    <w:rsid w:val="007F7480"/>
    <w:rsid w:val="0080155D"/>
    <w:rsid w:val="00802288"/>
    <w:rsid w:val="0080287C"/>
    <w:rsid w:val="00804A3E"/>
    <w:rsid w:val="00805143"/>
    <w:rsid w:val="0080618A"/>
    <w:rsid w:val="008075E1"/>
    <w:rsid w:val="00807808"/>
    <w:rsid w:val="008108D6"/>
    <w:rsid w:val="00813669"/>
    <w:rsid w:val="0081559C"/>
    <w:rsid w:val="0081667F"/>
    <w:rsid w:val="00821142"/>
    <w:rsid w:val="008229F3"/>
    <w:rsid w:val="00824591"/>
    <w:rsid w:val="00824744"/>
    <w:rsid w:val="0082500A"/>
    <w:rsid w:val="00827932"/>
    <w:rsid w:val="00827F15"/>
    <w:rsid w:val="00830160"/>
    <w:rsid w:val="008313AB"/>
    <w:rsid w:val="00831FDA"/>
    <w:rsid w:val="0083355A"/>
    <w:rsid w:val="00836C42"/>
    <w:rsid w:val="00840C4E"/>
    <w:rsid w:val="00841A26"/>
    <w:rsid w:val="00842256"/>
    <w:rsid w:val="00842362"/>
    <w:rsid w:val="00843BCD"/>
    <w:rsid w:val="008460EF"/>
    <w:rsid w:val="00852762"/>
    <w:rsid w:val="00852E04"/>
    <w:rsid w:val="00853F9F"/>
    <w:rsid w:val="00856CB1"/>
    <w:rsid w:val="00857092"/>
    <w:rsid w:val="00860A9A"/>
    <w:rsid w:val="00865945"/>
    <w:rsid w:val="00870B0A"/>
    <w:rsid w:val="00871B3A"/>
    <w:rsid w:val="0087445B"/>
    <w:rsid w:val="0087467A"/>
    <w:rsid w:val="00875EB5"/>
    <w:rsid w:val="008814A4"/>
    <w:rsid w:val="00881861"/>
    <w:rsid w:val="00881BEE"/>
    <w:rsid w:val="0088270D"/>
    <w:rsid w:val="00882F60"/>
    <w:rsid w:val="008834D1"/>
    <w:rsid w:val="00884F2A"/>
    <w:rsid w:val="008874ED"/>
    <w:rsid w:val="00890805"/>
    <w:rsid w:val="0089342E"/>
    <w:rsid w:val="00894C4F"/>
    <w:rsid w:val="00894C69"/>
    <w:rsid w:val="008952F8"/>
    <w:rsid w:val="00896B2B"/>
    <w:rsid w:val="008971B1"/>
    <w:rsid w:val="008974C9"/>
    <w:rsid w:val="008A0F49"/>
    <w:rsid w:val="008A1059"/>
    <w:rsid w:val="008A2DC3"/>
    <w:rsid w:val="008A556A"/>
    <w:rsid w:val="008A6CE3"/>
    <w:rsid w:val="008A7B24"/>
    <w:rsid w:val="008B149A"/>
    <w:rsid w:val="008B1E9C"/>
    <w:rsid w:val="008B3999"/>
    <w:rsid w:val="008B4D46"/>
    <w:rsid w:val="008C2480"/>
    <w:rsid w:val="008C782C"/>
    <w:rsid w:val="008C7C8D"/>
    <w:rsid w:val="008D1D0C"/>
    <w:rsid w:val="008D35FC"/>
    <w:rsid w:val="008D4D1C"/>
    <w:rsid w:val="008D563C"/>
    <w:rsid w:val="008D62AE"/>
    <w:rsid w:val="008D730D"/>
    <w:rsid w:val="008E3929"/>
    <w:rsid w:val="008E525B"/>
    <w:rsid w:val="008E5441"/>
    <w:rsid w:val="008E5FAC"/>
    <w:rsid w:val="008F068B"/>
    <w:rsid w:val="008F1669"/>
    <w:rsid w:val="008F7D4D"/>
    <w:rsid w:val="00900D12"/>
    <w:rsid w:val="00900E0C"/>
    <w:rsid w:val="009032E8"/>
    <w:rsid w:val="00903E98"/>
    <w:rsid w:val="0090582A"/>
    <w:rsid w:val="00905C4D"/>
    <w:rsid w:val="0090617A"/>
    <w:rsid w:val="009077DF"/>
    <w:rsid w:val="00907C60"/>
    <w:rsid w:val="00911521"/>
    <w:rsid w:val="00911685"/>
    <w:rsid w:val="009124E0"/>
    <w:rsid w:val="0091273E"/>
    <w:rsid w:val="00913C11"/>
    <w:rsid w:val="0091617D"/>
    <w:rsid w:val="00916D86"/>
    <w:rsid w:val="009170B8"/>
    <w:rsid w:val="00920D0B"/>
    <w:rsid w:val="009244A7"/>
    <w:rsid w:val="009276C1"/>
    <w:rsid w:val="00930EF1"/>
    <w:rsid w:val="0093437E"/>
    <w:rsid w:val="009344EF"/>
    <w:rsid w:val="0093455F"/>
    <w:rsid w:val="009419CD"/>
    <w:rsid w:val="00942C6D"/>
    <w:rsid w:val="00942CBC"/>
    <w:rsid w:val="00943216"/>
    <w:rsid w:val="009434FB"/>
    <w:rsid w:val="00944AC5"/>
    <w:rsid w:val="00944BEF"/>
    <w:rsid w:val="009469A2"/>
    <w:rsid w:val="00947995"/>
    <w:rsid w:val="009479B9"/>
    <w:rsid w:val="00950179"/>
    <w:rsid w:val="00955820"/>
    <w:rsid w:val="00955CB5"/>
    <w:rsid w:val="00955CBA"/>
    <w:rsid w:val="00956A31"/>
    <w:rsid w:val="00956BE6"/>
    <w:rsid w:val="00960742"/>
    <w:rsid w:val="00960BDA"/>
    <w:rsid w:val="009616C4"/>
    <w:rsid w:val="009633D8"/>
    <w:rsid w:val="00964D08"/>
    <w:rsid w:val="009668A5"/>
    <w:rsid w:val="00966F8A"/>
    <w:rsid w:val="009678B8"/>
    <w:rsid w:val="0097137F"/>
    <w:rsid w:val="00974E96"/>
    <w:rsid w:val="00977526"/>
    <w:rsid w:val="00980754"/>
    <w:rsid w:val="0098497C"/>
    <w:rsid w:val="00985838"/>
    <w:rsid w:val="00990574"/>
    <w:rsid w:val="00990F21"/>
    <w:rsid w:val="00991AC9"/>
    <w:rsid w:val="0099250E"/>
    <w:rsid w:val="0099509D"/>
    <w:rsid w:val="009955F7"/>
    <w:rsid w:val="00995D80"/>
    <w:rsid w:val="00996149"/>
    <w:rsid w:val="0099629F"/>
    <w:rsid w:val="00996E3D"/>
    <w:rsid w:val="009A35A6"/>
    <w:rsid w:val="009A458F"/>
    <w:rsid w:val="009A5066"/>
    <w:rsid w:val="009A6EAC"/>
    <w:rsid w:val="009A7ABE"/>
    <w:rsid w:val="009B3365"/>
    <w:rsid w:val="009B59E3"/>
    <w:rsid w:val="009B700D"/>
    <w:rsid w:val="009C1FF4"/>
    <w:rsid w:val="009C25AF"/>
    <w:rsid w:val="009C33C8"/>
    <w:rsid w:val="009C5B69"/>
    <w:rsid w:val="009E14E3"/>
    <w:rsid w:val="009E5806"/>
    <w:rsid w:val="009E66CF"/>
    <w:rsid w:val="009F284F"/>
    <w:rsid w:val="009F6E39"/>
    <w:rsid w:val="009F6FFC"/>
    <w:rsid w:val="009F703C"/>
    <w:rsid w:val="009F716E"/>
    <w:rsid w:val="009F7786"/>
    <w:rsid w:val="009F7FF4"/>
    <w:rsid w:val="00A002C2"/>
    <w:rsid w:val="00A00CF8"/>
    <w:rsid w:val="00A01C5D"/>
    <w:rsid w:val="00A03895"/>
    <w:rsid w:val="00A05FD3"/>
    <w:rsid w:val="00A06749"/>
    <w:rsid w:val="00A07C98"/>
    <w:rsid w:val="00A1129E"/>
    <w:rsid w:val="00A11C66"/>
    <w:rsid w:val="00A14F23"/>
    <w:rsid w:val="00A150E8"/>
    <w:rsid w:val="00A20426"/>
    <w:rsid w:val="00A207FC"/>
    <w:rsid w:val="00A278F8"/>
    <w:rsid w:val="00A27954"/>
    <w:rsid w:val="00A304D5"/>
    <w:rsid w:val="00A30B5C"/>
    <w:rsid w:val="00A321D3"/>
    <w:rsid w:val="00A32B15"/>
    <w:rsid w:val="00A34456"/>
    <w:rsid w:val="00A34A0E"/>
    <w:rsid w:val="00A357F5"/>
    <w:rsid w:val="00A3600F"/>
    <w:rsid w:val="00A370D1"/>
    <w:rsid w:val="00A37FF2"/>
    <w:rsid w:val="00A40C50"/>
    <w:rsid w:val="00A4239D"/>
    <w:rsid w:val="00A43A0C"/>
    <w:rsid w:val="00A44A09"/>
    <w:rsid w:val="00A50281"/>
    <w:rsid w:val="00A50E47"/>
    <w:rsid w:val="00A5747C"/>
    <w:rsid w:val="00A600B5"/>
    <w:rsid w:val="00A62AFD"/>
    <w:rsid w:val="00A642C2"/>
    <w:rsid w:val="00A65245"/>
    <w:rsid w:val="00A65A85"/>
    <w:rsid w:val="00A66C4C"/>
    <w:rsid w:val="00A674FB"/>
    <w:rsid w:val="00A67E95"/>
    <w:rsid w:val="00A72845"/>
    <w:rsid w:val="00A77221"/>
    <w:rsid w:val="00A77D34"/>
    <w:rsid w:val="00A77E71"/>
    <w:rsid w:val="00A81B3C"/>
    <w:rsid w:val="00A912E3"/>
    <w:rsid w:val="00A9133A"/>
    <w:rsid w:val="00A93C08"/>
    <w:rsid w:val="00A95F8C"/>
    <w:rsid w:val="00A963D4"/>
    <w:rsid w:val="00A967AA"/>
    <w:rsid w:val="00A977DD"/>
    <w:rsid w:val="00A9784D"/>
    <w:rsid w:val="00AA0631"/>
    <w:rsid w:val="00AA0C78"/>
    <w:rsid w:val="00AA2179"/>
    <w:rsid w:val="00AA2AD2"/>
    <w:rsid w:val="00AA2CD5"/>
    <w:rsid w:val="00AA418C"/>
    <w:rsid w:val="00AA65A9"/>
    <w:rsid w:val="00AB00F9"/>
    <w:rsid w:val="00AB0B34"/>
    <w:rsid w:val="00AB2C02"/>
    <w:rsid w:val="00AC130D"/>
    <w:rsid w:val="00AC171D"/>
    <w:rsid w:val="00AC3E86"/>
    <w:rsid w:val="00AC6419"/>
    <w:rsid w:val="00AC6457"/>
    <w:rsid w:val="00AD15C2"/>
    <w:rsid w:val="00AD1B04"/>
    <w:rsid w:val="00AD4EDB"/>
    <w:rsid w:val="00AD657F"/>
    <w:rsid w:val="00AD6700"/>
    <w:rsid w:val="00AD6FA5"/>
    <w:rsid w:val="00AE0C88"/>
    <w:rsid w:val="00AE1B0C"/>
    <w:rsid w:val="00AE1E2F"/>
    <w:rsid w:val="00AE28F9"/>
    <w:rsid w:val="00AE3FF5"/>
    <w:rsid w:val="00AE4B1D"/>
    <w:rsid w:val="00AE52A2"/>
    <w:rsid w:val="00AE7C10"/>
    <w:rsid w:val="00AF0087"/>
    <w:rsid w:val="00AF3064"/>
    <w:rsid w:val="00AF35B4"/>
    <w:rsid w:val="00AF4310"/>
    <w:rsid w:val="00AF7124"/>
    <w:rsid w:val="00AF7D60"/>
    <w:rsid w:val="00B0093E"/>
    <w:rsid w:val="00B123DF"/>
    <w:rsid w:val="00B12863"/>
    <w:rsid w:val="00B141ED"/>
    <w:rsid w:val="00B154BA"/>
    <w:rsid w:val="00B202FD"/>
    <w:rsid w:val="00B2148C"/>
    <w:rsid w:val="00B21E5C"/>
    <w:rsid w:val="00B224BC"/>
    <w:rsid w:val="00B264B7"/>
    <w:rsid w:val="00B31E3D"/>
    <w:rsid w:val="00B337EA"/>
    <w:rsid w:val="00B34807"/>
    <w:rsid w:val="00B34AF9"/>
    <w:rsid w:val="00B34EB0"/>
    <w:rsid w:val="00B36FE5"/>
    <w:rsid w:val="00B40520"/>
    <w:rsid w:val="00B436BE"/>
    <w:rsid w:val="00B4498A"/>
    <w:rsid w:val="00B457D5"/>
    <w:rsid w:val="00B46E55"/>
    <w:rsid w:val="00B50E76"/>
    <w:rsid w:val="00B51F5C"/>
    <w:rsid w:val="00B52A88"/>
    <w:rsid w:val="00B549CE"/>
    <w:rsid w:val="00B54E06"/>
    <w:rsid w:val="00B5578A"/>
    <w:rsid w:val="00B57293"/>
    <w:rsid w:val="00B60371"/>
    <w:rsid w:val="00B60BD3"/>
    <w:rsid w:val="00B61DF1"/>
    <w:rsid w:val="00B61FFA"/>
    <w:rsid w:val="00B626F0"/>
    <w:rsid w:val="00B6303C"/>
    <w:rsid w:val="00B633EB"/>
    <w:rsid w:val="00B63BDF"/>
    <w:rsid w:val="00B66D44"/>
    <w:rsid w:val="00B67AE6"/>
    <w:rsid w:val="00B70A9B"/>
    <w:rsid w:val="00B712E9"/>
    <w:rsid w:val="00B7219C"/>
    <w:rsid w:val="00B7224D"/>
    <w:rsid w:val="00B72FE7"/>
    <w:rsid w:val="00B7303E"/>
    <w:rsid w:val="00B731F6"/>
    <w:rsid w:val="00B74A37"/>
    <w:rsid w:val="00B773F2"/>
    <w:rsid w:val="00B867E3"/>
    <w:rsid w:val="00BA0328"/>
    <w:rsid w:val="00BA1D5B"/>
    <w:rsid w:val="00BB20D6"/>
    <w:rsid w:val="00BB2815"/>
    <w:rsid w:val="00BB371D"/>
    <w:rsid w:val="00BB4901"/>
    <w:rsid w:val="00BB4B9E"/>
    <w:rsid w:val="00BB7FAF"/>
    <w:rsid w:val="00BC1328"/>
    <w:rsid w:val="00BC43AC"/>
    <w:rsid w:val="00BC51D3"/>
    <w:rsid w:val="00BC6CDD"/>
    <w:rsid w:val="00BD074F"/>
    <w:rsid w:val="00BD0B3D"/>
    <w:rsid w:val="00BD3687"/>
    <w:rsid w:val="00BE04B4"/>
    <w:rsid w:val="00BE0AF5"/>
    <w:rsid w:val="00BE0DB0"/>
    <w:rsid w:val="00BE16A2"/>
    <w:rsid w:val="00BE39ED"/>
    <w:rsid w:val="00BE3D63"/>
    <w:rsid w:val="00BF405B"/>
    <w:rsid w:val="00BF4175"/>
    <w:rsid w:val="00BF65A1"/>
    <w:rsid w:val="00BF771B"/>
    <w:rsid w:val="00BF7728"/>
    <w:rsid w:val="00BF7AF4"/>
    <w:rsid w:val="00C00681"/>
    <w:rsid w:val="00C00FB8"/>
    <w:rsid w:val="00C06CB4"/>
    <w:rsid w:val="00C100BB"/>
    <w:rsid w:val="00C3096E"/>
    <w:rsid w:val="00C33A7F"/>
    <w:rsid w:val="00C350A3"/>
    <w:rsid w:val="00C35759"/>
    <w:rsid w:val="00C37A94"/>
    <w:rsid w:val="00C40E33"/>
    <w:rsid w:val="00C420C5"/>
    <w:rsid w:val="00C42345"/>
    <w:rsid w:val="00C458B1"/>
    <w:rsid w:val="00C50C5B"/>
    <w:rsid w:val="00C54783"/>
    <w:rsid w:val="00C54EDC"/>
    <w:rsid w:val="00C55A90"/>
    <w:rsid w:val="00C63AC6"/>
    <w:rsid w:val="00C66280"/>
    <w:rsid w:val="00C6696E"/>
    <w:rsid w:val="00C674E8"/>
    <w:rsid w:val="00C70FDC"/>
    <w:rsid w:val="00C71CB9"/>
    <w:rsid w:val="00C724A7"/>
    <w:rsid w:val="00C75D85"/>
    <w:rsid w:val="00C77717"/>
    <w:rsid w:val="00C8067C"/>
    <w:rsid w:val="00C807AC"/>
    <w:rsid w:val="00C82731"/>
    <w:rsid w:val="00C827A0"/>
    <w:rsid w:val="00C84133"/>
    <w:rsid w:val="00C90E35"/>
    <w:rsid w:val="00C9138C"/>
    <w:rsid w:val="00CA0A6B"/>
    <w:rsid w:val="00CA4F61"/>
    <w:rsid w:val="00CA76AB"/>
    <w:rsid w:val="00CB15DF"/>
    <w:rsid w:val="00CB27A1"/>
    <w:rsid w:val="00CB2FF0"/>
    <w:rsid w:val="00CB34F0"/>
    <w:rsid w:val="00CB57DC"/>
    <w:rsid w:val="00CB5DD5"/>
    <w:rsid w:val="00CC1231"/>
    <w:rsid w:val="00CC1784"/>
    <w:rsid w:val="00CC31D7"/>
    <w:rsid w:val="00CC75EB"/>
    <w:rsid w:val="00CD0FA2"/>
    <w:rsid w:val="00CD38B4"/>
    <w:rsid w:val="00CD6705"/>
    <w:rsid w:val="00CD6ED4"/>
    <w:rsid w:val="00CE5BD2"/>
    <w:rsid w:val="00CE6B79"/>
    <w:rsid w:val="00CF1A17"/>
    <w:rsid w:val="00CF2D7A"/>
    <w:rsid w:val="00CF38CA"/>
    <w:rsid w:val="00CF4C10"/>
    <w:rsid w:val="00CF4E85"/>
    <w:rsid w:val="00D029C2"/>
    <w:rsid w:val="00D03AE8"/>
    <w:rsid w:val="00D054B4"/>
    <w:rsid w:val="00D07097"/>
    <w:rsid w:val="00D07EBA"/>
    <w:rsid w:val="00D10401"/>
    <w:rsid w:val="00D1073B"/>
    <w:rsid w:val="00D11EBE"/>
    <w:rsid w:val="00D12E60"/>
    <w:rsid w:val="00D1402D"/>
    <w:rsid w:val="00D140F5"/>
    <w:rsid w:val="00D20A10"/>
    <w:rsid w:val="00D21A27"/>
    <w:rsid w:val="00D21EF4"/>
    <w:rsid w:val="00D23B0C"/>
    <w:rsid w:val="00D2623E"/>
    <w:rsid w:val="00D2685E"/>
    <w:rsid w:val="00D338EC"/>
    <w:rsid w:val="00D3623F"/>
    <w:rsid w:val="00D365EE"/>
    <w:rsid w:val="00D4292A"/>
    <w:rsid w:val="00D43E5A"/>
    <w:rsid w:val="00D456FC"/>
    <w:rsid w:val="00D461B3"/>
    <w:rsid w:val="00D469DC"/>
    <w:rsid w:val="00D50B30"/>
    <w:rsid w:val="00D518C8"/>
    <w:rsid w:val="00D51DFA"/>
    <w:rsid w:val="00D5219F"/>
    <w:rsid w:val="00D55D6F"/>
    <w:rsid w:val="00D56D16"/>
    <w:rsid w:val="00D577C5"/>
    <w:rsid w:val="00D64A76"/>
    <w:rsid w:val="00D65EF8"/>
    <w:rsid w:val="00D66AA9"/>
    <w:rsid w:val="00D72CA3"/>
    <w:rsid w:val="00D73A62"/>
    <w:rsid w:val="00D849D3"/>
    <w:rsid w:val="00D85A21"/>
    <w:rsid w:val="00D9293A"/>
    <w:rsid w:val="00D95567"/>
    <w:rsid w:val="00D9726B"/>
    <w:rsid w:val="00DA2C31"/>
    <w:rsid w:val="00DA7F89"/>
    <w:rsid w:val="00DB21E5"/>
    <w:rsid w:val="00DB3578"/>
    <w:rsid w:val="00DB37E7"/>
    <w:rsid w:val="00DB3AA0"/>
    <w:rsid w:val="00DB5582"/>
    <w:rsid w:val="00DB6086"/>
    <w:rsid w:val="00DC0321"/>
    <w:rsid w:val="00DC18F0"/>
    <w:rsid w:val="00DC30B7"/>
    <w:rsid w:val="00DC4502"/>
    <w:rsid w:val="00DC463E"/>
    <w:rsid w:val="00DC4E3C"/>
    <w:rsid w:val="00DC50F8"/>
    <w:rsid w:val="00DD3174"/>
    <w:rsid w:val="00DD32B2"/>
    <w:rsid w:val="00DE062E"/>
    <w:rsid w:val="00DE10B3"/>
    <w:rsid w:val="00DE39CF"/>
    <w:rsid w:val="00DE3CE1"/>
    <w:rsid w:val="00DE3CE2"/>
    <w:rsid w:val="00DE4771"/>
    <w:rsid w:val="00DE4C47"/>
    <w:rsid w:val="00DE4C5C"/>
    <w:rsid w:val="00DF2EE1"/>
    <w:rsid w:val="00DF408E"/>
    <w:rsid w:val="00DF5522"/>
    <w:rsid w:val="00DF60D0"/>
    <w:rsid w:val="00E00364"/>
    <w:rsid w:val="00E01EB6"/>
    <w:rsid w:val="00E03F82"/>
    <w:rsid w:val="00E04F41"/>
    <w:rsid w:val="00E12CAD"/>
    <w:rsid w:val="00E13E4E"/>
    <w:rsid w:val="00E14FDA"/>
    <w:rsid w:val="00E159FF"/>
    <w:rsid w:val="00E20981"/>
    <w:rsid w:val="00E25C2D"/>
    <w:rsid w:val="00E27F89"/>
    <w:rsid w:val="00E31071"/>
    <w:rsid w:val="00E31855"/>
    <w:rsid w:val="00E32F29"/>
    <w:rsid w:val="00E337D5"/>
    <w:rsid w:val="00E345A7"/>
    <w:rsid w:val="00E34F18"/>
    <w:rsid w:val="00E35245"/>
    <w:rsid w:val="00E35773"/>
    <w:rsid w:val="00E35FFA"/>
    <w:rsid w:val="00E37B96"/>
    <w:rsid w:val="00E4065C"/>
    <w:rsid w:val="00E407BA"/>
    <w:rsid w:val="00E4144C"/>
    <w:rsid w:val="00E41BED"/>
    <w:rsid w:val="00E42D13"/>
    <w:rsid w:val="00E43488"/>
    <w:rsid w:val="00E43FAD"/>
    <w:rsid w:val="00E44643"/>
    <w:rsid w:val="00E44CD2"/>
    <w:rsid w:val="00E47996"/>
    <w:rsid w:val="00E510E3"/>
    <w:rsid w:val="00E53AD1"/>
    <w:rsid w:val="00E557E4"/>
    <w:rsid w:val="00E6640D"/>
    <w:rsid w:val="00E6763C"/>
    <w:rsid w:val="00E70D8A"/>
    <w:rsid w:val="00E711A2"/>
    <w:rsid w:val="00E71FB0"/>
    <w:rsid w:val="00E73E5A"/>
    <w:rsid w:val="00E75C5E"/>
    <w:rsid w:val="00E8074D"/>
    <w:rsid w:val="00E84E7C"/>
    <w:rsid w:val="00E85360"/>
    <w:rsid w:val="00E911B6"/>
    <w:rsid w:val="00E91620"/>
    <w:rsid w:val="00E93CF9"/>
    <w:rsid w:val="00E94314"/>
    <w:rsid w:val="00E94F0B"/>
    <w:rsid w:val="00E957E6"/>
    <w:rsid w:val="00E95C3B"/>
    <w:rsid w:val="00E960D6"/>
    <w:rsid w:val="00E96954"/>
    <w:rsid w:val="00E97CFA"/>
    <w:rsid w:val="00EA049E"/>
    <w:rsid w:val="00EA0E9B"/>
    <w:rsid w:val="00EA2234"/>
    <w:rsid w:val="00EA620B"/>
    <w:rsid w:val="00EA65FD"/>
    <w:rsid w:val="00EA6B96"/>
    <w:rsid w:val="00EA7EE7"/>
    <w:rsid w:val="00EB15FB"/>
    <w:rsid w:val="00EB2474"/>
    <w:rsid w:val="00EB323F"/>
    <w:rsid w:val="00EB5B64"/>
    <w:rsid w:val="00EB5DBA"/>
    <w:rsid w:val="00EC144F"/>
    <w:rsid w:val="00EC1E50"/>
    <w:rsid w:val="00EC35E1"/>
    <w:rsid w:val="00EC3828"/>
    <w:rsid w:val="00EC43EC"/>
    <w:rsid w:val="00ED2279"/>
    <w:rsid w:val="00ED2DE4"/>
    <w:rsid w:val="00ED47C6"/>
    <w:rsid w:val="00ED4CAF"/>
    <w:rsid w:val="00ED5A0D"/>
    <w:rsid w:val="00ED605E"/>
    <w:rsid w:val="00ED7610"/>
    <w:rsid w:val="00ED7B87"/>
    <w:rsid w:val="00EE030F"/>
    <w:rsid w:val="00EE3497"/>
    <w:rsid w:val="00EE447B"/>
    <w:rsid w:val="00EE48E2"/>
    <w:rsid w:val="00EE4CC9"/>
    <w:rsid w:val="00EF287C"/>
    <w:rsid w:val="00EF3E94"/>
    <w:rsid w:val="00EF42D0"/>
    <w:rsid w:val="00EF4401"/>
    <w:rsid w:val="00F0081C"/>
    <w:rsid w:val="00F03278"/>
    <w:rsid w:val="00F04BC9"/>
    <w:rsid w:val="00F10808"/>
    <w:rsid w:val="00F11EC8"/>
    <w:rsid w:val="00F125D3"/>
    <w:rsid w:val="00F13826"/>
    <w:rsid w:val="00F237F5"/>
    <w:rsid w:val="00F23F58"/>
    <w:rsid w:val="00F26819"/>
    <w:rsid w:val="00F268BA"/>
    <w:rsid w:val="00F27903"/>
    <w:rsid w:val="00F31F7E"/>
    <w:rsid w:val="00F32360"/>
    <w:rsid w:val="00F32654"/>
    <w:rsid w:val="00F32A96"/>
    <w:rsid w:val="00F32A99"/>
    <w:rsid w:val="00F33E5F"/>
    <w:rsid w:val="00F36C44"/>
    <w:rsid w:val="00F4024F"/>
    <w:rsid w:val="00F41B55"/>
    <w:rsid w:val="00F44401"/>
    <w:rsid w:val="00F448D3"/>
    <w:rsid w:val="00F45C50"/>
    <w:rsid w:val="00F461CB"/>
    <w:rsid w:val="00F470A9"/>
    <w:rsid w:val="00F500EC"/>
    <w:rsid w:val="00F55522"/>
    <w:rsid w:val="00F55F58"/>
    <w:rsid w:val="00F6212D"/>
    <w:rsid w:val="00F62EBA"/>
    <w:rsid w:val="00F67E7C"/>
    <w:rsid w:val="00F72182"/>
    <w:rsid w:val="00F7234A"/>
    <w:rsid w:val="00F72B69"/>
    <w:rsid w:val="00F73F7E"/>
    <w:rsid w:val="00F743D0"/>
    <w:rsid w:val="00F744C2"/>
    <w:rsid w:val="00F745E7"/>
    <w:rsid w:val="00F77620"/>
    <w:rsid w:val="00F77C03"/>
    <w:rsid w:val="00F81A20"/>
    <w:rsid w:val="00F8285A"/>
    <w:rsid w:val="00F834F6"/>
    <w:rsid w:val="00F876D9"/>
    <w:rsid w:val="00F9158D"/>
    <w:rsid w:val="00F928E9"/>
    <w:rsid w:val="00F95BB3"/>
    <w:rsid w:val="00F96D3A"/>
    <w:rsid w:val="00FA2AF6"/>
    <w:rsid w:val="00FA508F"/>
    <w:rsid w:val="00FB0F08"/>
    <w:rsid w:val="00FB19CA"/>
    <w:rsid w:val="00FB2C4C"/>
    <w:rsid w:val="00FB5625"/>
    <w:rsid w:val="00FB5762"/>
    <w:rsid w:val="00FB593F"/>
    <w:rsid w:val="00FB5ED3"/>
    <w:rsid w:val="00FC1F7B"/>
    <w:rsid w:val="00FC233E"/>
    <w:rsid w:val="00FC3E73"/>
    <w:rsid w:val="00FC54B9"/>
    <w:rsid w:val="00FC620C"/>
    <w:rsid w:val="00FC7350"/>
    <w:rsid w:val="00FD1183"/>
    <w:rsid w:val="00FD177D"/>
    <w:rsid w:val="00FD1DB6"/>
    <w:rsid w:val="00FD3405"/>
    <w:rsid w:val="00FD4353"/>
    <w:rsid w:val="00FD62CD"/>
    <w:rsid w:val="00FE170A"/>
    <w:rsid w:val="00FE3473"/>
    <w:rsid w:val="00FE5645"/>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character" w:customStyle="1" w:styleId="FooterChar">
    <w:name w:val="Footer Char"/>
    <w:basedOn w:val="DefaultParagraphFont"/>
    <w:link w:val="Footer"/>
    <w:uiPriority w:val="99"/>
    <w:rsid w:val="00CC1231"/>
    <w:rPr>
      <w:sz w:val="24"/>
      <w:szCs w:val="24"/>
    </w:rPr>
  </w:style>
  <w:style w:type="table" w:styleId="TableGrid">
    <w:name w:val="Table Grid"/>
    <w:basedOn w:val="TableNormal"/>
    <w:uiPriority w:val="59"/>
    <w:rsid w:val="00E446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46B4"/>
    <w:pPr>
      <w:ind w:left="720"/>
      <w:contextualSpacing/>
    </w:pPr>
  </w:style>
  <w:style w:type="paragraph" w:styleId="Revision">
    <w:name w:val="Revision"/>
    <w:hidden/>
    <w:uiPriority w:val="99"/>
    <w:semiHidden/>
    <w:rsid w:val="006765CD"/>
    <w:rPr>
      <w:sz w:val="24"/>
      <w:szCs w:val="24"/>
    </w:rPr>
  </w:style>
  <w:style w:type="character" w:styleId="PlaceholderText">
    <w:name w:val="Placeholder Text"/>
    <w:basedOn w:val="DefaultParagraphFont"/>
    <w:uiPriority w:val="99"/>
    <w:semiHidden/>
    <w:rsid w:val="00332E3F"/>
    <w:rPr>
      <w:color w:val="808080"/>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12706491">
      <w:bodyDiv w:val="1"/>
      <w:marLeft w:val="45"/>
      <w:marRight w:val="45"/>
      <w:marTop w:val="90"/>
      <w:marBottom w:val="90"/>
      <w:divBdr>
        <w:top w:val="none" w:sz="0" w:space="0" w:color="auto"/>
        <w:left w:val="none" w:sz="0" w:space="0" w:color="auto"/>
        <w:bottom w:val="none" w:sz="0" w:space="0" w:color="auto"/>
        <w:right w:val="none" w:sz="0" w:space="0" w:color="auto"/>
      </w:divBdr>
      <w:divsChild>
        <w:div w:id="436222373">
          <w:marLeft w:val="0"/>
          <w:marRight w:val="0"/>
          <w:marTop w:val="240"/>
          <w:marBottom w:val="0"/>
          <w:divBdr>
            <w:top w:val="none" w:sz="0" w:space="0" w:color="auto"/>
            <w:left w:val="none" w:sz="0" w:space="0" w:color="auto"/>
            <w:bottom w:val="none" w:sz="0" w:space="0" w:color="auto"/>
            <w:right w:val="none" w:sz="0" w:space="0" w:color="auto"/>
          </w:divBdr>
        </w:div>
      </w:divsChild>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9D7D-9E27-46B5-B8EC-DC084055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2513</Words>
  <Characters>19516</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 Ministru kabineta noteikumu projekts „Grozījumi Ministru kabineta 1999.gada 5.janvāra noteikumos Nr.7 „Infekcijas slimību reģistrācijas kārtība”” sākotnējās ietekmes novērtējuma ziņojums (anotācija)</vt:lpstr>
    </vt:vector>
  </TitlesOfParts>
  <Company>Veselības ministrija</Company>
  <LinksUpToDate>false</LinksUpToDate>
  <CharactersWithSpaces>21986</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projekts „Grozījumi Ministru kabineta 1999.gada 5.janvāra noteikumos Nr.7 „Infekcijas slimību reģistrācijas kārtība”” sākotnējās ietekmes novērtējuma ziņojums (anotācija)</dc:title>
  <dc:subject>Anotācija</dc:subject>
  <dc:creator>Dace Viļuma</dc:creator>
  <cp:keywords>Veselības ministrija</cp:keywords>
  <dc:description>dace.viluma@vm.gov.lv, tālr.67876080</dc:description>
  <cp:lastModifiedBy>dviluma</cp:lastModifiedBy>
  <cp:revision>3</cp:revision>
  <cp:lastPrinted>2012-08-28T07:47:00Z</cp:lastPrinted>
  <dcterms:created xsi:type="dcterms:W3CDTF">2012-11-26T09:47:00Z</dcterms:created>
  <dcterms:modified xsi:type="dcterms:W3CDTF">2012-11-26T09:48:00Z</dcterms:modified>
</cp:coreProperties>
</file>