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E6" w:rsidRPr="001B7E4E" w:rsidRDefault="00956BE6" w:rsidP="00956BE6">
      <w:pPr>
        <w:jc w:val="center"/>
        <w:rPr>
          <w:b/>
        </w:rPr>
      </w:pPr>
      <w:bookmarkStart w:id="0" w:name="OLE_LINK3"/>
      <w:bookmarkStart w:id="1" w:name="OLE_LINK4"/>
      <w:bookmarkStart w:id="2" w:name="OLE_LINK1"/>
      <w:bookmarkStart w:id="3" w:name="OLE_LINK2"/>
      <w:bookmarkStart w:id="4" w:name="OLE_LINK12"/>
      <w:bookmarkStart w:id="5" w:name="OLE_LINK13"/>
      <w:r w:rsidRPr="001B7E4E">
        <w:rPr>
          <w:b/>
        </w:rPr>
        <w:t>Ministru kabineta noteikumu projekta</w:t>
      </w:r>
    </w:p>
    <w:p w:rsidR="00956BE6" w:rsidRPr="001B7E4E" w:rsidRDefault="00956BE6" w:rsidP="00956BE6">
      <w:pPr>
        <w:jc w:val="center"/>
        <w:rPr>
          <w:b/>
        </w:rPr>
      </w:pPr>
      <w:r w:rsidRPr="001B7E4E">
        <w:rPr>
          <w:b/>
        </w:rPr>
        <w:t xml:space="preserve">“Grozījumi Ministru kabineta 2000.gada 26.septembra noteikumos Nr.330 “Vakcinācijas noteikumi”” </w:t>
      </w:r>
    </w:p>
    <w:p w:rsidR="00956BE6" w:rsidRPr="001B7E4E" w:rsidRDefault="00956BE6" w:rsidP="00956BE6">
      <w:pPr>
        <w:jc w:val="center"/>
        <w:rPr>
          <w:b/>
        </w:rPr>
      </w:pPr>
      <w:r w:rsidRPr="001B7E4E">
        <w:rPr>
          <w:b/>
          <w:bCs/>
        </w:rPr>
        <w:t>sākotnējās ietekmes novērtējuma ziņojums (anotācija)</w:t>
      </w:r>
    </w:p>
    <w:bookmarkEnd w:id="0"/>
    <w:bookmarkEnd w:id="1"/>
    <w:p w:rsidR="002F17DF" w:rsidRPr="001B7E4E" w:rsidRDefault="002F17DF" w:rsidP="00586F93">
      <w:pPr>
        <w:jc w:val="center"/>
        <w:rPr>
          <w:b/>
        </w:rPr>
      </w:pPr>
    </w:p>
    <w:tbl>
      <w:tblPr>
        <w:tblW w:w="924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82"/>
        <w:gridCol w:w="1843"/>
        <w:gridCol w:w="6818"/>
      </w:tblGrid>
      <w:tr w:rsidR="002F17DF" w:rsidRPr="001B7E4E" w:rsidTr="004770E2">
        <w:trPr>
          <w:tblCellSpacing w:w="0" w:type="dxa"/>
        </w:trPr>
        <w:tc>
          <w:tcPr>
            <w:tcW w:w="9243" w:type="dxa"/>
            <w:gridSpan w:val="3"/>
            <w:tcBorders>
              <w:top w:val="outset" w:sz="6" w:space="0" w:color="auto"/>
              <w:left w:val="outset" w:sz="6" w:space="0" w:color="auto"/>
              <w:bottom w:val="outset" w:sz="6" w:space="0" w:color="auto"/>
              <w:right w:val="outset" w:sz="6" w:space="0" w:color="auto"/>
            </w:tcBorders>
            <w:vAlign w:val="center"/>
            <w:hideMark/>
          </w:tcPr>
          <w:p w:rsidR="002F17DF" w:rsidRPr="001B7E4E" w:rsidRDefault="002F17DF" w:rsidP="006007F8">
            <w:pPr>
              <w:spacing w:before="100" w:beforeAutospacing="1" w:after="100" w:afterAutospacing="1"/>
              <w:jc w:val="center"/>
            </w:pPr>
            <w:r w:rsidRPr="001B7E4E">
              <w:rPr>
                <w:b/>
                <w:bCs/>
              </w:rPr>
              <w:t>I. Tiesību akta projekta izstrādes nepieciešamība</w:t>
            </w:r>
          </w:p>
        </w:tc>
      </w:tr>
      <w:tr w:rsidR="002F17DF" w:rsidRPr="001B7E4E" w:rsidTr="004770E2">
        <w:trPr>
          <w:trHeight w:val="63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2F17DF" w:rsidRPr="001B7E4E" w:rsidRDefault="002F17DF" w:rsidP="002F17DF">
            <w:pPr>
              <w:spacing w:before="100" w:beforeAutospacing="1" w:after="100" w:afterAutospacing="1"/>
            </w:pPr>
            <w:r w:rsidRPr="001B7E4E">
              <w:t> 1.</w:t>
            </w:r>
          </w:p>
        </w:tc>
        <w:tc>
          <w:tcPr>
            <w:tcW w:w="1843" w:type="dxa"/>
            <w:tcBorders>
              <w:top w:val="outset" w:sz="6" w:space="0" w:color="auto"/>
              <w:left w:val="outset" w:sz="6" w:space="0" w:color="auto"/>
              <w:bottom w:val="outset" w:sz="6" w:space="0" w:color="auto"/>
              <w:right w:val="outset" w:sz="6" w:space="0" w:color="auto"/>
            </w:tcBorders>
            <w:hideMark/>
          </w:tcPr>
          <w:p w:rsidR="002F17DF" w:rsidRPr="001B7E4E" w:rsidRDefault="002F17DF" w:rsidP="002F17DF">
            <w:pPr>
              <w:spacing w:before="100" w:beforeAutospacing="1" w:after="100" w:afterAutospacing="1"/>
            </w:pPr>
            <w:r w:rsidRPr="001B7E4E">
              <w:t> Pamatojums</w:t>
            </w:r>
          </w:p>
        </w:tc>
        <w:tc>
          <w:tcPr>
            <w:tcW w:w="6818" w:type="dxa"/>
            <w:tcBorders>
              <w:top w:val="outset" w:sz="6" w:space="0" w:color="auto"/>
              <w:left w:val="outset" w:sz="6" w:space="0" w:color="auto"/>
              <w:bottom w:val="outset" w:sz="6" w:space="0" w:color="auto"/>
              <w:right w:val="outset" w:sz="6" w:space="0" w:color="auto"/>
            </w:tcBorders>
            <w:hideMark/>
          </w:tcPr>
          <w:p w:rsidR="0052609E" w:rsidRPr="001B7E4E" w:rsidRDefault="00B83166" w:rsidP="00075EC0">
            <w:pPr>
              <w:ind w:left="127" w:right="140" w:hanging="1"/>
              <w:jc w:val="both"/>
            </w:pPr>
            <w:r w:rsidRPr="001B7E4E">
              <w:t xml:space="preserve">Ministru kabineta </w:t>
            </w:r>
            <w:r w:rsidR="00102D53" w:rsidRPr="001B7E4E">
              <w:t xml:space="preserve">(MK) </w:t>
            </w:r>
            <w:r w:rsidRPr="001B7E4E">
              <w:t xml:space="preserve">noteikumu projekts „Grozījumi Ministru kabineta 2000.gada 26.septembra noteikumos Nr.330 „Vakcinācijas noteikumi”” (turpmāk – projekts) izstrādāts </w:t>
            </w:r>
            <w:r w:rsidR="00102D53" w:rsidRPr="001B7E4E">
              <w:t xml:space="preserve">pēc Veselības ministrijas iniciatīvas </w:t>
            </w:r>
            <w:r w:rsidRPr="00CD524A">
              <w:t xml:space="preserve">saskaņā ar </w:t>
            </w:r>
            <w:r w:rsidR="00956BE6" w:rsidRPr="00CD524A">
              <w:t>M</w:t>
            </w:r>
            <w:r w:rsidR="00E6506D" w:rsidRPr="00CD524A">
              <w:t>K</w:t>
            </w:r>
            <w:r w:rsidR="00956BE6" w:rsidRPr="00CD524A">
              <w:t xml:space="preserve"> </w:t>
            </w:r>
            <w:r w:rsidR="007C67EC" w:rsidRPr="00CD524A">
              <w:t xml:space="preserve">2013.gada 30.jūlija noteikumu </w:t>
            </w:r>
            <w:r w:rsidR="008B094D" w:rsidRPr="00CD524A">
              <w:t xml:space="preserve">Nr.446 </w:t>
            </w:r>
            <w:r w:rsidR="007C67EC" w:rsidRPr="00CD524A">
              <w:t xml:space="preserve">„Grozījumi Ministru kabineta </w:t>
            </w:r>
            <w:r w:rsidR="00956BE6" w:rsidRPr="00CD524A">
              <w:t>20</w:t>
            </w:r>
            <w:r w:rsidR="007C67EC" w:rsidRPr="00CD524A">
              <w:t>00</w:t>
            </w:r>
            <w:r w:rsidR="00956BE6" w:rsidRPr="00CD524A">
              <w:t>.gada 26.septembra noteikum</w:t>
            </w:r>
            <w:r w:rsidR="008B094D" w:rsidRPr="00CD524A">
              <w:t>os</w:t>
            </w:r>
            <w:r w:rsidR="00956BE6" w:rsidRPr="00CD524A">
              <w:t xml:space="preserve"> Nr.330 „Vakcinācijas noteikumi”” (turpmāk – noteikum</w:t>
            </w:r>
            <w:r w:rsidR="00514A25" w:rsidRPr="00CD524A">
              <w:t>i</w:t>
            </w:r>
            <w:r w:rsidR="0014415B" w:rsidRPr="00CD524A">
              <w:t xml:space="preserve"> Nr.446</w:t>
            </w:r>
            <w:r w:rsidR="00514A25" w:rsidRPr="00CD524A">
              <w:t>)</w:t>
            </w:r>
            <w:r w:rsidR="00956BE6" w:rsidRPr="00CD524A">
              <w:t xml:space="preserve"> </w:t>
            </w:r>
            <w:r w:rsidR="008B094D" w:rsidRPr="00CD524A">
              <w:t xml:space="preserve">2.punktā </w:t>
            </w:r>
            <w:r w:rsidRPr="00CD524A">
              <w:t xml:space="preserve"> noteikto</w:t>
            </w:r>
            <w:r w:rsidR="00B62F5C" w:rsidRPr="00CD524A">
              <w:t>, ka vakcinācij</w:t>
            </w:r>
            <w:r w:rsidR="008B094D" w:rsidRPr="00CD524A">
              <w:t>a</w:t>
            </w:r>
            <w:r w:rsidR="00B62F5C" w:rsidRPr="00CD524A">
              <w:t xml:space="preserve"> pret rotavīrusu infekciju</w:t>
            </w:r>
            <w:r w:rsidR="0088596A" w:rsidRPr="00CD524A">
              <w:t xml:space="preserve"> (2, 4 un 6 mēnešu vecumā attiecīgi 1., 2. un 3.deva)</w:t>
            </w:r>
            <w:r w:rsidR="00B62F5C" w:rsidRPr="00CD524A">
              <w:t xml:space="preserve"> </w:t>
            </w:r>
            <w:r w:rsidR="00102D53" w:rsidRPr="00CD524A">
              <w:t xml:space="preserve">un </w:t>
            </w:r>
            <w:r w:rsidR="002F31B8" w:rsidRPr="00CD524A">
              <w:t xml:space="preserve">7 gadus vecu bērnu </w:t>
            </w:r>
            <w:r w:rsidR="00102D53" w:rsidRPr="00CD524A">
              <w:t>vakcinācij</w:t>
            </w:r>
            <w:r w:rsidR="008B094D" w:rsidRPr="00CD524A">
              <w:t>a</w:t>
            </w:r>
            <w:r w:rsidR="00102D53" w:rsidRPr="00CD524A">
              <w:t xml:space="preserve"> pret vējbakām </w:t>
            </w:r>
            <w:r w:rsidR="008B094D" w:rsidRPr="00CD524A">
              <w:t>(</w:t>
            </w:r>
            <w:r w:rsidR="0088596A" w:rsidRPr="00CD524A">
              <w:t>2.</w:t>
            </w:r>
            <w:r w:rsidR="008B094D" w:rsidRPr="00CD524A">
              <w:t xml:space="preserve">deva) stājas spēkā </w:t>
            </w:r>
            <w:r w:rsidR="00B62F5C" w:rsidRPr="00CD524A">
              <w:t>2014.gada 1.janvāri</w:t>
            </w:r>
            <w:r w:rsidR="00102D53" w:rsidRPr="00CD524A">
              <w:t xml:space="preserve"> un arī </w:t>
            </w:r>
            <w:r w:rsidRPr="00CD524A">
              <w:t>saskaņā</w:t>
            </w:r>
            <w:r w:rsidR="00102D53" w:rsidRPr="00CD524A">
              <w:t xml:space="preserve"> ar  MK 2013.gada 30.jūlija sēdes protokollēmuma</w:t>
            </w:r>
            <w:r w:rsidR="00E87361" w:rsidRPr="00CD524A">
              <w:t xml:space="preserve"> Nr.41,</w:t>
            </w:r>
            <w:r w:rsidR="00102D53" w:rsidRPr="00CD524A">
              <w:t xml:space="preserve"> 52.</w:t>
            </w:r>
            <w:r w:rsidR="00075EC0">
              <w:t>§</w:t>
            </w:r>
            <w:r w:rsidR="00102D53" w:rsidRPr="00CD524A">
              <w:t xml:space="preserve"> </w:t>
            </w:r>
            <w:r w:rsidR="009F6F54" w:rsidRPr="00CD524A">
              <w:t>„</w:t>
            </w:r>
            <w:r w:rsidR="00102D53" w:rsidRPr="00CD524A">
              <w:t>Par</w:t>
            </w:r>
            <w:r w:rsidR="00102D53" w:rsidRPr="001B7E4E">
              <w:t xml:space="preserve"> „Grozījumiem Ministru kabineta 2000.gada 26.septembra noteikumos </w:t>
            </w:r>
            <w:r w:rsidR="008B094D" w:rsidRPr="001B7E4E">
              <w:t>N</w:t>
            </w:r>
            <w:r w:rsidR="00102D53" w:rsidRPr="001B7E4E">
              <w:t>r.3</w:t>
            </w:r>
            <w:r w:rsidR="00075EC0">
              <w:t>3</w:t>
            </w:r>
            <w:r w:rsidR="00102D53" w:rsidRPr="001B7E4E">
              <w:t>0 „</w:t>
            </w:r>
            <w:r w:rsidR="008B094D" w:rsidRPr="001B7E4E">
              <w:t>V</w:t>
            </w:r>
            <w:r w:rsidR="00102D53" w:rsidRPr="001B7E4E">
              <w:t>akcinācijas noteikumi”</w:t>
            </w:r>
            <w:r w:rsidR="00102D53" w:rsidRPr="001B7E4E">
              <w:rPr>
                <w:rFonts w:ascii="Calibri" w:hAnsi="Calibri"/>
              </w:rPr>
              <w:t xml:space="preserve"> </w:t>
            </w:r>
            <w:r w:rsidR="008B094D" w:rsidRPr="009F6F54">
              <w:t>2</w:t>
            </w:r>
            <w:r w:rsidR="00102D53" w:rsidRPr="009F6F54">
              <w:t>.punktā</w:t>
            </w:r>
            <w:r w:rsidR="00102D53" w:rsidRPr="001B7E4E">
              <w:t xml:space="preserve"> nolemto - j</w:t>
            </w:r>
            <w:r w:rsidR="00102D53" w:rsidRPr="001B7E4E">
              <w:rPr>
                <w:color w:val="000000"/>
              </w:rPr>
              <w:t>autājumu par papildu valsts budžeta līdzekļu piešķiršanu Veselības ministrijai vakcinācijas pasākumu nodrošināšanai izskatīt M</w:t>
            </w:r>
            <w:r w:rsidR="00F506D5">
              <w:rPr>
                <w:color w:val="000000"/>
              </w:rPr>
              <w:t>inistru kabinetā</w:t>
            </w:r>
            <w:r w:rsidR="00102D53" w:rsidRPr="001B7E4E">
              <w:rPr>
                <w:color w:val="000000"/>
              </w:rPr>
              <w:t xml:space="preserve"> likumprojekta „Par valsts budžetu 2014.gadam” un likumprojekta „Par vidējā termiņa budžeta ietvaru 2014., 2015. un 2016.gadam” sagatavošanas un izskatīšanas procesā kopā ar visu ministriju un centrālo valsts iestāžu priekšlikumiem jaunajām politikas iniciatīvām un iesniegtajiem papildu finansējuma pieprasījumiem atbilstoši valsts budžeta finansiālajām </w:t>
            </w:r>
            <w:r w:rsidR="00102D53" w:rsidRPr="00CD524A">
              <w:rPr>
                <w:color w:val="000000"/>
              </w:rPr>
              <w:t>iespējām</w:t>
            </w:r>
            <w:r w:rsidR="008722D0" w:rsidRPr="00CD524A">
              <w:rPr>
                <w:color w:val="000000"/>
              </w:rPr>
              <w:t xml:space="preserve">, kā arī </w:t>
            </w:r>
            <w:r w:rsidR="008722D0" w:rsidRPr="00CD524A">
              <w:t>Eiropas Padomes 2010.gada 10.maija direktīva 2010/32/ES ar ko īsteno HOSPEEM un EPSU noslēgto Pamatnolīgumu par asu instrumentu radītu ievainojumu novēršanu slimnīcu un veselības aprūpes nozarē (turpmāk – Direktīva 2010/32/ES), kuras prasības nepieciešams pārņemt nacionālajā normatīvajā regulējumā</w:t>
            </w:r>
          </w:p>
        </w:tc>
      </w:tr>
      <w:tr w:rsidR="00956BE6" w:rsidRPr="001B7E4E" w:rsidTr="004770E2">
        <w:trPr>
          <w:trHeight w:val="47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956BE6" w:rsidRPr="001B7E4E" w:rsidRDefault="00956BE6" w:rsidP="002F17DF">
            <w:pPr>
              <w:spacing w:before="100" w:beforeAutospacing="1" w:after="100" w:afterAutospacing="1"/>
            </w:pPr>
            <w:r w:rsidRPr="001B7E4E">
              <w:t> 2.</w:t>
            </w:r>
          </w:p>
        </w:tc>
        <w:tc>
          <w:tcPr>
            <w:tcW w:w="1843" w:type="dxa"/>
            <w:tcBorders>
              <w:top w:val="outset" w:sz="6" w:space="0" w:color="auto"/>
              <w:left w:val="outset" w:sz="6" w:space="0" w:color="auto"/>
              <w:bottom w:val="outset" w:sz="6" w:space="0" w:color="auto"/>
              <w:right w:val="outset" w:sz="6" w:space="0" w:color="auto"/>
            </w:tcBorders>
            <w:hideMark/>
          </w:tcPr>
          <w:p w:rsidR="00956BE6" w:rsidRPr="001B7E4E" w:rsidRDefault="00956BE6" w:rsidP="002F17DF">
            <w:pPr>
              <w:spacing w:before="100" w:beforeAutospacing="1" w:after="100" w:afterAutospacing="1"/>
            </w:pPr>
            <w:r w:rsidRPr="001B7E4E">
              <w:t> Pašreizējā situācija un problēmas</w:t>
            </w:r>
          </w:p>
        </w:tc>
        <w:tc>
          <w:tcPr>
            <w:tcW w:w="6818" w:type="dxa"/>
            <w:tcBorders>
              <w:top w:val="outset" w:sz="6" w:space="0" w:color="auto"/>
              <w:left w:val="outset" w:sz="6" w:space="0" w:color="auto"/>
              <w:bottom w:val="outset" w:sz="6" w:space="0" w:color="auto"/>
              <w:right w:val="outset" w:sz="6" w:space="0" w:color="auto"/>
            </w:tcBorders>
            <w:hideMark/>
          </w:tcPr>
          <w:p w:rsidR="00257319" w:rsidRPr="00894A54" w:rsidRDefault="00EF1607" w:rsidP="00894A54">
            <w:pPr>
              <w:ind w:left="127" w:right="127"/>
              <w:jc w:val="both"/>
              <w:rPr>
                <w:color w:val="000000"/>
              </w:rPr>
            </w:pPr>
            <w:r w:rsidRPr="0084099A">
              <w:t>Pašreiz n</w:t>
            </w:r>
            <w:r w:rsidR="008B094D" w:rsidRPr="0084099A">
              <w:t>oteikumi</w:t>
            </w:r>
            <w:r w:rsidR="0014415B" w:rsidRPr="0084099A">
              <w:t xml:space="preserve"> Nr.446</w:t>
            </w:r>
            <w:r w:rsidR="008B094D" w:rsidRPr="0084099A">
              <w:t xml:space="preserve"> </w:t>
            </w:r>
            <w:r w:rsidR="004560FF" w:rsidRPr="0084099A">
              <w:t>paredz</w:t>
            </w:r>
            <w:r w:rsidR="004560FF" w:rsidRPr="001B7E4E">
              <w:t>, ka ar 2014.ga</w:t>
            </w:r>
            <w:r w:rsidR="0088596A">
              <w:t xml:space="preserve">da 1.janvāri tiek uzsākta divus mēnešus vecu bērnu </w:t>
            </w:r>
            <w:r w:rsidR="0088596A" w:rsidRPr="001B7E4E">
              <w:t>vakcinācij</w:t>
            </w:r>
            <w:r w:rsidR="008722D0">
              <w:t>a</w:t>
            </w:r>
            <w:r w:rsidR="0088596A" w:rsidRPr="001B7E4E">
              <w:t xml:space="preserve"> pret rotavīrusu infekciju</w:t>
            </w:r>
            <w:r w:rsidR="008722D0">
              <w:t xml:space="preserve"> </w:t>
            </w:r>
            <w:r w:rsidR="008A279A" w:rsidRPr="001B7E4E">
              <w:t>un 7 gadus vecu bērnu vakcinācija pret vējbakām</w:t>
            </w:r>
            <w:r w:rsidR="00A934E5" w:rsidRPr="001B7E4E">
              <w:t xml:space="preserve"> (2.deva)</w:t>
            </w:r>
            <w:r>
              <w:t xml:space="preserve">, </w:t>
            </w:r>
            <w:r w:rsidR="008722D0">
              <w:t xml:space="preserve">tā </w:t>
            </w:r>
            <w:r w:rsidR="00D62C01" w:rsidRPr="001B7E4E">
              <w:t>nodrošin</w:t>
            </w:r>
            <w:r w:rsidR="008722D0">
              <w:t>ot</w:t>
            </w:r>
            <w:r w:rsidR="00D62C01" w:rsidRPr="001B7E4E">
              <w:t xml:space="preserve"> pilnu </w:t>
            </w:r>
            <w:r w:rsidR="004560FF" w:rsidRPr="001B7E4E">
              <w:t>vakcinācijas kurs</w:t>
            </w:r>
            <w:r w:rsidR="00D62C01" w:rsidRPr="001B7E4E">
              <w:t>u</w:t>
            </w:r>
            <w:r w:rsidR="008A279A" w:rsidRPr="001B7E4E">
              <w:t xml:space="preserve"> pret minētajām infekcijas slimībām</w:t>
            </w:r>
            <w:r w:rsidR="004560FF" w:rsidRPr="001B7E4E">
              <w:t>.</w:t>
            </w:r>
            <w:r w:rsidR="00680D93">
              <w:t xml:space="preserve"> </w:t>
            </w:r>
            <w:r w:rsidR="00680D93" w:rsidRPr="00CD524A">
              <w:t>Saskaņā ar MK 2013.gada 30.jūlija sēdes Nr.41. protokollēmuma 52.</w:t>
            </w:r>
            <w:r w:rsidR="00075EC0">
              <w:t>§</w:t>
            </w:r>
            <w:r w:rsidR="00680D93" w:rsidRPr="00CD524A">
              <w:t xml:space="preserve"> „Par „Grozījumiem Ministru kabineta 2000.gada 26.septembra noteikumos Nr.3</w:t>
            </w:r>
            <w:r w:rsidR="00075EC0">
              <w:t>3</w:t>
            </w:r>
            <w:r w:rsidR="00680D93" w:rsidRPr="00CD524A">
              <w:t>0 „Vakcinācijas noteikumi”</w:t>
            </w:r>
            <w:r w:rsidR="00680D93" w:rsidRPr="00CD524A">
              <w:rPr>
                <w:rFonts w:ascii="Calibri" w:hAnsi="Calibri"/>
              </w:rPr>
              <w:t xml:space="preserve"> </w:t>
            </w:r>
            <w:r w:rsidR="00680D93" w:rsidRPr="00CD524A">
              <w:t>2.punktā nolemto - j</w:t>
            </w:r>
            <w:r w:rsidR="00680D93" w:rsidRPr="00CD524A">
              <w:rPr>
                <w:color w:val="000000"/>
              </w:rPr>
              <w:t xml:space="preserve">autājumu par papildu valsts budžeta līdzekļu piešķiršanu Veselības ministrijai vakcinācijas pasākumu nodrošināšanai izskatīt Ministru kabinetā likumprojekta „Par valsts budžetu 2014.gadam” un likumprojekta „Par vidējā termiņa budžeta ietvaru 2014., 2015. un 2016.gadam” sagatavošanas un izskatīšanas procesā kopā ar visu ministriju un centrālo valsts iestāžu priekšlikumiem jaunajām politikas iniciatīvām un iesniegtajiem papildu finansējuma pieprasījumiem atbilstoši valsts budžeta finansiālajām iespējām. </w:t>
            </w:r>
          </w:p>
          <w:p w:rsidR="00E27980" w:rsidRPr="00CD524A" w:rsidRDefault="00257319" w:rsidP="00D96109">
            <w:pPr>
              <w:ind w:left="75" w:right="127"/>
              <w:jc w:val="both"/>
              <w:rPr>
                <w:color w:val="000000"/>
              </w:rPr>
            </w:pPr>
            <w:r w:rsidRPr="00CD524A">
              <w:rPr>
                <w:color w:val="000000"/>
              </w:rPr>
              <w:t>S</w:t>
            </w:r>
            <w:r w:rsidR="00680D93" w:rsidRPr="00CD524A">
              <w:rPr>
                <w:color w:val="000000"/>
              </w:rPr>
              <w:t>askaņā ar l</w:t>
            </w:r>
            <w:r w:rsidR="008A279A" w:rsidRPr="00CD524A">
              <w:rPr>
                <w:color w:val="000000"/>
              </w:rPr>
              <w:t>ikum</w:t>
            </w:r>
            <w:r w:rsidR="00680D93" w:rsidRPr="00CD524A">
              <w:rPr>
                <w:color w:val="000000"/>
              </w:rPr>
              <w:t>u</w:t>
            </w:r>
            <w:r w:rsidR="008A279A" w:rsidRPr="00CD524A">
              <w:rPr>
                <w:color w:val="000000"/>
              </w:rPr>
              <w:t xml:space="preserve"> „Par valsts budžetu 2014.gadam” nav</w:t>
            </w:r>
            <w:r w:rsidR="00325BF9" w:rsidRPr="00CD524A">
              <w:rPr>
                <w:color w:val="000000"/>
              </w:rPr>
              <w:t xml:space="preserve"> piešķirts </w:t>
            </w:r>
            <w:r w:rsidR="008A279A" w:rsidRPr="00CD524A">
              <w:rPr>
                <w:color w:val="000000"/>
              </w:rPr>
              <w:t>papildu finansējums</w:t>
            </w:r>
            <w:r w:rsidR="00684A41" w:rsidRPr="00CD524A">
              <w:rPr>
                <w:color w:val="000000"/>
              </w:rPr>
              <w:t xml:space="preserve"> 2014.gadā</w:t>
            </w:r>
            <w:r w:rsidR="008A279A" w:rsidRPr="00CD524A">
              <w:rPr>
                <w:color w:val="000000"/>
              </w:rPr>
              <w:t xml:space="preserve"> </w:t>
            </w:r>
            <w:r w:rsidR="00325BF9" w:rsidRPr="00CD524A">
              <w:rPr>
                <w:color w:val="000000"/>
              </w:rPr>
              <w:t xml:space="preserve">minēto vakcinācijas pasākumu </w:t>
            </w:r>
            <w:r w:rsidR="00325BF9" w:rsidRPr="00CD524A">
              <w:rPr>
                <w:color w:val="000000"/>
              </w:rPr>
              <w:lastRenderedPageBreak/>
              <w:t>(</w:t>
            </w:r>
            <w:r w:rsidR="008A279A" w:rsidRPr="00CD524A">
              <w:rPr>
                <w:color w:val="000000"/>
              </w:rPr>
              <w:t>jaun</w:t>
            </w:r>
            <w:r w:rsidR="00325BF9" w:rsidRPr="00CD524A">
              <w:rPr>
                <w:color w:val="000000"/>
              </w:rPr>
              <w:t xml:space="preserve">o </w:t>
            </w:r>
            <w:r w:rsidR="008A279A" w:rsidRPr="00CD524A">
              <w:rPr>
                <w:color w:val="000000"/>
              </w:rPr>
              <w:t>politikas iniciatīv</w:t>
            </w:r>
            <w:r w:rsidR="00325BF9" w:rsidRPr="00CD524A">
              <w:rPr>
                <w:color w:val="000000"/>
              </w:rPr>
              <w:t>u) nodrošināšanai.</w:t>
            </w:r>
          </w:p>
          <w:p w:rsidR="00257319" w:rsidRPr="00CD524A" w:rsidRDefault="0047135D" w:rsidP="00D96109">
            <w:pPr>
              <w:ind w:left="75" w:right="127"/>
              <w:jc w:val="both"/>
              <w:rPr>
                <w:color w:val="000000"/>
              </w:rPr>
            </w:pPr>
            <w:r>
              <w:rPr>
                <w:color w:val="000000"/>
              </w:rPr>
              <w:t>Plānojot finansējumu 2013.gadam, atbilstoši informācijā „Par valsts budžeta prioritārajiem pasākumiem 2013-2015.gadam” ietvertajiem prioritāriem pasākumiem 2013.-2015.gadam (precizēts atbilstoši MK 16.08.2012. sēdē nolemtajam, bērnu vakcinācijai pret rota vīrusu</w:t>
            </w:r>
            <w:r w:rsidR="00257319" w:rsidRPr="00CD524A">
              <w:rPr>
                <w:color w:val="000000"/>
              </w:rPr>
              <w:t xml:space="preserve"> ir paredzēts </w:t>
            </w:r>
            <w:r w:rsidRPr="00CD524A">
              <w:rPr>
                <w:color w:val="000000"/>
              </w:rPr>
              <w:t xml:space="preserve">finansējums </w:t>
            </w:r>
            <w:r w:rsidR="00257319" w:rsidRPr="00CD524A">
              <w:rPr>
                <w:color w:val="000000"/>
              </w:rPr>
              <w:t xml:space="preserve">no 2015.gada 796808 </w:t>
            </w:r>
            <w:proofErr w:type="spellStart"/>
            <w:r w:rsidR="00257319" w:rsidRPr="00CD524A">
              <w:rPr>
                <w:color w:val="000000"/>
              </w:rPr>
              <w:t>euro</w:t>
            </w:r>
            <w:proofErr w:type="spellEnd"/>
            <w:r>
              <w:rPr>
                <w:color w:val="000000"/>
              </w:rPr>
              <w:t xml:space="preserve"> (12.punkts)</w:t>
            </w:r>
            <w:r w:rsidR="00257319" w:rsidRPr="00CD524A">
              <w:rPr>
                <w:color w:val="000000"/>
              </w:rPr>
              <w:t>.</w:t>
            </w:r>
          </w:p>
          <w:p w:rsidR="00B27FA4" w:rsidRPr="00CD524A" w:rsidRDefault="0014166D" w:rsidP="00B27FA4">
            <w:pPr>
              <w:ind w:left="127" w:right="140" w:hanging="1"/>
              <w:jc w:val="both"/>
            </w:pPr>
            <w:r w:rsidRPr="00CD524A">
              <w:rPr>
                <w:color w:val="000000"/>
              </w:rPr>
              <w:t xml:space="preserve">Atbilstoši piešķirtajam finansējumam </w:t>
            </w:r>
            <w:r w:rsidR="008A279A" w:rsidRPr="00CD524A">
              <w:rPr>
                <w:color w:val="000000"/>
              </w:rPr>
              <w:t>nepieciešams</w:t>
            </w:r>
            <w:r w:rsidR="00FE2026" w:rsidRPr="00CD524A">
              <w:rPr>
                <w:color w:val="000000"/>
              </w:rPr>
              <w:t xml:space="preserve"> precizēt vakcinācijas pret rotavīrusu uzsākšanas termiņu, </w:t>
            </w:r>
            <w:r w:rsidR="00F2321B" w:rsidRPr="00CD524A">
              <w:rPr>
                <w:color w:val="000000"/>
              </w:rPr>
              <w:t>no</w:t>
            </w:r>
            <w:r w:rsidR="00FE2026" w:rsidRPr="00CD524A">
              <w:rPr>
                <w:color w:val="000000"/>
              </w:rPr>
              <w:t>sakot</w:t>
            </w:r>
            <w:r w:rsidR="00E27980" w:rsidRPr="00CD524A">
              <w:rPr>
                <w:color w:val="000000"/>
              </w:rPr>
              <w:t>, ka</w:t>
            </w:r>
            <w:r w:rsidR="001B6B34" w:rsidRPr="00CD524A">
              <w:rPr>
                <w:color w:val="000000"/>
              </w:rPr>
              <w:t xml:space="preserve"> </w:t>
            </w:r>
            <w:r w:rsidR="008A279A" w:rsidRPr="00CD524A">
              <w:t>vakcinācij</w:t>
            </w:r>
            <w:r w:rsidR="00F2321B" w:rsidRPr="00CD524A">
              <w:t>u</w:t>
            </w:r>
            <w:r w:rsidR="008A279A" w:rsidRPr="00CD524A">
              <w:t xml:space="preserve"> pret   rotavīrus</w:t>
            </w:r>
            <w:r w:rsidR="00EF1607" w:rsidRPr="00CD524A">
              <w:t>u</w:t>
            </w:r>
            <w:r w:rsidR="008A279A" w:rsidRPr="00CD524A">
              <w:t xml:space="preserve"> infekciju</w:t>
            </w:r>
            <w:r w:rsidR="001B6B34" w:rsidRPr="00CD524A">
              <w:t xml:space="preserve"> divus mēnešus veciem bērniem </w:t>
            </w:r>
            <w:r w:rsidR="00F2321B" w:rsidRPr="00CD524A">
              <w:t>uzsāk</w:t>
            </w:r>
            <w:r w:rsidR="008A279A" w:rsidRPr="00CD524A">
              <w:t xml:space="preserve"> </w:t>
            </w:r>
            <w:r w:rsidR="00A934E5" w:rsidRPr="00CD524A">
              <w:t xml:space="preserve">ar </w:t>
            </w:r>
            <w:r w:rsidR="008A279A" w:rsidRPr="00CD524A">
              <w:t>2015.gada 1.janvār</w:t>
            </w:r>
            <w:r w:rsidR="00FE2026" w:rsidRPr="00CD524A">
              <w:t>i</w:t>
            </w:r>
            <w:r w:rsidR="00B27FA4" w:rsidRPr="00CD524A">
              <w:t>, bet vakcināciju pret vējbakām septiņus gadus veciem bērniem -  nākošajā plānošanas periodā ar 2017.gada 1.janvāri.</w:t>
            </w:r>
          </w:p>
          <w:p w:rsidR="0014166D" w:rsidRPr="00CD524A" w:rsidRDefault="0014166D" w:rsidP="00B27FA4">
            <w:pPr>
              <w:ind w:left="127" w:right="140" w:hanging="1"/>
              <w:jc w:val="both"/>
              <w:rPr>
                <w:color w:val="000000"/>
              </w:rPr>
            </w:pPr>
            <w:r w:rsidRPr="00CD524A">
              <w:t xml:space="preserve">Savukārt </w:t>
            </w:r>
            <w:r w:rsidR="00FE2026" w:rsidRPr="00CD524A">
              <w:t xml:space="preserve">jautājumu </w:t>
            </w:r>
            <w:r w:rsidR="00FE2026" w:rsidRPr="00CD524A">
              <w:rPr>
                <w:color w:val="000000"/>
              </w:rPr>
              <w:t xml:space="preserve">par papildu valsts budžeta līdzekļu piešķiršanu vakcinācijas pret vējbakām pilna vakcinācijas kursa nodrošināšanai nepieciešams izskatīt Ministru kabinetā likumprojekta „Par valsts budžetu 2017.gadam” un likumprojekta „Par vidējā termiņa budžeta ietvaru 2017., 2018. un 2019.gadam” sagatavošanas un izskatīšanas procesā, nosakot to MK protokollēmumā.  </w:t>
            </w:r>
            <w:r w:rsidR="00E87361" w:rsidRPr="00CD524A">
              <w:rPr>
                <w:color w:val="000000"/>
              </w:rPr>
              <w:t>L</w:t>
            </w:r>
            <w:r w:rsidR="00B27FA4" w:rsidRPr="00CD524A">
              <w:rPr>
                <w:color w:val="000000"/>
              </w:rPr>
              <w:t>ai pabeigtu pilnu vakcinācijas kursu</w:t>
            </w:r>
            <w:r w:rsidR="00FA4694" w:rsidRPr="00CD524A">
              <w:rPr>
                <w:color w:val="000000"/>
              </w:rPr>
              <w:t xml:space="preserve"> un ievērotu vakcīnas pret vējbakām lietošanas instrukciju, </w:t>
            </w:r>
            <w:r w:rsidR="00E87361" w:rsidRPr="00CD524A">
              <w:rPr>
                <w:color w:val="000000"/>
              </w:rPr>
              <w:t>plānots finansu pieprasījumā</w:t>
            </w:r>
            <w:r w:rsidR="00FA4694" w:rsidRPr="00CD524A">
              <w:rPr>
                <w:color w:val="000000"/>
              </w:rPr>
              <w:t xml:space="preserve"> 2017.gadam </w:t>
            </w:r>
            <w:r w:rsidR="00E87361" w:rsidRPr="00CD524A">
              <w:rPr>
                <w:color w:val="000000"/>
              </w:rPr>
              <w:t xml:space="preserve">iekļaut arī tos </w:t>
            </w:r>
            <w:r w:rsidR="00FE2026" w:rsidRPr="00CD524A">
              <w:rPr>
                <w:color w:val="000000"/>
              </w:rPr>
              <w:t xml:space="preserve"> bērnus, kas </w:t>
            </w:r>
            <w:r w:rsidR="00B27FA4" w:rsidRPr="00CD524A">
              <w:rPr>
                <w:color w:val="000000"/>
              </w:rPr>
              <w:t xml:space="preserve">no 2008.gada </w:t>
            </w:r>
            <w:r w:rsidR="00FE2026" w:rsidRPr="00CD524A">
              <w:rPr>
                <w:color w:val="000000"/>
              </w:rPr>
              <w:t>saņēmuši vakc</w:t>
            </w:r>
            <w:r w:rsidR="00B27FA4" w:rsidRPr="00CD524A">
              <w:rPr>
                <w:color w:val="000000"/>
              </w:rPr>
              <w:t xml:space="preserve">īnas </w:t>
            </w:r>
            <w:r w:rsidR="00FE2026" w:rsidRPr="00CD524A">
              <w:rPr>
                <w:color w:val="000000"/>
              </w:rPr>
              <w:t xml:space="preserve">pret vējbakām pirmo devu un 2017.gadā būs </w:t>
            </w:r>
            <w:r w:rsidR="00FA4694" w:rsidRPr="00CD524A">
              <w:rPr>
                <w:color w:val="000000"/>
              </w:rPr>
              <w:t xml:space="preserve">ne tikai 7, bet arī </w:t>
            </w:r>
            <w:r w:rsidR="00FE2026" w:rsidRPr="00CD524A">
              <w:rPr>
                <w:color w:val="000000"/>
              </w:rPr>
              <w:t>8</w:t>
            </w:r>
            <w:r w:rsidR="008722D0" w:rsidRPr="00CD524A">
              <w:rPr>
                <w:color w:val="000000"/>
              </w:rPr>
              <w:t>,</w:t>
            </w:r>
            <w:r w:rsidR="00FE2026" w:rsidRPr="00CD524A">
              <w:rPr>
                <w:color w:val="000000"/>
              </w:rPr>
              <w:t xml:space="preserve"> 9 un 10</w:t>
            </w:r>
            <w:r w:rsidR="008722D0" w:rsidRPr="00CD524A">
              <w:rPr>
                <w:color w:val="000000"/>
              </w:rPr>
              <w:t xml:space="preserve"> </w:t>
            </w:r>
            <w:r w:rsidR="00FE2026" w:rsidRPr="00CD524A">
              <w:rPr>
                <w:color w:val="000000"/>
              </w:rPr>
              <w:t>gadus veci</w:t>
            </w:r>
            <w:r w:rsidR="008722D0" w:rsidRPr="00CD524A">
              <w:rPr>
                <w:color w:val="000000"/>
              </w:rPr>
              <w:t>.</w:t>
            </w:r>
            <w:r w:rsidR="00FA4694" w:rsidRPr="00CD524A">
              <w:rPr>
                <w:color w:val="000000"/>
              </w:rPr>
              <w:t xml:space="preserve"> </w:t>
            </w:r>
          </w:p>
          <w:p w:rsidR="008722D0" w:rsidRPr="00CD524A" w:rsidRDefault="008722D0" w:rsidP="008722D0">
            <w:pPr>
              <w:pStyle w:val="NoSpacing"/>
              <w:ind w:left="127"/>
              <w:jc w:val="both"/>
              <w:rPr>
                <w:rFonts w:ascii="Times New Roman" w:hAnsi="Times New Roman" w:cs="Times New Roman"/>
                <w:sz w:val="24"/>
                <w:szCs w:val="24"/>
              </w:rPr>
            </w:pPr>
            <w:r w:rsidRPr="00CD524A">
              <w:rPr>
                <w:rFonts w:ascii="Times New Roman" w:hAnsi="Times New Roman" w:cs="Times New Roman"/>
                <w:sz w:val="24"/>
                <w:szCs w:val="24"/>
              </w:rPr>
              <w:t>M</w:t>
            </w:r>
            <w:r w:rsidR="00F506D5" w:rsidRPr="00CD524A">
              <w:rPr>
                <w:rFonts w:ascii="Times New Roman" w:hAnsi="Times New Roman" w:cs="Times New Roman"/>
                <w:sz w:val="24"/>
                <w:szCs w:val="24"/>
              </w:rPr>
              <w:t xml:space="preserve">K </w:t>
            </w:r>
            <w:r w:rsidRPr="00CD524A">
              <w:rPr>
                <w:rFonts w:ascii="Times New Roman" w:hAnsi="Times New Roman" w:cs="Times New Roman"/>
                <w:sz w:val="24"/>
                <w:szCs w:val="24"/>
              </w:rPr>
              <w:t>2000.gada 26.septembra noteikumu Nr.3</w:t>
            </w:r>
            <w:r w:rsidR="00075EC0">
              <w:rPr>
                <w:rFonts w:ascii="Times New Roman" w:hAnsi="Times New Roman" w:cs="Times New Roman"/>
                <w:sz w:val="24"/>
                <w:szCs w:val="24"/>
              </w:rPr>
              <w:t>3</w:t>
            </w:r>
            <w:r w:rsidRPr="00CD524A">
              <w:rPr>
                <w:rFonts w:ascii="Times New Roman" w:hAnsi="Times New Roman" w:cs="Times New Roman"/>
                <w:sz w:val="24"/>
                <w:szCs w:val="24"/>
              </w:rPr>
              <w:t xml:space="preserve">0 „Vakcinācijas noteikumi” (turpmāk – noteikumi Nr.330) 30.punktā iekļautās tiesību normas nosaka arodinfekciju (infekcijas slimības, ar kuru cilvēks var inficēties, ja, pildot darba pienākumus, viņš nonāk saskarē ar bioloģiskas izcelsmes materiāliem, kuri satur vai var saturēt infekcijas slimību izraisītājus, kā arī ar slimības izraisītāju pārnēsātājiem, infekciozām personām vai dzīvniekiem) novēršanai darbiniekus obligāti vakcinēt pret B hepatītu, trakumsērgu, ērču encefalītu un dzelteno drudzi.  </w:t>
            </w:r>
            <w:r w:rsidRPr="00CD524A">
              <w:rPr>
                <w:rFonts w:ascii="Times New Roman" w:hAnsi="Times New Roman"/>
                <w:sz w:val="24"/>
                <w:szCs w:val="24"/>
              </w:rPr>
              <w:t xml:space="preserve">Noteikumu Nr.330 31.3.apakšpunkts paredz, ka darba devēju un izglītības iestāžu vadītāju pienākums ir atbilstoši inficēšanās riskam nodrošināt darbiniekiem bezmaksas vakcīnu un vakcināciju pret šo noteikumu </w:t>
            </w:r>
            <w:hyperlink r:id="rId8" w:anchor="p30" w:history="1">
              <w:r w:rsidRPr="00CD524A">
                <w:rPr>
                  <w:rStyle w:val="Hyperlink"/>
                  <w:rFonts w:ascii="Times New Roman" w:hAnsi="Times New Roman"/>
                  <w:color w:val="auto"/>
                  <w:sz w:val="24"/>
                  <w:szCs w:val="24"/>
                  <w:u w:val="none"/>
                </w:rPr>
                <w:t>30.punktā</w:t>
              </w:r>
            </w:hyperlink>
            <w:r w:rsidRPr="00CD524A">
              <w:rPr>
                <w:rFonts w:ascii="Times New Roman" w:hAnsi="Times New Roman"/>
                <w:sz w:val="24"/>
                <w:szCs w:val="24"/>
              </w:rPr>
              <w:t xml:space="preserve"> minētajām infekcijas slimībām un, ja nepieciešams, - atkārtotu vakcināciju (pilnīgi, objektīvi un skaidri informējot darbiniekus par inficēšanās risku, slimības sekām, vakcinācijas drošību un efektivitāti, kā arī darbinieku tiesībām un pienākumiem jautājumos, kas saistīti ar vakcināciju), kā arī nodrošināt iespēju tās veikšanai. Savukārt n</w:t>
            </w:r>
            <w:r w:rsidRPr="00CD524A">
              <w:rPr>
                <w:rFonts w:ascii="Times New Roman" w:hAnsi="Times New Roman" w:cs="Times New Roman"/>
                <w:sz w:val="24"/>
                <w:szCs w:val="24"/>
              </w:rPr>
              <w:t xml:space="preserve">oteikumu Nr.330 33.punktā ir precīzi norādītas personas, kam obligāti veicama vakcinācija pret B hepatītu, piemēram, ārstniecības personas, kas veic injekcijas. </w:t>
            </w:r>
          </w:p>
          <w:p w:rsidR="008722D0" w:rsidRPr="00CD524A" w:rsidRDefault="008722D0" w:rsidP="008722D0">
            <w:pPr>
              <w:pStyle w:val="NoSpacing"/>
              <w:ind w:left="127"/>
              <w:jc w:val="both"/>
              <w:rPr>
                <w:rFonts w:ascii="Times New Roman" w:hAnsi="Times New Roman"/>
                <w:sz w:val="24"/>
                <w:szCs w:val="24"/>
              </w:rPr>
            </w:pPr>
            <w:r w:rsidRPr="00CD524A">
              <w:rPr>
                <w:rFonts w:ascii="Times New Roman" w:hAnsi="Times New Roman" w:cs="Times New Roman"/>
                <w:sz w:val="24"/>
                <w:szCs w:val="24"/>
              </w:rPr>
              <w:t>Direktīvas 2010/32/ES pielikuma 6.klauzulas 3.punkts paredz,  ka, ja darba vides riska novērtējums liecina par apdraudējumu darba ņēmēju drošībai un veselībai, ko rada saskarsme ar tādiem bioloģiskiem aģentiem, pret kuriem ir efektīvas vakcīnas, darba ņēmējiem piedāvā vakcinēties. Savukārt Direktīvas 2010/32/ES pielikuma 6.klauzulas 4.punkts nosaka, ka v</w:t>
            </w:r>
            <w:r w:rsidRPr="00CD524A">
              <w:rPr>
                <w:rFonts w:ascii="Times New Roman" w:hAnsi="Times New Roman"/>
                <w:sz w:val="24"/>
                <w:szCs w:val="24"/>
              </w:rPr>
              <w:t xml:space="preserve">akcināciju un, ja </w:t>
            </w:r>
            <w:r w:rsidRPr="00CD524A">
              <w:rPr>
                <w:rFonts w:ascii="Times New Roman" w:hAnsi="Times New Roman"/>
                <w:sz w:val="24"/>
                <w:szCs w:val="24"/>
              </w:rPr>
              <w:lastRenderedPageBreak/>
              <w:t>vajadzīgs revakcināciju, tostarp vakcīnu veida noteikšanu, veic atbilstoši valsts tiesību aktiem un/vai praksei; darba ņēmējus informē par vakcinācijas un nevakcinēšanas priekšrocībām un trūkumiem; bezmaksas vakcinācija ir jāpiedāvā visiem darba ņēmējiem un studentiem, kas veic veselības aprūpi un ar to saistītas darbības darbavietā.</w:t>
            </w:r>
          </w:p>
          <w:p w:rsidR="008722D0" w:rsidRPr="00CD524A" w:rsidRDefault="008722D0" w:rsidP="008722D0">
            <w:pPr>
              <w:pStyle w:val="NoSpacing"/>
              <w:ind w:left="127"/>
              <w:jc w:val="both"/>
              <w:rPr>
                <w:rFonts w:ascii="Times New Roman" w:hAnsi="Times New Roman"/>
                <w:sz w:val="24"/>
                <w:szCs w:val="24"/>
              </w:rPr>
            </w:pPr>
            <w:r w:rsidRPr="00CD524A">
              <w:rPr>
                <w:rFonts w:ascii="Times New Roman" w:hAnsi="Times New Roman"/>
                <w:sz w:val="24"/>
                <w:szCs w:val="24"/>
              </w:rPr>
              <w:t>Direktīvas 2010/32/ES 3.panta 1.punkts nosaka, ka  dalībvalstis normatīvajos aktos, ar kuriem ir pārņemtas Direktīvas 2010/32/ES prasības, ietver vai oficiālajai publikācijai pievieno atsauci uz Direktīvu 2010/32/ES.</w:t>
            </w:r>
          </w:p>
          <w:p w:rsidR="008722D0" w:rsidRPr="00B27FA4" w:rsidRDefault="008722D0" w:rsidP="00F506D5">
            <w:pPr>
              <w:ind w:left="127" w:right="140"/>
              <w:jc w:val="both"/>
              <w:rPr>
                <w:color w:val="000000"/>
                <w:u w:val="single"/>
              </w:rPr>
            </w:pPr>
            <w:r w:rsidRPr="00CD524A">
              <w:t xml:space="preserve">Ņemot vērā minēto, </w:t>
            </w:r>
            <w:r w:rsidR="00F506D5" w:rsidRPr="00CD524A">
              <w:t>n</w:t>
            </w:r>
            <w:r w:rsidRPr="00CD524A">
              <w:t>oteikumos Nr.330 jau ir noteiktas Direktīvas 2010/32/ES pielikuma 6.klauzulas 3. un 4.punktā minētās prasības. Līdz ar to, lai nodrošinātu Direktīvas 3.panta 1.puktā noteikto, nepieciešams veikt grozījumu</w:t>
            </w:r>
            <w:r w:rsidR="00F506D5" w:rsidRPr="00CD524A">
              <w:t>s</w:t>
            </w:r>
            <w:r w:rsidRPr="00CD524A">
              <w:t xml:space="preserve"> </w:t>
            </w:r>
            <w:r w:rsidR="00F506D5" w:rsidRPr="00CD524A">
              <w:t>n</w:t>
            </w:r>
            <w:r w:rsidRPr="00CD524A">
              <w:t xml:space="preserve">oteikumos Nr.330, papildinot tos ar informatīvo atsauci uz </w:t>
            </w:r>
            <w:r w:rsidR="00F506D5" w:rsidRPr="00CD524A">
              <w:t>Direktīvu 2010/32/ES</w:t>
            </w:r>
          </w:p>
        </w:tc>
      </w:tr>
      <w:tr w:rsidR="00956BE6" w:rsidRPr="001B7E4E" w:rsidTr="00AF7E98">
        <w:trPr>
          <w:trHeight w:val="759"/>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956BE6" w:rsidRPr="001B7E4E" w:rsidRDefault="00956BE6" w:rsidP="002F17DF">
            <w:pPr>
              <w:spacing w:before="100" w:beforeAutospacing="1" w:after="100" w:afterAutospacing="1"/>
            </w:pPr>
            <w:r w:rsidRPr="001B7E4E">
              <w:lastRenderedPageBreak/>
              <w:t> 3.</w:t>
            </w:r>
          </w:p>
        </w:tc>
        <w:tc>
          <w:tcPr>
            <w:tcW w:w="1843" w:type="dxa"/>
            <w:tcBorders>
              <w:top w:val="outset" w:sz="6" w:space="0" w:color="auto"/>
              <w:left w:val="outset" w:sz="6" w:space="0" w:color="auto"/>
              <w:bottom w:val="outset" w:sz="6" w:space="0" w:color="auto"/>
              <w:right w:val="outset" w:sz="6" w:space="0" w:color="auto"/>
            </w:tcBorders>
            <w:hideMark/>
          </w:tcPr>
          <w:p w:rsidR="00956BE6" w:rsidRPr="001B7E4E" w:rsidRDefault="00956BE6" w:rsidP="002F17DF">
            <w:pPr>
              <w:spacing w:before="100" w:beforeAutospacing="1" w:after="100" w:afterAutospacing="1"/>
            </w:pPr>
            <w:r w:rsidRPr="001B7E4E">
              <w:t> Saistītie politikas ietekmes novērtējumi un pētījumi</w:t>
            </w:r>
          </w:p>
        </w:tc>
        <w:tc>
          <w:tcPr>
            <w:tcW w:w="6818" w:type="dxa"/>
            <w:tcBorders>
              <w:top w:val="outset" w:sz="6" w:space="0" w:color="auto"/>
              <w:left w:val="outset" w:sz="6" w:space="0" w:color="auto"/>
              <w:bottom w:val="outset" w:sz="6" w:space="0" w:color="auto"/>
              <w:right w:val="outset" w:sz="6" w:space="0" w:color="auto"/>
            </w:tcBorders>
            <w:hideMark/>
          </w:tcPr>
          <w:p w:rsidR="00956BE6" w:rsidRPr="001B7E4E" w:rsidRDefault="00956BE6" w:rsidP="00AE18B6">
            <w:pPr>
              <w:ind w:left="127" w:right="140" w:hanging="1"/>
              <w:jc w:val="both"/>
            </w:pPr>
            <w:r w:rsidRPr="001B7E4E">
              <w:t>Projekts šo jomu neskar</w:t>
            </w:r>
          </w:p>
        </w:tc>
      </w:tr>
      <w:tr w:rsidR="00956BE6" w:rsidRPr="001B7E4E" w:rsidTr="00AF7E98">
        <w:trPr>
          <w:trHeight w:val="38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956BE6" w:rsidRPr="001B7E4E" w:rsidRDefault="00956BE6" w:rsidP="002F17DF">
            <w:pPr>
              <w:spacing w:before="100" w:beforeAutospacing="1" w:after="100" w:afterAutospacing="1"/>
            </w:pPr>
            <w:r w:rsidRPr="001B7E4E">
              <w:t> 4.</w:t>
            </w:r>
          </w:p>
        </w:tc>
        <w:tc>
          <w:tcPr>
            <w:tcW w:w="1843" w:type="dxa"/>
            <w:tcBorders>
              <w:top w:val="outset" w:sz="6" w:space="0" w:color="auto"/>
              <w:left w:val="outset" w:sz="6" w:space="0" w:color="auto"/>
              <w:bottom w:val="outset" w:sz="6" w:space="0" w:color="auto"/>
              <w:right w:val="outset" w:sz="6" w:space="0" w:color="auto"/>
            </w:tcBorders>
            <w:hideMark/>
          </w:tcPr>
          <w:p w:rsidR="00956BE6" w:rsidRPr="001B7E4E" w:rsidRDefault="00956BE6" w:rsidP="002F17DF">
            <w:pPr>
              <w:spacing w:before="100" w:beforeAutospacing="1" w:after="100" w:afterAutospacing="1"/>
            </w:pPr>
            <w:r w:rsidRPr="001B7E4E">
              <w:t> Tiesiskā regulējuma mērķis un būtība</w:t>
            </w:r>
          </w:p>
        </w:tc>
        <w:tc>
          <w:tcPr>
            <w:tcW w:w="6818" w:type="dxa"/>
            <w:tcBorders>
              <w:top w:val="outset" w:sz="6" w:space="0" w:color="auto"/>
              <w:left w:val="outset" w:sz="6" w:space="0" w:color="auto"/>
              <w:bottom w:val="outset" w:sz="6" w:space="0" w:color="auto"/>
              <w:right w:val="outset" w:sz="6" w:space="0" w:color="auto"/>
            </w:tcBorders>
            <w:hideMark/>
          </w:tcPr>
          <w:p w:rsidR="00FF068B" w:rsidRPr="00CD524A" w:rsidRDefault="002F31B8" w:rsidP="00177310">
            <w:pPr>
              <w:ind w:left="127" w:right="140" w:hanging="1"/>
              <w:jc w:val="both"/>
            </w:pPr>
            <w:r w:rsidRPr="00CD524A">
              <w:t>P</w:t>
            </w:r>
            <w:r w:rsidR="00E86624" w:rsidRPr="00CD524A">
              <w:t xml:space="preserve">rojekta mērķis ir </w:t>
            </w:r>
            <w:r w:rsidR="004560FF" w:rsidRPr="00CD524A">
              <w:t xml:space="preserve">precizēt vakcinācijas pret  </w:t>
            </w:r>
            <w:r w:rsidR="00E86624" w:rsidRPr="00CD524A">
              <w:t xml:space="preserve"> rotavīrus</w:t>
            </w:r>
            <w:r w:rsidRPr="00CD524A">
              <w:t>u</w:t>
            </w:r>
            <w:r w:rsidR="00E86624" w:rsidRPr="00CD524A">
              <w:t xml:space="preserve"> infekciju</w:t>
            </w:r>
            <w:r w:rsidR="006B0368" w:rsidRPr="00CD524A">
              <w:t xml:space="preserve"> divus mēnešus veciem bērniem </w:t>
            </w:r>
            <w:r w:rsidR="00E86624" w:rsidRPr="00CD524A">
              <w:t xml:space="preserve">un </w:t>
            </w:r>
            <w:r w:rsidR="006B0368" w:rsidRPr="00CD524A">
              <w:t xml:space="preserve">vakcinācijas pret </w:t>
            </w:r>
            <w:r w:rsidR="00E86624" w:rsidRPr="00CD524A">
              <w:t>vējbak</w:t>
            </w:r>
            <w:r w:rsidR="00FF068B" w:rsidRPr="00CD524A">
              <w:t xml:space="preserve">ām </w:t>
            </w:r>
            <w:r w:rsidR="00177310" w:rsidRPr="00CD524A">
              <w:t>7</w:t>
            </w:r>
            <w:r w:rsidR="006B0368" w:rsidRPr="00CD524A">
              <w:t xml:space="preserve"> gadus veciem </w:t>
            </w:r>
            <w:r w:rsidR="00FF068B" w:rsidRPr="00CD524A">
              <w:t xml:space="preserve">bērniem uzsākšanas </w:t>
            </w:r>
            <w:r w:rsidR="004560FF" w:rsidRPr="00CD524A">
              <w:t xml:space="preserve"> termiņus</w:t>
            </w:r>
            <w:r w:rsidRPr="00CD524A">
              <w:t xml:space="preserve"> atbilstoši </w:t>
            </w:r>
            <w:r w:rsidRPr="00CD524A">
              <w:rPr>
                <w:color w:val="000000"/>
              </w:rPr>
              <w:t>piešķirt</w:t>
            </w:r>
            <w:r w:rsidR="00177310" w:rsidRPr="00CD524A">
              <w:rPr>
                <w:color w:val="000000"/>
              </w:rPr>
              <w:t xml:space="preserve">ajam </w:t>
            </w:r>
            <w:r w:rsidRPr="00CD524A">
              <w:rPr>
                <w:color w:val="000000"/>
              </w:rPr>
              <w:t>un plānot</w:t>
            </w:r>
            <w:r w:rsidR="00177310" w:rsidRPr="00CD524A">
              <w:rPr>
                <w:color w:val="000000"/>
              </w:rPr>
              <w:t xml:space="preserve">ajam </w:t>
            </w:r>
            <w:r w:rsidRPr="00CD524A">
              <w:rPr>
                <w:color w:val="000000"/>
              </w:rPr>
              <w:t>finansējum</w:t>
            </w:r>
            <w:r w:rsidR="00177310" w:rsidRPr="00CD524A">
              <w:rPr>
                <w:color w:val="000000"/>
              </w:rPr>
              <w:t>am.</w:t>
            </w:r>
          </w:p>
          <w:p w:rsidR="003435E2" w:rsidRPr="00CD524A" w:rsidRDefault="00177310" w:rsidP="002F1E54">
            <w:pPr>
              <w:ind w:left="127" w:right="140" w:hanging="1"/>
              <w:jc w:val="both"/>
            </w:pPr>
            <w:r w:rsidRPr="00CD524A">
              <w:t>Ņemot vērā minēto p</w:t>
            </w:r>
            <w:r w:rsidR="004560FF" w:rsidRPr="00CD524A">
              <w:t xml:space="preserve">rojekts paredz </w:t>
            </w:r>
            <w:r w:rsidR="003435E2" w:rsidRPr="00CD524A">
              <w:t>noteikt, ka:</w:t>
            </w:r>
          </w:p>
          <w:p w:rsidR="00FF068B" w:rsidRPr="00CD524A" w:rsidRDefault="00FF068B" w:rsidP="002F1E54">
            <w:pPr>
              <w:ind w:left="127" w:right="140" w:hanging="1"/>
              <w:jc w:val="both"/>
            </w:pPr>
            <w:r w:rsidRPr="00CD524A">
              <w:t>1</w:t>
            </w:r>
            <w:r w:rsidR="00187742" w:rsidRPr="00CD524A">
              <w:t>)</w:t>
            </w:r>
            <w:r w:rsidRPr="00CD524A">
              <w:t xml:space="preserve"> </w:t>
            </w:r>
            <w:r w:rsidR="002F1E54" w:rsidRPr="00CD524A">
              <w:t>vakcināciju pret rota vīrusu infekciju</w:t>
            </w:r>
            <w:r w:rsidR="001B6B34" w:rsidRPr="00CD524A">
              <w:t xml:space="preserve"> divus mēnešus veciem bērniem</w:t>
            </w:r>
            <w:r w:rsidR="002F1E54" w:rsidRPr="00CD524A">
              <w:t xml:space="preserve"> </w:t>
            </w:r>
            <w:r w:rsidR="00F10DE6" w:rsidRPr="00CD524A">
              <w:t>uz</w:t>
            </w:r>
            <w:r w:rsidR="002F1E54" w:rsidRPr="00CD524A">
              <w:t xml:space="preserve">sāk </w:t>
            </w:r>
            <w:r w:rsidR="00F10DE6" w:rsidRPr="00CD524A">
              <w:t xml:space="preserve">ar </w:t>
            </w:r>
            <w:r w:rsidR="002F1E54" w:rsidRPr="00CD524A">
              <w:t>2015.gada 1.janvār</w:t>
            </w:r>
            <w:r w:rsidR="00F10DE6" w:rsidRPr="00CD524A">
              <w:t>i</w:t>
            </w:r>
            <w:r w:rsidR="002F1E54" w:rsidRPr="00CD524A">
              <w:t xml:space="preserve"> (projekta </w:t>
            </w:r>
            <w:r w:rsidR="00F10DE6" w:rsidRPr="00CD524A">
              <w:t>1</w:t>
            </w:r>
            <w:r w:rsidR="002F1E54" w:rsidRPr="00CD524A">
              <w:t>.punkts</w:t>
            </w:r>
            <w:r w:rsidR="00F10DE6" w:rsidRPr="00CD524A">
              <w:t>);</w:t>
            </w:r>
            <w:r w:rsidR="003435E2" w:rsidRPr="00CD524A">
              <w:t xml:space="preserve"> </w:t>
            </w:r>
          </w:p>
          <w:p w:rsidR="001B7E4E" w:rsidRPr="00CD524A" w:rsidRDefault="00FF068B" w:rsidP="00D55A49">
            <w:pPr>
              <w:ind w:left="127" w:right="140" w:hanging="1"/>
              <w:jc w:val="both"/>
              <w:rPr>
                <w:color w:val="000000"/>
              </w:rPr>
            </w:pPr>
            <w:r w:rsidRPr="00CD524A">
              <w:t>2</w:t>
            </w:r>
            <w:r w:rsidR="00187742" w:rsidRPr="00CD524A">
              <w:t>)</w:t>
            </w:r>
            <w:r w:rsidRPr="00CD524A">
              <w:t xml:space="preserve"> </w:t>
            </w:r>
            <w:r w:rsidR="003435E2" w:rsidRPr="00CD524A">
              <w:t>vakcinācij</w:t>
            </w:r>
            <w:r w:rsidRPr="00CD524A">
              <w:t>u</w:t>
            </w:r>
            <w:r w:rsidR="003435E2" w:rsidRPr="00CD524A">
              <w:t xml:space="preserve"> </w:t>
            </w:r>
            <w:r w:rsidR="00312263" w:rsidRPr="00CD524A">
              <w:t>pret vējbakām 7 gadus veciem bērniem</w:t>
            </w:r>
            <w:r w:rsidR="003435E2" w:rsidRPr="00CD524A">
              <w:t xml:space="preserve"> </w:t>
            </w:r>
            <w:r w:rsidRPr="00CD524A">
              <w:t>(2.deva) uz</w:t>
            </w:r>
            <w:r w:rsidR="003435E2" w:rsidRPr="00CD524A">
              <w:t>sāk ar 2017.gada 1.janvāri</w:t>
            </w:r>
            <w:r w:rsidRPr="00CD524A">
              <w:t xml:space="preserve"> </w:t>
            </w:r>
            <w:r w:rsidR="00D62C01" w:rsidRPr="00CD524A">
              <w:t xml:space="preserve">(projekta </w:t>
            </w:r>
            <w:r w:rsidRPr="00CD524A">
              <w:t>2</w:t>
            </w:r>
            <w:r w:rsidR="00D62C01" w:rsidRPr="00CD524A">
              <w:t>.punkts)</w:t>
            </w:r>
            <w:r w:rsidR="00177310" w:rsidRPr="00CD524A">
              <w:t xml:space="preserve">, paredzot, ka  </w:t>
            </w:r>
            <w:r w:rsidR="00177310" w:rsidRPr="00CD524A">
              <w:rPr>
                <w:color w:val="000000"/>
              </w:rPr>
              <w:t xml:space="preserve">papildu valsts budžeta līdzekļu piešķiršanu Veselības ministrijai </w:t>
            </w:r>
            <w:r w:rsidR="0014166D" w:rsidRPr="00CD524A">
              <w:rPr>
                <w:color w:val="000000"/>
              </w:rPr>
              <w:t xml:space="preserve">vakcinācijas pret vējbakām pilna vakcinācijas kursa nodrošināšanai </w:t>
            </w:r>
            <w:r w:rsidR="00177310" w:rsidRPr="00CD524A">
              <w:rPr>
                <w:color w:val="000000"/>
              </w:rPr>
              <w:t>izskatīt Ministru kabinetā likumprojekta „Par valsts budžetu 2017.gadam” un likumprojekta „Par vidējā termiņa budžeta ietvaru 201</w:t>
            </w:r>
            <w:r w:rsidR="0014166D" w:rsidRPr="00CD524A">
              <w:rPr>
                <w:color w:val="000000"/>
              </w:rPr>
              <w:t>7</w:t>
            </w:r>
            <w:r w:rsidR="00177310" w:rsidRPr="00CD524A">
              <w:rPr>
                <w:color w:val="000000"/>
              </w:rPr>
              <w:t>., 201</w:t>
            </w:r>
            <w:r w:rsidR="0014166D" w:rsidRPr="00CD524A">
              <w:rPr>
                <w:color w:val="000000"/>
              </w:rPr>
              <w:t>8</w:t>
            </w:r>
            <w:r w:rsidR="00177310" w:rsidRPr="00CD524A">
              <w:rPr>
                <w:color w:val="000000"/>
              </w:rPr>
              <w:t>. un 201</w:t>
            </w:r>
            <w:r w:rsidR="0014166D" w:rsidRPr="00CD524A">
              <w:rPr>
                <w:color w:val="000000"/>
              </w:rPr>
              <w:t>9</w:t>
            </w:r>
            <w:r w:rsidR="00177310" w:rsidRPr="00CD524A">
              <w:rPr>
                <w:color w:val="000000"/>
              </w:rPr>
              <w:t>.gadam” sagatavošanas un izskatīšanas procesā kopā ar visu ministriju un centrālo valsts iestāžu priekšlikumiem jaunajām politikas iniciatīvām un iesniegtajiem papildu finansējuma pieprasījumiem atbilstoši valsts budžeta finansiālajām iespējām</w:t>
            </w:r>
            <w:r w:rsidR="00D55A49" w:rsidRPr="00CD524A">
              <w:rPr>
                <w:color w:val="000000"/>
              </w:rPr>
              <w:t xml:space="preserve"> (MK protokollēmums).</w:t>
            </w:r>
          </w:p>
          <w:p w:rsidR="00965E12" w:rsidRPr="00CD524A" w:rsidRDefault="00E87361" w:rsidP="00965E12">
            <w:pPr>
              <w:ind w:left="127" w:right="140" w:hanging="1"/>
              <w:jc w:val="both"/>
              <w:rPr>
                <w:color w:val="000000"/>
              </w:rPr>
            </w:pPr>
            <w:r w:rsidRPr="00CD524A">
              <w:rPr>
                <w:color w:val="000000"/>
              </w:rPr>
              <w:t>Š</w:t>
            </w:r>
            <w:r w:rsidR="002341F7" w:rsidRPr="00CD524A">
              <w:rPr>
                <w:color w:val="000000"/>
              </w:rPr>
              <w:t xml:space="preserve">īs anotācijas III sadaļas detalizētajā </w:t>
            </w:r>
            <w:r w:rsidRPr="00CD524A">
              <w:rPr>
                <w:color w:val="000000"/>
              </w:rPr>
              <w:t>n</w:t>
            </w:r>
            <w:r w:rsidR="002341F7" w:rsidRPr="00CD524A">
              <w:rPr>
                <w:color w:val="000000"/>
              </w:rPr>
              <w:t>epieciešamā finansējuma aprēķinā 2017.gadam</w:t>
            </w:r>
            <w:r w:rsidRPr="00CD524A">
              <w:rPr>
                <w:color w:val="000000"/>
              </w:rPr>
              <w:t xml:space="preserve"> plānot</w:t>
            </w:r>
            <w:r w:rsidR="00210ED7" w:rsidRPr="00CD524A">
              <w:rPr>
                <w:color w:val="000000"/>
              </w:rPr>
              <w:t xml:space="preserve">i finanšu līdzekļi </w:t>
            </w:r>
            <w:r w:rsidR="00210ED7" w:rsidRPr="00CD524A">
              <w:t>vakcinācijai pret vējbakām</w:t>
            </w:r>
            <w:r w:rsidR="00816C8D" w:rsidRPr="00CD524A">
              <w:t xml:space="preserve"> (otro devu) bērniem,</w:t>
            </w:r>
            <w:r w:rsidR="00210ED7" w:rsidRPr="00CD524A">
              <w:t xml:space="preserve"> </w:t>
            </w:r>
            <w:r w:rsidR="002341F7" w:rsidRPr="00CD524A">
              <w:rPr>
                <w:color w:val="000000"/>
              </w:rPr>
              <w:t>kas no 2008.gada saņēmuši vakcīnas pret vējbakām pirmo devu</w:t>
            </w:r>
            <w:r w:rsidR="00816C8D" w:rsidRPr="00CD524A">
              <w:rPr>
                <w:color w:val="000000"/>
              </w:rPr>
              <w:t xml:space="preserve">, lai </w:t>
            </w:r>
            <w:r w:rsidR="00210ED7" w:rsidRPr="00CD524A">
              <w:t>pabei</w:t>
            </w:r>
            <w:r w:rsidR="00816C8D" w:rsidRPr="00CD524A">
              <w:t xml:space="preserve">gtu </w:t>
            </w:r>
            <w:r w:rsidR="00210ED7" w:rsidRPr="00CD524A">
              <w:rPr>
                <w:color w:val="000000"/>
              </w:rPr>
              <w:t>pilnu vakcinācijas kursu</w:t>
            </w:r>
            <w:r w:rsidR="00816C8D" w:rsidRPr="00CD524A">
              <w:rPr>
                <w:color w:val="000000"/>
              </w:rPr>
              <w:t>.</w:t>
            </w:r>
          </w:p>
          <w:p w:rsidR="00965E12" w:rsidRPr="00CD524A" w:rsidRDefault="00965E12" w:rsidP="00965E12">
            <w:pPr>
              <w:ind w:left="127" w:right="140" w:hanging="1"/>
              <w:jc w:val="both"/>
            </w:pPr>
            <w:r w:rsidRPr="00CD524A">
              <w:t>Vienlaikus projekts papildināt</w:t>
            </w:r>
            <w:r w:rsidR="00F506D5" w:rsidRPr="00CD524A">
              <w:t>s</w:t>
            </w:r>
            <w:r w:rsidRPr="00CD524A">
              <w:t xml:space="preserve"> ar informatīvo atsauci uz Eiropas Sav</w:t>
            </w:r>
            <w:r w:rsidR="00816C8D" w:rsidRPr="00CD524A">
              <w:t>ienības direktīvu</w:t>
            </w:r>
            <w:r w:rsidR="00F506D5" w:rsidRPr="00CD524A">
              <w:t xml:space="preserve"> - </w:t>
            </w:r>
            <w:r w:rsidRPr="00CD524A">
              <w:t>Direktīv</w:t>
            </w:r>
            <w:r w:rsidR="00F506D5" w:rsidRPr="00CD524A">
              <w:t>u</w:t>
            </w:r>
            <w:r w:rsidRPr="00CD524A">
              <w:t xml:space="preserve"> 2010/32/ES</w:t>
            </w:r>
            <w:r w:rsidR="00F506D5" w:rsidRPr="00CD524A">
              <w:t xml:space="preserve"> (projekta 3.punkts)</w:t>
            </w:r>
            <w:r w:rsidRPr="00CD524A">
              <w:t xml:space="preserve">. </w:t>
            </w:r>
          </w:p>
          <w:p w:rsidR="00D55A49" w:rsidRPr="00CD524A" w:rsidRDefault="00D55A49" w:rsidP="00816C8D">
            <w:pPr>
              <w:ind w:left="127" w:right="140" w:hanging="1"/>
              <w:jc w:val="both"/>
            </w:pPr>
            <w:r w:rsidRPr="00CD524A">
              <w:t xml:space="preserve">Normatīvais akts </w:t>
            </w:r>
            <w:r w:rsidR="00816C8D" w:rsidRPr="00CD524A">
              <w:t xml:space="preserve">pilnībā </w:t>
            </w:r>
            <w:r w:rsidRPr="00CD524A">
              <w:t xml:space="preserve">atrisina  </w:t>
            </w:r>
            <w:r w:rsidR="00816C8D" w:rsidRPr="00CD524A">
              <w:t xml:space="preserve">šīs anotācijas I sadaļas 2.punktā minētās </w:t>
            </w:r>
            <w:r w:rsidRPr="00CD524A">
              <w:t>problēm</w:t>
            </w:r>
            <w:r w:rsidR="00816C8D" w:rsidRPr="00CD524A">
              <w:t xml:space="preserve">as </w:t>
            </w:r>
            <w:r w:rsidRPr="00CD524A">
              <w:t xml:space="preserve">un novērš </w:t>
            </w:r>
            <w:r w:rsidRPr="00CD524A">
              <w:rPr>
                <w:iCs/>
              </w:rPr>
              <w:t>tiesiskā regulējuma nepilnības</w:t>
            </w:r>
          </w:p>
        </w:tc>
      </w:tr>
      <w:tr w:rsidR="00956BE6" w:rsidRPr="001B7E4E" w:rsidTr="00AF7E98">
        <w:trPr>
          <w:trHeight w:val="476"/>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956BE6" w:rsidRPr="001B7E4E" w:rsidRDefault="00956BE6" w:rsidP="006F266A">
            <w:pPr>
              <w:spacing w:before="100" w:beforeAutospacing="1" w:after="100" w:afterAutospacing="1"/>
            </w:pPr>
            <w:r w:rsidRPr="001B7E4E">
              <w:t> 5.</w:t>
            </w:r>
          </w:p>
        </w:tc>
        <w:tc>
          <w:tcPr>
            <w:tcW w:w="1843" w:type="dxa"/>
            <w:tcBorders>
              <w:top w:val="outset" w:sz="6" w:space="0" w:color="auto"/>
              <w:left w:val="outset" w:sz="6" w:space="0" w:color="auto"/>
              <w:bottom w:val="outset" w:sz="6" w:space="0" w:color="auto"/>
              <w:right w:val="outset" w:sz="6" w:space="0" w:color="auto"/>
            </w:tcBorders>
            <w:hideMark/>
          </w:tcPr>
          <w:p w:rsidR="00956BE6" w:rsidRPr="001B7E4E" w:rsidRDefault="00956BE6" w:rsidP="002F17DF">
            <w:pPr>
              <w:spacing w:before="100" w:beforeAutospacing="1" w:after="100" w:afterAutospacing="1"/>
            </w:pPr>
            <w:r w:rsidRPr="001B7E4E">
              <w:t> Projekta izstrādē iesaistītās institūcijas</w:t>
            </w:r>
          </w:p>
        </w:tc>
        <w:tc>
          <w:tcPr>
            <w:tcW w:w="6818" w:type="dxa"/>
            <w:tcBorders>
              <w:top w:val="outset" w:sz="6" w:space="0" w:color="auto"/>
              <w:left w:val="outset" w:sz="6" w:space="0" w:color="auto"/>
              <w:bottom w:val="outset" w:sz="6" w:space="0" w:color="auto"/>
              <w:right w:val="outset" w:sz="6" w:space="0" w:color="auto"/>
            </w:tcBorders>
            <w:hideMark/>
          </w:tcPr>
          <w:p w:rsidR="00D85F60" w:rsidRPr="00CD524A" w:rsidRDefault="0071376D" w:rsidP="00D02181">
            <w:pPr>
              <w:pStyle w:val="BodyTextIndent"/>
              <w:autoSpaceDE w:val="0"/>
              <w:autoSpaceDN w:val="0"/>
              <w:adjustRightInd w:val="0"/>
              <w:spacing w:after="0"/>
              <w:ind w:left="127" w:right="140" w:hanging="1"/>
              <w:jc w:val="both"/>
            </w:pPr>
            <w:r w:rsidRPr="00CD524A">
              <w:t>P</w:t>
            </w:r>
            <w:r w:rsidR="004560FF" w:rsidRPr="00CD524A">
              <w:t>rojekts</w:t>
            </w:r>
            <w:r w:rsidRPr="00CD524A">
              <w:t xml:space="preserve"> </w:t>
            </w:r>
            <w:r w:rsidR="004560FF" w:rsidRPr="00CD524A">
              <w:t>izstrādāts Veselības ministrijai</w:t>
            </w:r>
            <w:r w:rsidR="00965E12" w:rsidRPr="00CD524A">
              <w:t>,</w:t>
            </w:r>
            <w:r w:rsidR="004560FF" w:rsidRPr="00CD524A">
              <w:t xml:space="preserve"> sadarbojoties </w:t>
            </w:r>
            <w:r w:rsidR="004560FF" w:rsidRPr="00CD524A">
              <w:rPr>
                <w:color w:val="2A2A2A"/>
              </w:rPr>
              <w:t>ar Nacionālo veselības dienestu un Slimību profilakses un kontroles centru</w:t>
            </w:r>
            <w:r w:rsidR="00231C5C" w:rsidRPr="00CD524A">
              <w:t xml:space="preserve">. </w:t>
            </w:r>
          </w:p>
          <w:p w:rsidR="00965E12" w:rsidRPr="00CD524A" w:rsidRDefault="00D55A49" w:rsidP="00BB6518">
            <w:pPr>
              <w:pStyle w:val="BodyTextIndent"/>
              <w:autoSpaceDE w:val="0"/>
              <w:autoSpaceDN w:val="0"/>
              <w:adjustRightInd w:val="0"/>
              <w:spacing w:after="0"/>
              <w:ind w:left="127" w:right="140" w:hanging="1"/>
              <w:jc w:val="both"/>
            </w:pPr>
            <w:r w:rsidRPr="00CD524A">
              <w:t>Projektu tā izstrādātajā redakcijā neatbalsta Sta</w:t>
            </w:r>
            <w:r w:rsidR="00D85F60" w:rsidRPr="00CD524A">
              <w:t>rptautisko inovatīvo farmaceitisko firmu asociācija</w:t>
            </w:r>
            <w:r w:rsidR="00BB6518" w:rsidRPr="00CD524A">
              <w:t xml:space="preserve"> un </w:t>
            </w:r>
            <w:r w:rsidR="00F506D5" w:rsidRPr="00CD524A">
              <w:t>s</w:t>
            </w:r>
            <w:r w:rsidR="00965E12" w:rsidRPr="00CD524A">
              <w:t>abiedrība ar ierobežotu atbildību</w:t>
            </w:r>
            <w:r w:rsidR="00BB6518" w:rsidRPr="00CD524A">
              <w:t xml:space="preserve"> </w:t>
            </w:r>
            <w:r w:rsidR="00BB6518" w:rsidRPr="00CD524A">
              <w:lastRenderedPageBreak/>
              <w:t>„GlaxoSmithKline Latvia”, iebilstot pret projektā paredzēto vakcināciju  termiņu pārcelšanu</w:t>
            </w:r>
            <w:r w:rsidR="00965E12" w:rsidRPr="00CD524A">
              <w:t>.</w:t>
            </w:r>
          </w:p>
          <w:p w:rsidR="00956BE6" w:rsidRPr="00CD524A" w:rsidRDefault="00BB6518" w:rsidP="00F506D5">
            <w:pPr>
              <w:pStyle w:val="BodyTextIndent"/>
              <w:autoSpaceDE w:val="0"/>
              <w:autoSpaceDN w:val="0"/>
              <w:adjustRightInd w:val="0"/>
              <w:spacing w:after="0"/>
              <w:ind w:left="127" w:right="140" w:hanging="1"/>
              <w:jc w:val="both"/>
            </w:pPr>
            <w:r w:rsidRPr="00CD524A">
              <w:t xml:space="preserve"> </w:t>
            </w:r>
            <w:r w:rsidR="00965E12" w:rsidRPr="00CD524A">
              <w:t>Lai izvērtētu nacionālo normatīvo aktu</w:t>
            </w:r>
            <w:r w:rsidR="00816C8D" w:rsidRPr="00CD524A">
              <w:t xml:space="preserve"> atbilstību</w:t>
            </w:r>
            <w:r w:rsidR="00965E12" w:rsidRPr="00CD524A">
              <w:t xml:space="preserve"> Direktīvas    2010/32/ES prasībām, Veselības ministrija organizēja sanāksmi, kurā piedalījās Labklājības ministrijas, </w:t>
            </w:r>
            <w:r w:rsidR="00F506D5" w:rsidRPr="00CD524A">
              <w:t>s</w:t>
            </w:r>
            <w:r w:rsidR="00965E12" w:rsidRPr="00CD524A">
              <w:t xml:space="preserve">abiedrības ar ierobežotu atbildību „Lautus”, </w:t>
            </w:r>
            <w:r w:rsidR="00F506D5" w:rsidRPr="00CD524A">
              <w:t>s</w:t>
            </w:r>
            <w:r w:rsidR="00965E12" w:rsidRPr="00CD524A">
              <w:t>abiedrības ar ierobežotu atbildību „Tukuma slimnīca”, Rīgas Stradiņa universitātes Higiēnas un arodslimību laboratorijas un Rīgas pašvaldības sabiedrības ar ierobežotu atbildību „Rīgas Dzemdību nams” pārstāvji. Sanāksmē secināts, ka Direktīvas 2010/32/ES prasības ir pārņemtas spēkā esošajos normatīvajos aktos un jaunu M</w:t>
            </w:r>
            <w:r w:rsidR="00816C8D" w:rsidRPr="00CD524A">
              <w:t>K</w:t>
            </w:r>
            <w:r w:rsidR="00965E12" w:rsidRPr="00CD524A">
              <w:t xml:space="preserve"> noteikumu, kas paredzētu darba aizsardzības prasības lietojot asas medicīniskās ierīces (tai skaitā instrumentus) izstrādāšana nav nepieciešama</w:t>
            </w:r>
          </w:p>
        </w:tc>
      </w:tr>
      <w:tr w:rsidR="00956BE6" w:rsidRPr="001B7E4E" w:rsidTr="00AF7E98">
        <w:trPr>
          <w:trHeight w:val="921"/>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956BE6" w:rsidRPr="001B7E4E" w:rsidRDefault="00956BE6" w:rsidP="0098497C">
            <w:pPr>
              <w:spacing w:before="100" w:beforeAutospacing="1" w:after="100" w:afterAutospacing="1"/>
            </w:pPr>
            <w:r w:rsidRPr="001B7E4E">
              <w:lastRenderedPageBreak/>
              <w:t> 6.</w:t>
            </w:r>
          </w:p>
        </w:tc>
        <w:tc>
          <w:tcPr>
            <w:tcW w:w="1843" w:type="dxa"/>
            <w:tcBorders>
              <w:top w:val="outset" w:sz="6" w:space="0" w:color="auto"/>
              <w:left w:val="outset" w:sz="6" w:space="0" w:color="auto"/>
              <w:bottom w:val="outset" w:sz="6" w:space="0" w:color="auto"/>
              <w:right w:val="outset" w:sz="6" w:space="0" w:color="auto"/>
            </w:tcBorders>
            <w:hideMark/>
          </w:tcPr>
          <w:p w:rsidR="00956BE6" w:rsidRPr="001B7E4E" w:rsidRDefault="00956BE6" w:rsidP="0098497C">
            <w:pPr>
              <w:spacing w:before="100" w:beforeAutospacing="1" w:after="100" w:afterAutospacing="1"/>
            </w:pPr>
            <w:r w:rsidRPr="001B7E4E">
              <w:t> Iemesli, kādēļ netika nodrošināta sabiedrības līdzdalība</w:t>
            </w:r>
          </w:p>
        </w:tc>
        <w:tc>
          <w:tcPr>
            <w:tcW w:w="6818" w:type="dxa"/>
            <w:tcBorders>
              <w:top w:val="outset" w:sz="6" w:space="0" w:color="auto"/>
              <w:left w:val="outset" w:sz="6" w:space="0" w:color="auto"/>
              <w:bottom w:val="outset" w:sz="6" w:space="0" w:color="auto"/>
              <w:right w:val="outset" w:sz="6" w:space="0" w:color="auto"/>
            </w:tcBorders>
            <w:hideMark/>
          </w:tcPr>
          <w:p w:rsidR="00872E8C" w:rsidRPr="001B7E4E" w:rsidRDefault="00872E8C" w:rsidP="00F506D5">
            <w:pPr>
              <w:ind w:left="127" w:right="140" w:hanging="1"/>
              <w:jc w:val="both"/>
              <w:rPr>
                <w:color w:val="000000"/>
              </w:rPr>
            </w:pPr>
            <w:r w:rsidRPr="001B7E4E">
              <w:t xml:space="preserve">Projektā </w:t>
            </w:r>
            <w:r w:rsidR="00695344">
              <w:t xml:space="preserve">tikai </w:t>
            </w:r>
            <w:r w:rsidRPr="001B7E4E">
              <w:t>precizēta</w:t>
            </w:r>
            <w:r w:rsidR="00695344">
              <w:t xml:space="preserve"> </w:t>
            </w:r>
            <w:r w:rsidRPr="001B7E4E">
              <w:t>tiesību normu spēkā stāšanās</w:t>
            </w:r>
            <w:r w:rsidR="00695344">
              <w:t xml:space="preserve"> pamatojoties uz </w:t>
            </w:r>
            <w:r w:rsidRPr="001B7E4E">
              <w:t xml:space="preserve">vakcinācijai piešķirto finansējumu </w:t>
            </w:r>
            <w:r w:rsidR="00965E12" w:rsidRPr="00CD524A">
              <w:t xml:space="preserve">un iekļauta atsauce uz </w:t>
            </w:r>
            <w:r w:rsidR="00695344" w:rsidRPr="00CD524A">
              <w:t>Direktīv</w:t>
            </w:r>
            <w:r w:rsidR="00F506D5" w:rsidRPr="00CD524A">
              <w:t>u</w:t>
            </w:r>
            <w:r w:rsidR="00695344" w:rsidRPr="00CD524A">
              <w:t xml:space="preserve"> 2010/32/ES</w:t>
            </w:r>
          </w:p>
        </w:tc>
      </w:tr>
      <w:tr w:rsidR="00956BE6" w:rsidRPr="001B7E4E" w:rsidTr="00AF7E98">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956BE6" w:rsidRPr="001B7E4E" w:rsidRDefault="00956BE6" w:rsidP="0098497C">
            <w:pPr>
              <w:spacing w:before="100" w:beforeAutospacing="1" w:after="100" w:afterAutospacing="1"/>
            </w:pPr>
            <w:r w:rsidRPr="001B7E4E">
              <w:t> 7.</w:t>
            </w:r>
          </w:p>
        </w:tc>
        <w:tc>
          <w:tcPr>
            <w:tcW w:w="1843" w:type="dxa"/>
            <w:tcBorders>
              <w:top w:val="outset" w:sz="6" w:space="0" w:color="auto"/>
              <w:left w:val="outset" w:sz="6" w:space="0" w:color="auto"/>
              <w:bottom w:val="outset" w:sz="6" w:space="0" w:color="auto"/>
              <w:right w:val="outset" w:sz="6" w:space="0" w:color="auto"/>
            </w:tcBorders>
            <w:hideMark/>
          </w:tcPr>
          <w:p w:rsidR="00956BE6" w:rsidRPr="001B7E4E" w:rsidRDefault="00956BE6" w:rsidP="0098497C">
            <w:pPr>
              <w:spacing w:before="100" w:beforeAutospacing="1" w:after="100" w:afterAutospacing="1"/>
            </w:pPr>
            <w:r w:rsidRPr="001B7E4E">
              <w:t> Cita informācija</w:t>
            </w:r>
          </w:p>
        </w:tc>
        <w:tc>
          <w:tcPr>
            <w:tcW w:w="6818" w:type="dxa"/>
            <w:tcBorders>
              <w:top w:val="outset" w:sz="6" w:space="0" w:color="auto"/>
              <w:left w:val="outset" w:sz="6" w:space="0" w:color="auto"/>
              <w:bottom w:val="outset" w:sz="6" w:space="0" w:color="auto"/>
              <w:right w:val="outset" w:sz="6" w:space="0" w:color="auto"/>
            </w:tcBorders>
            <w:hideMark/>
          </w:tcPr>
          <w:p w:rsidR="000138A9" w:rsidRPr="001B7E4E" w:rsidRDefault="000138A9" w:rsidP="005F0F83">
            <w:pPr>
              <w:ind w:left="125" w:right="142"/>
              <w:jc w:val="both"/>
            </w:pPr>
            <w:r w:rsidRPr="001B7E4E">
              <w:t>Saskaņā ar noteikumu 3.</w:t>
            </w:r>
            <w:r w:rsidRPr="001B7E4E">
              <w:rPr>
                <w:vertAlign w:val="superscript"/>
              </w:rPr>
              <w:t>1</w:t>
            </w:r>
            <w:r w:rsidRPr="001B7E4E">
              <w:t>punktu nevakcinētiem bērniem ir tiesības saņemt vakcinācijas kalendārā norādītās vakcīnas vecumā līdz 18 gadu vecuma sasniegšanai un ja konkrētā vakcīna bija iekļauta vakcinācijas kalendārā, kad bērnam bija attiecīgais vecums. Tādējādi bērni, kas pirmo devu pret vējbakām ir saņēmuši 2008.gadā, varēs saņemt otro devu sākot ar 2017.gada 1.janvāri.</w:t>
            </w:r>
          </w:p>
          <w:p w:rsidR="004A740E" w:rsidRPr="00CD524A" w:rsidRDefault="009F6301" w:rsidP="005F0F83">
            <w:pPr>
              <w:ind w:left="125" w:right="142"/>
              <w:jc w:val="both"/>
              <w:rPr>
                <w:color w:val="000000"/>
              </w:rPr>
            </w:pPr>
            <w:r w:rsidRPr="00CD524A">
              <w:t xml:space="preserve">Saskaņā ar </w:t>
            </w:r>
            <w:r w:rsidR="004D7A51" w:rsidRPr="00CD524A">
              <w:t xml:space="preserve">vakcīnas pret </w:t>
            </w:r>
            <w:r w:rsidR="00A01B24" w:rsidRPr="00CD524A">
              <w:t xml:space="preserve">vējbakām </w:t>
            </w:r>
            <w:r w:rsidR="004D7A51" w:rsidRPr="00CD524A">
              <w:t xml:space="preserve">ražotāja Zāļu valsts aģentūrā iesniegto informāciju zāļu (vakcīnas pret vējbakām) </w:t>
            </w:r>
            <w:r w:rsidRPr="00CD524A">
              <w:rPr>
                <w:color w:val="000000"/>
              </w:rPr>
              <w:t>lietošan</w:t>
            </w:r>
            <w:r w:rsidR="004D7A51" w:rsidRPr="00CD524A">
              <w:rPr>
                <w:color w:val="000000"/>
              </w:rPr>
              <w:t>as</w:t>
            </w:r>
            <w:r w:rsidRPr="00CD524A">
              <w:rPr>
                <w:color w:val="000000"/>
              </w:rPr>
              <w:t xml:space="preserve"> instrukcij</w:t>
            </w:r>
            <w:r w:rsidR="004A740E" w:rsidRPr="00CD524A">
              <w:rPr>
                <w:color w:val="000000"/>
              </w:rPr>
              <w:t xml:space="preserve">ā, kas satur </w:t>
            </w:r>
            <w:r w:rsidR="004D7A51" w:rsidRPr="00CD524A">
              <w:rPr>
                <w:color w:val="000000"/>
              </w:rPr>
              <w:t xml:space="preserve">informāciju zāļu lietotājam </w:t>
            </w:r>
            <w:r w:rsidR="004A740E" w:rsidRPr="00CD524A">
              <w:rPr>
                <w:color w:val="000000"/>
              </w:rPr>
              <w:t>un zāļu (vakcīnas) aprakstu,</w:t>
            </w:r>
            <w:r w:rsidR="004D7A51" w:rsidRPr="00CD524A">
              <w:rPr>
                <w:color w:val="000000"/>
              </w:rPr>
              <w:t xml:space="preserve"> norādīto - </w:t>
            </w:r>
            <w:r w:rsidRPr="00CD524A">
              <w:rPr>
                <w:color w:val="000000"/>
              </w:rPr>
              <w:t>bērniem no 9 mēnešu līdz 12 gadu (ieskaitot) vecumam jāsaņem</w:t>
            </w:r>
            <w:r w:rsidR="004A740E" w:rsidRPr="00CD524A">
              <w:rPr>
                <w:color w:val="000000"/>
              </w:rPr>
              <w:t xml:space="preserve"> divas vakcīnas pret vējbakām </w:t>
            </w:r>
            <w:r w:rsidRPr="00CD524A">
              <w:rPr>
                <w:color w:val="000000"/>
              </w:rPr>
              <w:t xml:space="preserve">devas, lai nodrošinātu optimālu aizsardzību </w:t>
            </w:r>
            <w:r w:rsidR="001E5C4C" w:rsidRPr="00CD524A">
              <w:rPr>
                <w:color w:val="000000"/>
              </w:rPr>
              <w:t xml:space="preserve">(imunitāti) </w:t>
            </w:r>
            <w:r w:rsidRPr="00CD524A">
              <w:rPr>
                <w:color w:val="000000"/>
              </w:rPr>
              <w:t xml:space="preserve">pret vējbakām. </w:t>
            </w:r>
          </w:p>
          <w:p w:rsidR="004A740E" w:rsidRPr="00CD524A" w:rsidRDefault="004A740E" w:rsidP="005F0F83">
            <w:pPr>
              <w:ind w:left="125" w:right="142"/>
              <w:jc w:val="both"/>
              <w:rPr>
                <w:color w:val="000000"/>
              </w:rPr>
            </w:pPr>
            <w:r w:rsidRPr="00CD524A">
              <w:rPr>
                <w:color w:val="000000"/>
              </w:rPr>
              <w:t>Jautājums par otrās potes pret vējbakām ieviešanu izskatīts Imunizācijas valsts padom</w:t>
            </w:r>
            <w:r w:rsidR="005F0F83" w:rsidRPr="00CD524A">
              <w:rPr>
                <w:color w:val="000000"/>
              </w:rPr>
              <w:t>es sēdēs</w:t>
            </w:r>
            <w:r w:rsidRPr="00CD524A">
              <w:rPr>
                <w:color w:val="000000"/>
              </w:rPr>
              <w:t xml:space="preserve"> (</w:t>
            </w:r>
            <w:r w:rsidR="005F0F83" w:rsidRPr="00CD524A">
              <w:rPr>
                <w:color w:val="000000"/>
              </w:rPr>
              <w:t>11.06.</w:t>
            </w:r>
            <w:r w:rsidRPr="00CD524A">
              <w:rPr>
                <w:color w:val="000000"/>
              </w:rPr>
              <w:t>2012.</w:t>
            </w:r>
            <w:r w:rsidR="00D85F60" w:rsidRPr="00CD524A">
              <w:rPr>
                <w:color w:val="000000"/>
              </w:rPr>
              <w:t>, 28.02.2013. un 02.05.2013.</w:t>
            </w:r>
            <w:r w:rsidR="005F0F83" w:rsidRPr="00CD524A">
              <w:rPr>
                <w:color w:val="000000"/>
              </w:rPr>
              <w:t>)</w:t>
            </w:r>
            <w:r w:rsidR="00BB6518" w:rsidRPr="00CD524A">
              <w:rPr>
                <w:color w:val="000000"/>
              </w:rPr>
              <w:t>. Pirms Veselības ministrija aktualizēs nepieciešamā finansējuma apmēru</w:t>
            </w:r>
            <w:r w:rsidR="00E677A7" w:rsidRPr="00CD524A">
              <w:rPr>
                <w:color w:val="000000"/>
              </w:rPr>
              <w:t xml:space="preserve"> bērnu vakcinācijai pret vējbakām (2.deva)</w:t>
            </w:r>
            <w:r w:rsidR="00BB6518" w:rsidRPr="00CD524A">
              <w:rPr>
                <w:color w:val="000000"/>
              </w:rPr>
              <w:t xml:space="preserve">, tā </w:t>
            </w:r>
            <w:r w:rsidR="005F0F83" w:rsidRPr="00CD524A">
              <w:rPr>
                <w:color w:val="000000"/>
              </w:rPr>
              <w:t>plāno</w:t>
            </w:r>
            <w:r w:rsidR="00BB6518" w:rsidRPr="00CD524A">
              <w:rPr>
                <w:color w:val="000000"/>
              </w:rPr>
              <w:t xml:space="preserve"> ierosināt Imunizācijas valsts padomē </w:t>
            </w:r>
            <w:r w:rsidR="005F0F83" w:rsidRPr="00CD524A">
              <w:rPr>
                <w:color w:val="000000"/>
              </w:rPr>
              <w:t>izskatīt</w:t>
            </w:r>
            <w:r w:rsidR="00BB6518" w:rsidRPr="00CD524A">
              <w:rPr>
                <w:color w:val="000000"/>
              </w:rPr>
              <w:t xml:space="preserve"> atkārtoti jautājumu par otrās </w:t>
            </w:r>
            <w:r w:rsidR="00E677A7" w:rsidRPr="00CD524A">
              <w:rPr>
                <w:color w:val="000000"/>
              </w:rPr>
              <w:t>devas</w:t>
            </w:r>
            <w:r w:rsidR="00BB6518" w:rsidRPr="00CD524A">
              <w:rPr>
                <w:color w:val="000000"/>
              </w:rPr>
              <w:t xml:space="preserve"> pret vējbakām </w:t>
            </w:r>
            <w:r w:rsidR="005F0F83" w:rsidRPr="00CD524A">
              <w:rPr>
                <w:color w:val="000000"/>
              </w:rPr>
              <w:t>vakcin</w:t>
            </w:r>
            <w:r w:rsidR="00BB6518" w:rsidRPr="00CD524A">
              <w:rPr>
                <w:color w:val="000000"/>
              </w:rPr>
              <w:t xml:space="preserve">ēšanas </w:t>
            </w:r>
            <w:r w:rsidR="005F0F83" w:rsidRPr="00CD524A">
              <w:rPr>
                <w:color w:val="000000"/>
              </w:rPr>
              <w:t>nosacījum</w:t>
            </w:r>
            <w:r w:rsidR="001D2889" w:rsidRPr="00CD524A">
              <w:rPr>
                <w:color w:val="000000"/>
              </w:rPr>
              <w:t>iem</w:t>
            </w:r>
            <w:r w:rsidR="005F0F83" w:rsidRPr="00CD524A">
              <w:rPr>
                <w:color w:val="000000"/>
              </w:rPr>
              <w:t xml:space="preserve">, </w:t>
            </w:r>
          </w:p>
          <w:p w:rsidR="003B1C06" w:rsidRPr="001B7E4E" w:rsidRDefault="007D35D1" w:rsidP="006C0394">
            <w:pPr>
              <w:ind w:left="126" w:right="140"/>
              <w:jc w:val="both"/>
              <w:rPr>
                <w:color w:val="000000"/>
              </w:rPr>
            </w:pPr>
            <w:r w:rsidRPr="001B7E4E">
              <w:rPr>
                <w:color w:val="000000"/>
              </w:rPr>
              <w:t>Atbilsto</w:t>
            </w:r>
            <w:r w:rsidR="004A740E" w:rsidRPr="001B7E4E">
              <w:rPr>
                <w:color w:val="000000"/>
              </w:rPr>
              <w:t>š</w:t>
            </w:r>
            <w:r w:rsidR="009F6301" w:rsidRPr="001B7E4E">
              <w:rPr>
                <w:color w:val="000000"/>
              </w:rPr>
              <w:t xml:space="preserve">i </w:t>
            </w:r>
            <w:r w:rsidRPr="001B7E4E">
              <w:rPr>
                <w:color w:val="000000"/>
              </w:rPr>
              <w:t>MK 2006.gada 31.oktobra noteikumiem Nr.899 „</w:t>
            </w:r>
            <w:r w:rsidRPr="001B7E4E">
              <w:t>Ambulatorajai ārstēšanai paredzēto zāļu un medicīnisko ierīču iegādes izdevumu kompensācijas kārtība”, šobrīd vakcinācija pret rotavīrusu infekciju bērniem līdz 24 mēnešu vecumam ir pieejama ar 50% kompensāciju no valsts budžeta līdzekļiem</w:t>
            </w:r>
          </w:p>
        </w:tc>
      </w:tr>
      <w:bookmarkEnd w:id="2"/>
      <w:bookmarkEnd w:id="3"/>
      <w:bookmarkEnd w:id="4"/>
      <w:bookmarkEnd w:id="5"/>
    </w:tbl>
    <w:p w:rsidR="00C8067C" w:rsidRPr="001B7E4E" w:rsidRDefault="00C8067C"/>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5"/>
        <w:gridCol w:w="2714"/>
        <w:gridCol w:w="5872"/>
      </w:tblGrid>
      <w:tr w:rsidR="00C8067C" w:rsidRPr="001B7E4E" w:rsidTr="000A19D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C8067C" w:rsidRPr="001B7E4E" w:rsidRDefault="00C8067C" w:rsidP="006007F8">
            <w:pPr>
              <w:spacing w:before="100" w:beforeAutospacing="1" w:after="100" w:afterAutospacing="1"/>
              <w:jc w:val="center"/>
              <w:rPr>
                <w:b/>
              </w:rPr>
            </w:pPr>
            <w:r w:rsidRPr="001B7E4E">
              <w:rPr>
                <w:b/>
              </w:rPr>
              <w:t>II. Tiesību akta projekta ietekme uz sabiedrību</w:t>
            </w:r>
          </w:p>
        </w:tc>
      </w:tr>
      <w:tr w:rsidR="00956BE6" w:rsidRPr="001B7E4E" w:rsidTr="000A19DE">
        <w:trPr>
          <w:trHeight w:val="467"/>
          <w:tblCellSpacing w:w="0" w:type="dxa"/>
        </w:trPr>
        <w:tc>
          <w:tcPr>
            <w:tcW w:w="283" w:type="pct"/>
            <w:tcBorders>
              <w:top w:val="outset" w:sz="6" w:space="0" w:color="auto"/>
              <w:left w:val="outset" w:sz="6" w:space="0" w:color="auto"/>
              <w:bottom w:val="outset" w:sz="6" w:space="0" w:color="auto"/>
              <w:right w:val="outset" w:sz="6" w:space="0" w:color="auto"/>
            </w:tcBorders>
            <w:hideMark/>
          </w:tcPr>
          <w:p w:rsidR="00956BE6" w:rsidRPr="001B7E4E" w:rsidRDefault="00956BE6" w:rsidP="00C8067C">
            <w:pPr>
              <w:spacing w:before="100" w:beforeAutospacing="1" w:after="100" w:afterAutospacing="1"/>
            </w:pPr>
            <w:r w:rsidRPr="001B7E4E">
              <w:t> 1.</w:t>
            </w:r>
          </w:p>
        </w:tc>
        <w:tc>
          <w:tcPr>
            <w:tcW w:w="1491" w:type="pct"/>
            <w:tcBorders>
              <w:top w:val="outset" w:sz="6" w:space="0" w:color="auto"/>
              <w:left w:val="outset" w:sz="6" w:space="0" w:color="auto"/>
              <w:bottom w:val="outset" w:sz="6" w:space="0" w:color="auto"/>
              <w:right w:val="outset" w:sz="6" w:space="0" w:color="auto"/>
            </w:tcBorders>
            <w:hideMark/>
          </w:tcPr>
          <w:p w:rsidR="00956BE6" w:rsidRPr="001B7E4E" w:rsidRDefault="00956BE6" w:rsidP="00C8067C">
            <w:pPr>
              <w:spacing w:before="100" w:beforeAutospacing="1" w:after="100" w:afterAutospacing="1"/>
              <w:rPr>
                <w:noProof/>
              </w:rPr>
            </w:pPr>
            <w:r w:rsidRPr="001B7E4E">
              <w:rPr>
                <w:noProof/>
              </w:rPr>
              <w:t> Sabiedrības mērķgrupa</w:t>
            </w:r>
          </w:p>
        </w:tc>
        <w:tc>
          <w:tcPr>
            <w:tcW w:w="3226" w:type="pct"/>
            <w:tcBorders>
              <w:top w:val="outset" w:sz="6" w:space="0" w:color="auto"/>
              <w:left w:val="outset" w:sz="6" w:space="0" w:color="auto"/>
              <w:bottom w:val="outset" w:sz="6" w:space="0" w:color="auto"/>
              <w:right w:val="outset" w:sz="6" w:space="0" w:color="auto"/>
            </w:tcBorders>
            <w:hideMark/>
          </w:tcPr>
          <w:p w:rsidR="0001328D" w:rsidRPr="001B7E4E" w:rsidRDefault="00DE314A" w:rsidP="000A19DE">
            <w:pPr>
              <w:jc w:val="both"/>
              <w:rPr>
                <w:noProof/>
              </w:rPr>
            </w:pPr>
            <w:r w:rsidRPr="001B7E4E">
              <w:rPr>
                <w:noProof/>
              </w:rPr>
              <w:t xml:space="preserve"> </w:t>
            </w:r>
            <w:r w:rsidR="00FD4353" w:rsidRPr="001B7E4E">
              <w:rPr>
                <w:noProof/>
              </w:rPr>
              <w:t>Ģimenes ārsti, aptuveni 1370 personas</w:t>
            </w:r>
            <w:r w:rsidR="0001328D" w:rsidRPr="001B7E4E">
              <w:rPr>
                <w:noProof/>
              </w:rPr>
              <w:t>, kuras ir iesaistītas vakcinācijas procesā.</w:t>
            </w:r>
            <w:r w:rsidR="00661A63" w:rsidRPr="001B7E4E">
              <w:rPr>
                <w:noProof/>
              </w:rPr>
              <w:t xml:space="preserve"> </w:t>
            </w:r>
          </w:p>
          <w:p w:rsidR="00956BE6" w:rsidRPr="00E677A7" w:rsidRDefault="00F727C5" w:rsidP="00772BC2">
            <w:pPr>
              <w:jc w:val="both"/>
              <w:rPr>
                <w:noProof/>
                <w:u w:val="single"/>
              </w:rPr>
            </w:pPr>
            <w:r w:rsidRPr="001B7E4E">
              <w:rPr>
                <w:noProof/>
              </w:rPr>
              <w:t xml:space="preserve"> </w:t>
            </w:r>
            <w:r w:rsidR="0071376D">
              <w:rPr>
                <w:noProof/>
              </w:rPr>
              <w:t>Bērni</w:t>
            </w:r>
            <w:r w:rsidR="00D42753" w:rsidRPr="001B7E4E">
              <w:rPr>
                <w:noProof/>
              </w:rPr>
              <w:t xml:space="preserve">, aptuveni </w:t>
            </w:r>
            <w:r w:rsidR="00D42753" w:rsidRPr="00CD524A">
              <w:rPr>
                <w:noProof/>
              </w:rPr>
              <w:t>17000</w:t>
            </w:r>
            <w:r w:rsidR="00E677A7" w:rsidRPr="00CD524A">
              <w:rPr>
                <w:noProof/>
              </w:rPr>
              <w:t xml:space="preserve"> zīdaiņi</w:t>
            </w:r>
            <w:r w:rsidR="00D42753" w:rsidRPr="00CD524A">
              <w:rPr>
                <w:noProof/>
              </w:rPr>
              <w:t>/gadā, kurus paredzēts vakcin</w:t>
            </w:r>
            <w:r w:rsidR="000A19DE" w:rsidRPr="00CD524A">
              <w:rPr>
                <w:noProof/>
              </w:rPr>
              <w:t>ē</w:t>
            </w:r>
            <w:r w:rsidR="00D42753" w:rsidRPr="00CD524A">
              <w:rPr>
                <w:noProof/>
              </w:rPr>
              <w:t xml:space="preserve">t  </w:t>
            </w:r>
            <w:r w:rsidR="0001328D" w:rsidRPr="00CD524A">
              <w:rPr>
                <w:noProof/>
              </w:rPr>
              <w:t>pret rotavīrusu infekciju</w:t>
            </w:r>
            <w:r w:rsidR="00D42753" w:rsidRPr="00CD524A">
              <w:rPr>
                <w:noProof/>
              </w:rPr>
              <w:t xml:space="preserve"> no 2015.gada</w:t>
            </w:r>
            <w:r w:rsidR="00E677A7" w:rsidRPr="00CD524A">
              <w:rPr>
                <w:noProof/>
              </w:rPr>
              <w:t xml:space="preserve"> un </w:t>
            </w:r>
            <w:r w:rsidR="00D42753" w:rsidRPr="00CD524A">
              <w:rPr>
                <w:noProof/>
              </w:rPr>
              <w:t xml:space="preserve"> </w:t>
            </w:r>
            <w:r w:rsidR="00E677A7" w:rsidRPr="00CD524A">
              <w:rPr>
                <w:noProof/>
              </w:rPr>
              <w:t xml:space="preserve"> </w:t>
            </w:r>
            <w:r w:rsidR="00D42753" w:rsidRPr="00CD524A">
              <w:rPr>
                <w:noProof/>
              </w:rPr>
              <w:t xml:space="preserve">aptuveni </w:t>
            </w:r>
            <w:r w:rsidR="00772BC2" w:rsidRPr="00CD524A">
              <w:rPr>
                <w:noProof/>
              </w:rPr>
              <w:t xml:space="preserve">50000 </w:t>
            </w:r>
            <w:r w:rsidR="001D2889" w:rsidRPr="00CD524A">
              <w:rPr>
                <w:noProof/>
              </w:rPr>
              <w:t>bērni (2017.gadā)</w:t>
            </w:r>
            <w:r w:rsidR="00772BC2" w:rsidRPr="00CD524A">
              <w:rPr>
                <w:noProof/>
              </w:rPr>
              <w:t xml:space="preserve"> un aptuveni 12000 bērni no 2018.gada</w:t>
            </w:r>
            <w:r w:rsidR="000A19DE" w:rsidRPr="00CD524A">
              <w:rPr>
                <w:noProof/>
              </w:rPr>
              <w:t>, kuriem plānot</w:t>
            </w:r>
            <w:r w:rsidR="001D2889" w:rsidRPr="00CD524A">
              <w:rPr>
                <w:noProof/>
              </w:rPr>
              <w:t>s pabeigt pilnu vakcinācijas kursu</w:t>
            </w:r>
            <w:r w:rsidR="000A19DE" w:rsidRPr="00CD524A">
              <w:rPr>
                <w:noProof/>
              </w:rPr>
              <w:t xml:space="preserve"> </w:t>
            </w:r>
            <w:r w:rsidR="0001328D" w:rsidRPr="00CD524A">
              <w:rPr>
                <w:noProof/>
              </w:rPr>
              <w:t>pret vējbakām</w:t>
            </w:r>
          </w:p>
        </w:tc>
      </w:tr>
      <w:tr w:rsidR="00956BE6" w:rsidRPr="001B7E4E" w:rsidTr="000A19DE">
        <w:trPr>
          <w:trHeight w:val="523"/>
          <w:tblCellSpacing w:w="0" w:type="dxa"/>
        </w:trPr>
        <w:tc>
          <w:tcPr>
            <w:tcW w:w="283" w:type="pct"/>
            <w:tcBorders>
              <w:top w:val="outset" w:sz="6" w:space="0" w:color="auto"/>
              <w:left w:val="outset" w:sz="6" w:space="0" w:color="auto"/>
              <w:bottom w:val="outset" w:sz="6" w:space="0" w:color="auto"/>
              <w:right w:val="outset" w:sz="6" w:space="0" w:color="auto"/>
            </w:tcBorders>
            <w:hideMark/>
          </w:tcPr>
          <w:p w:rsidR="00956BE6" w:rsidRPr="001B7E4E" w:rsidRDefault="00956BE6" w:rsidP="00C8067C">
            <w:pPr>
              <w:spacing w:before="100" w:beforeAutospacing="1" w:after="100" w:afterAutospacing="1"/>
            </w:pPr>
            <w:r w:rsidRPr="001B7E4E">
              <w:lastRenderedPageBreak/>
              <w:t> 2.</w:t>
            </w:r>
          </w:p>
        </w:tc>
        <w:tc>
          <w:tcPr>
            <w:tcW w:w="1491" w:type="pct"/>
            <w:tcBorders>
              <w:top w:val="outset" w:sz="6" w:space="0" w:color="auto"/>
              <w:left w:val="outset" w:sz="6" w:space="0" w:color="auto"/>
              <w:bottom w:val="outset" w:sz="6" w:space="0" w:color="auto"/>
              <w:right w:val="outset" w:sz="6" w:space="0" w:color="auto"/>
            </w:tcBorders>
            <w:hideMark/>
          </w:tcPr>
          <w:p w:rsidR="00956BE6" w:rsidRPr="001B7E4E" w:rsidRDefault="00956BE6" w:rsidP="00C8067C">
            <w:pPr>
              <w:spacing w:before="100" w:beforeAutospacing="1" w:after="100" w:afterAutospacing="1"/>
              <w:rPr>
                <w:noProof/>
              </w:rPr>
            </w:pPr>
            <w:r w:rsidRPr="001B7E4E">
              <w:rPr>
                <w:noProof/>
              </w:rPr>
              <w:t> Citas sabiedrības grupas (bez mērķgrupas), kuras tiesiskais regulējums arī ietekmē vai varētu ietekmēt</w:t>
            </w:r>
          </w:p>
        </w:tc>
        <w:tc>
          <w:tcPr>
            <w:tcW w:w="3226" w:type="pct"/>
            <w:tcBorders>
              <w:top w:val="outset" w:sz="6" w:space="0" w:color="auto"/>
              <w:left w:val="outset" w:sz="6" w:space="0" w:color="auto"/>
              <w:bottom w:val="outset" w:sz="6" w:space="0" w:color="auto"/>
              <w:right w:val="outset" w:sz="6" w:space="0" w:color="auto"/>
            </w:tcBorders>
            <w:hideMark/>
          </w:tcPr>
          <w:p w:rsidR="00381780" w:rsidRPr="001B7E4E" w:rsidRDefault="00DE314A" w:rsidP="00D02181">
            <w:pPr>
              <w:autoSpaceDE w:val="0"/>
              <w:autoSpaceDN w:val="0"/>
              <w:adjustRightInd w:val="0"/>
              <w:jc w:val="both"/>
              <w:rPr>
                <w:noProof/>
                <w:color w:val="000000"/>
              </w:rPr>
            </w:pPr>
            <w:r w:rsidRPr="001B7E4E">
              <w:rPr>
                <w:noProof/>
                <w:color w:val="000000"/>
              </w:rPr>
              <w:t xml:space="preserve"> </w:t>
            </w:r>
            <w:r w:rsidR="007F02F7" w:rsidRPr="001B7E4E">
              <w:rPr>
                <w:noProof/>
                <w:color w:val="000000"/>
              </w:rPr>
              <w:t>Slimību profilakses un kontroles centra epidemiologi,</w:t>
            </w:r>
            <w:r w:rsidR="00A76D7D">
              <w:rPr>
                <w:noProof/>
                <w:color w:val="000000"/>
              </w:rPr>
              <w:t xml:space="preserve"> </w:t>
            </w:r>
            <w:r w:rsidR="00A76D7D" w:rsidRPr="00CD524A">
              <w:rPr>
                <w:noProof/>
                <w:color w:val="000000"/>
              </w:rPr>
              <w:t>aptuveni 20 epidemiologi un viņu palīgi,</w:t>
            </w:r>
            <w:r w:rsidR="007F02F7" w:rsidRPr="00CD524A">
              <w:rPr>
                <w:noProof/>
                <w:color w:val="000000"/>
              </w:rPr>
              <w:t xml:space="preserve"> kuri apkopo datus par vakcināciju un gatavo vakcīnu pasūtījumus</w:t>
            </w:r>
          </w:p>
        </w:tc>
      </w:tr>
      <w:tr w:rsidR="00956BE6" w:rsidRPr="001B7E4E" w:rsidTr="000A19DE">
        <w:trPr>
          <w:trHeight w:val="517"/>
          <w:tblCellSpacing w:w="0" w:type="dxa"/>
        </w:trPr>
        <w:tc>
          <w:tcPr>
            <w:tcW w:w="283" w:type="pct"/>
            <w:tcBorders>
              <w:top w:val="outset" w:sz="6" w:space="0" w:color="auto"/>
              <w:left w:val="outset" w:sz="6" w:space="0" w:color="auto"/>
              <w:bottom w:val="outset" w:sz="6" w:space="0" w:color="auto"/>
              <w:right w:val="outset" w:sz="6" w:space="0" w:color="auto"/>
            </w:tcBorders>
            <w:hideMark/>
          </w:tcPr>
          <w:p w:rsidR="00956BE6" w:rsidRPr="001B7E4E" w:rsidRDefault="00956BE6" w:rsidP="00C8067C">
            <w:pPr>
              <w:spacing w:before="100" w:beforeAutospacing="1" w:after="100" w:afterAutospacing="1"/>
            </w:pPr>
            <w:r w:rsidRPr="001B7E4E">
              <w:t> 3.</w:t>
            </w:r>
          </w:p>
        </w:tc>
        <w:tc>
          <w:tcPr>
            <w:tcW w:w="1491" w:type="pct"/>
            <w:tcBorders>
              <w:top w:val="outset" w:sz="6" w:space="0" w:color="auto"/>
              <w:left w:val="outset" w:sz="6" w:space="0" w:color="auto"/>
              <w:bottom w:val="outset" w:sz="6" w:space="0" w:color="auto"/>
              <w:right w:val="outset" w:sz="6" w:space="0" w:color="auto"/>
            </w:tcBorders>
            <w:hideMark/>
          </w:tcPr>
          <w:p w:rsidR="00956BE6" w:rsidRPr="001B7E4E" w:rsidRDefault="00956BE6" w:rsidP="00C8067C">
            <w:pPr>
              <w:spacing w:before="100" w:beforeAutospacing="1" w:after="100" w:afterAutospacing="1"/>
              <w:rPr>
                <w:noProof/>
              </w:rPr>
            </w:pPr>
            <w:r w:rsidRPr="001B7E4E">
              <w:rPr>
                <w:noProof/>
              </w:rPr>
              <w:t> Tiesiskā regulējuma finansiālā ietekme</w:t>
            </w:r>
          </w:p>
        </w:tc>
        <w:tc>
          <w:tcPr>
            <w:tcW w:w="3226" w:type="pct"/>
            <w:tcBorders>
              <w:top w:val="outset" w:sz="6" w:space="0" w:color="auto"/>
              <w:left w:val="outset" w:sz="6" w:space="0" w:color="auto"/>
              <w:bottom w:val="outset" w:sz="6" w:space="0" w:color="auto"/>
              <w:right w:val="outset" w:sz="6" w:space="0" w:color="auto"/>
            </w:tcBorders>
            <w:hideMark/>
          </w:tcPr>
          <w:p w:rsidR="00F1230F" w:rsidRPr="001B7E4E" w:rsidRDefault="00DE1297" w:rsidP="00BD3B67">
            <w:pPr>
              <w:tabs>
                <w:tab w:val="left" w:pos="4781"/>
              </w:tabs>
              <w:spacing w:after="120"/>
              <w:ind w:firstLine="34"/>
              <w:jc w:val="both"/>
              <w:rPr>
                <w:bCs/>
                <w:iCs/>
                <w:u w:val="single"/>
              </w:rPr>
            </w:pPr>
            <w:r w:rsidRPr="005D750E">
              <w:rPr>
                <w:bCs/>
                <w:iCs/>
                <w:noProof/>
              </w:rPr>
              <w:t>P</w:t>
            </w:r>
            <w:r w:rsidRPr="005D750E">
              <w:t>rojektā paredzēto pasākumu (otrās devas pret vējbakām ieviešanai) īstenošanai būs nepieciešami papildu finanšu līdzekļi. Papildu nepieciešamā finansējuma pieprasījums vakcinācijas pasākumu īstenošanai tiks iekļauts Veselības ministrijas jaunajās politikas iniciatīvās 2015.-2017.gadam</w:t>
            </w:r>
          </w:p>
        </w:tc>
      </w:tr>
      <w:tr w:rsidR="00956BE6" w:rsidRPr="001B7E4E" w:rsidTr="000A19DE">
        <w:trPr>
          <w:trHeight w:val="517"/>
          <w:tblCellSpacing w:w="0" w:type="dxa"/>
        </w:trPr>
        <w:tc>
          <w:tcPr>
            <w:tcW w:w="283" w:type="pct"/>
            <w:tcBorders>
              <w:top w:val="outset" w:sz="6" w:space="0" w:color="auto"/>
              <w:left w:val="outset" w:sz="6" w:space="0" w:color="auto"/>
              <w:bottom w:val="outset" w:sz="6" w:space="0" w:color="auto"/>
              <w:right w:val="outset" w:sz="6" w:space="0" w:color="auto"/>
            </w:tcBorders>
            <w:hideMark/>
          </w:tcPr>
          <w:p w:rsidR="00956BE6" w:rsidRPr="001B7E4E" w:rsidRDefault="00956BE6" w:rsidP="00C8067C">
            <w:pPr>
              <w:spacing w:before="100" w:beforeAutospacing="1" w:after="100" w:afterAutospacing="1"/>
            </w:pPr>
            <w:r w:rsidRPr="001B7E4E">
              <w:t> 4.</w:t>
            </w:r>
          </w:p>
        </w:tc>
        <w:tc>
          <w:tcPr>
            <w:tcW w:w="1491" w:type="pct"/>
            <w:tcBorders>
              <w:top w:val="outset" w:sz="6" w:space="0" w:color="auto"/>
              <w:left w:val="outset" w:sz="6" w:space="0" w:color="auto"/>
              <w:bottom w:val="outset" w:sz="6" w:space="0" w:color="auto"/>
              <w:right w:val="outset" w:sz="6" w:space="0" w:color="auto"/>
            </w:tcBorders>
            <w:hideMark/>
          </w:tcPr>
          <w:p w:rsidR="00956BE6" w:rsidRPr="001B7E4E" w:rsidRDefault="00956BE6" w:rsidP="00C8067C">
            <w:pPr>
              <w:spacing w:before="100" w:beforeAutospacing="1" w:after="100" w:afterAutospacing="1"/>
              <w:rPr>
                <w:noProof/>
              </w:rPr>
            </w:pPr>
            <w:r w:rsidRPr="001B7E4E">
              <w:rPr>
                <w:noProof/>
              </w:rPr>
              <w:t> Tiesiskā regulējuma nefinansiālā ietekme</w:t>
            </w:r>
          </w:p>
        </w:tc>
        <w:tc>
          <w:tcPr>
            <w:tcW w:w="3226" w:type="pct"/>
            <w:tcBorders>
              <w:top w:val="outset" w:sz="6" w:space="0" w:color="auto"/>
              <w:left w:val="outset" w:sz="6" w:space="0" w:color="auto"/>
              <w:bottom w:val="outset" w:sz="6" w:space="0" w:color="auto"/>
              <w:right w:val="outset" w:sz="6" w:space="0" w:color="auto"/>
            </w:tcBorders>
            <w:hideMark/>
          </w:tcPr>
          <w:p w:rsidR="00995D80" w:rsidRPr="00CD524A" w:rsidRDefault="00A92B61" w:rsidP="00CE7082">
            <w:pPr>
              <w:ind w:left="125" w:right="142"/>
              <w:jc w:val="both"/>
              <w:rPr>
                <w:noProof/>
              </w:rPr>
            </w:pPr>
            <w:r w:rsidRPr="00CD524A">
              <w:rPr>
                <w:noProof/>
              </w:rPr>
              <w:t xml:space="preserve">Projektam ir ietekme uz veselību – ar 2015.gadu pakāpeniski samazināsies </w:t>
            </w:r>
            <w:r w:rsidR="001E5C4C" w:rsidRPr="00CD524A">
              <w:rPr>
                <w:noProof/>
              </w:rPr>
              <w:t>zīdaiņu s</w:t>
            </w:r>
            <w:r w:rsidRPr="00CD524A">
              <w:rPr>
                <w:noProof/>
              </w:rPr>
              <w:t>aslimšana</w:t>
            </w:r>
            <w:r w:rsidR="001E5C4C" w:rsidRPr="00CD524A">
              <w:rPr>
                <w:noProof/>
              </w:rPr>
              <w:t xml:space="preserve"> </w:t>
            </w:r>
            <w:r w:rsidRPr="00CD524A">
              <w:rPr>
                <w:noProof/>
              </w:rPr>
              <w:t>ar rotavīrusu infekciju</w:t>
            </w:r>
            <w:r w:rsidR="001E5C4C" w:rsidRPr="00CD524A">
              <w:rPr>
                <w:noProof/>
              </w:rPr>
              <w:t xml:space="preserve"> un ar 2017.gadu plānots uzlabot bērnu imunitāti </w:t>
            </w:r>
            <w:r w:rsidR="001E5C4C" w:rsidRPr="00CD524A">
              <w:rPr>
                <w:color w:val="000000"/>
              </w:rPr>
              <w:t>pret vējbakām un samazināt saslimšanas gadījumu skaitu ar vējbakām (tai skaitā</w:t>
            </w:r>
            <w:r w:rsidR="00CE7082" w:rsidRPr="00CD524A">
              <w:rPr>
                <w:color w:val="000000"/>
              </w:rPr>
              <w:t>, novērst saslimšanu, lai arī vieglā formā, ar vējbakām pirmo vakcīnas devu pret vējbakām saņēmušiem bērniem)</w:t>
            </w:r>
            <w:r w:rsidR="001E5C4C" w:rsidRPr="00CD524A">
              <w:rPr>
                <w:color w:val="000000"/>
              </w:rPr>
              <w:t xml:space="preserve"> </w:t>
            </w:r>
          </w:p>
        </w:tc>
      </w:tr>
      <w:tr w:rsidR="00956BE6" w:rsidRPr="001B7E4E" w:rsidTr="000A19DE">
        <w:trPr>
          <w:trHeight w:val="531"/>
          <w:tblCellSpacing w:w="0" w:type="dxa"/>
        </w:trPr>
        <w:tc>
          <w:tcPr>
            <w:tcW w:w="283" w:type="pct"/>
            <w:tcBorders>
              <w:top w:val="outset" w:sz="6" w:space="0" w:color="auto"/>
              <w:left w:val="outset" w:sz="6" w:space="0" w:color="auto"/>
              <w:bottom w:val="outset" w:sz="6" w:space="0" w:color="auto"/>
              <w:right w:val="outset" w:sz="6" w:space="0" w:color="auto"/>
            </w:tcBorders>
            <w:hideMark/>
          </w:tcPr>
          <w:p w:rsidR="00956BE6" w:rsidRPr="001B7E4E" w:rsidRDefault="00956BE6" w:rsidP="00C8067C">
            <w:pPr>
              <w:spacing w:before="100" w:beforeAutospacing="1" w:after="100" w:afterAutospacing="1"/>
            </w:pPr>
            <w:r w:rsidRPr="001B7E4E">
              <w:t> 5.</w:t>
            </w:r>
          </w:p>
        </w:tc>
        <w:tc>
          <w:tcPr>
            <w:tcW w:w="1491" w:type="pct"/>
            <w:tcBorders>
              <w:top w:val="outset" w:sz="6" w:space="0" w:color="auto"/>
              <w:left w:val="outset" w:sz="6" w:space="0" w:color="auto"/>
              <w:bottom w:val="outset" w:sz="6" w:space="0" w:color="auto"/>
              <w:right w:val="outset" w:sz="6" w:space="0" w:color="auto"/>
            </w:tcBorders>
            <w:hideMark/>
          </w:tcPr>
          <w:p w:rsidR="00956BE6" w:rsidRPr="001B7E4E" w:rsidRDefault="00956BE6" w:rsidP="00C8067C">
            <w:pPr>
              <w:spacing w:before="100" w:beforeAutospacing="1" w:after="100" w:afterAutospacing="1"/>
              <w:rPr>
                <w:noProof/>
              </w:rPr>
            </w:pPr>
            <w:r w:rsidRPr="001B7E4E">
              <w:rPr>
                <w:noProof/>
              </w:rPr>
              <w:t> Administratīvās procedūras raksturojums</w:t>
            </w:r>
          </w:p>
        </w:tc>
        <w:tc>
          <w:tcPr>
            <w:tcW w:w="3226" w:type="pct"/>
            <w:tcBorders>
              <w:top w:val="outset" w:sz="6" w:space="0" w:color="auto"/>
              <w:left w:val="outset" w:sz="6" w:space="0" w:color="auto"/>
              <w:bottom w:val="outset" w:sz="6" w:space="0" w:color="auto"/>
              <w:right w:val="outset" w:sz="6" w:space="0" w:color="auto"/>
            </w:tcBorders>
            <w:hideMark/>
          </w:tcPr>
          <w:p w:rsidR="00956BE6" w:rsidRPr="001B7E4E" w:rsidRDefault="00DE314A" w:rsidP="00995D80">
            <w:pPr>
              <w:jc w:val="both"/>
              <w:rPr>
                <w:noProof/>
              </w:rPr>
            </w:pPr>
            <w:r w:rsidRPr="001B7E4E">
              <w:rPr>
                <w:noProof/>
              </w:rPr>
              <w:t xml:space="preserve"> </w:t>
            </w:r>
            <w:r w:rsidR="00956BE6" w:rsidRPr="001B7E4E">
              <w:rPr>
                <w:noProof/>
              </w:rPr>
              <w:t>Projekts šo jomu neskar</w:t>
            </w:r>
          </w:p>
        </w:tc>
      </w:tr>
      <w:tr w:rsidR="00956BE6" w:rsidRPr="001B7E4E" w:rsidTr="000A19DE">
        <w:trPr>
          <w:trHeight w:val="357"/>
          <w:tblCellSpacing w:w="0" w:type="dxa"/>
        </w:trPr>
        <w:tc>
          <w:tcPr>
            <w:tcW w:w="283" w:type="pct"/>
            <w:tcBorders>
              <w:top w:val="outset" w:sz="6" w:space="0" w:color="auto"/>
              <w:left w:val="outset" w:sz="6" w:space="0" w:color="auto"/>
              <w:bottom w:val="outset" w:sz="6" w:space="0" w:color="auto"/>
              <w:right w:val="outset" w:sz="6" w:space="0" w:color="auto"/>
            </w:tcBorders>
            <w:hideMark/>
          </w:tcPr>
          <w:p w:rsidR="00956BE6" w:rsidRPr="001B7E4E" w:rsidRDefault="00956BE6" w:rsidP="00C8067C">
            <w:pPr>
              <w:spacing w:before="100" w:beforeAutospacing="1" w:after="100" w:afterAutospacing="1"/>
            </w:pPr>
            <w:r w:rsidRPr="001B7E4E">
              <w:t> 6.</w:t>
            </w:r>
          </w:p>
        </w:tc>
        <w:tc>
          <w:tcPr>
            <w:tcW w:w="1491" w:type="pct"/>
            <w:tcBorders>
              <w:top w:val="outset" w:sz="6" w:space="0" w:color="auto"/>
              <w:left w:val="outset" w:sz="6" w:space="0" w:color="auto"/>
              <w:bottom w:val="outset" w:sz="6" w:space="0" w:color="auto"/>
              <w:right w:val="outset" w:sz="6" w:space="0" w:color="auto"/>
            </w:tcBorders>
            <w:hideMark/>
          </w:tcPr>
          <w:p w:rsidR="00956BE6" w:rsidRPr="001B7E4E" w:rsidRDefault="00956BE6" w:rsidP="00C8067C">
            <w:pPr>
              <w:spacing w:before="100" w:beforeAutospacing="1" w:after="100" w:afterAutospacing="1"/>
            </w:pPr>
            <w:r w:rsidRPr="001B7E4E">
              <w:t> Administratīvo izmaksu monetārs novērtējums</w:t>
            </w:r>
          </w:p>
        </w:tc>
        <w:tc>
          <w:tcPr>
            <w:tcW w:w="3226" w:type="pct"/>
            <w:tcBorders>
              <w:top w:val="outset" w:sz="6" w:space="0" w:color="auto"/>
              <w:left w:val="outset" w:sz="6" w:space="0" w:color="auto"/>
              <w:bottom w:val="outset" w:sz="6" w:space="0" w:color="auto"/>
              <w:right w:val="outset" w:sz="6" w:space="0" w:color="auto"/>
            </w:tcBorders>
            <w:hideMark/>
          </w:tcPr>
          <w:p w:rsidR="00956BE6" w:rsidRPr="001B7E4E" w:rsidRDefault="00DE314A" w:rsidP="00995D80">
            <w:pPr>
              <w:jc w:val="both"/>
              <w:rPr>
                <w:noProof/>
              </w:rPr>
            </w:pPr>
            <w:r w:rsidRPr="001B7E4E">
              <w:rPr>
                <w:noProof/>
              </w:rPr>
              <w:t xml:space="preserve"> </w:t>
            </w:r>
            <w:r w:rsidR="00956BE6" w:rsidRPr="001B7E4E">
              <w:rPr>
                <w:noProof/>
              </w:rPr>
              <w:t>Projekts šo jomu neskar</w:t>
            </w:r>
          </w:p>
        </w:tc>
      </w:tr>
      <w:tr w:rsidR="00956BE6" w:rsidRPr="001B7E4E" w:rsidTr="000A19DE">
        <w:trPr>
          <w:tblCellSpacing w:w="0" w:type="dxa"/>
        </w:trPr>
        <w:tc>
          <w:tcPr>
            <w:tcW w:w="283" w:type="pct"/>
            <w:tcBorders>
              <w:top w:val="outset" w:sz="6" w:space="0" w:color="auto"/>
              <w:left w:val="outset" w:sz="6" w:space="0" w:color="auto"/>
              <w:bottom w:val="outset" w:sz="6" w:space="0" w:color="auto"/>
              <w:right w:val="outset" w:sz="6" w:space="0" w:color="auto"/>
            </w:tcBorders>
            <w:hideMark/>
          </w:tcPr>
          <w:p w:rsidR="00956BE6" w:rsidRPr="001B7E4E" w:rsidRDefault="00956BE6" w:rsidP="00C8067C">
            <w:pPr>
              <w:spacing w:before="100" w:beforeAutospacing="1" w:after="100" w:afterAutospacing="1"/>
            </w:pPr>
            <w:r w:rsidRPr="001B7E4E">
              <w:t> 7.</w:t>
            </w:r>
          </w:p>
        </w:tc>
        <w:tc>
          <w:tcPr>
            <w:tcW w:w="1491" w:type="pct"/>
            <w:tcBorders>
              <w:top w:val="outset" w:sz="6" w:space="0" w:color="auto"/>
              <w:left w:val="outset" w:sz="6" w:space="0" w:color="auto"/>
              <w:bottom w:val="outset" w:sz="6" w:space="0" w:color="auto"/>
              <w:right w:val="outset" w:sz="6" w:space="0" w:color="auto"/>
            </w:tcBorders>
            <w:hideMark/>
          </w:tcPr>
          <w:p w:rsidR="00956BE6" w:rsidRPr="001B7E4E" w:rsidRDefault="00956BE6" w:rsidP="00C8067C">
            <w:pPr>
              <w:spacing w:before="100" w:beforeAutospacing="1" w:after="100" w:afterAutospacing="1"/>
            </w:pPr>
            <w:r w:rsidRPr="001B7E4E">
              <w:t> Cita informācija</w:t>
            </w:r>
          </w:p>
        </w:tc>
        <w:tc>
          <w:tcPr>
            <w:tcW w:w="3226" w:type="pct"/>
            <w:tcBorders>
              <w:top w:val="outset" w:sz="6" w:space="0" w:color="auto"/>
              <w:left w:val="outset" w:sz="6" w:space="0" w:color="auto"/>
              <w:bottom w:val="outset" w:sz="6" w:space="0" w:color="auto"/>
              <w:right w:val="outset" w:sz="6" w:space="0" w:color="auto"/>
            </w:tcBorders>
            <w:hideMark/>
          </w:tcPr>
          <w:p w:rsidR="00995D80" w:rsidRPr="001B7E4E" w:rsidRDefault="00FD4353" w:rsidP="00FD1594">
            <w:pPr>
              <w:jc w:val="both"/>
              <w:rPr>
                <w:u w:val="single"/>
              </w:rPr>
            </w:pPr>
            <w:r w:rsidRPr="001B7E4E">
              <w:t xml:space="preserve"> </w:t>
            </w:r>
            <w:r w:rsidR="00FD1594" w:rsidRPr="001B7E4E">
              <w:t>Nav</w:t>
            </w:r>
          </w:p>
        </w:tc>
      </w:tr>
    </w:tbl>
    <w:p w:rsidR="00AE4FD3" w:rsidRPr="001B7E4E" w:rsidRDefault="00432C60" w:rsidP="00586F93">
      <w:r w:rsidRPr="001B7E4E">
        <w:tab/>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61"/>
        <w:gridCol w:w="1191"/>
        <w:gridCol w:w="1156"/>
        <w:gridCol w:w="1142"/>
        <w:gridCol w:w="1136"/>
        <w:gridCol w:w="1130"/>
      </w:tblGrid>
      <w:tr w:rsidR="00A753F3" w:rsidRPr="001B7E4E" w:rsidTr="00052B4D">
        <w:trPr>
          <w:tblCellSpacing w:w="0" w:type="dxa"/>
        </w:trPr>
        <w:tc>
          <w:tcPr>
            <w:tcW w:w="9116" w:type="dxa"/>
            <w:gridSpan w:val="6"/>
            <w:tcBorders>
              <w:top w:val="outset" w:sz="6" w:space="0" w:color="auto"/>
              <w:left w:val="outset" w:sz="6" w:space="0" w:color="auto"/>
              <w:bottom w:val="outset" w:sz="6" w:space="0" w:color="auto"/>
              <w:right w:val="outset" w:sz="6" w:space="0" w:color="auto"/>
            </w:tcBorders>
            <w:hideMark/>
          </w:tcPr>
          <w:p w:rsidR="00A753F3" w:rsidRPr="001B7E4E" w:rsidRDefault="00A753F3" w:rsidP="002F1E54">
            <w:pPr>
              <w:spacing w:before="100" w:beforeAutospacing="1" w:after="100" w:afterAutospacing="1"/>
              <w:jc w:val="center"/>
              <w:rPr>
                <w:b/>
                <w:bCs/>
              </w:rPr>
            </w:pPr>
            <w:r w:rsidRPr="001B7E4E">
              <w:rPr>
                <w:b/>
                <w:bCs/>
              </w:rPr>
              <w:t>III. Tiesību akta projekta ietekme uz valsts budžetu un pašvaldību budžetiem</w:t>
            </w:r>
            <w:r w:rsidR="00D02181" w:rsidRPr="001B7E4E">
              <w:rPr>
                <w:b/>
                <w:bCs/>
              </w:rPr>
              <w:t xml:space="preserve"> </w:t>
            </w:r>
          </w:p>
        </w:tc>
      </w:tr>
      <w:tr w:rsidR="00A753F3" w:rsidRPr="001B7E4E" w:rsidTr="003B36C5">
        <w:tblPrEx>
          <w:tblCellSpacing w:w="0" w:type="nil"/>
          <w:tblCellMar>
            <w:top w:w="30" w:type="dxa"/>
            <w:left w:w="30" w:type="dxa"/>
            <w:bottom w:w="30" w:type="dxa"/>
            <w:right w:w="30" w:type="dxa"/>
          </w:tblCellMar>
        </w:tblPrEx>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753F3" w:rsidRPr="001B7E4E" w:rsidRDefault="00A753F3" w:rsidP="00A753F3">
            <w:pPr>
              <w:spacing w:before="100" w:beforeAutospacing="1" w:line="360" w:lineRule="auto"/>
              <w:jc w:val="center"/>
            </w:pPr>
            <w:r w:rsidRPr="001B7E4E">
              <w:rPr>
                <w:b/>
                <w:bCs/>
              </w:rPr>
              <w:t>Rādītāji</w:t>
            </w:r>
          </w:p>
        </w:tc>
        <w:tc>
          <w:tcPr>
            <w:tcW w:w="2388"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A753F3" w:rsidRPr="001B7E4E" w:rsidRDefault="00034CC1" w:rsidP="00034CC1">
            <w:pPr>
              <w:jc w:val="center"/>
              <w:rPr>
                <w:b/>
                <w:bCs/>
              </w:rPr>
            </w:pPr>
            <w:r w:rsidRPr="001B7E4E">
              <w:rPr>
                <w:b/>
                <w:bCs/>
              </w:rPr>
              <w:t>2013.</w:t>
            </w:r>
            <w:r w:rsidR="00A753F3" w:rsidRPr="001B7E4E">
              <w:rPr>
                <w:b/>
                <w:bCs/>
              </w:rPr>
              <w:t>gads</w:t>
            </w:r>
          </w:p>
          <w:p w:rsidR="00C8098E" w:rsidRPr="001B7E4E" w:rsidRDefault="00C8098E" w:rsidP="00034CC1">
            <w:pPr>
              <w:jc w:val="center"/>
            </w:pPr>
            <w:r w:rsidRPr="001B7E4E">
              <w:t>(tūkst</w:t>
            </w:r>
            <w:r w:rsidRPr="001B7E4E">
              <w:rPr>
                <w:i/>
              </w:rPr>
              <w:t>. euro</w:t>
            </w:r>
            <w:r w:rsidRPr="001B7E4E">
              <w:t>)</w:t>
            </w:r>
          </w:p>
        </w:tc>
        <w:tc>
          <w:tcPr>
            <w:tcW w:w="3510" w:type="dxa"/>
            <w:gridSpan w:val="3"/>
            <w:tcBorders>
              <w:top w:val="outset" w:sz="6" w:space="0" w:color="auto"/>
              <w:left w:val="outset" w:sz="6" w:space="0" w:color="auto"/>
              <w:bottom w:val="outset" w:sz="6" w:space="0" w:color="auto"/>
              <w:right w:val="outset" w:sz="6" w:space="0" w:color="auto"/>
            </w:tcBorders>
            <w:vAlign w:val="center"/>
            <w:hideMark/>
          </w:tcPr>
          <w:p w:rsidR="00A753F3" w:rsidRPr="001B7E4E" w:rsidRDefault="00A753F3" w:rsidP="00C8098E">
            <w:pPr>
              <w:jc w:val="center"/>
            </w:pPr>
            <w:r w:rsidRPr="001B7E4E">
              <w:t>Turpmākie trīs gadi (tūkst</w:t>
            </w:r>
            <w:r w:rsidRPr="001B7E4E">
              <w:rPr>
                <w:i/>
              </w:rPr>
              <w:t xml:space="preserve">. </w:t>
            </w:r>
            <w:r w:rsidR="00C8098E" w:rsidRPr="001B7E4E">
              <w:rPr>
                <w:i/>
              </w:rPr>
              <w:t>euro</w:t>
            </w:r>
            <w:r w:rsidRPr="001B7E4E">
              <w:t>)</w:t>
            </w:r>
          </w:p>
        </w:tc>
      </w:tr>
      <w:tr w:rsidR="00A753F3" w:rsidRPr="001B7E4E" w:rsidTr="003B36C5">
        <w:tblPrEx>
          <w:tblCellSpacing w:w="0" w:type="nil"/>
          <w:tblCellMar>
            <w:top w:w="30" w:type="dxa"/>
            <w:left w:w="30" w:type="dxa"/>
            <w:bottom w:w="30" w:type="dxa"/>
            <w:right w:w="30" w:type="dxa"/>
          </w:tblCellMar>
        </w:tblPrEx>
        <w:tc>
          <w:tcPr>
            <w:tcW w:w="0" w:type="auto"/>
            <w:vMerge/>
            <w:tcBorders>
              <w:top w:val="outset" w:sz="6" w:space="0" w:color="auto"/>
              <w:left w:val="outset" w:sz="6" w:space="0" w:color="auto"/>
              <w:bottom w:val="outset" w:sz="6" w:space="0" w:color="auto"/>
              <w:right w:val="outset" w:sz="6" w:space="0" w:color="auto"/>
            </w:tcBorders>
            <w:vAlign w:val="center"/>
            <w:hideMark/>
          </w:tcPr>
          <w:p w:rsidR="00A753F3" w:rsidRPr="001B7E4E" w:rsidRDefault="00A753F3" w:rsidP="00A753F3"/>
        </w:tc>
        <w:tc>
          <w:tcPr>
            <w:tcW w:w="2388" w:type="dxa"/>
            <w:gridSpan w:val="2"/>
            <w:vMerge/>
            <w:tcBorders>
              <w:top w:val="outset" w:sz="6" w:space="0" w:color="auto"/>
              <w:left w:val="outset" w:sz="6" w:space="0" w:color="auto"/>
              <w:bottom w:val="outset" w:sz="6" w:space="0" w:color="auto"/>
              <w:right w:val="outset" w:sz="6" w:space="0" w:color="auto"/>
            </w:tcBorders>
            <w:vAlign w:val="center"/>
            <w:hideMark/>
          </w:tcPr>
          <w:p w:rsidR="00A753F3" w:rsidRPr="001B7E4E" w:rsidRDefault="00A753F3" w:rsidP="00A753F3"/>
        </w:tc>
        <w:tc>
          <w:tcPr>
            <w:tcW w:w="1176" w:type="dxa"/>
            <w:tcBorders>
              <w:top w:val="outset" w:sz="6" w:space="0" w:color="auto"/>
              <w:left w:val="outset" w:sz="6" w:space="0" w:color="auto"/>
              <w:bottom w:val="outset" w:sz="6" w:space="0" w:color="auto"/>
              <w:right w:val="outset" w:sz="6" w:space="0" w:color="auto"/>
            </w:tcBorders>
            <w:vAlign w:val="center"/>
            <w:hideMark/>
          </w:tcPr>
          <w:p w:rsidR="00A753F3" w:rsidRPr="001B7E4E" w:rsidRDefault="00034CC1" w:rsidP="00320B9E">
            <w:pPr>
              <w:jc w:val="center"/>
            </w:pPr>
            <w:r w:rsidRPr="001B7E4E">
              <w:rPr>
                <w:b/>
                <w:bCs/>
              </w:rPr>
              <w:t>2014</w:t>
            </w:r>
          </w:p>
        </w:tc>
        <w:tc>
          <w:tcPr>
            <w:tcW w:w="1170" w:type="dxa"/>
            <w:tcBorders>
              <w:top w:val="outset" w:sz="6" w:space="0" w:color="auto"/>
              <w:left w:val="outset" w:sz="6" w:space="0" w:color="auto"/>
              <w:bottom w:val="outset" w:sz="6" w:space="0" w:color="auto"/>
              <w:right w:val="outset" w:sz="6" w:space="0" w:color="auto"/>
            </w:tcBorders>
            <w:vAlign w:val="center"/>
            <w:hideMark/>
          </w:tcPr>
          <w:p w:rsidR="00A753F3" w:rsidRPr="001B7E4E" w:rsidRDefault="00034CC1" w:rsidP="00320B9E">
            <w:pPr>
              <w:jc w:val="center"/>
            </w:pPr>
            <w:r w:rsidRPr="001B7E4E">
              <w:rPr>
                <w:b/>
                <w:bCs/>
              </w:rPr>
              <w:t>2015</w:t>
            </w:r>
          </w:p>
        </w:tc>
        <w:tc>
          <w:tcPr>
            <w:tcW w:w="1164" w:type="dxa"/>
            <w:tcBorders>
              <w:top w:val="outset" w:sz="6" w:space="0" w:color="auto"/>
              <w:left w:val="outset" w:sz="6" w:space="0" w:color="auto"/>
              <w:bottom w:val="outset" w:sz="6" w:space="0" w:color="auto"/>
              <w:right w:val="outset" w:sz="6" w:space="0" w:color="auto"/>
            </w:tcBorders>
            <w:vAlign w:val="center"/>
            <w:hideMark/>
          </w:tcPr>
          <w:p w:rsidR="00A753F3" w:rsidRPr="001B7E4E" w:rsidRDefault="00034CC1" w:rsidP="00320B9E">
            <w:pPr>
              <w:jc w:val="center"/>
            </w:pPr>
            <w:r w:rsidRPr="001B7E4E">
              <w:rPr>
                <w:b/>
                <w:bCs/>
              </w:rPr>
              <w:t>2016</w:t>
            </w:r>
          </w:p>
        </w:tc>
      </w:tr>
      <w:tr w:rsidR="00A753F3" w:rsidRPr="001B7E4E" w:rsidTr="003B36C5">
        <w:tblPrEx>
          <w:tblCellSpacing w:w="0" w:type="nil"/>
          <w:tblCellMar>
            <w:top w:w="30" w:type="dxa"/>
            <w:left w:w="30" w:type="dxa"/>
            <w:bottom w:w="30" w:type="dxa"/>
            <w:right w:w="30" w:type="dxa"/>
          </w:tblCellMar>
        </w:tblPrEx>
        <w:tc>
          <w:tcPr>
            <w:tcW w:w="0" w:type="auto"/>
            <w:vMerge/>
            <w:tcBorders>
              <w:top w:val="outset" w:sz="6" w:space="0" w:color="auto"/>
              <w:left w:val="outset" w:sz="6" w:space="0" w:color="auto"/>
              <w:bottom w:val="outset" w:sz="6" w:space="0" w:color="auto"/>
              <w:right w:val="outset" w:sz="6" w:space="0" w:color="auto"/>
            </w:tcBorders>
            <w:vAlign w:val="center"/>
            <w:hideMark/>
          </w:tcPr>
          <w:p w:rsidR="00A753F3" w:rsidRPr="001B7E4E" w:rsidRDefault="00A753F3" w:rsidP="00A753F3"/>
        </w:tc>
        <w:tc>
          <w:tcPr>
            <w:tcW w:w="0" w:type="auto"/>
            <w:tcBorders>
              <w:top w:val="outset" w:sz="6" w:space="0" w:color="auto"/>
              <w:left w:val="outset" w:sz="6" w:space="0" w:color="auto"/>
              <w:bottom w:val="outset" w:sz="6" w:space="0" w:color="auto"/>
              <w:right w:val="outset" w:sz="6" w:space="0" w:color="auto"/>
            </w:tcBorders>
            <w:vAlign w:val="center"/>
            <w:hideMark/>
          </w:tcPr>
          <w:p w:rsidR="00C8098E" w:rsidRPr="001B7E4E" w:rsidRDefault="00A753F3" w:rsidP="00C8098E">
            <w:pPr>
              <w:jc w:val="center"/>
              <w:rPr>
                <w:sz w:val="22"/>
                <w:szCs w:val="22"/>
              </w:rPr>
            </w:pPr>
            <w:r w:rsidRPr="001B7E4E">
              <w:rPr>
                <w:sz w:val="22"/>
                <w:szCs w:val="22"/>
              </w:rPr>
              <w:t>Saskaņā ar valsts budžetu kārtējam gadam</w:t>
            </w:r>
          </w:p>
        </w:tc>
        <w:tc>
          <w:tcPr>
            <w:tcW w:w="1191" w:type="dxa"/>
            <w:tcBorders>
              <w:top w:val="outset" w:sz="6" w:space="0" w:color="auto"/>
              <w:left w:val="outset" w:sz="6" w:space="0" w:color="auto"/>
              <w:bottom w:val="outset" w:sz="6" w:space="0" w:color="auto"/>
              <w:right w:val="outset" w:sz="6" w:space="0" w:color="auto"/>
            </w:tcBorders>
            <w:vAlign w:val="center"/>
            <w:hideMark/>
          </w:tcPr>
          <w:p w:rsidR="00A753F3" w:rsidRPr="001B7E4E" w:rsidRDefault="00A753F3" w:rsidP="00A753F3">
            <w:pPr>
              <w:jc w:val="center"/>
            </w:pPr>
            <w:r w:rsidRPr="001B7E4E">
              <w:t>Izmaiņas kārtējā gadā, salīdzinot ar budžetu kārtējam gadam</w:t>
            </w:r>
          </w:p>
        </w:tc>
        <w:tc>
          <w:tcPr>
            <w:tcW w:w="1176"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A753F3" w:rsidP="00C8098E">
            <w:pPr>
              <w:jc w:val="center"/>
              <w:rPr>
                <w:i/>
              </w:rPr>
            </w:pPr>
            <w:r w:rsidRPr="001B7E4E">
              <w:t>Izmaiņas, salīdzinot ar kārtējo (n) gadu</w:t>
            </w:r>
          </w:p>
        </w:tc>
        <w:tc>
          <w:tcPr>
            <w:tcW w:w="1170"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A753F3" w:rsidP="00C8098E">
            <w:pPr>
              <w:jc w:val="center"/>
              <w:rPr>
                <w:i/>
              </w:rPr>
            </w:pPr>
            <w:r w:rsidRPr="001B7E4E">
              <w:t>Izmaiņas, salīdzinot ar kārtējo (n) gadu</w:t>
            </w:r>
          </w:p>
        </w:tc>
        <w:tc>
          <w:tcPr>
            <w:tcW w:w="1164"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A753F3" w:rsidP="00C8098E">
            <w:pPr>
              <w:jc w:val="center"/>
              <w:rPr>
                <w:i/>
              </w:rPr>
            </w:pPr>
            <w:r w:rsidRPr="001B7E4E">
              <w:t>Izmaiņas, salīdzinot ar kārtējo (n) gadu</w:t>
            </w:r>
          </w:p>
        </w:tc>
      </w:tr>
      <w:tr w:rsidR="00A753F3" w:rsidRPr="001B7E4E" w:rsidTr="003B36C5">
        <w:tblPrEx>
          <w:tblCellSpacing w:w="0" w:type="nil"/>
          <w:tblCellMar>
            <w:top w:w="30" w:type="dxa"/>
            <w:left w:w="30" w:type="dxa"/>
            <w:bottom w:w="30" w:type="dxa"/>
            <w:right w:w="30" w:type="dxa"/>
          </w:tblCellMar>
        </w:tblPrEx>
        <w:trPr>
          <w:trHeight w:val="170"/>
        </w:trPr>
        <w:tc>
          <w:tcPr>
            <w:tcW w:w="0" w:type="auto"/>
            <w:tcBorders>
              <w:top w:val="outset" w:sz="6" w:space="0" w:color="auto"/>
              <w:left w:val="outset" w:sz="6" w:space="0" w:color="auto"/>
              <w:bottom w:val="outset" w:sz="6" w:space="0" w:color="auto"/>
              <w:right w:val="outset" w:sz="6" w:space="0" w:color="auto"/>
            </w:tcBorders>
            <w:vAlign w:val="center"/>
            <w:hideMark/>
          </w:tcPr>
          <w:p w:rsidR="00A753F3" w:rsidRPr="001B7E4E" w:rsidRDefault="00A753F3" w:rsidP="005C0A93">
            <w:pPr>
              <w:jc w:val="center"/>
              <w:rPr>
                <w:sz w:val="20"/>
                <w:szCs w:val="20"/>
              </w:rPr>
            </w:pPr>
            <w:r w:rsidRPr="001B7E4E">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3F3" w:rsidRPr="001B7E4E" w:rsidRDefault="00A753F3" w:rsidP="005C0A93">
            <w:pPr>
              <w:jc w:val="center"/>
              <w:rPr>
                <w:sz w:val="20"/>
                <w:szCs w:val="20"/>
              </w:rPr>
            </w:pPr>
            <w:r w:rsidRPr="001B7E4E">
              <w:rPr>
                <w:sz w:val="20"/>
                <w:szCs w:val="20"/>
              </w:rPr>
              <w:t>2</w:t>
            </w:r>
          </w:p>
        </w:tc>
        <w:tc>
          <w:tcPr>
            <w:tcW w:w="1191" w:type="dxa"/>
            <w:tcBorders>
              <w:top w:val="outset" w:sz="6" w:space="0" w:color="auto"/>
              <w:left w:val="outset" w:sz="6" w:space="0" w:color="auto"/>
              <w:bottom w:val="outset" w:sz="6" w:space="0" w:color="auto"/>
              <w:right w:val="outset" w:sz="6" w:space="0" w:color="auto"/>
            </w:tcBorders>
            <w:vAlign w:val="center"/>
            <w:hideMark/>
          </w:tcPr>
          <w:p w:rsidR="00A753F3" w:rsidRPr="001B7E4E" w:rsidRDefault="00A753F3" w:rsidP="005C0A93">
            <w:pPr>
              <w:jc w:val="center"/>
              <w:rPr>
                <w:sz w:val="20"/>
                <w:szCs w:val="20"/>
              </w:rPr>
            </w:pPr>
            <w:r w:rsidRPr="001B7E4E">
              <w:rPr>
                <w:sz w:val="20"/>
                <w:szCs w:val="20"/>
              </w:rPr>
              <w:t>3</w:t>
            </w:r>
          </w:p>
        </w:tc>
        <w:tc>
          <w:tcPr>
            <w:tcW w:w="1176" w:type="dxa"/>
            <w:tcBorders>
              <w:top w:val="outset" w:sz="6" w:space="0" w:color="auto"/>
              <w:left w:val="outset" w:sz="6" w:space="0" w:color="auto"/>
              <w:bottom w:val="outset" w:sz="6" w:space="0" w:color="auto"/>
              <w:right w:val="outset" w:sz="6" w:space="0" w:color="auto"/>
            </w:tcBorders>
            <w:vAlign w:val="center"/>
            <w:hideMark/>
          </w:tcPr>
          <w:p w:rsidR="00A753F3" w:rsidRPr="001B7E4E" w:rsidRDefault="00A753F3" w:rsidP="005C0A93">
            <w:pPr>
              <w:jc w:val="center"/>
              <w:rPr>
                <w:sz w:val="20"/>
                <w:szCs w:val="20"/>
              </w:rPr>
            </w:pPr>
            <w:r w:rsidRPr="001B7E4E">
              <w:rPr>
                <w:sz w:val="20"/>
                <w:szCs w:val="20"/>
              </w:rPr>
              <w:t>4</w:t>
            </w:r>
          </w:p>
        </w:tc>
        <w:tc>
          <w:tcPr>
            <w:tcW w:w="1170" w:type="dxa"/>
            <w:tcBorders>
              <w:top w:val="outset" w:sz="6" w:space="0" w:color="auto"/>
              <w:left w:val="outset" w:sz="6" w:space="0" w:color="auto"/>
              <w:bottom w:val="outset" w:sz="6" w:space="0" w:color="auto"/>
              <w:right w:val="outset" w:sz="6" w:space="0" w:color="auto"/>
            </w:tcBorders>
            <w:vAlign w:val="center"/>
            <w:hideMark/>
          </w:tcPr>
          <w:p w:rsidR="00A753F3" w:rsidRPr="001B7E4E" w:rsidRDefault="00A753F3" w:rsidP="005C0A93">
            <w:pPr>
              <w:jc w:val="center"/>
              <w:rPr>
                <w:sz w:val="20"/>
                <w:szCs w:val="20"/>
              </w:rPr>
            </w:pPr>
            <w:r w:rsidRPr="001B7E4E">
              <w:rPr>
                <w:sz w:val="20"/>
                <w:szCs w:val="20"/>
              </w:rPr>
              <w:t>5</w:t>
            </w:r>
          </w:p>
        </w:tc>
        <w:tc>
          <w:tcPr>
            <w:tcW w:w="1164" w:type="dxa"/>
            <w:tcBorders>
              <w:top w:val="outset" w:sz="6" w:space="0" w:color="auto"/>
              <w:left w:val="outset" w:sz="6" w:space="0" w:color="auto"/>
              <w:bottom w:val="outset" w:sz="6" w:space="0" w:color="auto"/>
              <w:right w:val="outset" w:sz="6" w:space="0" w:color="auto"/>
            </w:tcBorders>
            <w:vAlign w:val="center"/>
            <w:hideMark/>
          </w:tcPr>
          <w:p w:rsidR="00A753F3" w:rsidRPr="001B7E4E" w:rsidRDefault="00A753F3" w:rsidP="005C0A93">
            <w:pPr>
              <w:jc w:val="center"/>
              <w:rPr>
                <w:sz w:val="20"/>
                <w:szCs w:val="20"/>
              </w:rPr>
            </w:pPr>
            <w:r w:rsidRPr="001B7E4E">
              <w:rPr>
                <w:sz w:val="20"/>
                <w:szCs w:val="20"/>
              </w:rPr>
              <w:t>6</w:t>
            </w:r>
          </w:p>
        </w:tc>
      </w:tr>
      <w:tr w:rsidR="00A753F3" w:rsidRPr="001B7E4E" w:rsidTr="003B36C5">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A753F3" w:rsidRPr="001B7E4E" w:rsidRDefault="00A753F3" w:rsidP="00320B9E">
            <w:pPr>
              <w:rPr>
                <w:b/>
              </w:rPr>
            </w:pPr>
            <w:r w:rsidRPr="001B7E4E">
              <w:rPr>
                <w:b/>
              </w:rPr>
              <w:t>1. Budžeta ieņēmumi: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3F3" w:rsidRPr="001B7E4E" w:rsidRDefault="00A93C86" w:rsidP="00320B9E">
            <w:pPr>
              <w:jc w:val="center"/>
              <w:rPr>
                <w:b/>
              </w:rPr>
            </w:pPr>
            <w:r w:rsidRPr="001B7E4E">
              <w:rPr>
                <w:b/>
              </w:rPr>
              <w:t>7 274</w:t>
            </w:r>
            <w:r w:rsidR="001C2FA2" w:rsidRPr="001B7E4E">
              <w:rPr>
                <w:b/>
              </w:rPr>
              <w:t>,5</w:t>
            </w:r>
          </w:p>
        </w:tc>
        <w:tc>
          <w:tcPr>
            <w:tcW w:w="1191" w:type="dxa"/>
            <w:tcBorders>
              <w:top w:val="outset" w:sz="6" w:space="0" w:color="auto"/>
              <w:left w:val="outset" w:sz="6" w:space="0" w:color="auto"/>
              <w:bottom w:val="outset" w:sz="6" w:space="0" w:color="auto"/>
              <w:right w:val="outset" w:sz="6" w:space="0" w:color="auto"/>
            </w:tcBorders>
            <w:vAlign w:val="center"/>
            <w:hideMark/>
          </w:tcPr>
          <w:p w:rsidR="00A753F3" w:rsidRPr="001B7E4E" w:rsidRDefault="001C2FA2" w:rsidP="00320B9E">
            <w:pPr>
              <w:jc w:val="center"/>
              <w:rPr>
                <w:b/>
              </w:rPr>
            </w:pPr>
            <w:r w:rsidRPr="001B7E4E">
              <w:rPr>
                <w:b/>
              </w:rPr>
              <w:t>0</w:t>
            </w:r>
          </w:p>
        </w:tc>
        <w:tc>
          <w:tcPr>
            <w:tcW w:w="1176" w:type="dxa"/>
            <w:tcBorders>
              <w:top w:val="outset" w:sz="6" w:space="0" w:color="auto"/>
              <w:left w:val="outset" w:sz="6" w:space="0" w:color="auto"/>
              <w:bottom w:val="outset" w:sz="6" w:space="0" w:color="auto"/>
              <w:right w:val="outset" w:sz="6" w:space="0" w:color="auto"/>
            </w:tcBorders>
            <w:vAlign w:val="center"/>
            <w:hideMark/>
          </w:tcPr>
          <w:p w:rsidR="00A753F3" w:rsidRPr="001B7E4E" w:rsidRDefault="001C2FA2" w:rsidP="00320B9E">
            <w:pPr>
              <w:jc w:val="center"/>
              <w:rPr>
                <w:b/>
              </w:rPr>
            </w:pPr>
            <w:r w:rsidRPr="001B7E4E">
              <w:rPr>
                <w:b/>
              </w:rPr>
              <w:t>0</w:t>
            </w:r>
          </w:p>
        </w:tc>
        <w:tc>
          <w:tcPr>
            <w:tcW w:w="1170" w:type="dxa"/>
            <w:tcBorders>
              <w:top w:val="outset" w:sz="6" w:space="0" w:color="auto"/>
              <w:left w:val="outset" w:sz="6" w:space="0" w:color="auto"/>
              <w:bottom w:val="outset" w:sz="6" w:space="0" w:color="auto"/>
              <w:right w:val="outset" w:sz="6" w:space="0" w:color="auto"/>
            </w:tcBorders>
            <w:vAlign w:val="center"/>
            <w:hideMark/>
          </w:tcPr>
          <w:p w:rsidR="00A753F3" w:rsidRPr="001B7E4E" w:rsidRDefault="00A93C86" w:rsidP="00320B9E">
            <w:pPr>
              <w:jc w:val="center"/>
              <w:rPr>
                <w:b/>
              </w:rPr>
            </w:pPr>
            <w:r w:rsidRPr="001B7E4E">
              <w:rPr>
                <w:b/>
              </w:rPr>
              <w:t>796,8</w:t>
            </w:r>
          </w:p>
        </w:tc>
        <w:tc>
          <w:tcPr>
            <w:tcW w:w="1164" w:type="dxa"/>
            <w:tcBorders>
              <w:top w:val="outset" w:sz="6" w:space="0" w:color="auto"/>
              <w:left w:val="outset" w:sz="6" w:space="0" w:color="auto"/>
              <w:bottom w:val="outset" w:sz="6" w:space="0" w:color="auto"/>
              <w:right w:val="outset" w:sz="6" w:space="0" w:color="auto"/>
            </w:tcBorders>
            <w:vAlign w:val="center"/>
            <w:hideMark/>
          </w:tcPr>
          <w:p w:rsidR="00A753F3" w:rsidRPr="001B7E4E" w:rsidRDefault="00A93C86" w:rsidP="00320B9E">
            <w:pPr>
              <w:jc w:val="center"/>
              <w:rPr>
                <w:b/>
              </w:rPr>
            </w:pPr>
            <w:r w:rsidRPr="001B7E4E">
              <w:rPr>
                <w:b/>
              </w:rPr>
              <w:t>796,8</w:t>
            </w:r>
          </w:p>
        </w:tc>
      </w:tr>
      <w:tr w:rsidR="00A753F3" w:rsidRPr="001B7E4E" w:rsidTr="00DE1297">
        <w:tblPrEx>
          <w:tblCellSpacing w:w="0" w:type="nil"/>
          <w:tblCellMar>
            <w:top w:w="30" w:type="dxa"/>
            <w:left w:w="30" w:type="dxa"/>
            <w:bottom w:w="30" w:type="dxa"/>
            <w:right w:w="30" w:type="dxa"/>
          </w:tblCellMar>
        </w:tblPrEx>
        <w:trPr>
          <w:trHeight w:val="1213"/>
        </w:trPr>
        <w:tc>
          <w:tcPr>
            <w:tcW w:w="0" w:type="auto"/>
            <w:tcBorders>
              <w:top w:val="outset" w:sz="6" w:space="0" w:color="auto"/>
              <w:left w:val="outset" w:sz="6" w:space="0" w:color="auto"/>
              <w:bottom w:val="outset" w:sz="6" w:space="0" w:color="auto"/>
              <w:right w:val="outset" w:sz="6" w:space="0" w:color="auto"/>
            </w:tcBorders>
            <w:hideMark/>
          </w:tcPr>
          <w:p w:rsidR="00A753F3" w:rsidRPr="001B7E4E" w:rsidRDefault="00A753F3" w:rsidP="00320B9E">
            <w:r w:rsidRPr="001B7E4E">
              <w:t>1.1. valsts pamatbudžets, tai skaitā ieņēmumi no maksas pakalpojumiem un citi pašu ieņēmumi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3F3" w:rsidRPr="001B7E4E" w:rsidRDefault="00A93C86" w:rsidP="00320B9E">
            <w:pPr>
              <w:jc w:val="center"/>
            </w:pPr>
            <w:r w:rsidRPr="001B7E4E">
              <w:t>7 274</w:t>
            </w:r>
            <w:r w:rsidR="001C2FA2" w:rsidRPr="001B7E4E">
              <w:t>,5</w:t>
            </w:r>
          </w:p>
          <w:p w:rsidR="001C2FA2" w:rsidRPr="001B7E4E" w:rsidRDefault="001C2FA2" w:rsidP="00320B9E">
            <w:pPr>
              <w:jc w:val="center"/>
            </w:pPr>
          </w:p>
          <w:p w:rsidR="001C2FA2" w:rsidRPr="001B7E4E" w:rsidRDefault="00A93C86" w:rsidP="00320B9E">
            <w:pPr>
              <w:jc w:val="center"/>
            </w:pPr>
            <w:r w:rsidRPr="001B7E4E">
              <w:t>0</w:t>
            </w:r>
          </w:p>
        </w:tc>
        <w:tc>
          <w:tcPr>
            <w:tcW w:w="1191" w:type="dxa"/>
            <w:tcBorders>
              <w:top w:val="outset" w:sz="6" w:space="0" w:color="auto"/>
              <w:left w:val="outset" w:sz="6" w:space="0" w:color="auto"/>
              <w:bottom w:val="outset" w:sz="6" w:space="0" w:color="auto"/>
              <w:right w:val="outset" w:sz="6" w:space="0" w:color="auto"/>
            </w:tcBorders>
            <w:vAlign w:val="center"/>
            <w:hideMark/>
          </w:tcPr>
          <w:p w:rsidR="00A753F3" w:rsidRPr="001B7E4E" w:rsidRDefault="001C2FA2" w:rsidP="00320B9E">
            <w:pPr>
              <w:jc w:val="center"/>
            </w:pPr>
            <w:r w:rsidRPr="001B7E4E">
              <w:t>0</w:t>
            </w:r>
          </w:p>
          <w:p w:rsidR="001C2FA2" w:rsidRPr="001B7E4E" w:rsidRDefault="001C2FA2" w:rsidP="00320B9E">
            <w:pPr>
              <w:jc w:val="center"/>
            </w:pPr>
          </w:p>
          <w:p w:rsidR="001C2FA2" w:rsidRPr="001B7E4E" w:rsidRDefault="001C2FA2" w:rsidP="00320B9E">
            <w:pPr>
              <w:jc w:val="center"/>
            </w:pPr>
            <w:r w:rsidRPr="001B7E4E">
              <w:t>0</w:t>
            </w:r>
          </w:p>
        </w:tc>
        <w:tc>
          <w:tcPr>
            <w:tcW w:w="1176" w:type="dxa"/>
            <w:tcBorders>
              <w:top w:val="outset" w:sz="6" w:space="0" w:color="auto"/>
              <w:left w:val="outset" w:sz="6" w:space="0" w:color="auto"/>
              <w:bottom w:val="outset" w:sz="6" w:space="0" w:color="auto"/>
              <w:right w:val="outset" w:sz="6" w:space="0" w:color="auto"/>
            </w:tcBorders>
            <w:vAlign w:val="center"/>
            <w:hideMark/>
          </w:tcPr>
          <w:p w:rsidR="00A753F3" w:rsidRPr="001B7E4E" w:rsidRDefault="001C2FA2" w:rsidP="00320B9E">
            <w:pPr>
              <w:jc w:val="center"/>
            </w:pPr>
            <w:r w:rsidRPr="001B7E4E">
              <w:t>0</w:t>
            </w:r>
          </w:p>
          <w:p w:rsidR="001C2FA2" w:rsidRPr="001B7E4E" w:rsidRDefault="001C2FA2" w:rsidP="00320B9E">
            <w:pPr>
              <w:jc w:val="center"/>
            </w:pPr>
          </w:p>
          <w:p w:rsidR="001C2FA2" w:rsidRPr="001B7E4E" w:rsidRDefault="001C2FA2" w:rsidP="00320B9E">
            <w:pPr>
              <w:jc w:val="center"/>
            </w:pPr>
            <w:r w:rsidRPr="001B7E4E">
              <w:t>0</w:t>
            </w:r>
          </w:p>
        </w:tc>
        <w:tc>
          <w:tcPr>
            <w:tcW w:w="1170" w:type="dxa"/>
            <w:tcBorders>
              <w:top w:val="outset" w:sz="6" w:space="0" w:color="auto"/>
              <w:left w:val="outset" w:sz="6" w:space="0" w:color="auto"/>
              <w:bottom w:val="outset" w:sz="6" w:space="0" w:color="auto"/>
              <w:right w:val="outset" w:sz="6" w:space="0" w:color="auto"/>
            </w:tcBorders>
            <w:vAlign w:val="center"/>
            <w:hideMark/>
          </w:tcPr>
          <w:p w:rsidR="00A753F3" w:rsidRPr="001B7E4E" w:rsidRDefault="00A93C86" w:rsidP="00320B9E">
            <w:pPr>
              <w:jc w:val="center"/>
            </w:pPr>
            <w:r w:rsidRPr="001B7E4E">
              <w:t>796,8</w:t>
            </w:r>
          </w:p>
          <w:p w:rsidR="001C2FA2" w:rsidRPr="001B7E4E" w:rsidRDefault="001C2FA2" w:rsidP="00320B9E">
            <w:pPr>
              <w:jc w:val="center"/>
            </w:pPr>
          </w:p>
          <w:p w:rsidR="001C2FA2" w:rsidRPr="001B7E4E" w:rsidRDefault="001C2FA2" w:rsidP="00320B9E">
            <w:pPr>
              <w:jc w:val="center"/>
            </w:pPr>
            <w:r w:rsidRPr="001B7E4E">
              <w:t>0</w:t>
            </w:r>
          </w:p>
        </w:tc>
        <w:tc>
          <w:tcPr>
            <w:tcW w:w="1164" w:type="dxa"/>
            <w:tcBorders>
              <w:top w:val="outset" w:sz="6" w:space="0" w:color="auto"/>
              <w:left w:val="outset" w:sz="6" w:space="0" w:color="auto"/>
              <w:bottom w:val="outset" w:sz="6" w:space="0" w:color="auto"/>
              <w:right w:val="outset" w:sz="6" w:space="0" w:color="auto"/>
            </w:tcBorders>
            <w:vAlign w:val="center"/>
            <w:hideMark/>
          </w:tcPr>
          <w:p w:rsidR="00A753F3" w:rsidRPr="001B7E4E" w:rsidRDefault="00A93C86" w:rsidP="00320B9E">
            <w:pPr>
              <w:jc w:val="center"/>
            </w:pPr>
            <w:r w:rsidRPr="001B7E4E">
              <w:t>796,8</w:t>
            </w:r>
          </w:p>
          <w:p w:rsidR="001C2FA2" w:rsidRPr="001B7E4E" w:rsidRDefault="001C2FA2" w:rsidP="00320B9E">
            <w:pPr>
              <w:jc w:val="center"/>
            </w:pPr>
          </w:p>
          <w:p w:rsidR="001C2FA2" w:rsidRPr="001B7E4E" w:rsidRDefault="001C2FA2" w:rsidP="00320B9E">
            <w:pPr>
              <w:jc w:val="center"/>
            </w:pPr>
            <w:r w:rsidRPr="001B7E4E">
              <w:t>0</w:t>
            </w:r>
          </w:p>
        </w:tc>
      </w:tr>
      <w:tr w:rsidR="00A753F3" w:rsidRPr="001B7E4E" w:rsidTr="003B36C5">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A753F3" w:rsidRPr="001B7E4E" w:rsidRDefault="00A753F3" w:rsidP="00320B9E">
            <w:r w:rsidRPr="001B7E4E">
              <w:t>1.2. valsts speciālais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1C2FA2" w:rsidRPr="001B7E4E" w:rsidRDefault="001C2FA2" w:rsidP="001C2FA2">
            <w:pPr>
              <w:jc w:val="center"/>
            </w:pPr>
            <w:r w:rsidRPr="001B7E4E">
              <w:t>0</w:t>
            </w:r>
          </w:p>
        </w:tc>
        <w:tc>
          <w:tcPr>
            <w:tcW w:w="1191" w:type="dxa"/>
            <w:tcBorders>
              <w:top w:val="outset" w:sz="6" w:space="0" w:color="auto"/>
              <w:left w:val="outset" w:sz="6" w:space="0" w:color="auto"/>
              <w:bottom w:val="outset" w:sz="6" w:space="0" w:color="auto"/>
              <w:right w:val="outset" w:sz="6" w:space="0" w:color="auto"/>
            </w:tcBorders>
            <w:vAlign w:val="center"/>
            <w:hideMark/>
          </w:tcPr>
          <w:p w:rsidR="00A753F3" w:rsidRPr="001B7E4E" w:rsidRDefault="001C2FA2" w:rsidP="00320B9E">
            <w:pPr>
              <w:jc w:val="center"/>
            </w:pPr>
            <w:r w:rsidRPr="001B7E4E">
              <w:t>0</w:t>
            </w:r>
          </w:p>
        </w:tc>
        <w:tc>
          <w:tcPr>
            <w:tcW w:w="1176" w:type="dxa"/>
            <w:tcBorders>
              <w:top w:val="outset" w:sz="6" w:space="0" w:color="auto"/>
              <w:left w:val="outset" w:sz="6" w:space="0" w:color="auto"/>
              <w:bottom w:val="outset" w:sz="6" w:space="0" w:color="auto"/>
              <w:right w:val="outset" w:sz="6" w:space="0" w:color="auto"/>
            </w:tcBorders>
            <w:vAlign w:val="center"/>
            <w:hideMark/>
          </w:tcPr>
          <w:p w:rsidR="00A753F3" w:rsidRPr="001B7E4E" w:rsidRDefault="001C2FA2" w:rsidP="00320B9E">
            <w:pPr>
              <w:jc w:val="center"/>
            </w:pPr>
            <w:r w:rsidRPr="001B7E4E">
              <w:t>0</w:t>
            </w:r>
          </w:p>
        </w:tc>
        <w:tc>
          <w:tcPr>
            <w:tcW w:w="1170" w:type="dxa"/>
            <w:tcBorders>
              <w:top w:val="outset" w:sz="6" w:space="0" w:color="auto"/>
              <w:left w:val="outset" w:sz="6" w:space="0" w:color="auto"/>
              <w:bottom w:val="outset" w:sz="6" w:space="0" w:color="auto"/>
              <w:right w:val="outset" w:sz="6" w:space="0" w:color="auto"/>
            </w:tcBorders>
            <w:vAlign w:val="center"/>
            <w:hideMark/>
          </w:tcPr>
          <w:p w:rsidR="00A753F3" w:rsidRPr="001B7E4E" w:rsidRDefault="001C2FA2" w:rsidP="00320B9E">
            <w:pPr>
              <w:jc w:val="center"/>
            </w:pPr>
            <w:r w:rsidRPr="001B7E4E">
              <w:t>0</w:t>
            </w:r>
          </w:p>
        </w:tc>
        <w:tc>
          <w:tcPr>
            <w:tcW w:w="1164" w:type="dxa"/>
            <w:tcBorders>
              <w:top w:val="outset" w:sz="6" w:space="0" w:color="auto"/>
              <w:left w:val="outset" w:sz="6" w:space="0" w:color="auto"/>
              <w:bottom w:val="outset" w:sz="6" w:space="0" w:color="auto"/>
              <w:right w:val="outset" w:sz="6" w:space="0" w:color="auto"/>
            </w:tcBorders>
            <w:vAlign w:val="center"/>
            <w:hideMark/>
          </w:tcPr>
          <w:p w:rsidR="00A753F3" w:rsidRPr="001B7E4E" w:rsidRDefault="001C2FA2" w:rsidP="00320B9E">
            <w:pPr>
              <w:jc w:val="center"/>
            </w:pPr>
            <w:r w:rsidRPr="001B7E4E">
              <w:t>0</w:t>
            </w:r>
          </w:p>
        </w:tc>
      </w:tr>
      <w:tr w:rsidR="001C2FA2" w:rsidRPr="001B7E4E" w:rsidTr="003B36C5">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1C2FA2" w:rsidRPr="001B7E4E" w:rsidRDefault="001C2FA2" w:rsidP="00320B9E">
            <w:r w:rsidRPr="001B7E4E">
              <w:t>1.3. pašvaldību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1C2FA2" w:rsidRPr="001B7E4E" w:rsidRDefault="001C2FA2" w:rsidP="001C2FA2">
            <w:pPr>
              <w:jc w:val="center"/>
            </w:pPr>
            <w:r w:rsidRPr="001B7E4E">
              <w:t>0</w:t>
            </w:r>
          </w:p>
        </w:tc>
        <w:tc>
          <w:tcPr>
            <w:tcW w:w="1191" w:type="dxa"/>
            <w:tcBorders>
              <w:top w:val="outset" w:sz="6" w:space="0" w:color="auto"/>
              <w:left w:val="outset" w:sz="6" w:space="0" w:color="auto"/>
              <w:bottom w:val="outset" w:sz="6" w:space="0" w:color="auto"/>
              <w:right w:val="outset" w:sz="6" w:space="0" w:color="auto"/>
            </w:tcBorders>
            <w:vAlign w:val="center"/>
            <w:hideMark/>
          </w:tcPr>
          <w:p w:rsidR="001C2FA2" w:rsidRPr="001B7E4E" w:rsidRDefault="001C2FA2" w:rsidP="001C2FA2">
            <w:pPr>
              <w:jc w:val="center"/>
            </w:pPr>
            <w:r w:rsidRPr="001B7E4E">
              <w:t>0</w:t>
            </w:r>
          </w:p>
        </w:tc>
        <w:tc>
          <w:tcPr>
            <w:tcW w:w="1176" w:type="dxa"/>
            <w:tcBorders>
              <w:top w:val="outset" w:sz="6" w:space="0" w:color="auto"/>
              <w:left w:val="outset" w:sz="6" w:space="0" w:color="auto"/>
              <w:bottom w:val="outset" w:sz="6" w:space="0" w:color="auto"/>
              <w:right w:val="outset" w:sz="6" w:space="0" w:color="auto"/>
            </w:tcBorders>
            <w:vAlign w:val="center"/>
            <w:hideMark/>
          </w:tcPr>
          <w:p w:rsidR="001C2FA2" w:rsidRPr="001B7E4E" w:rsidRDefault="001C2FA2" w:rsidP="001C2FA2">
            <w:pPr>
              <w:jc w:val="center"/>
            </w:pPr>
            <w:r w:rsidRPr="001B7E4E">
              <w:t>0</w:t>
            </w:r>
          </w:p>
        </w:tc>
        <w:tc>
          <w:tcPr>
            <w:tcW w:w="1170" w:type="dxa"/>
            <w:tcBorders>
              <w:top w:val="outset" w:sz="6" w:space="0" w:color="auto"/>
              <w:left w:val="outset" w:sz="6" w:space="0" w:color="auto"/>
              <w:bottom w:val="outset" w:sz="6" w:space="0" w:color="auto"/>
              <w:right w:val="outset" w:sz="6" w:space="0" w:color="auto"/>
            </w:tcBorders>
            <w:vAlign w:val="center"/>
            <w:hideMark/>
          </w:tcPr>
          <w:p w:rsidR="001C2FA2" w:rsidRPr="001B7E4E" w:rsidRDefault="001C2FA2" w:rsidP="001C2FA2">
            <w:pPr>
              <w:jc w:val="center"/>
            </w:pPr>
            <w:r w:rsidRPr="001B7E4E">
              <w:t>0</w:t>
            </w:r>
          </w:p>
        </w:tc>
        <w:tc>
          <w:tcPr>
            <w:tcW w:w="1164" w:type="dxa"/>
            <w:tcBorders>
              <w:top w:val="outset" w:sz="6" w:space="0" w:color="auto"/>
              <w:left w:val="outset" w:sz="6" w:space="0" w:color="auto"/>
              <w:bottom w:val="outset" w:sz="6" w:space="0" w:color="auto"/>
              <w:right w:val="outset" w:sz="6" w:space="0" w:color="auto"/>
            </w:tcBorders>
            <w:vAlign w:val="center"/>
            <w:hideMark/>
          </w:tcPr>
          <w:p w:rsidR="001C2FA2" w:rsidRPr="001B7E4E" w:rsidRDefault="001C2FA2" w:rsidP="001C2FA2">
            <w:pPr>
              <w:jc w:val="center"/>
            </w:pPr>
            <w:r w:rsidRPr="001B7E4E">
              <w:t>0</w:t>
            </w:r>
          </w:p>
        </w:tc>
      </w:tr>
      <w:tr w:rsidR="00A753F3" w:rsidRPr="001B7E4E" w:rsidTr="003B36C5">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A753F3" w:rsidRPr="001B7E4E" w:rsidRDefault="00A753F3" w:rsidP="00320B9E">
            <w:pPr>
              <w:rPr>
                <w:b/>
              </w:rPr>
            </w:pPr>
            <w:r w:rsidRPr="001B7E4E">
              <w:rPr>
                <w:b/>
              </w:rPr>
              <w:t>2. Budžeta izdevumi: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3F3" w:rsidRPr="001B7E4E" w:rsidRDefault="00A93C86" w:rsidP="00320B9E">
            <w:pPr>
              <w:jc w:val="center"/>
              <w:rPr>
                <w:b/>
              </w:rPr>
            </w:pPr>
            <w:r w:rsidRPr="001B7E4E">
              <w:rPr>
                <w:b/>
              </w:rPr>
              <w:t>7 274</w:t>
            </w:r>
            <w:r w:rsidR="001C2FA2" w:rsidRPr="001B7E4E">
              <w:rPr>
                <w:b/>
              </w:rPr>
              <w:t>,5</w:t>
            </w:r>
          </w:p>
        </w:tc>
        <w:tc>
          <w:tcPr>
            <w:tcW w:w="1191" w:type="dxa"/>
            <w:tcBorders>
              <w:top w:val="outset" w:sz="6" w:space="0" w:color="auto"/>
              <w:left w:val="outset" w:sz="6" w:space="0" w:color="auto"/>
              <w:bottom w:val="outset" w:sz="6" w:space="0" w:color="auto"/>
              <w:right w:val="outset" w:sz="6" w:space="0" w:color="auto"/>
            </w:tcBorders>
            <w:vAlign w:val="center"/>
            <w:hideMark/>
          </w:tcPr>
          <w:p w:rsidR="00A753F3" w:rsidRPr="001B7E4E" w:rsidRDefault="001C2FA2" w:rsidP="00320B9E">
            <w:pPr>
              <w:jc w:val="center"/>
              <w:rPr>
                <w:b/>
              </w:rPr>
            </w:pPr>
            <w:r w:rsidRPr="001B7E4E">
              <w:rPr>
                <w:b/>
              </w:rPr>
              <w:t>0</w:t>
            </w:r>
          </w:p>
        </w:tc>
        <w:tc>
          <w:tcPr>
            <w:tcW w:w="1176" w:type="dxa"/>
            <w:tcBorders>
              <w:top w:val="outset" w:sz="6" w:space="0" w:color="auto"/>
              <w:left w:val="outset" w:sz="6" w:space="0" w:color="auto"/>
              <w:bottom w:val="outset" w:sz="6" w:space="0" w:color="auto"/>
              <w:right w:val="outset" w:sz="6" w:space="0" w:color="auto"/>
            </w:tcBorders>
            <w:vAlign w:val="center"/>
            <w:hideMark/>
          </w:tcPr>
          <w:p w:rsidR="00A753F3" w:rsidRPr="001B7E4E" w:rsidRDefault="00C8098E" w:rsidP="00C558F7">
            <w:pPr>
              <w:jc w:val="center"/>
              <w:rPr>
                <w:b/>
              </w:rPr>
            </w:pPr>
            <w:r w:rsidRPr="001B7E4E">
              <w:rPr>
                <w:b/>
              </w:rPr>
              <w:t>0</w:t>
            </w:r>
          </w:p>
        </w:tc>
        <w:tc>
          <w:tcPr>
            <w:tcW w:w="1170" w:type="dxa"/>
            <w:tcBorders>
              <w:top w:val="outset" w:sz="6" w:space="0" w:color="auto"/>
              <w:left w:val="outset" w:sz="6" w:space="0" w:color="auto"/>
              <w:bottom w:val="outset" w:sz="6" w:space="0" w:color="auto"/>
              <w:right w:val="outset" w:sz="6" w:space="0" w:color="auto"/>
            </w:tcBorders>
            <w:vAlign w:val="center"/>
            <w:hideMark/>
          </w:tcPr>
          <w:p w:rsidR="00A753F3" w:rsidRPr="001B7E4E" w:rsidRDefault="00A93C86" w:rsidP="00C558F7">
            <w:pPr>
              <w:jc w:val="center"/>
              <w:rPr>
                <w:b/>
              </w:rPr>
            </w:pPr>
            <w:r w:rsidRPr="001B7E4E">
              <w:rPr>
                <w:b/>
              </w:rPr>
              <w:t>796,8</w:t>
            </w:r>
          </w:p>
        </w:tc>
        <w:tc>
          <w:tcPr>
            <w:tcW w:w="1164" w:type="dxa"/>
            <w:tcBorders>
              <w:top w:val="outset" w:sz="6" w:space="0" w:color="auto"/>
              <w:left w:val="outset" w:sz="6" w:space="0" w:color="auto"/>
              <w:bottom w:val="outset" w:sz="6" w:space="0" w:color="auto"/>
              <w:right w:val="outset" w:sz="6" w:space="0" w:color="auto"/>
            </w:tcBorders>
            <w:vAlign w:val="center"/>
            <w:hideMark/>
          </w:tcPr>
          <w:p w:rsidR="00A753F3" w:rsidRPr="001B7E4E" w:rsidRDefault="00A93C86" w:rsidP="00C8098E">
            <w:pPr>
              <w:jc w:val="center"/>
              <w:rPr>
                <w:b/>
              </w:rPr>
            </w:pPr>
            <w:r w:rsidRPr="001B7E4E">
              <w:rPr>
                <w:b/>
              </w:rPr>
              <w:t>796,8</w:t>
            </w:r>
          </w:p>
        </w:tc>
      </w:tr>
      <w:tr w:rsidR="00C8098E" w:rsidRPr="001B7E4E" w:rsidTr="003B36C5">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C8098E" w:rsidRPr="001B7E4E" w:rsidRDefault="00C8098E" w:rsidP="00320B9E">
            <w:r w:rsidRPr="001B7E4E">
              <w:t>2.1. valsts pamatbudžets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C8098E" w:rsidRPr="001B7E4E" w:rsidRDefault="00A93C86" w:rsidP="00320B9E">
            <w:pPr>
              <w:jc w:val="center"/>
            </w:pPr>
            <w:r w:rsidRPr="001B7E4E">
              <w:t>7 274</w:t>
            </w:r>
            <w:r w:rsidR="00C8098E" w:rsidRPr="001B7E4E">
              <w:t>,5</w:t>
            </w:r>
          </w:p>
        </w:tc>
        <w:tc>
          <w:tcPr>
            <w:tcW w:w="1191"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320B9E">
            <w:pPr>
              <w:jc w:val="center"/>
            </w:pPr>
            <w:r w:rsidRPr="001B7E4E">
              <w:t>0</w:t>
            </w:r>
          </w:p>
        </w:tc>
        <w:tc>
          <w:tcPr>
            <w:tcW w:w="1176"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C558F7">
            <w:pPr>
              <w:jc w:val="center"/>
            </w:pPr>
            <w:r w:rsidRPr="001B7E4E">
              <w:t>0</w:t>
            </w:r>
          </w:p>
        </w:tc>
        <w:tc>
          <w:tcPr>
            <w:tcW w:w="1170"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A93C86" w:rsidP="00C558F7">
            <w:pPr>
              <w:jc w:val="center"/>
            </w:pPr>
            <w:r w:rsidRPr="001B7E4E">
              <w:t>796,8</w:t>
            </w:r>
          </w:p>
        </w:tc>
        <w:tc>
          <w:tcPr>
            <w:tcW w:w="1164"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A93C86" w:rsidP="00C8098E">
            <w:pPr>
              <w:jc w:val="center"/>
            </w:pPr>
            <w:r w:rsidRPr="001B7E4E">
              <w:t>796,8</w:t>
            </w:r>
          </w:p>
        </w:tc>
      </w:tr>
      <w:tr w:rsidR="00C8098E" w:rsidRPr="001B7E4E" w:rsidTr="003B36C5">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C8098E" w:rsidRPr="001B7E4E" w:rsidRDefault="00C8098E" w:rsidP="00320B9E">
            <w:r w:rsidRPr="001B7E4E">
              <w:t>2.2. valsts speciālais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1C2FA2">
            <w:pPr>
              <w:jc w:val="center"/>
            </w:pPr>
            <w:r w:rsidRPr="001B7E4E">
              <w:t>0</w:t>
            </w:r>
          </w:p>
        </w:tc>
        <w:tc>
          <w:tcPr>
            <w:tcW w:w="1191"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1C2FA2">
            <w:pPr>
              <w:jc w:val="center"/>
            </w:pPr>
            <w:r w:rsidRPr="001B7E4E">
              <w:t>0</w:t>
            </w:r>
          </w:p>
        </w:tc>
        <w:tc>
          <w:tcPr>
            <w:tcW w:w="1176"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1C2FA2">
            <w:pPr>
              <w:jc w:val="center"/>
            </w:pPr>
            <w:r w:rsidRPr="001B7E4E">
              <w:t>0</w:t>
            </w:r>
          </w:p>
        </w:tc>
        <w:tc>
          <w:tcPr>
            <w:tcW w:w="1170"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1C2FA2">
            <w:pPr>
              <w:jc w:val="center"/>
            </w:pPr>
            <w:r w:rsidRPr="001B7E4E">
              <w:t>0</w:t>
            </w:r>
          </w:p>
        </w:tc>
        <w:tc>
          <w:tcPr>
            <w:tcW w:w="1164"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1C2FA2">
            <w:pPr>
              <w:jc w:val="center"/>
            </w:pPr>
            <w:r w:rsidRPr="001B7E4E">
              <w:t>0</w:t>
            </w:r>
          </w:p>
        </w:tc>
      </w:tr>
      <w:tr w:rsidR="00C8098E" w:rsidRPr="001B7E4E" w:rsidTr="003B36C5">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C8098E" w:rsidRPr="001B7E4E" w:rsidRDefault="00C8098E" w:rsidP="00320B9E">
            <w:r w:rsidRPr="001B7E4E">
              <w:t>2.3. pašvaldību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1C2FA2">
            <w:pPr>
              <w:jc w:val="center"/>
            </w:pPr>
            <w:r w:rsidRPr="001B7E4E">
              <w:t>0</w:t>
            </w:r>
          </w:p>
        </w:tc>
        <w:tc>
          <w:tcPr>
            <w:tcW w:w="1191"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1C2FA2">
            <w:pPr>
              <w:jc w:val="center"/>
            </w:pPr>
            <w:r w:rsidRPr="001B7E4E">
              <w:t>0</w:t>
            </w:r>
          </w:p>
        </w:tc>
        <w:tc>
          <w:tcPr>
            <w:tcW w:w="1176"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1C2FA2">
            <w:pPr>
              <w:jc w:val="center"/>
            </w:pPr>
            <w:r w:rsidRPr="001B7E4E">
              <w:t>0</w:t>
            </w:r>
          </w:p>
        </w:tc>
        <w:tc>
          <w:tcPr>
            <w:tcW w:w="1170"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1C2FA2">
            <w:pPr>
              <w:jc w:val="center"/>
            </w:pPr>
            <w:r w:rsidRPr="001B7E4E">
              <w:t>0</w:t>
            </w:r>
          </w:p>
        </w:tc>
        <w:tc>
          <w:tcPr>
            <w:tcW w:w="1164"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1C2FA2">
            <w:pPr>
              <w:jc w:val="center"/>
            </w:pPr>
            <w:r w:rsidRPr="001B7E4E">
              <w:t>0</w:t>
            </w:r>
          </w:p>
        </w:tc>
      </w:tr>
      <w:tr w:rsidR="00C8098E" w:rsidRPr="001B7E4E" w:rsidTr="003B36C5">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C8098E" w:rsidRPr="001B7E4E" w:rsidRDefault="00C8098E" w:rsidP="00320B9E">
            <w:pPr>
              <w:rPr>
                <w:b/>
              </w:rPr>
            </w:pPr>
            <w:r w:rsidRPr="001B7E4E">
              <w:rPr>
                <w:b/>
              </w:rPr>
              <w:t>3. Finansiālā ietekme:</w:t>
            </w:r>
          </w:p>
        </w:tc>
        <w:tc>
          <w:tcPr>
            <w:tcW w:w="0" w:type="auto"/>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320B9E">
            <w:pPr>
              <w:jc w:val="center"/>
              <w:rPr>
                <w:b/>
              </w:rPr>
            </w:pPr>
            <w:r w:rsidRPr="001B7E4E">
              <w:rPr>
                <w:b/>
              </w:rPr>
              <w:t>0</w:t>
            </w:r>
          </w:p>
        </w:tc>
        <w:tc>
          <w:tcPr>
            <w:tcW w:w="1191"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1C2FA2">
            <w:pPr>
              <w:jc w:val="center"/>
              <w:rPr>
                <w:b/>
              </w:rPr>
            </w:pPr>
            <w:r w:rsidRPr="001B7E4E">
              <w:rPr>
                <w:b/>
              </w:rPr>
              <w:t>0</w:t>
            </w:r>
          </w:p>
        </w:tc>
        <w:tc>
          <w:tcPr>
            <w:tcW w:w="1176"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C558F7">
            <w:pPr>
              <w:jc w:val="center"/>
              <w:rPr>
                <w:b/>
              </w:rPr>
            </w:pPr>
            <w:r w:rsidRPr="001B7E4E">
              <w:rPr>
                <w:b/>
              </w:rPr>
              <w:t>0</w:t>
            </w:r>
          </w:p>
        </w:tc>
        <w:tc>
          <w:tcPr>
            <w:tcW w:w="1170"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C558F7">
            <w:pPr>
              <w:jc w:val="center"/>
              <w:rPr>
                <w:b/>
              </w:rPr>
            </w:pPr>
            <w:r w:rsidRPr="001B7E4E">
              <w:rPr>
                <w:b/>
              </w:rPr>
              <w:t>0</w:t>
            </w:r>
          </w:p>
        </w:tc>
        <w:tc>
          <w:tcPr>
            <w:tcW w:w="1164"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C558F7">
            <w:pPr>
              <w:jc w:val="center"/>
              <w:rPr>
                <w:b/>
              </w:rPr>
            </w:pPr>
            <w:r w:rsidRPr="001B7E4E">
              <w:rPr>
                <w:b/>
              </w:rPr>
              <w:t>0</w:t>
            </w:r>
          </w:p>
        </w:tc>
      </w:tr>
      <w:tr w:rsidR="00C8098E" w:rsidRPr="001B7E4E" w:rsidTr="003B36C5">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C8098E" w:rsidRPr="001B7E4E" w:rsidRDefault="00C8098E" w:rsidP="00320B9E">
            <w:r w:rsidRPr="001B7E4E">
              <w:lastRenderedPageBreak/>
              <w:t>3.1. valsts pamatbudžets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320B9E">
            <w:pPr>
              <w:jc w:val="center"/>
            </w:pPr>
            <w:r w:rsidRPr="001B7E4E">
              <w:t>0</w:t>
            </w:r>
          </w:p>
        </w:tc>
        <w:tc>
          <w:tcPr>
            <w:tcW w:w="1191"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1C2FA2">
            <w:pPr>
              <w:jc w:val="center"/>
            </w:pPr>
            <w:r w:rsidRPr="001B7E4E">
              <w:t>0</w:t>
            </w:r>
          </w:p>
        </w:tc>
        <w:tc>
          <w:tcPr>
            <w:tcW w:w="1176"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C558F7">
            <w:pPr>
              <w:jc w:val="center"/>
            </w:pPr>
            <w:r w:rsidRPr="001B7E4E">
              <w:t>0</w:t>
            </w:r>
          </w:p>
        </w:tc>
        <w:tc>
          <w:tcPr>
            <w:tcW w:w="1170"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C558F7">
            <w:pPr>
              <w:jc w:val="center"/>
            </w:pPr>
            <w:r w:rsidRPr="001B7E4E">
              <w:t>0</w:t>
            </w:r>
          </w:p>
        </w:tc>
        <w:tc>
          <w:tcPr>
            <w:tcW w:w="1164"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C558F7">
            <w:pPr>
              <w:jc w:val="center"/>
            </w:pPr>
            <w:r w:rsidRPr="001B7E4E">
              <w:t>0</w:t>
            </w:r>
          </w:p>
        </w:tc>
      </w:tr>
      <w:tr w:rsidR="00C8098E" w:rsidRPr="001B7E4E" w:rsidTr="003B36C5">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C8098E" w:rsidRPr="001B7E4E" w:rsidRDefault="00C8098E" w:rsidP="00320B9E">
            <w:r w:rsidRPr="001B7E4E">
              <w:t>3.2. speciālais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1C2FA2">
            <w:pPr>
              <w:jc w:val="center"/>
            </w:pPr>
            <w:r w:rsidRPr="001B7E4E">
              <w:t>0</w:t>
            </w:r>
          </w:p>
        </w:tc>
        <w:tc>
          <w:tcPr>
            <w:tcW w:w="1191"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1C2FA2">
            <w:pPr>
              <w:jc w:val="center"/>
            </w:pPr>
            <w:r w:rsidRPr="001B7E4E">
              <w:t>0</w:t>
            </w:r>
          </w:p>
        </w:tc>
        <w:tc>
          <w:tcPr>
            <w:tcW w:w="1176"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1C2FA2">
            <w:pPr>
              <w:jc w:val="center"/>
            </w:pPr>
            <w:r w:rsidRPr="001B7E4E">
              <w:t>0</w:t>
            </w:r>
          </w:p>
        </w:tc>
        <w:tc>
          <w:tcPr>
            <w:tcW w:w="1170"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1C2FA2">
            <w:pPr>
              <w:jc w:val="center"/>
            </w:pPr>
            <w:r w:rsidRPr="001B7E4E">
              <w:t>0</w:t>
            </w:r>
          </w:p>
        </w:tc>
        <w:tc>
          <w:tcPr>
            <w:tcW w:w="1164"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1C2FA2">
            <w:pPr>
              <w:jc w:val="center"/>
            </w:pPr>
            <w:r w:rsidRPr="001B7E4E">
              <w:t>0</w:t>
            </w:r>
          </w:p>
        </w:tc>
      </w:tr>
      <w:tr w:rsidR="00C8098E" w:rsidRPr="001B7E4E" w:rsidTr="003B36C5">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C8098E" w:rsidRPr="001B7E4E" w:rsidRDefault="00C8098E" w:rsidP="00320B9E">
            <w:r w:rsidRPr="001B7E4E">
              <w:t>3.3. pašvaldību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1C2FA2">
            <w:pPr>
              <w:jc w:val="center"/>
            </w:pPr>
            <w:r w:rsidRPr="001B7E4E">
              <w:t>0</w:t>
            </w:r>
          </w:p>
        </w:tc>
        <w:tc>
          <w:tcPr>
            <w:tcW w:w="1191"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1C2FA2">
            <w:pPr>
              <w:jc w:val="center"/>
            </w:pPr>
            <w:r w:rsidRPr="001B7E4E">
              <w:t>0</w:t>
            </w:r>
          </w:p>
        </w:tc>
        <w:tc>
          <w:tcPr>
            <w:tcW w:w="1176"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1C2FA2">
            <w:pPr>
              <w:jc w:val="center"/>
            </w:pPr>
            <w:r w:rsidRPr="001B7E4E">
              <w:t>0</w:t>
            </w:r>
          </w:p>
        </w:tc>
        <w:tc>
          <w:tcPr>
            <w:tcW w:w="1170"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1C2FA2">
            <w:pPr>
              <w:jc w:val="center"/>
            </w:pPr>
            <w:r w:rsidRPr="001B7E4E">
              <w:t>0</w:t>
            </w:r>
          </w:p>
        </w:tc>
        <w:tc>
          <w:tcPr>
            <w:tcW w:w="1164"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1C2FA2">
            <w:pPr>
              <w:jc w:val="center"/>
            </w:pPr>
            <w:r w:rsidRPr="001B7E4E">
              <w:t>0</w:t>
            </w:r>
          </w:p>
        </w:tc>
      </w:tr>
      <w:tr w:rsidR="00C8098E" w:rsidRPr="001B7E4E" w:rsidTr="003B36C5">
        <w:tblPrEx>
          <w:tblCellSpacing w:w="0" w:type="nil"/>
          <w:tblCellMar>
            <w:top w:w="30" w:type="dxa"/>
            <w:left w:w="30" w:type="dxa"/>
            <w:bottom w:w="30" w:type="dxa"/>
            <w:right w:w="30" w:type="dxa"/>
          </w:tblCellMar>
        </w:tblPrEx>
        <w:trPr>
          <w:trHeight w:val="394"/>
        </w:trPr>
        <w:tc>
          <w:tcPr>
            <w:tcW w:w="0" w:type="auto"/>
            <w:tcBorders>
              <w:top w:val="outset" w:sz="6" w:space="0" w:color="auto"/>
              <w:left w:val="outset" w:sz="6" w:space="0" w:color="auto"/>
              <w:bottom w:val="outset" w:sz="6" w:space="0" w:color="auto"/>
              <w:right w:val="outset" w:sz="6" w:space="0" w:color="auto"/>
            </w:tcBorders>
            <w:hideMark/>
          </w:tcPr>
          <w:p w:rsidR="00C8098E" w:rsidRPr="001B7E4E" w:rsidRDefault="00C8098E" w:rsidP="00034CC1">
            <w:r w:rsidRPr="001B7E4E">
              <w:rPr>
                <w:b/>
              </w:rPr>
              <w:t>4. Finanšu līdzekļi</w:t>
            </w:r>
            <w:r w:rsidRPr="001B7E4E">
              <w:t xml:space="preserve"> papildu izde</w:t>
            </w:r>
            <w:r w:rsidRPr="001B7E4E">
              <w:softHyphen/>
              <w:t>vumu finansēšanai (kompensējo</w:t>
            </w:r>
            <w:r w:rsidRPr="001B7E4E">
              <w:softHyphen/>
              <w:t>šu izdevumu sama</w:t>
            </w:r>
            <w:r w:rsidRPr="001B7E4E">
              <w:softHyphen/>
              <w:t>zin</w:t>
            </w:r>
            <w:r w:rsidRPr="001B7E4E">
              <w:softHyphen/>
            </w:r>
            <w:r w:rsidRPr="001B7E4E">
              <w:softHyphen/>
              <w:t>ājumu norāda ar "+" zīmi)</w:t>
            </w:r>
          </w:p>
        </w:tc>
        <w:tc>
          <w:tcPr>
            <w:tcW w:w="0" w:type="auto"/>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034CC1">
            <w:pPr>
              <w:jc w:val="center"/>
            </w:pPr>
            <w:r w:rsidRPr="001B7E4E">
              <w:t>X</w:t>
            </w:r>
          </w:p>
        </w:tc>
        <w:tc>
          <w:tcPr>
            <w:tcW w:w="1191"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034CC1">
            <w:pPr>
              <w:jc w:val="center"/>
            </w:pPr>
            <w:r w:rsidRPr="001B7E4E">
              <w:t>0</w:t>
            </w:r>
          </w:p>
        </w:tc>
        <w:tc>
          <w:tcPr>
            <w:tcW w:w="1176"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034CC1">
            <w:pPr>
              <w:jc w:val="center"/>
            </w:pPr>
            <w:r w:rsidRPr="001B7E4E">
              <w:t>0</w:t>
            </w:r>
          </w:p>
        </w:tc>
        <w:tc>
          <w:tcPr>
            <w:tcW w:w="1170"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034CC1">
            <w:pPr>
              <w:jc w:val="center"/>
            </w:pPr>
            <w:r w:rsidRPr="001B7E4E">
              <w:t>0</w:t>
            </w:r>
          </w:p>
        </w:tc>
        <w:tc>
          <w:tcPr>
            <w:tcW w:w="1164"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034CC1">
            <w:pPr>
              <w:jc w:val="center"/>
            </w:pPr>
            <w:r w:rsidRPr="001B7E4E">
              <w:t>0</w:t>
            </w:r>
          </w:p>
        </w:tc>
      </w:tr>
      <w:tr w:rsidR="00C8098E" w:rsidRPr="001B7E4E" w:rsidTr="003B36C5">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C8098E" w:rsidRPr="001B7E4E" w:rsidRDefault="00C8098E" w:rsidP="005C0A93">
            <w:pPr>
              <w:rPr>
                <w:b/>
              </w:rPr>
            </w:pPr>
            <w:r w:rsidRPr="001B7E4E">
              <w:rPr>
                <w:b/>
              </w:rPr>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1C2FA2">
            <w:pPr>
              <w:spacing w:before="100" w:beforeAutospacing="1" w:line="360" w:lineRule="auto"/>
              <w:jc w:val="center"/>
            </w:pPr>
            <w:r w:rsidRPr="001B7E4E">
              <w:t>X</w:t>
            </w:r>
          </w:p>
        </w:tc>
        <w:tc>
          <w:tcPr>
            <w:tcW w:w="1191"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1C2FA2">
            <w:pPr>
              <w:jc w:val="center"/>
              <w:rPr>
                <w:b/>
              </w:rPr>
            </w:pPr>
            <w:r w:rsidRPr="001B7E4E">
              <w:rPr>
                <w:b/>
              </w:rPr>
              <w:t>0</w:t>
            </w:r>
          </w:p>
        </w:tc>
        <w:tc>
          <w:tcPr>
            <w:tcW w:w="1176"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C558F7">
            <w:pPr>
              <w:jc w:val="center"/>
              <w:rPr>
                <w:b/>
              </w:rPr>
            </w:pPr>
            <w:r w:rsidRPr="001B7E4E">
              <w:rPr>
                <w:b/>
              </w:rPr>
              <w:t>0</w:t>
            </w:r>
          </w:p>
        </w:tc>
        <w:tc>
          <w:tcPr>
            <w:tcW w:w="1170"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C558F7">
            <w:pPr>
              <w:jc w:val="center"/>
              <w:rPr>
                <w:b/>
              </w:rPr>
            </w:pPr>
            <w:r w:rsidRPr="001B7E4E">
              <w:rPr>
                <w:b/>
              </w:rPr>
              <w:t>0</w:t>
            </w:r>
          </w:p>
        </w:tc>
        <w:tc>
          <w:tcPr>
            <w:tcW w:w="1164"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C558F7">
            <w:pPr>
              <w:jc w:val="center"/>
              <w:rPr>
                <w:b/>
              </w:rPr>
            </w:pPr>
            <w:r w:rsidRPr="001B7E4E">
              <w:rPr>
                <w:b/>
              </w:rPr>
              <w:t>0</w:t>
            </w:r>
          </w:p>
        </w:tc>
      </w:tr>
      <w:tr w:rsidR="00C8098E" w:rsidRPr="001B7E4E" w:rsidTr="003B36C5">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C8098E" w:rsidRPr="001B7E4E" w:rsidRDefault="00C8098E" w:rsidP="005C0A93">
            <w:r w:rsidRPr="001B7E4E">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A753F3"/>
        </w:tc>
        <w:tc>
          <w:tcPr>
            <w:tcW w:w="1191"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1C2FA2">
            <w:pPr>
              <w:jc w:val="center"/>
            </w:pPr>
            <w:r w:rsidRPr="001B7E4E">
              <w:t>0</w:t>
            </w:r>
          </w:p>
        </w:tc>
        <w:tc>
          <w:tcPr>
            <w:tcW w:w="1176"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C558F7">
            <w:pPr>
              <w:jc w:val="center"/>
            </w:pPr>
            <w:r w:rsidRPr="001B7E4E">
              <w:t>0</w:t>
            </w:r>
          </w:p>
        </w:tc>
        <w:tc>
          <w:tcPr>
            <w:tcW w:w="1170"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C558F7">
            <w:pPr>
              <w:jc w:val="center"/>
            </w:pPr>
            <w:r w:rsidRPr="001B7E4E">
              <w:t>0</w:t>
            </w:r>
          </w:p>
        </w:tc>
        <w:tc>
          <w:tcPr>
            <w:tcW w:w="1164"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C558F7">
            <w:pPr>
              <w:jc w:val="center"/>
            </w:pPr>
            <w:r w:rsidRPr="001B7E4E">
              <w:t>0</w:t>
            </w:r>
          </w:p>
        </w:tc>
      </w:tr>
      <w:tr w:rsidR="00C8098E" w:rsidRPr="001B7E4E" w:rsidTr="003B36C5">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C8098E" w:rsidRPr="001B7E4E" w:rsidRDefault="00C8098E" w:rsidP="005C0A93">
            <w:r w:rsidRPr="001B7E4E">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A753F3"/>
        </w:tc>
        <w:tc>
          <w:tcPr>
            <w:tcW w:w="1191"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1C2FA2">
            <w:pPr>
              <w:jc w:val="center"/>
            </w:pPr>
            <w:r w:rsidRPr="001B7E4E">
              <w:t>0</w:t>
            </w:r>
          </w:p>
        </w:tc>
        <w:tc>
          <w:tcPr>
            <w:tcW w:w="1176"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1C2FA2">
            <w:pPr>
              <w:jc w:val="center"/>
            </w:pPr>
            <w:r w:rsidRPr="001B7E4E">
              <w:t>0</w:t>
            </w:r>
          </w:p>
        </w:tc>
        <w:tc>
          <w:tcPr>
            <w:tcW w:w="1170"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1C2FA2">
            <w:pPr>
              <w:jc w:val="center"/>
            </w:pPr>
            <w:r w:rsidRPr="001B7E4E">
              <w:t>0</w:t>
            </w:r>
          </w:p>
        </w:tc>
        <w:tc>
          <w:tcPr>
            <w:tcW w:w="1164"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1C2FA2">
            <w:pPr>
              <w:jc w:val="center"/>
            </w:pPr>
            <w:r w:rsidRPr="001B7E4E">
              <w:t>0</w:t>
            </w:r>
          </w:p>
        </w:tc>
      </w:tr>
      <w:tr w:rsidR="00C8098E" w:rsidRPr="001B7E4E" w:rsidTr="003B36C5">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C8098E" w:rsidRPr="001B7E4E" w:rsidRDefault="00C8098E" w:rsidP="005C0A93">
            <w:r w:rsidRPr="001B7E4E">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A753F3"/>
        </w:tc>
        <w:tc>
          <w:tcPr>
            <w:tcW w:w="1191"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1C2FA2">
            <w:pPr>
              <w:jc w:val="center"/>
            </w:pPr>
            <w:r w:rsidRPr="001B7E4E">
              <w:t>0</w:t>
            </w:r>
          </w:p>
        </w:tc>
        <w:tc>
          <w:tcPr>
            <w:tcW w:w="1176"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1C2FA2">
            <w:pPr>
              <w:jc w:val="center"/>
            </w:pPr>
            <w:r w:rsidRPr="001B7E4E">
              <w:t>0</w:t>
            </w:r>
          </w:p>
        </w:tc>
        <w:tc>
          <w:tcPr>
            <w:tcW w:w="1170"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1C2FA2">
            <w:pPr>
              <w:jc w:val="center"/>
            </w:pPr>
            <w:r w:rsidRPr="001B7E4E">
              <w:t>0</w:t>
            </w:r>
          </w:p>
        </w:tc>
        <w:tc>
          <w:tcPr>
            <w:tcW w:w="1164" w:type="dxa"/>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1C2FA2">
            <w:pPr>
              <w:jc w:val="center"/>
            </w:pPr>
            <w:r w:rsidRPr="001B7E4E">
              <w:t>0</w:t>
            </w:r>
          </w:p>
        </w:tc>
      </w:tr>
      <w:tr w:rsidR="00C8098E" w:rsidRPr="001B7E4E" w:rsidTr="003B36C5">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C8098E" w:rsidRPr="001B7E4E" w:rsidRDefault="00C8098E" w:rsidP="005C0A93">
            <w:r w:rsidRPr="001B7E4E">
              <w:t>6. Detalizēts ieņēmumu un izdevu</w:t>
            </w:r>
            <w:r w:rsidRPr="001B7E4E">
              <w:softHyphen/>
              <w:t>mu aprēķins (ja nepieciešams, detalizētu ieņēmumu un izdevumu aprēķinu var pievienot anotācijas pielikumā):</w:t>
            </w:r>
          </w:p>
        </w:tc>
        <w:tc>
          <w:tcPr>
            <w:tcW w:w="5898" w:type="dxa"/>
            <w:gridSpan w:val="5"/>
            <w:vMerge w:val="restart"/>
            <w:tcBorders>
              <w:top w:val="outset" w:sz="6" w:space="0" w:color="auto"/>
              <w:left w:val="outset" w:sz="6" w:space="0" w:color="auto"/>
              <w:bottom w:val="outset" w:sz="6" w:space="0" w:color="auto"/>
              <w:right w:val="outset" w:sz="6" w:space="0" w:color="auto"/>
            </w:tcBorders>
            <w:hideMark/>
          </w:tcPr>
          <w:p w:rsidR="00C8098E" w:rsidRPr="001B7E4E" w:rsidRDefault="00C8098E" w:rsidP="00AD37B8">
            <w:pPr>
              <w:ind w:firstLine="268"/>
              <w:jc w:val="both"/>
            </w:pPr>
            <w:r w:rsidRPr="001B7E4E">
              <w:t>Centralizēts vakcīnu iepirkums par valsts budžeta līdzekļiem notiek Veselības ministrijas budžeta apakšprogrammas 33.04.00 „Centralizēta medikamentu un materiālu iegāde” ietvaros.</w:t>
            </w:r>
          </w:p>
          <w:p w:rsidR="00C8098E" w:rsidRPr="00CD524A" w:rsidRDefault="00C8098E" w:rsidP="00C30D11">
            <w:pPr>
              <w:spacing w:before="120"/>
              <w:jc w:val="both"/>
            </w:pPr>
            <w:r w:rsidRPr="001B7E4E">
              <w:t xml:space="preserve">Atbilstoši </w:t>
            </w:r>
            <w:r w:rsidRPr="00CD524A">
              <w:t>likumam „Par valsts budžetu 2013.gadam”:</w:t>
            </w:r>
          </w:p>
          <w:p w:rsidR="00C8098E" w:rsidRPr="001B7E4E" w:rsidRDefault="00C8098E" w:rsidP="00C30D11">
            <w:pPr>
              <w:ind w:left="268"/>
              <w:jc w:val="both"/>
            </w:pPr>
            <w:r w:rsidRPr="00CD524A">
              <w:t>kopējie apakšprogrammas ieņēmumi ir 7 477 258</w:t>
            </w:r>
            <w:r w:rsidRPr="001B7E4E">
              <w:t> lati</w:t>
            </w:r>
            <w:r w:rsidR="00F750FD" w:rsidRPr="001B7E4E">
              <w:t> </w:t>
            </w:r>
            <w:r w:rsidR="00C923A5" w:rsidRPr="001B7E4E">
              <w:t>/</w:t>
            </w:r>
            <w:r w:rsidR="00F750FD" w:rsidRPr="001B7E4E">
              <w:t xml:space="preserve"> 10 639 180 </w:t>
            </w:r>
            <w:r w:rsidR="00F750FD" w:rsidRPr="001B7E4E">
              <w:rPr>
                <w:i/>
              </w:rPr>
              <w:t>euro</w:t>
            </w:r>
            <w:r w:rsidRPr="001B7E4E">
              <w:t>, tai skaitā valsts budžeta dotācija 7 472 258 lati</w:t>
            </w:r>
            <w:r w:rsidR="00F750FD" w:rsidRPr="001B7E4E">
              <w:t xml:space="preserve"> / 10 632 065 </w:t>
            </w:r>
            <w:r w:rsidR="00F750FD" w:rsidRPr="001B7E4E">
              <w:rPr>
                <w:i/>
              </w:rPr>
              <w:t>euro</w:t>
            </w:r>
            <w:r w:rsidRPr="001B7E4E">
              <w:t>, pašu ieņēmumi 5 000 lati</w:t>
            </w:r>
            <w:r w:rsidR="00F750FD" w:rsidRPr="001B7E4E">
              <w:t> / 7 114 </w:t>
            </w:r>
            <w:r w:rsidR="00F750FD" w:rsidRPr="001B7E4E">
              <w:rPr>
                <w:i/>
              </w:rPr>
              <w:t>euro</w:t>
            </w:r>
            <w:r w:rsidRPr="001B7E4E">
              <w:t>;</w:t>
            </w:r>
          </w:p>
          <w:p w:rsidR="00C8098E" w:rsidRPr="001B7E4E" w:rsidRDefault="00C8098E" w:rsidP="00C30D11">
            <w:pPr>
              <w:ind w:left="268"/>
              <w:jc w:val="both"/>
            </w:pPr>
            <w:r w:rsidRPr="001B7E4E">
              <w:t>apakšprogrammas izdevumi subsīdijām un dotācijām 7 477 258 lati</w:t>
            </w:r>
            <w:r w:rsidR="00F750FD" w:rsidRPr="001B7E4E">
              <w:t xml:space="preserve"> / 10 639 180 </w:t>
            </w:r>
            <w:r w:rsidR="00F750FD" w:rsidRPr="001B7E4E">
              <w:rPr>
                <w:i/>
              </w:rPr>
              <w:t>euro</w:t>
            </w:r>
            <w:r w:rsidRPr="001B7E4E">
              <w:t>.</w:t>
            </w:r>
          </w:p>
          <w:p w:rsidR="00C8098E" w:rsidRPr="001B7E4E" w:rsidRDefault="00C8098E" w:rsidP="00AD37B8">
            <w:pPr>
              <w:ind w:left="268"/>
              <w:jc w:val="both"/>
            </w:pPr>
            <w:r w:rsidRPr="001B7E4E">
              <w:rPr>
                <w:rFonts w:eastAsia="Calibri"/>
                <w:noProof/>
              </w:rPr>
              <w:t>No kopējā finansējuma vakcīnu iegādei paredzēts 5 112 544 latu</w:t>
            </w:r>
            <w:r w:rsidR="00F750FD" w:rsidRPr="001B7E4E">
              <w:rPr>
                <w:rFonts w:eastAsia="Calibri"/>
                <w:noProof/>
              </w:rPr>
              <w:t> / 7 </w:t>
            </w:r>
            <w:r w:rsidR="00F750FD" w:rsidRPr="001B7E4E">
              <w:rPr>
                <w:rFonts w:eastAsia="Calibri"/>
              </w:rPr>
              <w:t>274 495 </w:t>
            </w:r>
            <w:r w:rsidR="00F750FD" w:rsidRPr="001B7E4E">
              <w:rPr>
                <w:rFonts w:eastAsia="Calibri"/>
                <w:i/>
              </w:rPr>
              <w:t>euro</w:t>
            </w:r>
            <w:r w:rsidRPr="001B7E4E">
              <w:rPr>
                <w:rFonts w:eastAsia="Calibri"/>
                <w:noProof/>
              </w:rPr>
              <w:t xml:space="preserve"> (pārējais finansējums apakšprog</w:t>
            </w:r>
            <w:r w:rsidRPr="001B7E4E">
              <w:rPr>
                <w:rFonts w:eastAsia="Calibri"/>
                <w:noProof/>
              </w:rPr>
              <w:softHyphen/>
              <w:t>rammas ietvaros paredzēts standarta tuberkulīna, peritoneālās dialīzes ārstniecības līdzekļu, fenilketonūrijas un citu ģenētiski determinēto slimību korekcijas preparātu, imūnbioloģisko preparātu un redzes korekcijas līdzekļu bērniem iegādei).</w:t>
            </w:r>
          </w:p>
          <w:p w:rsidR="00C8098E" w:rsidRPr="001B7E4E" w:rsidRDefault="00C8098E" w:rsidP="00C558F7">
            <w:pPr>
              <w:spacing w:before="120"/>
              <w:jc w:val="both"/>
            </w:pPr>
            <w:r w:rsidRPr="00695344">
              <w:t xml:space="preserve">Atbilstoši </w:t>
            </w:r>
            <w:r w:rsidR="00BB10B3" w:rsidRPr="00695344">
              <w:t xml:space="preserve">2013.gada </w:t>
            </w:r>
            <w:r w:rsidR="00CF5391" w:rsidRPr="00695344">
              <w:t>7</w:t>
            </w:r>
            <w:r w:rsidR="00BB10B3" w:rsidRPr="00695344">
              <w:t xml:space="preserve">.novembrī Saeimā otrajā lasījumā </w:t>
            </w:r>
            <w:r w:rsidR="00BB10B3" w:rsidRPr="00CD524A">
              <w:t>pieņemtajam likumam „Par valsts budžetu 2014.gadam”:</w:t>
            </w:r>
          </w:p>
          <w:p w:rsidR="00C8098E" w:rsidRPr="001B7E4E" w:rsidRDefault="00C8098E" w:rsidP="00C30D11">
            <w:pPr>
              <w:spacing w:before="120"/>
              <w:ind w:left="268"/>
              <w:jc w:val="both"/>
              <w:rPr>
                <w:b/>
              </w:rPr>
            </w:pPr>
            <w:r w:rsidRPr="001B7E4E">
              <w:rPr>
                <w:b/>
              </w:rPr>
              <w:t>2014.gadā:</w:t>
            </w:r>
          </w:p>
          <w:p w:rsidR="00C8098E" w:rsidRPr="001B7E4E" w:rsidRDefault="00C8098E" w:rsidP="00C30D11">
            <w:pPr>
              <w:ind w:left="268"/>
              <w:jc w:val="both"/>
            </w:pPr>
            <w:r w:rsidRPr="001B7E4E">
              <w:t xml:space="preserve">kopējie apakšprogrammas ieņēmumi ir </w:t>
            </w:r>
            <w:r w:rsidR="00F750FD" w:rsidRPr="001B7E4E">
              <w:t>10 639 180 </w:t>
            </w:r>
            <w:r w:rsidR="00F750FD" w:rsidRPr="001B7E4E">
              <w:rPr>
                <w:i/>
              </w:rPr>
              <w:t>euro</w:t>
            </w:r>
            <w:r w:rsidRPr="001B7E4E">
              <w:t xml:space="preserve">, tai skaitā valsts budžeta dotācija </w:t>
            </w:r>
            <w:r w:rsidR="00F750FD" w:rsidRPr="001B7E4E">
              <w:t>10 632 065 </w:t>
            </w:r>
            <w:r w:rsidR="00F750FD" w:rsidRPr="001B7E4E">
              <w:rPr>
                <w:i/>
              </w:rPr>
              <w:t>euro</w:t>
            </w:r>
            <w:r w:rsidRPr="001B7E4E">
              <w:t xml:space="preserve">, pašu ieņēmumi </w:t>
            </w:r>
            <w:r w:rsidR="00F750FD" w:rsidRPr="001B7E4E">
              <w:t>7 115 </w:t>
            </w:r>
            <w:r w:rsidR="00F750FD" w:rsidRPr="001B7E4E">
              <w:rPr>
                <w:i/>
              </w:rPr>
              <w:t>euro</w:t>
            </w:r>
            <w:r w:rsidRPr="001B7E4E">
              <w:t>;</w:t>
            </w:r>
          </w:p>
          <w:p w:rsidR="00C8098E" w:rsidRPr="001B7E4E" w:rsidRDefault="00C8098E" w:rsidP="00C30D11">
            <w:pPr>
              <w:ind w:left="268"/>
              <w:jc w:val="both"/>
            </w:pPr>
            <w:r w:rsidRPr="001B7E4E">
              <w:t xml:space="preserve">apakšprogrammas izdevumi subsīdijām un dotācijām </w:t>
            </w:r>
            <w:r w:rsidR="00F750FD" w:rsidRPr="001B7E4E">
              <w:t>10 639 180 </w:t>
            </w:r>
            <w:r w:rsidR="00F750FD" w:rsidRPr="001B7E4E">
              <w:rPr>
                <w:i/>
              </w:rPr>
              <w:t>euro</w:t>
            </w:r>
            <w:r w:rsidRPr="001B7E4E">
              <w:t>;</w:t>
            </w:r>
          </w:p>
          <w:p w:rsidR="00C8098E" w:rsidRPr="001B7E4E" w:rsidRDefault="00C8098E" w:rsidP="00C30D11">
            <w:pPr>
              <w:ind w:left="268"/>
              <w:jc w:val="both"/>
            </w:pPr>
            <w:r w:rsidRPr="001B7E4E">
              <w:t xml:space="preserve">tai skaitā </w:t>
            </w:r>
            <w:r w:rsidRPr="001B7E4E">
              <w:rPr>
                <w:rFonts w:eastAsia="Calibri"/>
                <w:noProof/>
              </w:rPr>
              <w:t xml:space="preserve">vakcīnu iegādei paredzēti </w:t>
            </w:r>
            <w:r w:rsidR="00F750FD" w:rsidRPr="001B7E4E">
              <w:rPr>
                <w:rFonts w:eastAsia="Calibri"/>
                <w:noProof/>
              </w:rPr>
              <w:t>7 </w:t>
            </w:r>
            <w:r w:rsidR="00F750FD" w:rsidRPr="001B7E4E">
              <w:rPr>
                <w:rFonts w:eastAsia="Calibri"/>
              </w:rPr>
              <w:t>274 495 </w:t>
            </w:r>
            <w:r w:rsidR="00F750FD" w:rsidRPr="001B7E4E">
              <w:rPr>
                <w:rFonts w:eastAsia="Calibri"/>
                <w:i/>
              </w:rPr>
              <w:t>euro</w:t>
            </w:r>
            <w:r w:rsidRPr="001B7E4E">
              <w:rPr>
                <w:rFonts w:eastAsia="Calibri"/>
                <w:noProof/>
              </w:rPr>
              <w:t>.</w:t>
            </w:r>
          </w:p>
          <w:p w:rsidR="00E96E9F" w:rsidRPr="001B7E4E" w:rsidRDefault="00E96E9F" w:rsidP="00E96E9F">
            <w:pPr>
              <w:spacing w:before="120"/>
              <w:jc w:val="both"/>
            </w:pPr>
            <w:r w:rsidRPr="00695344">
              <w:t xml:space="preserve">Atbilstoši </w:t>
            </w:r>
            <w:r w:rsidR="00BB10B3" w:rsidRPr="00695344">
              <w:t xml:space="preserve">2013.gada </w:t>
            </w:r>
            <w:r w:rsidR="00CF5391" w:rsidRPr="00695344">
              <w:t>7</w:t>
            </w:r>
            <w:r w:rsidR="00BB10B3" w:rsidRPr="00695344">
              <w:t xml:space="preserve">.novembrī Saeimā otrajā lasījumā pieņemtajam </w:t>
            </w:r>
            <w:r w:rsidR="00BB10B3" w:rsidRPr="00CD524A">
              <w:t xml:space="preserve">likumam </w:t>
            </w:r>
            <w:r w:rsidRPr="00CD524A">
              <w:t>„Par vidēja termiņa budžeta ietv</w:t>
            </w:r>
            <w:r w:rsidR="00BB10B3" w:rsidRPr="00CD524A">
              <w:t>aru 2014., 2015. un 2016.gadam”:</w:t>
            </w:r>
          </w:p>
          <w:p w:rsidR="00C8098E" w:rsidRPr="001B7E4E" w:rsidRDefault="00C8098E" w:rsidP="00C30D11">
            <w:pPr>
              <w:spacing w:before="120"/>
              <w:ind w:left="268"/>
              <w:jc w:val="both"/>
              <w:rPr>
                <w:b/>
              </w:rPr>
            </w:pPr>
            <w:r w:rsidRPr="001B7E4E">
              <w:rPr>
                <w:b/>
              </w:rPr>
              <w:t>2015.gadā:</w:t>
            </w:r>
          </w:p>
          <w:p w:rsidR="00C8098E" w:rsidRPr="001B7E4E" w:rsidRDefault="00C8098E" w:rsidP="00C30D11">
            <w:pPr>
              <w:ind w:left="268"/>
              <w:jc w:val="both"/>
            </w:pPr>
            <w:r w:rsidRPr="001B7E4E">
              <w:t xml:space="preserve">kopējie apakšprogrammas ieņēmumi ir </w:t>
            </w:r>
            <w:r w:rsidR="00F750FD" w:rsidRPr="001B7E4E">
              <w:t>11 435 988 </w:t>
            </w:r>
            <w:r w:rsidR="00F750FD" w:rsidRPr="001B7E4E">
              <w:rPr>
                <w:i/>
              </w:rPr>
              <w:t>euro</w:t>
            </w:r>
            <w:r w:rsidRPr="001B7E4E">
              <w:t xml:space="preserve">, tai skaitā valsts budžeta dotācija </w:t>
            </w:r>
            <w:r w:rsidR="00F750FD" w:rsidRPr="001B7E4E">
              <w:t>11 428 873 </w:t>
            </w:r>
            <w:r w:rsidR="00F750FD" w:rsidRPr="001B7E4E">
              <w:rPr>
                <w:i/>
              </w:rPr>
              <w:t>euro</w:t>
            </w:r>
            <w:r w:rsidRPr="001B7E4E">
              <w:t xml:space="preserve">, pašu ieņēmumi </w:t>
            </w:r>
            <w:r w:rsidR="00F750FD" w:rsidRPr="001B7E4E">
              <w:t>7 115 </w:t>
            </w:r>
            <w:r w:rsidR="00F750FD" w:rsidRPr="001B7E4E">
              <w:rPr>
                <w:i/>
              </w:rPr>
              <w:t>euro</w:t>
            </w:r>
            <w:r w:rsidRPr="001B7E4E">
              <w:t>;</w:t>
            </w:r>
          </w:p>
          <w:p w:rsidR="00C8098E" w:rsidRPr="001B7E4E" w:rsidRDefault="00C8098E" w:rsidP="00C30D11">
            <w:pPr>
              <w:ind w:left="268"/>
              <w:jc w:val="both"/>
            </w:pPr>
            <w:r w:rsidRPr="001B7E4E">
              <w:t xml:space="preserve">apakšprogrammas izdevumi subsīdijām un dotācijām </w:t>
            </w:r>
            <w:r w:rsidR="00F750FD" w:rsidRPr="001B7E4E">
              <w:lastRenderedPageBreak/>
              <w:t>11 435 988 </w:t>
            </w:r>
            <w:r w:rsidR="00F750FD" w:rsidRPr="001B7E4E">
              <w:rPr>
                <w:i/>
              </w:rPr>
              <w:t>euro</w:t>
            </w:r>
            <w:r w:rsidRPr="001B7E4E">
              <w:t>;</w:t>
            </w:r>
          </w:p>
          <w:p w:rsidR="00C8098E" w:rsidRPr="001B7E4E" w:rsidRDefault="00C8098E" w:rsidP="00C30D11">
            <w:pPr>
              <w:ind w:left="268"/>
              <w:jc w:val="both"/>
              <w:rPr>
                <w:noProof/>
              </w:rPr>
            </w:pPr>
            <w:r w:rsidRPr="001B7E4E">
              <w:t xml:space="preserve">tai skaitā </w:t>
            </w:r>
            <w:r w:rsidRPr="001B7E4E">
              <w:rPr>
                <w:rFonts w:eastAsia="Calibri"/>
                <w:noProof/>
              </w:rPr>
              <w:t xml:space="preserve">vakcīnu iegādei paredzēti </w:t>
            </w:r>
            <w:r w:rsidR="00F750FD" w:rsidRPr="001B7E4E">
              <w:rPr>
                <w:rFonts w:eastAsia="Calibri"/>
                <w:noProof/>
              </w:rPr>
              <w:t xml:space="preserve">8 071 303 </w:t>
            </w:r>
            <w:r w:rsidR="00F750FD" w:rsidRPr="001B7E4E">
              <w:rPr>
                <w:rFonts w:eastAsia="Calibri"/>
                <w:i/>
                <w:noProof/>
              </w:rPr>
              <w:t>euro</w:t>
            </w:r>
            <w:r w:rsidRPr="001B7E4E">
              <w:rPr>
                <w:rFonts w:eastAsia="Calibri"/>
                <w:noProof/>
              </w:rPr>
              <w:t xml:space="preserve">, kur </w:t>
            </w:r>
            <w:r w:rsidRPr="001B7E4E">
              <w:t xml:space="preserve">papildu </w:t>
            </w:r>
            <w:r w:rsidR="00F750FD" w:rsidRPr="001B7E4E">
              <w:t>796 808 </w:t>
            </w:r>
            <w:r w:rsidR="00F750FD" w:rsidRPr="001B7E4E">
              <w:rPr>
                <w:i/>
              </w:rPr>
              <w:t>euro</w:t>
            </w:r>
            <w:r w:rsidRPr="001B7E4E">
              <w:t xml:space="preserve"> paredzēti bērnu vakcinācijai pret </w:t>
            </w:r>
            <w:r w:rsidRPr="001B7E4E">
              <w:rPr>
                <w:noProof/>
              </w:rPr>
              <w:t>rotavīrusa infekciju.</w:t>
            </w:r>
          </w:p>
          <w:p w:rsidR="00C8098E" w:rsidRPr="001B7E4E" w:rsidRDefault="00C8098E" w:rsidP="009163D3">
            <w:pPr>
              <w:spacing w:before="120"/>
              <w:ind w:left="266"/>
              <w:jc w:val="both"/>
              <w:rPr>
                <w:noProof/>
              </w:rPr>
            </w:pPr>
            <w:r w:rsidRPr="001B7E4E">
              <w:rPr>
                <w:b/>
                <w:noProof/>
              </w:rPr>
              <w:t>2016.gadā</w:t>
            </w:r>
            <w:r w:rsidRPr="001B7E4E">
              <w:rPr>
                <w:noProof/>
              </w:rPr>
              <w:t>:</w:t>
            </w:r>
          </w:p>
          <w:p w:rsidR="00F750FD" w:rsidRPr="001B7E4E" w:rsidRDefault="00F750FD" w:rsidP="00F750FD">
            <w:pPr>
              <w:ind w:left="268"/>
              <w:jc w:val="both"/>
            </w:pPr>
            <w:r w:rsidRPr="001B7E4E">
              <w:t>kopējie apakšprogrammas ieņēmumi ir 11 435 988 </w:t>
            </w:r>
            <w:r w:rsidRPr="001B7E4E">
              <w:rPr>
                <w:i/>
              </w:rPr>
              <w:t>euro</w:t>
            </w:r>
            <w:r w:rsidRPr="001B7E4E">
              <w:t>, tai skaitā valsts budžeta dotācija 11 428 873 </w:t>
            </w:r>
            <w:r w:rsidRPr="001B7E4E">
              <w:rPr>
                <w:i/>
              </w:rPr>
              <w:t>euro</w:t>
            </w:r>
            <w:r w:rsidRPr="001B7E4E">
              <w:t>, pašu ieņēmumi 7 115 </w:t>
            </w:r>
            <w:r w:rsidRPr="001B7E4E">
              <w:rPr>
                <w:i/>
              </w:rPr>
              <w:t>euro</w:t>
            </w:r>
            <w:r w:rsidRPr="001B7E4E">
              <w:t>;</w:t>
            </w:r>
          </w:p>
          <w:p w:rsidR="00F750FD" w:rsidRPr="001B7E4E" w:rsidRDefault="00F750FD" w:rsidP="00F750FD">
            <w:pPr>
              <w:ind w:left="268"/>
              <w:jc w:val="both"/>
            </w:pPr>
            <w:r w:rsidRPr="001B7E4E">
              <w:t>apakšprogrammas izdevumi subsīdijām un dotācijām 11 435 988 </w:t>
            </w:r>
            <w:r w:rsidRPr="001B7E4E">
              <w:rPr>
                <w:i/>
              </w:rPr>
              <w:t>euro</w:t>
            </w:r>
            <w:r w:rsidRPr="001B7E4E">
              <w:t>;</w:t>
            </w:r>
          </w:p>
          <w:p w:rsidR="00F750FD" w:rsidRPr="001B7E4E" w:rsidRDefault="00F750FD" w:rsidP="00F750FD">
            <w:pPr>
              <w:ind w:left="268"/>
              <w:jc w:val="both"/>
              <w:rPr>
                <w:noProof/>
              </w:rPr>
            </w:pPr>
            <w:r w:rsidRPr="001B7E4E">
              <w:t xml:space="preserve">tai skaitā </w:t>
            </w:r>
            <w:r w:rsidRPr="001B7E4E">
              <w:rPr>
                <w:rFonts w:eastAsia="Calibri"/>
                <w:noProof/>
              </w:rPr>
              <w:t xml:space="preserve">vakcīnu iegādei paredzēti 8 071 303 </w:t>
            </w:r>
            <w:r w:rsidRPr="001B7E4E">
              <w:rPr>
                <w:rFonts w:eastAsia="Calibri"/>
                <w:i/>
                <w:noProof/>
              </w:rPr>
              <w:t>euro</w:t>
            </w:r>
            <w:r w:rsidRPr="001B7E4E">
              <w:rPr>
                <w:rFonts w:eastAsia="Calibri"/>
                <w:noProof/>
              </w:rPr>
              <w:t xml:space="preserve">, kur </w:t>
            </w:r>
            <w:r w:rsidRPr="001B7E4E">
              <w:t>papildus 796 808 </w:t>
            </w:r>
            <w:r w:rsidRPr="001B7E4E">
              <w:rPr>
                <w:i/>
              </w:rPr>
              <w:t>euro</w:t>
            </w:r>
            <w:r w:rsidRPr="001B7E4E">
              <w:t xml:space="preserve"> paredzēti bērnu vakcinācijai pret </w:t>
            </w:r>
            <w:r w:rsidRPr="001B7E4E">
              <w:rPr>
                <w:noProof/>
              </w:rPr>
              <w:t>rotavīrusa infekciju.</w:t>
            </w:r>
          </w:p>
          <w:p w:rsidR="00C8098E" w:rsidRPr="001B7E4E" w:rsidRDefault="00772BC2" w:rsidP="00E96E9F">
            <w:pPr>
              <w:spacing w:before="120"/>
              <w:jc w:val="both"/>
              <w:rPr>
                <w:noProof/>
                <w:u w:val="single"/>
              </w:rPr>
            </w:pPr>
            <w:r>
              <w:rPr>
                <w:noProof/>
              </w:rPr>
              <w:t>P</w:t>
            </w:r>
            <w:r w:rsidR="00C8098E" w:rsidRPr="001B7E4E">
              <w:rPr>
                <w:noProof/>
              </w:rPr>
              <w:t xml:space="preserve">rojekts paredz </w:t>
            </w:r>
            <w:r w:rsidR="00A8203F" w:rsidRPr="00CD524A">
              <w:rPr>
                <w:noProof/>
              </w:rPr>
              <w:t xml:space="preserve">vakcināciju pret rotavīrusu infekciju divus mēnešus veciem </w:t>
            </w:r>
            <w:r w:rsidR="00E468EC" w:rsidRPr="00CD524A">
              <w:rPr>
                <w:noProof/>
              </w:rPr>
              <w:t xml:space="preserve"> </w:t>
            </w:r>
            <w:r w:rsidR="00C8098E" w:rsidRPr="00CD524A">
              <w:rPr>
                <w:noProof/>
              </w:rPr>
              <w:t>bērniem</w:t>
            </w:r>
            <w:r w:rsidR="00ED5350" w:rsidRPr="00CD524A">
              <w:rPr>
                <w:noProof/>
              </w:rPr>
              <w:t xml:space="preserve"> uzsākt ar 2015.gada 1.janvāri</w:t>
            </w:r>
            <w:r w:rsidR="00E96E9F" w:rsidRPr="00CD524A">
              <w:rPr>
                <w:noProof/>
              </w:rPr>
              <w:t>.</w:t>
            </w:r>
          </w:p>
          <w:p w:rsidR="00E96E9F" w:rsidRPr="001B7E4E" w:rsidRDefault="00E96E9F" w:rsidP="00E96E9F">
            <w:pPr>
              <w:ind w:left="266"/>
              <w:jc w:val="both"/>
              <w:rPr>
                <w:noProof/>
              </w:rPr>
            </w:pPr>
          </w:p>
          <w:p w:rsidR="00C8098E" w:rsidRPr="001B7E4E" w:rsidRDefault="00C923A5" w:rsidP="00E96E9F">
            <w:pPr>
              <w:ind w:left="266"/>
              <w:jc w:val="both"/>
              <w:rPr>
                <w:noProof/>
              </w:rPr>
            </w:pPr>
            <w:r w:rsidRPr="001B7E4E">
              <w:rPr>
                <w:noProof/>
              </w:rPr>
              <w:t>N</w:t>
            </w:r>
            <w:r w:rsidR="00C8098E" w:rsidRPr="001B7E4E">
              <w:rPr>
                <w:noProof/>
              </w:rPr>
              <w:t>epieciešamā finansējuma aprēķini:</w:t>
            </w:r>
          </w:p>
          <w:p w:rsidR="00C8098E" w:rsidRPr="001B7E4E" w:rsidRDefault="00C8098E" w:rsidP="00C923A5">
            <w:pPr>
              <w:spacing w:before="120"/>
              <w:ind w:left="266"/>
              <w:jc w:val="both"/>
              <w:rPr>
                <w:noProof/>
              </w:rPr>
            </w:pPr>
            <w:r w:rsidRPr="001B7E4E">
              <w:rPr>
                <w:noProof/>
              </w:rPr>
              <w:t>Jaundzimušo skaits (2012.gada dati) - 19 520</w:t>
            </w:r>
          </w:p>
          <w:p w:rsidR="00C8098E" w:rsidRPr="001B7E4E" w:rsidRDefault="00C8098E" w:rsidP="00D67073">
            <w:pPr>
              <w:ind w:left="266"/>
              <w:jc w:val="both"/>
              <w:rPr>
                <w:noProof/>
              </w:rPr>
            </w:pPr>
            <w:r w:rsidRPr="001B7E4E">
              <w:rPr>
                <w:noProof/>
              </w:rPr>
              <w:t>Vakcinācijas kurs</w:t>
            </w:r>
            <w:r w:rsidR="00003841" w:rsidRPr="001B7E4E">
              <w:rPr>
                <w:noProof/>
              </w:rPr>
              <w:t>a</w:t>
            </w:r>
            <w:r w:rsidRPr="001B7E4E">
              <w:rPr>
                <w:noProof/>
              </w:rPr>
              <w:t xml:space="preserve"> (divas vai trīs vakcīnas devas  atkarībā no ražotāja) cena bez PVN - 29,40 Ls </w:t>
            </w:r>
            <w:r w:rsidR="005E783D" w:rsidRPr="001B7E4E">
              <w:rPr>
                <w:noProof/>
              </w:rPr>
              <w:t xml:space="preserve">/ 41,83 </w:t>
            </w:r>
            <w:r w:rsidR="005E783D" w:rsidRPr="001B7E4E">
              <w:rPr>
                <w:i/>
                <w:noProof/>
              </w:rPr>
              <w:t>euro</w:t>
            </w:r>
          </w:p>
          <w:p w:rsidR="00C8098E" w:rsidRPr="001B7E4E" w:rsidRDefault="00C8098E" w:rsidP="00D67073">
            <w:pPr>
              <w:ind w:left="266"/>
              <w:jc w:val="both"/>
              <w:rPr>
                <w:noProof/>
              </w:rPr>
            </w:pPr>
            <w:r w:rsidRPr="001B7E4E">
              <w:rPr>
                <w:noProof/>
              </w:rPr>
              <w:t>(vakcinācijas kursa cena ir saskaņā ar vakcīnu iepirkuma 2010.- 2011.gadam konkursa rezultātiem)</w:t>
            </w:r>
          </w:p>
          <w:p w:rsidR="00C8098E" w:rsidRPr="001B7E4E" w:rsidRDefault="00C8098E" w:rsidP="00D67073">
            <w:pPr>
              <w:ind w:left="266"/>
              <w:jc w:val="both"/>
              <w:rPr>
                <w:noProof/>
              </w:rPr>
            </w:pPr>
            <w:r w:rsidRPr="001B7E4E">
              <w:rPr>
                <w:noProof/>
              </w:rPr>
              <w:t>PVN (12%) - 3,53 Ls</w:t>
            </w:r>
            <w:r w:rsidR="005E783D" w:rsidRPr="001B7E4E">
              <w:rPr>
                <w:noProof/>
              </w:rPr>
              <w:t xml:space="preserve"> / 5,02 </w:t>
            </w:r>
            <w:r w:rsidR="005E783D" w:rsidRPr="001B7E4E">
              <w:rPr>
                <w:i/>
                <w:noProof/>
              </w:rPr>
              <w:t>euro</w:t>
            </w:r>
          </w:p>
          <w:p w:rsidR="00C8098E" w:rsidRPr="001B7E4E" w:rsidRDefault="00C8098E" w:rsidP="00D67073">
            <w:pPr>
              <w:ind w:left="266"/>
              <w:jc w:val="both"/>
              <w:rPr>
                <w:noProof/>
              </w:rPr>
            </w:pPr>
            <w:r w:rsidRPr="001B7E4E">
              <w:rPr>
                <w:noProof/>
              </w:rPr>
              <w:t>Vakcinācijas kursa cena ar PVN (29,40 + 3,53) Ls = 32,93 Ls</w:t>
            </w:r>
            <w:r w:rsidR="005E783D" w:rsidRPr="001B7E4E">
              <w:rPr>
                <w:noProof/>
              </w:rPr>
              <w:t xml:space="preserve"> / 46,85 </w:t>
            </w:r>
            <w:r w:rsidR="005E783D" w:rsidRPr="001B7E4E">
              <w:rPr>
                <w:i/>
                <w:noProof/>
              </w:rPr>
              <w:t>euro</w:t>
            </w:r>
          </w:p>
          <w:p w:rsidR="00C8098E" w:rsidRPr="001B7E4E" w:rsidRDefault="00C8098E" w:rsidP="00EB745C">
            <w:pPr>
              <w:spacing w:before="120"/>
              <w:ind w:left="266"/>
              <w:jc w:val="both"/>
              <w:rPr>
                <w:noProof/>
              </w:rPr>
            </w:pPr>
            <w:r w:rsidRPr="001B7E4E">
              <w:rPr>
                <w:noProof/>
              </w:rPr>
              <w:t xml:space="preserve">Vakcinācijas aptvere </w:t>
            </w:r>
            <w:r w:rsidR="00C923A5" w:rsidRPr="001B7E4E">
              <w:rPr>
                <w:noProof/>
              </w:rPr>
              <w:t xml:space="preserve">– ne mazāk kā </w:t>
            </w:r>
            <w:r w:rsidRPr="001B7E4E">
              <w:rPr>
                <w:noProof/>
              </w:rPr>
              <w:t>8</w:t>
            </w:r>
            <w:r w:rsidR="00E96E9F" w:rsidRPr="001B7E4E">
              <w:rPr>
                <w:noProof/>
              </w:rPr>
              <w:t>7</w:t>
            </w:r>
            <w:r w:rsidRPr="001B7E4E">
              <w:rPr>
                <w:noProof/>
              </w:rPr>
              <w:t>%</w:t>
            </w:r>
          </w:p>
          <w:p w:rsidR="00C8098E" w:rsidRPr="001B7E4E" w:rsidRDefault="00C8098E" w:rsidP="002746DB">
            <w:pPr>
              <w:ind w:left="266"/>
              <w:jc w:val="both"/>
              <w:rPr>
                <w:noProof/>
              </w:rPr>
            </w:pPr>
            <w:r w:rsidRPr="001B7E4E">
              <w:rPr>
                <w:noProof/>
              </w:rPr>
              <w:t>Vakcinējamo bērnu skaits: 19 520 × 8</w:t>
            </w:r>
            <w:r w:rsidR="00E96E9F" w:rsidRPr="001B7E4E">
              <w:rPr>
                <w:noProof/>
              </w:rPr>
              <w:t>7</w:t>
            </w:r>
            <w:r w:rsidR="005E783D" w:rsidRPr="001B7E4E">
              <w:rPr>
                <w:noProof/>
              </w:rPr>
              <w:t>,1</w:t>
            </w:r>
            <w:r w:rsidRPr="001B7E4E">
              <w:rPr>
                <w:noProof/>
              </w:rPr>
              <w:t>%</w:t>
            </w:r>
            <w:r w:rsidR="00C923A5" w:rsidRPr="001B7E4E">
              <w:rPr>
                <w:noProof/>
              </w:rPr>
              <w:t xml:space="preserve"> </w:t>
            </w:r>
            <w:r w:rsidRPr="001B7E4E">
              <w:rPr>
                <w:noProof/>
              </w:rPr>
              <w:t xml:space="preserve"> </w:t>
            </w:r>
            <w:r w:rsidR="00C923A5" w:rsidRPr="001B7E4E">
              <w:rPr>
                <w:noProof/>
              </w:rPr>
              <w:t>≈</w:t>
            </w:r>
            <w:r w:rsidRPr="001B7E4E">
              <w:rPr>
                <w:noProof/>
              </w:rPr>
              <w:t xml:space="preserve"> 1</w:t>
            </w:r>
            <w:r w:rsidR="00003841" w:rsidRPr="001B7E4E">
              <w:rPr>
                <w:noProof/>
              </w:rPr>
              <w:t>7</w:t>
            </w:r>
            <w:r w:rsidRPr="001B7E4E">
              <w:rPr>
                <w:noProof/>
              </w:rPr>
              <w:t> </w:t>
            </w:r>
            <w:r w:rsidR="00003841" w:rsidRPr="001B7E4E">
              <w:rPr>
                <w:noProof/>
              </w:rPr>
              <w:t>00</w:t>
            </w:r>
            <w:r w:rsidR="00C923A5" w:rsidRPr="001B7E4E">
              <w:rPr>
                <w:noProof/>
              </w:rPr>
              <w:t>0</w:t>
            </w:r>
          </w:p>
          <w:p w:rsidR="00C923A5" w:rsidRPr="001B7E4E" w:rsidRDefault="00C8098E" w:rsidP="00C923A5">
            <w:pPr>
              <w:spacing w:before="120"/>
              <w:ind w:left="266"/>
              <w:jc w:val="both"/>
              <w:rPr>
                <w:b/>
                <w:noProof/>
              </w:rPr>
            </w:pPr>
            <w:r w:rsidRPr="001B7E4E">
              <w:rPr>
                <w:noProof/>
              </w:rPr>
              <w:t>Kopējās vakcinācijas izmaksas 201</w:t>
            </w:r>
            <w:r w:rsidR="00C923A5" w:rsidRPr="001B7E4E">
              <w:rPr>
                <w:noProof/>
              </w:rPr>
              <w:t>5</w:t>
            </w:r>
            <w:r w:rsidRPr="001B7E4E">
              <w:rPr>
                <w:noProof/>
              </w:rPr>
              <w:t>.gadā</w:t>
            </w:r>
            <w:r w:rsidR="00C923A5" w:rsidRPr="001B7E4E">
              <w:rPr>
                <w:noProof/>
              </w:rPr>
              <w:t xml:space="preserve"> un turpmākajos gados</w:t>
            </w:r>
            <w:r w:rsidRPr="001B7E4E">
              <w:rPr>
                <w:noProof/>
              </w:rPr>
              <w:t xml:space="preserve">: 32,93 Ls × </w:t>
            </w:r>
            <w:r w:rsidR="00003841" w:rsidRPr="001B7E4E">
              <w:rPr>
                <w:noProof/>
              </w:rPr>
              <w:t>1700</w:t>
            </w:r>
            <w:r w:rsidR="00C923A5" w:rsidRPr="001B7E4E">
              <w:rPr>
                <w:noProof/>
              </w:rPr>
              <w:t>0</w:t>
            </w:r>
            <w:r w:rsidRPr="001B7E4E">
              <w:rPr>
                <w:noProof/>
              </w:rPr>
              <w:t xml:space="preserve"> = 5</w:t>
            </w:r>
            <w:r w:rsidR="00C923A5" w:rsidRPr="001B7E4E">
              <w:rPr>
                <w:noProof/>
              </w:rPr>
              <w:t>59</w:t>
            </w:r>
            <w:r w:rsidR="00003841" w:rsidRPr="001B7E4E">
              <w:rPr>
                <w:noProof/>
              </w:rPr>
              <w:t> </w:t>
            </w:r>
            <w:r w:rsidR="00C923A5" w:rsidRPr="001B7E4E">
              <w:rPr>
                <w:noProof/>
              </w:rPr>
              <w:t>810</w:t>
            </w:r>
            <w:r w:rsidRPr="001B7E4E">
              <w:rPr>
                <w:noProof/>
              </w:rPr>
              <w:t xml:space="preserve"> Ls ≈ </w:t>
            </w:r>
            <w:r w:rsidRPr="001B7E4E">
              <w:rPr>
                <w:b/>
                <w:noProof/>
              </w:rPr>
              <w:t>5</w:t>
            </w:r>
            <w:r w:rsidR="00003841" w:rsidRPr="001B7E4E">
              <w:rPr>
                <w:b/>
                <w:noProof/>
              </w:rPr>
              <w:t>60</w:t>
            </w:r>
            <w:r w:rsidRPr="001B7E4E">
              <w:rPr>
                <w:b/>
                <w:noProof/>
              </w:rPr>
              <w:t> </w:t>
            </w:r>
            <w:r w:rsidR="00003841" w:rsidRPr="001B7E4E">
              <w:rPr>
                <w:b/>
                <w:noProof/>
              </w:rPr>
              <w:t>000</w:t>
            </w:r>
            <w:r w:rsidRPr="001B7E4E">
              <w:rPr>
                <w:b/>
                <w:noProof/>
              </w:rPr>
              <w:t xml:space="preserve"> Ls</w:t>
            </w:r>
            <w:r w:rsidR="00C923A5" w:rsidRPr="001B7E4E">
              <w:rPr>
                <w:b/>
                <w:noProof/>
              </w:rPr>
              <w:t xml:space="preserve"> </w:t>
            </w:r>
            <w:r w:rsidR="00C923A5" w:rsidRPr="001B7E4E">
              <w:rPr>
                <w:noProof/>
              </w:rPr>
              <w:t>≈</w:t>
            </w:r>
          </w:p>
          <w:p w:rsidR="00C8098E" w:rsidRPr="001B7E4E" w:rsidRDefault="00C923A5" w:rsidP="002746DB">
            <w:pPr>
              <w:ind w:left="266"/>
              <w:jc w:val="both"/>
              <w:rPr>
                <w:noProof/>
              </w:rPr>
            </w:pPr>
            <w:r w:rsidRPr="001B7E4E">
              <w:rPr>
                <w:noProof/>
              </w:rPr>
              <w:t xml:space="preserve">≈ </w:t>
            </w:r>
            <w:r w:rsidRPr="001B7E4E">
              <w:rPr>
                <w:b/>
                <w:noProof/>
              </w:rPr>
              <w:t xml:space="preserve">796 808 </w:t>
            </w:r>
            <w:r w:rsidRPr="001B7E4E">
              <w:rPr>
                <w:b/>
                <w:i/>
                <w:noProof/>
              </w:rPr>
              <w:t>euro</w:t>
            </w:r>
            <w:r w:rsidRPr="001B7E4E">
              <w:rPr>
                <w:noProof/>
              </w:rPr>
              <w:t>.</w:t>
            </w:r>
          </w:p>
          <w:p w:rsidR="00C8098E" w:rsidRPr="001B7E4E" w:rsidRDefault="00C8098E" w:rsidP="002746DB">
            <w:pPr>
              <w:ind w:left="266"/>
              <w:jc w:val="both"/>
            </w:pPr>
          </w:p>
          <w:p w:rsidR="0056753E" w:rsidRPr="00CD524A" w:rsidRDefault="00C923A5" w:rsidP="0056753E">
            <w:pPr>
              <w:jc w:val="both"/>
            </w:pPr>
            <w:r w:rsidRPr="00CD524A">
              <w:t>N</w:t>
            </w:r>
            <w:r w:rsidR="00C8098E" w:rsidRPr="00CD524A">
              <w:t>epieciešam</w:t>
            </w:r>
            <w:r w:rsidRPr="00CD524A">
              <w:t>ais</w:t>
            </w:r>
            <w:r w:rsidR="00C8098E" w:rsidRPr="00CD524A">
              <w:t xml:space="preserve"> finansējum</w:t>
            </w:r>
            <w:r w:rsidRPr="00CD524A">
              <w:t>s</w:t>
            </w:r>
            <w:r w:rsidR="00C8098E" w:rsidRPr="00CD524A">
              <w:t xml:space="preserve"> vakcinācijas pasākumu īstenošanai </w:t>
            </w:r>
            <w:r w:rsidRPr="00CD524A">
              <w:t>ir</w:t>
            </w:r>
            <w:r w:rsidR="00C8098E" w:rsidRPr="00CD524A">
              <w:t xml:space="preserve"> iekļauts </w:t>
            </w:r>
            <w:r w:rsidR="0056753E" w:rsidRPr="00CD524A">
              <w:t xml:space="preserve">Saeimā 2013.gada </w:t>
            </w:r>
            <w:r w:rsidR="00BB10B3" w:rsidRPr="00CD524A">
              <w:t>7</w:t>
            </w:r>
            <w:r w:rsidR="0056753E" w:rsidRPr="00CD524A">
              <w:t>.novembrī pieņemt</w:t>
            </w:r>
            <w:r w:rsidR="0014526D" w:rsidRPr="00CD524A">
              <w:t>ajā</w:t>
            </w:r>
            <w:r w:rsidR="0056753E" w:rsidRPr="00CD524A">
              <w:t xml:space="preserve"> likum</w:t>
            </w:r>
            <w:r w:rsidR="0014526D" w:rsidRPr="00CD524A">
              <w:t>ā</w:t>
            </w:r>
            <w:r w:rsidR="0056753E" w:rsidRPr="00CD524A">
              <w:t xml:space="preserve"> „Par vidēja termiņa budžeta ietvaru 2014., 2015. un 2016.gadam”</w:t>
            </w:r>
            <w:r w:rsidR="0014526D" w:rsidRPr="00CD524A">
              <w:t>, kur</w:t>
            </w:r>
            <w:r w:rsidR="0056753E" w:rsidRPr="00CD524A">
              <w:t xml:space="preserve"> Veselības ministrijai 2015.</w:t>
            </w:r>
            <w:r w:rsidR="001243E4" w:rsidRPr="00CD524A">
              <w:t xml:space="preserve"> un</w:t>
            </w:r>
            <w:r w:rsidR="0056753E" w:rsidRPr="00CD524A">
              <w:t xml:space="preserve"> 2016.gadā ik gadu ir paredzēti līdzekļi 796 808 euro apmērā bērnu vakcinācijai pret rotavīrusu infekciju.</w:t>
            </w:r>
          </w:p>
          <w:p w:rsidR="00450860" w:rsidRPr="00CD524A" w:rsidRDefault="00450860" w:rsidP="0056753E">
            <w:pPr>
              <w:jc w:val="both"/>
            </w:pPr>
          </w:p>
          <w:p w:rsidR="0056753E" w:rsidRPr="00CD524A" w:rsidRDefault="00772BC2" w:rsidP="00B41613">
            <w:pPr>
              <w:spacing w:before="120"/>
              <w:jc w:val="both"/>
              <w:rPr>
                <w:noProof/>
              </w:rPr>
            </w:pPr>
            <w:r w:rsidRPr="00CD524A">
              <w:rPr>
                <w:noProof/>
              </w:rPr>
              <w:t>P</w:t>
            </w:r>
            <w:r w:rsidR="0056753E" w:rsidRPr="00CD524A">
              <w:rPr>
                <w:noProof/>
              </w:rPr>
              <w:t xml:space="preserve">rojekts paredz vakcināciju pret </w:t>
            </w:r>
            <w:r w:rsidR="000A2619" w:rsidRPr="00CD524A">
              <w:rPr>
                <w:noProof/>
              </w:rPr>
              <w:t>vējbakām septiņus gadus veciem bērniem (2.dev</w:t>
            </w:r>
            <w:r w:rsidR="0071376D" w:rsidRPr="00CD524A">
              <w:rPr>
                <w:noProof/>
              </w:rPr>
              <w:t>a</w:t>
            </w:r>
            <w:r w:rsidR="000A2619" w:rsidRPr="00CD524A">
              <w:rPr>
                <w:noProof/>
              </w:rPr>
              <w:t xml:space="preserve">) </w:t>
            </w:r>
            <w:r w:rsidR="0056753E" w:rsidRPr="00CD524A">
              <w:rPr>
                <w:noProof/>
              </w:rPr>
              <w:t>uzsākt ar 201</w:t>
            </w:r>
            <w:r w:rsidR="000A2619" w:rsidRPr="00CD524A">
              <w:rPr>
                <w:noProof/>
              </w:rPr>
              <w:t>7</w:t>
            </w:r>
            <w:r w:rsidR="0056753E" w:rsidRPr="00CD524A">
              <w:rPr>
                <w:noProof/>
              </w:rPr>
              <w:t>.gada 1.janvāri.</w:t>
            </w:r>
          </w:p>
          <w:p w:rsidR="00B41613" w:rsidRPr="00772BC2" w:rsidRDefault="00B41613" w:rsidP="00B41613">
            <w:pPr>
              <w:ind w:right="140"/>
              <w:jc w:val="both"/>
              <w:rPr>
                <w:color w:val="000000"/>
                <w:u w:val="single"/>
              </w:rPr>
            </w:pPr>
          </w:p>
          <w:p w:rsidR="00B41613" w:rsidRPr="00CD524A" w:rsidRDefault="00450860" w:rsidP="00B41613">
            <w:pPr>
              <w:ind w:right="140"/>
              <w:jc w:val="both"/>
              <w:rPr>
                <w:color w:val="000000"/>
              </w:rPr>
            </w:pPr>
            <w:r w:rsidRPr="00CD524A">
              <w:rPr>
                <w:color w:val="000000"/>
              </w:rPr>
              <w:t>Nepieciešamā finansējuma aprēķinā 2017.gadam</w:t>
            </w:r>
            <w:r w:rsidR="00B41613" w:rsidRPr="00CD524A">
              <w:rPr>
                <w:color w:val="000000"/>
              </w:rPr>
              <w:t xml:space="preserve">, lai pabeigtu pilnu vakcinācijas kursu 2017.gadā, iekļauti arī tie bērni, kas no 2008.gada saņēmuši vakcīnas pret vējbakām pirmo devu un nav slimojuši ar vējbakām, un </w:t>
            </w:r>
            <w:r w:rsidR="00B41613" w:rsidRPr="00CD524A">
              <w:rPr>
                <w:color w:val="000000"/>
              </w:rPr>
              <w:lastRenderedPageBreak/>
              <w:t>2017.gadā būs 8, 9</w:t>
            </w:r>
            <w:r w:rsidR="001803D7" w:rsidRPr="00CD524A">
              <w:rPr>
                <w:color w:val="000000"/>
              </w:rPr>
              <w:t xml:space="preserve"> </w:t>
            </w:r>
            <w:r w:rsidR="00B41613" w:rsidRPr="00CD524A">
              <w:rPr>
                <w:color w:val="000000"/>
              </w:rPr>
              <w:t>un 10</w:t>
            </w:r>
            <w:r w:rsidR="001803D7" w:rsidRPr="00CD524A">
              <w:rPr>
                <w:color w:val="000000"/>
              </w:rPr>
              <w:t xml:space="preserve"> </w:t>
            </w:r>
            <w:r w:rsidR="00B41613" w:rsidRPr="00CD524A">
              <w:rPr>
                <w:color w:val="000000"/>
              </w:rPr>
              <w:t xml:space="preserve">gadus veci. </w:t>
            </w:r>
          </w:p>
          <w:p w:rsidR="0056753E" w:rsidRPr="00CD524A" w:rsidRDefault="0056753E" w:rsidP="0056753E">
            <w:pPr>
              <w:jc w:val="both"/>
              <w:rPr>
                <w:highlight w:val="yellow"/>
              </w:rPr>
            </w:pPr>
          </w:p>
          <w:p w:rsidR="0056753E" w:rsidRPr="00CD524A" w:rsidRDefault="0056753E" w:rsidP="003B36C5">
            <w:pPr>
              <w:ind w:left="43"/>
              <w:jc w:val="both"/>
              <w:rPr>
                <w:noProof/>
              </w:rPr>
            </w:pPr>
            <w:r w:rsidRPr="00CD524A">
              <w:rPr>
                <w:noProof/>
              </w:rPr>
              <w:t>Nepieciešamā finansējuma aprēķini</w:t>
            </w:r>
            <w:r w:rsidR="00450860" w:rsidRPr="00CD524A">
              <w:rPr>
                <w:noProof/>
              </w:rPr>
              <w:t xml:space="preserve"> </w:t>
            </w:r>
            <w:r w:rsidR="00CF5391" w:rsidRPr="00CD524A">
              <w:rPr>
                <w:noProof/>
              </w:rPr>
              <w:t>otrajai vakcinācijai pret vējbakām</w:t>
            </w:r>
            <w:r w:rsidR="005F60CC" w:rsidRPr="00CD524A">
              <w:rPr>
                <w:noProof/>
              </w:rPr>
              <w:t>:</w:t>
            </w:r>
            <w:r w:rsidR="00CF5391" w:rsidRPr="00CD524A">
              <w:rPr>
                <w:noProof/>
              </w:rPr>
              <w:t xml:space="preserve"> </w:t>
            </w:r>
          </w:p>
          <w:p w:rsidR="00CF5391" w:rsidRPr="00CD524A" w:rsidRDefault="005F60CC" w:rsidP="003B36C5">
            <w:pPr>
              <w:spacing w:before="120" w:after="120"/>
              <w:ind w:left="43"/>
              <w:jc w:val="both"/>
              <w:rPr>
                <w:noProof/>
              </w:rPr>
            </w:pPr>
            <w:r w:rsidRPr="00CD524A">
              <w:rPr>
                <w:b/>
                <w:noProof/>
              </w:rPr>
              <w:t>2017.gadam</w:t>
            </w:r>
            <w:r w:rsidRPr="00CD524A">
              <w:rPr>
                <w:noProof/>
              </w:rPr>
              <w:t>:</w:t>
            </w:r>
          </w:p>
          <w:p w:rsidR="000D2AE7" w:rsidRPr="00CD524A" w:rsidRDefault="000D2AE7" w:rsidP="00DE1297">
            <w:pPr>
              <w:ind w:left="45"/>
              <w:jc w:val="both"/>
              <w:rPr>
                <w:noProof/>
              </w:rPr>
            </w:pPr>
            <w:r w:rsidRPr="00CD524A">
              <w:rPr>
                <w:noProof/>
              </w:rPr>
              <w:t xml:space="preserve">Vienas vakcīnas cena bez PVN – </w:t>
            </w:r>
            <w:r w:rsidR="00CF5391" w:rsidRPr="00CD524A">
              <w:rPr>
                <w:noProof/>
              </w:rPr>
              <w:t>22,05 euro (</w:t>
            </w:r>
            <w:r w:rsidR="004473C2" w:rsidRPr="00CD524A">
              <w:rPr>
                <w:noProof/>
              </w:rPr>
              <w:t xml:space="preserve">jeb </w:t>
            </w:r>
            <w:r w:rsidRPr="00CD524A">
              <w:rPr>
                <w:noProof/>
              </w:rPr>
              <w:t>15,50</w:t>
            </w:r>
            <w:r w:rsidR="004473C2" w:rsidRPr="00CD524A">
              <w:rPr>
                <w:noProof/>
              </w:rPr>
              <w:t> </w:t>
            </w:r>
            <w:r w:rsidRPr="00CD524A">
              <w:rPr>
                <w:noProof/>
              </w:rPr>
              <w:t>Ls saskaņā ar 2012.- 2013.gada vakcīnu iepirkuma rezultātiem)</w:t>
            </w:r>
          </w:p>
          <w:p w:rsidR="000D2AE7" w:rsidRPr="00CD524A" w:rsidRDefault="000D2AE7" w:rsidP="00DE1297">
            <w:pPr>
              <w:ind w:left="45"/>
              <w:jc w:val="both"/>
              <w:rPr>
                <w:noProof/>
              </w:rPr>
            </w:pPr>
            <w:r w:rsidRPr="00CD524A">
              <w:rPr>
                <w:noProof/>
              </w:rPr>
              <w:t xml:space="preserve">PVN (12%) – </w:t>
            </w:r>
            <w:r w:rsidR="004473C2" w:rsidRPr="00CD524A">
              <w:rPr>
                <w:noProof/>
              </w:rPr>
              <w:t>2,65 euro (1,86</w:t>
            </w:r>
            <w:r w:rsidRPr="00CD524A">
              <w:rPr>
                <w:noProof/>
              </w:rPr>
              <w:t xml:space="preserve"> Ls</w:t>
            </w:r>
            <w:r w:rsidR="004473C2" w:rsidRPr="00CD524A">
              <w:rPr>
                <w:noProof/>
              </w:rPr>
              <w:t>)</w:t>
            </w:r>
          </w:p>
          <w:p w:rsidR="000D2AE7" w:rsidRPr="00CD524A" w:rsidRDefault="000D2AE7" w:rsidP="00DE1297">
            <w:pPr>
              <w:ind w:left="45"/>
              <w:jc w:val="both"/>
              <w:rPr>
                <w:noProof/>
              </w:rPr>
            </w:pPr>
            <w:r w:rsidRPr="00CD524A">
              <w:rPr>
                <w:noProof/>
              </w:rPr>
              <w:t>Vakcīnas cena ar PVN (</w:t>
            </w:r>
            <w:r w:rsidR="004473C2" w:rsidRPr="00CD524A">
              <w:rPr>
                <w:noProof/>
              </w:rPr>
              <w:t>22,05 </w:t>
            </w:r>
            <w:r w:rsidRPr="00CD524A">
              <w:rPr>
                <w:noProof/>
              </w:rPr>
              <w:t>+</w:t>
            </w:r>
            <w:r w:rsidR="004473C2" w:rsidRPr="00CD524A">
              <w:rPr>
                <w:noProof/>
              </w:rPr>
              <w:t> 2,65</w:t>
            </w:r>
            <w:r w:rsidRPr="00CD524A">
              <w:rPr>
                <w:noProof/>
              </w:rPr>
              <w:t xml:space="preserve">) </w:t>
            </w:r>
            <w:r w:rsidR="004473C2" w:rsidRPr="00CD524A">
              <w:rPr>
                <w:noProof/>
              </w:rPr>
              <w:t>euro</w:t>
            </w:r>
            <w:r w:rsidRPr="00CD524A">
              <w:rPr>
                <w:noProof/>
              </w:rPr>
              <w:t xml:space="preserve"> = </w:t>
            </w:r>
            <w:r w:rsidR="004473C2" w:rsidRPr="00CD524A">
              <w:rPr>
                <w:noProof/>
              </w:rPr>
              <w:t>24,70 euro (</w:t>
            </w:r>
            <w:r w:rsidRPr="00CD524A">
              <w:rPr>
                <w:noProof/>
              </w:rPr>
              <w:t>17,36 Ls</w:t>
            </w:r>
            <w:r w:rsidR="004473C2" w:rsidRPr="00CD524A">
              <w:rPr>
                <w:noProof/>
              </w:rPr>
              <w:t>)</w:t>
            </w:r>
          </w:p>
          <w:p w:rsidR="003B36C5" w:rsidRPr="00CD524A" w:rsidRDefault="004473C2" w:rsidP="003B36C5">
            <w:pPr>
              <w:spacing w:before="120"/>
              <w:ind w:left="43"/>
              <w:jc w:val="both"/>
              <w:rPr>
                <w:noProof/>
              </w:rPr>
            </w:pPr>
            <w:r w:rsidRPr="00CD524A">
              <w:rPr>
                <w:noProof/>
              </w:rPr>
              <w:t xml:space="preserve">Vakcinējamo bērnu skaits 2017.gadā pilna vakcinācijas kursa pabeigšanai, </w:t>
            </w:r>
            <w:r w:rsidR="001510EF" w:rsidRPr="00CD524A">
              <w:rPr>
                <w:noProof/>
              </w:rPr>
              <w:t>ir balstīts uz faktisko bērnu skaitu, kas no 2008.gada saņēmuši pirmo vakcīnas devu</w:t>
            </w:r>
            <w:r w:rsidRPr="00CD524A">
              <w:rPr>
                <w:noProof/>
              </w:rPr>
              <w:t>:</w:t>
            </w:r>
          </w:p>
          <w:tbl>
            <w:tblPr>
              <w:tblStyle w:val="TableGrid"/>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7"/>
              <w:gridCol w:w="1829"/>
              <w:gridCol w:w="1763"/>
            </w:tblGrid>
            <w:tr w:rsidR="004473C2" w:rsidRPr="00CD524A" w:rsidTr="001803D7">
              <w:trPr>
                <w:trHeight w:val="624"/>
              </w:trPr>
              <w:tc>
                <w:tcPr>
                  <w:tcW w:w="1984" w:type="dxa"/>
                  <w:tcBorders>
                    <w:top w:val="single" w:sz="4" w:space="0" w:color="auto"/>
                    <w:left w:val="single" w:sz="4" w:space="0" w:color="auto"/>
                    <w:bottom w:val="single" w:sz="4" w:space="0" w:color="auto"/>
                    <w:right w:val="single" w:sz="4" w:space="0" w:color="auto"/>
                  </w:tcBorders>
                  <w:vAlign w:val="center"/>
                </w:tcPr>
                <w:p w:rsidR="004473C2" w:rsidRPr="00CD524A" w:rsidRDefault="001803D7" w:rsidP="004473C2">
                  <w:pPr>
                    <w:jc w:val="center"/>
                    <w:rPr>
                      <w:noProof/>
                      <w:sz w:val="20"/>
                      <w:szCs w:val="20"/>
                    </w:rPr>
                  </w:pPr>
                  <w:r w:rsidRPr="00CD524A">
                    <w:rPr>
                      <w:noProof/>
                      <w:sz w:val="20"/>
                      <w:szCs w:val="20"/>
                    </w:rPr>
                    <w:t>Gads, kurā s</w:t>
                  </w:r>
                  <w:r w:rsidR="004473C2" w:rsidRPr="00CD524A">
                    <w:rPr>
                      <w:noProof/>
                      <w:sz w:val="20"/>
                      <w:szCs w:val="20"/>
                    </w:rPr>
                    <w:t xml:space="preserve">aņēmuši pirmo </w:t>
                  </w:r>
                  <w:r w:rsidRPr="00CD524A">
                    <w:rPr>
                      <w:noProof/>
                      <w:sz w:val="20"/>
                      <w:szCs w:val="20"/>
                    </w:rPr>
                    <w:t xml:space="preserve">vakcīnas </w:t>
                  </w:r>
                  <w:r w:rsidR="004473C2" w:rsidRPr="00CD524A">
                    <w:rPr>
                      <w:noProof/>
                      <w:sz w:val="20"/>
                      <w:szCs w:val="20"/>
                    </w:rPr>
                    <w:t>devu</w:t>
                  </w:r>
                </w:p>
              </w:tc>
              <w:tc>
                <w:tcPr>
                  <w:tcW w:w="1985" w:type="dxa"/>
                  <w:tcBorders>
                    <w:top w:val="single" w:sz="4" w:space="0" w:color="auto"/>
                    <w:left w:val="single" w:sz="4" w:space="0" w:color="auto"/>
                    <w:bottom w:val="single" w:sz="4" w:space="0" w:color="auto"/>
                    <w:right w:val="single" w:sz="4" w:space="0" w:color="auto"/>
                  </w:tcBorders>
                  <w:vAlign w:val="center"/>
                </w:tcPr>
                <w:p w:rsidR="004473C2" w:rsidRPr="00CD524A" w:rsidRDefault="001803D7" w:rsidP="004473C2">
                  <w:pPr>
                    <w:jc w:val="center"/>
                    <w:rPr>
                      <w:noProof/>
                      <w:sz w:val="20"/>
                      <w:szCs w:val="20"/>
                    </w:rPr>
                  </w:pPr>
                  <w:r w:rsidRPr="00CD524A">
                    <w:rPr>
                      <w:noProof/>
                      <w:sz w:val="20"/>
                      <w:szCs w:val="20"/>
                    </w:rPr>
                    <w:t>Bērnu v</w:t>
                  </w:r>
                  <w:r w:rsidR="004473C2" w:rsidRPr="00CD524A">
                    <w:rPr>
                      <w:noProof/>
                      <w:sz w:val="20"/>
                      <w:szCs w:val="20"/>
                    </w:rPr>
                    <w:t xml:space="preserve">ecums 2017.gadā </w:t>
                  </w:r>
                </w:p>
              </w:tc>
              <w:tc>
                <w:tcPr>
                  <w:tcW w:w="1960" w:type="dxa"/>
                  <w:tcBorders>
                    <w:top w:val="single" w:sz="4" w:space="0" w:color="auto"/>
                    <w:left w:val="single" w:sz="4" w:space="0" w:color="auto"/>
                    <w:bottom w:val="single" w:sz="4" w:space="0" w:color="auto"/>
                    <w:right w:val="single" w:sz="4" w:space="0" w:color="auto"/>
                  </w:tcBorders>
                  <w:vAlign w:val="center"/>
                </w:tcPr>
                <w:p w:rsidR="004473C2" w:rsidRPr="00CD524A" w:rsidRDefault="001803D7" w:rsidP="004473C2">
                  <w:pPr>
                    <w:jc w:val="center"/>
                    <w:rPr>
                      <w:noProof/>
                      <w:sz w:val="20"/>
                      <w:szCs w:val="20"/>
                    </w:rPr>
                  </w:pPr>
                  <w:r w:rsidRPr="00CD524A">
                    <w:rPr>
                      <w:noProof/>
                      <w:sz w:val="20"/>
                      <w:szCs w:val="20"/>
                    </w:rPr>
                    <w:t>Bērnu s</w:t>
                  </w:r>
                  <w:r w:rsidR="004473C2" w:rsidRPr="00CD524A">
                    <w:rPr>
                      <w:noProof/>
                      <w:sz w:val="20"/>
                      <w:szCs w:val="20"/>
                    </w:rPr>
                    <w:t>kaits</w:t>
                  </w:r>
                  <w:r w:rsidR="00F506D5" w:rsidRPr="00CD524A">
                    <w:rPr>
                      <w:noProof/>
                      <w:sz w:val="20"/>
                      <w:szCs w:val="20"/>
                    </w:rPr>
                    <w:t>*</w:t>
                  </w:r>
                </w:p>
              </w:tc>
            </w:tr>
            <w:tr w:rsidR="004473C2" w:rsidRPr="00CD524A" w:rsidTr="001803D7">
              <w:trPr>
                <w:trHeight w:val="227"/>
              </w:trPr>
              <w:tc>
                <w:tcPr>
                  <w:tcW w:w="1984" w:type="dxa"/>
                  <w:tcBorders>
                    <w:top w:val="single" w:sz="4" w:space="0" w:color="auto"/>
                    <w:left w:val="single" w:sz="4" w:space="0" w:color="auto"/>
                    <w:bottom w:val="single" w:sz="4" w:space="0" w:color="auto"/>
                    <w:right w:val="single" w:sz="4" w:space="0" w:color="auto"/>
                  </w:tcBorders>
                  <w:vAlign w:val="center"/>
                </w:tcPr>
                <w:p w:rsidR="004473C2" w:rsidRPr="00CD524A" w:rsidRDefault="004473C2" w:rsidP="004473C2">
                  <w:pPr>
                    <w:jc w:val="center"/>
                    <w:rPr>
                      <w:noProof/>
                      <w:sz w:val="20"/>
                      <w:szCs w:val="20"/>
                    </w:rPr>
                  </w:pPr>
                  <w:r w:rsidRPr="00CD524A">
                    <w:rPr>
                      <w:noProof/>
                      <w:sz w:val="20"/>
                      <w:szCs w:val="20"/>
                    </w:rPr>
                    <w:t xml:space="preserve">2008.gadā </w:t>
                  </w:r>
                </w:p>
              </w:tc>
              <w:tc>
                <w:tcPr>
                  <w:tcW w:w="1985" w:type="dxa"/>
                  <w:tcBorders>
                    <w:top w:val="single" w:sz="4" w:space="0" w:color="auto"/>
                    <w:left w:val="single" w:sz="4" w:space="0" w:color="auto"/>
                    <w:bottom w:val="single" w:sz="4" w:space="0" w:color="auto"/>
                    <w:right w:val="single" w:sz="4" w:space="0" w:color="auto"/>
                  </w:tcBorders>
                  <w:vAlign w:val="center"/>
                </w:tcPr>
                <w:p w:rsidR="004473C2" w:rsidRPr="00CD524A" w:rsidRDefault="001510EF" w:rsidP="004473C2">
                  <w:pPr>
                    <w:jc w:val="center"/>
                    <w:rPr>
                      <w:noProof/>
                      <w:sz w:val="20"/>
                      <w:szCs w:val="20"/>
                    </w:rPr>
                  </w:pPr>
                  <w:r w:rsidRPr="00CD524A">
                    <w:rPr>
                      <w:noProof/>
                      <w:sz w:val="20"/>
                      <w:szCs w:val="20"/>
                    </w:rPr>
                    <w:t>10 gadi</w:t>
                  </w:r>
                </w:p>
              </w:tc>
              <w:tc>
                <w:tcPr>
                  <w:tcW w:w="1960" w:type="dxa"/>
                  <w:tcBorders>
                    <w:top w:val="single" w:sz="4" w:space="0" w:color="auto"/>
                    <w:left w:val="single" w:sz="4" w:space="0" w:color="auto"/>
                    <w:bottom w:val="single" w:sz="4" w:space="0" w:color="auto"/>
                    <w:right w:val="single" w:sz="4" w:space="0" w:color="auto"/>
                  </w:tcBorders>
                  <w:vAlign w:val="center"/>
                </w:tcPr>
                <w:p w:rsidR="004473C2" w:rsidRPr="00CD524A" w:rsidRDefault="001510EF" w:rsidP="004473C2">
                  <w:pPr>
                    <w:jc w:val="center"/>
                    <w:rPr>
                      <w:noProof/>
                      <w:sz w:val="20"/>
                      <w:szCs w:val="20"/>
                    </w:rPr>
                  </w:pPr>
                  <w:r w:rsidRPr="00CD524A">
                    <w:rPr>
                      <w:noProof/>
                      <w:sz w:val="20"/>
                      <w:szCs w:val="20"/>
                    </w:rPr>
                    <w:t>10 931</w:t>
                  </w:r>
                </w:p>
              </w:tc>
            </w:tr>
            <w:tr w:rsidR="004473C2" w:rsidRPr="00CD524A" w:rsidTr="001803D7">
              <w:trPr>
                <w:trHeight w:val="227"/>
              </w:trPr>
              <w:tc>
                <w:tcPr>
                  <w:tcW w:w="1984" w:type="dxa"/>
                  <w:tcBorders>
                    <w:top w:val="single" w:sz="4" w:space="0" w:color="auto"/>
                    <w:left w:val="single" w:sz="4" w:space="0" w:color="auto"/>
                    <w:bottom w:val="single" w:sz="4" w:space="0" w:color="auto"/>
                    <w:right w:val="single" w:sz="4" w:space="0" w:color="auto"/>
                  </w:tcBorders>
                  <w:vAlign w:val="center"/>
                </w:tcPr>
                <w:p w:rsidR="004473C2" w:rsidRPr="00CD524A" w:rsidRDefault="004473C2" w:rsidP="004473C2">
                  <w:pPr>
                    <w:jc w:val="center"/>
                    <w:rPr>
                      <w:noProof/>
                      <w:sz w:val="20"/>
                      <w:szCs w:val="20"/>
                    </w:rPr>
                  </w:pPr>
                  <w:r w:rsidRPr="00CD524A">
                    <w:rPr>
                      <w:noProof/>
                      <w:sz w:val="20"/>
                      <w:szCs w:val="20"/>
                    </w:rPr>
                    <w:t>2009.gadā</w:t>
                  </w:r>
                </w:p>
              </w:tc>
              <w:tc>
                <w:tcPr>
                  <w:tcW w:w="1985" w:type="dxa"/>
                  <w:tcBorders>
                    <w:top w:val="single" w:sz="4" w:space="0" w:color="auto"/>
                    <w:left w:val="single" w:sz="4" w:space="0" w:color="auto"/>
                    <w:bottom w:val="single" w:sz="4" w:space="0" w:color="auto"/>
                    <w:right w:val="single" w:sz="4" w:space="0" w:color="auto"/>
                  </w:tcBorders>
                  <w:vAlign w:val="center"/>
                </w:tcPr>
                <w:p w:rsidR="004473C2" w:rsidRPr="00CD524A" w:rsidRDefault="001510EF" w:rsidP="004473C2">
                  <w:pPr>
                    <w:jc w:val="center"/>
                    <w:rPr>
                      <w:noProof/>
                      <w:sz w:val="20"/>
                      <w:szCs w:val="20"/>
                    </w:rPr>
                  </w:pPr>
                  <w:r w:rsidRPr="00CD524A">
                    <w:rPr>
                      <w:noProof/>
                      <w:sz w:val="20"/>
                      <w:szCs w:val="20"/>
                    </w:rPr>
                    <w:t>9 gadi</w:t>
                  </w:r>
                </w:p>
              </w:tc>
              <w:tc>
                <w:tcPr>
                  <w:tcW w:w="1960" w:type="dxa"/>
                  <w:tcBorders>
                    <w:top w:val="single" w:sz="4" w:space="0" w:color="auto"/>
                    <w:left w:val="single" w:sz="4" w:space="0" w:color="auto"/>
                    <w:bottom w:val="single" w:sz="4" w:space="0" w:color="auto"/>
                    <w:right w:val="single" w:sz="4" w:space="0" w:color="auto"/>
                  </w:tcBorders>
                  <w:vAlign w:val="center"/>
                </w:tcPr>
                <w:p w:rsidR="004473C2" w:rsidRPr="00CD524A" w:rsidRDefault="001510EF" w:rsidP="004473C2">
                  <w:pPr>
                    <w:jc w:val="center"/>
                    <w:rPr>
                      <w:noProof/>
                      <w:sz w:val="20"/>
                      <w:szCs w:val="20"/>
                    </w:rPr>
                  </w:pPr>
                  <w:r w:rsidRPr="00CD524A">
                    <w:rPr>
                      <w:noProof/>
                      <w:sz w:val="20"/>
                      <w:szCs w:val="20"/>
                    </w:rPr>
                    <w:t>15 185</w:t>
                  </w:r>
                </w:p>
              </w:tc>
            </w:tr>
            <w:tr w:rsidR="004473C2" w:rsidRPr="00CD524A" w:rsidTr="001803D7">
              <w:trPr>
                <w:trHeight w:val="227"/>
              </w:trPr>
              <w:tc>
                <w:tcPr>
                  <w:tcW w:w="1984" w:type="dxa"/>
                  <w:tcBorders>
                    <w:top w:val="single" w:sz="4" w:space="0" w:color="auto"/>
                    <w:left w:val="single" w:sz="4" w:space="0" w:color="auto"/>
                    <w:bottom w:val="single" w:sz="4" w:space="0" w:color="auto"/>
                    <w:right w:val="single" w:sz="4" w:space="0" w:color="auto"/>
                  </w:tcBorders>
                  <w:vAlign w:val="center"/>
                </w:tcPr>
                <w:p w:rsidR="004473C2" w:rsidRPr="00CD524A" w:rsidRDefault="004473C2" w:rsidP="004473C2">
                  <w:pPr>
                    <w:jc w:val="center"/>
                    <w:rPr>
                      <w:noProof/>
                      <w:sz w:val="20"/>
                      <w:szCs w:val="20"/>
                    </w:rPr>
                  </w:pPr>
                  <w:r w:rsidRPr="00CD524A">
                    <w:rPr>
                      <w:noProof/>
                      <w:sz w:val="20"/>
                      <w:szCs w:val="20"/>
                    </w:rPr>
                    <w:t>2010.gadā</w:t>
                  </w:r>
                </w:p>
              </w:tc>
              <w:tc>
                <w:tcPr>
                  <w:tcW w:w="1985" w:type="dxa"/>
                  <w:tcBorders>
                    <w:top w:val="single" w:sz="4" w:space="0" w:color="auto"/>
                    <w:left w:val="single" w:sz="4" w:space="0" w:color="auto"/>
                    <w:bottom w:val="single" w:sz="4" w:space="0" w:color="auto"/>
                    <w:right w:val="single" w:sz="4" w:space="0" w:color="auto"/>
                  </w:tcBorders>
                  <w:vAlign w:val="center"/>
                </w:tcPr>
                <w:p w:rsidR="004473C2" w:rsidRPr="00CD524A" w:rsidRDefault="001510EF" w:rsidP="004473C2">
                  <w:pPr>
                    <w:jc w:val="center"/>
                    <w:rPr>
                      <w:noProof/>
                      <w:sz w:val="20"/>
                      <w:szCs w:val="20"/>
                    </w:rPr>
                  </w:pPr>
                  <w:r w:rsidRPr="00CD524A">
                    <w:rPr>
                      <w:noProof/>
                      <w:sz w:val="20"/>
                      <w:szCs w:val="20"/>
                    </w:rPr>
                    <w:t>8 gadi</w:t>
                  </w:r>
                </w:p>
              </w:tc>
              <w:tc>
                <w:tcPr>
                  <w:tcW w:w="1960" w:type="dxa"/>
                  <w:tcBorders>
                    <w:top w:val="single" w:sz="4" w:space="0" w:color="auto"/>
                    <w:left w:val="single" w:sz="4" w:space="0" w:color="auto"/>
                    <w:bottom w:val="single" w:sz="4" w:space="0" w:color="auto"/>
                    <w:right w:val="single" w:sz="4" w:space="0" w:color="auto"/>
                  </w:tcBorders>
                  <w:vAlign w:val="center"/>
                </w:tcPr>
                <w:p w:rsidR="004473C2" w:rsidRPr="00CD524A" w:rsidRDefault="001510EF" w:rsidP="004473C2">
                  <w:pPr>
                    <w:jc w:val="center"/>
                    <w:rPr>
                      <w:noProof/>
                      <w:sz w:val="20"/>
                      <w:szCs w:val="20"/>
                    </w:rPr>
                  </w:pPr>
                  <w:r w:rsidRPr="00CD524A">
                    <w:rPr>
                      <w:noProof/>
                      <w:sz w:val="20"/>
                      <w:szCs w:val="20"/>
                    </w:rPr>
                    <w:t>19 080</w:t>
                  </w:r>
                </w:p>
              </w:tc>
            </w:tr>
            <w:tr w:rsidR="004473C2" w:rsidRPr="00CD524A" w:rsidTr="001803D7">
              <w:trPr>
                <w:trHeight w:val="227"/>
              </w:trPr>
              <w:tc>
                <w:tcPr>
                  <w:tcW w:w="1984" w:type="dxa"/>
                  <w:tcBorders>
                    <w:top w:val="single" w:sz="4" w:space="0" w:color="auto"/>
                    <w:left w:val="single" w:sz="4" w:space="0" w:color="auto"/>
                    <w:bottom w:val="single" w:sz="4" w:space="0" w:color="auto"/>
                    <w:right w:val="single" w:sz="4" w:space="0" w:color="auto"/>
                  </w:tcBorders>
                  <w:vAlign w:val="center"/>
                </w:tcPr>
                <w:p w:rsidR="004473C2" w:rsidRPr="00CD524A" w:rsidRDefault="004473C2" w:rsidP="004473C2">
                  <w:pPr>
                    <w:jc w:val="center"/>
                    <w:rPr>
                      <w:noProof/>
                      <w:sz w:val="20"/>
                      <w:szCs w:val="20"/>
                    </w:rPr>
                  </w:pPr>
                  <w:r w:rsidRPr="00CD524A">
                    <w:rPr>
                      <w:noProof/>
                      <w:sz w:val="20"/>
                      <w:szCs w:val="20"/>
                    </w:rPr>
                    <w:t>2011.gadā</w:t>
                  </w:r>
                </w:p>
              </w:tc>
              <w:tc>
                <w:tcPr>
                  <w:tcW w:w="1985" w:type="dxa"/>
                  <w:tcBorders>
                    <w:top w:val="single" w:sz="4" w:space="0" w:color="auto"/>
                    <w:left w:val="single" w:sz="4" w:space="0" w:color="auto"/>
                    <w:bottom w:val="single" w:sz="4" w:space="0" w:color="auto"/>
                    <w:right w:val="single" w:sz="4" w:space="0" w:color="auto"/>
                  </w:tcBorders>
                  <w:vAlign w:val="center"/>
                </w:tcPr>
                <w:p w:rsidR="004473C2" w:rsidRPr="00CD524A" w:rsidRDefault="001510EF" w:rsidP="004473C2">
                  <w:pPr>
                    <w:jc w:val="center"/>
                    <w:rPr>
                      <w:noProof/>
                      <w:sz w:val="20"/>
                      <w:szCs w:val="20"/>
                    </w:rPr>
                  </w:pPr>
                  <w:r w:rsidRPr="00CD524A">
                    <w:rPr>
                      <w:noProof/>
                      <w:sz w:val="20"/>
                      <w:szCs w:val="20"/>
                    </w:rPr>
                    <w:t>7 gadi</w:t>
                  </w:r>
                </w:p>
              </w:tc>
              <w:tc>
                <w:tcPr>
                  <w:tcW w:w="1960" w:type="dxa"/>
                  <w:tcBorders>
                    <w:top w:val="single" w:sz="4" w:space="0" w:color="auto"/>
                    <w:left w:val="single" w:sz="4" w:space="0" w:color="auto"/>
                    <w:bottom w:val="single" w:sz="4" w:space="0" w:color="auto"/>
                    <w:right w:val="single" w:sz="4" w:space="0" w:color="auto"/>
                  </w:tcBorders>
                  <w:vAlign w:val="center"/>
                </w:tcPr>
                <w:p w:rsidR="004473C2" w:rsidRPr="00CD524A" w:rsidRDefault="001510EF" w:rsidP="004473C2">
                  <w:pPr>
                    <w:jc w:val="center"/>
                    <w:rPr>
                      <w:noProof/>
                      <w:sz w:val="20"/>
                      <w:szCs w:val="20"/>
                    </w:rPr>
                  </w:pPr>
                  <w:r w:rsidRPr="00CD524A">
                    <w:rPr>
                      <w:noProof/>
                      <w:sz w:val="20"/>
                      <w:szCs w:val="20"/>
                    </w:rPr>
                    <w:t>17 341</w:t>
                  </w:r>
                </w:p>
              </w:tc>
            </w:tr>
            <w:tr w:rsidR="004473C2" w:rsidRPr="00CD524A" w:rsidTr="001803D7">
              <w:trPr>
                <w:trHeight w:val="283"/>
              </w:trPr>
              <w:tc>
                <w:tcPr>
                  <w:tcW w:w="1984" w:type="dxa"/>
                  <w:tcBorders>
                    <w:top w:val="single" w:sz="4" w:space="0" w:color="auto"/>
                  </w:tcBorders>
                  <w:vAlign w:val="center"/>
                </w:tcPr>
                <w:p w:rsidR="004473C2" w:rsidRPr="00CD524A" w:rsidRDefault="004473C2" w:rsidP="004473C2">
                  <w:pPr>
                    <w:jc w:val="center"/>
                    <w:rPr>
                      <w:b/>
                      <w:noProof/>
                      <w:sz w:val="20"/>
                      <w:szCs w:val="20"/>
                    </w:rPr>
                  </w:pPr>
                  <w:r w:rsidRPr="00CD524A">
                    <w:rPr>
                      <w:b/>
                      <w:noProof/>
                      <w:sz w:val="20"/>
                      <w:szCs w:val="20"/>
                    </w:rPr>
                    <w:t>K</w:t>
                  </w:r>
                  <w:r w:rsidR="001510EF" w:rsidRPr="00CD524A">
                    <w:rPr>
                      <w:b/>
                      <w:noProof/>
                      <w:sz w:val="20"/>
                      <w:szCs w:val="20"/>
                    </w:rPr>
                    <w:t>OPĀ periodā</w:t>
                  </w:r>
                </w:p>
              </w:tc>
              <w:tc>
                <w:tcPr>
                  <w:tcW w:w="1985" w:type="dxa"/>
                  <w:tcBorders>
                    <w:top w:val="single" w:sz="4" w:space="0" w:color="auto"/>
                  </w:tcBorders>
                  <w:vAlign w:val="center"/>
                </w:tcPr>
                <w:p w:rsidR="004473C2" w:rsidRPr="00CD524A" w:rsidRDefault="004473C2" w:rsidP="004473C2">
                  <w:pPr>
                    <w:jc w:val="center"/>
                    <w:rPr>
                      <w:b/>
                      <w:noProof/>
                      <w:sz w:val="20"/>
                      <w:szCs w:val="20"/>
                    </w:rPr>
                  </w:pPr>
                </w:p>
              </w:tc>
              <w:tc>
                <w:tcPr>
                  <w:tcW w:w="1960" w:type="dxa"/>
                  <w:tcBorders>
                    <w:top w:val="single" w:sz="4" w:space="0" w:color="auto"/>
                  </w:tcBorders>
                  <w:vAlign w:val="center"/>
                </w:tcPr>
                <w:p w:rsidR="004473C2" w:rsidRPr="00CD524A" w:rsidRDefault="001510EF" w:rsidP="004473C2">
                  <w:pPr>
                    <w:jc w:val="center"/>
                    <w:rPr>
                      <w:b/>
                      <w:noProof/>
                      <w:sz w:val="20"/>
                      <w:szCs w:val="20"/>
                    </w:rPr>
                  </w:pPr>
                  <w:r w:rsidRPr="00CD524A">
                    <w:rPr>
                      <w:b/>
                      <w:noProof/>
                      <w:sz w:val="20"/>
                      <w:szCs w:val="20"/>
                    </w:rPr>
                    <w:t>62 537</w:t>
                  </w:r>
                </w:p>
              </w:tc>
            </w:tr>
          </w:tbl>
          <w:p w:rsidR="00F506D5" w:rsidRPr="00CD524A" w:rsidRDefault="00F506D5" w:rsidP="000D2AE7">
            <w:pPr>
              <w:spacing w:before="120"/>
              <w:ind w:left="266"/>
              <w:jc w:val="both"/>
              <w:rPr>
                <w:noProof/>
                <w:sz w:val="20"/>
                <w:szCs w:val="20"/>
              </w:rPr>
            </w:pPr>
            <w:r w:rsidRPr="00CD524A">
              <w:rPr>
                <w:noProof/>
                <w:sz w:val="20"/>
                <w:szCs w:val="20"/>
              </w:rPr>
              <w:t xml:space="preserve">* Slimību profilakses un kontroles centra dati </w:t>
            </w:r>
          </w:p>
          <w:p w:rsidR="004473C2" w:rsidRPr="00CD524A" w:rsidRDefault="005F60CC" w:rsidP="003B36C5">
            <w:pPr>
              <w:spacing w:before="120"/>
              <w:ind w:left="43"/>
              <w:jc w:val="both"/>
              <w:rPr>
                <w:noProof/>
              </w:rPr>
            </w:pPr>
            <w:r w:rsidRPr="00CD524A">
              <w:rPr>
                <w:noProof/>
              </w:rPr>
              <w:t>Ņemot vērā, ka daļa bērnu, kas saņēmuši vakcīnas pirmo devu, tomēr būs jau vējbakas izslimojuši, prognozējamā vakcinācijas aptvere otrajai devai ir 80% no pirmo devu saņēmušo bērnu kopskaita. Līdz ar to vakcinējamo bērnu skaits otrajai devai 2017.gadā:</w:t>
            </w:r>
          </w:p>
          <w:p w:rsidR="005F60CC" w:rsidRPr="00CD524A" w:rsidRDefault="005F60CC" w:rsidP="00DE1297">
            <w:pPr>
              <w:ind w:left="45"/>
              <w:jc w:val="both"/>
              <w:rPr>
                <w:noProof/>
              </w:rPr>
            </w:pPr>
            <w:r w:rsidRPr="00CD524A">
              <w:rPr>
                <w:noProof/>
              </w:rPr>
              <w:t xml:space="preserve">62 537 × 80% = </w:t>
            </w:r>
            <w:r w:rsidRPr="00CD524A">
              <w:rPr>
                <w:b/>
                <w:noProof/>
              </w:rPr>
              <w:t>50 030 bērni</w:t>
            </w:r>
          </w:p>
          <w:p w:rsidR="005F60CC" w:rsidRPr="00CD524A" w:rsidRDefault="005F60CC" w:rsidP="00DE1297">
            <w:pPr>
              <w:ind w:left="45"/>
              <w:jc w:val="both"/>
              <w:rPr>
                <w:noProof/>
              </w:rPr>
            </w:pPr>
            <w:r w:rsidRPr="00CD524A">
              <w:rPr>
                <w:noProof/>
              </w:rPr>
              <w:t>Papildu nepieciešamie līdzekļi:</w:t>
            </w:r>
          </w:p>
          <w:p w:rsidR="004746BB" w:rsidRPr="00CD524A" w:rsidRDefault="005F60CC" w:rsidP="00DE1297">
            <w:pPr>
              <w:ind w:left="45"/>
              <w:jc w:val="both"/>
              <w:rPr>
                <w:noProof/>
              </w:rPr>
            </w:pPr>
            <w:r w:rsidRPr="00CD524A">
              <w:rPr>
                <w:noProof/>
              </w:rPr>
              <w:t xml:space="preserve">24,70 </w:t>
            </w:r>
            <w:r w:rsidRPr="00CD524A">
              <w:rPr>
                <w:i/>
                <w:noProof/>
              </w:rPr>
              <w:t>euro</w:t>
            </w:r>
            <w:r w:rsidRPr="00CD524A">
              <w:rPr>
                <w:noProof/>
              </w:rPr>
              <w:t xml:space="preserve"> × 50 030 = </w:t>
            </w:r>
            <w:r w:rsidRPr="00CD524A">
              <w:rPr>
                <w:b/>
                <w:noProof/>
              </w:rPr>
              <w:t xml:space="preserve">1 235 741 </w:t>
            </w:r>
            <w:r w:rsidRPr="00CD524A">
              <w:rPr>
                <w:b/>
                <w:i/>
                <w:noProof/>
              </w:rPr>
              <w:t>euro</w:t>
            </w:r>
          </w:p>
          <w:p w:rsidR="005F60CC" w:rsidRPr="00CD524A" w:rsidRDefault="004746BB" w:rsidP="003B36C5">
            <w:pPr>
              <w:spacing w:before="120"/>
              <w:ind w:left="43"/>
              <w:jc w:val="both"/>
              <w:rPr>
                <w:noProof/>
              </w:rPr>
            </w:pPr>
            <w:r w:rsidRPr="00CD524A">
              <w:rPr>
                <w:b/>
                <w:noProof/>
              </w:rPr>
              <w:t>2018.gadam</w:t>
            </w:r>
            <w:r w:rsidRPr="00CD524A">
              <w:rPr>
                <w:noProof/>
              </w:rPr>
              <w:t>:</w:t>
            </w:r>
          </w:p>
          <w:p w:rsidR="004746BB" w:rsidRPr="00CD524A" w:rsidRDefault="004746BB" w:rsidP="003B36C5">
            <w:pPr>
              <w:spacing w:before="120"/>
              <w:ind w:left="43"/>
              <w:jc w:val="both"/>
              <w:rPr>
                <w:noProof/>
              </w:rPr>
            </w:pPr>
            <w:r w:rsidRPr="00CD524A">
              <w:rPr>
                <w:noProof/>
              </w:rPr>
              <w:t>Vakcinējamo bērnu skaits, kuri 2018.gadā būs sasnieguši 7 gadu vecumu, tiek aprēķināts, pamatojoties uz faktisko bērnu skaitu, kas saņēmuši pirmo vakcīnas devu 2012.gadā - 14 412</w:t>
            </w:r>
          </w:p>
          <w:p w:rsidR="004746BB" w:rsidRPr="00CD524A" w:rsidRDefault="00C24436" w:rsidP="00DE1297">
            <w:pPr>
              <w:ind w:left="45"/>
              <w:jc w:val="both"/>
              <w:rPr>
                <w:noProof/>
              </w:rPr>
            </w:pPr>
            <w:r w:rsidRPr="00CD524A">
              <w:rPr>
                <w:noProof/>
              </w:rPr>
              <w:t>Rēķinot</w:t>
            </w:r>
            <w:r w:rsidR="004746BB" w:rsidRPr="00CD524A">
              <w:rPr>
                <w:noProof/>
              </w:rPr>
              <w:t xml:space="preserve"> 80% aptver</w:t>
            </w:r>
            <w:r w:rsidRPr="00CD524A">
              <w:rPr>
                <w:noProof/>
              </w:rPr>
              <w:t>i</w:t>
            </w:r>
            <w:r w:rsidR="004746BB" w:rsidRPr="00CD524A">
              <w:rPr>
                <w:noProof/>
              </w:rPr>
              <w:t xml:space="preserve">:  14 412 × 80% = </w:t>
            </w:r>
            <w:r w:rsidR="004746BB" w:rsidRPr="00CD524A">
              <w:rPr>
                <w:b/>
                <w:noProof/>
              </w:rPr>
              <w:t>11 530 bērni</w:t>
            </w:r>
            <w:r w:rsidR="004746BB" w:rsidRPr="00CD524A">
              <w:rPr>
                <w:noProof/>
              </w:rPr>
              <w:t xml:space="preserve"> </w:t>
            </w:r>
          </w:p>
          <w:p w:rsidR="004746BB" w:rsidRPr="00CD524A" w:rsidRDefault="004746BB" w:rsidP="00DE1297">
            <w:pPr>
              <w:ind w:left="45"/>
              <w:jc w:val="both"/>
              <w:rPr>
                <w:noProof/>
              </w:rPr>
            </w:pPr>
            <w:r w:rsidRPr="00CD524A">
              <w:rPr>
                <w:noProof/>
              </w:rPr>
              <w:t>Papildus nepieciešamie līdzekļi:</w:t>
            </w:r>
          </w:p>
          <w:p w:rsidR="004746BB" w:rsidRPr="00CD524A" w:rsidRDefault="004746BB" w:rsidP="00DE1297">
            <w:pPr>
              <w:ind w:left="45"/>
              <w:jc w:val="both"/>
              <w:rPr>
                <w:noProof/>
              </w:rPr>
            </w:pPr>
            <w:r w:rsidRPr="00CD524A">
              <w:rPr>
                <w:noProof/>
              </w:rPr>
              <w:t xml:space="preserve">24,70 </w:t>
            </w:r>
            <w:r w:rsidRPr="00CD524A">
              <w:rPr>
                <w:i/>
                <w:noProof/>
              </w:rPr>
              <w:t>euro</w:t>
            </w:r>
            <w:r w:rsidRPr="00CD524A">
              <w:rPr>
                <w:noProof/>
              </w:rPr>
              <w:t xml:space="preserve"> × 11 530 = </w:t>
            </w:r>
            <w:r w:rsidRPr="00CD524A">
              <w:rPr>
                <w:b/>
                <w:noProof/>
              </w:rPr>
              <w:t xml:space="preserve">284 791 </w:t>
            </w:r>
            <w:r w:rsidRPr="00CD524A">
              <w:rPr>
                <w:b/>
                <w:i/>
                <w:noProof/>
              </w:rPr>
              <w:t>euro</w:t>
            </w:r>
          </w:p>
          <w:p w:rsidR="004473C2" w:rsidRPr="00CD524A" w:rsidRDefault="004746BB" w:rsidP="003B36C5">
            <w:pPr>
              <w:spacing w:before="120"/>
              <w:ind w:left="43"/>
              <w:rPr>
                <w:noProof/>
              </w:rPr>
            </w:pPr>
            <w:r w:rsidRPr="00CD524A">
              <w:rPr>
                <w:b/>
                <w:noProof/>
              </w:rPr>
              <w:t>2019.gadam</w:t>
            </w:r>
            <w:r w:rsidRPr="00CD524A">
              <w:rPr>
                <w:noProof/>
              </w:rPr>
              <w:t>:</w:t>
            </w:r>
          </w:p>
          <w:p w:rsidR="004473C2" w:rsidRPr="00CD524A" w:rsidRDefault="00C24436" w:rsidP="003B36C5">
            <w:pPr>
              <w:spacing w:before="120"/>
              <w:ind w:left="43"/>
              <w:jc w:val="both"/>
              <w:rPr>
                <w:noProof/>
              </w:rPr>
            </w:pPr>
            <w:r w:rsidRPr="00CD524A">
              <w:rPr>
                <w:noProof/>
              </w:rPr>
              <w:t xml:space="preserve">Vakcinējamo bērnu skaits, kuri 2019.gadā būs sasnieguši 7 gadu vecumu, jābalsta uz 2013.gada datiem par bērnu skaitu, kas saņēmuši pirmo vakcīnas devu, kuri vēl nav zināmi, taču </w:t>
            </w:r>
            <w:r w:rsidR="00C66E9C" w:rsidRPr="00CD524A">
              <w:rPr>
                <w:noProof/>
              </w:rPr>
              <w:t>9</w:t>
            </w:r>
            <w:r w:rsidRPr="00CD524A">
              <w:rPr>
                <w:noProof/>
              </w:rPr>
              <w:t xml:space="preserve"> mēnešu fakts liecina, ka situācija gada beigās varētu būt tuva 2012.gadam. Līdz ar to šobrīd var pieņemt, ka 2019.gadā būs nepieciešams tāds pats papildu finansējums kā 2018.gadā.</w:t>
            </w:r>
          </w:p>
          <w:p w:rsidR="000D2AE7" w:rsidRPr="00CD524A" w:rsidRDefault="005F60CC" w:rsidP="003B36C5">
            <w:pPr>
              <w:spacing w:before="120" w:after="120"/>
              <w:ind w:left="43"/>
              <w:jc w:val="both"/>
              <w:rPr>
                <w:noProof/>
              </w:rPr>
            </w:pPr>
            <w:r w:rsidRPr="00CD524A">
              <w:rPr>
                <w:noProof/>
              </w:rPr>
              <w:lastRenderedPageBreak/>
              <w:t>N</w:t>
            </w:r>
            <w:r w:rsidR="000D2AE7" w:rsidRPr="00CD524A">
              <w:rPr>
                <w:noProof/>
              </w:rPr>
              <w:t xml:space="preserve">epieciešams papildus </w:t>
            </w:r>
            <w:r w:rsidR="00772BC2" w:rsidRPr="00CD524A">
              <w:rPr>
                <w:noProof/>
              </w:rPr>
              <w:t>p</w:t>
            </w:r>
            <w:r w:rsidR="000D2AE7" w:rsidRPr="00CD524A">
              <w:rPr>
                <w:noProof/>
              </w:rPr>
              <w:t>rojekta izpildei:</w:t>
            </w:r>
          </w:p>
          <w:p w:rsidR="005F60CC" w:rsidRPr="00CD524A" w:rsidRDefault="005F60CC" w:rsidP="003B36C5">
            <w:pPr>
              <w:spacing w:before="60"/>
              <w:ind w:left="43"/>
              <w:jc w:val="both"/>
              <w:rPr>
                <w:b/>
                <w:noProof/>
              </w:rPr>
            </w:pPr>
            <w:r w:rsidRPr="00CD524A">
              <w:rPr>
                <w:b/>
                <w:noProof/>
              </w:rPr>
              <w:t>2014.-2016.gadā papildu līdzekļi nav nepieciešami</w:t>
            </w:r>
          </w:p>
          <w:p w:rsidR="000D2AE7" w:rsidRPr="00CD524A" w:rsidRDefault="000D2AE7" w:rsidP="003B36C5">
            <w:pPr>
              <w:spacing w:before="60"/>
              <w:ind w:left="43"/>
              <w:jc w:val="both"/>
              <w:rPr>
                <w:b/>
                <w:noProof/>
              </w:rPr>
            </w:pPr>
            <w:r w:rsidRPr="00CD524A">
              <w:rPr>
                <w:b/>
                <w:noProof/>
              </w:rPr>
              <w:t>201</w:t>
            </w:r>
            <w:r w:rsidR="005F60CC" w:rsidRPr="00CD524A">
              <w:rPr>
                <w:b/>
                <w:noProof/>
              </w:rPr>
              <w:t>7</w:t>
            </w:r>
            <w:r w:rsidRPr="00CD524A">
              <w:rPr>
                <w:b/>
                <w:noProof/>
              </w:rPr>
              <w:t xml:space="preserve">.gadā: </w:t>
            </w:r>
            <w:r w:rsidR="004746BB" w:rsidRPr="00CD524A">
              <w:rPr>
                <w:b/>
                <w:noProof/>
              </w:rPr>
              <w:t>1 235 741 </w:t>
            </w:r>
            <w:r w:rsidR="004746BB" w:rsidRPr="00CD524A">
              <w:rPr>
                <w:b/>
                <w:i/>
                <w:noProof/>
              </w:rPr>
              <w:t>euro</w:t>
            </w:r>
          </w:p>
          <w:p w:rsidR="000D2AE7" w:rsidRPr="00CD524A" w:rsidRDefault="000D2AE7" w:rsidP="003B36C5">
            <w:pPr>
              <w:spacing w:before="60"/>
              <w:ind w:left="43"/>
              <w:jc w:val="both"/>
              <w:rPr>
                <w:b/>
                <w:noProof/>
              </w:rPr>
            </w:pPr>
            <w:r w:rsidRPr="00CD524A">
              <w:rPr>
                <w:b/>
                <w:noProof/>
              </w:rPr>
              <w:t>201</w:t>
            </w:r>
            <w:r w:rsidR="005F60CC" w:rsidRPr="00CD524A">
              <w:rPr>
                <w:b/>
                <w:noProof/>
              </w:rPr>
              <w:t>8</w:t>
            </w:r>
            <w:r w:rsidRPr="00CD524A">
              <w:rPr>
                <w:b/>
                <w:noProof/>
              </w:rPr>
              <w:t>.gadā:  28</w:t>
            </w:r>
            <w:r w:rsidR="00C24436" w:rsidRPr="00CD524A">
              <w:rPr>
                <w:b/>
                <w:noProof/>
              </w:rPr>
              <w:t>4</w:t>
            </w:r>
            <w:r w:rsidRPr="00CD524A">
              <w:rPr>
                <w:b/>
                <w:noProof/>
              </w:rPr>
              <w:t xml:space="preserve"> </w:t>
            </w:r>
            <w:r w:rsidR="00C24436" w:rsidRPr="00CD524A">
              <w:rPr>
                <w:b/>
                <w:noProof/>
              </w:rPr>
              <w:t>791</w:t>
            </w:r>
            <w:r w:rsidRPr="00CD524A">
              <w:rPr>
                <w:b/>
                <w:noProof/>
              </w:rPr>
              <w:t xml:space="preserve"> </w:t>
            </w:r>
            <w:r w:rsidR="00C24436" w:rsidRPr="00CD524A">
              <w:rPr>
                <w:b/>
                <w:i/>
                <w:noProof/>
              </w:rPr>
              <w:t>euro</w:t>
            </w:r>
          </w:p>
          <w:p w:rsidR="000D2AE7" w:rsidRPr="00CD524A" w:rsidRDefault="000D2AE7" w:rsidP="003B36C5">
            <w:pPr>
              <w:spacing w:before="60"/>
              <w:ind w:left="43"/>
              <w:jc w:val="both"/>
              <w:rPr>
                <w:noProof/>
              </w:rPr>
            </w:pPr>
            <w:r w:rsidRPr="00CD524A">
              <w:rPr>
                <w:b/>
                <w:noProof/>
              </w:rPr>
              <w:t>201</w:t>
            </w:r>
            <w:r w:rsidR="005F60CC" w:rsidRPr="00CD524A">
              <w:rPr>
                <w:b/>
                <w:noProof/>
              </w:rPr>
              <w:t>9</w:t>
            </w:r>
            <w:r w:rsidRPr="00CD524A">
              <w:rPr>
                <w:b/>
                <w:noProof/>
              </w:rPr>
              <w:t xml:space="preserve">.gadā:  </w:t>
            </w:r>
            <w:r w:rsidR="00C24436" w:rsidRPr="00CD524A">
              <w:rPr>
                <w:b/>
                <w:noProof/>
              </w:rPr>
              <w:t xml:space="preserve">284 791 </w:t>
            </w:r>
            <w:r w:rsidR="00C24436" w:rsidRPr="00CD524A">
              <w:rPr>
                <w:b/>
                <w:i/>
                <w:noProof/>
              </w:rPr>
              <w:t>euro</w:t>
            </w:r>
          </w:p>
          <w:p w:rsidR="000D2AE7" w:rsidRPr="00CD524A" w:rsidRDefault="000D2AE7" w:rsidP="003B36C5">
            <w:pPr>
              <w:ind w:left="43"/>
              <w:jc w:val="both"/>
            </w:pPr>
          </w:p>
          <w:p w:rsidR="001D2889" w:rsidRPr="00CD524A" w:rsidRDefault="001D2889" w:rsidP="003B36C5">
            <w:pPr>
              <w:ind w:left="43" w:right="142"/>
              <w:jc w:val="both"/>
              <w:rPr>
                <w:color w:val="000000"/>
              </w:rPr>
            </w:pPr>
            <w:r w:rsidRPr="00CD524A">
              <w:rPr>
                <w:color w:val="000000"/>
              </w:rPr>
              <w:t>Pirms Veselības ministrija aktualizēs nepieciešamā finansējuma apmēru bērnu vakcinācijai pret vējbakām (2.deva)</w:t>
            </w:r>
            <w:r w:rsidR="00C24436" w:rsidRPr="00CD524A">
              <w:rPr>
                <w:color w:val="000000"/>
              </w:rPr>
              <w:t xml:space="preserve"> no 2017.gada</w:t>
            </w:r>
            <w:r w:rsidRPr="00CD524A">
              <w:rPr>
                <w:color w:val="000000"/>
              </w:rPr>
              <w:t>, tā plāno ierosināt Imunizācijas valsts padomē izskatīt atkārtoti jautājumu par otrās devas pret vējb</w:t>
            </w:r>
            <w:r w:rsidR="00C24436" w:rsidRPr="00CD524A">
              <w:rPr>
                <w:color w:val="000000"/>
              </w:rPr>
              <w:t>akām  vakcinēšanas nosacījumiem.</w:t>
            </w:r>
            <w:r w:rsidRPr="00CD524A">
              <w:rPr>
                <w:color w:val="000000"/>
              </w:rPr>
              <w:t xml:space="preserve"> </w:t>
            </w:r>
          </w:p>
          <w:p w:rsidR="001D2889" w:rsidRPr="00CD524A" w:rsidRDefault="001D2889" w:rsidP="003B36C5">
            <w:pPr>
              <w:ind w:left="43"/>
              <w:jc w:val="both"/>
            </w:pPr>
          </w:p>
          <w:p w:rsidR="0056753E" w:rsidRPr="00DE1297" w:rsidRDefault="000D2AE7" w:rsidP="00DE1297">
            <w:pPr>
              <w:ind w:left="43"/>
              <w:jc w:val="both"/>
              <w:rPr>
                <w:u w:val="single"/>
              </w:rPr>
            </w:pPr>
            <w:r w:rsidRPr="00CD524A">
              <w:t>Papildus nepieciešamā finansējuma pieprasījums vakcinācijas pasākumu īstenošanai tiks iekļauts Veselības ministrijas jaunajās politikas iniciatīvās 201</w:t>
            </w:r>
            <w:r w:rsidR="00CF5391" w:rsidRPr="00CD524A">
              <w:t>7</w:t>
            </w:r>
            <w:r w:rsidRPr="00CD524A">
              <w:t>.-201</w:t>
            </w:r>
            <w:r w:rsidR="00CF5391" w:rsidRPr="00CD524A">
              <w:t>9</w:t>
            </w:r>
            <w:r w:rsidRPr="00CD524A">
              <w:t>.gadam</w:t>
            </w:r>
          </w:p>
        </w:tc>
      </w:tr>
      <w:tr w:rsidR="00C8098E" w:rsidRPr="001B7E4E" w:rsidTr="003B36C5">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C8098E" w:rsidRPr="001B7E4E" w:rsidRDefault="00C8098E" w:rsidP="005C0A93">
            <w:r w:rsidRPr="001B7E4E">
              <w:t>6.1. detalizēts ieņēmumu aprēķins</w:t>
            </w:r>
          </w:p>
        </w:tc>
        <w:tc>
          <w:tcPr>
            <w:tcW w:w="5898" w:type="dxa"/>
            <w:gridSpan w:val="5"/>
            <w:vMerge/>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5C0A93"/>
        </w:tc>
      </w:tr>
      <w:tr w:rsidR="00C8098E" w:rsidRPr="001B7E4E" w:rsidTr="003B36C5">
        <w:tblPrEx>
          <w:tblCellSpacing w:w="0" w:type="nil"/>
          <w:tblCellMar>
            <w:top w:w="30" w:type="dxa"/>
            <w:left w:w="30" w:type="dxa"/>
            <w:bottom w:w="30" w:type="dxa"/>
            <w:right w:w="30" w:type="dxa"/>
          </w:tblCellMar>
        </w:tblPrEx>
        <w:tc>
          <w:tcPr>
            <w:tcW w:w="0" w:type="auto"/>
            <w:tcBorders>
              <w:top w:val="outset" w:sz="6" w:space="0" w:color="auto"/>
              <w:left w:val="outset" w:sz="6" w:space="0" w:color="auto"/>
              <w:bottom w:val="outset" w:sz="6" w:space="0" w:color="auto"/>
              <w:right w:val="outset" w:sz="6" w:space="0" w:color="auto"/>
            </w:tcBorders>
            <w:hideMark/>
          </w:tcPr>
          <w:p w:rsidR="00C8098E" w:rsidRPr="001B7E4E" w:rsidRDefault="00C8098E" w:rsidP="005C0A93">
            <w:r w:rsidRPr="001B7E4E">
              <w:t>6.2. detalizēts izdevumu aprēķins</w:t>
            </w:r>
          </w:p>
        </w:tc>
        <w:tc>
          <w:tcPr>
            <w:tcW w:w="5898" w:type="dxa"/>
            <w:gridSpan w:val="5"/>
            <w:vMerge/>
            <w:tcBorders>
              <w:top w:val="outset" w:sz="6" w:space="0" w:color="auto"/>
              <w:left w:val="outset" w:sz="6" w:space="0" w:color="auto"/>
              <w:bottom w:val="outset" w:sz="6" w:space="0" w:color="auto"/>
              <w:right w:val="outset" w:sz="6" w:space="0" w:color="auto"/>
            </w:tcBorders>
            <w:vAlign w:val="center"/>
            <w:hideMark/>
          </w:tcPr>
          <w:p w:rsidR="00C8098E" w:rsidRPr="001B7E4E" w:rsidRDefault="00C8098E" w:rsidP="005C0A93"/>
        </w:tc>
      </w:tr>
      <w:tr w:rsidR="00C8098E" w:rsidRPr="001B7E4E" w:rsidTr="003B36C5">
        <w:tblPrEx>
          <w:tblCellSpacing w:w="0" w:type="nil"/>
          <w:tblCellMar>
            <w:top w:w="30" w:type="dxa"/>
            <w:left w:w="30" w:type="dxa"/>
            <w:bottom w:w="30" w:type="dxa"/>
            <w:right w:w="30" w:type="dxa"/>
          </w:tblCellMar>
        </w:tblPrEx>
        <w:trPr>
          <w:trHeight w:val="375"/>
        </w:trPr>
        <w:tc>
          <w:tcPr>
            <w:tcW w:w="0" w:type="auto"/>
            <w:tcBorders>
              <w:top w:val="outset" w:sz="6" w:space="0" w:color="auto"/>
              <w:left w:val="outset" w:sz="6" w:space="0" w:color="auto"/>
              <w:bottom w:val="single" w:sz="4" w:space="0" w:color="auto"/>
              <w:right w:val="outset" w:sz="6" w:space="0" w:color="auto"/>
            </w:tcBorders>
            <w:hideMark/>
          </w:tcPr>
          <w:p w:rsidR="00C8098E" w:rsidRPr="001B7E4E" w:rsidRDefault="00C8098E" w:rsidP="005C0A93">
            <w:r w:rsidRPr="001B7E4E">
              <w:lastRenderedPageBreak/>
              <w:t>7. Cita informācija</w:t>
            </w:r>
          </w:p>
        </w:tc>
        <w:tc>
          <w:tcPr>
            <w:tcW w:w="5898" w:type="dxa"/>
            <w:gridSpan w:val="5"/>
            <w:tcBorders>
              <w:top w:val="outset" w:sz="6" w:space="0" w:color="auto"/>
              <w:left w:val="outset" w:sz="6" w:space="0" w:color="auto"/>
              <w:bottom w:val="single" w:sz="4" w:space="0" w:color="auto"/>
              <w:right w:val="outset" w:sz="6" w:space="0" w:color="auto"/>
            </w:tcBorders>
            <w:hideMark/>
          </w:tcPr>
          <w:p w:rsidR="00C8098E" w:rsidRPr="00CD524A" w:rsidRDefault="007867F1" w:rsidP="00BD3B67">
            <w:pPr>
              <w:autoSpaceDE w:val="0"/>
              <w:autoSpaceDN w:val="0"/>
              <w:adjustRightInd w:val="0"/>
              <w:jc w:val="both"/>
            </w:pPr>
            <w:r w:rsidRPr="00CD524A">
              <w:t xml:space="preserve">Jautājums par papildu valsts budžeta līdzekļu piešķiršanu 2017.gadā un turpmākajos gados </w:t>
            </w:r>
            <w:r w:rsidR="0071376D" w:rsidRPr="00CD524A">
              <w:t xml:space="preserve">bērnu </w:t>
            </w:r>
            <w:r w:rsidRPr="00CD524A">
              <w:t xml:space="preserve"> vakcinācijai pret vējbakām </w:t>
            </w:r>
            <w:r w:rsidR="0071376D" w:rsidRPr="00CD524A">
              <w:t>(2.deva)</w:t>
            </w:r>
            <w:r w:rsidRPr="00CD524A">
              <w:t xml:space="preserve"> skatāms M</w:t>
            </w:r>
            <w:r w:rsidR="00772BC2" w:rsidRPr="00CD524A">
              <w:t>K</w:t>
            </w:r>
            <w:r w:rsidRPr="00CD524A">
              <w:t xml:space="preserve"> kārtējā gada valsts budžeta likumprojekta un </w:t>
            </w:r>
            <w:r w:rsidR="00C123D3" w:rsidRPr="00CD524A">
              <w:t xml:space="preserve">atbilstošā </w:t>
            </w:r>
            <w:r w:rsidRPr="00CD524A">
              <w:t>vidēja termiņa budžeta ietvara likumprojekta sagatavošanas un izskatīšanas procesā kopā ar visu ministriju un centrālo valsts iestāžu priekšlikumiem jaunajām politikas iniciatīvām un iesniegtajiem papildu finansējuma pieprasījumiem atbilstoši valsts budžeta finansiālajām iespējām</w:t>
            </w:r>
          </w:p>
        </w:tc>
      </w:tr>
      <w:tr w:rsidR="00C8098E" w:rsidRPr="001B7E4E" w:rsidTr="00052B4D">
        <w:trPr>
          <w:trHeight w:val="553"/>
          <w:tblCellSpacing w:w="0" w:type="dxa"/>
        </w:trPr>
        <w:tc>
          <w:tcPr>
            <w:tcW w:w="9116" w:type="dxa"/>
            <w:gridSpan w:val="6"/>
            <w:tcBorders>
              <w:top w:val="single" w:sz="4" w:space="0" w:color="auto"/>
              <w:left w:val="outset" w:sz="6" w:space="0" w:color="auto"/>
              <w:bottom w:val="outset" w:sz="6" w:space="0" w:color="auto"/>
              <w:right w:val="outset" w:sz="6" w:space="0" w:color="auto"/>
            </w:tcBorders>
            <w:hideMark/>
          </w:tcPr>
          <w:tbl>
            <w:tblPr>
              <w:tblW w:w="9194" w:type="dxa"/>
              <w:jc w:val="center"/>
              <w:tblCellSpacing w:w="0" w:type="dxa"/>
              <w:tblInd w:w="1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
              <w:gridCol w:w="2033"/>
              <w:gridCol w:w="714"/>
              <w:gridCol w:w="2238"/>
              <w:gridCol w:w="2097"/>
              <w:gridCol w:w="2043"/>
            </w:tblGrid>
            <w:tr w:rsidR="007C4B5C" w:rsidRPr="00DC6B71" w:rsidTr="00FB2CAF">
              <w:trPr>
                <w:tblCellSpacing w:w="0" w:type="dxa"/>
                <w:jc w:val="center"/>
              </w:trPr>
              <w:tc>
                <w:tcPr>
                  <w:tcW w:w="9194" w:type="dxa"/>
                  <w:gridSpan w:val="6"/>
                  <w:tcBorders>
                    <w:top w:val="outset" w:sz="6" w:space="0" w:color="auto"/>
                    <w:left w:val="outset" w:sz="6" w:space="0" w:color="auto"/>
                    <w:bottom w:val="outset" w:sz="6" w:space="0" w:color="auto"/>
                    <w:right w:val="outset" w:sz="6" w:space="0" w:color="auto"/>
                  </w:tcBorders>
                </w:tcPr>
                <w:p w:rsidR="00894A54" w:rsidRPr="00DC6B71" w:rsidRDefault="007C4B5C" w:rsidP="00894A54">
                  <w:pPr>
                    <w:spacing w:before="120" w:after="120"/>
                    <w:jc w:val="center"/>
                    <w:rPr>
                      <w:b/>
                    </w:rPr>
                  </w:pPr>
                  <w:r w:rsidRPr="00DC6B71">
                    <w:rPr>
                      <w:b/>
                    </w:rPr>
                    <w:t>V. Tiesību akta projekta atbilstība Latvijas Republikas starptautiskajām saistībām</w:t>
                  </w:r>
                </w:p>
              </w:tc>
            </w:tr>
            <w:tr w:rsidR="007C4B5C" w:rsidRPr="00DC6B71" w:rsidTr="00FB2CAF">
              <w:trPr>
                <w:gridBefore w:val="1"/>
                <w:wBefore w:w="69" w:type="dxa"/>
                <w:tblCellSpacing w:w="0" w:type="dxa"/>
                <w:jc w:val="center"/>
              </w:trPr>
              <w:tc>
                <w:tcPr>
                  <w:tcW w:w="2747" w:type="dxa"/>
                  <w:gridSpan w:val="2"/>
                  <w:tcBorders>
                    <w:top w:val="outset" w:sz="6" w:space="0" w:color="auto"/>
                    <w:left w:val="outset" w:sz="6" w:space="0" w:color="auto"/>
                    <w:bottom w:val="outset" w:sz="6" w:space="0" w:color="auto"/>
                    <w:right w:val="outset" w:sz="6" w:space="0" w:color="auto"/>
                  </w:tcBorders>
                </w:tcPr>
                <w:p w:rsidR="007C4B5C" w:rsidRPr="00DC6B71" w:rsidRDefault="007C4B5C" w:rsidP="007C4B5C">
                  <w:pPr>
                    <w:spacing w:before="100" w:beforeAutospacing="1" w:after="100" w:afterAutospacing="1"/>
                    <w:ind w:left="139"/>
                  </w:pPr>
                  <w:r w:rsidRPr="00DC6B71">
                    <w:t> Saistības pret Eiropas Savienību</w:t>
                  </w:r>
                </w:p>
              </w:tc>
              <w:tc>
                <w:tcPr>
                  <w:tcW w:w="6378" w:type="dxa"/>
                  <w:gridSpan w:val="3"/>
                  <w:tcBorders>
                    <w:top w:val="outset" w:sz="6" w:space="0" w:color="auto"/>
                    <w:left w:val="outset" w:sz="6" w:space="0" w:color="auto"/>
                    <w:bottom w:val="outset" w:sz="6" w:space="0" w:color="auto"/>
                    <w:right w:val="outset" w:sz="6" w:space="0" w:color="auto"/>
                  </w:tcBorders>
                </w:tcPr>
                <w:p w:rsidR="007C4B5C" w:rsidRPr="00DC6B71" w:rsidRDefault="007C4B5C" w:rsidP="00FB2CAF">
                  <w:pPr>
                    <w:pStyle w:val="NoSpacing"/>
                    <w:ind w:right="38"/>
                    <w:jc w:val="both"/>
                    <w:rPr>
                      <w:rFonts w:ascii="Times New Roman" w:hAnsi="Times New Roman"/>
                      <w:sz w:val="24"/>
                      <w:szCs w:val="24"/>
                    </w:rPr>
                  </w:pPr>
                  <w:r w:rsidRPr="00DC6B71">
                    <w:rPr>
                      <w:rFonts w:ascii="Times New Roman" w:hAnsi="Times New Roman"/>
                      <w:bCs/>
                      <w:sz w:val="24"/>
                      <w:szCs w:val="24"/>
                    </w:rPr>
                    <w:t>Eiropas Padomes 2010.gada 10.maija direktīva 2010/32/ES, ar ko īsteno HOSPEEM un EPSU noslēgto Pamatnolīgumu par asu instrumentu radītu ievainojumu novēršanu slimnīcu un veselības aprūpes nozarē</w:t>
                  </w:r>
                </w:p>
              </w:tc>
            </w:tr>
            <w:tr w:rsidR="007C4B5C" w:rsidRPr="00DC6B71" w:rsidTr="00FB2CAF">
              <w:trPr>
                <w:gridBefore w:val="1"/>
                <w:wBefore w:w="69" w:type="dxa"/>
                <w:tblCellSpacing w:w="0" w:type="dxa"/>
                <w:jc w:val="center"/>
              </w:trPr>
              <w:tc>
                <w:tcPr>
                  <w:tcW w:w="2747" w:type="dxa"/>
                  <w:gridSpan w:val="2"/>
                  <w:tcBorders>
                    <w:top w:val="outset" w:sz="6" w:space="0" w:color="auto"/>
                    <w:left w:val="outset" w:sz="6" w:space="0" w:color="auto"/>
                    <w:bottom w:val="outset" w:sz="6" w:space="0" w:color="auto"/>
                    <w:right w:val="outset" w:sz="6" w:space="0" w:color="auto"/>
                  </w:tcBorders>
                </w:tcPr>
                <w:p w:rsidR="007C4B5C" w:rsidRPr="00DC6B71" w:rsidRDefault="007C4B5C" w:rsidP="007C4B5C">
                  <w:pPr>
                    <w:spacing w:before="100" w:beforeAutospacing="1" w:after="100" w:afterAutospacing="1"/>
                    <w:ind w:left="139"/>
                  </w:pPr>
                  <w:r w:rsidRPr="00DC6B71">
                    <w:t> Citas starptautiskās saistības</w:t>
                  </w:r>
                </w:p>
              </w:tc>
              <w:tc>
                <w:tcPr>
                  <w:tcW w:w="6378" w:type="dxa"/>
                  <w:gridSpan w:val="3"/>
                  <w:tcBorders>
                    <w:top w:val="outset" w:sz="6" w:space="0" w:color="auto"/>
                    <w:left w:val="outset" w:sz="6" w:space="0" w:color="auto"/>
                    <w:bottom w:val="outset" w:sz="6" w:space="0" w:color="auto"/>
                    <w:right w:val="outset" w:sz="6" w:space="0" w:color="auto"/>
                  </w:tcBorders>
                </w:tcPr>
                <w:p w:rsidR="007C4B5C" w:rsidRPr="00DC6B71" w:rsidRDefault="007C4B5C" w:rsidP="00E87361">
                  <w:r w:rsidRPr="00DC6B71">
                    <w:t>Projekts šo jomu neskar</w:t>
                  </w:r>
                </w:p>
              </w:tc>
            </w:tr>
            <w:tr w:rsidR="007C4B5C" w:rsidRPr="00DC6B71" w:rsidTr="00FB2CAF">
              <w:trPr>
                <w:gridBefore w:val="1"/>
                <w:wBefore w:w="69" w:type="dxa"/>
                <w:trHeight w:val="336"/>
                <w:tblCellSpacing w:w="0" w:type="dxa"/>
                <w:jc w:val="center"/>
              </w:trPr>
              <w:tc>
                <w:tcPr>
                  <w:tcW w:w="2747" w:type="dxa"/>
                  <w:gridSpan w:val="2"/>
                  <w:tcBorders>
                    <w:top w:val="outset" w:sz="6" w:space="0" w:color="auto"/>
                    <w:left w:val="outset" w:sz="6" w:space="0" w:color="auto"/>
                    <w:bottom w:val="outset" w:sz="6" w:space="0" w:color="auto"/>
                    <w:right w:val="outset" w:sz="6" w:space="0" w:color="auto"/>
                  </w:tcBorders>
                </w:tcPr>
                <w:p w:rsidR="007C4B5C" w:rsidRPr="00DC6B71" w:rsidRDefault="007C4B5C" w:rsidP="007C4B5C">
                  <w:pPr>
                    <w:spacing w:before="100" w:beforeAutospacing="1" w:after="100" w:afterAutospacing="1"/>
                    <w:ind w:left="139"/>
                  </w:pPr>
                  <w:r w:rsidRPr="00DC6B71">
                    <w:t> Cita informācija</w:t>
                  </w:r>
                </w:p>
              </w:tc>
              <w:tc>
                <w:tcPr>
                  <w:tcW w:w="6378" w:type="dxa"/>
                  <w:gridSpan w:val="3"/>
                  <w:tcBorders>
                    <w:top w:val="outset" w:sz="6" w:space="0" w:color="auto"/>
                    <w:left w:val="outset" w:sz="6" w:space="0" w:color="auto"/>
                    <w:bottom w:val="outset" w:sz="6" w:space="0" w:color="auto"/>
                    <w:right w:val="outset" w:sz="6" w:space="0" w:color="auto"/>
                  </w:tcBorders>
                </w:tcPr>
                <w:p w:rsidR="007C4B5C" w:rsidRPr="00894A54" w:rsidRDefault="00B17503" w:rsidP="00B17503">
                  <w:pPr>
                    <w:pStyle w:val="NoSpacing"/>
                    <w:jc w:val="both"/>
                  </w:pPr>
                  <w:r w:rsidRPr="00894A54">
                    <w:rPr>
                      <w:rFonts w:ascii="Times New Roman" w:hAnsi="Times New Roman"/>
                      <w:sz w:val="24"/>
                      <w:szCs w:val="24"/>
                    </w:rPr>
                    <w:t xml:space="preserve">Grozījumi </w:t>
                  </w:r>
                  <w:r w:rsidR="00497A57" w:rsidRPr="00894A54">
                    <w:rPr>
                      <w:rFonts w:ascii="Times New Roman" w:hAnsi="Times New Roman"/>
                      <w:sz w:val="24"/>
                      <w:szCs w:val="24"/>
                    </w:rPr>
                    <w:t>Darba aizsardzības likumā, Ministru kabineta 2002.gada 21.maija noteikumos Nr.189 „Darba aizsardzības prasības, saskaroties ar bioloģiskām vielām”, Ministru kabineta 2010.gada 10.augusta noteikumos Nr.749 „Apmācības kārtība darba aizsardzības jautājumos””, Latvijas Administratīvo pārkāpumu kodeksā, Ministru kabineta 2009.gada 25.augusta noteikumos Nr.950 “Nelaimes gadījumu darbā izmeklēšanas un uzskaites kārtība” un Ministru kabineta 2007.gada 2.oktobra noteikumos Nr.660 „Darba vides iekšējās uzraudzības veikšanas kārtība”</w:t>
                  </w:r>
                  <w:r w:rsidRPr="00894A54">
                    <w:rPr>
                      <w:rFonts w:ascii="Times New Roman" w:hAnsi="Times New Roman"/>
                      <w:sz w:val="24"/>
                      <w:szCs w:val="24"/>
                    </w:rPr>
                    <w:t xml:space="preserve">, ietverot minētajos normatīvajos aktos atsauci uz </w:t>
                  </w:r>
                  <w:r w:rsidRPr="00894A54">
                    <w:rPr>
                      <w:rFonts w:ascii="Times New Roman" w:hAnsi="Times New Roman" w:cs="Times New Roman"/>
                      <w:sz w:val="24"/>
                      <w:szCs w:val="24"/>
                    </w:rPr>
                    <w:t>Direktīva 2010/32/ES, tiks veikti normatīvo aktu grozīšanas reizē pēc būtības</w:t>
                  </w:r>
                </w:p>
              </w:tc>
            </w:tr>
            <w:tr w:rsidR="007C4B5C" w:rsidRPr="00DC6B71" w:rsidTr="00FB2CAF">
              <w:trPr>
                <w:trHeight w:val="870"/>
                <w:tblCellSpacing w:w="0" w:type="dxa"/>
                <w:jc w:val="center"/>
              </w:trPr>
              <w:tc>
                <w:tcPr>
                  <w:tcW w:w="9194" w:type="dxa"/>
                  <w:gridSpan w:val="6"/>
                  <w:tcBorders>
                    <w:top w:val="outset" w:sz="6" w:space="0" w:color="auto"/>
                    <w:left w:val="outset" w:sz="6" w:space="0" w:color="auto"/>
                    <w:bottom w:val="outset" w:sz="6" w:space="0" w:color="auto"/>
                    <w:right w:val="outset" w:sz="6" w:space="0" w:color="auto"/>
                  </w:tcBorders>
                  <w:vAlign w:val="center"/>
                </w:tcPr>
                <w:p w:rsidR="007C4B5C" w:rsidRPr="00DC6B71" w:rsidRDefault="007C4B5C" w:rsidP="003B36C5">
                  <w:pPr>
                    <w:jc w:val="center"/>
                    <w:rPr>
                      <w:b/>
                    </w:rPr>
                  </w:pPr>
                  <w:r w:rsidRPr="00DC6B71">
                    <w:rPr>
                      <w:b/>
                    </w:rPr>
                    <w:lastRenderedPageBreak/>
                    <w:t>1.tabula</w:t>
                  </w:r>
                </w:p>
                <w:p w:rsidR="007C4B5C" w:rsidRPr="00DC6B71" w:rsidRDefault="007C4B5C" w:rsidP="003B36C5">
                  <w:pPr>
                    <w:jc w:val="center"/>
                  </w:pPr>
                  <w:r w:rsidRPr="00DC6B71">
                    <w:rPr>
                      <w:b/>
                    </w:rPr>
                    <w:t>Tiesību akta projekta atbilstība ES tiesību aktiem</w:t>
                  </w:r>
                </w:p>
              </w:tc>
            </w:tr>
            <w:tr w:rsidR="007C4B5C" w:rsidRPr="00DC6B71" w:rsidTr="00FB2CAF">
              <w:trPr>
                <w:trHeight w:val="1252"/>
                <w:tblCellSpacing w:w="0" w:type="dxa"/>
                <w:jc w:val="center"/>
              </w:trPr>
              <w:tc>
                <w:tcPr>
                  <w:tcW w:w="2102" w:type="dxa"/>
                  <w:gridSpan w:val="2"/>
                  <w:tcBorders>
                    <w:top w:val="outset" w:sz="6" w:space="0" w:color="auto"/>
                    <w:left w:val="outset" w:sz="6" w:space="0" w:color="auto"/>
                    <w:bottom w:val="outset" w:sz="6" w:space="0" w:color="auto"/>
                    <w:right w:val="outset" w:sz="6" w:space="0" w:color="auto"/>
                  </w:tcBorders>
                  <w:vAlign w:val="center"/>
                </w:tcPr>
                <w:p w:rsidR="007C4B5C" w:rsidRPr="00DC6B71" w:rsidRDefault="007C4B5C" w:rsidP="007C4B5C">
                  <w:pPr>
                    <w:spacing w:before="100" w:beforeAutospacing="1" w:after="100" w:afterAutospacing="1"/>
                    <w:ind w:left="249"/>
                  </w:pPr>
                  <w:r w:rsidRPr="00DC6B71">
                    <w:t> Attiecīgā ES tiesību akta datums, numurs un nosaukums</w:t>
                  </w:r>
                </w:p>
              </w:tc>
              <w:tc>
                <w:tcPr>
                  <w:tcW w:w="7092" w:type="dxa"/>
                  <w:gridSpan w:val="4"/>
                  <w:tcBorders>
                    <w:top w:val="outset" w:sz="6" w:space="0" w:color="auto"/>
                    <w:left w:val="outset" w:sz="6" w:space="0" w:color="auto"/>
                    <w:bottom w:val="outset" w:sz="6" w:space="0" w:color="auto"/>
                    <w:right w:val="outset" w:sz="6" w:space="0" w:color="auto"/>
                  </w:tcBorders>
                  <w:vAlign w:val="center"/>
                </w:tcPr>
                <w:p w:rsidR="007C4B5C" w:rsidRPr="00DC6B71" w:rsidRDefault="007C4B5C" w:rsidP="00E87361">
                  <w:pPr>
                    <w:spacing w:before="100" w:beforeAutospacing="1" w:after="100" w:afterAutospacing="1"/>
                  </w:pPr>
                  <w:r w:rsidRPr="00DC6B71">
                    <w:t> Aizpilda, ja ar projektu tiek pārņemts vai ieviests vairāk nekā viens ES tiesību akts – jānorāda tā pati informācija, kas prasīta instrukcijas 55.1.apakšpunktā un jau tikusi norādīta arī V sadaļas 1.punkta ietvaros</w:t>
                  </w:r>
                </w:p>
              </w:tc>
            </w:tr>
            <w:tr w:rsidR="007C4B5C" w:rsidRPr="00DC6B71" w:rsidTr="00FB2CAF">
              <w:trPr>
                <w:trHeight w:val="482"/>
                <w:tblCellSpacing w:w="0" w:type="dxa"/>
                <w:jc w:val="center"/>
              </w:trPr>
              <w:tc>
                <w:tcPr>
                  <w:tcW w:w="2102" w:type="dxa"/>
                  <w:gridSpan w:val="2"/>
                  <w:tcBorders>
                    <w:top w:val="outset" w:sz="6" w:space="0" w:color="auto"/>
                    <w:left w:val="outset" w:sz="6" w:space="0" w:color="auto"/>
                    <w:bottom w:val="outset" w:sz="6" w:space="0" w:color="auto"/>
                    <w:right w:val="outset" w:sz="6" w:space="0" w:color="auto"/>
                  </w:tcBorders>
                  <w:vAlign w:val="center"/>
                </w:tcPr>
                <w:p w:rsidR="007C4B5C" w:rsidRPr="00DC6B71" w:rsidRDefault="007C4B5C" w:rsidP="007C4B5C">
                  <w:pPr>
                    <w:spacing w:before="100" w:beforeAutospacing="1" w:after="100" w:afterAutospacing="1" w:line="165" w:lineRule="atLeast"/>
                    <w:ind w:left="249"/>
                  </w:pPr>
                  <w:r w:rsidRPr="00DC6B71">
                    <w:t> A</w:t>
                  </w:r>
                </w:p>
              </w:tc>
              <w:tc>
                <w:tcPr>
                  <w:tcW w:w="2952" w:type="dxa"/>
                  <w:gridSpan w:val="2"/>
                  <w:tcBorders>
                    <w:top w:val="outset" w:sz="6" w:space="0" w:color="auto"/>
                    <w:left w:val="outset" w:sz="6" w:space="0" w:color="auto"/>
                    <w:bottom w:val="outset" w:sz="6" w:space="0" w:color="auto"/>
                    <w:right w:val="outset" w:sz="6" w:space="0" w:color="auto"/>
                  </w:tcBorders>
                  <w:vAlign w:val="center"/>
                </w:tcPr>
                <w:p w:rsidR="007C4B5C" w:rsidRPr="00DC6B71" w:rsidRDefault="007C4B5C" w:rsidP="00E87361">
                  <w:pPr>
                    <w:spacing w:before="100" w:beforeAutospacing="1" w:after="100" w:afterAutospacing="1" w:line="165" w:lineRule="atLeast"/>
                  </w:pPr>
                  <w:r w:rsidRPr="00DC6B71">
                    <w:t> B</w:t>
                  </w:r>
                </w:p>
              </w:tc>
              <w:tc>
                <w:tcPr>
                  <w:tcW w:w="2097" w:type="dxa"/>
                  <w:tcBorders>
                    <w:top w:val="outset" w:sz="6" w:space="0" w:color="auto"/>
                    <w:left w:val="outset" w:sz="6" w:space="0" w:color="auto"/>
                    <w:bottom w:val="outset" w:sz="6" w:space="0" w:color="auto"/>
                    <w:right w:val="outset" w:sz="6" w:space="0" w:color="auto"/>
                  </w:tcBorders>
                  <w:vAlign w:val="center"/>
                </w:tcPr>
                <w:p w:rsidR="007C4B5C" w:rsidRPr="00DC6B71" w:rsidRDefault="007C4B5C" w:rsidP="00E87361">
                  <w:pPr>
                    <w:spacing w:before="100" w:beforeAutospacing="1" w:after="100" w:afterAutospacing="1" w:line="165" w:lineRule="atLeast"/>
                  </w:pPr>
                  <w:r w:rsidRPr="00DC6B71">
                    <w:t> C</w:t>
                  </w:r>
                </w:p>
              </w:tc>
              <w:tc>
                <w:tcPr>
                  <w:tcW w:w="2043" w:type="dxa"/>
                  <w:tcBorders>
                    <w:top w:val="outset" w:sz="6" w:space="0" w:color="auto"/>
                    <w:left w:val="outset" w:sz="6" w:space="0" w:color="auto"/>
                    <w:bottom w:val="outset" w:sz="6" w:space="0" w:color="auto"/>
                    <w:right w:val="outset" w:sz="6" w:space="0" w:color="auto"/>
                  </w:tcBorders>
                  <w:vAlign w:val="center"/>
                </w:tcPr>
                <w:p w:rsidR="007C4B5C" w:rsidRPr="00DC6B71" w:rsidRDefault="007C4B5C" w:rsidP="00E87361">
                  <w:pPr>
                    <w:spacing w:before="100" w:beforeAutospacing="1" w:after="100" w:afterAutospacing="1" w:line="165" w:lineRule="atLeast"/>
                  </w:pPr>
                  <w:r w:rsidRPr="00DC6B71">
                    <w:t> D</w:t>
                  </w:r>
                </w:p>
              </w:tc>
            </w:tr>
            <w:tr w:rsidR="007C4B5C" w:rsidRPr="00DC6B71" w:rsidTr="00FB2CAF">
              <w:trPr>
                <w:trHeight w:val="482"/>
                <w:tblCellSpacing w:w="0" w:type="dxa"/>
                <w:jc w:val="center"/>
              </w:trPr>
              <w:tc>
                <w:tcPr>
                  <w:tcW w:w="2102" w:type="dxa"/>
                  <w:gridSpan w:val="2"/>
                  <w:tcBorders>
                    <w:top w:val="outset" w:sz="6" w:space="0" w:color="auto"/>
                    <w:left w:val="outset" w:sz="6" w:space="0" w:color="auto"/>
                    <w:bottom w:val="outset" w:sz="6" w:space="0" w:color="auto"/>
                    <w:right w:val="outset" w:sz="6" w:space="0" w:color="auto"/>
                  </w:tcBorders>
                </w:tcPr>
                <w:p w:rsidR="007C4B5C" w:rsidRPr="00DC6B71" w:rsidRDefault="007C4B5C" w:rsidP="007C4B5C">
                  <w:pPr>
                    <w:ind w:left="249"/>
                  </w:pPr>
                  <w:r w:rsidRPr="00DC6B71">
                    <w:t>Attiecīgā ES tiesību akta panta numurs (uzskaitot katru tiesību akta vienību – pantu, daļu, punktu, apakšpunktu)</w:t>
                  </w:r>
                </w:p>
              </w:tc>
              <w:tc>
                <w:tcPr>
                  <w:tcW w:w="2952" w:type="dxa"/>
                  <w:gridSpan w:val="2"/>
                  <w:tcBorders>
                    <w:top w:val="outset" w:sz="6" w:space="0" w:color="auto"/>
                    <w:left w:val="outset" w:sz="6" w:space="0" w:color="auto"/>
                    <w:bottom w:val="outset" w:sz="6" w:space="0" w:color="auto"/>
                    <w:right w:val="outset" w:sz="6" w:space="0" w:color="auto"/>
                  </w:tcBorders>
                </w:tcPr>
                <w:p w:rsidR="007C4B5C" w:rsidRPr="00DC6B71" w:rsidRDefault="007C4B5C" w:rsidP="00E87361">
                  <w:r w:rsidRPr="00DC6B71">
                    <w:t>Projekta vienība, kas pārņem vai ievieš katru šīs tabulas A ailē minēto ES tiesību akta vienību, vai tiesību akts, kur attiecīgā ES tiesību akta vienība pārņemta vai ieviesta</w:t>
                  </w:r>
                </w:p>
              </w:tc>
              <w:tc>
                <w:tcPr>
                  <w:tcW w:w="2097" w:type="dxa"/>
                  <w:tcBorders>
                    <w:top w:val="outset" w:sz="6" w:space="0" w:color="auto"/>
                    <w:left w:val="outset" w:sz="6" w:space="0" w:color="auto"/>
                    <w:bottom w:val="outset" w:sz="6" w:space="0" w:color="auto"/>
                    <w:right w:val="outset" w:sz="6" w:space="0" w:color="auto"/>
                  </w:tcBorders>
                </w:tcPr>
                <w:p w:rsidR="007C4B5C" w:rsidRPr="00DC6B71" w:rsidRDefault="007C4B5C" w:rsidP="00E87361">
                  <w:r w:rsidRPr="00DC6B71">
                    <w:t xml:space="preserve">Informācija par to, vai šīs tabulas A ailē minētās ES tiesību akta vienības tiek pārņemtas vai ieviestas pilnībā vai daļēji. </w:t>
                  </w:r>
                </w:p>
                <w:p w:rsidR="007C4B5C" w:rsidRPr="00DC6B71" w:rsidRDefault="007C4B5C" w:rsidP="00E87361">
                  <w:pPr>
                    <w:pStyle w:val="tvhtmlmktable"/>
                    <w:spacing w:before="0" w:beforeAutospacing="0" w:after="0" w:afterAutospacing="0"/>
                    <w:rPr>
                      <w:rFonts w:ascii="Times New Roman" w:hAnsi="Times New Roman"/>
                      <w:sz w:val="24"/>
                      <w:szCs w:val="24"/>
                    </w:rPr>
                  </w:pPr>
                  <w:r w:rsidRPr="00DC6B71">
                    <w:rPr>
                      <w:rFonts w:ascii="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7C4B5C" w:rsidRPr="00DC6B71" w:rsidRDefault="007C4B5C" w:rsidP="00E87361">
                  <w:pPr>
                    <w:pStyle w:val="tvhtmlmktable"/>
                    <w:spacing w:before="0" w:beforeAutospacing="0" w:after="0" w:afterAutospacing="0"/>
                    <w:rPr>
                      <w:rFonts w:ascii="Times New Roman" w:hAnsi="Times New Roman"/>
                      <w:sz w:val="24"/>
                      <w:szCs w:val="24"/>
                    </w:rPr>
                  </w:pPr>
                  <w:r w:rsidRPr="00DC6B71">
                    <w:rPr>
                      <w:rFonts w:ascii="Times New Roman" w:hAnsi="Times New Roman"/>
                      <w:sz w:val="24"/>
                      <w:szCs w:val="24"/>
                    </w:rPr>
                    <w:t>Norāda institūciju, kas ir atbildīga par šo saistību izpildi pilnībā</w:t>
                  </w:r>
                </w:p>
              </w:tc>
              <w:tc>
                <w:tcPr>
                  <w:tcW w:w="2043" w:type="dxa"/>
                  <w:tcBorders>
                    <w:top w:val="outset" w:sz="6" w:space="0" w:color="auto"/>
                    <w:left w:val="outset" w:sz="6" w:space="0" w:color="auto"/>
                    <w:bottom w:val="outset" w:sz="6" w:space="0" w:color="auto"/>
                    <w:right w:val="outset" w:sz="6" w:space="0" w:color="auto"/>
                  </w:tcBorders>
                </w:tcPr>
                <w:p w:rsidR="007C4B5C" w:rsidRPr="00DC6B71" w:rsidRDefault="007C4B5C" w:rsidP="00E87361">
                  <w:r w:rsidRPr="00DC6B71">
                    <w:t xml:space="preserve">Informācija par to, vai šīs tabulas B ailē minētās projekta vienības paredz stingrākas prasības nekā šīs tabulas A ailē minētās ES tiesību akta vienības. </w:t>
                  </w:r>
                </w:p>
                <w:p w:rsidR="007C4B5C" w:rsidRPr="00DC6B71" w:rsidRDefault="007C4B5C" w:rsidP="00E87361">
                  <w:pPr>
                    <w:pStyle w:val="tvhtmlmktable"/>
                    <w:spacing w:before="0" w:beforeAutospacing="0" w:after="0" w:afterAutospacing="0"/>
                    <w:rPr>
                      <w:rFonts w:ascii="Times New Roman" w:hAnsi="Times New Roman"/>
                      <w:sz w:val="24"/>
                      <w:szCs w:val="24"/>
                    </w:rPr>
                  </w:pPr>
                  <w:r w:rsidRPr="00DC6B71">
                    <w:rPr>
                      <w:rFonts w:ascii="Times New Roman" w:hAnsi="Times New Roman"/>
                      <w:sz w:val="24"/>
                      <w:szCs w:val="24"/>
                    </w:rPr>
                    <w:t>Ja projekts satur stingrākas prasības nekā attiecīgais ES tiesību akts, norāda pamatojumu un samērīgumu.</w:t>
                  </w:r>
                </w:p>
                <w:p w:rsidR="007C4B5C" w:rsidRPr="00DC6B71" w:rsidRDefault="007C4B5C" w:rsidP="00E87361">
                  <w:pPr>
                    <w:pStyle w:val="tvhtmlmktable"/>
                    <w:spacing w:before="0" w:beforeAutospacing="0" w:after="0" w:afterAutospacing="0"/>
                    <w:rPr>
                      <w:rFonts w:ascii="Times New Roman" w:hAnsi="Times New Roman"/>
                      <w:sz w:val="24"/>
                      <w:szCs w:val="24"/>
                    </w:rPr>
                  </w:pPr>
                  <w:r w:rsidRPr="00DC6B71">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7C4B5C" w:rsidRPr="00DC6B71" w:rsidTr="00FB2CAF">
              <w:trPr>
                <w:trHeight w:val="165"/>
                <w:tblCellSpacing w:w="0" w:type="dxa"/>
                <w:jc w:val="center"/>
              </w:trPr>
              <w:tc>
                <w:tcPr>
                  <w:tcW w:w="9194" w:type="dxa"/>
                  <w:gridSpan w:val="6"/>
                  <w:tcBorders>
                    <w:top w:val="outset" w:sz="6" w:space="0" w:color="auto"/>
                    <w:left w:val="outset" w:sz="6" w:space="0" w:color="auto"/>
                    <w:bottom w:val="outset" w:sz="6" w:space="0" w:color="auto"/>
                    <w:right w:val="outset" w:sz="6" w:space="0" w:color="auto"/>
                  </w:tcBorders>
                </w:tcPr>
                <w:p w:rsidR="007C4B5C" w:rsidRPr="00DC6B71" w:rsidRDefault="007C4B5C" w:rsidP="007C4B5C">
                  <w:pPr>
                    <w:ind w:left="249"/>
                    <w:jc w:val="both"/>
                    <w:rPr>
                      <w:color w:val="FF0000"/>
                    </w:rPr>
                  </w:pPr>
                  <w:r w:rsidRPr="00DC6B71">
                    <w:rPr>
                      <w:bCs/>
                    </w:rPr>
                    <w:t>Eiropas Padomes 2010.gada 10.maija direktīva 2010/32/ES ar ko īsteno HOSPEEM un EPSU noslēgto Pamatnolīgumu par asu instrumentu radītu ievainojumu novēršanu slimnīcu un veselības aprūpes nozarē</w:t>
                  </w:r>
                </w:p>
              </w:tc>
            </w:tr>
            <w:tr w:rsidR="007C4B5C" w:rsidRPr="00DC6B71" w:rsidTr="00FB2CAF">
              <w:trPr>
                <w:trHeight w:val="165"/>
                <w:tblCellSpacing w:w="0" w:type="dxa"/>
                <w:jc w:val="center"/>
              </w:trPr>
              <w:tc>
                <w:tcPr>
                  <w:tcW w:w="2102" w:type="dxa"/>
                  <w:gridSpan w:val="2"/>
                  <w:tcBorders>
                    <w:top w:val="outset" w:sz="6" w:space="0" w:color="auto"/>
                    <w:left w:val="outset" w:sz="6" w:space="0" w:color="auto"/>
                    <w:bottom w:val="outset" w:sz="6" w:space="0" w:color="auto"/>
                    <w:right w:val="outset" w:sz="6" w:space="0" w:color="auto"/>
                  </w:tcBorders>
                </w:tcPr>
                <w:p w:rsidR="007C4B5C" w:rsidRPr="00CD524A" w:rsidRDefault="007C4B5C" w:rsidP="007C4B5C">
                  <w:pPr>
                    <w:ind w:left="249"/>
                    <w:jc w:val="both"/>
                  </w:pPr>
                  <w:r w:rsidRPr="00CD524A">
                    <w:t>3.panta 1.punkts</w:t>
                  </w:r>
                </w:p>
              </w:tc>
              <w:tc>
                <w:tcPr>
                  <w:tcW w:w="2952" w:type="dxa"/>
                  <w:gridSpan w:val="2"/>
                  <w:tcBorders>
                    <w:top w:val="outset" w:sz="6" w:space="0" w:color="auto"/>
                    <w:left w:val="outset" w:sz="6" w:space="0" w:color="auto"/>
                    <w:bottom w:val="outset" w:sz="6" w:space="0" w:color="auto"/>
                    <w:right w:val="outset" w:sz="6" w:space="0" w:color="auto"/>
                  </w:tcBorders>
                </w:tcPr>
                <w:p w:rsidR="007C4B5C" w:rsidRPr="00CD524A" w:rsidRDefault="007C4B5C" w:rsidP="00E87361">
                  <w:pPr>
                    <w:pStyle w:val="NoSpacing"/>
                    <w:jc w:val="both"/>
                    <w:rPr>
                      <w:rFonts w:ascii="Times New Roman" w:hAnsi="Times New Roman"/>
                      <w:sz w:val="24"/>
                      <w:szCs w:val="24"/>
                    </w:rPr>
                  </w:pPr>
                  <w:r w:rsidRPr="00CD524A">
                    <w:rPr>
                      <w:rFonts w:ascii="Times New Roman" w:hAnsi="Times New Roman"/>
                      <w:sz w:val="24"/>
                      <w:szCs w:val="24"/>
                    </w:rPr>
                    <w:t xml:space="preserve"> Darba aizsardzības likuma 1., 3., 4., 5., 7., 8., 10., 13., 14., 16., 17., 20. un 21. pants;</w:t>
                  </w:r>
                </w:p>
                <w:p w:rsidR="007C4B5C" w:rsidRPr="00CD524A" w:rsidRDefault="007C4B5C" w:rsidP="00E87361">
                  <w:pPr>
                    <w:pStyle w:val="NoSpacing"/>
                    <w:jc w:val="both"/>
                    <w:rPr>
                      <w:rFonts w:ascii="Times New Roman" w:hAnsi="Times New Roman"/>
                      <w:sz w:val="24"/>
                      <w:szCs w:val="24"/>
                    </w:rPr>
                  </w:pPr>
                  <w:r w:rsidRPr="00CD524A">
                    <w:rPr>
                      <w:rFonts w:ascii="Times New Roman" w:hAnsi="Times New Roman"/>
                      <w:sz w:val="24"/>
                      <w:szCs w:val="24"/>
                    </w:rPr>
                    <w:t>M</w:t>
                  </w:r>
                  <w:r w:rsidR="003B36C5" w:rsidRPr="00CD524A">
                    <w:rPr>
                      <w:rFonts w:ascii="Times New Roman" w:hAnsi="Times New Roman"/>
                      <w:sz w:val="24"/>
                      <w:szCs w:val="24"/>
                    </w:rPr>
                    <w:t xml:space="preserve">K </w:t>
                  </w:r>
                  <w:r w:rsidRPr="00CD524A">
                    <w:rPr>
                      <w:rFonts w:ascii="Times New Roman" w:hAnsi="Times New Roman"/>
                      <w:sz w:val="24"/>
                      <w:szCs w:val="24"/>
                    </w:rPr>
                    <w:t xml:space="preserve">2002.gada 21.maija noteikumu Nr.189 „Darba aizsardzības prasības, saskaroties ar bioloģiskām vielām” 10., 11., 12., 13., 14., 15., 16., 18. 48., 57., 58, 59. </w:t>
                  </w:r>
                  <w:r w:rsidRPr="00CD524A">
                    <w:rPr>
                      <w:rFonts w:ascii="Times New Roman" w:hAnsi="Times New Roman"/>
                      <w:sz w:val="24"/>
                      <w:szCs w:val="24"/>
                    </w:rPr>
                    <w:lastRenderedPageBreak/>
                    <w:t>un 60.punkts, III nodaļa;</w:t>
                  </w:r>
                </w:p>
                <w:p w:rsidR="007C4B5C" w:rsidRPr="00CD524A" w:rsidRDefault="007C4B5C" w:rsidP="00E87361">
                  <w:pPr>
                    <w:pStyle w:val="NoSpacing"/>
                    <w:jc w:val="both"/>
                    <w:rPr>
                      <w:rFonts w:ascii="Times New Roman" w:hAnsi="Times New Roman"/>
                      <w:sz w:val="24"/>
                      <w:szCs w:val="24"/>
                    </w:rPr>
                  </w:pPr>
                  <w:r w:rsidRPr="00CD524A">
                    <w:rPr>
                      <w:rFonts w:ascii="Times New Roman" w:hAnsi="Times New Roman"/>
                      <w:sz w:val="24"/>
                      <w:szCs w:val="24"/>
                    </w:rPr>
                    <w:t>M</w:t>
                  </w:r>
                  <w:r w:rsidR="003B36C5" w:rsidRPr="00CD524A">
                    <w:rPr>
                      <w:rFonts w:ascii="Times New Roman" w:hAnsi="Times New Roman"/>
                      <w:sz w:val="24"/>
                      <w:szCs w:val="24"/>
                    </w:rPr>
                    <w:t xml:space="preserve">K </w:t>
                  </w:r>
                  <w:r w:rsidRPr="00CD524A">
                    <w:rPr>
                      <w:rFonts w:ascii="Times New Roman" w:hAnsi="Times New Roman"/>
                      <w:sz w:val="24"/>
                      <w:szCs w:val="24"/>
                    </w:rPr>
                    <w:t>2010.gada 10.augusta noteikumi Nr.749 „Apmācības kārtība darba aizsardzības jautājumos” 2., 8., 9., 11., 12., 15., 18. un 20.punkts;</w:t>
                  </w:r>
                </w:p>
                <w:p w:rsidR="007C4B5C" w:rsidRPr="00CD524A" w:rsidRDefault="007C4B5C" w:rsidP="00E87361">
                  <w:pPr>
                    <w:pStyle w:val="NoSpacing"/>
                    <w:jc w:val="both"/>
                    <w:rPr>
                      <w:rFonts w:ascii="Times New Roman" w:hAnsi="Times New Roman"/>
                      <w:sz w:val="24"/>
                      <w:szCs w:val="24"/>
                    </w:rPr>
                  </w:pPr>
                  <w:r w:rsidRPr="00CD524A">
                    <w:rPr>
                      <w:rFonts w:ascii="Times New Roman" w:hAnsi="Times New Roman"/>
                      <w:sz w:val="24"/>
                      <w:szCs w:val="24"/>
                    </w:rPr>
                    <w:t>Latvijas Administratīvo pārkāpumu kodeksa 41.</w:t>
                  </w:r>
                  <w:r w:rsidRPr="00CD524A">
                    <w:rPr>
                      <w:rFonts w:ascii="Times New Roman" w:hAnsi="Times New Roman"/>
                      <w:sz w:val="24"/>
                      <w:szCs w:val="24"/>
                      <w:vertAlign w:val="superscript"/>
                    </w:rPr>
                    <w:t>4</w:t>
                  </w:r>
                  <w:r w:rsidRPr="00CD524A">
                    <w:rPr>
                      <w:rFonts w:ascii="Times New Roman" w:hAnsi="Times New Roman"/>
                      <w:sz w:val="24"/>
                      <w:szCs w:val="24"/>
                    </w:rPr>
                    <w:t>, 41.</w:t>
                  </w:r>
                  <w:r w:rsidRPr="00CD524A">
                    <w:rPr>
                      <w:rFonts w:ascii="Times New Roman" w:hAnsi="Times New Roman"/>
                      <w:sz w:val="24"/>
                      <w:szCs w:val="24"/>
                      <w:vertAlign w:val="superscript"/>
                    </w:rPr>
                    <w:t>5</w:t>
                  </w:r>
                  <w:r w:rsidRPr="00CD524A">
                    <w:rPr>
                      <w:rFonts w:ascii="Times New Roman" w:hAnsi="Times New Roman"/>
                      <w:sz w:val="24"/>
                      <w:szCs w:val="24"/>
                    </w:rPr>
                    <w:t>, un 75.pants;</w:t>
                  </w:r>
                </w:p>
                <w:p w:rsidR="007C4B5C" w:rsidRPr="00CD524A" w:rsidRDefault="007C4B5C" w:rsidP="00E87361">
                  <w:pPr>
                    <w:pStyle w:val="NoSpacing"/>
                    <w:jc w:val="both"/>
                    <w:rPr>
                      <w:rFonts w:ascii="Times New Roman" w:hAnsi="Times New Roman"/>
                      <w:sz w:val="24"/>
                      <w:szCs w:val="24"/>
                    </w:rPr>
                  </w:pPr>
                  <w:r w:rsidRPr="00CD524A">
                    <w:rPr>
                      <w:rFonts w:ascii="Times New Roman" w:hAnsi="Times New Roman"/>
                      <w:sz w:val="24"/>
                      <w:szCs w:val="24"/>
                    </w:rPr>
                    <w:t>M</w:t>
                  </w:r>
                  <w:r w:rsidR="003B36C5" w:rsidRPr="00CD524A">
                    <w:rPr>
                      <w:rFonts w:ascii="Times New Roman" w:hAnsi="Times New Roman"/>
                      <w:sz w:val="24"/>
                      <w:szCs w:val="24"/>
                    </w:rPr>
                    <w:t xml:space="preserve">K </w:t>
                  </w:r>
                  <w:r w:rsidRPr="00CD524A">
                    <w:rPr>
                      <w:rFonts w:ascii="Times New Roman" w:hAnsi="Times New Roman"/>
                      <w:sz w:val="24"/>
                      <w:szCs w:val="24"/>
                    </w:rPr>
                    <w:t>2009.gada 25.augusta noteikumu Nr.950 “Nelaimes gadījumu darbā izmeklēšanas un uzskaites kārtība” 13.punkts;</w:t>
                  </w:r>
                </w:p>
                <w:p w:rsidR="007C4B5C" w:rsidRPr="00CD524A" w:rsidRDefault="007C4B5C" w:rsidP="00E87361">
                  <w:pPr>
                    <w:pStyle w:val="NoSpacing"/>
                    <w:jc w:val="both"/>
                    <w:rPr>
                      <w:rFonts w:ascii="Times New Roman" w:hAnsi="Times New Roman"/>
                      <w:sz w:val="24"/>
                      <w:szCs w:val="24"/>
                    </w:rPr>
                  </w:pPr>
                  <w:r w:rsidRPr="00CD524A">
                    <w:rPr>
                      <w:rFonts w:ascii="Times New Roman" w:hAnsi="Times New Roman"/>
                      <w:sz w:val="24"/>
                      <w:szCs w:val="24"/>
                    </w:rPr>
                    <w:t>Pacientu tiesību likuma 10.panta pirmā daļa; M</w:t>
                  </w:r>
                  <w:r w:rsidR="003B36C5" w:rsidRPr="00CD524A">
                    <w:rPr>
                      <w:rFonts w:ascii="Times New Roman" w:hAnsi="Times New Roman"/>
                      <w:sz w:val="24"/>
                      <w:szCs w:val="24"/>
                    </w:rPr>
                    <w:t xml:space="preserve">K </w:t>
                  </w:r>
                  <w:r w:rsidRPr="00CD524A">
                    <w:rPr>
                      <w:rFonts w:ascii="Times New Roman" w:hAnsi="Times New Roman"/>
                      <w:sz w:val="24"/>
                      <w:szCs w:val="24"/>
                    </w:rPr>
                    <w:t xml:space="preserve">2012.gada 22.maija noteikumu Nr.353 „Ārstniecības iestādēs radušos atkritumu apsaimniekošanas prasības” 14., 15., 16., 20., 32. un 33.punkts; </w:t>
                  </w:r>
                </w:p>
                <w:p w:rsidR="007C4B5C" w:rsidRPr="00CD524A" w:rsidRDefault="007C4B5C" w:rsidP="00E87361">
                  <w:pPr>
                    <w:pStyle w:val="NoSpacing"/>
                    <w:jc w:val="both"/>
                    <w:rPr>
                      <w:rFonts w:ascii="Times New Roman" w:hAnsi="Times New Roman"/>
                      <w:sz w:val="24"/>
                      <w:szCs w:val="24"/>
                    </w:rPr>
                  </w:pPr>
                  <w:r w:rsidRPr="00CD524A">
                    <w:rPr>
                      <w:sz w:val="24"/>
                      <w:szCs w:val="24"/>
                    </w:rPr>
                    <w:t xml:space="preserve"> </w:t>
                  </w:r>
                  <w:r w:rsidRPr="00CD524A">
                    <w:rPr>
                      <w:rFonts w:ascii="Times New Roman" w:hAnsi="Times New Roman"/>
                      <w:sz w:val="24"/>
                      <w:szCs w:val="24"/>
                    </w:rPr>
                    <w:t>M</w:t>
                  </w:r>
                  <w:r w:rsidR="003B36C5" w:rsidRPr="00CD524A">
                    <w:rPr>
                      <w:rFonts w:ascii="Times New Roman" w:hAnsi="Times New Roman"/>
                      <w:sz w:val="24"/>
                      <w:szCs w:val="24"/>
                    </w:rPr>
                    <w:t xml:space="preserve">K </w:t>
                  </w:r>
                  <w:r w:rsidRPr="00CD524A">
                    <w:rPr>
                      <w:rFonts w:ascii="Times New Roman" w:hAnsi="Times New Roman"/>
                      <w:sz w:val="24"/>
                      <w:szCs w:val="24"/>
                    </w:rPr>
                    <w:t>2007.gada 2.oktobra noteikumu Nr.660 „Darba vides iekšējās uzraudzības veikšanas kārtība” 1.pielikums;</w:t>
                  </w:r>
                </w:p>
                <w:p w:rsidR="007C4B5C" w:rsidRPr="00CD524A" w:rsidRDefault="007C4B5C" w:rsidP="00E87361">
                  <w:pPr>
                    <w:pStyle w:val="NoSpacing"/>
                    <w:jc w:val="both"/>
                  </w:pPr>
                  <w:r w:rsidRPr="00CD524A">
                    <w:rPr>
                      <w:rFonts w:ascii="Times New Roman" w:hAnsi="Times New Roman"/>
                      <w:sz w:val="24"/>
                      <w:szCs w:val="24"/>
                    </w:rPr>
                    <w:t>Projekta 3.punkts</w:t>
                  </w:r>
                </w:p>
              </w:tc>
              <w:tc>
                <w:tcPr>
                  <w:tcW w:w="2097" w:type="dxa"/>
                  <w:tcBorders>
                    <w:top w:val="outset" w:sz="6" w:space="0" w:color="auto"/>
                    <w:left w:val="outset" w:sz="6" w:space="0" w:color="auto"/>
                    <w:bottom w:val="outset" w:sz="6" w:space="0" w:color="auto"/>
                    <w:right w:val="outset" w:sz="6" w:space="0" w:color="auto"/>
                  </w:tcBorders>
                </w:tcPr>
                <w:p w:rsidR="007C4B5C" w:rsidRPr="00CD524A" w:rsidRDefault="007C4B5C" w:rsidP="00E87361">
                  <w:pPr>
                    <w:jc w:val="both"/>
                    <w:rPr>
                      <w:color w:val="000000"/>
                    </w:rPr>
                  </w:pPr>
                  <w:r w:rsidRPr="00CD524A">
                    <w:rPr>
                      <w:color w:val="000000"/>
                    </w:rPr>
                    <w:lastRenderedPageBreak/>
                    <w:t xml:space="preserve">Prasības ir pārņemtas pilnībā </w:t>
                  </w:r>
                </w:p>
              </w:tc>
              <w:tc>
                <w:tcPr>
                  <w:tcW w:w="2043" w:type="dxa"/>
                  <w:tcBorders>
                    <w:top w:val="outset" w:sz="6" w:space="0" w:color="auto"/>
                    <w:left w:val="outset" w:sz="6" w:space="0" w:color="auto"/>
                    <w:bottom w:val="outset" w:sz="6" w:space="0" w:color="auto"/>
                    <w:right w:val="outset" w:sz="6" w:space="0" w:color="auto"/>
                  </w:tcBorders>
                </w:tcPr>
                <w:p w:rsidR="007C4B5C" w:rsidRPr="00CD524A" w:rsidRDefault="007C4B5C" w:rsidP="00E87361">
                  <w:pPr>
                    <w:jc w:val="both"/>
                    <w:rPr>
                      <w:color w:val="000000"/>
                    </w:rPr>
                  </w:pPr>
                  <w:r w:rsidRPr="00CD524A">
                    <w:rPr>
                      <w:color w:val="000000"/>
                    </w:rPr>
                    <w:t>Attiecīgais regulējums stingrākas prasības neparedz</w:t>
                  </w:r>
                </w:p>
              </w:tc>
            </w:tr>
            <w:tr w:rsidR="007C4B5C" w:rsidRPr="00DC6B71" w:rsidTr="00FB2CAF">
              <w:trPr>
                <w:trHeight w:val="165"/>
                <w:tblCellSpacing w:w="0" w:type="dxa"/>
                <w:jc w:val="center"/>
              </w:trPr>
              <w:tc>
                <w:tcPr>
                  <w:tcW w:w="2102" w:type="dxa"/>
                  <w:gridSpan w:val="2"/>
                  <w:tcBorders>
                    <w:top w:val="outset" w:sz="6" w:space="0" w:color="auto"/>
                    <w:left w:val="outset" w:sz="6" w:space="0" w:color="auto"/>
                    <w:bottom w:val="outset" w:sz="6" w:space="0" w:color="auto"/>
                    <w:right w:val="outset" w:sz="6" w:space="0" w:color="auto"/>
                  </w:tcBorders>
                </w:tcPr>
                <w:p w:rsidR="007C4B5C" w:rsidRPr="00CD524A" w:rsidRDefault="007C4B5C" w:rsidP="007C4B5C">
                  <w:pPr>
                    <w:pStyle w:val="NoSpacing"/>
                    <w:ind w:left="249"/>
                    <w:rPr>
                      <w:rFonts w:ascii="Times New Roman" w:eastAsia="Calibri" w:hAnsi="Times New Roman" w:cs="Times New Roman"/>
                      <w:sz w:val="24"/>
                      <w:szCs w:val="24"/>
                    </w:rPr>
                  </w:pPr>
                  <w:r w:rsidRPr="00CD524A">
                    <w:rPr>
                      <w:rFonts w:ascii="Times New Roman" w:eastAsia="Calibri" w:hAnsi="Times New Roman" w:cs="Times New Roman"/>
                      <w:sz w:val="24"/>
                      <w:szCs w:val="24"/>
                    </w:rPr>
                    <w:lastRenderedPageBreak/>
                    <w:t xml:space="preserve">Direktīvas pielikuma  </w:t>
                  </w:r>
                </w:p>
                <w:p w:rsidR="007C4B5C" w:rsidRPr="00CD524A" w:rsidRDefault="007C4B5C" w:rsidP="007C4B5C">
                  <w:pPr>
                    <w:ind w:left="249"/>
                    <w:jc w:val="both"/>
                    <w:rPr>
                      <w:color w:val="000000"/>
                    </w:rPr>
                  </w:pPr>
                  <w:r w:rsidRPr="00CD524A">
                    <w:t>6.klauzulas 3.punkts</w:t>
                  </w:r>
                </w:p>
              </w:tc>
              <w:tc>
                <w:tcPr>
                  <w:tcW w:w="2952" w:type="dxa"/>
                  <w:gridSpan w:val="2"/>
                  <w:tcBorders>
                    <w:top w:val="outset" w:sz="6" w:space="0" w:color="auto"/>
                    <w:left w:val="outset" w:sz="6" w:space="0" w:color="auto"/>
                    <w:bottom w:val="outset" w:sz="6" w:space="0" w:color="auto"/>
                    <w:right w:val="outset" w:sz="6" w:space="0" w:color="auto"/>
                  </w:tcBorders>
                  <w:vAlign w:val="center"/>
                </w:tcPr>
                <w:p w:rsidR="007C4B5C" w:rsidRPr="00CD524A" w:rsidRDefault="007C4B5C" w:rsidP="003B36C5">
                  <w:pPr>
                    <w:pStyle w:val="naiskr"/>
                    <w:spacing w:before="0" w:after="0"/>
                    <w:jc w:val="both"/>
                  </w:pPr>
                  <w:r w:rsidRPr="00CD524A">
                    <w:t>M</w:t>
                  </w:r>
                  <w:r w:rsidR="003B36C5" w:rsidRPr="00CD524A">
                    <w:t>K</w:t>
                  </w:r>
                  <w:r w:rsidRPr="00CD524A">
                    <w:t xml:space="preserve"> 2002.gada 21.maija noteikumu Nr.189 „Darba aizsardzības prasības, saskaroties ar bioloģiskām vielām” 48.punkts;  Ministru kabineta 2000.gada 26.septembra noteikumu Nr.330 “Vakcinācijas noteikumi” 30.punkts, 31.3.apakšpunkts, 33.punkts</w:t>
                  </w:r>
                </w:p>
              </w:tc>
              <w:tc>
                <w:tcPr>
                  <w:tcW w:w="2097" w:type="dxa"/>
                  <w:tcBorders>
                    <w:top w:val="outset" w:sz="6" w:space="0" w:color="auto"/>
                    <w:left w:val="outset" w:sz="6" w:space="0" w:color="auto"/>
                    <w:bottom w:val="outset" w:sz="6" w:space="0" w:color="auto"/>
                    <w:right w:val="outset" w:sz="6" w:space="0" w:color="auto"/>
                  </w:tcBorders>
                </w:tcPr>
                <w:p w:rsidR="007C4B5C" w:rsidRPr="00CD524A" w:rsidRDefault="007C4B5C" w:rsidP="00E87361">
                  <w:pPr>
                    <w:jc w:val="both"/>
                    <w:rPr>
                      <w:color w:val="000000"/>
                    </w:rPr>
                  </w:pPr>
                  <w:r w:rsidRPr="00CD524A">
                    <w:rPr>
                      <w:color w:val="000000"/>
                    </w:rPr>
                    <w:t xml:space="preserve">Prasības ir pārņemtas pilnībā </w:t>
                  </w:r>
                </w:p>
              </w:tc>
              <w:tc>
                <w:tcPr>
                  <w:tcW w:w="2043" w:type="dxa"/>
                  <w:tcBorders>
                    <w:top w:val="outset" w:sz="6" w:space="0" w:color="auto"/>
                    <w:left w:val="outset" w:sz="6" w:space="0" w:color="auto"/>
                    <w:bottom w:val="outset" w:sz="6" w:space="0" w:color="auto"/>
                    <w:right w:val="outset" w:sz="6" w:space="0" w:color="auto"/>
                  </w:tcBorders>
                </w:tcPr>
                <w:p w:rsidR="007C4B5C" w:rsidRPr="00CD524A" w:rsidRDefault="007C4B5C" w:rsidP="00E87361">
                  <w:pPr>
                    <w:jc w:val="both"/>
                    <w:rPr>
                      <w:color w:val="000000"/>
                    </w:rPr>
                  </w:pPr>
                  <w:r w:rsidRPr="00CD524A">
                    <w:rPr>
                      <w:color w:val="000000"/>
                    </w:rPr>
                    <w:t>Attiecīgais regulējums stingrākas prasības neparedz</w:t>
                  </w:r>
                </w:p>
              </w:tc>
            </w:tr>
            <w:tr w:rsidR="007C4B5C" w:rsidRPr="00DC6B71" w:rsidTr="00FB2CAF">
              <w:trPr>
                <w:trHeight w:val="165"/>
                <w:tblCellSpacing w:w="0" w:type="dxa"/>
                <w:jc w:val="center"/>
              </w:trPr>
              <w:tc>
                <w:tcPr>
                  <w:tcW w:w="2102" w:type="dxa"/>
                  <w:gridSpan w:val="2"/>
                  <w:tcBorders>
                    <w:top w:val="outset" w:sz="6" w:space="0" w:color="auto"/>
                    <w:left w:val="outset" w:sz="6" w:space="0" w:color="auto"/>
                    <w:bottom w:val="outset" w:sz="6" w:space="0" w:color="auto"/>
                    <w:right w:val="outset" w:sz="6" w:space="0" w:color="auto"/>
                  </w:tcBorders>
                </w:tcPr>
                <w:p w:rsidR="007C4B5C" w:rsidRPr="00CD524A" w:rsidRDefault="007C4B5C" w:rsidP="007C4B5C">
                  <w:pPr>
                    <w:pStyle w:val="NoSpacing"/>
                    <w:ind w:left="107"/>
                    <w:rPr>
                      <w:rFonts w:ascii="Times New Roman" w:eastAsia="Calibri" w:hAnsi="Times New Roman" w:cs="Times New Roman"/>
                      <w:sz w:val="24"/>
                      <w:szCs w:val="24"/>
                    </w:rPr>
                  </w:pPr>
                  <w:r w:rsidRPr="00CD524A">
                    <w:rPr>
                      <w:rFonts w:ascii="Times New Roman" w:eastAsia="Calibri" w:hAnsi="Times New Roman" w:cs="Times New Roman"/>
                      <w:sz w:val="24"/>
                      <w:szCs w:val="24"/>
                    </w:rPr>
                    <w:t xml:space="preserve">Direktīvas pielikuma  </w:t>
                  </w:r>
                </w:p>
                <w:p w:rsidR="007C4B5C" w:rsidRPr="00CD524A" w:rsidRDefault="007C4B5C" w:rsidP="007C4B5C">
                  <w:pPr>
                    <w:ind w:left="107"/>
                    <w:jc w:val="both"/>
                    <w:rPr>
                      <w:color w:val="000000"/>
                    </w:rPr>
                  </w:pPr>
                  <w:r w:rsidRPr="00CD524A">
                    <w:t>6.klauzulas 4.punkts</w:t>
                  </w:r>
                </w:p>
              </w:tc>
              <w:tc>
                <w:tcPr>
                  <w:tcW w:w="2952" w:type="dxa"/>
                  <w:gridSpan w:val="2"/>
                  <w:tcBorders>
                    <w:top w:val="outset" w:sz="6" w:space="0" w:color="auto"/>
                    <w:left w:val="outset" w:sz="6" w:space="0" w:color="auto"/>
                    <w:bottom w:val="outset" w:sz="6" w:space="0" w:color="auto"/>
                    <w:right w:val="outset" w:sz="6" w:space="0" w:color="auto"/>
                  </w:tcBorders>
                </w:tcPr>
                <w:p w:rsidR="007C4B5C" w:rsidRPr="00CD524A" w:rsidRDefault="007C4B5C" w:rsidP="003B36C5">
                  <w:pPr>
                    <w:pStyle w:val="NoSpacing"/>
                    <w:jc w:val="both"/>
                    <w:rPr>
                      <w:rFonts w:ascii="Times New Roman" w:eastAsia="Calibri" w:hAnsi="Times New Roman" w:cs="Times New Roman"/>
                      <w:sz w:val="24"/>
                      <w:szCs w:val="24"/>
                    </w:rPr>
                  </w:pPr>
                  <w:r w:rsidRPr="00CD524A">
                    <w:rPr>
                      <w:rFonts w:ascii="Times New Roman" w:eastAsia="Calibri" w:hAnsi="Times New Roman" w:cs="Times New Roman"/>
                      <w:sz w:val="24"/>
                      <w:szCs w:val="24"/>
                    </w:rPr>
                    <w:t>M</w:t>
                  </w:r>
                  <w:r w:rsidR="003B36C5" w:rsidRPr="00CD524A">
                    <w:rPr>
                      <w:rFonts w:ascii="Times New Roman" w:eastAsia="Calibri" w:hAnsi="Times New Roman" w:cs="Times New Roman"/>
                      <w:sz w:val="24"/>
                      <w:szCs w:val="24"/>
                    </w:rPr>
                    <w:t xml:space="preserve">K </w:t>
                  </w:r>
                  <w:r w:rsidRPr="00CD524A">
                    <w:rPr>
                      <w:rFonts w:ascii="Times New Roman" w:eastAsia="Calibri" w:hAnsi="Times New Roman" w:cs="Times New Roman"/>
                      <w:sz w:val="24"/>
                      <w:szCs w:val="24"/>
                    </w:rPr>
                    <w:t>2002.gada 21.maija noteikumu Nr.189 „Darba aizsardzības prasības, saskaroties ar bioloģiskām vielām” 48.punkts;  M</w:t>
                  </w:r>
                  <w:r w:rsidR="003B36C5" w:rsidRPr="00CD524A">
                    <w:rPr>
                      <w:rFonts w:ascii="Times New Roman" w:eastAsia="Calibri" w:hAnsi="Times New Roman" w:cs="Times New Roman"/>
                      <w:sz w:val="24"/>
                      <w:szCs w:val="24"/>
                    </w:rPr>
                    <w:t>K</w:t>
                  </w:r>
                  <w:r w:rsidRPr="00CD524A">
                    <w:rPr>
                      <w:rFonts w:ascii="Times New Roman" w:eastAsia="Calibri" w:hAnsi="Times New Roman" w:cs="Times New Roman"/>
                      <w:sz w:val="24"/>
                      <w:szCs w:val="24"/>
                    </w:rPr>
                    <w:t xml:space="preserve"> 2000.gada 26.septembra noteikumu Nr.330 “Vakcinācijas noteikumi” 30., 33.punkts </w:t>
                  </w:r>
                </w:p>
              </w:tc>
              <w:tc>
                <w:tcPr>
                  <w:tcW w:w="2097" w:type="dxa"/>
                  <w:tcBorders>
                    <w:top w:val="outset" w:sz="6" w:space="0" w:color="auto"/>
                    <w:left w:val="outset" w:sz="6" w:space="0" w:color="auto"/>
                    <w:bottom w:val="outset" w:sz="6" w:space="0" w:color="auto"/>
                    <w:right w:val="outset" w:sz="6" w:space="0" w:color="auto"/>
                  </w:tcBorders>
                </w:tcPr>
                <w:p w:rsidR="007C4B5C" w:rsidRPr="00CD524A" w:rsidRDefault="007C4B5C" w:rsidP="00E87361">
                  <w:pPr>
                    <w:jc w:val="both"/>
                    <w:rPr>
                      <w:color w:val="000000"/>
                    </w:rPr>
                  </w:pPr>
                  <w:r w:rsidRPr="00CD524A">
                    <w:rPr>
                      <w:color w:val="000000"/>
                    </w:rPr>
                    <w:t xml:space="preserve">Prasības ir pārņemtas pilnībā </w:t>
                  </w:r>
                </w:p>
              </w:tc>
              <w:tc>
                <w:tcPr>
                  <w:tcW w:w="2043" w:type="dxa"/>
                  <w:tcBorders>
                    <w:top w:val="outset" w:sz="6" w:space="0" w:color="auto"/>
                    <w:left w:val="outset" w:sz="6" w:space="0" w:color="auto"/>
                    <w:bottom w:val="outset" w:sz="6" w:space="0" w:color="auto"/>
                    <w:right w:val="outset" w:sz="6" w:space="0" w:color="auto"/>
                  </w:tcBorders>
                </w:tcPr>
                <w:p w:rsidR="007C4B5C" w:rsidRPr="00CD524A" w:rsidRDefault="007C4B5C" w:rsidP="00E87361">
                  <w:pPr>
                    <w:jc w:val="both"/>
                    <w:rPr>
                      <w:color w:val="000000"/>
                    </w:rPr>
                  </w:pPr>
                  <w:r w:rsidRPr="00CD524A">
                    <w:rPr>
                      <w:color w:val="000000"/>
                    </w:rPr>
                    <w:t>Attiecīgais regulējums stingrākas prasības neparedz</w:t>
                  </w:r>
                </w:p>
              </w:tc>
            </w:tr>
            <w:tr w:rsidR="007C4B5C" w:rsidRPr="00DC6B71" w:rsidTr="00FB2CAF">
              <w:trPr>
                <w:trHeight w:val="281"/>
                <w:tblCellSpacing w:w="0" w:type="dxa"/>
                <w:jc w:val="center"/>
              </w:trPr>
              <w:tc>
                <w:tcPr>
                  <w:tcW w:w="2102" w:type="dxa"/>
                  <w:gridSpan w:val="2"/>
                  <w:tcBorders>
                    <w:top w:val="outset" w:sz="6" w:space="0" w:color="auto"/>
                    <w:left w:val="outset" w:sz="6" w:space="0" w:color="auto"/>
                    <w:bottom w:val="outset" w:sz="6" w:space="0" w:color="auto"/>
                    <w:right w:val="outset" w:sz="6" w:space="0" w:color="auto"/>
                  </w:tcBorders>
                  <w:vAlign w:val="center"/>
                </w:tcPr>
                <w:p w:rsidR="007C4B5C" w:rsidRPr="00DC6B71" w:rsidRDefault="007C4B5C" w:rsidP="007C4B5C">
                  <w:pPr>
                    <w:spacing w:before="100" w:beforeAutospacing="1" w:after="100" w:afterAutospacing="1"/>
                    <w:ind w:left="107"/>
                  </w:pPr>
                  <w:r w:rsidRPr="00DC6B71">
                    <w:t xml:space="preserve"> Kā ir izmantota ES tiesību aktā </w:t>
                  </w:r>
                  <w:r w:rsidRPr="00DC6B71">
                    <w:lastRenderedPageBreak/>
                    <w:t>paredzētā rīcības brīvība dalībvalstij pārņemt vai ieviest noteiktas ES tiesību akta normas. Kādēļ?</w:t>
                  </w:r>
                </w:p>
              </w:tc>
              <w:tc>
                <w:tcPr>
                  <w:tcW w:w="7092" w:type="dxa"/>
                  <w:gridSpan w:val="4"/>
                  <w:tcBorders>
                    <w:top w:val="outset" w:sz="6" w:space="0" w:color="auto"/>
                    <w:left w:val="outset" w:sz="6" w:space="0" w:color="auto"/>
                    <w:bottom w:val="outset" w:sz="6" w:space="0" w:color="auto"/>
                    <w:right w:val="outset" w:sz="6" w:space="0" w:color="auto"/>
                  </w:tcBorders>
                </w:tcPr>
                <w:p w:rsidR="007C4B5C" w:rsidRPr="00CD524A" w:rsidRDefault="007C4B5C" w:rsidP="00E87361">
                  <w:r w:rsidRPr="00CD524A">
                    <w:lastRenderedPageBreak/>
                    <w:t>Projekts šo jomu neskar</w:t>
                  </w:r>
                </w:p>
              </w:tc>
            </w:tr>
            <w:tr w:rsidR="007C4B5C" w:rsidRPr="00DC6B71" w:rsidTr="00FB2CAF">
              <w:trPr>
                <w:trHeight w:val="913"/>
                <w:tblCellSpacing w:w="0" w:type="dxa"/>
                <w:jc w:val="center"/>
              </w:trPr>
              <w:tc>
                <w:tcPr>
                  <w:tcW w:w="2102" w:type="dxa"/>
                  <w:gridSpan w:val="2"/>
                  <w:tcBorders>
                    <w:top w:val="outset" w:sz="6" w:space="0" w:color="auto"/>
                    <w:left w:val="outset" w:sz="6" w:space="0" w:color="auto"/>
                    <w:bottom w:val="outset" w:sz="6" w:space="0" w:color="auto"/>
                    <w:right w:val="outset" w:sz="6" w:space="0" w:color="auto"/>
                  </w:tcBorders>
                  <w:vAlign w:val="center"/>
                </w:tcPr>
                <w:p w:rsidR="007C4B5C" w:rsidRPr="00DC6B71" w:rsidRDefault="007C4B5C" w:rsidP="007C4B5C">
                  <w:pPr>
                    <w:spacing w:before="100" w:beforeAutospacing="1" w:after="100" w:afterAutospacing="1"/>
                    <w:ind w:left="107"/>
                  </w:pPr>
                  <w:r w:rsidRPr="00DC6B71">
                    <w:lastRenderedPageBreak/>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092" w:type="dxa"/>
                  <w:gridSpan w:val="4"/>
                  <w:tcBorders>
                    <w:top w:val="outset" w:sz="6" w:space="0" w:color="auto"/>
                    <w:left w:val="outset" w:sz="6" w:space="0" w:color="auto"/>
                    <w:bottom w:val="outset" w:sz="6" w:space="0" w:color="auto"/>
                    <w:right w:val="outset" w:sz="6" w:space="0" w:color="auto"/>
                  </w:tcBorders>
                </w:tcPr>
                <w:p w:rsidR="007C4B5C" w:rsidRPr="00CD524A" w:rsidRDefault="007C4B5C" w:rsidP="00E87361">
                  <w:r w:rsidRPr="00CD524A">
                    <w:t>Projekts šo jomu neskar</w:t>
                  </w:r>
                </w:p>
              </w:tc>
            </w:tr>
            <w:tr w:rsidR="007C4B5C" w:rsidRPr="00DC6B71" w:rsidTr="00FB2CAF">
              <w:trPr>
                <w:trHeight w:val="509"/>
                <w:tblCellSpacing w:w="0" w:type="dxa"/>
                <w:jc w:val="center"/>
              </w:trPr>
              <w:tc>
                <w:tcPr>
                  <w:tcW w:w="2102" w:type="dxa"/>
                  <w:gridSpan w:val="2"/>
                  <w:tcBorders>
                    <w:top w:val="outset" w:sz="6" w:space="0" w:color="auto"/>
                    <w:left w:val="outset" w:sz="6" w:space="0" w:color="auto"/>
                    <w:bottom w:val="outset" w:sz="6" w:space="0" w:color="auto"/>
                    <w:right w:val="outset" w:sz="6" w:space="0" w:color="auto"/>
                  </w:tcBorders>
                </w:tcPr>
                <w:p w:rsidR="007C4B5C" w:rsidRPr="00DC6B71" w:rsidRDefault="007C4B5C" w:rsidP="007C4B5C">
                  <w:pPr>
                    <w:spacing w:before="100" w:beforeAutospacing="1" w:after="100" w:afterAutospacing="1"/>
                    <w:ind w:left="107"/>
                  </w:pPr>
                  <w:r w:rsidRPr="00DC6B71">
                    <w:t> Cita informācija</w:t>
                  </w:r>
                </w:p>
              </w:tc>
              <w:tc>
                <w:tcPr>
                  <w:tcW w:w="7092" w:type="dxa"/>
                  <w:gridSpan w:val="4"/>
                  <w:tcBorders>
                    <w:top w:val="outset" w:sz="6" w:space="0" w:color="auto"/>
                    <w:left w:val="outset" w:sz="6" w:space="0" w:color="auto"/>
                    <w:bottom w:val="outset" w:sz="6" w:space="0" w:color="auto"/>
                    <w:right w:val="outset" w:sz="6" w:space="0" w:color="auto"/>
                  </w:tcBorders>
                </w:tcPr>
                <w:p w:rsidR="004E69F1" w:rsidRPr="00497A57" w:rsidRDefault="00497A57" w:rsidP="004E69F1">
                  <w:pPr>
                    <w:pStyle w:val="NoSpacing"/>
                    <w:jc w:val="both"/>
                    <w:rPr>
                      <w:rFonts w:ascii="Times New Roman" w:hAnsi="Times New Roman"/>
                      <w:sz w:val="24"/>
                      <w:szCs w:val="24"/>
                    </w:rPr>
                  </w:pPr>
                  <w:r w:rsidRPr="00497A57">
                    <w:rPr>
                      <w:rFonts w:ascii="Times New Roman" w:hAnsi="Times New Roman"/>
                      <w:sz w:val="24"/>
                      <w:szCs w:val="24"/>
                    </w:rPr>
                    <w:t>Nav</w:t>
                  </w:r>
                </w:p>
                <w:p w:rsidR="007C4B5C" w:rsidRPr="00CD524A" w:rsidRDefault="007C4B5C" w:rsidP="004E69F1">
                  <w:pPr>
                    <w:pStyle w:val="NoSpacing"/>
                    <w:jc w:val="both"/>
                    <w:rPr>
                      <w:rFonts w:ascii="Times New Roman" w:hAnsi="Times New Roman"/>
                      <w:sz w:val="24"/>
                      <w:szCs w:val="24"/>
                    </w:rPr>
                  </w:pPr>
                </w:p>
              </w:tc>
            </w:tr>
          </w:tbl>
          <w:p w:rsidR="00C8098E" w:rsidRPr="001B7E4E" w:rsidRDefault="00C8098E" w:rsidP="00F2321B">
            <w:pPr>
              <w:spacing w:before="100" w:beforeAutospacing="1" w:after="100" w:afterAutospacing="1"/>
              <w:rPr>
                <w:b/>
                <w:bCs/>
              </w:rPr>
            </w:pPr>
          </w:p>
        </w:tc>
      </w:tr>
      <w:tr w:rsidR="00C8098E" w:rsidRPr="001B7E4E" w:rsidTr="00052B4D">
        <w:trPr>
          <w:tblCellSpacing w:w="0" w:type="dxa"/>
        </w:trPr>
        <w:tc>
          <w:tcPr>
            <w:tcW w:w="9116" w:type="dxa"/>
            <w:gridSpan w:val="6"/>
            <w:tcBorders>
              <w:top w:val="outset" w:sz="6" w:space="0" w:color="auto"/>
              <w:left w:val="outset" w:sz="6" w:space="0" w:color="auto"/>
              <w:bottom w:val="outset" w:sz="6" w:space="0" w:color="auto"/>
              <w:right w:val="outset" w:sz="6" w:space="0" w:color="auto"/>
            </w:tcBorders>
            <w:hideMark/>
          </w:tcPr>
          <w:p w:rsidR="00C8098E" w:rsidRPr="001B7E4E" w:rsidRDefault="00C8098E" w:rsidP="00A934E5">
            <w:pPr>
              <w:spacing w:before="100" w:beforeAutospacing="1" w:after="100" w:afterAutospacing="1"/>
            </w:pPr>
          </w:p>
        </w:tc>
      </w:tr>
      <w:tr w:rsidR="00C8098E" w:rsidRPr="001B7E4E" w:rsidTr="00052B4D">
        <w:trPr>
          <w:tblCellSpacing w:w="0" w:type="dxa"/>
        </w:trPr>
        <w:tc>
          <w:tcPr>
            <w:tcW w:w="9116" w:type="dxa"/>
            <w:gridSpan w:val="6"/>
            <w:tcBorders>
              <w:top w:val="outset" w:sz="6" w:space="0" w:color="auto"/>
              <w:left w:val="outset" w:sz="6" w:space="0" w:color="auto"/>
              <w:bottom w:val="outset" w:sz="6" w:space="0" w:color="auto"/>
              <w:right w:val="outset" w:sz="6" w:space="0" w:color="auto"/>
            </w:tcBorders>
            <w:hideMark/>
          </w:tcPr>
          <w:p w:rsidR="00C8098E" w:rsidRPr="001B7E4E" w:rsidRDefault="00C8098E" w:rsidP="00FD1594">
            <w:pPr>
              <w:jc w:val="center"/>
              <w:rPr>
                <w:b/>
              </w:rPr>
            </w:pPr>
            <w:r w:rsidRPr="001B7E4E">
              <w:rPr>
                <w:b/>
              </w:rPr>
              <w:t>VII. Tiesību akta projekta izpildes nodrošināšana un tās ietekme uz institūcijām</w:t>
            </w:r>
          </w:p>
          <w:p w:rsidR="00F2321B" w:rsidRPr="001B7E4E" w:rsidRDefault="00F2321B" w:rsidP="00FD1594">
            <w:pPr>
              <w:jc w:val="center"/>
              <w:rPr>
                <w:b/>
              </w:rPr>
            </w:pPr>
          </w:p>
        </w:tc>
      </w:tr>
      <w:tr w:rsidR="00C8098E" w:rsidRPr="001B7E4E" w:rsidTr="00052B4D">
        <w:trPr>
          <w:tblCellSpacing w:w="0" w:type="dxa"/>
        </w:trPr>
        <w:tc>
          <w:tcPr>
            <w:tcW w:w="9116" w:type="dxa"/>
            <w:gridSpan w:val="6"/>
            <w:tcBorders>
              <w:top w:val="outset" w:sz="6" w:space="0" w:color="auto"/>
              <w:left w:val="outset" w:sz="6" w:space="0" w:color="auto"/>
              <w:bottom w:val="outset" w:sz="6" w:space="0" w:color="auto"/>
              <w:right w:val="outset" w:sz="6" w:space="0" w:color="auto"/>
            </w:tcBorders>
            <w:hideMark/>
          </w:tcPr>
          <w:p w:rsidR="00C8098E" w:rsidRPr="001B7E4E" w:rsidRDefault="00C8098E" w:rsidP="007D687B">
            <w:pPr>
              <w:spacing w:before="100" w:beforeAutospacing="1" w:after="100" w:afterAutospacing="1"/>
              <w:jc w:val="center"/>
            </w:pPr>
          </w:p>
        </w:tc>
      </w:tr>
    </w:tbl>
    <w:tbl>
      <w:tblPr>
        <w:tblStyle w:val="TableGrid"/>
        <w:tblW w:w="9072" w:type="dxa"/>
        <w:tblInd w:w="108" w:type="dxa"/>
        <w:tblLook w:val="04A0"/>
      </w:tblPr>
      <w:tblGrid>
        <w:gridCol w:w="426"/>
        <w:gridCol w:w="4110"/>
        <w:gridCol w:w="4536"/>
      </w:tblGrid>
      <w:tr w:rsidR="007D687B" w:rsidRPr="001B7E4E" w:rsidTr="00687A50">
        <w:tc>
          <w:tcPr>
            <w:tcW w:w="426" w:type="dxa"/>
          </w:tcPr>
          <w:p w:rsidR="007D687B" w:rsidRPr="001B7E4E" w:rsidRDefault="007D687B" w:rsidP="008946D9">
            <w:pPr>
              <w:jc w:val="both"/>
            </w:pPr>
            <w:r w:rsidRPr="001B7E4E">
              <w:t>1.</w:t>
            </w:r>
          </w:p>
        </w:tc>
        <w:tc>
          <w:tcPr>
            <w:tcW w:w="4110" w:type="dxa"/>
          </w:tcPr>
          <w:p w:rsidR="007D687B" w:rsidRPr="001B7E4E" w:rsidRDefault="007D687B" w:rsidP="008946D9">
            <w:pPr>
              <w:jc w:val="both"/>
            </w:pPr>
            <w:r w:rsidRPr="001B7E4E">
              <w:t>Projekta izpildē iesaistītās institūcijas</w:t>
            </w:r>
          </w:p>
        </w:tc>
        <w:tc>
          <w:tcPr>
            <w:tcW w:w="4536" w:type="dxa"/>
          </w:tcPr>
          <w:p w:rsidR="007D687B" w:rsidRPr="001B7E4E" w:rsidRDefault="00687A50" w:rsidP="00687A50">
            <w:pPr>
              <w:jc w:val="both"/>
            </w:pPr>
            <w:r w:rsidRPr="001B7E4E">
              <w:t>Slimību profilakses un kontroles centrs</w:t>
            </w:r>
            <w:r w:rsidR="00F2321B" w:rsidRPr="001B7E4E">
              <w:t>,</w:t>
            </w:r>
          </w:p>
          <w:p w:rsidR="005B4AA2" w:rsidRPr="001B7E4E" w:rsidRDefault="00B12CF2" w:rsidP="005B4AA2">
            <w:pPr>
              <w:jc w:val="both"/>
              <w:rPr>
                <w:i/>
              </w:rPr>
            </w:pPr>
            <w:r w:rsidRPr="001B7E4E">
              <w:t>Nacionālais veselības dienests</w:t>
            </w:r>
          </w:p>
        </w:tc>
      </w:tr>
      <w:tr w:rsidR="007D687B" w:rsidRPr="001B7E4E" w:rsidTr="00687A50">
        <w:tc>
          <w:tcPr>
            <w:tcW w:w="426" w:type="dxa"/>
          </w:tcPr>
          <w:p w:rsidR="007D687B" w:rsidRPr="001B7E4E" w:rsidRDefault="007D687B" w:rsidP="008946D9">
            <w:pPr>
              <w:jc w:val="both"/>
            </w:pPr>
            <w:r w:rsidRPr="001B7E4E">
              <w:t xml:space="preserve">2. </w:t>
            </w:r>
          </w:p>
        </w:tc>
        <w:tc>
          <w:tcPr>
            <w:tcW w:w="4110" w:type="dxa"/>
          </w:tcPr>
          <w:p w:rsidR="007D687B" w:rsidRPr="001B7E4E" w:rsidRDefault="007D687B" w:rsidP="008946D9">
            <w:pPr>
              <w:jc w:val="both"/>
            </w:pPr>
            <w:r w:rsidRPr="001B7E4E">
              <w:t>Projekta izpildes ietekme uz pārvaldes funkcijām</w:t>
            </w:r>
          </w:p>
        </w:tc>
        <w:tc>
          <w:tcPr>
            <w:tcW w:w="4536" w:type="dxa"/>
          </w:tcPr>
          <w:p w:rsidR="007D687B" w:rsidRPr="001B7E4E" w:rsidRDefault="00FA0363" w:rsidP="00FA0363">
            <w:pPr>
              <w:jc w:val="both"/>
            </w:pPr>
            <w:r w:rsidRPr="001B7E4E">
              <w:rPr>
                <w:noProof/>
              </w:rPr>
              <w:t>Projekts šo jomu neskar</w:t>
            </w:r>
            <w:r w:rsidRPr="001B7E4E">
              <w:t xml:space="preserve"> </w:t>
            </w:r>
          </w:p>
        </w:tc>
      </w:tr>
      <w:tr w:rsidR="007D687B" w:rsidRPr="001B7E4E" w:rsidTr="00687A50">
        <w:tc>
          <w:tcPr>
            <w:tcW w:w="426" w:type="dxa"/>
          </w:tcPr>
          <w:p w:rsidR="007D687B" w:rsidRPr="001B7E4E" w:rsidRDefault="007D687B" w:rsidP="008946D9">
            <w:pPr>
              <w:jc w:val="both"/>
            </w:pPr>
            <w:r w:rsidRPr="001B7E4E">
              <w:t>.</w:t>
            </w:r>
          </w:p>
        </w:tc>
        <w:tc>
          <w:tcPr>
            <w:tcW w:w="4110" w:type="dxa"/>
          </w:tcPr>
          <w:p w:rsidR="007D687B" w:rsidRPr="001B7E4E" w:rsidRDefault="007D687B" w:rsidP="008946D9">
            <w:pPr>
              <w:jc w:val="both"/>
            </w:pPr>
            <w:r w:rsidRPr="001B7E4E">
              <w:t>Projekta izpildes ietekme uz pārvaldes institucionālo struktūru.</w:t>
            </w:r>
          </w:p>
          <w:p w:rsidR="007D687B" w:rsidRPr="001B7E4E" w:rsidRDefault="007D687B" w:rsidP="008946D9">
            <w:pPr>
              <w:jc w:val="both"/>
            </w:pPr>
            <w:r w:rsidRPr="001B7E4E">
              <w:t>Jaunu institūciju izveide</w:t>
            </w:r>
          </w:p>
        </w:tc>
        <w:tc>
          <w:tcPr>
            <w:tcW w:w="4536" w:type="dxa"/>
          </w:tcPr>
          <w:p w:rsidR="007D687B" w:rsidRPr="001B7E4E" w:rsidRDefault="00FA0363" w:rsidP="00FA0363">
            <w:pPr>
              <w:jc w:val="both"/>
            </w:pPr>
            <w:r w:rsidRPr="001B7E4E">
              <w:rPr>
                <w:noProof/>
              </w:rPr>
              <w:t>Projekts šo jomu neskar</w:t>
            </w:r>
            <w:r w:rsidRPr="001B7E4E">
              <w:t xml:space="preserve"> </w:t>
            </w:r>
          </w:p>
        </w:tc>
      </w:tr>
      <w:tr w:rsidR="007D687B" w:rsidRPr="001B7E4E" w:rsidTr="00687A50">
        <w:tc>
          <w:tcPr>
            <w:tcW w:w="426" w:type="dxa"/>
          </w:tcPr>
          <w:p w:rsidR="007D687B" w:rsidRPr="001B7E4E" w:rsidRDefault="007D687B" w:rsidP="008946D9">
            <w:pPr>
              <w:jc w:val="both"/>
            </w:pPr>
            <w:r w:rsidRPr="001B7E4E">
              <w:t>4.</w:t>
            </w:r>
          </w:p>
        </w:tc>
        <w:tc>
          <w:tcPr>
            <w:tcW w:w="4110" w:type="dxa"/>
          </w:tcPr>
          <w:p w:rsidR="007D687B" w:rsidRPr="001B7E4E" w:rsidRDefault="007D687B" w:rsidP="008946D9">
            <w:pPr>
              <w:jc w:val="both"/>
            </w:pPr>
            <w:r w:rsidRPr="001B7E4E">
              <w:t>Projekta izpildes ietekme uz pārvaldes institucionālo struktūru.</w:t>
            </w:r>
          </w:p>
          <w:p w:rsidR="007D687B" w:rsidRPr="001B7E4E" w:rsidRDefault="007D687B" w:rsidP="008946D9">
            <w:pPr>
              <w:jc w:val="both"/>
            </w:pPr>
            <w:r w:rsidRPr="001B7E4E">
              <w:t>Esošo institūciju likvidācija</w:t>
            </w:r>
          </w:p>
        </w:tc>
        <w:tc>
          <w:tcPr>
            <w:tcW w:w="4536" w:type="dxa"/>
          </w:tcPr>
          <w:p w:rsidR="007D687B" w:rsidRPr="001B7E4E" w:rsidRDefault="00FA0363" w:rsidP="00FA0363">
            <w:pPr>
              <w:jc w:val="both"/>
            </w:pPr>
            <w:r w:rsidRPr="001B7E4E">
              <w:rPr>
                <w:noProof/>
              </w:rPr>
              <w:t>Projekts šo jomu neskar</w:t>
            </w:r>
            <w:r w:rsidRPr="001B7E4E">
              <w:t xml:space="preserve"> </w:t>
            </w:r>
          </w:p>
        </w:tc>
      </w:tr>
      <w:tr w:rsidR="007D687B" w:rsidRPr="001B7E4E" w:rsidTr="00687A50">
        <w:tc>
          <w:tcPr>
            <w:tcW w:w="426" w:type="dxa"/>
          </w:tcPr>
          <w:p w:rsidR="007D687B" w:rsidRPr="001B7E4E" w:rsidRDefault="007D687B" w:rsidP="008946D9">
            <w:pPr>
              <w:jc w:val="both"/>
            </w:pPr>
            <w:r w:rsidRPr="001B7E4E">
              <w:t>5.</w:t>
            </w:r>
          </w:p>
        </w:tc>
        <w:tc>
          <w:tcPr>
            <w:tcW w:w="4110" w:type="dxa"/>
          </w:tcPr>
          <w:p w:rsidR="007D687B" w:rsidRPr="001B7E4E" w:rsidRDefault="007D687B" w:rsidP="008946D9">
            <w:pPr>
              <w:jc w:val="both"/>
            </w:pPr>
            <w:r w:rsidRPr="001B7E4E">
              <w:t>Projekta izpildes ietekme uz pārvaldes institucionālo struktūru.</w:t>
            </w:r>
          </w:p>
          <w:p w:rsidR="007D687B" w:rsidRPr="001B7E4E" w:rsidRDefault="007D687B" w:rsidP="008946D9">
            <w:pPr>
              <w:jc w:val="both"/>
            </w:pPr>
            <w:r w:rsidRPr="001B7E4E">
              <w:t>Esošo institūciju reorganizācija</w:t>
            </w:r>
          </w:p>
        </w:tc>
        <w:tc>
          <w:tcPr>
            <w:tcW w:w="4536" w:type="dxa"/>
          </w:tcPr>
          <w:p w:rsidR="007D687B" w:rsidRPr="001B7E4E" w:rsidRDefault="00FA0363" w:rsidP="00FA0363">
            <w:pPr>
              <w:jc w:val="both"/>
            </w:pPr>
            <w:r w:rsidRPr="001B7E4E">
              <w:rPr>
                <w:noProof/>
              </w:rPr>
              <w:t>Projekts šo jomu neskar</w:t>
            </w:r>
            <w:r w:rsidRPr="001B7E4E">
              <w:t xml:space="preserve"> </w:t>
            </w:r>
          </w:p>
        </w:tc>
      </w:tr>
      <w:tr w:rsidR="007D687B" w:rsidRPr="001B7E4E" w:rsidTr="00687A50">
        <w:tc>
          <w:tcPr>
            <w:tcW w:w="426" w:type="dxa"/>
          </w:tcPr>
          <w:p w:rsidR="007D687B" w:rsidRPr="001B7E4E" w:rsidRDefault="007D687B" w:rsidP="008946D9">
            <w:pPr>
              <w:jc w:val="both"/>
            </w:pPr>
            <w:r w:rsidRPr="001B7E4E">
              <w:t>6.</w:t>
            </w:r>
          </w:p>
        </w:tc>
        <w:tc>
          <w:tcPr>
            <w:tcW w:w="4110" w:type="dxa"/>
          </w:tcPr>
          <w:p w:rsidR="007D687B" w:rsidRPr="001B7E4E" w:rsidRDefault="007D687B" w:rsidP="008946D9">
            <w:pPr>
              <w:jc w:val="both"/>
            </w:pPr>
            <w:r w:rsidRPr="001B7E4E">
              <w:t>Cita informācija</w:t>
            </w:r>
          </w:p>
        </w:tc>
        <w:tc>
          <w:tcPr>
            <w:tcW w:w="4536" w:type="dxa"/>
          </w:tcPr>
          <w:p w:rsidR="007D687B" w:rsidRPr="001B7E4E" w:rsidRDefault="007D687B" w:rsidP="008946D9">
            <w:pPr>
              <w:jc w:val="both"/>
            </w:pPr>
            <w:r w:rsidRPr="001B7E4E">
              <w:t>Nav</w:t>
            </w:r>
          </w:p>
        </w:tc>
      </w:tr>
    </w:tbl>
    <w:p w:rsidR="00D85A21" w:rsidRPr="001B7E4E" w:rsidRDefault="00900E0C" w:rsidP="00140C35">
      <w:pPr>
        <w:pStyle w:val="tvhtml"/>
        <w:rPr>
          <w:rFonts w:ascii="Times New Roman" w:hAnsi="Times New Roman"/>
          <w:iCs/>
          <w:sz w:val="24"/>
          <w:szCs w:val="24"/>
        </w:rPr>
      </w:pPr>
      <w:r w:rsidRPr="001B7E4E">
        <w:rPr>
          <w:rFonts w:ascii="Times New Roman" w:hAnsi="Times New Roman"/>
          <w:iCs/>
          <w:sz w:val="24"/>
          <w:szCs w:val="24"/>
        </w:rPr>
        <w:t xml:space="preserve">Anotācijas </w:t>
      </w:r>
      <w:r w:rsidR="005718AC" w:rsidRPr="001B7E4E">
        <w:rPr>
          <w:rFonts w:ascii="Times New Roman" w:hAnsi="Times New Roman"/>
          <w:iCs/>
          <w:sz w:val="24"/>
          <w:szCs w:val="24"/>
        </w:rPr>
        <w:t>I</w:t>
      </w:r>
      <w:r w:rsidRPr="001B7E4E">
        <w:rPr>
          <w:rFonts w:ascii="Times New Roman" w:hAnsi="Times New Roman"/>
          <w:iCs/>
          <w:sz w:val="24"/>
          <w:szCs w:val="24"/>
        </w:rPr>
        <w:t>V</w:t>
      </w:r>
      <w:r w:rsidR="003B36C5">
        <w:rPr>
          <w:rFonts w:ascii="Times New Roman" w:hAnsi="Times New Roman"/>
          <w:iCs/>
          <w:sz w:val="24"/>
          <w:szCs w:val="24"/>
        </w:rPr>
        <w:t xml:space="preserve"> un </w:t>
      </w:r>
      <w:r w:rsidR="00F2321B" w:rsidRPr="001B7E4E">
        <w:rPr>
          <w:rFonts w:ascii="Times New Roman" w:hAnsi="Times New Roman"/>
          <w:iCs/>
          <w:sz w:val="24"/>
          <w:szCs w:val="24"/>
        </w:rPr>
        <w:t xml:space="preserve">VI </w:t>
      </w:r>
      <w:r w:rsidRPr="001B7E4E">
        <w:rPr>
          <w:rFonts w:ascii="Times New Roman" w:hAnsi="Times New Roman"/>
          <w:iCs/>
          <w:sz w:val="24"/>
          <w:szCs w:val="24"/>
        </w:rPr>
        <w:t xml:space="preserve"> sadaļa – projekts šīs jomas neskar.</w:t>
      </w:r>
    </w:p>
    <w:p w:rsidR="0055176B" w:rsidRDefault="0055176B" w:rsidP="002A1220">
      <w:pPr>
        <w:jc w:val="both"/>
        <w:rPr>
          <w:sz w:val="28"/>
          <w:szCs w:val="28"/>
        </w:rPr>
      </w:pPr>
    </w:p>
    <w:p w:rsidR="00DB43C8" w:rsidRPr="001B7E4E" w:rsidRDefault="00DB43C8" w:rsidP="002A1220">
      <w:pPr>
        <w:jc w:val="both"/>
        <w:rPr>
          <w:sz w:val="28"/>
          <w:szCs w:val="28"/>
        </w:rPr>
      </w:pPr>
    </w:p>
    <w:p w:rsidR="00CB7CD9" w:rsidRPr="00DB43C8" w:rsidRDefault="002A1220" w:rsidP="002A1220">
      <w:pPr>
        <w:jc w:val="both"/>
        <w:rPr>
          <w:sz w:val="28"/>
          <w:szCs w:val="28"/>
        </w:rPr>
      </w:pPr>
      <w:r w:rsidRPr="001B7E4E">
        <w:rPr>
          <w:sz w:val="28"/>
          <w:szCs w:val="28"/>
        </w:rPr>
        <w:t xml:space="preserve">Veselības ministre                                                          </w:t>
      </w:r>
      <w:r w:rsidR="0055176B" w:rsidRPr="001B7E4E">
        <w:rPr>
          <w:sz w:val="28"/>
          <w:szCs w:val="28"/>
        </w:rPr>
        <w:t xml:space="preserve">             </w:t>
      </w:r>
      <w:r w:rsidRPr="001B7E4E">
        <w:rPr>
          <w:sz w:val="28"/>
          <w:szCs w:val="28"/>
        </w:rPr>
        <w:t xml:space="preserve">  I.Circene</w:t>
      </w:r>
    </w:p>
    <w:p w:rsidR="00455C65" w:rsidRDefault="00455C65" w:rsidP="002A1220">
      <w:pPr>
        <w:jc w:val="both"/>
        <w:rPr>
          <w:sz w:val="20"/>
          <w:szCs w:val="20"/>
        </w:rPr>
      </w:pPr>
    </w:p>
    <w:p w:rsidR="00DB43C8" w:rsidRDefault="00DB43C8" w:rsidP="002A1220">
      <w:pPr>
        <w:jc w:val="both"/>
        <w:rPr>
          <w:sz w:val="20"/>
          <w:szCs w:val="20"/>
        </w:rPr>
      </w:pPr>
    </w:p>
    <w:p w:rsidR="00DB43C8" w:rsidRDefault="00DB43C8" w:rsidP="002A1220">
      <w:pPr>
        <w:jc w:val="both"/>
        <w:rPr>
          <w:sz w:val="20"/>
          <w:szCs w:val="20"/>
        </w:rPr>
      </w:pPr>
    </w:p>
    <w:p w:rsidR="00DB43C8" w:rsidRDefault="00DB43C8" w:rsidP="002A1220">
      <w:pPr>
        <w:jc w:val="both"/>
        <w:rPr>
          <w:sz w:val="20"/>
          <w:szCs w:val="20"/>
        </w:rPr>
      </w:pPr>
    </w:p>
    <w:p w:rsidR="00DB43C8" w:rsidRDefault="00DB43C8" w:rsidP="002A1220">
      <w:pPr>
        <w:jc w:val="both"/>
        <w:rPr>
          <w:sz w:val="20"/>
          <w:szCs w:val="20"/>
        </w:rPr>
      </w:pPr>
    </w:p>
    <w:p w:rsidR="00BA3089" w:rsidRPr="00CD524A" w:rsidRDefault="00CD524A" w:rsidP="002A1220">
      <w:pPr>
        <w:jc w:val="both"/>
        <w:rPr>
          <w:sz w:val="20"/>
          <w:szCs w:val="20"/>
        </w:rPr>
      </w:pPr>
      <w:r w:rsidRPr="00CD524A">
        <w:rPr>
          <w:sz w:val="20"/>
          <w:szCs w:val="20"/>
        </w:rPr>
        <w:t>2</w:t>
      </w:r>
      <w:r w:rsidR="0047135D">
        <w:rPr>
          <w:sz w:val="20"/>
          <w:szCs w:val="20"/>
        </w:rPr>
        <w:t>7</w:t>
      </w:r>
      <w:r w:rsidR="00F6683C" w:rsidRPr="00CD524A">
        <w:rPr>
          <w:sz w:val="20"/>
          <w:szCs w:val="20"/>
        </w:rPr>
        <w:t>.</w:t>
      </w:r>
      <w:r w:rsidR="00FD1594" w:rsidRPr="00CD524A">
        <w:rPr>
          <w:sz w:val="20"/>
          <w:szCs w:val="20"/>
        </w:rPr>
        <w:t>1</w:t>
      </w:r>
      <w:r w:rsidR="00A10616" w:rsidRPr="00CD524A">
        <w:rPr>
          <w:sz w:val="20"/>
          <w:szCs w:val="20"/>
        </w:rPr>
        <w:t>1</w:t>
      </w:r>
      <w:r w:rsidR="00F6683C" w:rsidRPr="00CD524A">
        <w:rPr>
          <w:sz w:val="20"/>
          <w:szCs w:val="20"/>
        </w:rPr>
        <w:t>.2013</w:t>
      </w:r>
      <w:r w:rsidRPr="00CD524A">
        <w:rPr>
          <w:sz w:val="20"/>
          <w:szCs w:val="20"/>
        </w:rPr>
        <w:t xml:space="preserve">. </w:t>
      </w:r>
      <w:r w:rsidR="00075EC0">
        <w:rPr>
          <w:sz w:val="20"/>
          <w:szCs w:val="20"/>
        </w:rPr>
        <w:t>11</w:t>
      </w:r>
      <w:r w:rsidR="00F6683C" w:rsidRPr="00CD524A">
        <w:rPr>
          <w:sz w:val="20"/>
          <w:szCs w:val="20"/>
        </w:rPr>
        <w:t>:</w:t>
      </w:r>
      <w:r w:rsidR="004D432F">
        <w:rPr>
          <w:sz w:val="20"/>
          <w:szCs w:val="20"/>
        </w:rPr>
        <w:t>43</w:t>
      </w:r>
    </w:p>
    <w:p w:rsidR="00FD1594" w:rsidRPr="0084099A" w:rsidRDefault="0084099A" w:rsidP="002A1220">
      <w:pPr>
        <w:jc w:val="both"/>
        <w:rPr>
          <w:sz w:val="22"/>
          <w:szCs w:val="22"/>
        </w:rPr>
      </w:pPr>
      <w:r w:rsidRPr="0084099A">
        <w:rPr>
          <w:sz w:val="22"/>
          <w:szCs w:val="22"/>
        </w:rPr>
        <w:t>34</w:t>
      </w:r>
      <w:r w:rsidR="0047135D">
        <w:rPr>
          <w:sz w:val="22"/>
          <w:szCs w:val="22"/>
        </w:rPr>
        <w:t>36</w:t>
      </w:r>
    </w:p>
    <w:p w:rsidR="002A1220" w:rsidRPr="00CD524A" w:rsidRDefault="00FD1594" w:rsidP="002A1220">
      <w:pPr>
        <w:jc w:val="both"/>
        <w:rPr>
          <w:sz w:val="20"/>
          <w:szCs w:val="20"/>
        </w:rPr>
      </w:pPr>
      <w:r w:rsidRPr="00CD524A">
        <w:rPr>
          <w:sz w:val="20"/>
          <w:szCs w:val="20"/>
        </w:rPr>
        <w:t xml:space="preserve">Grīsle </w:t>
      </w:r>
      <w:r w:rsidR="002A1220" w:rsidRPr="00CD524A">
        <w:rPr>
          <w:sz w:val="20"/>
          <w:szCs w:val="20"/>
        </w:rPr>
        <w:t>6787608</w:t>
      </w:r>
      <w:r w:rsidRPr="00CD524A">
        <w:rPr>
          <w:sz w:val="20"/>
          <w:szCs w:val="20"/>
        </w:rPr>
        <w:t>9</w:t>
      </w:r>
    </w:p>
    <w:p w:rsidR="003B36C5" w:rsidRPr="00CD524A" w:rsidRDefault="00CB7CD9" w:rsidP="002A1220">
      <w:pPr>
        <w:jc w:val="both"/>
        <w:rPr>
          <w:sz w:val="20"/>
          <w:szCs w:val="20"/>
        </w:rPr>
      </w:pPr>
      <w:r w:rsidRPr="00CD524A">
        <w:rPr>
          <w:sz w:val="20"/>
          <w:szCs w:val="20"/>
        </w:rPr>
        <w:t>Skudra 67876</w:t>
      </w:r>
      <w:r w:rsidR="007548BB" w:rsidRPr="00CD524A">
        <w:rPr>
          <w:sz w:val="20"/>
          <w:szCs w:val="20"/>
        </w:rPr>
        <w:t>038</w:t>
      </w:r>
    </w:p>
    <w:p w:rsidR="00CD524A" w:rsidRPr="00CD524A" w:rsidRDefault="00CD524A" w:rsidP="002A1220">
      <w:pPr>
        <w:jc w:val="both"/>
        <w:rPr>
          <w:sz w:val="20"/>
          <w:szCs w:val="20"/>
        </w:rPr>
      </w:pPr>
      <w:r w:rsidRPr="00CD524A">
        <w:rPr>
          <w:sz w:val="20"/>
          <w:szCs w:val="20"/>
        </w:rPr>
        <w:t>Jermacāne 6786167</w:t>
      </w:r>
    </w:p>
    <w:p w:rsidR="002A1220" w:rsidRPr="00CD524A" w:rsidRDefault="00A238BA" w:rsidP="00231C5C">
      <w:pPr>
        <w:jc w:val="both"/>
        <w:rPr>
          <w:sz w:val="20"/>
          <w:szCs w:val="20"/>
        </w:rPr>
      </w:pPr>
      <w:hyperlink r:id="rId9" w:history="1">
        <w:r w:rsidR="007548BB" w:rsidRPr="00CD524A">
          <w:rPr>
            <w:rStyle w:val="Hyperlink"/>
            <w:sz w:val="20"/>
            <w:szCs w:val="20"/>
          </w:rPr>
          <w:t>gunta.grisle@vm.gov.lv</w:t>
        </w:r>
      </w:hyperlink>
    </w:p>
    <w:p w:rsidR="007548BB" w:rsidRPr="00CD524A" w:rsidRDefault="00A238BA" w:rsidP="00231C5C">
      <w:pPr>
        <w:jc w:val="both"/>
        <w:rPr>
          <w:sz w:val="20"/>
          <w:szCs w:val="20"/>
        </w:rPr>
      </w:pPr>
      <w:hyperlink r:id="rId10" w:history="1">
        <w:r w:rsidR="00AE40D2" w:rsidRPr="00CD524A">
          <w:rPr>
            <w:rStyle w:val="Hyperlink"/>
            <w:sz w:val="20"/>
            <w:szCs w:val="20"/>
          </w:rPr>
          <w:t>vesma.skudra@vm.gov.lv</w:t>
        </w:r>
      </w:hyperlink>
    </w:p>
    <w:p w:rsidR="00CD524A" w:rsidRPr="00CD524A" w:rsidRDefault="00A238BA" w:rsidP="00231C5C">
      <w:pPr>
        <w:jc w:val="both"/>
        <w:rPr>
          <w:sz w:val="20"/>
          <w:szCs w:val="20"/>
        </w:rPr>
      </w:pPr>
      <w:hyperlink r:id="rId11" w:history="1">
        <w:r w:rsidR="00CD524A" w:rsidRPr="00CD524A">
          <w:rPr>
            <w:rStyle w:val="Hyperlink"/>
            <w:sz w:val="20"/>
            <w:szCs w:val="20"/>
          </w:rPr>
          <w:t>guna.jermacane@vm.gov.lv</w:t>
        </w:r>
      </w:hyperlink>
    </w:p>
    <w:p w:rsidR="00CD524A" w:rsidRPr="00CD524A" w:rsidRDefault="00CD524A" w:rsidP="00231C5C">
      <w:pPr>
        <w:jc w:val="both"/>
        <w:rPr>
          <w:sz w:val="20"/>
          <w:szCs w:val="20"/>
        </w:rPr>
      </w:pPr>
    </w:p>
    <w:p w:rsidR="007548BB" w:rsidRPr="00CD524A" w:rsidRDefault="007548BB" w:rsidP="00231C5C">
      <w:pPr>
        <w:jc w:val="both"/>
        <w:rPr>
          <w:sz w:val="20"/>
          <w:szCs w:val="20"/>
        </w:rPr>
      </w:pPr>
    </w:p>
    <w:sectPr w:rsidR="007548BB" w:rsidRPr="00CD524A" w:rsidSect="006248F0">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A54" w:rsidRDefault="00894A54">
      <w:r>
        <w:separator/>
      </w:r>
    </w:p>
  </w:endnote>
  <w:endnote w:type="continuationSeparator" w:id="0">
    <w:p w:rsidR="00894A54" w:rsidRDefault="00894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A57" w:rsidRDefault="00A238BA">
    <w:r>
      <w:fldChar w:fldCharType="begin"/>
    </w:r>
    <w:r>
      <w:instrText xml:space="preserve"> FILENAME   \* MERGEFORMAT </w:instrText>
    </w:r>
    <w:r>
      <w:fldChar w:fldCharType="separate"/>
    </w:r>
    <w:r w:rsidR="004D432F" w:rsidRPr="004D432F">
      <w:rPr>
        <w:noProof/>
        <w:sz w:val="20"/>
        <w:szCs w:val="20"/>
      </w:rPr>
      <w:t>VManot_271113_grvakc</w:t>
    </w:r>
    <w:r>
      <w:fldChar w:fldCharType="end"/>
    </w:r>
    <w:r w:rsidR="00497A57">
      <w:rPr>
        <w:sz w:val="20"/>
        <w:szCs w:val="20"/>
      </w:rPr>
      <w:t xml:space="preserve">; </w:t>
    </w:r>
    <w:fldSimple w:instr=" TITLE   \* MERGEFORMAT ">
      <w:r w:rsidR="004D432F" w:rsidRPr="004D432F">
        <w:rPr>
          <w:sz w:val="20"/>
          <w:szCs w:val="20"/>
        </w:rPr>
        <w:t>Ministru kabineta noteikumu projekta “Grozījumi Ministru kabineta 2000.gada 26.septembra noteikumos Nr.330 “Vakcinācijas noteikumi”” sākotnējās ietekmes novērtējuma ziņojums (anotācija)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A57" w:rsidRPr="0023734A" w:rsidRDefault="00A238BA" w:rsidP="003B0A8C">
    <w:pPr>
      <w:jc w:val="both"/>
      <w:rPr>
        <w:sz w:val="20"/>
        <w:szCs w:val="20"/>
      </w:rPr>
    </w:pPr>
    <w:r>
      <w:fldChar w:fldCharType="begin"/>
    </w:r>
    <w:r>
      <w:instrText xml:space="preserve"> FILENAME   \* MERGEFORMAT </w:instrText>
    </w:r>
    <w:r>
      <w:fldChar w:fldCharType="separate"/>
    </w:r>
    <w:r w:rsidR="004D432F" w:rsidRPr="004D432F">
      <w:rPr>
        <w:noProof/>
        <w:sz w:val="20"/>
        <w:szCs w:val="20"/>
      </w:rPr>
      <w:t>VManot_271113_grvakc</w:t>
    </w:r>
    <w:r>
      <w:fldChar w:fldCharType="end"/>
    </w:r>
    <w:r w:rsidR="00497A57">
      <w:rPr>
        <w:sz w:val="20"/>
        <w:szCs w:val="20"/>
      </w:rPr>
      <w:t>;</w:t>
    </w:r>
    <w:r w:rsidR="00497A57" w:rsidRPr="00AF7124">
      <w:rPr>
        <w:sz w:val="20"/>
        <w:szCs w:val="20"/>
      </w:rPr>
      <w:t xml:space="preserve"> </w:t>
    </w:r>
    <w:fldSimple w:instr=" TITLE   \* MERGEFORMAT ">
      <w:r w:rsidR="004D432F" w:rsidRPr="004D432F">
        <w:rPr>
          <w:sz w:val="20"/>
          <w:szCs w:val="20"/>
        </w:rPr>
        <w:t>Ministru kabineta noteikumu projekta “Grozījumi Ministru kabineta 2000.gada 26.septembra noteikumos Nr.330 “Vakcinācijas noteikumi”” sākotnējās ietekmes novērtējuma ziņojums (anotācija)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A54" w:rsidRDefault="00894A54">
      <w:r>
        <w:separator/>
      </w:r>
    </w:p>
  </w:footnote>
  <w:footnote w:type="continuationSeparator" w:id="0">
    <w:p w:rsidR="00894A54" w:rsidRDefault="00894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A57" w:rsidRDefault="00A238BA" w:rsidP="002935F0">
    <w:pPr>
      <w:pStyle w:val="Header"/>
      <w:framePr w:wrap="around" w:vAnchor="text" w:hAnchor="margin" w:xAlign="center" w:y="1"/>
      <w:rPr>
        <w:rStyle w:val="PageNumber"/>
      </w:rPr>
    </w:pPr>
    <w:r>
      <w:rPr>
        <w:rStyle w:val="PageNumber"/>
      </w:rPr>
      <w:fldChar w:fldCharType="begin"/>
    </w:r>
    <w:r w:rsidR="00497A57">
      <w:rPr>
        <w:rStyle w:val="PageNumber"/>
      </w:rPr>
      <w:instrText xml:space="preserve">PAGE  </w:instrText>
    </w:r>
    <w:r>
      <w:rPr>
        <w:rStyle w:val="PageNumber"/>
      </w:rPr>
      <w:fldChar w:fldCharType="end"/>
    </w:r>
  </w:p>
  <w:p w:rsidR="00497A57" w:rsidRDefault="00497A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A57" w:rsidRDefault="00A238BA" w:rsidP="002935F0">
    <w:pPr>
      <w:pStyle w:val="Header"/>
      <w:framePr w:wrap="around" w:vAnchor="text" w:hAnchor="margin" w:xAlign="center" w:y="1"/>
      <w:rPr>
        <w:rStyle w:val="PageNumber"/>
      </w:rPr>
    </w:pPr>
    <w:r>
      <w:rPr>
        <w:rStyle w:val="PageNumber"/>
      </w:rPr>
      <w:fldChar w:fldCharType="begin"/>
    </w:r>
    <w:r w:rsidR="00497A57">
      <w:rPr>
        <w:rStyle w:val="PageNumber"/>
      </w:rPr>
      <w:instrText xml:space="preserve">PAGE  </w:instrText>
    </w:r>
    <w:r>
      <w:rPr>
        <w:rStyle w:val="PageNumber"/>
      </w:rPr>
      <w:fldChar w:fldCharType="separate"/>
    </w:r>
    <w:r w:rsidR="004D432F">
      <w:rPr>
        <w:rStyle w:val="PageNumber"/>
        <w:noProof/>
      </w:rPr>
      <w:t>13</w:t>
    </w:r>
    <w:r>
      <w:rPr>
        <w:rStyle w:val="PageNumber"/>
      </w:rPr>
      <w:fldChar w:fldCharType="end"/>
    </w:r>
  </w:p>
  <w:p w:rsidR="00497A57" w:rsidRDefault="00497A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1429"/>
    <w:multiLevelType w:val="hybridMultilevel"/>
    <w:tmpl w:val="0F906BC2"/>
    <w:lvl w:ilvl="0" w:tplc="E10AE768">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1">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D648E2"/>
    <w:multiLevelType w:val="hybridMultilevel"/>
    <w:tmpl w:val="18889018"/>
    <w:lvl w:ilvl="0" w:tplc="A9CEB8AC">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EBF3596"/>
    <w:multiLevelType w:val="hybridMultilevel"/>
    <w:tmpl w:val="D74056E2"/>
    <w:lvl w:ilvl="0" w:tplc="C31C93B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A146D4C"/>
    <w:multiLevelType w:val="hybridMultilevel"/>
    <w:tmpl w:val="0F906BC2"/>
    <w:lvl w:ilvl="0" w:tplc="E10AE768">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5">
    <w:nsid w:val="5A6930D9"/>
    <w:multiLevelType w:val="hybridMultilevel"/>
    <w:tmpl w:val="29EE11C0"/>
    <w:lvl w:ilvl="0" w:tplc="C6204D98">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lv-LV" w:vendorID="71" w:dllVersion="512" w:checkStyle="1"/>
  <w:proofState w:spelling="clean" w:grammar="clean"/>
  <w:stylePaneFormatFilter w:val="3F01"/>
  <w:defaultTabStop w:val="720"/>
  <w:characterSpacingControl w:val="doNotCompress"/>
  <w:footnotePr>
    <w:footnote w:id="-1"/>
    <w:footnote w:id="0"/>
  </w:footnotePr>
  <w:endnotePr>
    <w:endnote w:id="-1"/>
    <w:endnote w:id="0"/>
  </w:endnotePr>
  <w:compat/>
  <w:rsids>
    <w:rsidRoot w:val="00057A45"/>
    <w:rsid w:val="00001803"/>
    <w:rsid w:val="000029E3"/>
    <w:rsid w:val="00002F99"/>
    <w:rsid w:val="00003293"/>
    <w:rsid w:val="00003841"/>
    <w:rsid w:val="00004359"/>
    <w:rsid w:val="00005DFA"/>
    <w:rsid w:val="00010C72"/>
    <w:rsid w:val="00010DDA"/>
    <w:rsid w:val="00012DF1"/>
    <w:rsid w:val="0001328D"/>
    <w:rsid w:val="000136B4"/>
    <w:rsid w:val="00013724"/>
    <w:rsid w:val="000138A9"/>
    <w:rsid w:val="00013ADC"/>
    <w:rsid w:val="0001463E"/>
    <w:rsid w:val="00015BE4"/>
    <w:rsid w:val="00016FEA"/>
    <w:rsid w:val="000173AC"/>
    <w:rsid w:val="000205A7"/>
    <w:rsid w:val="00021276"/>
    <w:rsid w:val="00021D18"/>
    <w:rsid w:val="00023677"/>
    <w:rsid w:val="00023887"/>
    <w:rsid w:val="00024503"/>
    <w:rsid w:val="0003154A"/>
    <w:rsid w:val="00033624"/>
    <w:rsid w:val="00033E5E"/>
    <w:rsid w:val="0003431E"/>
    <w:rsid w:val="00034CC1"/>
    <w:rsid w:val="00035450"/>
    <w:rsid w:val="0003583F"/>
    <w:rsid w:val="0003656F"/>
    <w:rsid w:val="00041CE7"/>
    <w:rsid w:val="000460B9"/>
    <w:rsid w:val="000473CC"/>
    <w:rsid w:val="000502EA"/>
    <w:rsid w:val="00052B4D"/>
    <w:rsid w:val="00052C94"/>
    <w:rsid w:val="000564BF"/>
    <w:rsid w:val="00057A45"/>
    <w:rsid w:val="000609AF"/>
    <w:rsid w:val="00060EBD"/>
    <w:rsid w:val="00063AA8"/>
    <w:rsid w:val="000640B8"/>
    <w:rsid w:val="000651A7"/>
    <w:rsid w:val="000673CB"/>
    <w:rsid w:val="00071B24"/>
    <w:rsid w:val="00073377"/>
    <w:rsid w:val="00073592"/>
    <w:rsid w:val="000745B5"/>
    <w:rsid w:val="00075760"/>
    <w:rsid w:val="00075EC0"/>
    <w:rsid w:val="00076EF5"/>
    <w:rsid w:val="0007735D"/>
    <w:rsid w:val="00082C78"/>
    <w:rsid w:val="000947C0"/>
    <w:rsid w:val="00094944"/>
    <w:rsid w:val="000958FA"/>
    <w:rsid w:val="00095DAF"/>
    <w:rsid w:val="00097499"/>
    <w:rsid w:val="000A0048"/>
    <w:rsid w:val="000A00D8"/>
    <w:rsid w:val="000A19DE"/>
    <w:rsid w:val="000A2619"/>
    <w:rsid w:val="000A3EF3"/>
    <w:rsid w:val="000A68D7"/>
    <w:rsid w:val="000A7EFC"/>
    <w:rsid w:val="000B03DD"/>
    <w:rsid w:val="000B04D8"/>
    <w:rsid w:val="000B1841"/>
    <w:rsid w:val="000B20BC"/>
    <w:rsid w:val="000B4ADF"/>
    <w:rsid w:val="000B664E"/>
    <w:rsid w:val="000C0D48"/>
    <w:rsid w:val="000C5A21"/>
    <w:rsid w:val="000C682A"/>
    <w:rsid w:val="000D2AE7"/>
    <w:rsid w:val="000D43B0"/>
    <w:rsid w:val="000D4FF4"/>
    <w:rsid w:val="000D5011"/>
    <w:rsid w:val="000E23A9"/>
    <w:rsid w:val="000E3252"/>
    <w:rsid w:val="000E5011"/>
    <w:rsid w:val="000E52AF"/>
    <w:rsid w:val="000E581B"/>
    <w:rsid w:val="000E5874"/>
    <w:rsid w:val="000E5BFF"/>
    <w:rsid w:val="000E705D"/>
    <w:rsid w:val="000F1E99"/>
    <w:rsid w:val="000F4596"/>
    <w:rsid w:val="0010194C"/>
    <w:rsid w:val="00102D53"/>
    <w:rsid w:val="00106273"/>
    <w:rsid w:val="00107CE4"/>
    <w:rsid w:val="00110EAA"/>
    <w:rsid w:val="0011118D"/>
    <w:rsid w:val="001116A8"/>
    <w:rsid w:val="00111D02"/>
    <w:rsid w:val="001177E0"/>
    <w:rsid w:val="00123D90"/>
    <w:rsid w:val="001243E4"/>
    <w:rsid w:val="001256C9"/>
    <w:rsid w:val="00126108"/>
    <w:rsid w:val="00126F18"/>
    <w:rsid w:val="00130E5E"/>
    <w:rsid w:val="001311F8"/>
    <w:rsid w:val="00133483"/>
    <w:rsid w:val="001335EF"/>
    <w:rsid w:val="001358D5"/>
    <w:rsid w:val="00135B78"/>
    <w:rsid w:val="00140C35"/>
    <w:rsid w:val="0014166D"/>
    <w:rsid w:val="00142843"/>
    <w:rsid w:val="00143999"/>
    <w:rsid w:val="0014415B"/>
    <w:rsid w:val="0014526D"/>
    <w:rsid w:val="0015095B"/>
    <w:rsid w:val="001510EF"/>
    <w:rsid w:val="00151D4E"/>
    <w:rsid w:val="00153606"/>
    <w:rsid w:val="001536C6"/>
    <w:rsid w:val="00154343"/>
    <w:rsid w:val="001551C6"/>
    <w:rsid w:val="001621A8"/>
    <w:rsid w:val="00162B16"/>
    <w:rsid w:val="0016316A"/>
    <w:rsid w:val="001654CC"/>
    <w:rsid w:val="0016645F"/>
    <w:rsid w:val="001676C1"/>
    <w:rsid w:val="00167B6E"/>
    <w:rsid w:val="0017374C"/>
    <w:rsid w:val="00176768"/>
    <w:rsid w:val="00176922"/>
    <w:rsid w:val="0017709A"/>
    <w:rsid w:val="00177310"/>
    <w:rsid w:val="001803D7"/>
    <w:rsid w:val="0018044A"/>
    <w:rsid w:val="00187742"/>
    <w:rsid w:val="001913E0"/>
    <w:rsid w:val="00193FD0"/>
    <w:rsid w:val="00194936"/>
    <w:rsid w:val="0019600B"/>
    <w:rsid w:val="001966C0"/>
    <w:rsid w:val="00197BFC"/>
    <w:rsid w:val="001A2A50"/>
    <w:rsid w:val="001A2CA3"/>
    <w:rsid w:val="001A388B"/>
    <w:rsid w:val="001A4094"/>
    <w:rsid w:val="001A495C"/>
    <w:rsid w:val="001A783A"/>
    <w:rsid w:val="001B0002"/>
    <w:rsid w:val="001B0834"/>
    <w:rsid w:val="001B25AF"/>
    <w:rsid w:val="001B6B34"/>
    <w:rsid w:val="001B7E4E"/>
    <w:rsid w:val="001C05FE"/>
    <w:rsid w:val="001C22B6"/>
    <w:rsid w:val="001C2FA2"/>
    <w:rsid w:val="001C3946"/>
    <w:rsid w:val="001C3D6B"/>
    <w:rsid w:val="001C4D7C"/>
    <w:rsid w:val="001C53E1"/>
    <w:rsid w:val="001C5CEA"/>
    <w:rsid w:val="001D0D61"/>
    <w:rsid w:val="001D11D4"/>
    <w:rsid w:val="001D1DB9"/>
    <w:rsid w:val="001D2889"/>
    <w:rsid w:val="001D2C60"/>
    <w:rsid w:val="001D3BEE"/>
    <w:rsid w:val="001D6900"/>
    <w:rsid w:val="001E4EF5"/>
    <w:rsid w:val="001E5C4C"/>
    <w:rsid w:val="001E75FB"/>
    <w:rsid w:val="001F201E"/>
    <w:rsid w:val="001F27B8"/>
    <w:rsid w:val="001F7E4A"/>
    <w:rsid w:val="002006D0"/>
    <w:rsid w:val="00201CB9"/>
    <w:rsid w:val="00201E76"/>
    <w:rsid w:val="00204A8B"/>
    <w:rsid w:val="00205EED"/>
    <w:rsid w:val="00210ED7"/>
    <w:rsid w:val="002120B6"/>
    <w:rsid w:val="00214299"/>
    <w:rsid w:val="00214C14"/>
    <w:rsid w:val="00215749"/>
    <w:rsid w:val="00220692"/>
    <w:rsid w:val="0022074C"/>
    <w:rsid w:val="00221ADE"/>
    <w:rsid w:val="00222714"/>
    <w:rsid w:val="002235BD"/>
    <w:rsid w:val="002248A3"/>
    <w:rsid w:val="00224CB1"/>
    <w:rsid w:val="00226548"/>
    <w:rsid w:val="002265D8"/>
    <w:rsid w:val="002266C1"/>
    <w:rsid w:val="002267D6"/>
    <w:rsid w:val="00226CA4"/>
    <w:rsid w:val="00227E30"/>
    <w:rsid w:val="00230284"/>
    <w:rsid w:val="00230B5C"/>
    <w:rsid w:val="00231C5C"/>
    <w:rsid w:val="0023268F"/>
    <w:rsid w:val="002341F7"/>
    <w:rsid w:val="0023734A"/>
    <w:rsid w:val="00237867"/>
    <w:rsid w:val="002434D6"/>
    <w:rsid w:val="002450C1"/>
    <w:rsid w:val="0024590F"/>
    <w:rsid w:val="00245A6F"/>
    <w:rsid w:val="00246C24"/>
    <w:rsid w:val="00247B26"/>
    <w:rsid w:val="00250A2D"/>
    <w:rsid w:val="0025234D"/>
    <w:rsid w:val="00253B7F"/>
    <w:rsid w:val="00254802"/>
    <w:rsid w:val="0025550E"/>
    <w:rsid w:val="002556E9"/>
    <w:rsid w:val="00257319"/>
    <w:rsid w:val="0026123A"/>
    <w:rsid w:val="002628FF"/>
    <w:rsid w:val="00263E65"/>
    <w:rsid w:val="00264572"/>
    <w:rsid w:val="00264888"/>
    <w:rsid w:val="00267EB5"/>
    <w:rsid w:val="0027058E"/>
    <w:rsid w:val="00272776"/>
    <w:rsid w:val="00272C1F"/>
    <w:rsid w:val="002746DB"/>
    <w:rsid w:val="00280DBD"/>
    <w:rsid w:val="002817D3"/>
    <w:rsid w:val="00281DD1"/>
    <w:rsid w:val="00283F02"/>
    <w:rsid w:val="002841F9"/>
    <w:rsid w:val="00284A74"/>
    <w:rsid w:val="0028541D"/>
    <w:rsid w:val="00287B3F"/>
    <w:rsid w:val="002935F0"/>
    <w:rsid w:val="00295021"/>
    <w:rsid w:val="00295590"/>
    <w:rsid w:val="00295993"/>
    <w:rsid w:val="002964B2"/>
    <w:rsid w:val="002967F8"/>
    <w:rsid w:val="00296B9D"/>
    <w:rsid w:val="00297635"/>
    <w:rsid w:val="00297F16"/>
    <w:rsid w:val="002A10A8"/>
    <w:rsid w:val="002A1220"/>
    <w:rsid w:val="002A179C"/>
    <w:rsid w:val="002A1822"/>
    <w:rsid w:val="002A1B67"/>
    <w:rsid w:val="002A36CD"/>
    <w:rsid w:val="002A3890"/>
    <w:rsid w:val="002A3CA8"/>
    <w:rsid w:val="002A6687"/>
    <w:rsid w:val="002A73C8"/>
    <w:rsid w:val="002B0358"/>
    <w:rsid w:val="002B1874"/>
    <w:rsid w:val="002B4D4C"/>
    <w:rsid w:val="002B505E"/>
    <w:rsid w:val="002B5960"/>
    <w:rsid w:val="002C0DBF"/>
    <w:rsid w:val="002C0FE8"/>
    <w:rsid w:val="002C2C45"/>
    <w:rsid w:val="002C400D"/>
    <w:rsid w:val="002C458D"/>
    <w:rsid w:val="002C5AD8"/>
    <w:rsid w:val="002C6C0C"/>
    <w:rsid w:val="002D2047"/>
    <w:rsid w:val="002D24E7"/>
    <w:rsid w:val="002D4738"/>
    <w:rsid w:val="002D4E97"/>
    <w:rsid w:val="002D7528"/>
    <w:rsid w:val="002D7D70"/>
    <w:rsid w:val="002E1C26"/>
    <w:rsid w:val="002E2EF1"/>
    <w:rsid w:val="002E3149"/>
    <w:rsid w:val="002E3BFA"/>
    <w:rsid w:val="002E3CDC"/>
    <w:rsid w:val="002E3DBB"/>
    <w:rsid w:val="002E4C88"/>
    <w:rsid w:val="002E52A9"/>
    <w:rsid w:val="002E7C61"/>
    <w:rsid w:val="002F1748"/>
    <w:rsid w:val="002F17DF"/>
    <w:rsid w:val="002F1E54"/>
    <w:rsid w:val="002F31B8"/>
    <w:rsid w:val="002F4AB4"/>
    <w:rsid w:val="002F705C"/>
    <w:rsid w:val="0030186E"/>
    <w:rsid w:val="00304C3D"/>
    <w:rsid w:val="00310936"/>
    <w:rsid w:val="003109AF"/>
    <w:rsid w:val="0031200C"/>
    <w:rsid w:val="00312263"/>
    <w:rsid w:val="003147B4"/>
    <w:rsid w:val="0031753A"/>
    <w:rsid w:val="00320B9E"/>
    <w:rsid w:val="00323832"/>
    <w:rsid w:val="00323BBA"/>
    <w:rsid w:val="00325BF9"/>
    <w:rsid w:val="0033121E"/>
    <w:rsid w:val="00333143"/>
    <w:rsid w:val="003343BC"/>
    <w:rsid w:val="00334D11"/>
    <w:rsid w:val="00334E5A"/>
    <w:rsid w:val="0033572B"/>
    <w:rsid w:val="003366B8"/>
    <w:rsid w:val="003368B0"/>
    <w:rsid w:val="00337083"/>
    <w:rsid w:val="00340F55"/>
    <w:rsid w:val="00342D40"/>
    <w:rsid w:val="003435E2"/>
    <w:rsid w:val="00343ECB"/>
    <w:rsid w:val="00345053"/>
    <w:rsid w:val="003472FC"/>
    <w:rsid w:val="0035176B"/>
    <w:rsid w:val="00352238"/>
    <w:rsid w:val="00352CB6"/>
    <w:rsid w:val="00353780"/>
    <w:rsid w:val="00354966"/>
    <w:rsid w:val="00355359"/>
    <w:rsid w:val="0035690D"/>
    <w:rsid w:val="00360308"/>
    <w:rsid w:val="00362B79"/>
    <w:rsid w:val="003630A9"/>
    <w:rsid w:val="00365349"/>
    <w:rsid w:val="00370CB9"/>
    <w:rsid w:val="00371C53"/>
    <w:rsid w:val="00371EAD"/>
    <w:rsid w:val="00372056"/>
    <w:rsid w:val="0037305E"/>
    <w:rsid w:val="00373ADD"/>
    <w:rsid w:val="003747BF"/>
    <w:rsid w:val="00381780"/>
    <w:rsid w:val="00382712"/>
    <w:rsid w:val="00386C81"/>
    <w:rsid w:val="00387954"/>
    <w:rsid w:val="00391A41"/>
    <w:rsid w:val="00391E1D"/>
    <w:rsid w:val="00392CBC"/>
    <w:rsid w:val="00392F7B"/>
    <w:rsid w:val="0039373A"/>
    <w:rsid w:val="00393E37"/>
    <w:rsid w:val="00394804"/>
    <w:rsid w:val="00396F5C"/>
    <w:rsid w:val="003978A7"/>
    <w:rsid w:val="003A0B83"/>
    <w:rsid w:val="003A25AD"/>
    <w:rsid w:val="003A3AD4"/>
    <w:rsid w:val="003A3B68"/>
    <w:rsid w:val="003A3C9F"/>
    <w:rsid w:val="003A423E"/>
    <w:rsid w:val="003A5551"/>
    <w:rsid w:val="003A64E5"/>
    <w:rsid w:val="003A7903"/>
    <w:rsid w:val="003B0034"/>
    <w:rsid w:val="003B0A8C"/>
    <w:rsid w:val="003B1C06"/>
    <w:rsid w:val="003B36C5"/>
    <w:rsid w:val="003C002A"/>
    <w:rsid w:val="003C58B7"/>
    <w:rsid w:val="003D0445"/>
    <w:rsid w:val="003D076C"/>
    <w:rsid w:val="003D0D07"/>
    <w:rsid w:val="003D1466"/>
    <w:rsid w:val="003D212A"/>
    <w:rsid w:val="003D2380"/>
    <w:rsid w:val="003D31DE"/>
    <w:rsid w:val="003D3D72"/>
    <w:rsid w:val="003D5511"/>
    <w:rsid w:val="003D5656"/>
    <w:rsid w:val="003D589D"/>
    <w:rsid w:val="003D6B94"/>
    <w:rsid w:val="003D6C8A"/>
    <w:rsid w:val="003E0241"/>
    <w:rsid w:val="003E1705"/>
    <w:rsid w:val="003E2728"/>
    <w:rsid w:val="003E4B12"/>
    <w:rsid w:val="003E502A"/>
    <w:rsid w:val="003E657B"/>
    <w:rsid w:val="003E661F"/>
    <w:rsid w:val="003E7715"/>
    <w:rsid w:val="003E79DE"/>
    <w:rsid w:val="003E7A7E"/>
    <w:rsid w:val="003E7DBE"/>
    <w:rsid w:val="003F3652"/>
    <w:rsid w:val="003F4BA1"/>
    <w:rsid w:val="003F52EF"/>
    <w:rsid w:val="00400A9B"/>
    <w:rsid w:val="00400F81"/>
    <w:rsid w:val="00405602"/>
    <w:rsid w:val="004068A4"/>
    <w:rsid w:val="00407B31"/>
    <w:rsid w:val="00411ECA"/>
    <w:rsid w:val="00412767"/>
    <w:rsid w:val="00414DAE"/>
    <w:rsid w:val="00416246"/>
    <w:rsid w:val="00417E5D"/>
    <w:rsid w:val="00420ECD"/>
    <w:rsid w:val="0042267F"/>
    <w:rsid w:val="00422974"/>
    <w:rsid w:val="004238D5"/>
    <w:rsid w:val="00423CA2"/>
    <w:rsid w:val="00426858"/>
    <w:rsid w:val="0043228D"/>
    <w:rsid w:val="00432C60"/>
    <w:rsid w:val="00434736"/>
    <w:rsid w:val="00437466"/>
    <w:rsid w:val="004406EB"/>
    <w:rsid w:val="0044431D"/>
    <w:rsid w:val="0044472C"/>
    <w:rsid w:val="0044497B"/>
    <w:rsid w:val="004473C2"/>
    <w:rsid w:val="00450860"/>
    <w:rsid w:val="004529B0"/>
    <w:rsid w:val="00454124"/>
    <w:rsid w:val="0045427B"/>
    <w:rsid w:val="00454F2F"/>
    <w:rsid w:val="00455C65"/>
    <w:rsid w:val="004560FF"/>
    <w:rsid w:val="00462184"/>
    <w:rsid w:val="00462DBD"/>
    <w:rsid w:val="00466AC2"/>
    <w:rsid w:val="00467807"/>
    <w:rsid w:val="00467CCE"/>
    <w:rsid w:val="00467F17"/>
    <w:rsid w:val="0047135D"/>
    <w:rsid w:val="00472277"/>
    <w:rsid w:val="00472E10"/>
    <w:rsid w:val="00472FC2"/>
    <w:rsid w:val="00473E25"/>
    <w:rsid w:val="004746BB"/>
    <w:rsid w:val="0047649A"/>
    <w:rsid w:val="00476E56"/>
    <w:rsid w:val="004770E2"/>
    <w:rsid w:val="00480327"/>
    <w:rsid w:val="00482B5D"/>
    <w:rsid w:val="00484A91"/>
    <w:rsid w:val="00485E59"/>
    <w:rsid w:val="00490199"/>
    <w:rsid w:val="00492FF8"/>
    <w:rsid w:val="00493F81"/>
    <w:rsid w:val="00496ECA"/>
    <w:rsid w:val="00497142"/>
    <w:rsid w:val="00497A55"/>
    <w:rsid w:val="00497A57"/>
    <w:rsid w:val="004A00FE"/>
    <w:rsid w:val="004A0B1A"/>
    <w:rsid w:val="004A1436"/>
    <w:rsid w:val="004A290E"/>
    <w:rsid w:val="004A293A"/>
    <w:rsid w:val="004A2DE6"/>
    <w:rsid w:val="004A3DB9"/>
    <w:rsid w:val="004A3E3F"/>
    <w:rsid w:val="004A4118"/>
    <w:rsid w:val="004A5183"/>
    <w:rsid w:val="004A740E"/>
    <w:rsid w:val="004B0BBE"/>
    <w:rsid w:val="004B4CAB"/>
    <w:rsid w:val="004B515D"/>
    <w:rsid w:val="004B5DEC"/>
    <w:rsid w:val="004B7A43"/>
    <w:rsid w:val="004C40AF"/>
    <w:rsid w:val="004C55D3"/>
    <w:rsid w:val="004D0540"/>
    <w:rsid w:val="004D1489"/>
    <w:rsid w:val="004D3408"/>
    <w:rsid w:val="004D432F"/>
    <w:rsid w:val="004D7A51"/>
    <w:rsid w:val="004E69F1"/>
    <w:rsid w:val="004E7ACD"/>
    <w:rsid w:val="004F1B45"/>
    <w:rsid w:val="004F3FE6"/>
    <w:rsid w:val="004F453E"/>
    <w:rsid w:val="004F4C8C"/>
    <w:rsid w:val="004F509D"/>
    <w:rsid w:val="004F5A60"/>
    <w:rsid w:val="004F6A4E"/>
    <w:rsid w:val="0050369C"/>
    <w:rsid w:val="005102C9"/>
    <w:rsid w:val="00511A64"/>
    <w:rsid w:val="00514A25"/>
    <w:rsid w:val="00514D1B"/>
    <w:rsid w:val="0051686E"/>
    <w:rsid w:val="00516F40"/>
    <w:rsid w:val="00517A7D"/>
    <w:rsid w:val="00521B2E"/>
    <w:rsid w:val="00522100"/>
    <w:rsid w:val="005236E8"/>
    <w:rsid w:val="00523EAC"/>
    <w:rsid w:val="00525143"/>
    <w:rsid w:val="005256A8"/>
    <w:rsid w:val="0052609E"/>
    <w:rsid w:val="005261BB"/>
    <w:rsid w:val="005275B5"/>
    <w:rsid w:val="00530BAF"/>
    <w:rsid w:val="00533277"/>
    <w:rsid w:val="005333D0"/>
    <w:rsid w:val="00534946"/>
    <w:rsid w:val="005349D2"/>
    <w:rsid w:val="0053565F"/>
    <w:rsid w:val="00535FF1"/>
    <w:rsid w:val="005361C6"/>
    <w:rsid w:val="005412BD"/>
    <w:rsid w:val="005416BE"/>
    <w:rsid w:val="0054385F"/>
    <w:rsid w:val="005439A1"/>
    <w:rsid w:val="00544BCB"/>
    <w:rsid w:val="005454DA"/>
    <w:rsid w:val="0055176B"/>
    <w:rsid w:val="0056191C"/>
    <w:rsid w:val="00561C3C"/>
    <w:rsid w:val="005621A7"/>
    <w:rsid w:val="005658F4"/>
    <w:rsid w:val="0056753E"/>
    <w:rsid w:val="00570F7A"/>
    <w:rsid w:val="005718AC"/>
    <w:rsid w:val="0057222B"/>
    <w:rsid w:val="00575AF7"/>
    <w:rsid w:val="0058008D"/>
    <w:rsid w:val="005801CD"/>
    <w:rsid w:val="00581D3B"/>
    <w:rsid w:val="005821DC"/>
    <w:rsid w:val="00582FA1"/>
    <w:rsid w:val="0058350C"/>
    <w:rsid w:val="00583608"/>
    <w:rsid w:val="00586F93"/>
    <w:rsid w:val="0058755B"/>
    <w:rsid w:val="005912D6"/>
    <w:rsid w:val="005918CC"/>
    <w:rsid w:val="005920E4"/>
    <w:rsid w:val="00594E33"/>
    <w:rsid w:val="00597E81"/>
    <w:rsid w:val="005A0FA3"/>
    <w:rsid w:val="005A12DE"/>
    <w:rsid w:val="005A2ECC"/>
    <w:rsid w:val="005B098C"/>
    <w:rsid w:val="005B16C5"/>
    <w:rsid w:val="005B19A4"/>
    <w:rsid w:val="005B2C8A"/>
    <w:rsid w:val="005B443E"/>
    <w:rsid w:val="005B4AA2"/>
    <w:rsid w:val="005B6D49"/>
    <w:rsid w:val="005C0840"/>
    <w:rsid w:val="005C0A93"/>
    <w:rsid w:val="005C1B7D"/>
    <w:rsid w:val="005C21C7"/>
    <w:rsid w:val="005C684B"/>
    <w:rsid w:val="005C6F84"/>
    <w:rsid w:val="005D25FA"/>
    <w:rsid w:val="005D4974"/>
    <w:rsid w:val="005D750E"/>
    <w:rsid w:val="005E17AA"/>
    <w:rsid w:val="005E1AD1"/>
    <w:rsid w:val="005E60C6"/>
    <w:rsid w:val="005E6641"/>
    <w:rsid w:val="005E6990"/>
    <w:rsid w:val="005E783D"/>
    <w:rsid w:val="005F0F83"/>
    <w:rsid w:val="005F1171"/>
    <w:rsid w:val="005F3A40"/>
    <w:rsid w:val="005F47D6"/>
    <w:rsid w:val="005F558A"/>
    <w:rsid w:val="005F5E9E"/>
    <w:rsid w:val="005F60CC"/>
    <w:rsid w:val="005F6124"/>
    <w:rsid w:val="005F6C4D"/>
    <w:rsid w:val="005F7F91"/>
    <w:rsid w:val="0060026E"/>
    <w:rsid w:val="006007F8"/>
    <w:rsid w:val="006011FD"/>
    <w:rsid w:val="00601DCD"/>
    <w:rsid w:val="00610277"/>
    <w:rsid w:val="006103B7"/>
    <w:rsid w:val="00610601"/>
    <w:rsid w:val="00610A65"/>
    <w:rsid w:val="0061287A"/>
    <w:rsid w:val="0061347B"/>
    <w:rsid w:val="00613768"/>
    <w:rsid w:val="006154F2"/>
    <w:rsid w:val="00617064"/>
    <w:rsid w:val="00617251"/>
    <w:rsid w:val="00617E7E"/>
    <w:rsid w:val="00623502"/>
    <w:rsid w:val="00623FFD"/>
    <w:rsid w:val="006248F0"/>
    <w:rsid w:val="00624B30"/>
    <w:rsid w:val="00626B4C"/>
    <w:rsid w:val="00626F77"/>
    <w:rsid w:val="00627523"/>
    <w:rsid w:val="0063002E"/>
    <w:rsid w:val="00632550"/>
    <w:rsid w:val="006330A8"/>
    <w:rsid w:val="00635561"/>
    <w:rsid w:val="00640774"/>
    <w:rsid w:val="00640C17"/>
    <w:rsid w:val="00640E38"/>
    <w:rsid w:val="0064210D"/>
    <w:rsid w:val="00645D7D"/>
    <w:rsid w:val="006501C0"/>
    <w:rsid w:val="00657209"/>
    <w:rsid w:val="00657BD6"/>
    <w:rsid w:val="0066046A"/>
    <w:rsid w:val="00661A63"/>
    <w:rsid w:val="00665BAB"/>
    <w:rsid w:val="0067146C"/>
    <w:rsid w:val="00671D41"/>
    <w:rsid w:val="00675070"/>
    <w:rsid w:val="0067509B"/>
    <w:rsid w:val="006755D8"/>
    <w:rsid w:val="00676221"/>
    <w:rsid w:val="00677CE4"/>
    <w:rsid w:val="00680090"/>
    <w:rsid w:val="00680684"/>
    <w:rsid w:val="00680D93"/>
    <w:rsid w:val="00681626"/>
    <w:rsid w:val="006836F3"/>
    <w:rsid w:val="00683A4D"/>
    <w:rsid w:val="00684A41"/>
    <w:rsid w:val="00684B28"/>
    <w:rsid w:val="00685D78"/>
    <w:rsid w:val="00685F7B"/>
    <w:rsid w:val="00686C9F"/>
    <w:rsid w:val="00687A50"/>
    <w:rsid w:val="00687DB4"/>
    <w:rsid w:val="00692083"/>
    <w:rsid w:val="00693C20"/>
    <w:rsid w:val="00694455"/>
    <w:rsid w:val="00695344"/>
    <w:rsid w:val="0069556E"/>
    <w:rsid w:val="0069791F"/>
    <w:rsid w:val="006A00A2"/>
    <w:rsid w:val="006A20B8"/>
    <w:rsid w:val="006A36CC"/>
    <w:rsid w:val="006A4EAD"/>
    <w:rsid w:val="006A7143"/>
    <w:rsid w:val="006B0368"/>
    <w:rsid w:val="006B1FA5"/>
    <w:rsid w:val="006B2434"/>
    <w:rsid w:val="006B2C6D"/>
    <w:rsid w:val="006B434F"/>
    <w:rsid w:val="006B475A"/>
    <w:rsid w:val="006B51D7"/>
    <w:rsid w:val="006B615D"/>
    <w:rsid w:val="006B64DA"/>
    <w:rsid w:val="006B68CC"/>
    <w:rsid w:val="006B7219"/>
    <w:rsid w:val="006C0394"/>
    <w:rsid w:val="006C0F84"/>
    <w:rsid w:val="006C5847"/>
    <w:rsid w:val="006C73B3"/>
    <w:rsid w:val="006D13E6"/>
    <w:rsid w:val="006D1F52"/>
    <w:rsid w:val="006D2673"/>
    <w:rsid w:val="006D3E67"/>
    <w:rsid w:val="006D53CE"/>
    <w:rsid w:val="006E079D"/>
    <w:rsid w:val="006E0F3A"/>
    <w:rsid w:val="006E16F1"/>
    <w:rsid w:val="006E2526"/>
    <w:rsid w:val="006E33CD"/>
    <w:rsid w:val="006E3F4B"/>
    <w:rsid w:val="006E7AAC"/>
    <w:rsid w:val="006F266A"/>
    <w:rsid w:val="006F4CB3"/>
    <w:rsid w:val="006F6868"/>
    <w:rsid w:val="006F775D"/>
    <w:rsid w:val="007031AA"/>
    <w:rsid w:val="007035EC"/>
    <w:rsid w:val="00705FFB"/>
    <w:rsid w:val="00706037"/>
    <w:rsid w:val="00707C80"/>
    <w:rsid w:val="00707F3A"/>
    <w:rsid w:val="007108D3"/>
    <w:rsid w:val="00710944"/>
    <w:rsid w:val="00710975"/>
    <w:rsid w:val="00710BDE"/>
    <w:rsid w:val="00710CB3"/>
    <w:rsid w:val="0071376D"/>
    <w:rsid w:val="00713776"/>
    <w:rsid w:val="00713B3D"/>
    <w:rsid w:val="00715E63"/>
    <w:rsid w:val="00716CD8"/>
    <w:rsid w:val="00717BB9"/>
    <w:rsid w:val="0072455D"/>
    <w:rsid w:val="0072604C"/>
    <w:rsid w:val="00726CAD"/>
    <w:rsid w:val="00727FE2"/>
    <w:rsid w:val="007303D0"/>
    <w:rsid w:val="00731F9F"/>
    <w:rsid w:val="00732F65"/>
    <w:rsid w:val="007341B4"/>
    <w:rsid w:val="0073466D"/>
    <w:rsid w:val="007359AA"/>
    <w:rsid w:val="00735D7B"/>
    <w:rsid w:val="007376A3"/>
    <w:rsid w:val="00741FC8"/>
    <w:rsid w:val="00744AC4"/>
    <w:rsid w:val="00744D23"/>
    <w:rsid w:val="0074610C"/>
    <w:rsid w:val="00746D3D"/>
    <w:rsid w:val="007548BB"/>
    <w:rsid w:val="0075644D"/>
    <w:rsid w:val="0075695E"/>
    <w:rsid w:val="007576E7"/>
    <w:rsid w:val="007601AB"/>
    <w:rsid w:val="007607E9"/>
    <w:rsid w:val="00760875"/>
    <w:rsid w:val="00760D01"/>
    <w:rsid w:val="007616C0"/>
    <w:rsid w:val="007658D5"/>
    <w:rsid w:val="007666D7"/>
    <w:rsid w:val="00766A87"/>
    <w:rsid w:val="00772BC2"/>
    <w:rsid w:val="007730C0"/>
    <w:rsid w:val="00773B93"/>
    <w:rsid w:val="00773E29"/>
    <w:rsid w:val="00774479"/>
    <w:rsid w:val="007755B7"/>
    <w:rsid w:val="00776CF1"/>
    <w:rsid w:val="00780C45"/>
    <w:rsid w:val="00784919"/>
    <w:rsid w:val="00785007"/>
    <w:rsid w:val="007867F1"/>
    <w:rsid w:val="0078779A"/>
    <w:rsid w:val="007904DE"/>
    <w:rsid w:val="007924F4"/>
    <w:rsid w:val="007929F2"/>
    <w:rsid w:val="007941BE"/>
    <w:rsid w:val="0079498D"/>
    <w:rsid w:val="0079601D"/>
    <w:rsid w:val="00796A00"/>
    <w:rsid w:val="007A1164"/>
    <w:rsid w:val="007A2DEC"/>
    <w:rsid w:val="007A35D5"/>
    <w:rsid w:val="007A46F6"/>
    <w:rsid w:val="007A4768"/>
    <w:rsid w:val="007A4DA7"/>
    <w:rsid w:val="007A5BDA"/>
    <w:rsid w:val="007A750D"/>
    <w:rsid w:val="007B1778"/>
    <w:rsid w:val="007B5826"/>
    <w:rsid w:val="007B7D77"/>
    <w:rsid w:val="007C0AAE"/>
    <w:rsid w:val="007C0DD8"/>
    <w:rsid w:val="007C26C3"/>
    <w:rsid w:val="007C4B5C"/>
    <w:rsid w:val="007C5E07"/>
    <w:rsid w:val="007C67EC"/>
    <w:rsid w:val="007D35D1"/>
    <w:rsid w:val="007D5D5C"/>
    <w:rsid w:val="007D687B"/>
    <w:rsid w:val="007E0B03"/>
    <w:rsid w:val="007E4147"/>
    <w:rsid w:val="007E5394"/>
    <w:rsid w:val="007E69C2"/>
    <w:rsid w:val="007F02F7"/>
    <w:rsid w:val="007F1EFB"/>
    <w:rsid w:val="007F2ED7"/>
    <w:rsid w:val="007F7480"/>
    <w:rsid w:val="00802288"/>
    <w:rsid w:val="00802375"/>
    <w:rsid w:val="00804A3E"/>
    <w:rsid w:val="00805143"/>
    <w:rsid w:val="0080618A"/>
    <w:rsid w:val="008075E1"/>
    <w:rsid w:val="008077D7"/>
    <w:rsid w:val="00807808"/>
    <w:rsid w:val="008108D6"/>
    <w:rsid w:val="0081117C"/>
    <w:rsid w:val="00813669"/>
    <w:rsid w:val="00815290"/>
    <w:rsid w:val="0081667F"/>
    <w:rsid w:val="00816C8D"/>
    <w:rsid w:val="00821142"/>
    <w:rsid w:val="00821A9B"/>
    <w:rsid w:val="008229F3"/>
    <w:rsid w:val="00824591"/>
    <w:rsid w:val="00824744"/>
    <w:rsid w:val="0082500A"/>
    <w:rsid w:val="00825A64"/>
    <w:rsid w:val="00827932"/>
    <w:rsid w:val="00830160"/>
    <w:rsid w:val="00831122"/>
    <w:rsid w:val="008313AB"/>
    <w:rsid w:val="00831FDA"/>
    <w:rsid w:val="00836C42"/>
    <w:rsid w:val="0084099A"/>
    <w:rsid w:val="00841A26"/>
    <w:rsid w:val="00843086"/>
    <w:rsid w:val="00843BCD"/>
    <w:rsid w:val="00845D77"/>
    <w:rsid w:val="00846EFD"/>
    <w:rsid w:val="00852762"/>
    <w:rsid w:val="00852E04"/>
    <w:rsid w:val="00853F9F"/>
    <w:rsid w:val="00856CB1"/>
    <w:rsid w:val="00857092"/>
    <w:rsid w:val="00862A63"/>
    <w:rsid w:val="00864978"/>
    <w:rsid w:val="00865CD5"/>
    <w:rsid w:val="00870A53"/>
    <w:rsid w:val="00870DE4"/>
    <w:rsid w:val="00871B3A"/>
    <w:rsid w:val="008722D0"/>
    <w:rsid w:val="00872E8C"/>
    <w:rsid w:val="0087467A"/>
    <w:rsid w:val="00875A5A"/>
    <w:rsid w:val="00877CFD"/>
    <w:rsid w:val="008813A4"/>
    <w:rsid w:val="008814A4"/>
    <w:rsid w:val="0088270D"/>
    <w:rsid w:val="00882F60"/>
    <w:rsid w:val="008834D1"/>
    <w:rsid w:val="00883A84"/>
    <w:rsid w:val="00884F2A"/>
    <w:rsid w:val="0088596A"/>
    <w:rsid w:val="0089342E"/>
    <w:rsid w:val="008946D9"/>
    <w:rsid w:val="00894A54"/>
    <w:rsid w:val="00894C4F"/>
    <w:rsid w:val="00896433"/>
    <w:rsid w:val="008974C9"/>
    <w:rsid w:val="008A0F49"/>
    <w:rsid w:val="008A1059"/>
    <w:rsid w:val="008A279A"/>
    <w:rsid w:val="008A2C5C"/>
    <w:rsid w:val="008A2DC3"/>
    <w:rsid w:val="008A4586"/>
    <w:rsid w:val="008A556A"/>
    <w:rsid w:val="008A75B7"/>
    <w:rsid w:val="008B094D"/>
    <w:rsid w:val="008B149A"/>
    <w:rsid w:val="008B1E9C"/>
    <w:rsid w:val="008B3999"/>
    <w:rsid w:val="008B4D46"/>
    <w:rsid w:val="008B58F9"/>
    <w:rsid w:val="008B6EB7"/>
    <w:rsid w:val="008B7E29"/>
    <w:rsid w:val="008C2480"/>
    <w:rsid w:val="008C782C"/>
    <w:rsid w:val="008D1D0C"/>
    <w:rsid w:val="008D35FC"/>
    <w:rsid w:val="008D387B"/>
    <w:rsid w:val="008D563C"/>
    <w:rsid w:val="008D5BE8"/>
    <w:rsid w:val="008D62AE"/>
    <w:rsid w:val="008D678B"/>
    <w:rsid w:val="008D730D"/>
    <w:rsid w:val="008E377F"/>
    <w:rsid w:val="008E3929"/>
    <w:rsid w:val="008E44D0"/>
    <w:rsid w:val="008E5441"/>
    <w:rsid w:val="008E5FAC"/>
    <w:rsid w:val="008E7D1B"/>
    <w:rsid w:val="008F068B"/>
    <w:rsid w:val="008F1669"/>
    <w:rsid w:val="008F3B1C"/>
    <w:rsid w:val="008F473A"/>
    <w:rsid w:val="008F76F2"/>
    <w:rsid w:val="008F7D4D"/>
    <w:rsid w:val="00900D12"/>
    <w:rsid w:val="00900E0C"/>
    <w:rsid w:val="0090214E"/>
    <w:rsid w:val="009032E8"/>
    <w:rsid w:val="00904D14"/>
    <w:rsid w:val="00905605"/>
    <w:rsid w:val="0090582A"/>
    <w:rsid w:val="0090617A"/>
    <w:rsid w:val="009077DF"/>
    <w:rsid w:val="00907C60"/>
    <w:rsid w:val="00911685"/>
    <w:rsid w:val="009124E0"/>
    <w:rsid w:val="0091273E"/>
    <w:rsid w:val="0091617D"/>
    <w:rsid w:val="009163D3"/>
    <w:rsid w:val="00916D86"/>
    <w:rsid w:val="009170B8"/>
    <w:rsid w:val="009200BF"/>
    <w:rsid w:val="00920D0B"/>
    <w:rsid w:val="00923434"/>
    <w:rsid w:val="009244A7"/>
    <w:rsid w:val="009276C1"/>
    <w:rsid w:val="00930EF1"/>
    <w:rsid w:val="0093437E"/>
    <w:rsid w:val="009344EF"/>
    <w:rsid w:val="0093455F"/>
    <w:rsid w:val="00935174"/>
    <w:rsid w:val="00936271"/>
    <w:rsid w:val="00940E0D"/>
    <w:rsid w:val="00941B1A"/>
    <w:rsid w:val="00942C6D"/>
    <w:rsid w:val="00942CBC"/>
    <w:rsid w:val="00943216"/>
    <w:rsid w:val="009434FB"/>
    <w:rsid w:val="00944AC5"/>
    <w:rsid w:val="0094572F"/>
    <w:rsid w:val="009469A2"/>
    <w:rsid w:val="00947995"/>
    <w:rsid w:val="009479B9"/>
    <w:rsid w:val="009556F5"/>
    <w:rsid w:val="00955820"/>
    <w:rsid w:val="00955CB5"/>
    <w:rsid w:val="00955CBA"/>
    <w:rsid w:val="00956A31"/>
    <w:rsid w:val="00956BE6"/>
    <w:rsid w:val="00956D86"/>
    <w:rsid w:val="00960BDA"/>
    <w:rsid w:val="00961A42"/>
    <w:rsid w:val="00961E8F"/>
    <w:rsid w:val="009633D8"/>
    <w:rsid w:val="00964D08"/>
    <w:rsid w:val="00965E12"/>
    <w:rsid w:val="00966F8A"/>
    <w:rsid w:val="009678B8"/>
    <w:rsid w:val="00967A69"/>
    <w:rsid w:val="00970E64"/>
    <w:rsid w:val="0097137F"/>
    <w:rsid w:val="00973AED"/>
    <w:rsid w:val="00973BDC"/>
    <w:rsid w:val="0097468D"/>
    <w:rsid w:val="00977526"/>
    <w:rsid w:val="00980754"/>
    <w:rsid w:val="00980BEF"/>
    <w:rsid w:val="00983519"/>
    <w:rsid w:val="0098497C"/>
    <w:rsid w:val="00985838"/>
    <w:rsid w:val="00990F21"/>
    <w:rsid w:val="00991AC9"/>
    <w:rsid w:val="0099250E"/>
    <w:rsid w:val="00995D80"/>
    <w:rsid w:val="0099629F"/>
    <w:rsid w:val="00996C5C"/>
    <w:rsid w:val="009A3217"/>
    <w:rsid w:val="009A3589"/>
    <w:rsid w:val="009A5066"/>
    <w:rsid w:val="009A6EAC"/>
    <w:rsid w:val="009A72EB"/>
    <w:rsid w:val="009B02C0"/>
    <w:rsid w:val="009B1B2E"/>
    <w:rsid w:val="009B3365"/>
    <w:rsid w:val="009B33D5"/>
    <w:rsid w:val="009B48AE"/>
    <w:rsid w:val="009B5840"/>
    <w:rsid w:val="009B59E3"/>
    <w:rsid w:val="009B68F2"/>
    <w:rsid w:val="009B700D"/>
    <w:rsid w:val="009C1FF4"/>
    <w:rsid w:val="009C20C2"/>
    <w:rsid w:val="009C25AF"/>
    <w:rsid w:val="009C33C8"/>
    <w:rsid w:val="009C5B69"/>
    <w:rsid w:val="009C77AD"/>
    <w:rsid w:val="009D10E1"/>
    <w:rsid w:val="009D5F3A"/>
    <w:rsid w:val="009D66A0"/>
    <w:rsid w:val="009D7458"/>
    <w:rsid w:val="009D7B65"/>
    <w:rsid w:val="009E0F5F"/>
    <w:rsid w:val="009E14E3"/>
    <w:rsid w:val="009E2F43"/>
    <w:rsid w:val="009E5806"/>
    <w:rsid w:val="009E66CF"/>
    <w:rsid w:val="009E7F46"/>
    <w:rsid w:val="009F284F"/>
    <w:rsid w:val="009F2D8A"/>
    <w:rsid w:val="009F368E"/>
    <w:rsid w:val="009F4DB6"/>
    <w:rsid w:val="009F6301"/>
    <w:rsid w:val="009F6E39"/>
    <w:rsid w:val="009F6F54"/>
    <w:rsid w:val="009F703C"/>
    <w:rsid w:val="009F716E"/>
    <w:rsid w:val="009F7786"/>
    <w:rsid w:val="009F7C49"/>
    <w:rsid w:val="009F7FF4"/>
    <w:rsid w:val="00A00CF8"/>
    <w:rsid w:val="00A01B24"/>
    <w:rsid w:val="00A03895"/>
    <w:rsid w:val="00A05B6E"/>
    <w:rsid w:val="00A06749"/>
    <w:rsid w:val="00A07C98"/>
    <w:rsid w:val="00A07DDB"/>
    <w:rsid w:val="00A10616"/>
    <w:rsid w:val="00A1129E"/>
    <w:rsid w:val="00A11C66"/>
    <w:rsid w:val="00A131A2"/>
    <w:rsid w:val="00A14F23"/>
    <w:rsid w:val="00A150E8"/>
    <w:rsid w:val="00A1653F"/>
    <w:rsid w:val="00A17BF3"/>
    <w:rsid w:val="00A20426"/>
    <w:rsid w:val="00A22328"/>
    <w:rsid w:val="00A238BA"/>
    <w:rsid w:val="00A24362"/>
    <w:rsid w:val="00A26C96"/>
    <w:rsid w:val="00A278F8"/>
    <w:rsid w:val="00A27954"/>
    <w:rsid w:val="00A3070D"/>
    <w:rsid w:val="00A30B5C"/>
    <w:rsid w:val="00A314F0"/>
    <w:rsid w:val="00A321D3"/>
    <w:rsid w:val="00A32AE3"/>
    <w:rsid w:val="00A32B15"/>
    <w:rsid w:val="00A3385C"/>
    <w:rsid w:val="00A34456"/>
    <w:rsid w:val="00A357F5"/>
    <w:rsid w:val="00A370D1"/>
    <w:rsid w:val="00A376A9"/>
    <w:rsid w:val="00A37FF2"/>
    <w:rsid w:val="00A40C50"/>
    <w:rsid w:val="00A4239D"/>
    <w:rsid w:val="00A42A57"/>
    <w:rsid w:val="00A42EA3"/>
    <w:rsid w:val="00A43A0C"/>
    <w:rsid w:val="00A441F8"/>
    <w:rsid w:val="00A44A09"/>
    <w:rsid w:val="00A4561C"/>
    <w:rsid w:val="00A47858"/>
    <w:rsid w:val="00A50281"/>
    <w:rsid w:val="00A50A91"/>
    <w:rsid w:val="00A50E47"/>
    <w:rsid w:val="00A511FB"/>
    <w:rsid w:val="00A5747C"/>
    <w:rsid w:val="00A62AFD"/>
    <w:rsid w:val="00A642C2"/>
    <w:rsid w:val="00A65245"/>
    <w:rsid w:val="00A66C4C"/>
    <w:rsid w:val="00A67206"/>
    <w:rsid w:val="00A67E95"/>
    <w:rsid w:val="00A72845"/>
    <w:rsid w:val="00A73367"/>
    <w:rsid w:val="00A73636"/>
    <w:rsid w:val="00A74C4C"/>
    <w:rsid w:val="00A753F3"/>
    <w:rsid w:val="00A76D7D"/>
    <w:rsid w:val="00A77D34"/>
    <w:rsid w:val="00A77E71"/>
    <w:rsid w:val="00A806E8"/>
    <w:rsid w:val="00A81B3C"/>
    <w:rsid w:val="00A8203F"/>
    <w:rsid w:val="00A8447D"/>
    <w:rsid w:val="00A8741F"/>
    <w:rsid w:val="00A9133A"/>
    <w:rsid w:val="00A92B61"/>
    <w:rsid w:val="00A934E5"/>
    <w:rsid w:val="00A9358F"/>
    <w:rsid w:val="00A93C08"/>
    <w:rsid w:val="00A93C86"/>
    <w:rsid w:val="00A94C0C"/>
    <w:rsid w:val="00A95F8C"/>
    <w:rsid w:val="00A963D4"/>
    <w:rsid w:val="00A967AA"/>
    <w:rsid w:val="00AA0631"/>
    <w:rsid w:val="00AA0C78"/>
    <w:rsid w:val="00AA1E9B"/>
    <w:rsid w:val="00AA2179"/>
    <w:rsid w:val="00AA2AD2"/>
    <w:rsid w:val="00AA418C"/>
    <w:rsid w:val="00AA46EE"/>
    <w:rsid w:val="00AA5F81"/>
    <w:rsid w:val="00AA65A9"/>
    <w:rsid w:val="00AB00F9"/>
    <w:rsid w:val="00AB0B34"/>
    <w:rsid w:val="00AB2C02"/>
    <w:rsid w:val="00AC171D"/>
    <w:rsid w:val="00AC3469"/>
    <w:rsid w:val="00AC3E86"/>
    <w:rsid w:val="00AC600A"/>
    <w:rsid w:val="00AC6419"/>
    <w:rsid w:val="00AD15C2"/>
    <w:rsid w:val="00AD37B8"/>
    <w:rsid w:val="00AD4EDB"/>
    <w:rsid w:val="00AD657F"/>
    <w:rsid w:val="00AD6700"/>
    <w:rsid w:val="00AD6F6D"/>
    <w:rsid w:val="00AD6FA5"/>
    <w:rsid w:val="00AE18B6"/>
    <w:rsid w:val="00AE1B0C"/>
    <w:rsid w:val="00AE28F9"/>
    <w:rsid w:val="00AE3FF5"/>
    <w:rsid w:val="00AE40D2"/>
    <w:rsid w:val="00AE4B1D"/>
    <w:rsid w:val="00AE4FD3"/>
    <w:rsid w:val="00AE5061"/>
    <w:rsid w:val="00AE606C"/>
    <w:rsid w:val="00AE6C71"/>
    <w:rsid w:val="00AF0087"/>
    <w:rsid w:val="00AF01F0"/>
    <w:rsid w:val="00AF34B7"/>
    <w:rsid w:val="00AF35B4"/>
    <w:rsid w:val="00AF7124"/>
    <w:rsid w:val="00AF727C"/>
    <w:rsid w:val="00AF7E98"/>
    <w:rsid w:val="00B0093E"/>
    <w:rsid w:val="00B02BBD"/>
    <w:rsid w:val="00B03F49"/>
    <w:rsid w:val="00B04D12"/>
    <w:rsid w:val="00B06950"/>
    <w:rsid w:val="00B06F4A"/>
    <w:rsid w:val="00B12242"/>
    <w:rsid w:val="00B123DF"/>
    <w:rsid w:val="00B12CF2"/>
    <w:rsid w:val="00B141ED"/>
    <w:rsid w:val="00B14E24"/>
    <w:rsid w:val="00B1506C"/>
    <w:rsid w:val="00B154BA"/>
    <w:rsid w:val="00B17503"/>
    <w:rsid w:val="00B202FD"/>
    <w:rsid w:val="00B20CFF"/>
    <w:rsid w:val="00B2148C"/>
    <w:rsid w:val="00B224BC"/>
    <w:rsid w:val="00B225B7"/>
    <w:rsid w:val="00B22C80"/>
    <w:rsid w:val="00B264B7"/>
    <w:rsid w:val="00B27FA4"/>
    <w:rsid w:val="00B30B3A"/>
    <w:rsid w:val="00B31E3D"/>
    <w:rsid w:val="00B337EA"/>
    <w:rsid w:val="00B34807"/>
    <w:rsid w:val="00B34EB0"/>
    <w:rsid w:val="00B36FE5"/>
    <w:rsid w:val="00B40520"/>
    <w:rsid w:val="00B41613"/>
    <w:rsid w:val="00B42764"/>
    <w:rsid w:val="00B436BE"/>
    <w:rsid w:val="00B46E55"/>
    <w:rsid w:val="00B47BEF"/>
    <w:rsid w:val="00B51BDC"/>
    <w:rsid w:val="00B51E90"/>
    <w:rsid w:val="00B51F5C"/>
    <w:rsid w:val="00B5474C"/>
    <w:rsid w:val="00B5578A"/>
    <w:rsid w:val="00B57293"/>
    <w:rsid w:val="00B60134"/>
    <w:rsid w:val="00B60371"/>
    <w:rsid w:val="00B60BD3"/>
    <w:rsid w:val="00B610F4"/>
    <w:rsid w:val="00B61880"/>
    <w:rsid w:val="00B61DF1"/>
    <w:rsid w:val="00B61FFA"/>
    <w:rsid w:val="00B62859"/>
    <w:rsid w:val="00B62F5C"/>
    <w:rsid w:val="00B6303C"/>
    <w:rsid w:val="00B633EB"/>
    <w:rsid w:val="00B63C9F"/>
    <w:rsid w:val="00B67AE6"/>
    <w:rsid w:val="00B70A9B"/>
    <w:rsid w:val="00B712E9"/>
    <w:rsid w:val="00B7219C"/>
    <w:rsid w:val="00B7224D"/>
    <w:rsid w:val="00B72C8F"/>
    <w:rsid w:val="00B72FE7"/>
    <w:rsid w:val="00B7303E"/>
    <w:rsid w:val="00B731F6"/>
    <w:rsid w:val="00B74A37"/>
    <w:rsid w:val="00B76F69"/>
    <w:rsid w:val="00B77CE1"/>
    <w:rsid w:val="00B83166"/>
    <w:rsid w:val="00B84D1B"/>
    <w:rsid w:val="00B8510D"/>
    <w:rsid w:val="00B867E3"/>
    <w:rsid w:val="00B90AB5"/>
    <w:rsid w:val="00B91BE0"/>
    <w:rsid w:val="00B91EAE"/>
    <w:rsid w:val="00B92BDF"/>
    <w:rsid w:val="00B97874"/>
    <w:rsid w:val="00BA0328"/>
    <w:rsid w:val="00BA07CC"/>
    <w:rsid w:val="00BA0986"/>
    <w:rsid w:val="00BA1D5B"/>
    <w:rsid w:val="00BA3089"/>
    <w:rsid w:val="00BB10B3"/>
    <w:rsid w:val="00BB1EB0"/>
    <w:rsid w:val="00BB20D6"/>
    <w:rsid w:val="00BB2815"/>
    <w:rsid w:val="00BB2BAB"/>
    <w:rsid w:val="00BB371D"/>
    <w:rsid w:val="00BB4901"/>
    <w:rsid w:val="00BB6518"/>
    <w:rsid w:val="00BB7FAF"/>
    <w:rsid w:val="00BC1328"/>
    <w:rsid w:val="00BC43AC"/>
    <w:rsid w:val="00BC4FC9"/>
    <w:rsid w:val="00BC51D3"/>
    <w:rsid w:val="00BC6CDD"/>
    <w:rsid w:val="00BC73B0"/>
    <w:rsid w:val="00BD074F"/>
    <w:rsid w:val="00BD0B3D"/>
    <w:rsid w:val="00BD1173"/>
    <w:rsid w:val="00BD2C6F"/>
    <w:rsid w:val="00BD3B67"/>
    <w:rsid w:val="00BE04B4"/>
    <w:rsid w:val="00BE0AF5"/>
    <w:rsid w:val="00BE0DB0"/>
    <w:rsid w:val="00BE16A2"/>
    <w:rsid w:val="00BE39ED"/>
    <w:rsid w:val="00BE3D63"/>
    <w:rsid w:val="00BE6B81"/>
    <w:rsid w:val="00BF405B"/>
    <w:rsid w:val="00BF4175"/>
    <w:rsid w:val="00BF4A4A"/>
    <w:rsid w:val="00BF65A1"/>
    <w:rsid w:val="00BF6956"/>
    <w:rsid w:val="00BF7020"/>
    <w:rsid w:val="00BF771B"/>
    <w:rsid w:val="00BF7728"/>
    <w:rsid w:val="00BF7AF4"/>
    <w:rsid w:val="00C00681"/>
    <w:rsid w:val="00C06CB4"/>
    <w:rsid w:val="00C07D68"/>
    <w:rsid w:val="00C100BB"/>
    <w:rsid w:val="00C123D3"/>
    <w:rsid w:val="00C13FFC"/>
    <w:rsid w:val="00C150EB"/>
    <w:rsid w:val="00C20D22"/>
    <w:rsid w:val="00C24436"/>
    <w:rsid w:val="00C30D11"/>
    <w:rsid w:val="00C33021"/>
    <w:rsid w:val="00C33CFF"/>
    <w:rsid w:val="00C34070"/>
    <w:rsid w:val="00C350A3"/>
    <w:rsid w:val="00C35759"/>
    <w:rsid w:val="00C3623E"/>
    <w:rsid w:val="00C3674A"/>
    <w:rsid w:val="00C3676E"/>
    <w:rsid w:val="00C40CD2"/>
    <w:rsid w:val="00C40E33"/>
    <w:rsid w:val="00C420C5"/>
    <w:rsid w:val="00C42345"/>
    <w:rsid w:val="00C47E31"/>
    <w:rsid w:val="00C50A54"/>
    <w:rsid w:val="00C50C5B"/>
    <w:rsid w:val="00C50D50"/>
    <w:rsid w:val="00C54EDC"/>
    <w:rsid w:val="00C558F7"/>
    <w:rsid w:val="00C55A90"/>
    <w:rsid w:val="00C63AC6"/>
    <w:rsid w:val="00C63AF0"/>
    <w:rsid w:val="00C66E9C"/>
    <w:rsid w:val="00C674E8"/>
    <w:rsid w:val="00C724A7"/>
    <w:rsid w:val="00C7264D"/>
    <w:rsid w:val="00C72808"/>
    <w:rsid w:val="00C75F31"/>
    <w:rsid w:val="00C766C1"/>
    <w:rsid w:val="00C77717"/>
    <w:rsid w:val="00C8067C"/>
    <w:rsid w:val="00C807AC"/>
    <w:rsid w:val="00C8098E"/>
    <w:rsid w:val="00C82731"/>
    <w:rsid w:val="00C827A0"/>
    <w:rsid w:val="00C84133"/>
    <w:rsid w:val="00C85C2C"/>
    <w:rsid w:val="00C87B3F"/>
    <w:rsid w:val="00C90E35"/>
    <w:rsid w:val="00C9138C"/>
    <w:rsid w:val="00C923A5"/>
    <w:rsid w:val="00C96558"/>
    <w:rsid w:val="00CA0A6B"/>
    <w:rsid w:val="00CA30E9"/>
    <w:rsid w:val="00CA4521"/>
    <w:rsid w:val="00CA4757"/>
    <w:rsid w:val="00CA76AB"/>
    <w:rsid w:val="00CB27A1"/>
    <w:rsid w:val="00CB2FF0"/>
    <w:rsid w:val="00CB34F0"/>
    <w:rsid w:val="00CB3A67"/>
    <w:rsid w:val="00CB4161"/>
    <w:rsid w:val="00CB7CD9"/>
    <w:rsid w:val="00CC16FC"/>
    <w:rsid w:val="00CC1784"/>
    <w:rsid w:val="00CC31D7"/>
    <w:rsid w:val="00CC75EB"/>
    <w:rsid w:val="00CC7612"/>
    <w:rsid w:val="00CD0FA2"/>
    <w:rsid w:val="00CD1972"/>
    <w:rsid w:val="00CD38B4"/>
    <w:rsid w:val="00CD41F9"/>
    <w:rsid w:val="00CD524A"/>
    <w:rsid w:val="00CD6705"/>
    <w:rsid w:val="00CD6E11"/>
    <w:rsid w:val="00CE2F3E"/>
    <w:rsid w:val="00CE32E7"/>
    <w:rsid w:val="00CE5BB5"/>
    <w:rsid w:val="00CE5BD2"/>
    <w:rsid w:val="00CE6B79"/>
    <w:rsid w:val="00CE7082"/>
    <w:rsid w:val="00CF1A17"/>
    <w:rsid w:val="00CF2D7A"/>
    <w:rsid w:val="00CF38CA"/>
    <w:rsid w:val="00CF4C10"/>
    <w:rsid w:val="00CF4E85"/>
    <w:rsid w:val="00CF4E88"/>
    <w:rsid w:val="00CF5391"/>
    <w:rsid w:val="00D01108"/>
    <w:rsid w:val="00D02181"/>
    <w:rsid w:val="00D028FC"/>
    <w:rsid w:val="00D029C2"/>
    <w:rsid w:val="00D03AE8"/>
    <w:rsid w:val="00D03FA7"/>
    <w:rsid w:val="00D0662D"/>
    <w:rsid w:val="00D07097"/>
    <w:rsid w:val="00D07EBA"/>
    <w:rsid w:val="00D10401"/>
    <w:rsid w:val="00D1073B"/>
    <w:rsid w:val="00D11979"/>
    <w:rsid w:val="00D11D58"/>
    <w:rsid w:val="00D1402D"/>
    <w:rsid w:val="00D20A10"/>
    <w:rsid w:val="00D23B0C"/>
    <w:rsid w:val="00D2575A"/>
    <w:rsid w:val="00D2623E"/>
    <w:rsid w:val="00D2685E"/>
    <w:rsid w:val="00D338EC"/>
    <w:rsid w:val="00D33AEC"/>
    <w:rsid w:val="00D42753"/>
    <w:rsid w:val="00D43E5A"/>
    <w:rsid w:val="00D4565C"/>
    <w:rsid w:val="00D461B3"/>
    <w:rsid w:val="00D463C4"/>
    <w:rsid w:val="00D469DC"/>
    <w:rsid w:val="00D50B30"/>
    <w:rsid w:val="00D5219F"/>
    <w:rsid w:val="00D52BC8"/>
    <w:rsid w:val="00D5379D"/>
    <w:rsid w:val="00D55144"/>
    <w:rsid w:val="00D55A49"/>
    <w:rsid w:val="00D55D6F"/>
    <w:rsid w:val="00D56D16"/>
    <w:rsid w:val="00D577C5"/>
    <w:rsid w:val="00D61C68"/>
    <w:rsid w:val="00D62C01"/>
    <w:rsid w:val="00D6335D"/>
    <w:rsid w:val="00D64A76"/>
    <w:rsid w:val="00D66B4A"/>
    <w:rsid w:val="00D66C7F"/>
    <w:rsid w:val="00D67073"/>
    <w:rsid w:val="00D700DC"/>
    <w:rsid w:val="00D7244A"/>
    <w:rsid w:val="00D72CA3"/>
    <w:rsid w:val="00D73A62"/>
    <w:rsid w:val="00D760C7"/>
    <w:rsid w:val="00D849D3"/>
    <w:rsid w:val="00D85A21"/>
    <w:rsid w:val="00D85BE1"/>
    <w:rsid w:val="00D85F60"/>
    <w:rsid w:val="00D90F36"/>
    <w:rsid w:val="00D913D3"/>
    <w:rsid w:val="00D9293A"/>
    <w:rsid w:val="00D96109"/>
    <w:rsid w:val="00D963C3"/>
    <w:rsid w:val="00D96ABB"/>
    <w:rsid w:val="00DA49BA"/>
    <w:rsid w:val="00DA7F89"/>
    <w:rsid w:val="00DB1676"/>
    <w:rsid w:val="00DB21E5"/>
    <w:rsid w:val="00DB3578"/>
    <w:rsid w:val="00DB37E7"/>
    <w:rsid w:val="00DB3AA0"/>
    <w:rsid w:val="00DB43C8"/>
    <w:rsid w:val="00DB5532"/>
    <w:rsid w:val="00DB5B6C"/>
    <w:rsid w:val="00DB6086"/>
    <w:rsid w:val="00DC2364"/>
    <w:rsid w:val="00DC30B7"/>
    <w:rsid w:val="00DC4E3C"/>
    <w:rsid w:val="00DC50F8"/>
    <w:rsid w:val="00DD3174"/>
    <w:rsid w:val="00DD32B2"/>
    <w:rsid w:val="00DD3F6C"/>
    <w:rsid w:val="00DD5533"/>
    <w:rsid w:val="00DE10B3"/>
    <w:rsid w:val="00DE1297"/>
    <w:rsid w:val="00DE2AC9"/>
    <w:rsid w:val="00DE314A"/>
    <w:rsid w:val="00DE39CF"/>
    <w:rsid w:val="00DE3CE1"/>
    <w:rsid w:val="00DE4771"/>
    <w:rsid w:val="00DE4C47"/>
    <w:rsid w:val="00DE4C5C"/>
    <w:rsid w:val="00DF0CD7"/>
    <w:rsid w:val="00DF2EE1"/>
    <w:rsid w:val="00DF53BD"/>
    <w:rsid w:val="00DF60D0"/>
    <w:rsid w:val="00E03F82"/>
    <w:rsid w:val="00E04F41"/>
    <w:rsid w:val="00E06BBD"/>
    <w:rsid w:val="00E12CAD"/>
    <w:rsid w:val="00E14FDA"/>
    <w:rsid w:val="00E20981"/>
    <w:rsid w:val="00E242A1"/>
    <w:rsid w:val="00E26E75"/>
    <w:rsid w:val="00E27980"/>
    <w:rsid w:val="00E27F89"/>
    <w:rsid w:val="00E31071"/>
    <w:rsid w:val="00E337D5"/>
    <w:rsid w:val="00E34618"/>
    <w:rsid w:val="00E34AD2"/>
    <w:rsid w:val="00E34DE3"/>
    <w:rsid w:val="00E34F18"/>
    <w:rsid w:val="00E35123"/>
    <w:rsid w:val="00E35773"/>
    <w:rsid w:val="00E35FFA"/>
    <w:rsid w:val="00E4065C"/>
    <w:rsid w:val="00E4144C"/>
    <w:rsid w:val="00E41BED"/>
    <w:rsid w:val="00E42D13"/>
    <w:rsid w:val="00E43488"/>
    <w:rsid w:val="00E43FAD"/>
    <w:rsid w:val="00E44CD2"/>
    <w:rsid w:val="00E45F3C"/>
    <w:rsid w:val="00E468EC"/>
    <w:rsid w:val="00E47996"/>
    <w:rsid w:val="00E50CE1"/>
    <w:rsid w:val="00E510E3"/>
    <w:rsid w:val="00E51E1C"/>
    <w:rsid w:val="00E53C68"/>
    <w:rsid w:val="00E54593"/>
    <w:rsid w:val="00E54BC2"/>
    <w:rsid w:val="00E557E4"/>
    <w:rsid w:val="00E60458"/>
    <w:rsid w:val="00E63A25"/>
    <w:rsid w:val="00E6506D"/>
    <w:rsid w:val="00E6640D"/>
    <w:rsid w:val="00E6763C"/>
    <w:rsid w:val="00E677A7"/>
    <w:rsid w:val="00E711A2"/>
    <w:rsid w:val="00E71FB0"/>
    <w:rsid w:val="00E73E5A"/>
    <w:rsid w:val="00E82F1F"/>
    <w:rsid w:val="00E846D6"/>
    <w:rsid w:val="00E8486B"/>
    <w:rsid w:val="00E84E7C"/>
    <w:rsid w:val="00E86624"/>
    <w:rsid w:val="00E8666D"/>
    <w:rsid w:val="00E87361"/>
    <w:rsid w:val="00E87A09"/>
    <w:rsid w:val="00E90215"/>
    <w:rsid w:val="00E91620"/>
    <w:rsid w:val="00E93CF9"/>
    <w:rsid w:val="00E95C3B"/>
    <w:rsid w:val="00E960D6"/>
    <w:rsid w:val="00E96954"/>
    <w:rsid w:val="00E96DC4"/>
    <w:rsid w:val="00E96E9F"/>
    <w:rsid w:val="00EA049E"/>
    <w:rsid w:val="00EA5BC7"/>
    <w:rsid w:val="00EA620B"/>
    <w:rsid w:val="00EA65FD"/>
    <w:rsid w:val="00EA6B96"/>
    <w:rsid w:val="00EA7EE7"/>
    <w:rsid w:val="00EB15FB"/>
    <w:rsid w:val="00EB2474"/>
    <w:rsid w:val="00EB44CB"/>
    <w:rsid w:val="00EB5B64"/>
    <w:rsid w:val="00EB5DBA"/>
    <w:rsid w:val="00EB745C"/>
    <w:rsid w:val="00EB7576"/>
    <w:rsid w:val="00EC35E1"/>
    <w:rsid w:val="00EC3828"/>
    <w:rsid w:val="00EC4675"/>
    <w:rsid w:val="00ED04AD"/>
    <w:rsid w:val="00ED19EF"/>
    <w:rsid w:val="00ED2279"/>
    <w:rsid w:val="00ED47C6"/>
    <w:rsid w:val="00ED4CAF"/>
    <w:rsid w:val="00ED5350"/>
    <w:rsid w:val="00ED5A0D"/>
    <w:rsid w:val="00ED605E"/>
    <w:rsid w:val="00EE037E"/>
    <w:rsid w:val="00EE3497"/>
    <w:rsid w:val="00EE4937"/>
    <w:rsid w:val="00EE4CC9"/>
    <w:rsid w:val="00EE7912"/>
    <w:rsid w:val="00EE7DCD"/>
    <w:rsid w:val="00EF029B"/>
    <w:rsid w:val="00EF1607"/>
    <w:rsid w:val="00EF287C"/>
    <w:rsid w:val="00EF42D0"/>
    <w:rsid w:val="00F0081C"/>
    <w:rsid w:val="00F03278"/>
    <w:rsid w:val="00F04BC9"/>
    <w:rsid w:val="00F1050F"/>
    <w:rsid w:val="00F10808"/>
    <w:rsid w:val="00F10DE6"/>
    <w:rsid w:val="00F10E99"/>
    <w:rsid w:val="00F1104B"/>
    <w:rsid w:val="00F11EC8"/>
    <w:rsid w:val="00F1230F"/>
    <w:rsid w:val="00F125D3"/>
    <w:rsid w:val="00F14DCF"/>
    <w:rsid w:val="00F16A73"/>
    <w:rsid w:val="00F17DC7"/>
    <w:rsid w:val="00F2321B"/>
    <w:rsid w:val="00F237F5"/>
    <w:rsid w:val="00F27903"/>
    <w:rsid w:val="00F31F7E"/>
    <w:rsid w:val="00F32654"/>
    <w:rsid w:val="00F32A96"/>
    <w:rsid w:val="00F32A99"/>
    <w:rsid w:val="00F35572"/>
    <w:rsid w:val="00F36C44"/>
    <w:rsid w:val="00F377EB"/>
    <w:rsid w:val="00F4024F"/>
    <w:rsid w:val="00F41B55"/>
    <w:rsid w:val="00F426DD"/>
    <w:rsid w:val="00F430ED"/>
    <w:rsid w:val="00F44401"/>
    <w:rsid w:val="00F45C50"/>
    <w:rsid w:val="00F461CB"/>
    <w:rsid w:val="00F470A9"/>
    <w:rsid w:val="00F500EC"/>
    <w:rsid w:val="00F501C2"/>
    <w:rsid w:val="00F506D5"/>
    <w:rsid w:val="00F51413"/>
    <w:rsid w:val="00F55522"/>
    <w:rsid w:val="00F55F58"/>
    <w:rsid w:val="00F60818"/>
    <w:rsid w:val="00F61B12"/>
    <w:rsid w:val="00F6212D"/>
    <w:rsid w:val="00F62EBA"/>
    <w:rsid w:val="00F6683C"/>
    <w:rsid w:val="00F66888"/>
    <w:rsid w:val="00F67B2B"/>
    <w:rsid w:val="00F727C5"/>
    <w:rsid w:val="00F72B69"/>
    <w:rsid w:val="00F73F7E"/>
    <w:rsid w:val="00F743D0"/>
    <w:rsid w:val="00F744C2"/>
    <w:rsid w:val="00F745E7"/>
    <w:rsid w:val="00F750FD"/>
    <w:rsid w:val="00F77620"/>
    <w:rsid w:val="00F8285A"/>
    <w:rsid w:val="00F82C59"/>
    <w:rsid w:val="00F834F6"/>
    <w:rsid w:val="00F876D9"/>
    <w:rsid w:val="00F87A73"/>
    <w:rsid w:val="00F87D35"/>
    <w:rsid w:val="00F904F4"/>
    <w:rsid w:val="00F928E9"/>
    <w:rsid w:val="00F95BB3"/>
    <w:rsid w:val="00F96D3A"/>
    <w:rsid w:val="00FA0363"/>
    <w:rsid w:val="00FA2AF6"/>
    <w:rsid w:val="00FA3AD8"/>
    <w:rsid w:val="00FA4694"/>
    <w:rsid w:val="00FA508F"/>
    <w:rsid w:val="00FB040A"/>
    <w:rsid w:val="00FB0F08"/>
    <w:rsid w:val="00FB19CA"/>
    <w:rsid w:val="00FB2CAF"/>
    <w:rsid w:val="00FB38BD"/>
    <w:rsid w:val="00FB5625"/>
    <w:rsid w:val="00FB5762"/>
    <w:rsid w:val="00FB593F"/>
    <w:rsid w:val="00FB5ED3"/>
    <w:rsid w:val="00FC1F7B"/>
    <w:rsid w:val="00FC525B"/>
    <w:rsid w:val="00FC54B9"/>
    <w:rsid w:val="00FC7350"/>
    <w:rsid w:val="00FD078E"/>
    <w:rsid w:val="00FD1183"/>
    <w:rsid w:val="00FD1594"/>
    <w:rsid w:val="00FD1DB6"/>
    <w:rsid w:val="00FD3405"/>
    <w:rsid w:val="00FD4353"/>
    <w:rsid w:val="00FD4F3F"/>
    <w:rsid w:val="00FD5FD9"/>
    <w:rsid w:val="00FD62CD"/>
    <w:rsid w:val="00FE170A"/>
    <w:rsid w:val="00FE2026"/>
    <w:rsid w:val="00FE3473"/>
    <w:rsid w:val="00FE35B9"/>
    <w:rsid w:val="00FE63AE"/>
    <w:rsid w:val="00FE6CE4"/>
    <w:rsid w:val="00FE7564"/>
    <w:rsid w:val="00FE7AF4"/>
    <w:rsid w:val="00FF068B"/>
    <w:rsid w:val="00FF242E"/>
    <w:rsid w:val="00FF39A0"/>
    <w:rsid w:val="00FF3B69"/>
    <w:rsid w:val="00FF4985"/>
    <w:rsid w:val="00FF5051"/>
    <w:rsid w:val="00FF52D2"/>
    <w:rsid w:val="00FF748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3CD"/>
    <w:rPr>
      <w:sz w:val="24"/>
      <w:szCs w:val="24"/>
    </w:rPr>
  </w:style>
  <w:style w:type="paragraph" w:styleId="Heading1">
    <w:name w:val="heading 1"/>
    <w:basedOn w:val="Normal"/>
    <w:next w:val="Normal"/>
    <w:link w:val="Heading1Char"/>
    <w:qFormat/>
    <w:rsid w:val="00D23B0C"/>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rsid w:val="00E96954"/>
    <w:pPr>
      <w:spacing w:before="75" w:after="75"/>
    </w:pPr>
    <w:rPr>
      <w:rFonts w:eastAsia="SimSun"/>
      <w:noProof/>
      <w:lang w:eastAsia="zh-CN"/>
    </w:rPr>
  </w:style>
  <w:style w:type="character" w:styleId="Hyperlink">
    <w:name w:val="Hyperlink"/>
    <w:basedOn w:val="DefaultParagraphFont"/>
    <w:uiPriority w:val="99"/>
    <w:rsid w:val="0067509B"/>
    <w:rPr>
      <w:color w:val="0000FF"/>
      <w:u w:val="single"/>
    </w:rPr>
  </w:style>
  <w:style w:type="paragraph" w:styleId="PlainText">
    <w:name w:val="Plain Text"/>
    <w:basedOn w:val="Normal"/>
    <w:link w:val="PlainTextChar"/>
    <w:rsid w:val="009C1FF4"/>
    <w:rPr>
      <w:rFonts w:ascii="Courier New" w:hAnsi="Courier New" w:cs="Courier New"/>
      <w:sz w:val="20"/>
      <w:szCs w:val="20"/>
    </w:rPr>
  </w:style>
  <w:style w:type="paragraph" w:styleId="BalloonText">
    <w:name w:val="Balloon Text"/>
    <w:basedOn w:val="Normal"/>
    <w:semiHidden/>
    <w:rsid w:val="00966F8A"/>
    <w:rPr>
      <w:rFonts w:ascii="Tahoma" w:hAnsi="Tahoma" w:cs="Tahoma"/>
      <w:sz w:val="16"/>
      <w:szCs w:val="16"/>
    </w:rPr>
  </w:style>
  <w:style w:type="character" w:styleId="CommentReference">
    <w:name w:val="annotation reference"/>
    <w:basedOn w:val="DefaultParagraphFont"/>
    <w:semiHidden/>
    <w:rsid w:val="00A00CF8"/>
    <w:rPr>
      <w:sz w:val="16"/>
      <w:szCs w:val="16"/>
    </w:rPr>
  </w:style>
  <w:style w:type="paragraph" w:styleId="CommentText">
    <w:name w:val="annotation text"/>
    <w:basedOn w:val="Normal"/>
    <w:semiHidden/>
    <w:rsid w:val="00A00CF8"/>
    <w:rPr>
      <w:sz w:val="20"/>
      <w:szCs w:val="20"/>
    </w:rPr>
  </w:style>
  <w:style w:type="paragraph" w:styleId="CommentSubject">
    <w:name w:val="annotation subject"/>
    <w:basedOn w:val="CommentText"/>
    <w:next w:val="CommentText"/>
    <w:semiHidden/>
    <w:rsid w:val="00A00CF8"/>
    <w:rPr>
      <w:b/>
      <w:bCs/>
    </w:rPr>
  </w:style>
  <w:style w:type="paragraph" w:styleId="BodyText2">
    <w:name w:val="Body Text 2"/>
    <w:basedOn w:val="Normal"/>
    <w:link w:val="BodyText2Char"/>
    <w:uiPriority w:val="99"/>
    <w:unhideWhenUsed/>
    <w:rsid w:val="006A4EAD"/>
    <w:pPr>
      <w:spacing w:after="120" w:line="480" w:lineRule="auto"/>
    </w:pPr>
  </w:style>
  <w:style w:type="character" w:customStyle="1" w:styleId="BodyText2Char">
    <w:name w:val="Body Text 2 Char"/>
    <w:basedOn w:val="DefaultParagraphFont"/>
    <w:link w:val="BodyText2"/>
    <w:uiPriority w:val="99"/>
    <w:rsid w:val="006A4EAD"/>
    <w:rPr>
      <w:sz w:val="24"/>
      <w:szCs w:val="24"/>
    </w:rPr>
  </w:style>
  <w:style w:type="character" w:customStyle="1" w:styleId="Heading1Char">
    <w:name w:val="Heading 1 Char"/>
    <w:basedOn w:val="DefaultParagraphFont"/>
    <w:link w:val="Heading1"/>
    <w:uiPriority w:val="9"/>
    <w:rsid w:val="00D23B0C"/>
    <w:rPr>
      <w:rFonts w:ascii="Cambria" w:eastAsia="Times New Roman" w:hAnsi="Cambria" w:cs="Times New Roman"/>
      <w:b/>
      <w:bCs/>
      <w:kern w:val="32"/>
      <w:sz w:val="32"/>
      <w:szCs w:val="32"/>
    </w:rPr>
  </w:style>
  <w:style w:type="paragraph" w:styleId="BodyText">
    <w:name w:val="Body Text"/>
    <w:basedOn w:val="Normal"/>
    <w:link w:val="BodyTextChar"/>
    <w:rsid w:val="00D23B0C"/>
    <w:pPr>
      <w:spacing w:after="120"/>
    </w:pPr>
  </w:style>
  <w:style w:type="character" w:customStyle="1" w:styleId="BodyTextChar">
    <w:name w:val="Body Text Char"/>
    <w:basedOn w:val="DefaultParagraphFont"/>
    <w:link w:val="BodyText"/>
    <w:rsid w:val="00D23B0C"/>
    <w:rPr>
      <w:sz w:val="24"/>
      <w:szCs w:val="24"/>
    </w:rPr>
  </w:style>
  <w:style w:type="character" w:customStyle="1" w:styleId="PlainTextChar">
    <w:name w:val="Plain Text Char"/>
    <w:basedOn w:val="DefaultParagraphFont"/>
    <w:link w:val="PlainText"/>
    <w:rsid w:val="00D23B0C"/>
    <w:rPr>
      <w:rFonts w:ascii="Courier New" w:hAnsi="Courier New" w:cs="Courier New"/>
    </w:rPr>
  </w:style>
  <w:style w:type="paragraph" w:styleId="BodyTextIndent">
    <w:name w:val="Body Text Indent"/>
    <w:basedOn w:val="Normal"/>
    <w:link w:val="BodyTextIndentChar"/>
    <w:rsid w:val="006D3E67"/>
    <w:pPr>
      <w:spacing w:after="120"/>
      <w:ind w:left="283"/>
    </w:pPr>
  </w:style>
  <w:style w:type="character" w:customStyle="1" w:styleId="BodyTextIndentChar">
    <w:name w:val="Body Text Indent Char"/>
    <w:basedOn w:val="DefaultParagraphFont"/>
    <w:link w:val="BodyTextIndent"/>
    <w:rsid w:val="006D3E67"/>
    <w:rPr>
      <w:sz w:val="24"/>
      <w:szCs w:val="24"/>
    </w:rPr>
  </w:style>
  <w:style w:type="paragraph" w:styleId="FootnoteText">
    <w:name w:val="footnote text"/>
    <w:basedOn w:val="Normal"/>
    <w:link w:val="FootnoteTextChar"/>
    <w:uiPriority w:val="99"/>
    <w:rsid w:val="00BB2815"/>
    <w:rPr>
      <w:sz w:val="20"/>
      <w:szCs w:val="20"/>
    </w:rPr>
  </w:style>
  <w:style w:type="character" w:customStyle="1" w:styleId="FootnoteTextChar">
    <w:name w:val="Footnote Text Char"/>
    <w:basedOn w:val="DefaultParagraphFont"/>
    <w:link w:val="FootnoteText"/>
    <w:uiPriority w:val="99"/>
    <w:rsid w:val="00BB2815"/>
  </w:style>
  <w:style w:type="paragraph" w:customStyle="1" w:styleId="tvhtml">
    <w:name w:val="tv_html"/>
    <w:basedOn w:val="Normal"/>
    <w:rsid w:val="00DC4E3C"/>
    <w:pPr>
      <w:spacing w:before="100" w:beforeAutospacing="1" w:after="100" w:afterAutospacing="1"/>
    </w:pPr>
    <w:rPr>
      <w:rFonts w:ascii="Verdana" w:hAnsi="Verdana"/>
      <w:sz w:val="18"/>
      <w:szCs w:val="18"/>
    </w:rPr>
  </w:style>
  <w:style w:type="table" w:styleId="TableGrid">
    <w:name w:val="Table Grid"/>
    <w:basedOn w:val="TableNormal"/>
    <w:uiPriority w:val="59"/>
    <w:rsid w:val="00AE4F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177E0"/>
    <w:pPr>
      <w:ind w:left="720"/>
      <w:contextualSpacing/>
    </w:pPr>
  </w:style>
  <w:style w:type="paragraph" w:customStyle="1" w:styleId="tvhtml1">
    <w:name w:val="tv_html1"/>
    <w:basedOn w:val="Normal"/>
    <w:rsid w:val="00A753F3"/>
    <w:pPr>
      <w:spacing w:before="100" w:beforeAutospacing="1" w:line="360" w:lineRule="auto"/>
    </w:pPr>
    <w:rPr>
      <w:rFonts w:ascii="Verdana" w:hAnsi="Verdana"/>
      <w:sz w:val="18"/>
      <w:szCs w:val="18"/>
    </w:rPr>
  </w:style>
  <w:style w:type="paragraph" w:styleId="NoSpacing">
    <w:name w:val="No Spacing"/>
    <w:uiPriority w:val="1"/>
    <w:qFormat/>
    <w:rsid w:val="00D028FC"/>
    <w:rPr>
      <w:rFonts w:asciiTheme="minorHAnsi" w:eastAsiaTheme="minorHAnsi" w:hAnsiTheme="minorHAnsi" w:cstheme="minorBidi"/>
      <w:sz w:val="22"/>
      <w:szCs w:val="22"/>
      <w:lang w:eastAsia="en-US"/>
    </w:rPr>
  </w:style>
  <w:style w:type="character" w:styleId="FootnoteReference">
    <w:name w:val="footnote reference"/>
    <w:basedOn w:val="DefaultParagraphFont"/>
    <w:uiPriority w:val="99"/>
    <w:unhideWhenUsed/>
    <w:rsid w:val="00204A8B"/>
    <w:rPr>
      <w:vertAlign w:val="superscript"/>
    </w:rPr>
  </w:style>
  <w:style w:type="paragraph" w:customStyle="1" w:styleId="tvhtmlmktable">
    <w:name w:val="tv_html mk_table"/>
    <w:basedOn w:val="Normal"/>
    <w:rsid w:val="007C4B5C"/>
    <w:pPr>
      <w:spacing w:before="100" w:beforeAutospacing="1" w:after="100" w:afterAutospacing="1"/>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123886210">
      <w:bodyDiv w:val="1"/>
      <w:marLeft w:val="0"/>
      <w:marRight w:val="0"/>
      <w:marTop w:val="0"/>
      <w:marBottom w:val="0"/>
      <w:divBdr>
        <w:top w:val="none" w:sz="0" w:space="0" w:color="auto"/>
        <w:left w:val="none" w:sz="0" w:space="0" w:color="auto"/>
        <w:bottom w:val="none" w:sz="0" w:space="0" w:color="auto"/>
        <w:right w:val="none" w:sz="0" w:space="0" w:color="auto"/>
      </w:divBdr>
    </w:div>
    <w:div w:id="472331389">
      <w:bodyDiv w:val="1"/>
      <w:marLeft w:val="45"/>
      <w:marRight w:val="45"/>
      <w:marTop w:val="90"/>
      <w:marBottom w:val="90"/>
      <w:divBdr>
        <w:top w:val="none" w:sz="0" w:space="0" w:color="auto"/>
        <w:left w:val="none" w:sz="0" w:space="0" w:color="auto"/>
        <w:bottom w:val="none" w:sz="0" w:space="0" w:color="auto"/>
        <w:right w:val="none" w:sz="0" w:space="0" w:color="auto"/>
      </w:divBdr>
      <w:divsChild>
        <w:div w:id="1302420283">
          <w:marLeft w:val="0"/>
          <w:marRight w:val="0"/>
          <w:marTop w:val="240"/>
          <w:marBottom w:val="0"/>
          <w:divBdr>
            <w:top w:val="none" w:sz="0" w:space="0" w:color="auto"/>
            <w:left w:val="none" w:sz="0" w:space="0" w:color="auto"/>
            <w:bottom w:val="none" w:sz="0" w:space="0" w:color="auto"/>
            <w:right w:val="none" w:sz="0" w:space="0" w:color="auto"/>
          </w:divBdr>
          <w:divsChild>
            <w:div w:id="15287176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700742423">
      <w:bodyDiv w:val="1"/>
      <w:marLeft w:val="45"/>
      <w:marRight w:val="45"/>
      <w:marTop w:val="90"/>
      <w:marBottom w:val="90"/>
      <w:divBdr>
        <w:top w:val="none" w:sz="0" w:space="0" w:color="auto"/>
        <w:left w:val="none" w:sz="0" w:space="0" w:color="auto"/>
        <w:bottom w:val="none" w:sz="0" w:space="0" w:color="auto"/>
        <w:right w:val="none" w:sz="0" w:space="0" w:color="auto"/>
      </w:divBdr>
      <w:divsChild>
        <w:div w:id="2037611063">
          <w:marLeft w:val="0"/>
          <w:marRight w:val="0"/>
          <w:marTop w:val="240"/>
          <w:marBottom w:val="0"/>
          <w:divBdr>
            <w:top w:val="none" w:sz="0" w:space="0" w:color="auto"/>
            <w:left w:val="none" w:sz="0" w:space="0" w:color="auto"/>
            <w:bottom w:val="none" w:sz="0" w:space="0" w:color="auto"/>
            <w:right w:val="none" w:sz="0" w:space="0" w:color="auto"/>
          </w:divBdr>
        </w:div>
      </w:divsChild>
    </w:div>
    <w:div w:id="1314990954">
      <w:bodyDiv w:val="1"/>
      <w:marLeft w:val="45"/>
      <w:marRight w:val="45"/>
      <w:marTop w:val="90"/>
      <w:marBottom w:val="90"/>
      <w:divBdr>
        <w:top w:val="none" w:sz="0" w:space="0" w:color="auto"/>
        <w:left w:val="none" w:sz="0" w:space="0" w:color="auto"/>
        <w:bottom w:val="none" w:sz="0" w:space="0" w:color="auto"/>
        <w:right w:val="none" w:sz="0" w:space="0" w:color="auto"/>
      </w:divBdr>
      <w:divsChild>
        <w:div w:id="866597577">
          <w:marLeft w:val="0"/>
          <w:marRight w:val="0"/>
          <w:marTop w:val="24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624144338">
      <w:bodyDiv w:val="1"/>
      <w:marLeft w:val="45"/>
      <w:marRight w:val="45"/>
      <w:marTop w:val="90"/>
      <w:marBottom w:val="90"/>
      <w:divBdr>
        <w:top w:val="none" w:sz="0" w:space="0" w:color="auto"/>
        <w:left w:val="none" w:sz="0" w:space="0" w:color="auto"/>
        <w:bottom w:val="none" w:sz="0" w:space="0" w:color="auto"/>
        <w:right w:val="none" w:sz="0" w:space="0" w:color="auto"/>
      </w:divBdr>
      <w:divsChild>
        <w:div w:id="452675578">
          <w:marLeft w:val="0"/>
          <w:marRight w:val="0"/>
          <w:marTop w:val="240"/>
          <w:marBottom w:val="0"/>
          <w:divBdr>
            <w:top w:val="none" w:sz="0" w:space="0" w:color="auto"/>
            <w:left w:val="none" w:sz="0" w:space="0" w:color="auto"/>
            <w:bottom w:val="none" w:sz="0" w:space="0" w:color="auto"/>
            <w:right w:val="none" w:sz="0" w:space="0" w:color="auto"/>
          </w:divBdr>
        </w:div>
      </w:divsChild>
    </w:div>
    <w:div w:id="1667902775">
      <w:bodyDiv w:val="1"/>
      <w:marLeft w:val="45"/>
      <w:marRight w:val="45"/>
      <w:marTop w:val="90"/>
      <w:marBottom w:val="90"/>
      <w:divBdr>
        <w:top w:val="none" w:sz="0" w:space="0" w:color="auto"/>
        <w:left w:val="none" w:sz="0" w:space="0" w:color="auto"/>
        <w:bottom w:val="none" w:sz="0" w:space="0" w:color="auto"/>
        <w:right w:val="none" w:sz="0" w:space="0" w:color="auto"/>
      </w:divBdr>
      <w:divsChild>
        <w:div w:id="28554925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121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na.jermacane@v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esma.skudra@vm.gov.lv" TargetMode="External"/><Relationship Id="rId4" Type="http://schemas.openxmlformats.org/officeDocument/2006/relationships/settings" Target="settings.xml"/><Relationship Id="rId9" Type="http://schemas.openxmlformats.org/officeDocument/2006/relationships/hyperlink" Target="mailto:gunta.grisle@v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E8215-52FC-43B7-8509-3CEABB2A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3991</Words>
  <Characters>22751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2000.gada 26.septembra noteikumos Nr.330 “Vakcinācijas noteikumi”” sākotnējās ietekmes novērtējuma ziņojums (anotācija)</vt:lpstr>
    </vt:vector>
  </TitlesOfParts>
  <Company>Veselības ministrija</Company>
  <LinksUpToDate>false</LinksUpToDate>
  <CharactersWithSpaces>26689</CharactersWithSpaces>
  <SharedDoc>false</SharedDoc>
  <HLinks>
    <vt:vector size="6" baseType="variant">
      <vt:variant>
        <vt:i4>7733280</vt:i4>
      </vt:variant>
      <vt:variant>
        <vt:i4>0</vt:i4>
      </vt:variant>
      <vt:variant>
        <vt:i4>0</vt:i4>
      </vt:variant>
      <vt:variant>
        <vt:i4>5</vt:i4>
      </vt:variant>
      <vt:variant>
        <vt:lpwstr>http://www.lic.gov.lv/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2000.gada 26.septembra noteikumos Nr.330 “Vakcinācijas noteikumi”” sākotnējās ietekmes novērtējuma ziņojums (anotācija)</dc:title>
  <dc:subject>Anotācija</dc:subject>
  <dc:creator>ggrisle</dc:creator>
  <cp:keywords>Veselības ministrija</cp:keywords>
  <dc:description>Grīsle, tālr.67876089
gunta.grisle@vm.gov.lv</dc:description>
  <cp:lastModifiedBy>jfeldmane</cp:lastModifiedBy>
  <cp:revision>3</cp:revision>
  <cp:lastPrinted>2013-11-27T09:41:00Z</cp:lastPrinted>
  <dcterms:created xsi:type="dcterms:W3CDTF">2013-11-27T09:41:00Z</dcterms:created>
  <dcterms:modified xsi:type="dcterms:W3CDTF">2013-11-27T09:43:00Z</dcterms:modified>
</cp:coreProperties>
</file>