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93" w:rsidRPr="002F1241" w:rsidRDefault="00277893" w:rsidP="002F1241">
      <w:pPr>
        <w:spacing w:after="120"/>
        <w:jc w:val="center"/>
        <w:rPr>
          <w:b/>
          <w:sz w:val="28"/>
          <w:szCs w:val="28"/>
        </w:rPr>
      </w:pPr>
      <w:bookmarkStart w:id="0" w:name="OLE_LINK1"/>
      <w:bookmarkStart w:id="1" w:name="OLE_LINK2"/>
      <w:bookmarkStart w:id="2" w:name="OLE_LINK5"/>
      <w:bookmarkStart w:id="3" w:name="OLE_LINK6"/>
      <w:r w:rsidRPr="00957553">
        <w:rPr>
          <w:b/>
          <w:bCs/>
          <w:sz w:val="28"/>
          <w:szCs w:val="28"/>
        </w:rPr>
        <w:t xml:space="preserve">Ministru kabineta noteikumu projekta </w:t>
      </w:r>
      <w:r>
        <w:rPr>
          <w:b/>
          <w:bCs/>
          <w:sz w:val="28"/>
          <w:szCs w:val="28"/>
        </w:rPr>
        <w:t>„</w:t>
      </w:r>
      <w:bookmarkStart w:id="4" w:name="OLE_LINK26"/>
      <w:bookmarkStart w:id="5" w:name="OLE_LINK27"/>
      <w:r w:rsidRPr="00957553">
        <w:rPr>
          <w:b/>
          <w:bCs/>
          <w:sz w:val="28"/>
          <w:szCs w:val="28"/>
        </w:rPr>
        <w:t xml:space="preserve">Grozījumi Ministru kabineta </w:t>
      </w:r>
      <w:bookmarkEnd w:id="4"/>
      <w:bookmarkEnd w:id="5"/>
      <w:r w:rsidRPr="00957553">
        <w:rPr>
          <w:b/>
          <w:bCs/>
          <w:iCs/>
          <w:sz w:val="28"/>
          <w:szCs w:val="28"/>
        </w:rPr>
        <w:t xml:space="preserve">2009.gada 13.janvāra noteikumos Nr.44 </w:t>
      </w:r>
      <w:r>
        <w:rPr>
          <w:b/>
          <w:bCs/>
          <w:iCs/>
          <w:sz w:val="28"/>
          <w:szCs w:val="28"/>
        </w:rPr>
        <w:t>„</w:t>
      </w:r>
      <w:r w:rsidRPr="00957553">
        <w:rPr>
          <w:b/>
          <w:bCs/>
          <w:iCs/>
          <w:sz w:val="28"/>
          <w:szCs w:val="28"/>
        </w:rPr>
        <w:t xml:space="preserve">Noteikumi par darbības programmas </w:t>
      </w:r>
      <w:r>
        <w:rPr>
          <w:b/>
          <w:bCs/>
          <w:iCs/>
          <w:sz w:val="28"/>
          <w:szCs w:val="28"/>
        </w:rPr>
        <w:t>„</w:t>
      </w:r>
      <w:r w:rsidRPr="00957553">
        <w:rPr>
          <w:b/>
          <w:bCs/>
          <w:iCs/>
          <w:sz w:val="28"/>
          <w:szCs w:val="28"/>
        </w:rPr>
        <w:t>Infrastruktūra un pakalpojumi</w:t>
      </w:r>
      <w:r>
        <w:rPr>
          <w:b/>
          <w:bCs/>
          <w:iCs/>
          <w:sz w:val="28"/>
          <w:szCs w:val="28"/>
        </w:rPr>
        <w:t>”</w:t>
      </w:r>
      <w:r w:rsidRPr="00957553">
        <w:rPr>
          <w:b/>
          <w:bCs/>
          <w:iCs/>
          <w:sz w:val="28"/>
          <w:szCs w:val="28"/>
        </w:rPr>
        <w:t xml:space="preserve"> papildinājuma 3.1.5.3.1.apakšaktivitāti </w:t>
      </w:r>
      <w:r>
        <w:rPr>
          <w:b/>
          <w:bCs/>
          <w:iCs/>
          <w:sz w:val="28"/>
          <w:szCs w:val="28"/>
        </w:rPr>
        <w:t>„</w:t>
      </w:r>
      <w:r w:rsidRPr="00957553">
        <w:rPr>
          <w:b/>
          <w:bCs/>
          <w:iCs/>
          <w:sz w:val="28"/>
          <w:szCs w:val="28"/>
        </w:rPr>
        <w:t>Stacionārās veselības aprūpes attīstība</w:t>
      </w:r>
      <w:r>
        <w:rPr>
          <w:b/>
          <w:bCs/>
          <w:iCs/>
          <w:sz w:val="28"/>
          <w:szCs w:val="28"/>
        </w:rPr>
        <w:t>”””</w:t>
      </w:r>
      <w:r w:rsidRPr="00957553">
        <w:rPr>
          <w:b/>
          <w:sz w:val="28"/>
          <w:szCs w:val="28"/>
        </w:rPr>
        <w:t xml:space="preserve"> </w:t>
      </w:r>
      <w:bookmarkEnd w:id="0"/>
      <w:bookmarkEnd w:id="1"/>
      <w:r w:rsidRPr="00957553">
        <w:rPr>
          <w:b/>
          <w:sz w:val="28"/>
          <w:szCs w:val="28"/>
        </w:rPr>
        <w:t>sākotnējās ietekmes novērtējuma ziņojums (anotācija)</w:t>
      </w:r>
      <w:bookmarkEnd w:id="2"/>
      <w:bookmarkEnd w:id="3"/>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2433"/>
        <w:gridCol w:w="6237"/>
      </w:tblGrid>
      <w:tr w:rsidR="00277893" w:rsidRPr="00957553" w:rsidTr="008D7634">
        <w:trPr>
          <w:trHeight w:val="559"/>
        </w:trPr>
        <w:tc>
          <w:tcPr>
            <w:tcW w:w="9322" w:type="dxa"/>
            <w:gridSpan w:val="3"/>
            <w:vAlign w:val="center"/>
          </w:tcPr>
          <w:p w:rsidR="00277893" w:rsidRPr="00957553" w:rsidRDefault="00277893" w:rsidP="00A43650">
            <w:pPr>
              <w:autoSpaceDE w:val="0"/>
              <w:autoSpaceDN w:val="0"/>
              <w:adjustRightInd w:val="0"/>
              <w:jc w:val="center"/>
              <w:rPr>
                <w:noProof/>
                <w:sz w:val="28"/>
                <w:szCs w:val="28"/>
              </w:rPr>
            </w:pPr>
            <w:r w:rsidRPr="00957553">
              <w:rPr>
                <w:b/>
                <w:bCs/>
                <w:lang w:eastAsia="lv-LV" w:bidi="lo-LA"/>
              </w:rPr>
              <w:t>I. Tiesību akta projekta izstrādes nepieciešamība</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t> 1.</w:t>
            </w:r>
          </w:p>
        </w:tc>
        <w:tc>
          <w:tcPr>
            <w:tcW w:w="2433" w:type="dxa"/>
          </w:tcPr>
          <w:p w:rsidR="00277893" w:rsidRPr="00957553" w:rsidRDefault="00277893" w:rsidP="00CE6E01">
            <w:pPr>
              <w:spacing w:before="60" w:after="60"/>
              <w:rPr>
                <w:lang w:eastAsia="lv-LV" w:bidi="lo-LA"/>
              </w:rPr>
            </w:pPr>
            <w:r w:rsidRPr="00957553">
              <w:rPr>
                <w:lang w:eastAsia="lv-LV" w:bidi="lo-LA"/>
              </w:rPr>
              <w:t>Pamatojums</w:t>
            </w:r>
          </w:p>
        </w:tc>
        <w:tc>
          <w:tcPr>
            <w:tcW w:w="6237" w:type="dxa"/>
            <w:vAlign w:val="center"/>
          </w:tcPr>
          <w:p w:rsidR="00277893" w:rsidRPr="00B825D6" w:rsidRDefault="00277893" w:rsidP="00641770">
            <w:pPr>
              <w:jc w:val="both"/>
            </w:pPr>
            <w:r w:rsidRPr="00B825D6">
              <w:t xml:space="preserve">Ministru kabineta noteikumu </w:t>
            </w:r>
            <w:r w:rsidRPr="005E3E07">
              <w:rPr>
                <w:i/>
              </w:rPr>
              <w:t>„Grozījumi Ministru kabineta 2009.gada 13.janvāra noteikumos Nr.44 „Noteikumi par darbības programmas „Infrastruktūra un pakalpojumi” papildinājuma 3.1.5.3.1.apakšaktivitāti „Stacionārās veselības aprūpes attīstība”””</w:t>
            </w:r>
            <w:r w:rsidRPr="00B825D6">
              <w:t xml:space="preserve"> projekts (turpmāk –</w:t>
            </w:r>
            <w:r>
              <w:t xml:space="preserve"> </w:t>
            </w:r>
            <w:r w:rsidRPr="00B825D6">
              <w:t>noteikum</w:t>
            </w:r>
            <w:r>
              <w:t>u projekts)</w:t>
            </w:r>
            <w:r w:rsidRPr="00B825D6">
              <w:t xml:space="preserve"> sagatavots pamatojoties uz Eiropas Savienības struktūrfondu un Kohēzijas fonda vadības likuma 18.panta 10.punktu</w:t>
            </w:r>
            <w:r>
              <w:t xml:space="preserve"> un Ministru kabineta 2012.gada 12</w:t>
            </w:r>
            <w:r w:rsidRPr="00504727">
              <w:t>.</w:t>
            </w:r>
            <w:r>
              <w:t>jūnija</w:t>
            </w:r>
            <w:r w:rsidRPr="00504727">
              <w:t xml:space="preserve"> </w:t>
            </w:r>
            <w:r>
              <w:t xml:space="preserve">protokola </w:t>
            </w:r>
            <w:r w:rsidRPr="005E3E07">
              <w:t>Nr.</w:t>
            </w:r>
            <w:r>
              <w:t>33 53.§ 2.punktā minēto uzdevumu (turpmāk – MK protokols Nr.33)</w:t>
            </w:r>
            <w:r w:rsidRPr="00B825D6">
              <w:t>.</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t> 2.</w:t>
            </w:r>
          </w:p>
        </w:tc>
        <w:tc>
          <w:tcPr>
            <w:tcW w:w="2433" w:type="dxa"/>
          </w:tcPr>
          <w:p w:rsidR="00277893" w:rsidRPr="00957553" w:rsidRDefault="00277893" w:rsidP="00CE6E01">
            <w:pPr>
              <w:spacing w:before="60" w:after="60"/>
              <w:rPr>
                <w:lang w:eastAsia="lv-LV" w:bidi="lo-LA"/>
              </w:rPr>
            </w:pPr>
            <w:r w:rsidRPr="00957553">
              <w:rPr>
                <w:lang w:eastAsia="lv-LV" w:bidi="lo-LA"/>
              </w:rPr>
              <w:t>Pašreizējā situācija un problēmas</w:t>
            </w:r>
          </w:p>
        </w:tc>
        <w:tc>
          <w:tcPr>
            <w:tcW w:w="6237" w:type="dxa"/>
            <w:vAlign w:val="center"/>
          </w:tcPr>
          <w:p w:rsidR="00277893" w:rsidRDefault="00277893" w:rsidP="00CC62CA">
            <w:pPr>
              <w:spacing w:before="120"/>
              <w:jc w:val="both"/>
            </w:pPr>
            <w:r>
              <w:t xml:space="preserve">Ministru kabinets 2012.gada 12.jūnija sēdē izskatīja Veselības ministrijas informatīvo ziņojumu „Par komercdarbības atbalsta normu piemērošanu Eiropas Savienības fondu darbības programmas „Infrastruktūra un pakalpojumi” papildinājuma 3.1.5.3.1.apakšaktivitātes „Stacionārās veselības aprūpes attīstība” atbalstam”, uzdodot Veselības ministrijai iesniegt grozījumus Ministru kabineta 2009.gada 13.janvāra noteikumos Nr.44 </w:t>
            </w:r>
            <w:r w:rsidRPr="00AD0E18">
              <w:rPr>
                <w:i/>
              </w:rPr>
              <w:t>„Noteikumi par darbības programmas „Infrastruktūra un pakalpojumi” papildinājuma 3.1.5.3.1.apakšaktivitāti „Stacionārās veselības aprūpes attīstība””</w:t>
            </w:r>
            <w:r>
              <w:rPr>
                <w:i/>
              </w:rPr>
              <w:t xml:space="preserve"> </w:t>
            </w:r>
            <w:r>
              <w:t xml:space="preserve">(turpmāk – MK noteikumi Nr.44). </w:t>
            </w:r>
          </w:p>
          <w:p w:rsidR="00277893" w:rsidRDefault="00277893" w:rsidP="00CC62CA">
            <w:pPr>
              <w:spacing w:before="120"/>
              <w:jc w:val="both"/>
            </w:pPr>
            <w:r>
              <w:t xml:space="preserve">Atbilstoši </w:t>
            </w:r>
            <w:r w:rsidRPr="00D477B5">
              <w:rPr>
                <w:color w:val="2A2A2A"/>
              </w:rPr>
              <w:t>Komisijas 2011.gada 20.decembra lēmuma</w:t>
            </w:r>
            <w:r>
              <w:rPr>
                <w:color w:val="2A2A2A"/>
              </w:rPr>
              <w:t>m 2012/21/ES</w:t>
            </w:r>
            <w:r w:rsidRPr="00D477B5">
              <w:rPr>
                <w:color w:val="2A2A2A"/>
              </w:rPr>
              <w:t xml:space="preserve"> </w:t>
            </w:r>
            <w:r>
              <w:rPr>
                <w:color w:val="2A2A2A"/>
              </w:rPr>
              <w:t>„</w:t>
            </w:r>
            <w:r>
              <w:rPr>
                <w:i/>
                <w:color w:val="2A2A2A"/>
              </w:rPr>
              <w:t>P</w:t>
            </w:r>
            <w:r w:rsidRPr="00D7321D">
              <w:rPr>
                <w:i/>
                <w:color w:val="2A2A2A"/>
              </w:rPr>
              <w:t>ar Līguma par Eiropas Savienības darbību 106.panta 2.punkta piemērošanu valsts atbalstam attiecībā uz kompensāciju par sabiedriskajiem pakalpojumiem dažiem uzņēmumiem, kuriem uzticēts sniegt pakalpojumus ar vispārēju tautsaimniecisku nozīmi</w:t>
            </w:r>
            <w:r>
              <w:rPr>
                <w:i/>
                <w:color w:val="2A2A2A"/>
              </w:rPr>
              <w:t>”</w:t>
            </w:r>
            <w:r>
              <w:rPr>
                <w:color w:val="2A2A2A"/>
              </w:rPr>
              <w:t xml:space="preserve"> (turpmāk – Komisijas lēmums)</w:t>
            </w:r>
            <w:r w:rsidRPr="00D477B5">
              <w:rPr>
                <w:color w:val="2A2A2A"/>
              </w:rPr>
              <w:t xml:space="preserve"> </w:t>
            </w:r>
            <w:r>
              <w:t xml:space="preserve">3.1.5.3.1.apakšaktivitātes </w:t>
            </w:r>
            <w:r w:rsidRPr="00D334E7">
              <w:rPr>
                <w:i/>
              </w:rPr>
              <w:t>„Stacionārās veselības aprūpes attīstība”</w:t>
            </w:r>
            <w:r>
              <w:t xml:space="preserve"> (turpmāk - </w:t>
            </w:r>
            <w:r w:rsidRPr="00F13ECE">
              <w:t>3.1.5.3.1.</w:t>
            </w:r>
            <w:r>
              <w:t>apakšaktivitāte) atbalsts ir uzskatāms par komercdarbības atbalstu, kas tiek sniegts veselības aprūpes pakalpojumu attīstībai, un ir piešķirams atlīdzības maksājumu veidā par sabiedrisko pakalpojumu sniegšanu.</w:t>
            </w:r>
          </w:p>
          <w:p w:rsidR="00277893" w:rsidRDefault="00277893" w:rsidP="00CC62CA">
            <w:pPr>
              <w:spacing w:before="120"/>
              <w:jc w:val="both"/>
            </w:pPr>
            <w:r>
              <w:t xml:space="preserve">Šobrīd saskaņā ar MK noteikumu Nr.44 nosacījumiem </w:t>
            </w:r>
            <w:r w:rsidRPr="00F13ECE">
              <w:t>3.1.5.3.1.</w:t>
            </w:r>
            <w:r>
              <w:t xml:space="preserve">apakšaktivitātes atbalstu var izmantot tikai valsts apmaksāto veselības aprūpes pakalpojumu attīstībai un slimnīcām ir aizliegts </w:t>
            </w:r>
            <w:r w:rsidRPr="00F13ECE">
              <w:t>3.1.5.3.1.</w:t>
            </w:r>
            <w:r>
              <w:t xml:space="preserve">apakšaktivitātes ietvaros veikt ieguldījumus infrastruktūrā, kuru, kaut daļēji, izmanto saimnieciskās darbības veikšanai, izņemot jaunu ēku celtniecību un ārējo rekonstrukciju. </w:t>
            </w:r>
          </w:p>
          <w:p w:rsidR="00277893" w:rsidRDefault="00277893" w:rsidP="00AE50A7">
            <w:pPr>
              <w:spacing w:before="120"/>
              <w:jc w:val="both"/>
            </w:pPr>
            <w:r>
              <w:lastRenderedPageBreak/>
              <w:t xml:space="preserve">Kopš 2008.gada, kad tika izstrādāts </w:t>
            </w:r>
            <w:r w:rsidRPr="00F13ECE">
              <w:t>3.1.5.3.1.</w:t>
            </w:r>
            <w:r>
              <w:t>apakšaktivitātes regulējums, veselības nozares valsts budžeta finansējums tika samazināts, kā rezultātā daļa no valsts budžeta apmaksātajiem stacionārajiem pakalpojumiem šobrīd tiek sniegti kā maksas stacionārie veselības aprūpes pakalpojumi (kas ir pieskaitāmi pie saimnieciskās darbības). Līdz ar to šobrīd daļa no valsts apmaksāto veselības aprūpes pakalpojumu sniegšanai attīstītās infrastruktūras daļēji tiek izmantota saimnieciskās darbības veikšanai.</w:t>
            </w:r>
          </w:p>
          <w:p w:rsidR="00277893" w:rsidRDefault="00277893" w:rsidP="00AE50A7">
            <w:pPr>
              <w:spacing w:before="120"/>
              <w:jc w:val="both"/>
            </w:pPr>
            <w:r>
              <w:t>Tāpat šobrīd spēkā esošie MK noteikumi Nr.44 nenosaka speciālas prasības attiecībā uz komercdarbības atbalsta normām, līdz ar to ārstniecības iestādēm jāievēro vispārējos Eiropas Savienības un Latvijas Republikas normatīvos aktus par komercdarbības atbalstu. Tādējādi, lai nodrošinātu komercdarbības atbalsta nosacījumu izpildi atbilstoši vispārējam regulējumam, attīstot infrastruktūras, kurās paredzēts sniegt ne tikai valsts apmaksātos veselības aprūpes pakalpojumus, bet veikt arī citas darbības, ārstniecības iestādēm jau šobrīd būtu jāpiesaista pašu finansējums proporcionāli infrastruktūras izmantošanas īpatsvaram.</w:t>
            </w:r>
          </w:p>
          <w:p w:rsidR="00277893" w:rsidRDefault="00277893" w:rsidP="00AE50A7">
            <w:pPr>
              <w:spacing w:before="120"/>
              <w:jc w:val="both"/>
            </w:pPr>
            <w:r>
              <w:t xml:space="preserve">Turklāt, atbilstoši komercdarbības atbalsta normām </w:t>
            </w:r>
            <w:r w:rsidRPr="00F13ECE">
              <w:t>3.1.5.3.1.</w:t>
            </w:r>
            <w:r>
              <w:t xml:space="preserve">apakšaktivitātes atbalsts piešķirams atlīdzības maksājumu veidā par sabiedrisko pakalpojumu sniegšanu, līdz ar to </w:t>
            </w:r>
            <w:r w:rsidRPr="00F13ECE">
              <w:t>3.1.5.3.1.</w:t>
            </w:r>
            <w:r>
              <w:t>apakšaktivitātes atbalsta daļu sabiedrisko pakalpojumu sniegšanai nepieciešams nodalīt no atbalsta citu darbību veikšanai.</w:t>
            </w:r>
          </w:p>
          <w:p w:rsidR="00277893" w:rsidRDefault="00277893" w:rsidP="00AE50A7">
            <w:pPr>
              <w:spacing w:before="120"/>
              <w:jc w:val="both"/>
            </w:pPr>
            <w:r>
              <w:t xml:space="preserve">Līdzīgas komercdarbības atbalsta normas jau tiek piemērotas 3.1.5.1.1.apakšaktivitātē </w:t>
            </w:r>
            <w:r w:rsidRPr="00327D98">
              <w:rPr>
                <w:i/>
              </w:rPr>
              <w:t>„Ģimenes ārstu tīkla attīstība”</w:t>
            </w:r>
            <w:r>
              <w:t xml:space="preserve"> un 3.1.5.1.2.apakšaktivitātē </w:t>
            </w:r>
            <w:r w:rsidRPr="00327D98">
              <w:rPr>
                <w:i/>
              </w:rPr>
              <w:t>„Veselības aprūpes centru attīstība”</w:t>
            </w:r>
            <w:r>
              <w:t xml:space="preserve"> un paredz neattiecināmo izmaksu piesaisti no finansējuma saņēmēja pašu līdzekļiem infrastruktūras daļas attīstībai, kas daļēji vai pilnībā izmantojama citu darbības veikšanai.</w:t>
            </w:r>
          </w:p>
          <w:p w:rsidR="00277893" w:rsidRDefault="00277893">
            <w:pPr>
              <w:spacing w:before="120"/>
              <w:jc w:val="both"/>
            </w:pPr>
            <w:r>
              <w:t>Sakarā ar komercdarbības atbalsta normu noteikšanu ir nepieciešami šādi grozījumi MK noteikumos Nr.44:</w:t>
            </w:r>
          </w:p>
          <w:p w:rsidR="00277893" w:rsidRDefault="00277893">
            <w:pPr>
              <w:numPr>
                <w:ilvl w:val="0"/>
                <w:numId w:val="29"/>
              </w:numPr>
              <w:autoSpaceDE w:val="0"/>
              <w:autoSpaceDN w:val="0"/>
              <w:adjustRightInd w:val="0"/>
              <w:jc w:val="both"/>
            </w:pPr>
            <w:r>
              <w:t>svītrot ierobežojumus attiecībā uz ieguldījumu veikšanu tikai valsts apmaksāto veselības aprūpes pakalpojumu sniegšanai izmantojamajā infrastruktūrā (</w:t>
            </w:r>
            <w:r>
              <w:rPr>
                <w:i/>
              </w:rPr>
              <w:t>noteikumu projekta  3</w:t>
            </w:r>
            <w:r w:rsidRPr="0021470A">
              <w:rPr>
                <w:i/>
              </w:rPr>
              <w:t>.,</w:t>
            </w:r>
            <w:r>
              <w:rPr>
                <w:i/>
              </w:rPr>
              <w:t xml:space="preserve"> 4.,</w:t>
            </w:r>
            <w:r w:rsidRPr="0021470A">
              <w:rPr>
                <w:i/>
              </w:rPr>
              <w:t xml:space="preserve"> </w:t>
            </w:r>
            <w:r>
              <w:rPr>
                <w:i/>
              </w:rPr>
              <w:t>6.</w:t>
            </w:r>
            <w:r w:rsidRPr="0021470A">
              <w:rPr>
                <w:i/>
              </w:rPr>
              <w:t xml:space="preserve"> </w:t>
            </w:r>
            <w:r>
              <w:rPr>
                <w:i/>
              </w:rPr>
              <w:t>un 7.</w:t>
            </w:r>
            <w:r w:rsidRPr="0021470A">
              <w:rPr>
                <w:i/>
              </w:rPr>
              <w:t>punkts</w:t>
            </w:r>
            <w:r>
              <w:t>);</w:t>
            </w:r>
          </w:p>
          <w:p w:rsidR="00277893" w:rsidRDefault="00277893">
            <w:pPr>
              <w:numPr>
                <w:ilvl w:val="0"/>
                <w:numId w:val="29"/>
              </w:numPr>
              <w:autoSpaceDE w:val="0"/>
              <w:autoSpaceDN w:val="0"/>
              <w:adjustRightInd w:val="0"/>
              <w:jc w:val="both"/>
            </w:pPr>
            <w:r>
              <w:t xml:space="preserve">noteikt kārtību, kādā tiks aprēķināts finansējuma sadalījums pa finansēšanas avotiem atbilstoši sabiedrisko pakalpojumu sniegšanai un citu darbību veikšanai izmantojamo telpu platībai un pakalpojumu sniegšanas laikam attiecīgajā telpā </w:t>
            </w:r>
            <w:r w:rsidRPr="00FB1501">
              <w:t>(</w:t>
            </w:r>
            <w:r w:rsidRPr="00FB1501">
              <w:rPr>
                <w:i/>
              </w:rPr>
              <w:t>noteikumu projekta 5. un 15.punkts</w:t>
            </w:r>
            <w:r w:rsidRPr="00FB1501">
              <w:t>)</w:t>
            </w:r>
            <w:r>
              <w:t xml:space="preserve">. Papildus, lai nodrošinātu vienoto aprēķinu metodiku, ar Ministru kabineta sēdes </w:t>
            </w:r>
            <w:proofErr w:type="spellStart"/>
            <w:r>
              <w:t>protokollēmumu</w:t>
            </w:r>
            <w:proofErr w:type="spellEnd"/>
            <w:r>
              <w:t xml:space="preserve"> nepieciešams noteikt Veselības ministrijai uzdevumu </w:t>
            </w:r>
            <w:r w:rsidRPr="004078CC">
              <w:t xml:space="preserve">izstrādāt infrastruktūras izmantošanas valsts apmaksāto veselības aprūpes pakalpojumu sniegšanai un citu darbību </w:t>
            </w:r>
            <w:r w:rsidRPr="004078CC">
              <w:lastRenderedPageBreak/>
              <w:t>veikšanai proporcijas aprēķināšanas metodiku;</w:t>
            </w:r>
          </w:p>
          <w:p w:rsidR="00277893" w:rsidRDefault="00277893" w:rsidP="00431ED9">
            <w:pPr>
              <w:numPr>
                <w:ilvl w:val="0"/>
                <w:numId w:val="29"/>
              </w:numPr>
              <w:autoSpaceDE w:val="0"/>
              <w:autoSpaceDN w:val="0"/>
              <w:adjustRightInd w:val="0"/>
              <w:jc w:val="both"/>
            </w:pPr>
            <w:r>
              <w:t>noteikt atskaites un kontroles mehānismus attiecībā uz komercdarbības atbalsta normu ievērošanu (</w:t>
            </w:r>
            <w:r w:rsidRPr="00431ED9">
              <w:rPr>
                <w:i/>
              </w:rPr>
              <w:t xml:space="preserve">noteikumu projekta </w:t>
            </w:r>
            <w:r w:rsidR="00BC73D7">
              <w:rPr>
                <w:i/>
              </w:rPr>
              <w:t>5</w:t>
            </w:r>
            <w:r w:rsidRPr="00431ED9">
              <w:rPr>
                <w:i/>
              </w:rPr>
              <w:t>.punkts</w:t>
            </w:r>
            <w:r>
              <w:t>);</w:t>
            </w:r>
          </w:p>
          <w:p w:rsidR="00277893" w:rsidRPr="00D7321D" w:rsidRDefault="00277893" w:rsidP="00431ED9">
            <w:pPr>
              <w:numPr>
                <w:ilvl w:val="0"/>
                <w:numId w:val="29"/>
              </w:numPr>
              <w:autoSpaceDE w:val="0"/>
              <w:autoSpaceDN w:val="0"/>
              <w:adjustRightInd w:val="0"/>
              <w:jc w:val="both"/>
            </w:pPr>
            <w:r>
              <w:t>noteikt nosacījumus attiecībā uz attīstītās infrastruktūras izīrēšanu citām ārstniecības iestādēm sabiedrisko pakalpojumu sniegšanai (</w:t>
            </w:r>
            <w:r w:rsidRPr="00431ED9">
              <w:rPr>
                <w:i/>
              </w:rPr>
              <w:t xml:space="preserve">noteikumu projekta </w:t>
            </w:r>
            <w:r w:rsidR="00BC73D7">
              <w:rPr>
                <w:i/>
              </w:rPr>
              <w:t>5</w:t>
            </w:r>
            <w:r w:rsidRPr="00431ED9">
              <w:rPr>
                <w:i/>
              </w:rPr>
              <w:t>.punkts</w:t>
            </w:r>
            <w:r>
              <w:t>)</w:t>
            </w:r>
            <w:r w:rsidRPr="00D7321D">
              <w:t>;</w:t>
            </w:r>
          </w:p>
          <w:p w:rsidR="00277893" w:rsidRDefault="00277893" w:rsidP="00E05326">
            <w:pPr>
              <w:numPr>
                <w:ilvl w:val="0"/>
                <w:numId w:val="29"/>
              </w:numPr>
              <w:autoSpaceDE w:val="0"/>
              <w:autoSpaceDN w:val="0"/>
              <w:adjustRightInd w:val="0"/>
              <w:jc w:val="both"/>
            </w:pPr>
            <w:r>
              <w:t>Jānodala neattiecināmās izmaksas, kuras neiekļauj projekta iesniegumā, no izmaksām, kuras projekta iesniegumā iekļauj, lai nodrošinātu komercdarbības atbalsta normu ievērošanu (</w:t>
            </w:r>
            <w:r w:rsidRPr="00D75A33">
              <w:rPr>
                <w:i/>
              </w:rPr>
              <w:t xml:space="preserve">noteikumu projekta </w:t>
            </w:r>
            <w:r>
              <w:rPr>
                <w:i/>
              </w:rPr>
              <w:t>12</w:t>
            </w:r>
            <w:r w:rsidRPr="00D75A33">
              <w:rPr>
                <w:i/>
              </w:rPr>
              <w:t>. un 1</w:t>
            </w:r>
            <w:r>
              <w:rPr>
                <w:i/>
              </w:rPr>
              <w:t>3</w:t>
            </w:r>
            <w:r w:rsidRPr="00D75A33">
              <w:rPr>
                <w:i/>
              </w:rPr>
              <w:t>.punkts</w:t>
            </w:r>
            <w:r>
              <w:t>).</w:t>
            </w:r>
          </w:p>
          <w:p w:rsidR="00277893" w:rsidRDefault="00277893" w:rsidP="00A65F5E">
            <w:pPr>
              <w:spacing w:before="120"/>
              <w:jc w:val="both"/>
            </w:pPr>
            <w:r>
              <w:t>I</w:t>
            </w:r>
            <w:r w:rsidRPr="00D7321D">
              <w:t xml:space="preserve">eviešot </w:t>
            </w:r>
            <w:proofErr w:type="spellStart"/>
            <w:r w:rsidRPr="00D7321D">
              <w:t>apakšaktivitāti</w:t>
            </w:r>
            <w:proofErr w:type="spellEnd"/>
            <w:r w:rsidRPr="00D7321D">
              <w:t xml:space="preserve">, </w:t>
            </w:r>
            <w:bookmarkStart w:id="6" w:name="OLE_LINK15"/>
            <w:r w:rsidRPr="00D7321D">
              <w:t>tika konstatēts, ka pēdējo maksājumu veikšanai projektu</w:t>
            </w:r>
            <w:r w:rsidRPr="00051C99">
              <w:t xml:space="preserve"> ietvaros ir nepieciešams papildu laiks dokumentu sakārtošanai</w:t>
            </w:r>
            <w:r>
              <w:t>. Turklāt sadarbības iestādes</w:t>
            </w:r>
            <w:r w:rsidRPr="003D7E98">
              <w:t xml:space="preserve"> </w:t>
            </w:r>
            <w:r>
              <w:t xml:space="preserve">līguma ar finansējuma saņēmēju </w:t>
            </w:r>
            <w:r w:rsidRPr="003D7E98">
              <w:t xml:space="preserve">par </w:t>
            </w:r>
            <w:r>
              <w:t>ERAF</w:t>
            </w:r>
            <w:r w:rsidRPr="003D7E98">
              <w:t xml:space="preserve"> līdzfinansētā projekta īstenošanu vispārējos noteikumos noteikts, ka noslēguma maksājuma pieprasījums tiek iesniegts ne vēlāk kā 20 (di</w:t>
            </w:r>
            <w:r>
              <w:t>vdesmit) darba dienu laikā pēc p</w:t>
            </w:r>
            <w:r w:rsidRPr="003D7E98">
              <w:t>rojekta aktivitāšu īstenošanas beigu termiņa. Taču</w:t>
            </w:r>
            <w:r>
              <w:t>,</w:t>
            </w:r>
            <w:r w:rsidRPr="003D7E98">
              <w:t xml:space="preserve"> ņemot vērā objektīvus apstākļus, līgumslēdzējpusēm pēc attiecīgās situācijas izvērtēšanas, rakstiski vienojoties, būtu iespējams pagarināt maksājumu veikšanas termiņu.</w:t>
            </w:r>
          </w:p>
          <w:p w:rsidR="00277893" w:rsidRDefault="00277893" w:rsidP="00A65F5E">
            <w:pPr>
              <w:spacing w:before="120"/>
              <w:jc w:val="both"/>
            </w:pPr>
            <w:r>
              <w:t xml:space="preserve">Līdz ar to, ņemot vērā, ka </w:t>
            </w:r>
            <w:r w:rsidRPr="00051C99">
              <w:t xml:space="preserve">projekta īstenošanas beigu </w:t>
            </w:r>
            <w:r>
              <w:t>termiņu</w:t>
            </w:r>
            <w:r w:rsidRPr="00051C99">
              <w:t xml:space="preserve"> nosaka atbilstoši piegādes, pakalpojumu un </w:t>
            </w:r>
            <w:r>
              <w:t>preču</w:t>
            </w:r>
            <w:r w:rsidRPr="00051C99">
              <w:t xml:space="preserve"> līgumu izpildes termiņiem, nevis atbilstoši maksājumu veikšanas termiņiem</w:t>
            </w:r>
            <w:r>
              <w:t xml:space="preserve">, nepieciešams nodrošināt, lai būtu </w:t>
            </w:r>
            <w:r w:rsidRPr="00051C99">
              <w:t>iespējama maksājumu veikšana pēc projekta īstenošanas termiņa beigām</w:t>
            </w:r>
            <w:r>
              <w:t>, ja attiecīgās izmaksas radušās līdz</w:t>
            </w:r>
            <w:r w:rsidRPr="00051C99">
              <w:t xml:space="preserve"> projekta īstenošanas beigu </w:t>
            </w:r>
            <w:r>
              <w:t>termiņam (</w:t>
            </w:r>
            <w:r w:rsidRPr="00431ED9">
              <w:rPr>
                <w:i/>
              </w:rPr>
              <w:t xml:space="preserve">noteikumu projekta </w:t>
            </w:r>
            <w:r>
              <w:rPr>
                <w:i/>
              </w:rPr>
              <w:t>12</w:t>
            </w:r>
            <w:r w:rsidRPr="00431ED9">
              <w:rPr>
                <w:i/>
              </w:rPr>
              <w:t>.punkts</w:t>
            </w:r>
            <w:r>
              <w:t>)</w:t>
            </w:r>
            <w:r w:rsidRPr="00051C99">
              <w:t xml:space="preserve">. </w:t>
            </w:r>
          </w:p>
          <w:bookmarkEnd w:id="6"/>
          <w:p w:rsidR="00277893" w:rsidRDefault="00277893" w:rsidP="00A65F5E">
            <w:pPr>
              <w:spacing w:before="120"/>
              <w:jc w:val="both"/>
            </w:pPr>
            <w:r>
              <w:t xml:space="preserve">Izstrādājot iepriekšējos grozījumus MK noteikumos Nr.44, tika pielaista tehniska rakstura kļūda, nosakot MK noteikumu Nr.44 46.2. un 46.¹2.apakšpunktā, ka </w:t>
            </w:r>
            <w:r w:rsidRPr="00734027">
              <w:t>ārstnieciskajam procesam tieši nepieciešamo tehnoloģiju</w:t>
            </w:r>
            <w:r>
              <w:t xml:space="preserve"> </w:t>
            </w:r>
            <w:r w:rsidRPr="00734027">
              <w:t xml:space="preserve">piegādes un montāžas izmaksu pozīcijām ir jābūt </w:t>
            </w:r>
            <w:r>
              <w:t>saskaņotām ar Centrālo finanšu un līguma aģentūru, savukārt, to veic Nacionālais veselības dienests (</w:t>
            </w:r>
            <w:r w:rsidRPr="00431ED9">
              <w:rPr>
                <w:i/>
              </w:rPr>
              <w:t xml:space="preserve">noteikumu projekta </w:t>
            </w:r>
            <w:r>
              <w:rPr>
                <w:i/>
              </w:rPr>
              <w:t>8. un 9.</w:t>
            </w:r>
            <w:r w:rsidRPr="00431ED9">
              <w:rPr>
                <w:i/>
              </w:rPr>
              <w:t>punkts</w:t>
            </w:r>
            <w:r>
              <w:t xml:space="preserve">). </w:t>
            </w:r>
          </w:p>
          <w:p w:rsidR="00277893" w:rsidRDefault="00277893" w:rsidP="00A65F5E">
            <w:pPr>
              <w:spacing w:before="120"/>
              <w:jc w:val="both"/>
            </w:pPr>
            <w:r>
              <w:t xml:space="preserve">Vienlaikus, lai precīzāk definētu MK noteikumu Nr.44 prasības visām </w:t>
            </w:r>
            <w:r w:rsidRPr="00F13ECE">
              <w:t>3.1.5.3.1.</w:t>
            </w:r>
            <w:r>
              <w:t>apakšaktivitātes nosacījumu izpildē iesaistītajām pusēm, nepieciešams precīzi definēt kritērijus, pēc kuriem Nacionālais veselības dienests izvērtē tehnoloģijas, tādējādi nodrošinot pieņemamo lēmumu pamatotību un vienādu rīcību vienādās situācijas (</w:t>
            </w:r>
            <w:r w:rsidRPr="00431ED9">
              <w:rPr>
                <w:i/>
              </w:rPr>
              <w:t xml:space="preserve">noteikumu projekta </w:t>
            </w:r>
            <w:r>
              <w:rPr>
                <w:i/>
              </w:rPr>
              <w:t>11</w:t>
            </w:r>
            <w:r w:rsidRPr="00431ED9">
              <w:rPr>
                <w:i/>
              </w:rPr>
              <w:t>.punkts</w:t>
            </w:r>
            <w:r>
              <w:t>).</w:t>
            </w:r>
          </w:p>
          <w:p w:rsidR="00277893" w:rsidRDefault="00277893" w:rsidP="00A65F5E">
            <w:pPr>
              <w:spacing w:before="120"/>
              <w:jc w:val="both"/>
            </w:pPr>
            <w:r>
              <w:t xml:space="preserve">Papildus, lai nepamatoti nenoslogotu finansējuma saņēmējus un Nacionālo veselības dienestu,  nepieciešams noteikt MK noteikumos Nr.44, ka tehnoloģiju iegādi jāsaskaņo ar Nacionālo veselības dienestu, ja vienas vienības cena </w:t>
            </w:r>
            <w:r>
              <w:lastRenderedPageBreak/>
              <w:t>pārsniedz 20 000 LVL (</w:t>
            </w:r>
            <w:r w:rsidRPr="00431ED9">
              <w:rPr>
                <w:i/>
              </w:rPr>
              <w:t xml:space="preserve">noteikumu projekta </w:t>
            </w:r>
            <w:r>
              <w:rPr>
                <w:i/>
              </w:rPr>
              <w:t>9. un 10.</w:t>
            </w:r>
            <w:r w:rsidRPr="00431ED9">
              <w:rPr>
                <w:i/>
              </w:rPr>
              <w:t>punkts</w:t>
            </w:r>
            <w:r>
              <w:t xml:space="preserve">). Paskaidrojam, ka sākotnējais tehnoloģiju iegādes saskaņošanas ar Nacionālo veselības dienestu mērķis bija </w:t>
            </w:r>
            <w:r w:rsidRPr="002B68CE">
              <w:t xml:space="preserve">ierobežot ārstniecības iestāžu dārgo medicīnas tehnoloģiju </w:t>
            </w:r>
            <w:r>
              <w:t xml:space="preserve">nelietderīgu </w:t>
            </w:r>
            <w:r w:rsidRPr="002B68CE">
              <w:t>iegādi</w:t>
            </w:r>
            <w:r>
              <w:t>.</w:t>
            </w:r>
          </w:p>
          <w:p w:rsidR="00277893" w:rsidRDefault="00277893" w:rsidP="00A65F5E">
            <w:pPr>
              <w:spacing w:before="120"/>
              <w:jc w:val="both"/>
            </w:pPr>
            <w:r>
              <w:t xml:space="preserve">Papildus veikts tehniskais precizējums MK noteikumu Nr.44 1.pielikumā, precizējot </w:t>
            </w:r>
            <w:r w:rsidRPr="0021470A">
              <w:t>Sabiedrība</w:t>
            </w:r>
            <w:r>
              <w:t>s</w:t>
            </w:r>
            <w:r w:rsidRPr="0021470A">
              <w:t xml:space="preserve"> ar ierobežotu atbildību „Rīgas Austrumu klīniskā universitātes slimnīca”</w:t>
            </w:r>
            <w:r>
              <w:t xml:space="preserve"> profilu no „specializētā slimnīca” uz „universitātes slimnīca” (</w:t>
            </w:r>
            <w:r w:rsidRPr="00431ED9">
              <w:rPr>
                <w:i/>
              </w:rPr>
              <w:t xml:space="preserve">noteikumu projekta </w:t>
            </w:r>
            <w:r>
              <w:rPr>
                <w:i/>
              </w:rPr>
              <w:t>14.</w:t>
            </w:r>
            <w:r w:rsidRPr="00431ED9">
              <w:rPr>
                <w:i/>
              </w:rPr>
              <w:t>punkts</w:t>
            </w:r>
            <w:r>
              <w:t>)</w:t>
            </w:r>
          </w:p>
        </w:tc>
      </w:tr>
      <w:tr w:rsidR="00277893" w:rsidRPr="00957553" w:rsidTr="008D7634">
        <w:trPr>
          <w:trHeight w:val="478"/>
        </w:trPr>
        <w:tc>
          <w:tcPr>
            <w:tcW w:w="652" w:type="dxa"/>
          </w:tcPr>
          <w:p w:rsidR="00277893" w:rsidRPr="00957553" w:rsidRDefault="00277893" w:rsidP="00CE6E01">
            <w:pPr>
              <w:spacing w:before="60" w:after="60"/>
              <w:rPr>
                <w:lang w:eastAsia="lv-LV" w:bidi="lo-LA"/>
              </w:rPr>
            </w:pPr>
            <w:r w:rsidRPr="00957553">
              <w:rPr>
                <w:lang w:eastAsia="lv-LV" w:bidi="lo-LA"/>
              </w:rPr>
              <w:lastRenderedPageBreak/>
              <w:t> 3.</w:t>
            </w:r>
          </w:p>
        </w:tc>
        <w:tc>
          <w:tcPr>
            <w:tcW w:w="2433" w:type="dxa"/>
          </w:tcPr>
          <w:p w:rsidR="00277893" w:rsidRPr="00957553" w:rsidRDefault="00277893" w:rsidP="00CE6E01">
            <w:pPr>
              <w:spacing w:before="60" w:after="60"/>
              <w:rPr>
                <w:lang w:eastAsia="lv-LV" w:bidi="lo-LA"/>
              </w:rPr>
            </w:pPr>
            <w:r w:rsidRPr="00957553">
              <w:rPr>
                <w:lang w:eastAsia="lv-LV" w:bidi="lo-LA"/>
              </w:rPr>
              <w:t>Saistītie politikas ietekmes novērtējumi un pētījumi</w:t>
            </w:r>
          </w:p>
        </w:tc>
        <w:tc>
          <w:tcPr>
            <w:tcW w:w="6237" w:type="dxa"/>
            <w:vAlign w:val="center"/>
          </w:tcPr>
          <w:p w:rsidR="00277893" w:rsidRPr="00957553" w:rsidRDefault="00277893" w:rsidP="00FA22FB">
            <w:pPr>
              <w:spacing w:before="60" w:after="60"/>
              <w:jc w:val="both"/>
            </w:pPr>
            <w:r>
              <w:t>Projekts šo jomu neskar.</w:t>
            </w:r>
          </w:p>
        </w:tc>
      </w:tr>
      <w:tr w:rsidR="00277893" w:rsidRPr="00957553" w:rsidTr="008D7634">
        <w:tc>
          <w:tcPr>
            <w:tcW w:w="652" w:type="dxa"/>
          </w:tcPr>
          <w:p w:rsidR="00277893" w:rsidRPr="00DE50BB" w:rsidRDefault="00277893" w:rsidP="00CE6E01">
            <w:pPr>
              <w:spacing w:before="60" w:after="60"/>
              <w:rPr>
                <w:lang w:eastAsia="lv-LV" w:bidi="lo-LA"/>
              </w:rPr>
            </w:pPr>
            <w:r w:rsidRPr="00DE50BB">
              <w:rPr>
                <w:lang w:eastAsia="lv-LV" w:bidi="lo-LA"/>
              </w:rPr>
              <w:t> 4.</w:t>
            </w:r>
          </w:p>
        </w:tc>
        <w:tc>
          <w:tcPr>
            <w:tcW w:w="2433" w:type="dxa"/>
          </w:tcPr>
          <w:p w:rsidR="00277893" w:rsidRPr="00DE50BB" w:rsidRDefault="00277893" w:rsidP="00CE6E01">
            <w:pPr>
              <w:spacing w:before="60" w:after="60"/>
              <w:rPr>
                <w:lang w:eastAsia="lv-LV" w:bidi="lo-LA"/>
              </w:rPr>
            </w:pPr>
            <w:r w:rsidRPr="00DE50BB">
              <w:rPr>
                <w:lang w:eastAsia="lv-LV" w:bidi="lo-LA"/>
              </w:rPr>
              <w:t>Tiesiskā regulējuma mērķis un būtība</w:t>
            </w:r>
          </w:p>
        </w:tc>
        <w:tc>
          <w:tcPr>
            <w:tcW w:w="6237" w:type="dxa"/>
            <w:vAlign w:val="center"/>
          </w:tcPr>
          <w:p w:rsidR="00277893" w:rsidRDefault="00277893" w:rsidP="00CE6E01">
            <w:pPr>
              <w:spacing w:before="60" w:after="60"/>
              <w:jc w:val="both"/>
            </w:pPr>
            <w:r>
              <w:t xml:space="preserve">Noteikumu projekta mērķis nodrošināt MK protokola Nr.33 3.§ 2.punktā minētā uzdevuma izpildi, nodrošinot atbilstību komercdarbības atbalsta normām, un precizēt MK noteikumu Nr.44 regulējumu attiecībā uz tehnoloģiju iegādes saskaņošanu ar Nacionālo veselības dienestu, kā arī precizēt izmaksu </w:t>
            </w:r>
            <w:proofErr w:type="spellStart"/>
            <w:r>
              <w:t>attiecināmības</w:t>
            </w:r>
            <w:proofErr w:type="spellEnd"/>
            <w:r>
              <w:t xml:space="preserve"> nosacījumus.</w:t>
            </w:r>
          </w:p>
          <w:p w:rsidR="00277893" w:rsidRDefault="00277893" w:rsidP="007F45A2">
            <w:pPr>
              <w:jc w:val="both"/>
            </w:pPr>
          </w:p>
          <w:p w:rsidR="00277893" w:rsidRPr="00E7532B" w:rsidRDefault="00277893" w:rsidP="007F45A2">
            <w:pPr>
              <w:jc w:val="both"/>
              <w:rPr>
                <w:b/>
              </w:rPr>
            </w:pPr>
            <w:r w:rsidRPr="0021470A">
              <w:rPr>
                <w:b/>
              </w:rPr>
              <w:t>Noteikumu projekts paredz šādus grozījumus:</w:t>
            </w:r>
          </w:p>
          <w:p w:rsidR="00277893" w:rsidRDefault="00277893">
            <w:pPr>
              <w:numPr>
                <w:ilvl w:val="0"/>
                <w:numId w:val="29"/>
              </w:numPr>
              <w:autoSpaceDE w:val="0"/>
              <w:autoSpaceDN w:val="0"/>
              <w:adjustRightInd w:val="0"/>
              <w:jc w:val="both"/>
            </w:pPr>
            <w:r w:rsidRPr="0021470A">
              <w:rPr>
                <w:b/>
                <w:u w:val="single"/>
              </w:rPr>
              <w:t>lai nodrošinātu atbilstību komercdarbības atbalsta normām:</w:t>
            </w:r>
          </w:p>
          <w:p w:rsidR="00277893" w:rsidRDefault="00277893">
            <w:pPr>
              <w:numPr>
                <w:ilvl w:val="1"/>
                <w:numId w:val="29"/>
              </w:numPr>
              <w:autoSpaceDE w:val="0"/>
              <w:autoSpaceDN w:val="0"/>
              <w:adjustRightInd w:val="0"/>
              <w:jc w:val="both"/>
            </w:pPr>
            <w:r>
              <w:t>papildināt MK noteikumu Nr.44 ar jaunu 29.</w:t>
            </w:r>
            <w:r>
              <w:rPr>
                <w:vertAlign w:val="superscript"/>
              </w:rPr>
              <w:t>2</w:t>
            </w:r>
            <w:r>
              <w:t xml:space="preserve">, </w:t>
            </w:r>
            <w:r w:rsidRPr="0021470A">
              <w:rPr>
                <w:bCs/>
                <w:iCs/>
              </w:rPr>
              <w:t>29.</w:t>
            </w:r>
            <w:r>
              <w:rPr>
                <w:bCs/>
                <w:iCs/>
                <w:vertAlign w:val="superscript"/>
              </w:rPr>
              <w:t xml:space="preserve">3 </w:t>
            </w:r>
            <w:r>
              <w:t>un 29.</w:t>
            </w:r>
            <w:r>
              <w:rPr>
                <w:vertAlign w:val="superscript"/>
              </w:rPr>
              <w:t>4</w:t>
            </w:r>
            <w:r>
              <w:t xml:space="preserve">punktu, kas paredz </w:t>
            </w:r>
            <w:r w:rsidRPr="006D4D60">
              <w:rPr>
                <w:u w:val="single"/>
              </w:rPr>
              <w:t>noteikt kārtību publisko un privāto izmaksu apmēru aprēķināšanai</w:t>
            </w:r>
            <w:r>
              <w:t xml:space="preserve"> atbilstoši sabiedrisko pakalpojumu sniegšanai un citu darbību veikšanai izmantojamo telpu platībai un pakalpojumu sniegšanas laikam attiecīgajā telpā;</w:t>
            </w:r>
          </w:p>
          <w:p w:rsidR="00277893" w:rsidRDefault="00277893">
            <w:pPr>
              <w:numPr>
                <w:ilvl w:val="1"/>
                <w:numId w:val="29"/>
              </w:numPr>
              <w:autoSpaceDE w:val="0"/>
              <w:autoSpaceDN w:val="0"/>
              <w:adjustRightInd w:val="0"/>
              <w:jc w:val="both"/>
            </w:pPr>
            <w:r>
              <w:t xml:space="preserve">lai nodrošinātu vienotu aprēķinu metodiku, noteikumu projektam pievienots Ministru kabineta sēdes </w:t>
            </w:r>
            <w:proofErr w:type="spellStart"/>
            <w:r>
              <w:t>protkollēmuma</w:t>
            </w:r>
            <w:proofErr w:type="spellEnd"/>
            <w:r>
              <w:t xml:space="preserve"> projekts, kas uzdod Veselības ministrijai </w:t>
            </w:r>
            <w:r w:rsidRPr="004078CC">
              <w:t>izstrādāt infrastruktūras izmantošanas valsts apmaksāto veselības aprūpes pakalpojumu sniegšanai un citu darbību veikšanai proporcijas aprēķināšanas metodiku</w:t>
            </w:r>
            <w:r>
              <w:t>;</w:t>
            </w:r>
          </w:p>
          <w:p w:rsidR="00277893" w:rsidRDefault="00277893">
            <w:pPr>
              <w:numPr>
                <w:ilvl w:val="1"/>
                <w:numId w:val="29"/>
              </w:numPr>
              <w:autoSpaceDE w:val="0"/>
              <w:autoSpaceDN w:val="0"/>
              <w:adjustRightInd w:val="0"/>
              <w:jc w:val="both"/>
            </w:pPr>
            <w:r>
              <w:t xml:space="preserve">papildināt MK </w:t>
            </w:r>
            <w:r w:rsidRPr="00221A24">
              <w:t xml:space="preserve">noteikumu Nr.44 ar jaunu </w:t>
            </w:r>
            <w:r>
              <w:t>29.</w:t>
            </w:r>
            <w:r>
              <w:rPr>
                <w:vertAlign w:val="superscript"/>
              </w:rPr>
              <w:t>5</w:t>
            </w:r>
            <w:r>
              <w:t xml:space="preserve"> un 29.</w:t>
            </w:r>
            <w:r>
              <w:rPr>
                <w:vertAlign w:val="superscript"/>
              </w:rPr>
              <w:t>6</w:t>
            </w:r>
            <w:r w:rsidRPr="00221A24">
              <w:rPr>
                <w:bCs/>
                <w:iCs/>
              </w:rPr>
              <w:t>punktu</w:t>
            </w:r>
            <w:r>
              <w:rPr>
                <w:bCs/>
                <w:iCs/>
              </w:rPr>
              <w:t xml:space="preserve">, </w:t>
            </w:r>
            <w:r w:rsidRPr="0021470A">
              <w:rPr>
                <w:bCs/>
                <w:iCs/>
                <w:u w:val="single"/>
              </w:rPr>
              <w:t>norādot nosacījumus attiecībā uz komercdarbības atbalsta p</w:t>
            </w:r>
            <w:r>
              <w:rPr>
                <w:bCs/>
                <w:iCs/>
                <w:u w:val="single"/>
              </w:rPr>
              <w:t xml:space="preserve">ārmaksas </w:t>
            </w:r>
            <w:proofErr w:type="spellStart"/>
            <w:r>
              <w:rPr>
                <w:bCs/>
                <w:iCs/>
                <w:u w:val="single"/>
              </w:rPr>
              <w:t>pre</w:t>
            </w:r>
            <w:r w:rsidRPr="0021470A">
              <w:rPr>
                <w:bCs/>
                <w:iCs/>
                <w:u w:val="single"/>
              </w:rPr>
              <w:t>venciju</w:t>
            </w:r>
            <w:proofErr w:type="spellEnd"/>
            <w:r w:rsidRPr="0021470A">
              <w:rPr>
                <w:bCs/>
                <w:iCs/>
                <w:u w:val="single"/>
              </w:rPr>
              <w:t xml:space="preserve"> un </w:t>
            </w:r>
            <w:r>
              <w:rPr>
                <w:bCs/>
                <w:iCs/>
                <w:u w:val="single"/>
              </w:rPr>
              <w:t>atgūšanu</w:t>
            </w:r>
            <w:r>
              <w:rPr>
                <w:bCs/>
                <w:iCs/>
              </w:rPr>
              <w:t>;</w:t>
            </w:r>
          </w:p>
          <w:p w:rsidR="00277893" w:rsidRDefault="00277893">
            <w:pPr>
              <w:numPr>
                <w:ilvl w:val="1"/>
                <w:numId w:val="29"/>
              </w:numPr>
              <w:autoSpaceDE w:val="0"/>
              <w:autoSpaceDN w:val="0"/>
              <w:adjustRightInd w:val="0"/>
              <w:jc w:val="both"/>
              <w:rPr>
                <w:u w:val="single"/>
              </w:rPr>
            </w:pPr>
            <w:r>
              <w:t xml:space="preserve"> papildināt MK noteikumu Nr.44 ar jaunu 29.</w:t>
            </w:r>
            <w:r w:rsidRPr="000748B8">
              <w:rPr>
                <w:vertAlign w:val="superscript"/>
              </w:rPr>
              <w:t>7</w:t>
            </w:r>
            <w:r>
              <w:t xml:space="preserve">punktu, kas paredz noteikt, </w:t>
            </w:r>
            <w:r w:rsidRPr="00327D98">
              <w:t xml:space="preserve">ka </w:t>
            </w:r>
            <w:r w:rsidRPr="006D4D60">
              <w:rPr>
                <w:u w:val="single"/>
              </w:rPr>
              <w:t>attīstības izmaksas telpās</w:t>
            </w:r>
            <w:r w:rsidRPr="0021470A">
              <w:rPr>
                <w:u w:val="single"/>
              </w:rPr>
              <w:t>, kuras ārstniecības iestāde nodrošina citai ārstniecības iestādei</w:t>
            </w:r>
            <w:r w:rsidRPr="00327D98">
              <w:t xml:space="preserve"> valsts </w:t>
            </w:r>
            <w:r>
              <w:t>apmaksāto veselības aprūpes pakalpojumu</w:t>
            </w:r>
            <w:r w:rsidRPr="00327D98">
              <w:t xml:space="preserve"> sniegšanai, </w:t>
            </w:r>
            <w:r w:rsidRPr="006D4D60">
              <w:rPr>
                <w:u w:val="single"/>
              </w:rPr>
              <w:t>ir attiecināmas, ja attiecīgu telpu nodrošināšana ir noteikta par pienākumu ārstniecības iestādei un tel</w:t>
            </w:r>
            <w:r>
              <w:rPr>
                <w:u w:val="single"/>
              </w:rPr>
              <w:t>pas nomas maksa noteikta atbilstoši Komisijas lēmumam</w:t>
            </w:r>
            <w:r w:rsidRPr="0021470A">
              <w:rPr>
                <w:u w:val="single"/>
              </w:rPr>
              <w:t>;</w:t>
            </w:r>
          </w:p>
          <w:p w:rsidR="00277893" w:rsidRDefault="00277893">
            <w:pPr>
              <w:numPr>
                <w:ilvl w:val="1"/>
                <w:numId w:val="29"/>
              </w:numPr>
              <w:autoSpaceDE w:val="0"/>
              <w:autoSpaceDN w:val="0"/>
              <w:adjustRightInd w:val="0"/>
              <w:jc w:val="both"/>
            </w:pPr>
            <w:r>
              <w:t>papildināt MK noteikumu Nr.44 ar jaunu 29.</w:t>
            </w:r>
            <w:r>
              <w:rPr>
                <w:vertAlign w:val="superscript"/>
              </w:rPr>
              <w:t>8</w:t>
            </w:r>
            <w:r>
              <w:t xml:space="preserve">punktu, </w:t>
            </w:r>
            <w:r>
              <w:lastRenderedPageBreak/>
              <w:t xml:space="preserve">kas </w:t>
            </w:r>
            <w:r w:rsidRPr="0021470A">
              <w:rPr>
                <w:u w:val="single"/>
              </w:rPr>
              <w:t>nosaka finansējuma saņēmējam pienākumu notei</w:t>
            </w:r>
            <w:r w:rsidRPr="00D41348">
              <w:rPr>
                <w:u w:val="single"/>
              </w:rPr>
              <w:t>kt un uzskaitīt informāciju par atsevišķu darba laiku</w:t>
            </w:r>
            <w:r w:rsidRPr="000E0490">
              <w:t xml:space="preserve"> valsts apmaksāto veselības aprūpes pakalpojumu sniegšanai un citu darbību veikšanai projekta ietv</w:t>
            </w:r>
            <w:r>
              <w:t>aros attīstītajā infrastruktūrā, ja attiecīgo darba laiku var noteikt;</w:t>
            </w:r>
          </w:p>
          <w:p w:rsidR="00277893" w:rsidRDefault="00277893">
            <w:pPr>
              <w:numPr>
                <w:ilvl w:val="1"/>
                <w:numId w:val="29"/>
              </w:numPr>
              <w:autoSpaceDE w:val="0"/>
              <w:autoSpaceDN w:val="0"/>
              <w:adjustRightInd w:val="0"/>
              <w:jc w:val="both"/>
            </w:pPr>
            <w:r w:rsidRPr="000E0490">
              <w:t>papildināt MK noteikumu Nr.44 ar jaunu 2</w:t>
            </w:r>
            <w:r>
              <w:t>9.</w:t>
            </w:r>
            <w:r>
              <w:rPr>
                <w:vertAlign w:val="superscript"/>
              </w:rPr>
              <w:t>4</w:t>
            </w:r>
            <w:r>
              <w:t xml:space="preserve"> un 29.</w:t>
            </w:r>
            <w:r>
              <w:rPr>
                <w:vertAlign w:val="superscript"/>
              </w:rPr>
              <w:t>9</w:t>
            </w:r>
            <w:r w:rsidRPr="000E0490">
              <w:t xml:space="preserve">punktu, kas paredz </w:t>
            </w:r>
            <w:r w:rsidRPr="0012583B">
              <w:rPr>
                <w:u w:val="single"/>
              </w:rPr>
              <w:t xml:space="preserve">finansējuma saņēmējiem pienākumu nodrošināt </w:t>
            </w:r>
            <w:r>
              <w:t>valsts apmaksāto un maksas veselības aprūpes pakalpojumu un ar to saistīto</w:t>
            </w:r>
            <w:r w:rsidRPr="0021470A">
              <w:rPr>
                <w:u w:val="single"/>
              </w:rPr>
              <w:t xml:space="preserve"> finanšu plūsmu nodali</w:t>
            </w:r>
            <w:r w:rsidRPr="000E0490">
              <w:t>, kā arī to</w:t>
            </w:r>
            <w:r>
              <w:t xml:space="preserve"> pamatojušās dokumentācijas</w:t>
            </w:r>
            <w:r w:rsidRPr="000E0490">
              <w:t xml:space="preserve"> uzglabāšanu un pieejamību sadarbības iestādei līdz 2021.gada 31.decembrim</w:t>
            </w:r>
            <w:r>
              <w:t xml:space="preserve">; </w:t>
            </w:r>
          </w:p>
          <w:p w:rsidR="00277893" w:rsidRDefault="00277893" w:rsidP="002B0124">
            <w:pPr>
              <w:numPr>
                <w:ilvl w:val="1"/>
                <w:numId w:val="29"/>
              </w:numPr>
              <w:autoSpaceDE w:val="0"/>
              <w:autoSpaceDN w:val="0"/>
              <w:adjustRightInd w:val="0"/>
              <w:jc w:val="both"/>
            </w:pPr>
            <w:r w:rsidRPr="00095C56">
              <w:t xml:space="preserve">izteikt </w:t>
            </w:r>
            <w:r w:rsidRPr="000C7607">
              <w:t>MK noteikumu Nr.</w:t>
            </w:r>
            <w:r>
              <w:t>44</w:t>
            </w:r>
            <w:r w:rsidRPr="000C7607">
              <w:t xml:space="preserve"> </w:t>
            </w:r>
            <w:r>
              <w:t>52.punktu jaunā redakcijā un papildināt MK noteikumu Nr.44 ar jaunu 52.</w:t>
            </w:r>
            <w:r>
              <w:rPr>
                <w:vertAlign w:val="superscript"/>
              </w:rPr>
              <w:t>1</w:t>
            </w:r>
            <w:r>
              <w:t>punktu, paredzot noteikt, kādas izmaksas f</w:t>
            </w:r>
            <w:r w:rsidRPr="00FB25E0">
              <w:t xml:space="preserve">inansēšanai no </w:t>
            </w:r>
            <w:r>
              <w:t>ERAF</w:t>
            </w:r>
            <w:r w:rsidRPr="00FB25E0">
              <w:t xml:space="preserve"> līdzekļiem un valsts budžeta </w:t>
            </w:r>
            <w:r>
              <w:t xml:space="preserve">nav attiecināmas un </w:t>
            </w:r>
            <w:r>
              <w:rPr>
                <w:szCs w:val="28"/>
                <w:lang w:bidi="lo-LA"/>
              </w:rPr>
              <w:t xml:space="preserve">projekta iesniegumā netiek iekļautas, un kādas izmaksas netiek </w:t>
            </w:r>
            <w:r>
              <w:t>f</w:t>
            </w:r>
            <w:r w:rsidRPr="00FB25E0">
              <w:t>inansē</w:t>
            </w:r>
            <w:r>
              <w:t>tas</w:t>
            </w:r>
            <w:r w:rsidRPr="00FB25E0">
              <w:t xml:space="preserve"> no </w:t>
            </w:r>
            <w:r>
              <w:t>ERAF</w:t>
            </w:r>
            <w:r w:rsidRPr="00FB25E0">
              <w:t xml:space="preserve"> līdzekļiem un valsts budžeta</w:t>
            </w:r>
            <w:r>
              <w:t>,</w:t>
            </w:r>
            <w:r w:rsidRPr="00FB25E0">
              <w:t xml:space="preserve"> </w:t>
            </w:r>
            <w:r>
              <w:t xml:space="preserve">bet projekta iesniegumā var tikt iekļautas, tādējādi </w:t>
            </w:r>
            <w:r w:rsidRPr="0021470A">
              <w:rPr>
                <w:u w:val="single"/>
              </w:rPr>
              <w:t>nodrošinot iespēju projektā norādīt neattiecināmās izmaksas, kas nepieciešamas atbilstības komercdarbības atbalsta normām nodrošināšanai</w:t>
            </w:r>
            <w:r>
              <w:rPr>
                <w:color w:val="2A2A2A"/>
              </w:rPr>
              <w:t>;</w:t>
            </w:r>
          </w:p>
          <w:p w:rsidR="00277893" w:rsidRDefault="00277893" w:rsidP="002B0124">
            <w:pPr>
              <w:numPr>
                <w:ilvl w:val="1"/>
                <w:numId w:val="29"/>
              </w:numPr>
              <w:autoSpaceDE w:val="0"/>
              <w:autoSpaceDN w:val="0"/>
              <w:adjustRightInd w:val="0"/>
              <w:jc w:val="both"/>
            </w:pPr>
            <w:r>
              <w:rPr>
                <w:u w:val="single"/>
              </w:rPr>
              <w:t>svītrot</w:t>
            </w:r>
            <w:r>
              <w:t xml:space="preserve"> MK noteikumu Nr.44 18.4., 40., 41.1. un 41.10.apakšpunktā </w:t>
            </w:r>
            <w:r w:rsidRPr="002B0124">
              <w:rPr>
                <w:u w:val="single"/>
              </w:rPr>
              <w:t>nosacījumus attiecībā uz ieguldījumu veikšanu tikai valsts apmaksātajos pakalpojumos</w:t>
            </w:r>
            <w:r>
              <w:t>, tai skaitā svītrojot MK noteikumu Nr.44 29.</w:t>
            </w:r>
            <w:r w:rsidRPr="002B0124">
              <w:rPr>
                <w:vertAlign w:val="superscript"/>
              </w:rPr>
              <w:t>1</w:t>
            </w:r>
            <w:r>
              <w:t xml:space="preserve">punktu, ņemot vērā, ka ārstniecības iestādes var ieguldīt finansējumu ne tikai valsts apmaksāto pakalpojumu sniegšanā, bet arī citu darbību veikšanā, proporcionāli piesaistot privāto finansējumu. Savukārt, MK noteikumu Nr.44 3.pielikuma A daļas 2.10. un 2.11.1.apakšpunkti, kā arī C daļa netiek grozīti, ņemot vērā Finanšu ministrijas skaidrojumu, ka </w:t>
            </w:r>
            <w:r w:rsidRPr="002B0124">
              <w:t>ar projekta līguma grozījumiem ir iespējams veikt tādus grozījumus, kuru rezultātā tiks mainīta projekta veidlapa un tā var atšķirties</w:t>
            </w:r>
            <w:r>
              <w:t xml:space="preserve"> no MK noteikumos Nr.44 apstiprinātās projektu iesniegumu veidlapas. Tas pamatojams ar to, ka MK noteikumos Nr.44 apstiprinātais 3.pielikums</w:t>
            </w:r>
            <w:r w:rsidRPr="002B0124">
              <w:t xml:space="preserve"> attiecas </w:t>
            </w:r>
            <w:r>
              <w:t xml:space="preserve">tikai </w:t>
            </w:r>
            <w:r w:rsidRPr="002B0124">
              <w:t>uz projekta iesnieguma vērtēšanas posmu, kurā tiek izvērtēts, vai projekta iesniegums atbilst projekta iesnieguma vērtēšanas kritērijiem. Attiecībā uz projekta grozījumiem, kas skar projekta iesnieguma veidlapu, tie ir vienlīdzīgi ar jebkuriem citiem projekta grozī</w:t>
            </w:r>
            <w:r>
              <w:t>jumiem, turklāt,</w:t>
            </w:r>
            <w:r w:rsidRPr="002B0124">
              <w:t xml:space="preserve"> veicot grozījumus projektā, projektam ir jāatbilst </w:t>
            </w:r>
            <w:r>
              <w:t>MK</w:t>
            </w:r>
            <w:r w:rsidRPr="002B0124">
              <w:t xml:space="preserve"> noteikumiem Nr.44.</w:t>
            </w:r>
          </w:p>
          <w:p w:rsidR="00277893" w:rsidRDefault="00277893">
            <w:pPr>
              <w:numPr>
                <w:ilvl w:val="1"/>
                <w:numId w:val="29"/>
              </w:numPr>
              <w:autoSpaceDE w:val="0"/>
              <w:autoSpaceDN w:val="0"/>
              <w:adjustRightInd w:val="0"/>
              <w:jc w:val="both"/>
            </w:pPr>
            <w:r w:rsidRPr="00575FAC">
              <w:t>papildināt MK n</w:t>
            </w:r>
            <w:r>
              <w:t xml:space="preserve">oteikumu Nr.44 ar 6.pielikumu </w:t>
            </w:r>
            <w:r w:rsidRPr="00EE255E">
              <w:rPr>
                <w:i/>
              </w:rPr>
              <w:t xml:space="preserve">„Publisko izmaksu maksimālā un privāto izmaksu </w:t>
            </w:r>
            <w:r w:rsidRPr="00EE255E">
              <w:rPr>
                <w:i/>
              </w:rPr>
              <w:lastRenderedPageBreak/>
              <w:t>minimāl</w:t>
            </w:r>
            <w:r>
              <w:rPr>
                <w:i/>
              </w:rPr>
              <w:t>ā</w:t>
            </w:r>
            <w:r w:rsidRPr="00EE255E">
              <w:rPr>
                <w:i/>
              </w:rPr>
              <w:t xml:space="preserve"> apjoma aprēķins””</w:t>
            </w:r>
            <w:r>
              <w:t xml:space="preserve">, kas </w:t>
            </w:r>
            <w:r w:rsidRPr="0021470A">
              <w:rPr>
                <w:u w:val="single"/>
              </w:rPr>
              <w:t>atspoguļos proporciju kādā infrastruktūra tiek izmantota valsts apmaksāto pakalpojumu sniegšanai un citu darbību veikšanai</w:t>
            </w:r>
            <w:r>
              <w:t xml:space="preserve">. Noteikumu 6.pielikums būs arī </w:t>
            </w:r>
            <w:r w:rsidRPr="00661348">
              <w:rPr>
                <w:bCs/>
                <w:iCs/>
              </w:rPr>
              <w:t xml:space="preserve">vienošanās vai līguma </w:t>
            </w:r>
            <w:r>
              <w:rPr>
                <w:bCs/>
                <w:iCs/>
              </w:rPr>
              <w:t xml:space="preserve">starp Centrālās finanšu un līguma aģentūru un finansējuma saņēmēju </w:t>
            </w:r>
            <w:r w:rsidRPr="00661348">
              <w:rPr>
                <w:bCs/>
                <w:iCs/>
              </w:rPr>
              <w:t>par projekta īstenošanu pielikums</w:t>
            </w:r>
            <w:r>
              <w:rPr>
                <w:bCs/>
                <w:iCs/>
              </w:rPr>
              <w:t>.</w:t>
            </w:r>
            <w:r w:rsidDel="00EC253D">
              <w:t xml:space="preserve"> </w:t>
            </w:r>
          </w:p>
          <w:p w:rsidR="00277893" w:rsidRDefault="00277893">
            <w:pPr>
              <w:numPr>
                <w:ilvl w:val="0"/>
                <w:numId w:val="29"/>
              </w:numPr>
              <w:autoSpaceDE w:val="0"/>
              <w:autoSpaceDN w:val="0"/>
              <w:adjustRightInd w:val="0"/>
              <w:jc w:val="both"/>
            </w:pPr>
            <w:r w:rsidRPr="0021470A">
              <w:rPr>
                <w:b/>
                <w:u w:val="single"/>
              </w:rPr>
              <w:t>lai precizētu</w:t>
            </w:r>
            <w:r w:rsidRPr="0021470A">
              <w:rPr>
                <w:u w:val="single"/>
              </w:rPr>
              <w:t xml:space="preserve"> </w:t>
            </w:r>
            <w:r w:rsidRPr="0021470A">
              <w:rPr>
                <w:b/>
                <w:u w:val="single"/>
              </w:rPr>
              <w:t>regulējumu attiecībā uz tehnoloģiju iegādes saskaņošanu:</w:t>
            </w:r>
          </w:p>
          <w:p w:rsidR="00277893" w:rsidRDefault="00277893">
            <w:pPr>
              <w:numPr>
                <w:ilvl w:val="1"/>
                <w:numId w:val="29"/>
              </w:numPr>
              <w:autoSpaceDE w:val="0"/>
              <w:autoSpaceDN w:val="0"/>
              <w:adjustRightInd w:val="0"/>
              <w:jc w:val="both"/>
            </w:pPr>
            <w:r>
              <w:t xml:space="preserve">precizēt MK noteikumu Nr.44 46.2. un 46¹.2.apakšpunkta redakciju, nosakot, ka </w:t>
            </w:r>
            <w:r w:rsidRPr="00734027">
              <w:t>ārstnieciskajam procesam tieši nepieciešamo tehnoloģiju</w:t>
            </w:r>
            <w:r>
              <w:t xml:space="preserve"> </w:t>
            </w:r>
            <w:r w:rsidRPr="00734027">
              <w:t xml:space="preserve">piegādes un montāžas izmaksu pozīcijām ir </w:t>
            </w:r>
            <w:r w:rsidRPr="0012583B">
              <w:rPr>
                <w:u w:val="single"/>
              </w:rPr>
              <w:t>jābūt saskaņotām ar Nacion</w:t>
            </w:r>
            <w:r>
              <w:rPr>
                <w:u w:val="single"/>
              </w:rPr>
              <w:t>ālo</w:t>
            </w:r>
            <w:r w:rsidRPr="0012583B">
              <w:rPr>
                <w:u w:val="single"/>
              </w:rPr>
              <w:t xml:space="preserve"> veselības dienestu</w:t>
            </w:r>
            <w:r>
              <w:t xml:space="preserve">, kā arī paredzot saskaņošanas nosacījumu – </w:t>
            </w:r>
            <w:r w:rsidRPr="00450759">
              <w:rPr>
                <w:bCs/>
                <w:iCs/>
              </w:rPr>
              <w:t xml:space="preserve">tehnoloģijas </w:t>
            </w:r>
            <w:r w:rsidRPr="0021470A">
              <w:rPr>
                <w:u w:val="single"/>
                <w:lang w:eastAsia="lv-LV" w:bidi="lo-LA"/>
              </w:rPr>
              <w:t>vienas vienības cena nav zemākā par 20 000 latiem</w:t>
            </w:r>
            <w:r>
              <w:t>;</w:t>
            </w:r>
          </w:p>
          <w:p w:rsidR="00277893" w:rsidRDefault="00277893">
            <w:pPr>
              <w:numPr>
                <w:ilvl w:val="1"/>
                <w:numId w:val="29"/>
              </w:numPr>
              <w:autoSpaceDE w:val="0"/>
              <w:autoSpaceDN w:val="0"/>
              <w:adjustRightInd w:val="0"/>
              <w:jc w:val="both"/>
            </w:pPr>
            <w:r w:rsidRPr="000E0490">
              <w:t xml:space="preserve">papildināt MK noteikumu Nr.44 ar </w:t>
            </w:r>
            <w:r w:rsidRPr="00450759">
              <w:t xml:space="preserve">jaunu </w:t>
            </w:r>
            <w:r w:rsidRPr="00450759">
              <w:rPr>
                <w:lang w:eastAsia="lv-LV" w:bidi="lo-LA"/>
              </w:rPr>
              <w:t>46³.punktu</w:t>
            </w:r>
            <w:r>
              <w:rPr>
                <w:lang w:eastAsia="lv-LV" w:bidi="lo-LA"/>
              </w:rPr>
              <w:t>, kas paredz</w:t>
            </w:r>
            <w:r>
              <w:t xml:space="preserve"> </w:t>
            </w:r>
            <w:r w:rsidRPr="0012583B">
              <w:rPr>
                <w:u w:val="single"/>
              </w:rPr>
              <w:t xml:space="preserve">noteikt </w:t>
            </w:r>
            <w:r>
              <w:rPr>
                <w:u w:val="single"/>
              </w:rPr>
              <w:t>tehnoloģiju izvērtēšanas kritērijus, kas paredz:</w:t>
            </w:r>
          </w:p>
          <w:p w:rsidR="00277893" w:rsidRDefault="00277893">
            <w:pPr>
              <w:numPr>
                <w:ilvl w:val="2"/>
                <w:numId w:val="29"/>
              </w:numPr>
              <w:autoSpaceDE w:val="0"/>
              <w:autoSpaceDN w:val="0"/>
              <w:adjustRightInd w:val="0"/>
              <w:ind w:left="1168" w:hanging="284"/>
              <w:jc w:val="both"/>
            </w:pPr>
            <w:r w:rsidRPr="0021470A">
              <w:rPr>
                <w:u w:val="single"/>
              </w:rPr>
              <w:t>jauno tehnoloģiju</w:t>
            </w:r>
            <w:r>
              <w:t xml:space="preserve"> (</w:t>
            </w:r>
            <w:r>
              <w:rPr>
                <w:i/>
              </w:rPr>
              <w:t xml:space="preserve">ja </w:t>
            </w:r>
            <w:r w:rsidRPr="0021470A">
              <w:rPr>
                <w:i/>
              </w:rPr>
              <w:t>iepriekš attiecīgās tehnoloģijas ārstniecības iestādē nebijā</w:t>
            </w:r>
            <w:r>
              <w:t xml:space="preserve">) </w:t>
            </w:r>
            <w:r w:rsidRPr="0021470A">
              <w:rPr>
                <w:u w:val="single"/>
              </w:rPr>
              <w:t>iegādi</w:t>
            </w:r>
            <w:r>
              <w:t xml:space="preserve"> atbalstīt gadījumos, ja projekta iesniegumā paredzēta jauna </w:t>
            </w:r>
            <w:r w:rsidRPr="0021470A">
              <w:t>veselības aprūpes pakalpojuma attīstība un jaunā tehnoloģija nepieciešama attiecīgā pakalpojuma sniegšanai;</w:t>
            </w:r>
          </w:p>
          <w:p w:rsidR="00277893" w:rsidRDefault="00277893">
            <w:pPr>
              <w:numPr>
                <w:ilvl w:val="2"/>
                <w:numId w:val="29"/>
              </w:numPr>
              <w:autoSpaceDE w:val="0"/>
              <w:autoSpaceDN w:val="0"/>
              <w:adjustRightInd w:val="0"/>
              <w:ind w:left="1168" w:hanging="284"/>
              <w:jc w:val="both"/>
            </w:pPr>
            <w:r w:rsidRPr="0021470A">
              <w:rPr>
                <w:u w:val="single"/>
              </w:rPr>
              <w:t>esošo tehnoloģiju nomaiņu</w:t>
            </w:r>
            <w:r>
              <w:t xml:space="preserve"> atbalstīt gadījumos, ja</w:t>
            </w:r>
            <w:r w:rsidRPr="0021470A">
              <w:t xml:space="preserve"> esošā tehnoloģija ir iegādāta vismaz pirms 10 gadiem vai esošās tehnoloģijas turpmākā izmantošana ir neefektīva, un šis fakts ir pamatots ar attiecīgiem aprēķiniem un dokumentiem</w:t>
            </w:r>
            <w:r>
              <w:t>;</w:t>
            </w:r>
          </w:p>
          <w:p w:rsidR="00277893" w:rsidRDefault="00277893">
            <w:pPr>
              <w:numPr>
                <w:ilvl w:val="2"/>
                <w:numId w:val="29"/>
              </w:numPr>
              <w:autoSpaceDE w:val="0"/>
              <w:autoSpaceDN w:val="0"/>
              <w:adjustRightInd w:val="0"/>
              <w:ind w:left="1168" w:hanging="284"/>
              <w:jc w:val="both"/>
            </w:pPr>
            <w:r>
              <w:t xml:space="preserve">iepriekš no ārstniecības iestādes privātā finansējuma </w:t>
            </w:r>
            <w:r w:rsidRPr="0021470A">
              <w:rPr>
                <w:u w:val="single"/>
              </w:rPr>
              <w:t>iegādāto tehnoloģiju refinansēšanu</w:t>
            </w:r>
            <w:r>
              <w:t xml:space="preserve"> atbalstīt gadījumos, ja </w:t>
            </w:r>
            <w:r w:rsidRPr="0021470A">
              <w:t>attiecīgās tehnoloģijas amortizācijas perioda beigu termiņš nav mazāks par projekta beigu termiņu</w:t>
            </w:r>
            <w:r>
              <w:t>.</w:t>
            </w:r>
          </w:p>
          <w:p w:rsidR="00277893" w:rsidRDefault="00277893">
            <w:pPr>
              <w:numPr>
                <w:ilvl w:val="1"/>
                <w:numId w:val="29"/>
              </w:numPr>
              <w:autoSpaceDE w:val="0"/>
              <w:autoSpaceDN w:val="0"/>
              <w:adjustRightInd w:val="0"/>
              <w:jc w:val="both"/>
            </w:pPr>
            <w:r>
              <w:t>t</w:t>
            </w:r>
            <w:r w:rsidRPr="0021470A">
              <w:t>ehnoloģiju</w:t>
            </w:r>
            <w:r>
              <w:rPr>
                <w:u w:val="single"/>
              </w:rPr>
              <w:t xml:space="preserve"> </w:t>
            </w:r>
            <w:r>
              <w:t xml:space="preserve">saskaņošanas </w:t>
            </w:r>
            <w:r>
              <w:rPr>
                <w:lang w:bidi="lo-LA"/>
              </w:rPr>
              <w:t>nosacījumi ir attiecināmi uz visām projektu iesniegumu atlases kārtām, savukārt ir piemērojami tikai finansējuma saņēmēju maksājumu pieprasījumiem, kas iesniegti sadarbības iestādei pēc šo noteikumu projekta spēkā stāšanās brīža</w:t>
            </w:r>
            <w:r>
              <w:t>.</w:t>
            </w:r>
          </w:p>
          <w:p w:rsidR="00277893" w:rsidRDefault="00277893" w:rsidP="001056DC">
            <w:pPr>
              <w:numPr>
                <w:ilvl w:val="0"/>
                <w:numId w:val="29"/>
              </w:numPr>
              <w:autoSpaceDE w:val="0"/>
              <w:autoSpaceDN w:val="0"/>
              <w:adjustRightInd w:val="0"/>
              <w:jc w:val="both"/>
            </w:pPr>
            <w:r w:rsidRPr="0021470A">
              <w:rPr>
                <w:b/>
                <w:u w:val="single"/>
              </w:rPr>
              <w:t xml:space="preserve">precizējot izmaksu </w:t>
            </w:r>
            <w:proofErr w:type="spellStart"/>
            <w:r w:rsidRPr="0021470A">
              <w:rPr>
                <w:b/>
                <w:u w:val="single"/>
              </w:rPr>
              <w:t>attieci</w:t>
            </w:r>
            <w:r>
              <w:rPr>
                <w:b/>
                <w:u w:val="single"/>
              </w:rPr>
              <w:t>nā</w:t>
            </w:r>
            <w:r w:rsidRPr="0021470A">
              <w:rPr>
                <w:b/>
                <w:u w:val="single"/>
              </w:rPr>
              <w:t>mības</w:t>
            </w:r>
            <w:proofErr w:type="spellEnd"/>
            <w:r w:rsidRPr="0021470A">
              <w:rPr>
                <w:b/>
                <w:u w:val="single"/>
              </w:rPr>
              <w:t xml:space="preserve"> nosacījumus</w:t>
            </w:r>
            <w:r>
              <w:t xml:space="preserve"> tika grozīts MK noteikumu Nr.44 52.6.apakšpunkts, paredzot,</w:t>
            </w:r>
            <w:r w:rsidRPr="00095C56">
              <w:t xml:space="preserve"> ka </w:t>
            </w:r>
            <w:r>
              <w:t>f</w:t>
            </w:r>
            <w:r w:rsidRPr="00FB25E0">
              <w:t xml:space="preserve">inansēšanai no </w:t>
            </w:r>
            <w:r>
              <w:t>ERAF</w:t>
            </w:r>
            <w:r w:rsidRPr="00FB25E0">
              <w:t xml:space="preserve"> līdzekļiem un valsts budžeta </w:t>
            </w:r>
            <w:r w:rsidRPr="006D4D60">
              <w:rPr>
                <w:u w:val="single"/>
              </w:rPr>
              <w:t>nav attiecināmas izmaksas</w:t>
            </w:r>
            <w:r>
              <w:rPr>
                <w:u w:val="single"/>
              </w:rPr>
              <w:t>,</w:t>
            </w:r>
            <w:r w:rsidRPr="006D4D60">
              <w:rPr>
                <w:u w:val="single"/>
              </w:rPr>
              <w:t xml:space="preserve"> kuras radušās pēc projekta īstenošanas termiņa beigām</w:t>
            </w:r>
            <w:r>
              <w:t xml:space="preserve"> (tādējādi arī paredzot iespēju veikt maksājumus arī pēc projekta īstenošanas beigu termiņa par izmaksām, kas radušās projekta īstenošanas laikā).</w:t>
            </w:r>
          </w:p>
          <w:p w:rsidR="00277893" w:rsidRPr="00646C96" w:rsidRDefault="00277893" w:rsidP="001056DC">
            <w:pPr>
              <w:numPr>
                <w:ilvl w:val="0"/>
                <w:numId w:val="29"/>
              </w:numPr>
              <w:autoSpaceDE w:val="0"/>
              <w:autoSpaceDN w:val="0"/>
              <w:adjustRightInd w:val="0"/>
              <w:jc w:val="both"/>
            </w:pPr>
            <w:r w:rsidRPr="00646C96">
              <w:rPr>
                <w:b/>
                <w:u w:val="single"/>
              </w:rPr>
              <w:t>precizējot sadarbības iestādes kompetenci</w:t>
            </w:r>
            <w:r>
              <w:t xml:space="preserve"> no</w:t>
            </w:r>
            <w:r w:rsidRPr="00646C96">
              <w:t xml:space="preserve"> </w:t>
            </w:r>
            <w:r>
              <w:t xml:space="preserve">MK </w:t>
            </w:r>
            <w:r>
              <w:lastRenderedPageBreak/>
              <w:t xml:space="preserve">noteikumu Nr.44 10.10.apakšpunktā tika svītroti vārdi „un vadošajā iestādē”, ņemot vērā, ka sadarbības iestāde sagatavo Eiropas Savienības fondu maksājumu prognozi un iesniedz to </w:t>
            </w:r>
            <w:r w:rsidRPr="00C647FC">
              <w:rPr>
                <w:u w:val="single"/>
              </w:rPr>
              <w:t>tikai maksājumu iestādē</w:t>
            </w:r>
            <w:r>
              <w:t>.</w:t>
            </w:r>
          </w:p>
          <w:p w:rsidR="00277893" w:rsidRPr="001056DC" w:rsidRDefault="00277893" w:rsidP="001056DC">
            <w:pPr>
              <w:numPr>
                <w:ilvl w:val="0"/>
                <w:numId w:val="29"/>
              </w:numPr>
              <w:autoSpaceDE w:val="0"/>
              <w:autoSpaceDN w:val="0"/>
              <w:adjustRightInd w:val="0"/>
              <w:jc w:val="both"/>
            </w:pPr>
            <w:r>
              <w:rPr>
                <w:b/>
                <w:u w:val="single"/>
              </w:rPr>
              <w:t>veicot tehnisko precizējumu</w:t>
            </w:r>
            <w:r w:rsidRPr="001056DC">
              <w:rPr>
                <w:b/>
                <w:u w:val="single"/>
              </w:rPr>
              <w:t xml:space="preserve"> </w:t>
            </w:r>
            <w:r w:rsidRPr="001056DC">
              <w:t xml:space="preserve">precizēts </w:t>
            </w:r>
            <w:r>
              <w:t>MK noteikumu Nr.44 5.punkts</w:t>
            </w:r>
            <w:r w:rsidRPr="001056DC">
              <w:t>, n</w:t>
            </w:r>
            <w:r>
              <w:t xml:space="preserve">osakot, ka </w:t>
            </w:r>
            <w:r w:rsidRPr="001056DC">
              <w:rPr>
                <w:bCs/>
              </w:rPr>
              <w:t>3.1.5.3.1.</w:t>
            </w:r>
            <w:r w:rsidRPr="001056DC">
              <w:rPr>
                <w:u w:val="single"/>
              </w:rPr>
              <w:t>aktivitātes pieejam</w:t>
            </w:r>
            <w:r>
              <w:rPr>
                <w:u w:val="single"/>
              </w:rPr>
              <w:t>ais</w:t>
            </w:r>
            <w:r w:rsidRPr="001056DC">
              <w:rPr>
                <w:u w:val="single"/>
              </w:rPr>
              <w:t xml:space="preserve"> kopēj</w:t>
            </w:r>
            <w:r>
              <w:rPr>
                <w:u w:val="single"/>
              </w:rPr>
              <w:t>ais</w:t>
            </w:r>
            <w:r w:rsidRPr="001056DC">
              <w:rPr>
                <w:u w:val="single"/>
              </w:rPr>
              <w:t xml:space="preserve"> finans</w:t>
            </w:r>
            <w:r>
              <w:rPr>
                <w:u w:val="single"/>
              </w:rPr>
              <w:t>ējums</w:t>
            </w:r>
            <w:r w:rsidRPr="001056DC">
              <w:rPr>
                <w:u w:val="single"/>
              </w:rPr>
              <w:t xml:space="preserve"> </w:t>
            </w:r>
            <w:r w:rsidRPr="00043687">
              <w:rPr>
                <w:u w:val="single"/>
              </w:rPr>
              <w:t xml:space="preserve">ietver ERAF līdzfinansējumu un nacionālo publisko finansējumu </w:t>
            </w:r>
            <w:r w:rsidRPr="00043687">
              <w:t>(atbil</w:t>
            </w:r>
            <w:r>
              <w:t>stoši</w:t>
            </w:r>
            <w:r w:rsidRPr="001056DC">
              <w:t xml:space="preserve"> Darbības programmas "Infrastruktūra un pakalpojumi" papildinājum</w:t>
            </w:r>
            <w:r>
              <w:t xml:space="preserve">am), kas </w:t>
            </w:r>
            <w:r w:rsidRPr="000E50F3">
              <w:rPr>
                <w:lang w:bidi="lo-LA"/>
              </w:rPr>
              <w:t>var ietvert gan valsts, gan pašvaldību, gan citu finansējumu</w:t>
            </w:r>
            <w:r>
              <w:rPr>
                <w:lang w:bidi="lo-LA"/>
              </w:rPr>
              <w:t>, kas tiek piešķirts tieši projektā norādīto aktivitāšu īstenošanai</w:t>
            </w:r>
            <w:r>
              <w:t>.</w:t>
            </w:r>
          </w:p>
          <w:p w:rsidR="00277893" w:rsidRDefault="00277893" w:rsidP="009969BB">
            <w:pPr>
              <w:numPr>
                <w:ilvl w:val="0"/>
                <w:numId w:val="29"/>
              </w:numPr>
              <w:autoSpaceDE w:val="0"/>
              <w:autoSpaceDN w:val="0"/>
              <w:adjustRightInd w:val="0"/>
              <w:jc w:val="both"/>
            </w:pPr>
            <w:r w:rsidRPr="0021470A">
              <w:rPr>
                <w:color w:val="2A2A2A"/>
              </w:rPr>
              <w:t xml:space="preserve">papildus </w:t>
            </w:r>
            <w:r w:rsidRPr="0021470A">
              <w:rPr>
                <w:b/>
                <w:color w:val="2A2A2A"/>
                <w:u w:val="single"/>
              </w:rPr>
              <w:t>veicot tehnisko precizējumu</w:t>
            </w:r>
            <w:r w:rsidRPr="0021470A">
              <w:rPr>
                <w:color w:val="2A2A2A"/>
              </w:rPr>
              <w:t xml:space="preserve"> precizēta</w:t>
            </w:r>
            <w:r>
              <w:rPr>
                <w:color w:val="2A2A2A"/>
              </w:rPr>
              <w:t xml:space="preserve"> MK noteikumu Nr.44 1.pielikuma 34.rinda, nosakot </w:t>
            </w:r>
            <w:r>
              <w:t>s</w:t>
            </w:r>
            <w:r w:rsidRPr="00AD17F2">
              <w:t>abiedrība</w:t>
            </w:r>
            <w:r>
              <w:t>s ar ierobežotu atbildību „</w:t>
            </w:r>
            <w:r w:rsidRPr="00AD17F2">
              <w:t xml:space="preserve">Rīgas Austrumu </w:t>
            </w:r>
            <w:r>
              <w:t xml:space="preserve">klīniskā universitātes slimnīca” </w:t>
            </w:r>
            <w:r w:rsidRPr="00AD17F2">
              <w:rPr>
                <w:u w:val="single"/>
              </w:rPr>
              <w:t>profilu – universitātes slimnīca</w:t>
            </w:r>
            <w:r>
              <w:t xml:space="preserve"> (US).</w:t>
            </w:r>
          </w:p>
          <w:p w:rsidR="00277893" w:rsidRPr="004543F2" w:rsidRDefault="00277893" w:rsidP="002B68CE">
            <w:pPr>
              <w:jc w:val="both"/>
              <w:rPr>
                <w:lang w:eastAsia="lv-LV" w:bidi="lo-LA"/>
              </w:rPr>
            </w:pPr>
            <w:r>
              <w:t xml:space="preserve">Ar </w:t>
            </w:r>
            <w:r>
              <w:rPr>
                <w:lang w:eastAsia="lv-LV" w:bidi="lo-LA"/>
              </w:rPr>
              <w:t xml:space="preserve">noteikumu projektu plānots atrisināt anotācijas </w:t>
            </w:r>
            <w:proofErr w:type="spellStart"/>
            <w:r>
              <w:rPr>
                <w:lang w:eastAsia="lv-LV" w:bidi="lo-LA"/>
              </w:rPr>
              <w:t>I.sadaļas</w:t>
            </w:r>
            <w:proofErr w:type="spellEnd"/>
            <w:r>
              <w:rPr>
                <w:lang w:eastAsia="lv-LV" w:bidi="lo-LA"/>
              </w:rPr>
              <w:t xml:space="preserve"> 2.punktā minētās </w:t>
            </w:r>
            <w:r w:rsidRPr="00455BC4">
              <w:rPr>
                <w:lang w:eastAsia="lv-LV" w:bidi="lo-LA"/>
              </w:rPr>
              <w:t xml:space="preserve">problēmas. </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lastRenderedPageBreak/>
              <w:t> 5.</w:t>
            </w:r>
          </w:p>
        </w:tc>
        <w:tc>
          <w:tcPr>
            <w:tcW w:w="2433" w:type="dxa"/>
          </w:tcPr>
          <w:p w:rsidR="00277893" w:rsidRPr="00957553" w:rsidRDefault="00277893" w:rsidP="00CE6E01">
            <w:pPr>
              <w:spacing w:before="60" w:after="60"/>
              <w:rPr>
                <w:lang w:eastAsia="lv-LV" w:bidi="lo-LA"/>
              </w:rPr>
            </w:pPr>
            <w:r w:rsidRPr="00957553">
              <w:rPr>
                <w:lang w:eastAsia="lv-LV" w:bidi="lo-LA"/>
              </w:rPr>
              <w:t>Projekta izstrādē iesaistītās institūcijas</w:t>
            </w:r>
          </w:p>
        </w:tc>
        <w:tc>
          <w:tcPr>
            <w:tcW w:w="6237" w:type="dxa"/>
            <w:vAlign w:val="center"/>
          </w:tcPr>
          <w:p w:rsidR="00277893" w:rsidRPr="00957553" w:rsidRDefault="00277893" w:rsidP="00FA22FB">
            <w:pPr>
              <w:spacing w:before="60" w:after="60"/>
              <w:ind w:right="244"/>
              <w:jc w:val="both"/>
              <w:rPr>
                <w:iCs/>
              </w:rPr>
            </w:pPr>
            <w:r w:rsidRPr="00957553">
              <w:t>Noteikumu projekta izstrādei speciāla darba grupa netika veidota</w:t>
            </w:r>
            <w:r w:rsidRPr="00957553">
              <w:rPr>
                <w:iCs/>
                <w:sz w:val="22"/>
                <w:szCs w:val="22"/>
              </w:rPr>
              <w:t>.</w:t>
            </w:r>
          </w:p>
        </w:tc>
      </w:tr>
      <w:tr w:rsidR="00277893" w:rsidRPr="00957553" w:rsidTr="008D7634">
        <w:tc>
          <w:tcPr>
            <w:tcW w:w="652" w:type="dxa"/>
          </w:tcPr>
          <w:p w:rsidR="00277893" w:rsidRPr="00957553" w:rsidRDefault="00277893" w:rsidP="00CE6E01">
            <w:pPr>
              <w:spacing w:before="60" w:after="60"/>
              <w:rPr>
                <w:lang w:eastAsia="lv-LV" w:bidi="lo-LA"/>
              </w:rPr>
            </w:pPr>
            <w:r w:rsidRPr="00957553">
              <w:rPr>
                <w:lang w:eastAsia="lv-LV" w:bidi="lo-LA"/>
              </w:rPr>
              <w:t> 6.</w:t>
            </w:r>
          </w:p>
        </w:tc>
        <w:tc>
          <w:tcPr>
            <w:tcW w:w="2433" w:type="dxa"/>
          </w:tcPr>
          <w:p w:rsidR="00277893" w:rsidRPr="00957553" w:rsidRDefault="00277893" w:rsidP="00CE6E01">
            <w:pPr>
              <w:spacing w:before="60" w:after="60"/>
              <w:rPr>
                <w:lang w:eastAsia="lv-LV" w:bidi="lo-LA"/>
              </w:rPr>
            </w:pPr>
            <w:r w:rsidRPr="00957553">
              <w:rPr>
                <w:lang w:eastAsia="lv-LV" w:bidi="lo-LA"/>
              </w:rPr>
              <w:t>Iemesli, kādēļ netika nodrošināta sabiedrības līdzdalība</w:t>
            </w:r>
          </w:p>
        </w:tc>
        <w:tc>
          <w:tcPr>
            <w:tcW w:w="6237" w:type="dxa"/>
            <w:vAlign w:val="center"/>
          </w:tcPr>
          <w:p w:rsidR="00277893" w:rsidRPr="00957553" w:rsidRDefault="00277893" w:rsidP="00DC4551">
            <w:pPr>
              <w:spacing w:before="60" w:after="60"/>
              <w:jc w:val="both"/>
            </w:pPr>
            <w:r>
              <w:t>N</w:t>
            </w:r>
            <w:r w:rsidRPr="00957553">
              <w:t xml:space="preserve">oteikumu projekts paredz </w:t>
            </w:r>
            <w:r>
              <w:t xml:space="preserve">tehniskā rakstura grozījumus </w:t>
            </w:r>
            <w:r>
              <w:rPr>
                <w:bCs/>
              </w:rPr>
              <w:t>un</w:t>
            </w:r>
            <w:r w:rsidRPr="002729EE">
              <w:rPr>
                <w:bCs/>
              </w:rPr>
              <w:t xml:space="preserve"> neparedz negatīvu ietekmi uz sabiedrību, tad </w:t>
            </w:r>
            <w:r>
              <w:rPr>
                <w:bCs/>
              </w:rPr>
              <w:t xml:space="preserve">sabiedrības </w:t>
            </w:r>
            <w:r w:rsidRPr="002729EE">
              <w:rPr>
                <w:bCs/>
              </w:rPr>
              <w:t>līdzdalība netika nodrošināta.</w:t>
            </w:r>
          </w:p>
        </w:tc>
      </w:tr>
      <w:tr w:rsidR="00277893" w:rsidRPr="00957553" w:rsidTr="008D7634">
        <w:trPr>
          <w:trHeight w:val="70"/>
        </w:trPr>
        <w:tc>
          <w:tcPr>
            <w:tcW w:w="652" w:type="dxa"/>
          </w:tcPr>
          <w:p w:rsidR="00277893" w:rsidRPr="00957553" w:rsidRDefault="00277893" w:rsidP="00CE6E01">
            <w:pPr>
              <w:spacing w:before="60" w:after="60"/>
              <w:rPr>
                <w:lang w:eastAsia="lv-LV" w:bidi="lo-LA"/>
              </w:rPr>
            </w:pPr>
            <w:r w:rsidRPr="00957553">
              <w:rPr>
                <w:lang w:eastAsia="lv-LV" w:bidi="lo-LA"/>
              </w:rPr>
              <w:t> 7.</w:t>
            </w:r>
          </w:p>
        </w:tc>
        <w:tc>
          <w:tcPr>
            <w:tcW w:w="2433" w:type="dxa"/>
          </w:tcPr>
          <w:p w:rsidR="00277893" w:rsidRPr="00957553" w:rsidRDefault="00277893" w:rsidP="00CE6E01">
            <w:pPr>
              <w:spacing w:before="60" w:after="60"/>
              <w:rPr>
                <w:lang w:eastAsia="lv-LV" w:bidi="lo-LA"/>
              </w:rPr>
            </w:pPr>
            <w:r w:rsidRPr="00957553">
              <w:rPr>
                <w:lang w:eastAsia="lv-LV" w:bidi="lo-LA"/>
              </w:rPr>
              <w:t>Cita informācija</w:t>
            </w:r>
          </w:p>
        </w:tc>
        <w:tc>
          <w:tcPr>
            <w:tcW w:w="6237" w:type="dxa"/>
            <w:vAlign w:val="center"/>
          </w:tcPr>
          <w:p w:rsidR="00277893" w:rsidRPr="00957553" w:rsidRDefault="00277893" w:rsidP="00FA22FB">
            <w:pPr>
              <w:spacing w:before="60" w:after="60"/>
            </w:pPr>
            <w:r w:rsidRPr="00957553">
              <w:t>Nav</w:t>
            </w:r>
            <w:r>
              <w:t>.</w:t>
            </w:r>
          </w:p>
        </w:tc>
      </w:tr>
    </w:tbl>
    <w:p w:rsidR="00277893" w:rsidRPr="00957553" w:rsidRDefault="00277893"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715"/>
        <w:gridCol w:w="5918"/>
      </w:tblGrid>
      <w:tr w:rsidR="00277893" w:rsidRPr="00957553" w:rsidTr="001E3003">
        <w:trPr>
          <w:trHeight w:val="503"/>
        </w:trPr>
        <w:tc>
          <w:tcPr>
            <w:tcW w:w="9287" w:type="dxa"/>
            <w:gridSpan w:val="3"/>
            <w:vAlign w:val="center"/>
          </w:tcPr>
          <w:p w:rsidR="00277893" w:rsidRPr="00957553" w:rsidRDefault="00277893" w:rsidP="00A43650">
            <w:pPr>
              <w:autoSpaceDE w:val="0"/>
              <w:autoSpaceDN w:val="0"/>
              <w:adjustRightInd w:val="0"/>
              <w:jc w:val="center"/>
              <w:rPr>
                <w:b/>
                <w:noProof/>
                <w:sz w:val="28"/>
                <w:szCs w:val="28"/>
              </w:rPr>
            </w:pPr>
            <w:r w:rsidRPr="00957553">
              <w:rPr>
                <w:b/>
                <w:lang w:eastAsia="lv-LV" w:bidi="lo-LA"/>
              </w:rPr>
              <w:t>II. Tiesību akta projekta ietekme uz sabiedrību</w:t>
            </w:r>
          </w:p>
        </w:tc>
      </w:tr>
      <w:tr w:rsidR="00277893" w:rsidRPr="00957553" w:rsidTr="001E3003">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1.</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 xml:space="preserve">Sabiedrības </w:t>
            </w:r>
            <w:proofErr w:type="spellStart"/>
            <w:r w:rsidRPr="00957553">
              <w:rPr>
                <w:lang w:eastAsia="lv-LV" w:bidi="lo-LA"/>
              </w:rPr>
              <w:t>mērķgrupa</w:t>
            </w:r>
            <w:proofErr w:type="spellEnd"/>
          </w:p>
        </w:tc>
        <w:tc>
          <w:tcPr>
            <w:tcW w:w="5918" w:type="dxa"/>
            <w:vAlign w:val="center"/>
          </w:tcPr>
          <w:p w:rsidR="00277893" w:rsidRPr="00957553" w:rsidRDefault="00277893" w:rsidP="00FA22FB">
            <w:pPr>
              <w:jc w:val="both"/>
            </w:pPr>
            <w:r w:rsidRPr="00957553">
              <w:t xml:space="preserve">Stacionārās veselības aprūpes pakalpojumu sniedzēji un stacionārās veselības aprūpes pakalpojumu saņēmēji. Saņemt stacionārās veselības aprūpes pakalpojumus ir tiesības visiem Latvijas iedzīvotājiem. </w:t>
            </w:r>
          </w:p>
        </w:tc>
      </w:tr>
      <w:tr w:rsidR="00277893" w:rsidRPr="00957553" w:rsidTr="001E3003">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2.</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 xml:space="preserve">Citas sabiedrības grupas (bez </w:t>
            </w:r>
            <w:proofErr w:type="spellStart"/>
            <w:r w:rsidRPr="00957553">
              <w:rPr>
                <w:lang w:eastAsia="lv-LV" w:bidi="lo-LA"/>
              </w:rPr>
              <w:t>mērķgrupas</w:t>
            </w:r>
            <w:proofErr w:type="spellEnd"/>
            <w:r w:rsidRPr="00957553">
              <w:rPr>
                <w:lang w:eastAsia="lv-LV" w:bidi="lo-LA"/>
              </w:rPr>
              <w:t>), kuras tiesiskais regulējums arī ietekmē vai varētu ietekmēt</w:t>
            </w:r>
          </w:p>
        </w:tc>
        <w:tc>
          <w:tcPr>
            <w:tcW w:w="5918" w:type="dxa"/>
            <w:vAlign w:val="center"/>
          </w:tcPr>
          <w:p w:rsidR="00277893" w:rsidRPr="00957553" w:rsidRDefault="00277893" w:rsidP="00FA22FB">
            <w:pPr>
              <w:pStyle w:val="naiskr"/>
            </w:pPr>
            <w:r>
              <w:t>Projekts šo jomu neskar.</w:t>
            </w:r>
          </w:p>
        </w:tc>
      </w:tr>
      <w:tr w:rsidR="00277893" w:rsidRPr="00957553" w:rsidTr="001E3003">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3.</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Tiesiskā regulējuma finansiālā ietekme</w:t>
            </w:r>
          </w:p>
        </w:tc>
        <w:tc>
          <w:tcPr>
            <w:tcW w:w="5918" w:type="dxa"/>
            <w:vAlign w:val="center"/>
          </w:tcPr>
          <w:p w:rsidR="00277893" w:rsidRPr="00957553" w:rsidRDefault="00277893" w:rsidP="001E3003">
            <w:pPr>
              <w:pStyle w:val="naiskr"/>
              <w:spacing w:before="0" w:beforeAutospacing="0" w:after="0" w:afterAutospacing="0"/>
              <w:ind w:left="318"/>
              <w:jc w:val="both"/>
              <w:rPr>
                <w:b/>
              </w:rPr>
            </w:pPr>
            <w:r w:rsidRPr="00957553">
              <w:rPr>
                <w:b/>
              </w:rPr>
              <w:t>Tiešās finansiālās izmaksas</w:t>
            </w:r>
          </w:p>
          <w:p w:rsidR="00277893" w:rsidRPr="00957553" w:rsidRDefault="00277893" w:rsidP="001E3003">
            <w:pPr>
              <w:pStyle w:val="naiskr"/>
              <w:spacing w:before="0" w:beforeAutospacing="0" w:after="0" w:afterAutospacing="0"/>
              <w:jc w:val="both"/>
            </w:pPr>
            <w:r>
              <w:t>N</w:t>
            </w:r>
            <w:r w:rsidRPr="00957553">
              <w:t xml:space="preserve">oteikumu projektam nav ietekmes uz tiešajām finansiālajām izmaksām. </w:t>
            </w:r>
          </w:p>
          <w:p w:rsidR="00277893" w:rsidRPr="00957553" w:rsidRDefault="00277893" w:rsidP="001E3003">
            <w:pPr>
              <w:pStyle w:val="naiskr"/>
              <w:spacing w:before="0" w:beforeAutospacing="0" w:after="0" w:afterAutospacing="0"/>
              <w:ind w:left="318"/>
              <w:jc w:val="both"/>
              <w:rPr>
                <w:b/>
              </w:rPr>
            </w:pPr>
            <w:r w:rsidRPr="00957553">
              <w:rPr>
                <w:b/>
              </w:rPr>
              <w:t>Netiešās finansiālās izmaksas</w:t>
            </w:r>
          </w:p>
          <w:p w:rsidR="00277893" w:rsidRPr="00957553" w:rsidRDefault="00277893" w:rsidP="001E3003">
            <w:pPr>
              <w:pStyle w:val="naiskr"/>
              <w:spacing w:before="0" w:beforeAutospacing="0" w:after="0" w:afterAutospacing="0"/>
              <w:ind w:left="34"/>
              <w:jc w:val="both"/>
            </w:pPr>
            <w:r>
              <w:t>N</w:t>
            </w:r>
            <w:r w:rsidRPr="00957553">
              <w:t xml:space="preserve">oteikumu projektam nav ietekmes uz netiešajām finansiālajām izmaksām. </w:t>
            </w:r>
          </w:p>
          <w:p w:rsidR="00277893" w:rsidRPr="00957553" w:rsidRDefault="00277893" w:rsidP="001E3003">
            <w:pPr>
              <w:pStyle w:val="naiskr"/>
              <w:spacing w:before="0" w:beforeAutospacing="0" w:after="0" w:afterAutospacing="0"/>
              <w:ind w:left="318"/>
              <w:jc w:val="both"/>
              <w:rPr>
                <w:b/>
              </w:rPr>
            </w:pPr>
            <w:r w:rsidRPr="00957553">
              <w:rPr>
                <w:b/>
              </w:rPr>
              <w:t>Ietekme uz ienākumiem</w:t>
            </w:r>
          </w:p>
          <w:p w:rsidR="00277893" w:rsidRPr="00957553" w:rsidRDefault="00277893" w:rsidP="001E3003">
            <w:pPr>
              <w:pStyle w:val="naiskr"/>
              <w:spacing w:before="0" w:beforeAutospacing="0" w:after="0" w:afterAutospacing="0"/>
              <w:ind w:left="34"/>
              <w:jc w:val="both"/>
            </w:pPr>
            <w:r>
              <w:t>N</w:t>
            </w:r>
            <w:r w:rsidRPr="00957553">
              <w:t>oteikumu projektam nav ietekmes uz ienākumiem.</w:t>
            </w:r>
          </w:p>
        </w:tc>
      </w:tr>
      <w:tr w:rsidR="00277893" w:rsidRPr="00957553" w:rsidTr="00D62B81">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4.</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Tiesiskā regulējuma nefinansiālā ietekme</w:t>
            </w:r>
          </w:p>
        </w:tc>
        <w:tc>
          <w:tcPr>
            <w:tcW w:w="5918" w:type="dxa"/>
          </w:tcPr>
          <w:p w:rsidR="00277893" w:rsidRDefault="00277893">
            <w:r w:rsidRPr="003E6FDD">
              <w:t>Projekts šo jomu neskar</w:t>
            </w:r>
          </w:p>
        </w:tc>
      </w:tr>
      <w:tr w:rsidR="00277893" w:rsidRPr="00957553" w:rsidTr="00D62B81">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t> 5.</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Administratīvās procedūras raksturojums</w:t>
            </w:r>
          </w:p>
        </w:tc>
        <w:tc>
          <w:tcPr>
            <w:tcW w:w="5918" w:type="dxa"/>
          </w:tcPr>
          <w:p w:rsidR="00277893" w:rsidRDefault="00277893">
            <w:r w:rsidRPr="003E6FDD">
              <w:t>Projekts šo jomu neskar</w:t>
            </w:r>
          </w:p>
        </w:tc>
      </w:tr>
      <w:tr w:rsidR="00277893" w:rsidRPr="00957553" w:rsidTr="00D62B81">
        <w:tc>
          <w:tcPr>
            <w:tcW w:w="654" w:type="dxa"/>
          </w:tcPr>
          <w:p w:rsidR="00277893" w:rsidRPr="00957553" w:rsidRDefault="00277893" w:rsidP="001E3003">
            <w:pPr>
              <w:spacing w:before="100" w:beforeAutospacing="1" w:after="100" w:afterAutospacing="1"/>
              <w:rPr>
                <w:lang w:eastAsia="lv-LV" w:bidi="lo-LA"/>
              </w:rPr>
            </w:pPr>
            <w:r w:rsidRPr="00957553">
              <w:rPr>
                <w:lang w:eastAsia="lv-LV" w:bidi="lo-LA"/>
              </w:rPr>
              <w:lastRenderedPageBreak/>
              <w:t> 6.</w:t>
            </w:r>
          </w:p>
        </w:tc>
        <w:tc>
          <w:tcPr>
            <w:tcW w:w="2715" w:type="dxa"/>
          </w:tcPr>
          <w:p w:rsidR="00277893" w:rsidRPr="00957553" w:rsidRDefault="00277893" w:rsidP="001E3003">
            <w:pPr>
              <w:spacing w:before="100" w:beforeAutospacing="1" w:after="100" w:afterAutospacing="1"/>
              <w:rPr>
                <w:lang w:eastAsia="lv-LV" w:bidi="lo-LA"/>
              </w:rPr>
            </w:pPr>
            <w:r w:rsidRPr="00957553">
              <w:rPr>
                <w:lang w:eastAsia="lv-LV" w:bidi="lo-LA"/>
              </w:rPr>
              <w:t>Administratīvo izmaksu monetārs novērtējums</w:t>
            </w:r>
          </w:p>
        </w:tc>
        <w:tc>
          <w:tcPr>
            <w:tcW w:w="5918" w:type="dxa"/>
          </w:tcPr>
          <w:p w:rsidR="00277893" w:rsidRDefault="00277893">
            <w:r w:rsidRPr="003E6FDD">
              <w:t>Projekts šo jomu neskar</w:t>
            </w:r>
          </w:p>
        </w:tc>
      </w:tr>
      <w:tr w:rsidR="00277893" w:rsidRPr="00957553" w:rsidTr="001E3003">
        <w:trPr>
          <w:trHeight w:val="174"/>
        </w:trPr>
        <w:tc>
          <w:tcPr>
            <w:tcW w:w="654" w:type="dxa"/>
            <w:vAlign w:val="center"/>
          </w:tcPr>
          <w:p w:rsidR="00277893" w:rsidRPr="00957553" w:rsidRDefault="00277893" w:rsidP="001E3003">
            <w:pPr>
              <w:spacing w:before="100" w:beforeAutospacing="1" w:after="100" w:afterAutospacing="1"/>
              <w:rPr>
                <w:lang w:eastAsia="lv-LV" w:bidi="lo-LA"/>
              </w:rPr>
            </w:pPr>
            <w:r w:rsidRPr="00957553">
              <w:rPr>
                <w:lang w:eastAsia="lv-LV" w:bidi="lo-LA"/>
              </w:rPr>
              <w:t> 7.</w:t>
            </w:r>
          </w:p>
        </w:tc>
        <w:tc>
          <w:tcPr>
            <w:tcW w:w="2715" w:type="dxa"/>
            <w:vAlign w:val="center"/>
          </w:tcPr>
          <w:p w:rsidR="00277893" w:rsidRPr="00957553" w:rsidRDefault="00277893" w:rsidP="001E3003">
            <w:pPr>
              <w:spacing w:before="100" w:beforeAutospacing="1" w:after="100" w:afterAutospacing="1"/>
              <w:rPr>
                <w:lang w:eastAsia="lv-LV" w:bidi="lo-LA"/>
              </w:rPr>
            </w:pPr>
            <w:r w:rsidRPr="00957553">
              <w:rPr>
                <w:lang w:eastAsia="lv-LV" w:bidi="lo-LA"/>
              </w:rPr>
              <w:t>Cita informācija</w:t>
            </w:r>
          </w:p>
        </w:tc>
        <w:tc>
          <w:tcPr>
            <w:tcW w:w="5918" w:type="dxa"/>
            <w:vAlign w:val="center"/>
          </w:tcPr>
          <w:p w:rsidR="00277893" w:rsidRPr="00957553" w:rsidRDefault="00277893" w:rsidP="00FA22FB">
            <w:pPr>
              <w:pStyle w:val="naiskr"/>
            </w:pPr>
            <w:r w:rsidRPr="00957553">
              <w:t>Nav</w:t>
            </w:r>
          </w:p>
        </w:tc>
      </w:tr>
    </w:tbl>
    <w:p w:rsidR="00277893" w:rsidRPr="00957553" w:rsidRDefault="00277893" w:rsidP="00B9292C">
      <w:pPr>
        <w:autoSpaceDE w:val="0"/>
        <w:autoSpaceDN w:val="0"/>
        <w:adjustRightInd w:val="0"/>
        <w:rPr>
          <w:noProof/>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1176"/>
        <w:gridCol w:w="1229"/>
        <w:gridCol w:w="1171"/>
        <w:gridCol w:w="1218"/>
        <w:gridCol w:w="1159"/>
      </w:tblGrid>
      <w:tr w:rsidR="00277893" w:rsidRPr="00957553" w:rsidTr="008D7634">
        <w:trPr>
          <w:trHeight w:val="551"/>
        </w:trPr>
        <w:tc>
          <w:tcPr>
            <w:tcW w:w="9322" w:type="dxa"/>
            <w:gridSpan w:val="6"/>
            <w:vAlign w:val="center"/>
          </w:tcPr>
          <w:p w:rsidR="00277893" w:rsidRPr="00957553" w:rsidRDefault="00277893" w:rsidP="00123DA9">
            <w:pPr>
              <w:autoSpaceDE w:val="0"/>
              <w:autoSpaceDN w:val="0"/>
              <w:adjustRightInd w:val="0"/>
              <w:jc w:val="center"/>
              <w:rPr>
                <w:b/>
                <w:noProof/>
                <w:sz w:val="28"/>
                <w:szCs w:val="28"/>
              </w:rPr>
            </w:pPr>
            <w:r w:rsidRPr="00957553">
              <w:rPr>
                <w:b/>
                <w:lang w:eastAsia="lv-LV" w:bidi="lo-LA"/>
              </w:rPr>
              <w:t>III. Tiesību akta projekta ietekme uz valsts budžetu un pašvaldību budžetiem</w:t>
            </w:r>
          </w:p>
        </w:tc>
      </w:tr>
      <w:tr w:rsidR="00277893" w:rsidRPr="00957553" w:rsidTr="008D7634">
        <w:tc>
          <w:tcPr>
            <w:tcW w:w="3369" w:type="dxa"/>
            <w:vMerge w:val="restart"/>
            <w:vAlign w:val="center"/>
          </w:tcPr>
          <w:p w:rsidR="00277893" w:rsidRPr="00957553" w:rsidRDefault="00277893" w:rsidP="00136848">
            <w:pPr>
              <w:autoSpaceDE w:val="0"/>
              <w:autoSpaceDN w:val="0"/>
              <w:adjustRightInd w:val="0"/>
              <w:jc w:val="center"/>
              <w:rPr>
                <w:noProof/>
                <w:sz w:val="28"/>
                <w:szCs w:val="28"/>
              </w:rPr>
            </w:pPr>
            <w:r w:rsidRPr="00957553">
              <w:rPr>
                <w:bCs/>
                <w:lang w:eastAsia="lv-LV" w:bidi="lo-LA"/>
              </w:rPr>
              <w:t>Rādītāji</w:t>
            </w:r>
          </w:p>
        </w:tc>
        <w:tc>
          <w:tcPr>
            <w:tcW w:w="2405" w:type="dxa"/>
            <w:gridSpan w:val="2"/>
            <w:vMerge w:val="restart"/>
            <w:vAlign w:val="center"/>
          </w:tcPr>
          <w:p w:rsidR="00277893" w:rsidRPr="00957553" w:rsidRDefault="00277893" w:rsidP="00136848">
            <w:pPr>
              <w:autoSpaceDE w:val="0"/>
              <w:autoSpaceDN w:val="0"/>
              <w:adjustRightInd w:val="0"/>
              <w:jc w:val="center"/>
              <w:rPr>
                <w:noProof/>
                <w:sz w:val="28"/>
                <w:szCs w:val="28"/>
              </w:rPr>
            </w:pPr>
            <w:r w:rsidRPr="00957553">
              <w:rPr>
                <w:bCs/>
                <w:lang w:eastAsia="lv-LV" w:bidi="lo-LA"/>
              </w:rPr>
              <w:t>201</w:t>
            </w:r>
            <w:r>
              <w:rPr>
                <w:bCs/>
                <w:lang w:eastAsia="lv-LV" w:bidi="lo-LA"/>
              </w:rPr>
              <w:t>3</w:t>
            </w:r>
            <w:r w:rsidRPr="00957553">
              <w:rPr>
                <w:bCs/>
                <w:lang w:eastAsia="lv-LV" w:bidi="lo-LA"/>
              </w:rPr>
              <w:t>.</w:t>
            </w:r>
          </w:p>
        </w:tc>
        <w:tc>
          <w:tcPr>
            <w:tcW w:w="3548" w:type="dxa"/>
            <w:gridSpan w:val="3"/>
            <w:vAlign w:val="center"/>
          </w:tcPr>
          <w:p w:rsidR="00277893" w:rsidRPr="00957553" w:rsidRDefault="00277893" w:rsidP="00136848">
            <w:pPr>
              <w:autoSpaceDE w:val="0"/>
              <w:autoSpaceDN w:val="0"/>
              <w:adjustRightInd w:val="0"/>
              <w:jc w:val="center"/>
              <w:rPr>
                <w:noProof/>
                <w:sz w:val="28"/>
                <w:szCs w:val="28"/>
              </w:rPr>
            </w:pPr>
            <w:r w:rsidRPr="00957553">
              <w:rPr>
                <w:lang w:eastAsia="lv-LV" w:bidi="lo-LA"/>
              </w:rPr>
              <w:t>Turpmākie trīs gadi (tūkst. latu)</w:t>
            </w:r>
          </w:p>
        </w:tc>
      </w:tr>
      <w:tr w:rsidR="00277893" w:rsidRPr="00957553" w:rsidTr="008D7634">
        <w:tc>
          <w:tcPr>
            <w:tcW w:w="3369" w:type="dxa"/>
            <w:vMerge/>
          </w:tcPr>
          <w:p w:rsidR="00277893" w:rsidRPr="00957553" w:rsidRDefault="00277893" w:rsidP="00136848">
            <w:pPr>
              <w:autoSpaceDE w:val="0"/>
              <w:autoSpaceDN w:val="0"/>
              <w:adjustRightInd w:val="0"/>
              <w:jc w:val="center"/>
              <w:rPr>
                <w:noProof/>
                <w:sz w:val="28"/>
                <w:szCs w:val="28"/>
              </w:rPr>
            </w:pPr>
          </w:p>
        </w:tc>
        <w:tc>
          <w:tcPr>
            <w:tcW w:w="2405" w:type="dxa"/>
            <w:gridSpan w:val="2"/>
            <w:vMerge/>
            <w:vAlign w:val="center"/>
          </w:tcPr>
          <w:p w:rsidR="00277893" w:rsidRPr="00957553" w:rsidRDefault="00277893" w:rsidP="00136848">
            <w:pPr>
              <w:autoSpaceDE w:val="0"/>
              <w:autoSpaceDN w:val="0"/>
              <w:adjustRightInd w:val="0"/>
              <w:jc w:val="center"/>
              <w:rPr>
                <w:noProof/>
                <w:sz w:val="28"/>
                <w:szCs w:val="28"/>
              </w:rPr>
            </w:pPr>
          </w:p>
        </w:tc>
        <w:tc>
          <w:tcPr>
            <w:tcW w:w="1171"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201</w:t>
            </w:r>
            <w:r>
              <w:rPr>
                <w:lang w:eastAsia="lv-LV" w:bidi="lo-LA"/>
              </w:rPr>
              <w:t>4</w:t>
            </w:r>
            <w:r w:rsidRPr="00957553">
              <w:rPr>
                <w:lang w:eastAsia="lv-LV" w:bidi="lo-LA"/>
              </w:rPr>
              <w:t>.</w:t>
            </w:r>
          </w:p>
        </w:tc>
        <w:tc>
          <w:tcPr>
            <w:tcW w:w="1218"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201</w:t>
            </w:r>
            <w:r>
              <w:rPr>
                <w:lang w:eastAsia="lv-LV" w:bidi="lo-LA"/>
              </w:rPr>
              <w:t>5</w:t>
            </w:r>
            <w:r w:rsidRPr="00957553">
              <w:rPr>
                <w:lang w:eastAsia="lv-LV" w:bidi="lo-LA"/>
              </w:rPr>
              <w:t>.</w:t>
            </w:r>
          </w:p>
        </w:tc>
        <w:tc>
          <w:tcPr>
            <w:tcW w:w="1159"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201</w:t>
            </w:r>
            <w:r>
              <w:rPr>
                <w:lang w:eastAsia="lv-LV" w:bidi="lo-LA"/>
              </w:rPr>
              <w:t>6</w:t>
            </w:r>
            <w:r w:rsidRPr="00957553">
              <w:rPr>
                <w:lang w:eastAsia="lv-LV" w:bidi="lo-LA"/>
              </w:rPr>
              <w:t>.</w:t>
            </w:r>
          </w:p>
        </w:tc>
      </w:tr>
      <w:tr w:rsidR="00277893" w:rsidRPr="00957553" w:rsidTr="008D7634">
        <w:tc>
          <w:tcPr>
            <w:tcW w:w="3369" w:type="dxa"/>
            <w:vMerge/>
          </w:tcPr>
          <w:p w:rsidR="00277893" w:rsidRPr="00957553" w:rsidRDefault="00277893" w:rsidP="00136848">
            <w:pPr>
              <w:autoSpaceDE w:val="0"/>
              <w:autoSpaceDN w:val="0"/>
              <w:adjustRightInd w:val="0"/>
              <w:jc w:val="center"/>
              <w:rPr>
                <w:noProof/>
                <w:sz w:val="28"/>
                <w:szCs w:val="28"/>
              </w:rPr>
            </w:pPr>
          </w:p>
        </w:tc>
        <w:tc>
          <w:tcPr>
            <w:tcW w:w="1176"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Saskaņā ar valsts budžetu kārtējam gadam</w:t>
            </w:r>
          </w:p>
        </w:tc>
        <w:tc>
          <w:tcPr>
            <w:tcW w:w="1229"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kārtējā gadā, salīdzinot ar budžetu kārtējam gadam</w:t>
            </w:r>
          </w:p>
        </w:tc>
        <w:tc>
          <w:tcPr>
            <w:tcW w:w="1171"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salīdzinot ar 201</w:t>
            </w:r>
            <w:r>
              <w:rPr>
                <w:lang w:eastAsia="lv-LV" w:bidi="lo-LA"/>
              </w:rPr>
              <w:t>3</w:t>
            </w:r>
            <w:r w:rsidRPr="00957553">
              <w:rPr>
                <w:lang w:eastAsia="lv-LV" w:bidi="lo-LA"/>
              </w:rPr>
              <w:t>. gadu</w:t>
            </w:r>
          </w:p>
        </w:tc>
        <w:tc>
          <w:tcPr>
            <w:tcW w:w="1218"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salīdzinot ar 201</w:t>
            </w:r>
            <w:r>
              <w:rPr>
                <w:lang w:eastAsia="lv-LV" w:bidi="lo-LA"/>
              </w:rPr>
              <w:t>3</w:t>
            </w:r>
            <w:r w:rsidRPr="00957553">
              <w:rPr>
                <w:lang w:eastAsia="lv-LV" w:bidi="lo-LA"/>
              </w:rPr>
              <w:t>. gadu</w:t>
            </w:r>
          </w:p>
        </w:tc>
        <w:tc>
          <w:tcPr>
            <w:tcW w:w="1159" w:type="dxa"/>
            <w:vAlign w:val="center"/>
          </w:tcPr>
          <w:p w:rsidR="00277893" w:rsidRPr="00957553" w:rsidRDefault="00277893" w:rsidP="00136848">
            <w:pPr>
              <w:spacing w:before="100" w:beforeAutospacing="1" w:after="100" w:afterAutospacing="1"/>
              <w:jc w:val="center"/>
              <w:rPr>
                <w:lang w:eastAsia="lv-LV" w:bidi="lo-LA"/>
              </w:rPr>
            </w:pPr>
            <w:r w:rsidRPr="00957553">
              <w:rPr>
                <w:lang w:eastAsia="lv-LV" w:bidi="lo-LA"/>
              </w:rPr>
              <w:t>Izmaiņas, salīdzinot ar 201</w:t>
            </w:r>
            <w:r>
              <w:rPr>
                <w:lang w:eastAsia="lv-LV" w:bidi="lo-LA"/>
              </w:rPr>
              <w:t>3</w:t>
            </w:r>
            <w:r w:rsidRPr="00957553">
              <w:rPr>
                <w:lang w:eastAsia="lv-LV" w:bidi="lo-LA"/>
              </w:rPr>
              <w:t>. gadu</w:t>
            </w:r>
          </w:p>
        </w:tc>
      </w:tr>
      <w:tr w:rsidR="0018142B" w:rsidRPr="00957553" w:rsidTr="008D7634">
        <w:tc>
          <w:tcPr>
            <w:tcW w:w="3369" w:type="dxa"/>
          </w:tcPr>
          <w:p w:rsidR="0018142B" w:rsidRPr="00957553" w:rsidRDefault="0018142B" w:rsidP="00136848">
            <w:pPr>
              <w:spacing w:before="100" w:beforeAutospacing="1" w:after="100" w:afterAutospacing="1"/>
              <w:rPr>
                <w:b/>
                <w:lang w:eastAsia="lv-LV" w:bidi="lo-LA"/>
              </w:rPr>
            </w:pPr>
            <w:r w:rsidRPr="00957553">
              <w:rPr>
                <w:b/>
                <w:lang w:eastAsia="lv-LV" w:bidi="lo-LA"/>
              </w:rPr>
              <w:t> 1. Budžeta ieņēmumi:</w:t>
            </w:r>
          </w:p>
        </w:tc>
        <w:tc>
          <w:tcPr>
            <w:tcW w:w="1176" w:type="dxa"/>
            <w:vAlign w:val="center"/>
          </w:tcPr>
          <w:p w:rsidR="0018142B" w:rsidRPr="003B7EA5" w:rsidRDefault="0018142B" w:rsidP="00136848">
            <w:pPr>
              <w:jc w:val="center"/>
              <w:rPr>
                <w:b/>
              </w:rPr>
            </w:pPr>
            <w:r>
              <w:rPr>
                <w:b/>
              </w:rPr>
              <w:t>24 612,4</w:t>
            </w:r>
          </w:p>
        </w:tc>
        <w:tc>
          <w:tcPr>
            <w:tcW w:w="1229" w:type="dxa"/>
            <w:vAlign w:val="center"/>
          </w:tcPr>
          <w:p w:rsidR="0018142B" w:rsidRPr="003B7EA5" w:rsidRDefault="0018142B" w:rsidP="00136848">
            <w:pPr>
              <w:jc w:val="center"/>
              <w:rPr>
                <w:b/>
              </w:rPr>
            </w:pPr>
            <w:r>
              <w:rPr>
                <w:b/>
              </w:rPr>
              <w:t>0,0</w:t>
            </w:r>
          </w:p>
        </w:tc>
        <w:tc>
          <w:tcPr>
            <w:tcW w:w="1171" w:type="dxa"/>
            <w:vAlign w:val="center"/>
          </w:tcPr>
          <w:p w:rsidR="0018142B" w:rsidRPr="003B7EA5" w:rsidRDefault="0018142B" w:rsidP="00136848">
            <w:pPr>
              <w:jc w:val="center"/>
              <w:rPr>
                <w:b/>
              </w:rPr>
            </w:pPr>
            <w:r>
              <w:rPr>
                <w:b/>
              </w:rPr>
              <w:t>1 013,5</w:t>
            </w:r>
          </w:p>
        </w:tc>
        <w:tc>
          <w:tcPr>
            <w:tcW w:w="1218" w:type="dxa"/>
            <w:vAlign w:val="center"/>
          </w:tcPr>
          <w:p w:rsidR="0018142B" w:rsidRPr="003B7EA5" w:rsidRDefault="0018142B" w:rsidP="00006388">
            <w:pPr>
              <w:jc w:val="center"/>
              <w:rPr>
                <w:b/>
              </w:rPr>
            </w:pPr>
            <w:r>
              <w:rPr>
                <w:b/>
              </w:rPr>
              <w:t>-</w:t>
            </w:r>
            <w:r>
              <w:rPr>
                <w:b/>
              </w:rPr>
              <w:t>24 612,4</w:t>
            </w:r>
          </w:p>
        </w:tc>
        <w:tc>
          <w:tcPr>
            <w:tcW w:w="1159" w:type="dxa"/>
            <w:vAlign w:val="center"/>
          </w:tcPr>
          <w:p w:rsidR="0018142B" w:rsidRPr="003B7EA5" w:rsidRDefault="0018142B" w:rsidP="00006388">
            <w:pPr>
              <w:jc w:val="center"/>
              <w:rPr>
                <w:b/>
              </w:rPr>
            </w:pPr>
            <w:r>
              <w:rPr>
                <w:b/>
              </w:rPr>
              <w:t>-</w:t>
            </w:r>
            <w:r>
              <w:rPr>
                <w:b/>
              </w:rPr>
              <w:t>24 612,4</w:t>
            </w:r>
          </w:p>
        </w:tc>
      </w:tr>
      <w:tr w:rsidR="0018142B" w:rsidRPr="00957553" w:rsidTr="008D7634">
        <w:tc>
          <w:tcPr>
            <w:tcW w:w="3369" w:type="dxa"/>
          </w:tcPr>
          <w:p w:rsidR="0018142B" w:rsidRPr="00957553" w:rsidRDefault="0018142B" w:rsidP="00136848">
            <w:pPr>
              <w:spacing w:before="100" w:beforeAutospacing="1" w:after="100" w:afterAutospacing="1"/>
              <w:ind w:left="284"/>
              <w:rPr>
                <w:lang w:eastAsia="lv-LV" w:bidi="lo-LA"/>
              </w:rPr>
            </w:pPr>
            <w:r w:rsidRPr="00957553">
              <w:rPr>
                <w:lang w:eastAsia="lv-LV" w:bidi="lo-LA"/>
              </w:rPr>
              <w:t> 1.1. valsts pamatbudžets, tai skaitā ieņēmumi no maksas pakalpojumiem un citi pašu ieņēmumi</w:t>
            </w:r>
          </w:p>
        </w:tc>
        <w:tc>
          <w:tcPr>
            <w:tcW w:w="1176" w:type="dxa"/>
            <w:vAlign w:val="center"/>
          </w:tcPr>
          <w:p w:rsidR="0018142B" w:rsidRPr="00E70A7F" w:rsidRDefault="0018142B" w:rsidP="00136848">
            <w:pPr>
              <w:jc w:val="right"/>
            </w:pPr>
            <w:r>
              <w:t>24 612,4</w:t>
            </w:r>
          </w:p>
        </w:tc>
        <w:tc>
          <w:tcPr>
            <w:tcW w:w="1229" w:type="dxa"/>
            <w:vAlign w:val="center"/>
          </w:tcPr>
          <w:p w:rsidR="0018142B" w:rsidRPr="00E70A7F" w:rsidRDefault="0018142B" w:rsidP="00136848">
            <w:pPr>
              <w:jc w:val="right"/>
            </w:pPr>
            <w:r>
              <w:t>0,0</w:t>
            </w:r>
          </w:p>
        </w:tc>
        <w:tc>
          <w:tcPr>
            <w:tcW w:w="1171" w:type="dxa"/>
            <w:vAlign w:val="center"/>
          </w:tcPr>
          <w:p w:rsidR="0018142B" w:rsidRPr="00E70A7F" w:rsidRDefault="0018142B" w:rsidP="00136848">
            <w:pPr>
              <w:jc w:val="right"/>
            </w:pPr>
            <w:r>
              <w:t>1 013,5</w:t>
            </w:r>
          </w:p>
        </w:tc>
        <w:tc>
          <w:tcPr>
            <w:tcW w:w="1218" w:type="dxa"/>
            <w:vAlign w:val="center"/>
          </w:tcPr>
          <w:p w:rsidR="0018142B" w:rsidRPr="00E70A7F" w:rsidRDefault="0018142B" w:rsidP="00006388">
            <w:pPr>
              <w:jc w:val="right"/>
            </w:pPr>
            <w:r>
              <w:t>-</w:t>
            </w:r>
            <w:r>
              <w:t>24 612,4</w:t>
            </w:r>
          </w:p>
        </w:tc>
        <w:tc>
          <w:tcPr>
            <w:tcW w:w="1159" w:type="dxa"/>
            <w:vAlign w:val="center"/>
          </w:tcPr>
          <w:p w:rsidR="0018142B" w:rsidRPr="00E70A7F" w:rsidRDefault="0018142B" w:rsidP="00006388">
            <w:pPr>
              <w:jc w:val="right"/>
            </w:pPr>
            <w:r>
              <w:t>-</w:t>
            </w:r>
            <w:r>
              <w:t>24 612,4</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1.2. valsts speciālais budžets</w:t>
            </w:r>
          </w:p>
        </w:tc>
        <w:tc>
          <w:tcPr>
            <w:tcW w:w="1176" w:type="dxa"/>
          </w:tcPr>
          <w:p w:rsidR="00277893" w:rsidRPr="00957553" w:rsidRDefault="00277893" w:rsidP="00E8370A">
            <w:pPr>
              <w:jc w:val="right"/>
            </w:pPr>
            <w:r w:rsidRPr="00957553">
              <w:t>0,0</w:t>
            </w:r>
          </w:p>
        </w:tc>
        <w:tc>
          <w:tcPr>
            <w:tcW w:w="1229" w:type="dxa"/>
          </w:tcPr>
          <w:p w:rsidR="00277893" w:rsidRPr="00957553" w:rsidRDefault="00277893" w:rsidP="00136848">
            <w:pPr>
              <w:jc w:val="right"/>
            </w:pPr>
            <w:r w:rsidRPr="00957553">
              <w:t>0,0</w:t>
            </w:r>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45569D">
            <w:pPr>
              <w:jc w:val="right"/>
            </w:pPr>
            <w:r w:rsidRPr="00957553">
              <w:t>0,0</w:t>
            </w:r>
          </w:p>
        </w:tc>
        <w:tc>
          <w:tcPr>
            <w:tcW w:w="1159" w:type="dxa"/>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1.3. pašvaldību budžets</w:t>
            </w:r>
          </w:p>
        </w:tc>
        <w:tc>
          <w:tcPr>
            <w:tcW w:w="1176" w:type="dxa"/>
          </w:tcPr>
          <w:p w:rsidR="00277893" w:rsidRPr="00957553" w:rsidRDefault="00277893" w:rsidP="00E8370A">
            <w:pPr>
              <w:jc w:val="right"/>
            </w:pPr>
            <w:r w:rsidRPr="00957553">
              <w:t>0,0</w:t>
            </w:r>
          </w:p>
        </w:tc>
        <w:tc>
          <w:tcPr>
            <w:tcW w:w="1229" w:type="dxa"/>
          </w:tcPr>
          <w:p w:rsidR="00277893" w:rsidRPr="00957553" w:rsidRDefault="00277893" w:rsidP="00136848">
            <w:pPr>
              <w:jc w:val="right"/>
            </w:pPr>
            <w:r w:rsidRPr="00957553">
              <w:t>0,0</w:t>
            </w:r>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45569D">
            <w:pPr>
              <w:jc w:val="right"/>
            </w:pPr>
            <w:r w:rsidRPr="00957553">
              <w:t>0,0</w:t>
            </w:r>
          </w:p>
        </w:tc>
        <w:tc>
          <w:tcPr>
            <w:tcW w:w="1159" w:type="dxa"/>
          </w:tcPr>
          <w:p w:rsidR="00277893" w:rsidRPr="00957553" w:rsidRDefault="00277893" w:rsidP="00136848">
            <w:pPr>
              <w:jc w:val="right"/>
            </w:pPr>
            <w:r w:rsidRPr="00957553">
              <w:t>0,0</w:t>
            </w:r>
          </w:p>
        </w:tc>
      </w:tr>
      <w:tr w:rsidR="0018142B" w:rsidRPr="00957553" w:rsidTr="008D7634">
        <w:tc>
          <w:tcPr>
            <w:tcW w:w="3369" w:type="dxa"/>
          </w:tcPr>
          <w:p w:rsidR="0018142B" w:rsidRPr="00957553" w:rsidRDefault="0018142B" w:rsidP="00136848">
            <w:pPr>
              <w:spacing w:before="100" w:beforeAutospacing="1" w:after="100" w:afterAutospacing="1"/>
              <w:rPr>
                <w:b/>
                <w:lang w:eastAsia="lv-LV" w:bidi="lo-LA"/>
              </w:rPr>
            </w:pPr>
            <w:r w:rsidRPr="00957553">
              <w:rPr>
                <w:b/>
                <w:lang w:eastAsia="lv-LV" w:bidi="lo-LA"/>
              </w:rPr>
              <w:t> 2. Budžeta izdevumi:</w:t>
            </w:r>
          </w:p>
        </w:tc>
        <w:tc>
          <w:tcPr>
            <w:tcW w:w="1176" w:type="dxa"/>
            <w:vAlign w:val="center"/>
          </w:tcPr>
          <w:p w:rsidR="0018142B" w:rsidRPr="003B7EA5" w:rsidRDefault="0018142B" w:rsidP="0045569D">
            <w:pPr>
              <w:jc w:val="center"/>
              <w:rPr>
                <w:b/>
              </w:rPr>
            </w:pPr>
            <w:r>
              <w:rPr>
                <w:b/>
              </w:rPr>
              <w:t>24 612,4</w:t>
            </w:r>
          </w:p>
        </w:tc>
        <w:tc>
          <w:tcPr>
            <w:tcW w:w="1229" w:type="dxa"/>
            <w:vAlign w:val="center"/>
          </w:tcPr>
          <w:p w:rsidR="0018142B" w:rsidRPr="003B7EA5" w:rsidRDefault="0018142B" w:rsidP="00136848">
            <w:pPr>
              <w:jc w:val="center"/>
              <w:rPr>
                <w:b/>
              </w:rPr>
            </w:pPr>
            <w:r>
              <w:rPr>
                <w:b/>
              </w:rPr>
              <w:t>0,0</w:t>
            </w:r>
          </w:p>
        </w:tc>
        <w:tc>
          <w:tcPr>
            <w:tcW w:w="1171" w:type="dxa"/>
            <w:vAlign w:val="center"/>
          </w:tcPr>
          <w:p w:rsidR="0018142B" w:rsidRPr="003B7EA5" w:rsidRDefault="0018142B" w:rsidP="0045569D">
            <w:pPr>
              <w:jc w:val="center"/>
              <w:rPr>
                <w:b/>
              </w:rPr>
            </w:pPr>
            <w:r>
              <w:rPr>
                <w:b/>
              </w:rPr>
              <w:t>1 013,5</w:t>
            </w:r>
          </w:p>
        </w:tc>
        <w:tc>
          <w:tcPr>
            <w:tcW w:w="1218" w:type="dxa"/>
            <w:vAlign w:val="center"/>
          </w:tcPr>
          <w:p w:rsidR="0018142B" w:rsidRPr="003B7EA5" w:rsidRDefault="0018142B" w:rsidP="00006388">
            <w:pPr>
              <w:jc w:val="center"/>
              <w:rPr>
                <w:b/>
              </w:rPr>
            </w:pPr>
            <w:r>
              <w:rPr>
                <w:b/>
              </w:rPr>
              <w:t>-24 612,4</w:t>
            </w:r>
          </w:p>
        </w:tc>
        <w:tc>
          <w:tcPr>
            <w:tcW w:w="1159" w:type="dxa"/>
            <w:vAlign w:val="center"/>
          </w:tcPr>
          <w:p w:rsidR="0018142B" w:rsidRPr="003B7EA5" w:rsidRDefault="0018142B" w:rsidP="00006388">
            <w:pPr>
              <w:jc w:val="center"/>
              <w:rPr>
                <w:b/>
              </w:rPr>
            </w:pPr>
            <w:r>
              <w:rPr>
                <w:b/>
              </w:rPr>
              <w:t>-24 612,4</w:t>
            </w:r>
          </w:p>
        </w:tc>
      </w:tr>
      <w:tr w:rsidR="0018142B" w:rsidRPr="00957553" w:rsidTr="008D7634">
        <w:tc>
          <w:tcPr>
            <w:tcW w:w="3369" w:type="dxa"/>
          </w:tcPr>
          <w:p w:rsidR="0018142B" w:rsidRPr="00957553" w:rsidRDefault="0018142B" w:rsidP="00136848">
            <w:pPr>
              <w:spacing w:before="100" w:beforeAutospacing="1" w:after="100" w:afterAutospacing="1"/>
              <w:ind w:left="284"/>
              <w:rPr>
                <w:lang w:eastAsia="lv-LV" w:bidi="lo-LA"/>
              </w:rPr>
            </w:pPr>
            <w:r w:rsidRPr="00957553">
              <w:rPr>
                <w:lang w:eastAsia="lv-LV" w:bidi="lo-LA"/>
              </w:rPr>
              <w:t> 2.1. valsts pamatbudžets</w:t>
            </w:r>
          </w:p>
        </w:tc>
        <w:tc>
          <w:tcPr>
            <w:tcW w:w="1176" w:type="dxa"/>
            <w:vAlign w:val="center"/>
          </w:tcPr>
          <w:p w:rsidR="0018142B" w:rsidRPr="00E70A7F" w:rsidRDefault="0018142B" w:rsidP="0045569D">
            <w:pPr>
              <w:jc w:val="right"/>
            </w:pPr>
            <w:r>
              <w:t>24 612,4</w:t>
            </w:r>
          </w:p>
        </w:tc>
        <w:tc>
          <w:tcPr>
            <w:tcW w:w="1229" w:type="dxa"/>
            <w:vAlign w:val="center"/>
          </w:tcPr>
          <w:p w:rsidR="0018142B" w:rsidRPr="00E70A7F" w:rsidRDefault="0018142B" w:rsidP="00136848">
            <w:pPr>
              <w:jc w:val="right"/>
            </w:pPr>
            <w:r>
              <w:t>0,0</w:t>
            </w:r>
          </w:p>
        </w:tc>
        <w:tc>
          <w:tcPr>
            <w:tcW w:w="1171" w:type="dxa"/>
            <w:vAlign w:val="center"/>
          </w:tcPr>
          <w:p w:rsidR="0018142B" w:rsidRPr="00E70A7F" w:rsidRDefault="0018142B" w:rsidP="0045569D">
            <w:pPr>
              <w:jc w:val="right"/>
            </w:pPr>
            <w:r>
              <w:t>1 013,5</w:t>
            </w:r>
          </w:p>
        </w:tc>
        <w:tc>
          <w:tcPr>
            <w:tcW w:w="1218" w:type="dxa"/>
            <w:vAlign w:val="center"/>
          </w:tcPr>
          <w:p w:rsidR="0018142B" w:rsidRPr="00E70A7F" w:rsidRDefault="0018142B" w:rsidP="00006388">
            <w:pPr>
              <w:jc w:val="right"/>
            </w:pPr>
            <w:r>
              <w:t>-24 612,4</w:t>
            </w:r>
          </w:p>
        </w:tc>
        <w:tc>
          <w:tcPr>
            <w:tcW w:w="1159" w:type="dxa"/>
            <w:vAlign w:val="center"/>
          </w:tcPr>
          <w:p w:rsidR="0018142B" w:rsidRPr="00E70A7F" w:rsidRDefault="0018142B" w:rsidP="00006388">
            <w:pPr>
              <w:jc w:val="right"/>
            </w:pPr>
            <w:r>
              <w:t>-24 612,4</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2.2. valsts speciālais budžets</w:t>
            </w:r>
          </w:p>
        </w:tc>
        <w:tc>
          <w:tcPr>
            <w:tcW w:w="1176" w:type="dxa"/>
          </w:tcPr>
          <w:p w:rsidR="00277893" w:rsidRPr="00957553" w:rsidRDefault="00277893" w:rsidP="00136848">
            <w:pPr>
              <w:jc w:val="right"/>
            </w:pPr>
            <w:r w:rsidRPr="00957553">
              <w:t>0,0</w:t>
            </w:r>
          </w:p>
        </w:tc>
        <w:tc>
          <w:tcPr>
            <w:tcW w:w="1229" w:type="dxa"/>
          </w:tcPr>
          <w:p w:rsidR="00277893" w:rsidRPr="00957553" w:rsidRDefault="00277893" w:rsidP="00136848">
            <w:pPr>
              <w:jc w:val="right"/>
            </w:pPr>
            <w:r w:rsidRPr="00957553">
              <w:t>0,0</w:t>
            </w:r>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45569D">
            <w:pPr>
              <w:jc w:val="right"/>
            </w:pPr>
            <w:r w:rsidRPr="00957553">
              <w:t>0,0</w:t>
            </w:r>
          </w:p>
        </w:tc>
        <w:tc>
          <w:tcPr>
            <w:tcW w:w="1159" w:type="dxa"/>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2.3. pašvaldību budžets</w:t>
            </w:r>
          </w:p>
        </w:tc>
        <w:tc>
          <w:tcPr>
            <w:tcW w:w="1176" w:type="dxa"/>
          </w:tcPr>
          <w:p w:rsidR="00277893" w:rsidRPr="00957553" w:rsidRDefault="00277893" w:rsidP="00136848">
            <w:pPr>
              <w:jc w:val="right"/>
            </w:pPr>
            <w:r w:rsidRPr="00957553">
              <w:t>0,0</w:t>
            </w:r>
          </w:p>
        </w:tc>
        <w:tc>
          <w:tcPr>
            <w:tcW w:w="1229" w:type="dxa"/>
          </w:tcPr>
          <w:p w:rsidR="00277893" w:rsidRPr="00957553" w:rsidRDefault="00277893" w:rsidP="00136848">
            <w:pPr>
              <w:jc w:val="right"/>
            </w:pPr>
            <w:bookmarkStart w:id="7" w:name="OLE_LINK11"/>
            <w:bookmarkStart w:id="8" w:name="OLE_LINK12"/>
            <w:r w:rsidRPr="00957553">
              <w:t>0,0</w:t>
            </w:r>
            <w:bookmarkEnd w:id="7"/>
            <w:bookmarkEnd w:id="8"/>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45569D">
            <w:pPr>
              <w:jc w:val="right"/>
            </w:pPr>
            <w:r w:rsidRPr="00957553">
              <w:t>0,0</w:t>
            </w:r>
          </w:p>
        </w:tc>
        <w:tc>
          <w:tcPr>
            <w:tcW w:w="1159" w:type="dxa"/>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rPr>
                <w:b/>
                <w:lang w:eastAsia="lv-LV" w:bidi="lo-LA"/>
              </w:rPr>
            </w:pPr>
            <w:r w:rsidRPr="00957553">
              <w:rPr>
                <w:b/>
                <w:lang w:eastAsia="lv-LV" w:bidi="lo-LA"/>
              </w:rPr>
              <w:t> 3. Finansiālā ietekme:</w:t>
            </w:r>
          </w:p>
        </w:tc>
        <w:tc>
          <w:tcPr>
            <w:tcW w:w="1176" w:type="dxa"/>
            <w:vAlign w:val="center"/>
          </w:tcPr>
          <w:p w:rsidR="00277893" w:rsidRPr="003B7EA5" w:rsidRDefault="00277893" w:rsidP="00136848">
            <w:pPr>
              <w:jc w:val="center"/>
              <w:rPr>
                <w:b/>
              </w:rPr>
            </w:pPr>
            <w:r>
              <w:rPr>
                <w:b/>
              </w:rPr>
              <w:t>0,0</w:t>
            </w:r>
          </w:p>
        </w:tc>
        <w:tc>
          <w:tcPr>
            <w:tcW w:w="1229" w:type="dxa"/>
          </w:tcPr>
          <w:p w:rsidR="00277893" w:rsidRPr="003B7EA5" w:rsidRDefault="00277893" w:rsidP="00136848">
            <w:pPr>
              <w:jc w:val="center"/>
              <w:rPr>
                <w:b/>
              </w:rPr>
            </w:pPr>
            <w:r>
              <w:rPr>
                <w:b/>
              </w:rPr>
              <w:t>0,0</w:t>
            </w:r>
          </w:p>
        </w:tc>
        <w:tc>
          <w:tcPr>
            <w:tcW w:w="1171" w:type="dxa"/>
          </w:tcPr>
          <w:p w:rsidR="00277893" w:rsidRPr="003B7EA5" w:rsidRDefault="00277893" w:rsidP="00136848">
            <w:pPr>
              <w:jc w:val="center"/>
              <w:rPr>
                <w:b/>
              </w:rPr>
            </w:pPr>
            <w:r>
              <w:rPr>
                <w:b/>
              </w:rPr>
              <w:t>0,0</w:t>
            </w:r>
          </w:p>
        </w:tc>
        <w:tc>
          <w:tcPr>
            <w:tcW w:w="1218" w:type="dxa"/>
          </w:tcPr>
          <w:p w:rsidR="00277893" w:rsidRPr="003B7EA5" w:rsidRDefault="00277893" w:rsidP="0045569D">
            <w:pPr>
              <w:jc w:val="center"/>
              <w:rPr>
                <w:b/>
              </w:rPr>
            </w:pPr>
            <w:r>
              <w:rPr>
                <w:b/>
              </w:rPr>
              <w:t>0,0</w:t>
            </w:r>
          </w:p>
        </w:tc>
        <w:tc>
          <w:tcPr>
            <w:tcW w:w="1159" w:type="dxa"/>
          </w:tcPr>
          <w:p w:rsidR="00277893" w:rsidRPr="003B7EA5" w:rsidRDefault="00277893" w:rsidP="00136848">
            <w:pPr>
              <w:jc w:val="center"/>
              <w:rPr>
                <w:b/>
              </w:rPr>
            </w:pPr>
            <w:r>
              <w:rPr>
                <w:b/>
              </w:rPr>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3.1. valsts pamatbudžets</w:t>
            </w:r>
          </w:p>
        </w:tc>
        <w:tc>
          <w:tcPr>
            <w:tcW w:w="1176" w:type="dxa"/>
            <w:vAlign w:val="center"/>
          </w:tcPr>
          <w:p w:rsidR="00277893" w:rsidRPr="00E70A7F" w:rsidRDefault="00277893" w:rsidP="00136848">
            <w:pPr>
              <w:jc w:val="right"/>
            </w:pPr>
            <w:r>
              <w:t>0,0</w:t>
            </w:r>
          </w:p>
        </w:tc>
        <w:tc>
          <w:tcPr>
            <w:tcW w:w="1229" w:type="dxa"/>
          </w:tcPr>
          <w:p w:rsidR="00277893" w:rsidRDefault="00277893" w:rsidP="00136848">
            <w:pPr>
              <w:jc w:val="right"/>
            </w:pPr>
            <w:r>
              <w:t>0,0</w:t>
            </w:r>
          </w:p>
        </w:tc>
        <w:tc>
          <w:tcPr>
            <w:tcW w:w="1171" w:type="dxa"/>
          </w:tcPr>
          <w:p w:rsidR="00277893" w:rsidRDefault="00277893" w:rsidP="00136848">
            <w:pPr>
              <w:jc w:val="right"/>
            </w:pPr>
            <w:r>
              <w:t>0,0</w:t>
            </w:r>
          </w:p>
        </w:tc>
        <w:tc>
          <w:tcPr>
            <w:tcW w:w="1218" w:type="dxa"/>
          </w:tcPr>
          <w:p w:rsidR="00277893" w:rsidRDefault="00277893" w:rsidP="00136848">
            <w:pPr>
              <w:jc w:val="right"/>
            </w:pPr>
            <w:r>
              <w:t>0,0</w:t>
            </w:r>
          </w:p>
        </w:tc>
        <w:tc>
          <w:tcPr>
            <w:tcW w:w="1159" w:type="dxa"/>
          </w:tcPr>
          <w:p w:rsidR="00277893" w:rsidRDefault="00277893" w:rsidP="00136848">
            <w:pPr>
              <w:jc w:val="right"/>
            </w:pPr>
            <w:r>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3.2. speciālais budžets</w:t>
            </w:r>
          </w:p>
        </w:tc>
        <w:tc>
          <w:tcPr>
            <w:tcW w:w="1176" w:type="dxa"/>
          </w:tcPr>
          <w:p w:rsidR="00277893" w:rsidRPr="00957553" w:rsidRDefault="00277893" w:rsidP="00136848">
            <w:pPr>
              <w:jc w:val="right"/>
            </w:pPr>
            <w:r w:rsidRPr="00957553">
              <w:t>0,0</w:t>
            </w:r>
          </w:p>
        </w:tc>
        <w:tc>
          <w:tcPr>
            <w:tcW w:w="1229" w:type="dxa"/>
          </w:tcPr>
          <w:p w:rsidR="00277893" w:rsidRPr="00957553" w:rsidRDefault="00277893" w:rsidP="00136848">
            <w:pPr>
              <w:jc w:val="right"/>
            </w:pPr>
            <w:bookmarkStart w:id="9" w:name="OLE_LINK3"/>
            <w:bookmarkStart w:id="10" w:name="OLE_LINK4"/>
            <w:r w:rsidRPr="00957553">
              <w:t>0,0</w:t>
            </w:r>
            <w:bookmarkEnd w:id="9"/>
            <w:bookmarkEnd w:id="10"/>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136848">
            <w:pPr>
              <w:jc w:val="right"/>
            </w:pPr>
            <w:r w:rsidRPr="00957553">
              <w:t>0,0</w:t>
            </w:r>
          </w:p>
        </w:tc>
        <w:tc>
          <w:tcPr>
            <w:tcW w:w="1159" w:type="dxa"/>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3.3. pašvaldību budžets</w:t>
            </w:r>
          </w:p>
        </w:tc>
        <w:tc>
          <w:tcPr>
            <w:tcW w:w="1176" w:type="dxa"/>
          </w:tcPr>
          <w:p w:rsidR="00277893" w:rsidRPr="00957553" w:rsidRDefault="00277893" w:rsidP="00136848">
            <w:pPr>
              <w:jc w:val="right"/>
            </w:pPr>
            <w:r w:rsidRPr="00957553">
              <w:t>0,0</w:t>
            </w:r>
          </w:p>
        </w:tc>
        <w:tc>
          <w:tcPr>
            <w:tcW w:w="1229" w:type="dxa"/>
          </w:tcPr>
          <w:p w:rsidR="00277893" w:rsidRPr="00957553" w:rsidRDefault="00277893" w:rsidP="00136848">
            <w:pPr>
              <w:jc w:val="right"/>
            </w:pPr>
            <w:r w:rsidRPr="00957553">
              <w:t>0,0</w:t>
            </w:r>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136848">
            <w:pPr>
              <w:jc w:val="right"/>
            </w:pPr>
            <w:r w:rsidRPr="00957553">
              <w:t>0,0</w:t>
            </w:r>
          </w:p>
        </w:tc>
        <w:tc>
          <w:tcPr>
            <w:tcW w:w="1159" w:type="dxa"/>
          </w:tcPr>
          <w:p w:rsidR="00277893" w:rsidRPr="00957553" w:rsidRDefault="00277893" w:rsidP="00136848">
            <w:pPr>
              <w:jc w:val="right"/>
            </w:pPr>
            <w:r w:rsidRPr="00957553">
              <w:t>0,0</w:t>
            </w:r>
          </w:p>
        </w:tc>
      </w:tr>
      <w:tr w:rsidR="00277893" w:rsidRPr="00957553" w:rsidTr="008D7634">
        <w:trPr>
          <w:trHeight w:val="125"/>
        </w:trPr>
        <w:tc>
          <w:tcPr>
            <w:tcW w:w="3369" w:type="dxa"/>
            <w:vMerge w:val="restart"/>
          </w:tcPr>
          <w:p w:rsidR="00277893" w:rsidRPr="00957553" w:rsidRDefault="00277893" w:rsidP="00136848">
            <w:pPr>
              <w:spacing w:before="100" w:beforeAutospacing="1" w:after="100" w:afterAutospacing="1"/>
              <w:rPr>
                <w:lang w:eastAsia="lv-LV" w:bidi="lo-LA"/>
              </w:rPr>
            </w:pPr>
            <w:r w:rsidRPr="00957553">
              <w:rPr>
                <w:lang w:eastAsia="lv-LV" w:bidi="lo-LA"/>
              </w:rPr>
              <w:t> 4. Finanšu līdzekļi papildu izde</w:t>
            </w:r>
            <w:r w:rsidRPr="00957553">
              <w:rPr>
                <w:lang w:eastAsia="lv-LV" w:bidi="lo-LA"/>
              </w:rPr>
              <w:softHyphen/>
              <w:t xml:space="preserve">vumu finansēšanai (kompensējošu izdevumu samazinājumu norāda ar </w:t>
            </w:r>
            <w:r>
              <w:rPr>
                <w:lang w:eastAsia="lv-LV" w:bidi="lo-LA"/>
              </w:rPr>
              <w:t>„</w:t>
            </w:r>
            <w:r w:rsidRPr="00957553">
              <w:rPr>
                <w:lang w:eastAsia="lv-LV" w:bidi="lo-LA"/>
              </w:rPr>
              <w:t>+</w:t>
            </w:r>
            <w:r>
              <w:rPr>
                <w:lang w:eastAsia="lv-LV" w:bidi="lo-LA"/>
              </w:rPr>
              <w:t>”</w:t>
            </w:r>
            <w:r w:rsidRPr="00957553">
              <w:rPr>
                <w:lang w:eastAsia="lv-LV" w:bidi="lo-LA"/>
              </w:rPr>
              <w:t xml:space="preserve"> zīmi)</w:t>
            </w:r>
          </w:p>
        </w:tc>
        <w:tc>
          <w:tcPr>
            <w:tcW w:w="1176" w:type="dxa"/>
            <w:vMerge w:val="restart"/>
            <w:vAlign w:val="center"/>
          </w:tcPr>
          <w:p w:rsidR="00277893" w:rsidRPr="00957553" w:rsidRDefault="00277893" w:rsidP="00136848">
            <w:pPr>
              <w:autoSpaceDE w:val="0"/>
              <w:autoSpaceDN w:val="0"/>
              <w:adjustRightInd w:val="0"/>
              <w:jc w:val="center"/>
              <w:rPr>
                <w:noProof/>
                <w:sz w:val="28"/>
                <w:szCs w:val="28"/>
              </w:rPr>
            </w:pPr>
            <w:r w:rsidRPr="00957553">
              <w:rPr>
                <w:noProof/>
                <w:sz w:val="28"/>
                <w:szCs w:val="28"/>
              </w:rPr>
              <w:t>X</w:t>
            </w:r>
          </w:p>
        </w:tc>
        <w:tc>
          <w:tcPr>
            <w:tcW w:w="1229" w:type="dxa"/>
            <w:vAlign w:val="center"/>
          </w:tcPr>
          <w:p w:rsidR="00277893" w:rsidRPr="00957553" w:rsidRDefault="00277893" w:rsidP="00136848">
            <w:pPr>
              <w:jc w:val="right"/>
            </w:pPr>
            <w:r w:rsidRPr="00957553">
              <w:t>0,0</w:t>
            </w:r>
          </w:p>
        </w:tc>
        <w:tc>
          <w:tcPr>
            <w:tcW w:w="1171" w:type="dxa"/>
          </w:tcPr>
          <w:p w:rsidR="00277893" w:rsidRPr="00957553" w:rsidRDefault="00277893" w:rsidP="00136848">
            <w:pPr>
              <w:jc w:val="right"/>
            </w:pPr>
            <w:r w:rsidRPr="00957553">
              <w:t>0,0</w:t>
            </w:r>
          </w:p>
        </w:tc>
        <w:tc>
          <w:tcPr>
            <w:tcW w:w="1218" w:type="dxa"/>
          </w:tcPr>
          <w:p w:rsidR="00277893" w:rsidRPr="00957553" w:rsidRDefault="00277893" w:rsidP="00136848">
            <w:pPr>
              <w:jc w:val="right"/>
            </w:pPr>
            <w:r w:rsidRPr="00957553">
              <w:t>0,0</w:t>
            </w:r>
          </w:p>
        </w:tc>
        <w:tc>
          <w:tcPr>
            <w:tcW w:w="1159" w:type="dxa"/>
          </w:tcPr>
          <w:p w:rsidR="00277893" w:rsidRPr="00957553" w:rsidRDefault="00277893" w:rsidP="00136848">
            <w:pPr>
              <w:jc w:val="right"/>
            </w:pPr>
            <w:r w:rsidRPr="00957553">
              <w:t>0,0</w:t>
            </w:r>
          </w:p>
        </w:tc>
      </w:tr>
      <w:tr w:rsidR="00277893" w:rsidRPr="00957553" w:rsidTr="008D7634">
        <w:trPr>
          <w:trHeight w:val="293"/>
        </w:trPr>
        <w:tc>
          <w:tcPr>
            <w:tcW w:w="3369" w:type="dxa"/>
            <w:vMerge/>
            <w:vAlign w:val="center"/>
          </w:tcPr>
          <w:p w:rsidR="00277893" w:rsidRPr="00957553" w:rsidRDefault="00277893" w:rsidP="00136848">
            <w:pPr>
              <w:rPr>
                <w:lang w:eastAsia="lv-LV" w:bidi="lo-LA"/>
              </w:rPr>
            </w:pPr>
          </w:p>
        </w:tc>
        <w:tc>
          <w:tcPr>
            <w:tcW w:w="1176" w:type="dxa"/>
            <w:vMerge/>
            <w:vAlign w:val="center"/>
          </w:tcPr>
          <w:p w:rsidR="00277893" w:rsidRPr="00957553" w:rsidRDefault="00277893" w:rsidP="00136848">
            <w:pPr>
              <w:autoSpaceDE w:val="0"/>
              <w:autoSpaceDN w:val="0"/>
              <w:adjustRightInd w:val="0"/>
              <w:jc w:val="center"/>
              <w:rPr>
                <w:noProof/>
                <w:sz w:val="28"/>
                <w:szCs w:val="28"/>
              </w:rPr>
            </w:pPr>
          </w:p>
        </w:tc>
        <w:tc>
          <w:tcPr>
            <w:tcW w:w="1229" w:type="dxa"/>
            <w:vAlign w:val="center"/>
          </w:tcPr>
          <w:p w:rsidR="00277893" w:rsidRPr="00957553" w:rsidRDefault="00277893" w:rsidP="00136848">
            <w:pPr>
              <w:jc w:val="right"/>
            </w:pPr>
            <w:r w:rsidRPr="00957553">
              <w:t>0,0</w:t>
            </w:r>
          </w:p>
        </w:tc>
        <w:tc>
          <w:tcPr>
            <w:tcW w:w="1171" w:type="dxa"/>
            <w:vAlign w:val="center"/>
          </w:tcPr>
          <w:p w:rsidR="00277893" w:rsidRPr="00957553" w:rsidRDefault="00277893" w:rsidP="00136848">
            <w:pPr>
              <w:jc w:val="right"/>
            </w:pPr>
            <w:r w:rsidRPr="00957553">
              <w:t>0,0</w:t>
            </w:r>
          </w:p>
        </w:tc>
        <w:tc>
          <w:tcPr>
            <w:tcW w:w="1218" w:type="dxa"/>
            <w:vAlign w:val="center"/>
          </w:tcPr>
          <w:p w:rsidR="00277893" w:rsidRPr="00957553" w:rsidRDefault="00277893" w:rsidP="00136848">
            <w:pPr>
              <w:jc w:val="right"/>
            </w:pPr>
            <w:r w:rsidRPr="00957553">
              <w:t>0,0</w:t>
            </w:r>
          </w:p>
        </w:tc>
        <w:tc>
          <w:tcPr>
            <w:tcW w:w="1159" w:type="dxa"/>
            <w:vAlign w:val="center"/>
          </w:tcPr>
          <w:p w:rsidR="00277893" w:rsidRPr="00957553" w:rsidRDefault="00277893" w:rsidP="00136848">
            <w:pPr>
              <w:jc w:val="right"/>
            </w:pPr>
            <w:r w:rsidRPr="00957553">
              <w:t>0,0</w:t>
            </w:r>
          </w:p>
        </w:tc>
      </w:tr>
      <w:tr w:rsidR="00277893" w:rsidRPr="00957553" w:rsidTr="008D7634">
        <w:trPr>
          <w:trHeight w:val="70"/>
        </w:trPr>
        <w:tc>
          <w:tcPr>
            <w:tcW w:w="3369" w:type="dxa"/>
            <w:vMerge/>
            <w:vAlign w:val="center"/>
          </w:tcPr>
          <w:p w:rsidR="00277893" w:rsidRPr="00957553" w:rsidRDefault="00277893" w:rsidP="00136848">
            <w:pPr>
              <w:rPr>
                <w:lang w:eastAsia="lv-LV" w:bidi="lo-LA"/>
              </w:rPr>
            </w:pPr>
          </w:p>
        </w:tc>
        <w:tc>
          <w:tcPr>
            <w:tcW w:w="1176" w:type="dxa"/>
            <w:vMerge/>
            <w:vAlign w:val="center"/>
          </w:tcPr>
          <w:p w:rsidR="00277893" w:rsidRPr="00957553" w:rsidRDefault="00277893" w:rsidP="00136848">
            <w:pPr>
              <w:autoSpaceDE w:val="0"/>
              <w:autoSpaceDN w:val="0"/>
              <w:adjustRightInd w:val="0"/>
              <w:jc w:val="center"/>
              <w:rPr>
                <w:noProof/>
                <w:sz w:val="28"/>
                <w:szCs w:val="28"/>
              </w:rPr>
            </w:pPr>
          </w:p>
        </w:tc>
        <w:tc>
          <w:tcPr>
            <w:tcW w:w="1229" w:type="dxa"/>
            <w:vAlign w:val="center"/>
          </w:tcPr>
          <w:p w:rsidR="00277893" w:rsidRPr="00957553" w:rsidRDefault="00277893" w:rsidP="00136848">
            <w:pPr>
              <w:jc w:val="right"/>
            </w:pPr>
            <w:r w:rsidRPr="00957553">
              <w:t>0,0</w:t>
            </w:r>
          </w:p>
        </w:tc>
        <w:tc>
          <w:tcPr>
            <w:tcW w:w="1171" w:type="dxa"/>
            <w:vAlign w:val="center"/>
          </w:tcPr>
          <w:p w:rsidR="00277893" w:rsidRPr="00957553" w:rsidRDefault="00277893" w:rsidP="00136848">
            <w:pPr>
              <w:jc w:val="right"/>
            </w:pPr>
            <w:r w:rsidRPr="00957553">
              <w:t>0,0</w:t>
            </w:r>
          </w:p>
        </w:tc>
        <w:tc>
          <w:tcPr>
            <w:tcW w:w="1218" w:type="dxa"/>
            <w:vAlign w:val="center"/>
          </w:tcPr>
          <w:p w:rsidR="00277893" w:rsidRPr="00957553" w:rsidRDefault="00277893" w:rsidP="00136848">
            <w:pPr>
              <w:jc w:val="right"/>
            </w:pPr>
            <w:r w:rsidRPr="00957553">
              <w:t>0,0</w:t>
            </w:r>
          </w:p>
        </w:tc>
        <w:tc>
          <w:tcPr>
            <w:tcW w:w="1159" w:type="dxa"/>
            <w:vAlign w:val="center"/>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rPr>
                <w:lang w:eastAsia="lv-LV" w:bidi="lo-LA"/>
              </w:rPr>
            </w:pPr>
            <w:r w:rsidRPr="00957553">
              <w:rPr>
                <w:lang w:eastAsia="lv-LV" w:bidi="lo-LA"/>
              </w:rPr>
              <w:t> 5. Precizēta finansiālā ietekme:</w:t>
            </w:r>
          </w:p>
        </w:tc>
        <w:tc>
          <w:tcPr>
            <w:tcW w:w="1176" w:type="dxa"/>
            <w:vMerge w:val="restart"/>
            <w:vAlign w:val="center"/>
          </w:tcPr>
          <w:p w:rsidR="00277893" w:rsidRPr="00957553" w:rsidRDefault="00277893" w:rsidP="00136848">
            <w:pPr>
              <w:autoSpaceDE w:val="0"/>
              <w:autoSpaceDN w:val="0"/>
              <w:adjustRightInd w:val="0"/>
              <w:jc w:val="center"/>
              <w:rPr>
                <w:noProof/>
                <w:sz w:val="28"/>
                <w:szCs w:val="28"/>
              </w:rPr>
            </w:pPr>
            <w:r w:rsidRPr="00957553">
              <w:rPr>
                <w:noProof/>
                <w:sz w:val="28"/>
                <w:szCs w:val="28"/>
              </w:rPr>
              <w:t>X</w:t>
            </w:r>
          </w:p>
        </w:tc>
        <w:tc>
          <w:tcPr>
            <w:tcW w:w="1229" w:type="dxa"/>
            <w:vAlign w:val="center"/>
          </w:tcPr>
          <w:p w:rsidR="00277893" w:rsidRPr="003B7EA5" w:rsidRDefault="00277893" w:rsidP="00136848">
            <w:pPr>
              <w:jc w:val="center"/>
              <w:rPr>
                <w:b/>
              </w:rPr>
            </w:pPr>
            <w:r w:rsidRPr="003B7EA5">
              <w:rPr>
                <w:b/>
              </w:rPr>
              <w:t>0,0</w:t>
            </w:r>
          </w:p>
        </w:tc>
        <w:tc>
          <w:tcPr>
            <w:tcW w:w="1171" w:type="dxa"/>
            <w:vAlign w:val="center"/>
          </w:tcPr>
          <w:p w:rsidR="00277893" w:rsidRPr="003B7EA5" w:rsidRDefault="00277893" w:rsidP="00136848">
            <w:pPr>
              <w:jc w:val="center"/>
              <w:rPr>
                <w:b/>
              </w:rPr>
            </w:pPr>
            <w:r w:rsidRPr="003B7EA5">
              <w:rPr>
                <w:b/>
              </w:rPr>
              <w:t>0,0</w:t>
            </w:r>
          </w:p>
        </w:tc>
        <w:tc>
          <w:tcPr>
            <w:tcW w:w="1218" w:type="dxa"/>
            <w:vAlign w:val="center"/>
          </w:tcPr>
          <w:p w:rsidR="00277893" w:rsidRPr="003B7EA5" w:rsidRDefault="00277893" w:rsidP="00136848">
            <w:pPr>
              <w:jc w:val="center"/>
              <w:rPr>
                <w:b/>
              </w:rPr>
            </w:pPr>
            <w:r w:rsidRPr="003B7EA5">
              <w:rPr>
                <w:b/>
              </w:rPr>
              <w:t>0,0</w:t>
            </w:r>
          </w:p>
        </w:tc>
        <w:tc>
          <w:tcPr>
            <w:tcW w:w="1159" w:type="dxa"/>
            <w:vAlign w:val="center"/>
          </w:tcPr>
          <w:p w:rsidR="00277893" w:rsidRPr="003B7EA5" w:rsidRDefault="00277893" w:rsidP="00136848">
            <w:pPr>
              <w:jc w:val="center"/>
              <w:rPr>
                <w:b/>
              </w:rPr>
            </w:pPr>
            <w:r w:rsidRPr="003B7EA5">
              <w:rPr>
                <w:b/>
              </w:rPr>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5.1. valsts pamatbudžets</w:t>
            </w:r>
          </w:p>
        </w:tc>
        <w:tc>
          <w:tcPr>
            <w:tcW w:w="1176" w:type="dxa"/>
            <w:vMerge/>
          </w:tcPr>
          <w:p w:rsidR="00277893" w:rsidRPr="00957553" w:rsidRDefault="00277893" w:rsidP="00136848">
            <w:pPr>
              <w:autoSpaceDE w:val="0"/>
              <w:autoSpaceDN w:val="0"/>
              <w:adjustRightInd w:val="0"/>
              <w:rPr>
                <w:noProof/>
                <w:sz w:val="28"/>
                <w:szCs w:val="28"/>
              </w:rPr>
            </w:pPr>
          </w:p>
        </w:tc>
        <w:tc>
          <w:tcPr>
            <w:tcW w:w="1229" w:type="dxa"/>
            <w:vAlign w:val="center"/>
          </w:tcPr>
          <w:p w:rsidR="00277893" w:rsidRPr="00957553" w:rsidRDefault="00277893" w:rsidP="00136848">
            <w:pPr>
              <w:jc w:val="right"/>
            </w:pPr>
            <w:r w:rsidRPr="00957553">
              <w:t>0,0</w:t>
            </w:r>
          </w:p>
        </w:tc>
        <w:tc>
          <w:tcPr>
            <w:tcW w:w="1171" w:type="dxa"/>
            <w:vAlign w:val="center"/>
          </w:tcPr>
          <w:p w:rsidR="00277893" w:rsidRPr="00957553" w:rsidRDefault="00277893" w:rsidP="00136848">
            <w:pPr>
              <w:jc w:val="right"/>
            </w:pPr>
            <w:r w:rsidRPr="00957553">
              <w:t>0,0</w:t>
            </w:r>
          </w:p>
        </w:tc>
        <w:tc>
          <w:tcPr>
            <w:tcW w:w="1218" w:type="dxa"/>
            <w:vAlign w:val="center"/>
          </w:tcPr>
          <w:p w:rsidR="00277893" w:rsidRPr="00957553" w:rsidRDefault="00277893" w:rsidP="00136848">
            <w:pPr>
              <w:jc w:val="right"/>
            </w:pPr>
            <w:r w:rsidRPr="00957553">
              <w:t>0,0</w:t>
            </w:r>
          </w:p>
        </w:tc>
        <w:tc>
          <w:tcPr>
            <w:tcW w:w="1159" w:type="dxa"/>
            <w:vAlign w:val="center"/>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5.2. speciālais budžets</w:t>
            </w:r>
          </w:p>
        </w:tc>
        <w:tc>
          <w:tcPr>
            <w:tcW w:w="1176" w:type="dxa"/>
            <w:vMerge/>
          </w:tcPr>
          <w:p w:rsidR="00277893" w:rsidRPr="00957553" w:rsidRDefault="00277893" w:rsidP="00136848">
            <w:pPr>
              <w:autoSpaceDE w:val="0"/>
              <w:autoSpaceDN w:val="0"/>
              <w:adjustRightInd w:val="0"/>
              <w:rPr>
                <w:noProof/>
                <w:sz w:val="28"/>
                <w:szCs w:val="28"/>
              </w:rPr>
            </w:pPr>
          </w:p>
        </w:tc>
        <w:tc>
          <w:tcPr>
            <w:tcW w:w="1229" w:type="dxa"/>
            <w:vAlign w:val="center"/>
          </w:tcPr>
          <w:p w:rsidR="00277893" w:rsidRPr="00957553" w:rsidRDefault="00277893" w:rsidP="00136848">
            <w:pPr>
              <w:jc w:val="right"/>
            </w:pPr>
            <w:r w:rsidRPr="00957553">
              <w:t>0,0</w:t>
            </w:r>
          </w:p>
        </w:tc>
        <w:tc>
          <w:tcPr>
            <w:tcW w:w="1171" w:type="dxa"/>
            <w:vAlign w:val="center"/>
          </w:tcPr>
          <w:p w:rsidR="00277893" w:rsidRPr="00957553" w:rsidRDefault="00277893" w:rsidP="00136848">
            <w:pPr>
              <w:jc w:val="right"/>
            </w:pPr>
            <w:r w:rsidRPr="00957553">
              <w:t>0,0</w:t>
            </w:r>
          </w:p>
        </w:tc>
        <w:tc>
          <w:tcPr>
            <w:tcW w:w="1218" w:type="dxa"/>
            <w:vAlign w:val="center"/>
          </w:tcPr>
          <w:p w:rsidR="00277893" w:rsidRPr="00957553" w:rsidRDefault="00277893" w:rsidP="00136848">
            <w:pPr>
              <w:jc w:val="right"/>
            </w:pPr>
            <w:r w:rsidRPr="00957553">
              <w:t>0,0</w:t>
            </w:r>
          </w:p>
        </w:tc>
        <w:tc>
          <w:tcPr>
            <w:tcW w:w="1159" w:type="dxa"/>
            <w:vAlign w:val="center"/>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5.3. pašvaldību budžets</w:t>
            </w:r>
          </w:p>
        </w:tc>
        <w:tc>
          <w:tcPr>
            <w:tcW w:w="1176" w:type="dxa"/>
            <w:vMerge/>
          </w:tcPr>
          <w:p w:rsidR="00277893" w:rsidRPr="00957553" w:rsidRDefault="00277893" w:rsidP="00136848">
            <w:pPr>
              <w:autoSpaceDE w:val="0"/>
              <w:autoSpaceDN w:val="0"/>
              <w:adjustRightInd w:val="0"/>
              <w:rPr>
                <w:noProof/>
                <w:sz w:val="28"/>
                <w:szCs w:val="28"/>
              </w:rPr>
            </w:pPr>
          </w:p>
        </w:tc>
        <w:tc>
          <w:tcPr>
            <w:tcW w:w="1229" w:type="dxa"/>
            <w:vAlign w:val="center"/>
          </w:tcPr>
          <w:p w:rsidR="00277893" w:rsidRPr="00957553" w:rsidRDefault="00277893" w:rsidP="00136848">
            <w:pPr>
              <w:jc w:val="right"/>
            </w:pPr>
            <w:r w:rsidRPr="00957553">
              <w:t>0,0</w:t>
            </w:r>
          </w:p>
        </w:tc>
        <w:tc>
          <w:tcPr>
            <w:tcW w:w="1171" w:type="dxa"/>
            <w:vAlign w:val="center"/>
          </w:tcPr>
          <w:p w:rsidR="00277893" w:rsidRPr="00957553" w:rsidRDefault="00277893" w:rsidP="00136848">
            <w:pPr>
              <w:jc w:val="right"/>
            </w:pPr>
            <w:r w:rsidRPr="00957553">
              <w:t>0,0</w:t>
            </w:r>
          </w:p>
        </w:tc>
        <w:tc>
          <w:tcPr>
            <w:tcW w:w="1218" w:type="dxa"/>
            <w:vAlign w:val="center"/>
          </w:tcPr>
          <w:p w:rsidR="00277893" w:rsidRPr="00957553" w:rsidRDefault="00277893" w:rsidP="00136848">
            <w:pPr>
              <w:jc w:val="right"/>
            </w:pPr>
            <w:r w:rsidRPr="00957553">
              <w:t>0,0</w:t>
            </w:r>
          </w:p>
        </w:tc>
        <w:tc>
          <w:tcPr>
            <w:tcW w:w="1159" w:type="dxa"/>
            <w:vAlign w:val="center"/>
          </w:tcPr>
          <w:p w:rsidR="00277893" w:rsidRPr="00957553" w:rsidRDefault="00277893" w:rsidP="00136848">
            <w:pPr>
              <w:jc w:val="right"/>
            </w:pPr>
            <w:r w:rsidRPr="00957553">
              <w:t>0,0</w:t>
            </w:r>
          </w:p>
        </w:tc>
      </w:tr>
      <w:tr w:rsidR="00277893" w:rsidRPr="00957553" w:rsidTr="008D7634">
        <w:tc>
          <w:tcPr>
            <w:tcW w:w="3369" w:type="dxa"/>
          </w:tcPr>
          <w:p w:rsidR="00277893" w:rsidRPr="00957553" w:rsidRDefault="00277893" w:rsidP="00136848">
            <w:pPr>
              <w:spacing w:before="100" w:beforeAutospacing="1" w:after="100" w:afterAutospacing="1"/>
              <w:rPr>
                <w:lang w:eastAsia="lv-LV" w:bidi="lo-LA"/>
              </w:rPr>
            </w:pPr>
            <w:r w:rsidRPr="00957553">
              <w:rPr>
                <w:lang w:eastAsia="lv-LV" w:bidi="lo-LA"/>
              </w:rPr>
              <w:t> 6. Detalizēts ieņēmumu un izdevu</w:t>
            </w:r>
            <w:r w:rsidRPr="00957553">
              <w:rPr>
                <w:lang w:eastAsia="lv-LV" w:bidi="lo-LA"/>
              </w:rPr>
              <w:softHyphen/>
              <w:t>mu aprēķins (ja nepieciešams, detalizētu ieņēmumu un izdevumu aprēķinu var pievienot anotācijas pielikumā):</w:t>
            </w:r>
          </w:p>
        </w:tc>
        <w:tc>
          <w:tcPr>
            <w:tcW w:w="5953" w:type="dxa"/>
            <w:gridSpan w:val="5"/>
            <w:vMerge w:val="restart"/>
            <w:vAlign w:val="center"/>
          </w:tcPr>
          <w:p w:rsidR="00277893" w:rsidRDefault="00277893" w:rsidP="00136848">
            <w:pPr>
              <w:autoSpaceDE w:val="0"/>
              <w:autoSpaceDN w:val="0"/>
              <w:adjustRightInd w:val="0"/>
              <w:ind w:left="34"/>
              <w:jc w:val="both"/>
            </w:pPr>
            <w:r>
              <w:rPr>
                <w:color w:val="000000"/>
                <w:lang w:eastAsia="lv-LV"/>
              </w:rPr>
              <w:t xml:space="preserve">Atbilstoši MK </w:t>
            </w:r>
            <w:r>
              <w:t>noteikumiem Nr.44</w:t>
            </w:r>
            <w:r w:rsidRPr="00895E02">
              <w:t xml:space="preserve"> Eiropas Savienības fondu sadarbības iestādes funkcijas pilda valsts aģentūra </w:t>
            </w:r>
            <w:r>
              <w:t>„</w:t>
            </w:r>
            <w:r w:rsidRPr="00895E02">
              <w:t>Centrālā finanšu un līgumu aģentūra</w:t>
            </w:r>
            <w:r>
              <w:t xml:space="preserve">”, līdz ar ko valsts budžeta finansējumu avansiem un atmaksām Eiropas Savienības fondu finansējuma saņēmējiem, kas īsteno projektus atbilstoši MK noteikumiem Nr.44, plāno Finanšu ministrijas budžetā. </w:t>
            </w:r>
          </w:p>
          <w:p w:rsidR="00277893" w:rsidRPr="00895E02" w:rsidRDefault="00277893" w:rsidP="00136848">
            <w:pPr>
              <w:autoSpaceDE w:val="0"/>
              <w:autoSpaceDN w:val="0"/>
              <w:adjustRightInd w:val="0"/>
              <w:ind w:left="34"/>
              <w:jc w:val="both"/>
            </w:pPr>
            <w:r w:rsidRPr="00957553">
              <w:rPr>
                <w:bCs/>
              </w:rPr>
              <w:t xml:space="preserve">Budžeta ieņēmumi ir </w:t>
            </w:r>
            <w:r>
              <w:rPr>
                <w:bCs/>
              </w:rPr>
              <w:t>ERAF</w:t>
            </w:r>
            <w:r w:rsidRPr="00957553">
              <w:rPr>
                <w:bCs/>
              </w:rPr>
              <w:t xml:space="preserve"> daļa un budžeta izdevumi ir kopējie nepieciešamie līdzekļi </w:t>
            </w:r>
            <w:r w:rsidRPr="00C05A65">
              <w:rPr>
                <w:bCs/>
              </w:rPr>
              <w:t xml:space="preserve">attiecīgajā gadā. Atbilstoši darbības programmas “Infrastruktūra un pakalpojumi” </w:t>
            </w:r>
            <w:r w:rsidRPr="00C05A65">
              <w:rPr>
                <w:bCs/>
              </w:rPr>
              <w:lastRenderedPageBreak/>
              <w:t>papildi</w:t>
            </w:r>
            <w:r w:rsidRPr="00C05A65">
              <w:rPr>
                <w:bCs/>
              </w:rPr>
              <w:softHyphen/>
              <w:t>nājumā (ar grozījumiem, kas izdarīti ar Ministru kabineta</w:t>
            </w:r>
            <w:r>
              <w:rPr>
                <w:bCs/>
              </w:rPr>
              <w:t xml:space="preserve"> 2011.gada 5.jūlija</w:t>
            </w:r>
            <w:r w:rsidRPr="00C05A65">
              <w:rPr>
                <w:bCs/>
              </w:rPr>
              <w:t xml:space="preserve"> rīkojumu Nr.295) ietverta</w:t>
            </w:r>
            <w:r>
              <w:rPr>
                <w:bCs/>
              </w:rPr>
              <w:t>ja</w:t>
            </w:r>
            <w:r w:rsidRPr="00C05A65">
              <w:rPr>
                <w:bCs/>
              </w:rPr>
              <w:t xml:space="preserve">m finanšu plānam 3.1.5.3.1.apakšaktivitātei pieejamais kopējais attiecināmais finansējums ir 141 794 220 lati, tai skaitā ERAF finansējuma apmērs ir 120 075 088 lati  un valsts budžets </w:t>
            </w:r>
            <w:r>
              <w:rPr>
                <w:bCs/>
              </w:rPr>
              <w:t xml:space="preserve">10 700 320 </w:t>
            </w:r>
            <w:r w:rsidRPr="00C05A65">
              <w:rPr>
                <w:bCs/>
              </w:rPr>
              <w:t xml:space="preserve">lati, pārējo </w:t>
            </w:r>
            <w:r w:rsidRPr="00C05A65">
              <w:t xml:space="preserve">3.1.5.3.1.apakšaktivitātes </w:t>
            </w:r>
            <w:r w:rsidRPr="00C05A65">
              <w:rPr>
                <w:bCs/>
              </w:rPr>
              <w:t xml:space="preserve">līdzfinansējumu veido privātais finansējums, ko nodrošina projekta iesniedzējs, ne mazāk </w:t>
            </w:r>
            <w:r>
              <w:rPr>
                <w:bCs/>
              </w:rPr>
              <w:t>kā 11 018 812 latu</w:t>
            </w:r>
            <w:r w:rsidRPr="00C05A65">
              <w:rPr>
                <w:bCs/>
              </w:rPr>
              <w:t>.</w:t>
            </w:r>
          </w:p>
          <w:p w:rsidR="00277893" w:rsidRPr="00957553" w:rsidRDefault="00277893" w:rsidP="002F0610">
            <w:pPr>
              <w:pStyle w:val="naisf"/>
              <w:tabs>
                <w:tab w:val="num" w:pos="1391"/>
              </w:tabs>
              <w:spacing w:before="0" w:beforeAutospacing="0" w:after="0" w:afterAutospacing="0"/>
              <w:rPr>
                <w:bCs/>
                <w:lang w:val="lv-LV"/>
              </w:rPr>
            </w:pPr>
            <w:r w:rsidRPr="000427CE">
              <w:rPr>
                <w:lang w:val="lv-LV"/>
              </w:rPr>
              <w:t xml:space="preserve">3.1.5.3.1.apakšaktivitātes </w:t>
            </w:r>
            <w:r w:rsidRPr="00957553">
              <w:rPr>
                <w:bCs/>
                <w:lang w:val="lv-LV"/>
              </w:rPr>
              <w:t>ieviešana tika uzsākta 2009.gadā un tās projektu īstenošanai finansējuma piesaiste valsts budžeta programmas 62.00.00 „Eiropas Reģionālās attīstības fonda (ERAF) projektu un pasākumu īstenošana” ietvaros šādos apmēros:</w:t>
            </w:r>
          </w:p>
          <w:p w:rsidR="00277893" w:rsidRPr="00957553" w:rsidRDefault="00277893" w:rsidP="002F0610">
            <w:pPr>
              <w:numPr>
                <w:ilvl w:val="0"/>
                <w:numId w:val="11"/>
              </w:numPr>
              <w:jc w:val="both"/>
              <w:rPr>
                <w:bCs/>
              </w:rPr>
            </w:pPr>
            <w:r w:rsidRPr="000427CE">
              <w:t xml:space="preserve">3.1.5.3.1.apakšaktivitātes </w:t>
            </w:r>
            <w:r w:rsidRPr="00957553">
              <w:rPr>
                <w:bCs/>
              </w:rPr>
              <w:t>īstenošanai 2009.gadā tika piesaistīts</w:t>
            </w:r>
            <w:r>
              <w:rPr>
                <w:bCs/>
              </w:rPr>
              <w:t xml:space="preserve"> finansējums 14 562 438 latu apmērā, t.sk., </w:t>
            </w:r>
            <w:r w:rsidRPr="00957553">
              <w:rPr>
                <w:bCs/>
              </w:rPr>
              <w:t xml:space="preserve"> </w:t>
            </w:r>
            <w:r>
              <w:rPr>
                <w:bCs/>
              </w:rPr>
              <w:t>ERAF</w:t>
            </w:r>
            <w:r w:rsidRPr="00957553">
              <w:rPr>
                <w:bCs/>
              </w:rPr>
              <w:t xml:space="preserve"> </w:t>
            </w:r>
            <w:r>
              <w:rPr>
                <w:bCs/>
              </w:rPr>
              <w:t>finansējums 12 526 839 lati</w:t>
            </w:r>
            <w:r w:rsidRPr="00957553">
              <w:rPr>
                <w:bCs/>
              </w:rPr>
              <w:t xml:space="preserve"> u</w:t>
            </w:r>
            <w:r>
              <w:rPr>
                <w:bCs/>
              </w:rPr>
              <w:t>n valsts budžeta finansējums</w:t>
            </w:r>
            <w:r w:rsidRPr="00957553">
              <w:rPr>
                <w:bCs/>
              </w:rPr>
              <w:t xml:space="preserve"> </w:t>
            </w:r>
            <w:r>
              <w:rPr>
                <w:bCs/>
              </w:rPr>
              <w:t xml:space="preserve">2 </w:t>
            </w:r>
            <w:r w:rsidRPr="00957553">
              <w:rPr>
                <w:bCs/>
              </w:rPr>
              <w:t>035</w:t>
            </w:r>
            <w:r>
              <w:rPr>
                <w:bCs/>
              </w:rPr>
              <w:t> </w:t>
            </w:r>
            <w:r w:rsidRPr="00957553">
              <w:rPr>
                <w:bCs/>
              </w:rPr>
              <w:t>599</w:t>
            </w:r>
            <w:r>
              <w:rPr>
                <w:bCs/>
              </w:rPr>
              <w:t xml:space="preserve"> lati;</w:t>
            </w:r>
          </w:p>
          <w:p w:rsidR="00277893" w:rsidRPr="00357958" w:rsidRDefault="00277893" w:rsidP="002F0610">
            <w:pPr>
              <w:numPr>
                <w:ilvl w:val="0"/>
                <w:numId w:val="11"/>
              </w:numPr>
              <w:jc w:val="both"/>
              <w:rPr>
                <w:bCs/>
              </w:rPr>
            </w:pPr>
            <w:bookmarkStart w:id="11" w:name="OLE_LINK9"/>
            <w:bookmarkStart w:id="12" w:name="OLE_LINK10"/>
            <w:r w:rsidRPr="000427CE">
              <w:t xml:space="preserve">3.1.5.3.1.apakšaktivitātes </w:t>
            </w:r>
            <w:bookmarkEnd w:id="11"/>
            <w:bookmarkEnd w:id="12"/>
            <w:r w:rsidRPr="00357958">
              <w:rPr>
                <w:bCs/>
              </w:rPr>
              <w:t xml:space="preserve">īstenošanai 2010.gadā </w:t>
            </w:r>
            <w:r w:rsidRPr="00957553">
              <w:rPr>
                <w:bCs/>
              </w:rPr>
              <w:t>tika piesaistīts</w:t>
            </w:r>
            <w:r>
              <w:rPr>
                <w:bCs/>
              </w:rPr>
              <w:t xml:space="preserve"> finansējums 19 476 641 latu apmērā, t.sk., </w:t>
            </w:r>
            <w:r w:rsidRPr="00957553">
              <w:rPr>
                <w:bCs/>
              </w:rPr>
              <w:t xml:space="preserve"> </w:t>
            </w:r>
            <w:r>
              <w:rPr>
                <w:bCs/>
              </w:rPr>
              <w:t xml:space="preserve">ERAF finansējums 17 582 191 lats </w:t>
            </w:r>
            <w:r w:rsidRPr="00357958">
              <w:rPr>
                <w:bCs/>
              </w:rPr>
              <w:t>un valsts bu</w:t>
            </w:r>
            <w:r>
              <w:rPr>
                <w:bCs/>
              </w:rPr>
              <w:t>džeta finansējums 1 894 450 lati;</w:t>
            </w:r>
          </w:p>
          <w:p w:rsidR="00277893" w:rsidRPr="00BC197A" w:rsidRDefault="00277893" w:rsidP="002F0610">
            <w:pPr>
              <w:numPr>
                <w:ilvl w:val="0"/>
                <w:numId w:val="11"/>
              </w:numPr>
              <w:jc w:val="both"/>
              <w:rPr>
                <w:color w:val="FF0000"/>
              </w:rPr>
            </w:pPr>
            <w:r w:rsidRPr="00DD0B19">
              <w:t xml:space="preserve">3.1.5.3.1.apakšaktivitātes </w:t>
            </w:r>
            <w:r>
              <w:rPr>
                <w:bCs/>
              </w:rPr>
              <w:t xml:space="preserve">īstenošanai 2011.gadā </w:t>
            </w:r>
            <w:r w:rsidRPr="00957553">
              <w:rPr>
                <w:bCs/>
              </w:rPr>
              <w:t>tika piesaistīts</w:t>
            </w:r>
            <w:r>
              <w:rPr>
                <w:bCs/>
              </w:rPr>
              <w:t xml:space="preserve"> finansējums 26 595 671 latu apmērā, t.sk., </w:t>
            </w:r>
            <w:r w:rsidRPr="00957553">
              <w:rPr>
                <w:bCs/>
              </w:rPr>
              <w:t xml:space="preserve"> </w:t>
            </w:r>
            <w:r w:rsidRPr="00DD0B19">
              <w:rPr>
                <w:bCs/>
              </w:rPr>
              <w:t xml:space="preserve"> </w:t>
            </w:r>
            <w:r>
              <w:rPr>
                <w:bCs/>
              </w:rPr>
              <w:t>ERAF</w:t>
            </w:r>
            <w:r w:rsidRPr="00DD0B19">
              <w:rPr>
                <w:bCs/>
              </w:rPr>
              <w:t xml:space="preserve"> finansējums</w:t>
            </w:r>
            <w:r w:rsidRPr="00357958">
              <w:rPr>
                <w:bCs/>
              </w:rPr>
              <w:t xml:space="preserve"> </w:t>
            </w:r>
            <w:r>
              <w:t xml:space="preserve">23 824 101 </w:t>
            </w:r>
            <w:r>
              <w:rPr>
                <w:bCs/>
              </w:rPr>
              <w:t xml:space="preserve">lats </w:t>
            </w:r>
            <w:r w:rsidRPr="00357958">
              <w:rPr>
                <w:bCs/>
              </w:rPr>
              <w:t xml:space="preserve">un valsts budžeta </w:t>
            </w:r>
            <w:r>
              <w:rPr>
                <w:bCs/>
              </w:rPr>
              <w:t>finansējums</w:t>
            </w:r>
            <w:r w:rsidRPr="00357958">
              <w:rPr>
                <w:bCs/>
              </w:rPr>
              <w:t xml:space="preserve"> </w:t>
            </w:r>
            <w:r>
              <w:t xml:space="preserve">2 771 570 </w:t>
            </w:r>
            <w:r>
              <w:rPr>
                <w:bCs/>
              </w:rPr>
              <w:t>lati;</w:t>
            </w:r>
          </w:p>
          <w:p w:rsidR="00277893" w:rsidRDefault="00277893" w:rsidP="0086096A">
            <w:pPr>
              <w:numPr>
                <w:ilvl w:val="0"/>
                <w:numId w:val="11"/>
              </w:numPr>
              <w:jc w:val="both"/>
              <w:rPr>
                <w:bCs/>
              </w:rPr>
            </w:pPr>
            <w:r w:rsidRPr="000427CE">
              <w:t xml:space="preserve">3.1.5.3.1.apakšaktivitātes </w:t>
            </w:r>
            <w:r w:rsidRPr="00357958">
              <w:rPr>
                <w:bCs/>
              </w:rPr>
              <w:t xml:space="preserve">īstenošanai 2012.gadā </w:t>
            </w:r>
            <w:r>
              <w:rPr>
                <w:bCs/>
              </w:rPr>
              <w:t>tika</w:t>
            </w:r>
            <w:r w:rsidRPr="00957553">
              <w:rPr>
                <w:bCs/>
              </w:rPr>
              <w:t xml:space="preserve"> piesaistīts</w:t>
            </w:r>
            <w:r>
              <w:rPr>
                <w:bCs/>
              </w:rPr>
              <w:t xml:space="preserve"> finansējums </w:t>
            </w:r>
            <w:r w:rsidRPr="000D2306">
              <w:t>19 902 366 latu apmērā,</w:t>
            </w:r>
            <w:r>
              <w:rPr>
                <w:i/>
              </w:rPr>
              <w:t xml:space="preserve"> </w:t>
            </w:r>
            <w:r>
              <w:rPr>
                <w:bCs/>
              </w:rPr>
              <w:t xml:space="preserve">t.sk., </w:t>
            </w:r>
            <w:r w:rsidRPr="00957553">
              <w:rPr>
                <w:bCs/>
              </w:rPr>
              <w:t xml:space="preserve"> </w:t>
            </w:r>
            <w:r w:rsidRPr="00357958">
              <w:rPr>
                <w:bCs/>
              </w:rPr>
              <w:t xml:space="preserve"> </w:t>
            </w:r>
            <w:r>
              <w:rPr>
                <w:bCs/>
              </w:rPr>
              <w:t>ERAF finansējums</w:t>
            </w:r>
            <w:r w:rsidRPr="00357958">
              <w:rPr>
                <w:bCs/>
              </w:rPr>
              <w:t xml:space="preserve"> </w:t>
            </w:r>
            <w:r>
              <w:t xml:space="preserve">18 405 598 </w:t>
            </w:r>
            <w:r>
              <w:rPr>
                <w:bCs/>
              </w:rPr>
              <w:t>lati</w:t>
            </w:r>
            <w:r w:rsidRPr="00357958">
              <w:rPr>
                <w:bCs/>
              </w:rPr>
              <w:t xml:space="preserve"> </w:t>
            </w:r>
            <w:r>
              <w:rPr>
                <w:bCs/>
              </w:rPr>
              <w:t>un valsts budžeta finansējums</w:t>
            </w:r>
            <w:r w:rsidRPr="00357958">
              <w:rPr>
                <w:bCs/>
              </w:rPr>
              <w:t xml:space="preserve"> </w:t>
            </w:r>
            <w:r>
              <w:t xml:space="preserve">1 496 768 </w:t>
            </w:r>
            <w:r>
              <w:rPr>
                <w:bCs/>
              </w:rPr>
              <w:t>lati;</w:t>
            </w:r>
          </w:p>
          <w:p w:rsidR="00277893" w:rsidRPr="00FE5A68" w:rsidRDefault="00277893" w:rsidP="0086096A">
            <w:pPr>
              <w:numPr>
                <w:ilvl w:val="0"/>
                <w:numId w:val="11"/>
              </w:numPr>
              <w:jc w:val="both"/>
              <w:rPr>
                <w:bCs/>
              </w:rPr>
            </w:pPr>
            <w:r w:rsidRPr="000427CE">
              <w:t xml:space="preserve">3.1.5.3.1.apakšaktivitātes </w:t>
            </w:r>
            <w:r w:rsidRPr="00FE5A68">
              <w:rPr>
                <w:bCs/>
              </w:rPr>
              <w:t>īstenošanai 2013.gadā plānots piesaistīt</w:t>
            </w:r>
            <w:r>
              <w:t xml:space="preserve"> finansējumu 24 612 387 latu apmērā,  </w:t>
            </w:r>
            <w:r>
              <w:rPr>
                <w:bCs/>
              </w:rPr>
              <w:t xml:space="preserve">t.sk., </w:t>
            </w:r>
            <w:r w:rsidRPr="00FE5A68">
              <w:rPr>
                <w:bCs/>
              </w:rPr>
              <w:t>ERAF</w:t>
            </w:r>
            <w:r>
              <w:rPr>
                <w:bCs/>
              </w:rPr>
              <w:t xml:space="preserve"> finansējums 23 154 062 </w:t>
            </w:r>
            <w:r w:rsidRPr="00FE5A68">
              <w:rPr>
                <w:bCs/>
              </w:rPr>
              <w:t>l</w:t>
            </w:r>
            <w:r>
              <w:rPr>
                <w:bCs/>
              </w:rPr>
              <w:t>ati un valsts budžeta finansējums</w:t>
            </w:r>
            <w:r w:rsidRPr="00FE5A68">
              <w:rPr>
                <w:bCs/>
              </w:rPr>
              <w:t xml:space="preserve"> </w:t>
            </w:r>
            <w:r>
              <w:t xml:space="preserve">1 458 325 </w:t>
            </w:r>
            <w:r>
              <w:rPr>
                <w:bCs/>
              </w:rPr>
              <w:t>lati</w:t>
            </w:r>
            <w:r w:rsidRPr="00FE5A68">
              <w:rPr>
                <w:bCs/>
              </w:rPr>
              <w:t>;</w:t>
            </w:r>
          </w:p>
          <w:p w:rsidR="00277893" w:rsidRDefault="00277893" w:rsidP="00FE5A68">
            <w:pPr>
              <w:numPr>
                <w:ilvl w:val="0"/>
                <w:numId w:val="11"/>
              </w:numPr>
              <w:jc w:val="both"/>
              <w:rPr>
                <w:bCs/>
              </w:rPr>
            </w:pPr>
            <w:r w:rsidRPr="000427CE">
              <w:t xml:space="preserve">3.1.5.3.1.apakšaktivitātes </w:t>
            </w:r>
            <w:r w:rsidRPr="002F0610">
              <w:rPr>
                <w:bCs/>
              </w:rPr>
              <w:t xml:space="preserve">īstenošanai 2014.gadā plānots piesaistīt </w:t>
            </w:r>
            <w:r>
              <w:rPr>
                <w:bCs/>
              </w:rPr>
              <w:t>finansējumu 25 625 905 latu apmērā, t.sk., ERAF finansējums</w:t>
            </w:r>
            <w:r w:rsidRPr="002F0610">
              <w:rPr>
                <w:bCs/>
              </w:rPr>
              <w:t xml:space="preserve"> </w:t>
            </w:r>
            <w:r>
              <w:t xml:space="preserve">24 582 297 </w:t>
            </w:r>
            <w:r>
              <w:rPr>
                <w:bCs/>
              </w:rPr>
              <w:t>lati un valsts budžeta finansējums</w:t>
            </w:r>
            <w:r w:rsidRPr="002F0610">
              <w:rPr>
                <w:bCs/>
              </w:rPr>
              <w:t xml:space="preserve"> </w:t>
            </w:r>
            <w:r>
              <w:t xml:space="preserve">1 043 608 </w:t>
            </w:r>
            <w:r>
              <w:rPr>
                <w:bCs/>
              </w:rPr>
              <w:t>lati</w:t>
            </w:r>
            <w:r>
              <w:t xml:space="preserve">. </w:t>
            </w:r>
          </w:p>
          <w:p w:rsidR="00277893" w:rsidRPr="00FE5A68" w:rsidRDefault="00277893" w:rsidP="00FE5A68">
            <w:pPr>
              <w:jc w:val="both"/>
              <w:rPr>
                <w:bCs/>
              </w:rPr>
            </w:pPr>
            <w:r>
              <w:rPr>
                <w:color w:val="000000"/>
                <w:lang w:eastAsia="lv-LV"/>
              </w:rPr>
              <w:t>Noteikumu projekta īstenošana tiks nodrošināta esošo finanšu līdzekļu ietvaros atbilstoši likumam par valsts budžetu kārtējam gadam, līdz ar to noteikumu projekta finansiālā ietekme uz valsts budžetu 2013.gadā un turpmākajos gados ir 0.</w:t>
            </w: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6.1. detalizēts ieņēmumu aprēķins</w:t>
            </w:r>
          </w:p>
        </w:tc>
        <w:tc>
          <w:tcPr>
            <w:tcW w:w="5953" w:type="dxa"/>
            <w:gridSpan w:val="5"/>
            <w:vMerge/>
          </w:tcPr>
          <w:p w:rsidR="00277893" w:rsidRPr="00957553" w:rsidRDefault="00277893" w:rsidP="00136848">
            <w:pPr>
              <w:autoSpaceDE w:val="0"/>
              <w:autoSpaceDN w:val="0"/>
              <w:adjustRightInd w:val="0"/>
              <w:rPr>
                <w:noProof/>
                <w:sz w:val="28"/>
                <w:szCs w:val="28"/>
              </w:rPr>
            </w:pPr>
          </w:p>
        </w:tc>
      </w:tr>
      <w:tr w:rsidR="00277893" w:rsidRPr="00957553" w:rsidTr="008D7634">
        <w:tc>
          <w:tcPr>
            <w:tcW w:w="3369" w:type="dxa"/>
          </w:tcPr>
          <w:p w:rsidR="00277893" w:rsidRPr="00957553" w:rsidRDefault="00277893" w:rsidP="00136848">
            <w:pPr>
              <w:spacing w:before="100" w:beforeAutospacing="1" w:after="100" w:afterAutospacing="1"/>
              <w:ind w:left="284"/>
              <w:rPr>
                <w:lang w:eastAsia="lv-LV" w:bidi="lo-LA"/>
              </w:rPr>
            </w:pPr>
            <w:r w:rsidRPr="00957553">
              <w:rPr>
                <w:lang w:eastAsia="lv-LV" w:bidi="lo-LA"/>
              </w:rPr>
              <w:t> 6.2. detalizēts izdevumu aprēķins</w:t>
            </w:r>
          </w:p>
        </w:tc>
        <w:tc>
          <w:tcPr>
            <w:tcW w:w="5953" w:type="dxa"/>
            <w:gridSpan w:val="5"/>
            <w:vMerge/>
          </w:tcPr>
          <w:p w:rsidR="00277893" w:rsidRPr="00957553" w:rsidRDefault="00277893" w:rsidP="00136848">
            <w:pPr>
              <w:autoSpaceDE w:val="0"/>
              <w:autoSpaceDN w:val="0"/>
              <w:adjustRightInd w:val="0"/>
              <w:rPr>
                <w:noProof/>
                <w:sz w:val="28"/>
                <w:szCs w:val="28"/>
              </w:rPr>
            </w:pPr>
          </w:p>
        </w:tc>
      </w:tr>
      <w:tr w:rsidR="00277893" w:rsidRPr="00957553" w:rsidTr="008D7634">
        <w:tc>
          <w:tcPr>
            <w:tcW w:w="3369" w:type="dxa"/>
          </w:tcPr>
          <w:p w:rsidR="00277893" w:rsidRPr="00957553" w:rsidRDefault="00277893" w:rsidP="00136848">
            <w:pPr>
              <w:spacing w:before="100" w:beforeAutospacing="1" w:after="100" w:afterAutospacing="1"/>
              <w:rPr>
                <w:lang w:eastAsia="lv-LV" w:bidi="lo-LA"/>
              </w:rPr>
            </w:pPr>
            <w:r w:rsidRPr="00957553">
              <w:rPr>
                <w:lang w:eastAsia="lv-LV" w:bidi="lo-LA"/>
              </w:rPr>
              <w:lastRenderedPageBreak/>
              <w:t> 7. Cita informācija</w:t>
            </w:r>
          </w:p>
        </w:tc>
        <w:tc>
          <w:tcPr>
            <w:tcW w:w="5953" w:type="dxa"/>
            <w:gridSpan w:val="5"/>
          </w:tcPr>
          <w:p w:rsidR="00277893" w:rsidRPr="00BA558A" w:rsidRDefault="00277893" w:rsidP="00136848">
            <w:pPr>
              <w:jc w:val="both"/>
              <w:rPr>
                <w:color w:val="000000"/>
              </w:rPr>
            </w:pPr>
            <w:r w:rsidRPr="00A83905">
              <w:t xml:space="preserve">Noteikumu projekta īstenošana tiks nodrošināta </w:t>
            </w:r>
            <w:r>
              <w:t xml:space="preserve">Finanšu ministrijai </w:t>
            </w:r>
            <w:r w:rsidRPr="00A83905">
              <w:t>piešķirto valsts budžeta līdzekļu ietvaros atbilstoši likumam par valsts budžetu kārtējam gadam.</w:t>
            </w:r>
          </w:p>
        </w:tc>
      </w:tr>
    </w:tbl>
    <w:p w:rsidR="00277893" w:rsidRPr="00957553" w:rsidRDefault="00277893" w:rsidP="00D10D99">
      <w:pPr>
        <w:autoSpaceDE w:val="0"/>
        <w:autoSpaceDN w:val="0"/>
        <w:adjustRightInd w:val="0"/>
        <w:rPr>
          <w:noProof/>
          <w:sz w:val="28"/>
          <w:szCs w:val="28"/>
        </w:rPr>
      </w:pPr>
    </w:p>
    <w:p w:rsidR="00277893" w:rsidRDefault="00277893" w:rsidP="002F1241">
      <w:pPr>
        <w:autoSpaceDE w:val="0"/>
        <w:autoSpaceDN w:val="0"/>
        <w:adjustRightInd w:val="0"/>
        <w:jc w:val="center"/>
        <w:rPr>
          <w:b/>
          <w:bCs/>
          <w:lang w:eastAsia="lv-LV" w:bidi="lo-LA"/>
        </w:rPr>
      </w:pPr>
      <w:r w:rsidRPr="006359CA">
        <w:rPr>
          <w:b/>
          <w:lang w:eastAsia="lv-LV" w:bidi="lo-LA"/>
        </w:rPr>
        <w:t xml:space="preserve">Anotācijas </w:t>
      </w:r>
      <w:proofErr w:type="spellStart"/>
      <w:r>
        <w:rPr>
          <w:b/>
          <w:lang w:eastAsia="lv-LV" w:bidi="lo-LA"/>
        </w:rPr>
        <w:t>IV.sadaļa</w:t>
      </w:r>
      <w:proofErr w:type="spellEnd"/>
      <w:r>
        <w:rPr>
          <w:b/>
          <w:lang w:eastAsia="lv-LV" w:bidi="lo-LA"/>
        </w:rPr>
        <w:t xml:space="preserve"> </w:t>
      </w:r>
      <w:r w:rsidRPr="006359CA">
        <w:rPr>
          <w:b/>
          <w:bCs/>
          <w:lang w:eastAsia="lv-LV" w:bidi="lo-LA"/>
        </w:rPr>
        <w:t xml:space="preserve">-  </w:t>
      </w:r>
      <w:r>
        <w:rPr>
          <w:b/>
          <w:bCs/>
          <w:lang w:eastAsia="lv-LV" w:bidi="lo-LA"/>
        </w:rPr>
        <w:t>projekts šo</w:t>
      </w:r>
      <w:r w:rsidRPr="006359CA">
        <w:rPr>
          <w:b/>
          <w:bCs/>
          <w:lang w:eastAsia="lv-LV" w:bidi="lo-LA"/>
        </w:rPr>
        <w:t xml:space="preserve"> jo</w:t>
      </w:r>
      <w:r>
        <w:rPr>
          <w:b/>
          <w:bCs/>
          <w:lang w:eastAsia="lv-LV" w:bidi="lo-LA"/>
        </w:rPr>
        <w:t>mu</w:t>
      </w:r>
      <w:r w:rsidRPr="006359CA">
        <w:rPr>
          <w:b/>
          <w:bCs/>
          <w:lang w:eastAsia="lv-LV" w:bidi="lo-LA"/>
        </w:rPr>
        <w:t xml:space="preserve"> neskar</w:t>
      </w:r>
      <w:r>
        <w:rPr>
          <w:b/>
          <w:bCs/>
          <w:lang w:eastAsia="lv-LV" w:bidi="lo-LA"/>
        </w:rPr>
        <w:t>.</w:t>
      </w:r>
    </w:p>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68"/>
        <w:gridCol w:w="2693"/>
        <w:gridCol w:w="5953"/>
      </w:tblGrid>
      <w:tr w:rsidR="00277893" w:rsidRPr="00BA3C4F" w:rsidTr="00837738">
        <w:tc>
          <w:tcPr>
            <w:tcW w:w="9214" w:type="dxa"/>
            <w:gridSpan w:val="3"/>
            <w:tcBorders>
              <w:top w:val="outset" w:sz="6" w:space="0" w:color="auto"/>
              <w:bottom w:val="outset" w:sz="6" w:space="0" w:color="auto"/>
            </w:tcBorders>
            <w:vAlign w:val="center"/>
          </w:tcPr>
          <w:p w:rsidR="00277893" w:rsidRPr="00BA3C4F" w:rsidRDefault="00277893" w:rsidP="00837738">
            <w:pPr>
              <w:jc w:val="center"/>
              <w:rPr>
                <w:b/>
              </w:rPr>
            </w:pPr>
            <w:r w:rsidRPr="00BA3C4F">
              <w:rPr>
                <w:b/>
              </w:rPr>
              <w:t>V. Tiesību akta projekta atbilstība Latvijas Republikas starptautiskajām saistībām</w:t>
            </w:r>
          </w:p>
        </w:tc>
      </w:tr>
      <w:tr w:rsidR="00277893" w:rsidRPr="00BA3C4F" w:rsidTr="00837738">
        <w:tc>
          <w:tcPr>
            <w:tcW w:w="568" w:type="dxa"/>
            <w:tcBorders>
              <w:top w:val="outset" w:sz="6" w:space="0" w:color="auto"/>
              <w:bottom w:val="outset" w:sz="6" w:space="0" w:color="auto"/>
              <w:right w:val="outset" w:sz="6" w:space="0" w:color="auto"/>
            </w:tcBorders>
          </w:tcPr>
          <w:p w:rsidR="00277893" w:rsidRPr="00BA3C4F" w:rsidRDefault="00277893" w:rsidP="00837738">
            <w:pPr>
              <w:ind w:left="57"/>
            </w:pPr>
            <w:r w:rsidRPr="00BA3C4F">
              <w:lastRenderedPageBreak/>
              <w:t>1.</w:t>
            </w:r>
          </w:p>
        </w:tc>
        <w:tc>
          <w:tcPr>
            <w:tcW w:w="2693" w:type="dxa"/>
            <w:tcBorders>
              <w:top w:val="outset" w:sz="6" w:space="0" w:color="auto"/>
              <w:left w:val="outset" w:sz="6" w:space="0" w:color="auto"/>
              <w:bottom w:val="outset" w:sz="6" w:space="0" w:color="auto"/>
              <w:right w:val="outset" w:sz="6" w:space="0" w:color="auto"/>
            </w:tcBorders>
          </w:tcPr>
          <w:p w:rsidR="00277893" w:rsidRPr="00BA3C4F" w:rsidRDefault="00277893" w:rsidP="00837738">
            <w:pPr>
              <w:ind w:left="57"/>
            </w:pPr>
            <w:r w:rsidRPr="00BA3C4F">
              <w:t>Saistības pret Eiropas Savienību</w:t>
            </w:r>
          </w:p>
        </w:tc>
        <w:tc>
          <w:tcPr>
            <w:tcW w:w="5953" w:type="dxa"/>
            <w:tcBorders>
              <w:top w:val="outset" w:sz="6" w:space="0" w:color="auto"/>
              <w:left w:val="outset" w:sz="6" w:space="0" w:color="auto"/>
              <w:bottom w:val="outset" w:sz="6" w:space="0" w:color="auto"/>
            </w:tcBorders>
          </w:tcPr>
          <w:p w:rsidR="00277893" w:rsidRPr="00EC2AEC" w:rsidRDefault="00277893" w:rsidP="00837738">
            <w:pPr>
              <w:ind w:left="57"/>
              <w:jc w:val="both"/>
            </w:pPr>
            <w:r w:rsidRPr="00EC2AEC">
              <w:rPr>
                <w:bCs/>
              </w:rPr>
              <w:t xml:space="preserve">Ar tiesību akta projektu tiks pārņemti </w:t>
            </w:r>
            <w:r w:rsidRPr="00EC2AEC">
              <w:t>Komisijas</w:t>
            </w:r>
            <w:r>
              <w:t xml:space="preserve"> Lēmumā</w:t>
            </w:r>
            <w:r w:rsidRPr="00EC2AEC">
              <w:t xml:space="preserve">  noteiktie kompensācijas aprēķināšanas </w:t>
            </w:r>
            <w:r>
              <w:t xml:space="preserve">un pārmērīgās kompensācijas kontroles </w:t>
            </w:r>
            <w:r w:rsidRPr="00EC2AEC">
              <w:t>nosacījumi</w:t>
            </w:r>
            <w:r>
              <w:t>.</w:t>
            </w:r>
          </w:p>
        </w:tc>
      </w:tr>
      <w:tr w:rsidR="00277893" w:rsidRPr="00BA3C4F" w:rsidTr="00837738">
        <w:tc>
          <w:tcPr>
            <w:tcW w:w="568" w:type="dxa"/>
            <w:tcBorders>
              <w:top w:val="outset" w:sz="6" w:space="0" w:color="auto"/>
              <w:bottom w:val="outset" w:sz="6" w:space="0" w:color="auto"/>
              <w:right w:val="outset" w:sz="6" w:space="0" w:color="auto"/>
            </w:tcBorders>
          </w:tcPr>
          <w:p w:rsidR="00277893" w:rsidRPr="00BA3C4F" w:rsidRDefault="00277893" w:rsidP="00837738">
            <w:pPr>
              <w:ind w:left="57"/>
            </w:pPr>
            <w:r w:rsidRPr="00BA3C4F">
              <w:t>2.</w:t>
            </w:r>
          </w:p>
        </w:tc>
        <w:tc>
          <w:tcPr>
            <w:tcW w:w="2693" w:type="dxa"/>
            <w:tcBorders>
              <w:top w:val="outset" w:sz="6" w:space="0" w:color="auto"/>
              <w:left w:val="outset" w:sz="6" w:space="0" w:color="auto"/>
              <w:bottom w:val="outset" w:sz="6" w:space="0" w:color="auto"/>
              <w:right w:val="outset" w:sz="6" w:space="0" w:color="auto"/>
            </w:tcBorders>
          </w:tcPr>
          <w:p w:rsidR="00277893" w:rsidRPr="00BA3C4F" w:rsidRDefault="00277893" w:rsidP="00837738">
            <w:pPr>
              <w:ind w:left="57"/>
            </w:pPr>
            <w:r w:rsidRPr="00BA3C4F">
              <w:t>Citas starptautiskās saistības</w:t>
            </w:r>
          </w:p>
        </w:tc>
        <w:tc>
          <w:tcPr>
            <w:tcW w:w="5953" w:type="dxa"/>
            <w:tcBorders>
              <w:top w:val="outset" w:sz="6" w:space="0" w:color="auto"/>
              <w:left w:val="outset" w:sz="6" w:space="0" w:color="auto"/>
              <w:bottom w:val="outset" w:sz="6" w:space="0" w:color="auto"/>
            </w:tcBorders>
          </w:tcPr>
          <w:p w:rsidR="00277893" w:rsidRPr="00BA3C4F" w:rsidRDefault="00277893" w:rsidP="00837738">
            <w:pPr>
              <w:ind w:left="57"/>
            </w:pPr>
            <w:r>
              <w:rPr>
                <w:color w:val="2A2A2A"/>
              </w:rPr>
              <w:t>Projekts šo jomu neskar.</w:t>
            </w:r>
          </w:p>
        </w:tc>
      </w:tr>
      <w:tr w:rsidR="00277893" w:rsidRPr="00BA3C4F" w:rsidTr="00837738">
        <w:tc>
          <w:tcPr>
            <w:tcW w:w="568" w:type="dxa"/>
            <w:tcBorders>
              <w:top w:val="outset" w:sz="6" w:space="0" w:color="auto"/>
              <w:bottom w:val="outset" w:sz="6" w:space="0" w:color="auto"/>
              <w:right w:val="outset" w:sz="6" w:space="0" w:color="auto"/>
            </w:tcBorders>
          </w:tcPr>
          <w:p w:rsidR="00277893" w:rsidRPr="00BA3C4F" w:rsidRDefault="00277893" w:rsidP="00837738">
            <w:pPr>
              <w:ind w:left="57"/>
            </w:pPr>
            <w:r w:rsidRPr="00BA3C4F">
              <w:t>3.</w:t>
            </w:r>
          </w:p>
        </w:tc>
        <w:tc>
          <w:tcPr>
            <w:tcW w:w="2693" w:type="dxa"/>
            <w:tcBorders>
              <w:top w:val="outset" w:sz="6" w:space="0" w:color="auto"/>
              <w:left w:val="outset" w:sz="6" w:space="0" w:color="auto"/>
              <w:bottom w:val="outset" w:sz="6" w:space="0" w:color="auto"/>
              <w:right w:val="outset" w:sz="6" w:space="0" w:color="auto"/>
            </w:tcBorders>
          </w:tcPr>
          <w:p w:rsidR="00277893" w:rsidRPr="00BA3C4F" w:rsidRDefault="00277893" w:rsidP="00837738">
            <w:pPr>
              <w:ind w:left="57"/>
            </w:pPr>
            <w:r w:rsidRPr="00BA3C4F">
              <w:t>Cita informācija</w:t>
            </w:r>
          </w:p>
        </w:tc>
        <w:tc>
          <w:tcPr>
            <w:tcW w:w="5953" w:type="dxa"/>
            <w:tcBorders>
              <w:top w:val="outset" w:sz="6" w:space="0" w:color="auto"/>
              <w:left w:val="outset" w:sz="6" w:space="0" w:color="auto"/>
              <w:bottom w:val="outset" w:sz="6" w:space="0" w:color="auto"/>
            </w:tcBorders>
          </w:tcPr>
          <w:p w:rsidR="00277893" w:rsidRPr="00BA3C4F" w:rsidRDefault="00277893" w:rsidP="00837738">
            <w:pPr>
              <w:ind w:left="57"/>
            </w:pPr>
            <w:r>
              <w:t>Nav attiecināms</w:t>
            </w:r>
          </w:p>
        </w:tc>
      </w:tr>
    </w:tbl>
    <w:p w:rsidR="00277893" w:rsidRDefault="00277893" w:rsidP="006359CA">
      <w:pPr>
        <w:autoSpaceDE w:val="0"/>
        <w:autoSpaceDN w:val="0"/>
        <w:adjustRightInd w:val="0"/>
        <w:jc w:val="center"/>
        <w:rPr>
          <w:b/>
          <w:noProof/>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984"/>
        <w:gridCol w:w="1985"/>
        <w:gridCol w:w="2517"/>
      </w:tblGrid>
      <w:tr w:rsidR="00277893" w:rsidRPr="003672FF" w:rsidTr="00837738">
        <w:tc>
          <w:tcPr>
            <w:tcW w:w="9288" w:type="dxa"/>
            <w:gridSpan w:val="4"/>
            <w:vAlign w:val="center"/>
          </w:tcPr>
          <w:p w:rsidR="00277893" w:rsidRPr="003672FF" w:rsidRDefault="00277893" w:rsidP="00837738">
            <w:pPr>
              <w:pStyle w:val="naisnod"/>
              <w:spacing w:before="0" w:beforeAutospacing="0" w:after="0" w:afterAutospacing="0"/>
              <w:jc w:val="center"/>
              <w:rPr>
                <w:b/>
              </w:rPr>
            </w:pPr>
            <w:r w:rsidRPr="003672FF">
              <w:rPr>
                <w:b/>
              </w:rPr>
              <w:t>1.tabula</w:t>
            </w:r>
          </w:p>
          <w:p w:rsidR="00277893" w:rsidRPr="003672FF" w:rsidRDefault="00277893" w:rsidP="00837738">
            <w:pPr>
              <w:autoSpaceDE w:val="0"/>
              <w:autoSpaceDN w:val="0"/>
              <w:adjustRightInd w:val="0"/>
              <w:jc w:val="center"/>
              <w:rPr>
                <w:b/>
                <w:i/>
              </w:rPr>
            </w:pPr>
            <w:r w:rsidRPr="003672FF">
              <w:rPr>
                <w:b/>
              </w:rPr>
              <w:t>Tiesību akta projekta atbilstība ES tiesību aktiem</w:t>
            </w:r>
          </w:p>
        </w:tc>
      </w:tr>
      <w:tr w:rsidR="00277893" w:rsidRPr="003672FF" w:rsidTr="00837738">
        <w:trPr>
          <w:trHeight w:val="840"/>
        </w:trPr>
        <w:tc>
          <w:tcPr>
            <w:tcW w:w="2802" w:type="dxa"/>
          </w:tcPr>
          <w:p w:rsidR="00277893" w:rsidRPr="00A21204" w:rsidRDefault="00277893" w:rsidP="00837738">
            <w:pPr>
              <w:pStyle w:val="naiskr"/>
              <w:spacing w:before="0" w:beforeAutospacing="0" w:after="0" w:afterAutospacing="0"/>
              <w:jc w:val="center"/>
            </w:pPr>
            <w:r w:rsidRPr="00A21204">
              <w:t>Attiecīgā ES tiesību akta datums, numurs un nosaukums</w:t>
            </w:r>
          </w:p>
        </w:tc>
        <w:tc>
          <w:tcPr>
            <w:tcW w:w="6486" w:type="dxa"/>
            <w:gridSpan w:val="3"/>
          </w:tcPr>
          <w:p w:rsidR="00277893" w:rsidRPr="00A21204" w:rsidRDefault="00277893" w:rsidP="00837738">
            <w:pPr>
              <w:ind w:left="57"/>
              <w:jc w:val="center"/>
            </w:pPr>
            <w:r w:rsidRPr="00A21204">
              <w:rPr>
                <w:bCs/>
              </w:rPr>
              <w:t xml:space="preserve">Ar </w:t>
            </w:r>
            <w:r w:rsidRPr="00A21204">
              <w:t xml:space="preserve">MK noteikumu grozījumu projektu </w:t>
            </w:r>
            <w:r w:rsidRPr="00A21204">
              <w:rPr>
                <w:bCs/>
              </w:rPr>
              <w:t>tiks pārņemt</w:t>
            </w:r>
            <w:r>
              <w:rPr>
                <w:bCs/>
              </w:rPr>
              <w:t>i</w:t>
            </w:r>
            <w:r w:rsidRPr="00A21204">
              <w:rPr>
                <w:bCs/>
              </w:rPr>
              <w:t xml:space="preserve"> </w:t>
            </w:r>
            <w:r w:rsidRPr="00EC2AEC">
              <w:t xml:space="preserve">Komisijas </w:t>
            </w:r>
            <w:r>
              <w:t xml:space="preserve">lēmumā </w:t>
            </w:r>
            <w:r w:rsidRPr="00EC2AEC">
              <w:t>noteiktie kompensācijas aprēķināšanas nosacījumi</w:t>
            </w:r>
          </w:p>
        </w:tc>
      </w:tr>
      <w:tr w:rsidR="00277893" w:rsidRPr="003672FF" w:rsidTr="00837738">
        <w:tc>
          <w:tcPr>
            <w:tcW w:w="2802" w:type="dxa"/>
            <w:vAlign w:val="center"/>
          </w:tcPr>
          <w:p w:rsidR="00277893" w:rsidRPr="00A21204" w:rsidRDefault="00277893" w:rsidP="00837738">
            <w:pPr>
              <w:pStyle w:val="naiskr"/>
              <w:spacing w:before="0" w:beforeAutospacing="0" w:after="0" w:afterAutospacing="0"/>
              <w:jc w:val="center"/>
            </w:pPr>
            <w:r w:rsidRPr="00A21204">
              <w:t>A</w:t>
            </w:r>
          </w:p>
        </w:tc>
        <w:tc>
          <w:tcPr>
            <w:tcW w:w="1984" w:type="dxa"/>
            <w:vAlign w:val="center"/>
          </w:tcPr>
          <w:p w:rsidR="00277893" w:rsidRPr="00A21204" w:rsidRDefault="00277893" w:rsidP="00837738">
            <w:pPr>
              <w:pStyle w:val="naiskr"/>
              <w:spacing w:before="0" w:beforeAutospacing="0" w:after="0" w:afterAutospacing="0"/>
              <w:jc w:val="center"/>
            </w:pPr>
            <w:r w:rsidRPr="00A21204">
              <w:t>B</w:t>
            </w:r>
          </w:p>
        </w:tc>
        <w:tc>
          <w:tcPr>
            <w:tcW w:w="1985" w:type="dxa"/>
            <w:vAlign w:val="center"/>
          </w:tcPr>
          <w:p w:rsidR="00277893" w:rsidRPr="00A21204" w:rsidRDefault="00277893" w:rsidP="00837738">
            <w:pPr>
              <w:pStyle w:val="naiskr"/>
              <w:spacing w:before="0" w:beforeAutospacing="0" w:after="0" w:afterAutospacing="0"/>
              <w:jc w:val="center"/>
            </w:pPr>
            <w:r w:rsidRPr="00A21204">
              <w:t>C</w:t>
            </w:r>
          </w:p>
        </w:tc>
        <w:tc>
          <w:tcPr>
            <w:tcW w:w="2517" w:type="dxa"/>
            <w:vAlign w:val="center"/>
          </w:tcPr>
          <w:p w:rsidR="00277893" w:rsidRPr="00A21204" w:rsidRDefault="00277893" w:rsidP="00837738">
            <w:pPr>
              <w:pStyle w:val="naiskr"/>
              <w:spacing w:before="0" w:beforeAutospacing="0" w:after="0" w:afterAutospacing="0"/>
              <w:jc w:val="center"/>
            </w:pPr>
            <w:r w:rsidRPr="00A21204">
              <w:t>D</w:t>
            </w:r>
          </w:p>
        </w:tc>
      </w:tr>
      <w:tr w:rsidR="00277893" w:rsidRPr="003672FF" w:rsidTr="00837738">
        <w:tc>
          <w:tcPr>
            <w:tcW w:w="2802" w:type="dxa"/>
          </w:tcPr>
          <w:p w:rsidR="00277893" w:rsidRPr="00A21204" w:rsidRDefault="00277893" w:rsidP="00837738">
            <w:pPr>
              <w:pStyle w:val="naiskr"/>
              <w:spacing w:before="0" w:beforeAutospacing="0" w:after="0" w:afterAutospacing="0"/>
            </w:pPr>
            <w:r w:rsidRPr="00A21204">
              <w:t xml:space="preserve">Attiecīgā ES tiesību akta panta numurs (uzskaitot katru tiesību akta </w:t>
            </w:r>
            <w:r w:rsidRPr="00A21204">
              <w:br/>
              <w:t>vienību – pantu, daļu, punktu, apakšpunktu)</w:t>
            </w:r>
          </w:p>
        </w:tc>
        <w:tc>
          <w:tcPr>
            <w:tcW w:w="1984" w:type="dxa"/>
          </w:tcPr>
          <w:p w:rsidR="00277893" w:rsidRPr="00A21204" w:rsidRDefault="00277893" w:rsidP="00837738">
            <w:pPr>
              <w:pStyle w:val="naiskr"/>
              <w:spacing w:before="0" w:beforeAutospacing="0" w:after="0" w:afterAutospacing="0"/>
            </w:pPr>
            <w:r w:rsidRPr="00A21204">
              <w:t>Projekta vienība, kas pārņem vai ievieš katru šīs tabulas A ailē minēto ES tiesību akta vienību</w:t>
            </w:r>
          </w:p>
        </w:tc>
        <w:tc>
          <w:tcPr>
            <w:tcW w:w="1985" w:type="dxa"/>
          </w:tcPr>
          <w:p w:rsidR="00277893" w:rsidRPr="00A21204" w:rsidRDefault="00277893" w:rsidP="00837738">
            <w:pPr>
              <w:pStyle w:val="naiskr"/>
              <w:spacing w:before="0" w:beforeAutospacing="0" w:after="0" w:afterAutospacing="0"/>
            </w:pPr>
            <w:r w:rsidRPr="00A21204">
              <w:t>Informācija par to, vai šīs tabulas A ailē minētās ES tiesību akta vienības tiek pārņemtas vai ieviestas pilnībā vai daļēji.</w:t>
            </w:r>
          </w:p>
        </w:tc>
        <w:tc>
          <w:tcPr>
            <w:tcW w:w="2517" w:type="dxa"/>
          </w:tcPr>
          <w:p w:rsidR="00277893" w:rsidRPr="00A21204" w:rsidRDefault="00277893" w:rsidP="00837738">
            <w:pPr>
              <w:pStyle w:val="naiskr"/>
              <w:spacing w:before="0" w:beforeAutospacing="0" w:after="0" w:afterAutospacing="0"/>
            </w:pPr>
            <w:r w:rsidRPr="00A21204">
              <w:t>Informācija par to, vai šīs tabulas B ailē minētās projekta vienības paredz stingrākas prasības nekā šīs tabulas A ailē minētās ES tiesību akta vienības.</w:t>
            </w:r>
          </w:p>
        </w:tc>
      </w:tr>
      <w:tr w:rsidR="00277893" w:rsidRPr="003672FF" w:rsidTr="00837738">
        <w:tc>
          <w:tcPr>
            <w:tcW w:w="2802" w:type="dxa"/>
          </w:tcPr>
          <w:p w:rsidR="00277893" w:rsidRPr="007E795C" w:rsidRDefault="00277893" w:rsidP="007E795C">
            <w:pPr>
              <w:jc w:val="both"/>
              <w:rPr>
                <w:bCs/>
              </w:rPr>
            </w:pPr>
            <w:r w:rsidRPr="007E795C">
              <w:rPr>
                <w:bCs/>
              </w:rPr>
              <w:t>Komisijas lēmuma 5.panta 1.</w:t>
            </w:r>
            <w:r>
              <w:rPr>
                <w:bCs/>
              </w:rPr>
              <w:t>-5., 8. un 9.</w:t>
            </w:r>
            <w:r w:rsidRPr="007E795C">
              <w:rPr>
                <w:bCs/>
              </w:rPr>
              <w:t>punkts</w:t>
            </w:r>
          </w:p>
        </w:tc>
        <w:tc>
          <w:tcPr>
            <w:tcW w:w="1984" w:type="dxa"/>
          </w:tcPr>
          <w:p w:rsidR="00277893" w:rsidRPr="00A21204" w:rsidDel="008D2C1D" w:rsidRDefault="00277893" w:rsidP="00160053">
            <w:pPr>
              <w:rPr>
                <w:lang w:eastAsia="en-GB"/>
              </w:rPr>
            </w:pPr>
            <w:r>
              <w:rPr>
                <w:lang w:eastAsia="en-GB"/>
              </w:rPr>
              <w:t xml:space="preserve">Noteikumu </w:t>
            </w:r>
            <w:r w:rsidRPr="007A4D6B">
              <w:rPr>
                <w:lang w:eastAsia="en-GB"/>
              </w:rPr>
              <w:t xml:space="preserve">projekta </w:t>
            </w:r>
            <w:r>
              <w:rPr>
                <w:lang w:eastAsia="en-GB"/>
              </w:rPr>
              <w:t>5</w:t>
            </w:r>
            <w:r w:rsidRPr="007E795C">
              <w:rPr>
                <w:lang w:eastAsia="en-GB"/>
              </w:rPr>
              <w:t>.</w:t>
            </w:r>
            <w:r>
              <w:rPr>
                <w:lang w:eastAsia="en-GB"/>
              </w:rPr>
              <w:t>, 12., 13. un 15.</w:t>
            </w:r>
            <w:r w:rsidRPr="007E795C">
              <w:rPr>
                <w:lang w:eastAsia="en-GB"/>
              </w:rPr>
              <w:t>punkts</w:t>
            </w:r>
          </w:p>
        </w:tc>
        <w:tc>
          <w:tcPr>
            <w:tcW w:w="1985" w:type="dxa"/>
          </w:tcPr>
          <w:p w:rsidR="00277893" w:rsidRPr="00A21204" w:rsidRDefault="00277893" w:rsidP="00F13ECE">
            <w:pPr>
              <w:pStyle w:val="naiskr"/>
              <w:spacing w:before="0" w:beforeAutospacing="0" w:after="0" w:afterAutospacing="0"/>
            </w:pPr>
            <w:r w:rsidRPr="00A21204">
              <w:t xml:space="preserve">Pārņemta  pilnībā attiecībā uz </w:t>
            </w:r>
            <w:r w:rsidRPr="000427CE">
              <w:t>3.1.5.3.1.</w:t>
            </w:r>
            <w:r>
              <w:t xml:space="preserve"> </w:t>
            </w:r>
            <w:proofErr w:type="spellStart"/>
            <w:r w:rsidRPr="000427CE">
              <w:t>apakšaktivitātes</w:t>
            </w:r>
            <w:proofErr w:type="spellEnd"/>
            <w:r w:rsidRPr="000427CE">
              <w:t xml:space="preserve"> </w:t>
            </w:r>
            <w:r w:rsidRPr="00A21204">
              <w:t>atbalstu.</w:t>
            </w:r>
          </w:p>
        </w:tc>
        <w:tc>
          <w:tcPr>
            <w:tcW w:w="2517" w:type="dxa"/>
          </w:tcPr>
          <w:p w:rsidR="00277893" w:rsidRPr="00A21204" w:rsidRDefault="00277893" w:rsidP="00837738">
            <w:pPr>
              <w:pStyle w:val="naiskr"/>
              <w:spacing w:before="0" w:beforeAutospacing="0" w:after="0" w:afterAutospacing="0"/>
              <w:jc w:val="both"/>
            </w:pPr>
            <w:r w:rsidRPr="00A21204">
              <w:t>Neparedz stingrākas prasības.</w:t>
            </w:r>
          </w:p>
        </w:tc>
      </w:tr>
      <w:tr w:rsidR="00277893" w:rsidRPr="003672FF" w:rsidTr="00837738">
        <w:tc>
          <w:tcPr>
            <w:tcW w:w="2802" w:type="dxa"/>
          </w:tcPr>
          <w:p w:rsidR="00277893" w:rsidRPr="007E795C" w:rsidRDefault="00277893" w:rsidP="007E795C">
            <w:pPr>
              <w:jc w:val="both"/>
              <w:rPr>
                <w:bCs/>
              </w:rPr>
            </w:pPr>
            <w:r w:rsidRPr="007E795C">
              <w:rPr>
                <w:bCs/>
              </w:rPr>
              <w:t xml:space="preserve">Komisijas lēmuma </w:t>
            </w:r>
            <w:r>
              <w:rPr>
                <w:bCs/>
              </w:rPr>
              <w:t>6</w:t>
            </w:r>
            <w:r w:rsidRPr="007E795C">
              <w:rPr>
                <w:bCs/>
              </w:rPr>
              <w:t xml:space="preserve">.panta </w:t>
            </w:r>
            <w:r>
              <w:rPr>
                <w:bCs/>
              </w:rPr>
              <w:t>1</w:t>
            </w:r>
            <w:r w:rsidRPr="007E795C">
              <w:rPr>
                <w:bCs/>
              </w:rPr>
              <w:t>.</w:t>
            </w:r>
            <w:r>
              <w:rPr>
                <w:bCs/>
              </w:rPr>
              <w:t xml:space="preserve"> un 2.</w:t>
            </w:r>
            <w:r w:rsidRPr="007E795C">
              <w:rPr>
                <w:bCs/>
              </w:rPr>
              <w:t>punkts</w:t>
            </w:r>
          </w:p>
        </w:tc>
        <w:tc>
          <w:tcPr>
            <w:tcW w:w="1984" w:type="dxa"/>
          </w:tcPr>
          <w:p w:rsidR="00277893" w:rsidRDefault="00277893" w:rsidP="00160053">
            <w:pPr>
              <w:jc w:val="both"/>
              <w:rPr>
                <w:lang w:eastAsia="en-GB"/>
              </w:rPr>
            </w:pPr>
            <w:r>
              <w:rPr>
                <w:lang w:eastAsia="en-GB"/>
              </w:rPr>
              <w:t xml:space="preserve">Noteikumu </w:t>
            </w:r>
            <w:r w:rsidRPr="007A4D6B">
              <w:rPr>
                <w:lang w:eastAsia="en-GB"/>
              </w:rPr>
              <w:t xml:space="preserve">projekta </w:t>
            </w:r>
            <w:r>
              <w:rPr>
                <w:lang w:eastAsia="en-GB"/>
              </w:rPr>
              <w:t>5</w:t>
            </w:r>
            <w:r w:rsidRPr="007E795C">
              <w:rPr>
                <w:lang w:eastAsia="en-GB"/>
              </w:rPr>
              <w:t>.</w:t>
            </w:r>
            <w:r>
              <w:rPr>
                <w:lang w:eastAsia="en-GB"/>
              </w:rPr>
              <w:t>, 12., 13. un 15.</w:t>
            </w:r>
            <w:r w:rsidRPr="007E795C">
              <w:rPr>
                <w:lang w:eastAsia="en-GB"/>
              </w:rPr>
              <w:t>punkts</w:t>
            </w:r>
          </w:p>
        </w:tc>
        <w:tc>
          <w:tcPr>
            <w:tcW w:w="1985" w:type="dxa"/>
          </w:tcPr>
          <w:p w:rsidR="00277893" w:rsidRPr="00A21204" w:rsidRDefault="00277893" w:rsidP="00F13ECE">
            <w:pPr>
              <w:pStyle w:val="naiskr"/>
              <w:spacing w:before="0" w:beforeAutospacing="0" w:after="0" w:afterAutospacing="0"/>
            </w:pPr>
            <w:r w:rsidRPr="00A21204">
              <w:t xml:space="preserve">Pārņemta  pilnībā attiecībā uz </w:t>
            </w:r>
            <w:r w:rsidRPr="000427CE">
              <w:t>3.1.5.3.1.</w:t>
            </w:r>
            <w:r>
              <w:t xml:space="preserve"> </w:t>
            </w:r>
            <w:proofErr w:type="spellStart"/>
            <w:r w:rsidRPr="000427CE">
              <w:t>apakšaktivitātes</w:t>
            </w:r>
            <w:proofErr w:type="spellEnd"/>
            <w:r w:rsidRPr="000427CE">
              <w:t xml:space="preserve"> </w:t>
            </w:r>
            <w:r w:rsidRPr="00A21204">
              <w:t>atbalstu.</w:t>
            </w:r>
          </w:p>
        </w:tc>
        <w:tc>
          <w:tcPr>
            <w:tcW w:w="2517" w:type="dxa"/>
          </w:tcPr>
          <w:p w:rsidR="00277893" w:rsidRPr="00A21204" w:rsidRDefault="00277893" w:rsidP="00837738">
            <w:pPr>
              <w:pStyle w:val="naiskr"/>
              <w:spacing w:before="0" w:beforeAutospacing="0" w:after="0" w:afterAutospacing="0"/>
              <w:jc w:val="both"/>
            </w:pPr>
            <w:r w:rsidRPr="00A21204">
              <w:t>Neparedz stingrākas prasības.</w:t>
            </w:r>
          </w:p>
        </w:tc>
      </w:tr>
      <w:tr w:rsidR="00277893" w:rsidRPr="003672FF" w:rsidTr="00837738">
        <w:tc>
          <w:tcPr>
            <w:tcW w:w="2802" w:type="dxa"/>
            <w:vAlign w:val="center"/>
          </w:tcPr>
          <w:p w:rsidR="00277893" w:rsidRPr="00A21204" w:rsidRDefault="00277893" w:rsidP="00837738">
            <w:pPr>
              <w:rPr>
                <w:i/>
              </w:rPr>
            </w:pPr>
            <w:r w:rsidRPr="00A2120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6" w:type="dxa"/>
            <w:gridSpan w:val="3"/>
          </w:tcPr>
          <w:p w:rsidR="00277893" w:rsidRPr="00A21204" w:rsidRDefault="00277893" w:rsidP="00837738">
            <w:pPr>
              <w:autoSpaceDE w:val="0"/>
              <w:autoSpaceDN w:val="0"/>
              <w:adjustRightInd w:val="0"/>
              <w:rPr>
                <w:i/>
              </w:rPr>
            </w:pPr>
            <w:r w:rsidRPr="00A21204">
              <w:rPr>
                <w:color w:val="2A2A2A"/>
              </w:rPr>
              <w:t>Projekts šo jomu neskar.</w:t>
            </w:r>
            <w:r w:rsidRPr="00A21204">
              <w:rPr>
                <w:i/>
              </w:rPr>
              <w:t xml:space="preserve"> </w:t>
            </w:r>
          </w:p>
        </w:tc>
      </w:tr>
      <w:tr w:rsidR="00277893" w:rsidRPr="003672FF" w:rsidTr="00837738">
        <w:tc>
          <w:tcPr>
            <w:tcW w:w="2802" w:type="dxa"/>
          </w:tcPr>
          <w:p w:rsidR="00277893" w:rsidRPr="00A21204" w:rsidRDefault="00277893" w:rsidP="00837738">
            <w:pPr>
              <w:pStyle w:val="naiskr"/>
              <w:spacing w:before="0" w:beforeAutospacing="0" w:after="0" w:afterAutospacing="0"/>
              <w:rPr>
                <w:i/>
              </w:rPr>
            </w:pPr>
            <w:r w:rsidRPr="00A21204">
              <w:t>Cita informācija</w:t>
            </w:r>
          </w:p>
        </w:tc>
        <w:tc>
          <w:tcPr>
            <w:tcW w:w="6486" w:type="dxa"/>
            <w:gridSpan w:val="3"/>
          </w:tcPr>
          <w:p w:rsidR="00277893" w:rsidRPr="00A21204" w:rsidRDefault="00277893" w:rsidP="00837738">
            <w:pPr>
              <w:autoSpaceDE w:val="0"/>
              <w:autoSpaceDN w:val="0"/>
              <w:adjustRightInd w:val="0"/>
              <w:rPr>
                <w:i/>
              </w:rPr>
            </w:pPr>
            <w:r w:rsidRPr="00A21204">
              <w:t>Nav.</w:t>
            </w:r>
          </w:p>
        </w:tc>
      </w:tr>
    </w:tbl>
    <w:p w:rsidR="00277893" w:rsidRDefault="00277893" w:rsidP="006359CA">
      <w:pPr>
        <w:autoSpaceDE w:val="0"/>
        <w:autoSpaceDN w:val="0"/>
        <w:adjustRightInd w:val="0"/>
        <w:jc w:val="center"/>
        <w:rPr>
          <w:b/>
          <w:noProof/>
        </w:rPr>
      </w:pPr>
    </w:p>
    <w:p w:rsidR="00277893" w:rsidRPr="002F1241" w:rsidRDefault="00277893" w:rsidP="002F1241">
      <w:pPr>
        <w:autoSpaceDE w:val="0"/>
        <w:autoSpaceDN w:val="0"/>
        <w:adjustRightInd w:val="0"/>
        <w:jc w:val="center"/>
        <w:rPr>
          <w:b/>
          <w:noProof/>
          <w:sz w:val="28"/>
          <w:szCs w:val="28"/>
        </w:rPr>
      </w:pPr>
      <w:r w:rsidRPr="007141EE">
        <w:rPr>
          <w:b/>
          <w:lang w:eastAsia="lv-LV" w:bidi="lo-LA"/>
        </w:rPr>
        <w:t xml:space="preserve">Anotācijas </w:t>
      </w:r>
      <w:proofErr w:type="spellStart"/>
      <w:r w:rsidRPr="007141EE">
        <w:rPr>
          <w:b/>
          <w:bCs/>
          <w:lang w:eastAsia="lv-LV" w:bidi="lo-LA"/>
        </w:rPr>
        <w:t>VI.sadaļa</w:t>
      </w:r>
      <w:proofErr w:type="spellEnd"/>
      <w:r w:rsidRPr="007141EE">
        <w:rPr>
          <w:b/>
          <w:bCs/>
          <w:lang w:eastAsia="lv-LV" w:bidi="lo-LA"/>
        </w:rPr>
        <w:t xml:space="preserve"> -  </w:t>
      </w:r>
      <w:r>
        <w:rPr>
          <w:b/>
          <w:color w:val="2A2A2A"/>
        </w:rPr>
        <w:t>projekts šo jomu</w:t>
      </w:r>
      <w:r w:rsidRPr="007141EE">
        <w:rPr>
          <w:b/>
          <w:color w:val="2A2A2A"/>
        </w:rPr>
        <w:t xml:space="preserve"> neskar</w:t>
      </w:r>
      <w:r w:rsidRPr="007141EE">
        <w:rPr>
          <w:b/>
          <w:bCs/>
          <w:lang w:eastAsia="lv-LV" w:bidi="lo-L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
        <w:gridCol w:w="3421"/>
        <w:gridCol w:w="5210"/>
      </w:tblGrid>
      <w:tr w:rsidR="00277893" w:rsidRPr="00957553" w:rsidTr="00471B09">
        <w:trPr>
          <w:trHeight w:val="527"/>
        </w:trPr>
        <w:tc>
          <w:tcPr>
            <w:tcW w:w="9287" w:type="dxa"/>
            <w:gridSpan w:val="3"/>
            <w:vAlign w:val="center"/>
          </w:tcPr>
          <w:p w:rsidR="00277893" w:rsidRPr="00957553" w:rsidRDefault="00277893" w:rsidP="00F05A22">
            <w:pPr>
              <w:rPr>
                <w:lang w:eastAsia="lv-LV" w:bidi="lo-LA"/>
              </w:rPr>
            </w:pPr>
            <w:r w:rsidRPr="00957553">
              <w:rPr>
                <w:b/>
                <w:bCs/>
                <w:lang w:eastAsia="lv-LV" w:bidi="lo-LA"/>
              </w:rPr>
              <w:t>VII. Tiesību akta projekta izpildes nodrošināšana un tās ietekme uz institūcijām</w:t>
            </w:r>
          </w:p>
        </w:tc>
      </w:tr>
      <w:tr w:rsidR="00277893" w:rsidRPr="00957553" w:rsidTr="00DB08F6">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1.</w:t>
            </w:r>
          </w:p>
        </w:tc>
        <w:tc>
          <w:tcPr>
            <w:tcW w:w="3421" w:type="dxa"/>
          </w:tcPr>
          <w:p w:rsidR="00277893" w:rsidRPr="00957553" w:rsidRDefault="00277893" w:rsidP="00C37452">
            <w:pPr>
              <w:rPr>
                <w:lang w:eastAsia="lv-LV" w:bidi="lo-LA"/>
              </w:rPr>
            </w:pPr>
            <w:r w:rsidRPr="00957553">
              <w:rPr>
                <w:lang w:eastAsia="lv-LV" w:bidi="lo-LA"/>
              </w:rPr>
              <w:t xml:space="preserve">Projekta izpildē iesaistītās </w:t>
            </w:r>
            <w:r w:rsidRPr="00957553">
              <w:rPr>
                <w:lang w:eastAsia="lv-LV" w:bidi="lo-LA"/>
              </w:rPr>
              <w:lastRenderedPageBreak/>
              <w:t>institūcijas</w:t>
            </w:r>
          </w:p>
        </w:tc>
        <w:tc>
          <w:tcPr>
            <w:tcW w:w="5210" w:type="dxa"/>
          </w:tcPr>
          <w:p w:rsidR="00277893" w:rsidRDefault="00277893" w:rsidP="00FA22FB">
            <w:pPr>
              <w:rPr>
                <w:lang w:eastAsia="lv-LV" w:bidi="lo-LA"/>
              </w:rPr>
            </w:pPr>
            <w:r w:rsidRPr="00957553">
              <w:rPr>
                <w:lang w:eastAsia="lv-LV" w:bidi="lo-LA"/>
              </w:rPr>
              <w:lastRenderedPageBreak/>
              <w:t>Veselības ministrija;</w:t>
            </w:r>
          </w:p>
          <w:p w:rsidR="00277893" w:rsidRPr="00957553" w:rsidRDefault="00277893" w:rsidP="00FA22FB">
            <w:pPr>
              <w:rPr>
                <w:lang w:eastAsia="lv-LV" w:bidi="lo-LA"/>
              </w:rPr>
            </w:pPr>
            <w:r>
              <w:rPr>
                <w:lang w:eastAsia="lv-LV" w:bidi="lo-LA"/>
              </w:rPr>
              <w:lastRenderedPageBreak/>
              <w:t xml:space="preserve">Veselības ministrijas </w:t>
            </w:r>
            <w:r w:rsidRPr="00957553">
              <w:rPr>
                <w:lang w:eastAsia="lv-LV" w:bidi="lo-LA"/>
              </w:rPr>
              <w:t>padotības iestāde –</w:t>
            </w:r>
            <w:r>
              <w:rPr>
                <w:lang w:eastAsia="lv-LV" w:bidi="lo-LA"/>
              </w:rPr>
              <w:t xml:space="preserve"> Nacionālais veselības dienests;</w:t>
            </w:r>
          </w:p>
          <w:p w:rsidR="00277893" w:rsidRPr="00957553" w:rsidRDefault="00277893" w:rsidP="00BA558A">
            <w:pPr>
              <w:rPr>
                <w:lang w:eastAsia="lv-LV" w:bidi="lo-LA"/>
              </w:rPr>
            </w:pPr>
            <w:r>
              <w:rPr>
                <w:lang w:eastAsia="lv-LV" w:bidi="lo-LA"/>
              </w:rPr>
              <w:t>Finanšu</w:t>
            </w:r>
            <w:r w:rsidRPr="00957553">
              <w:rPr>
                <w:lang w:eastAsia="lv-LV" w:bidi="lo-LA"/>
              </w:rPr>
              <w:t xml:space="preserve"> ministrijas padotības iestāde – </w:t>
            </w:r>
            <w:r>
              <w:rPr>
                <w:lang w:eastAsia="lv-LV" w:bidi="lo-LA"/>
              </w:rPr>
              <w:t>Centrālā finanšu un līgumu aģentūra</w:t>
            </w:r>
            <w:r w:rsidRPr="00957553">
              <w:rPr>
                <w:lang w:eastAsia="lv-LV" w:bidi="lo-LA"/>
              </w:rPr>
              <w:t>.</w:t>
            </w:r>
          </w:p>
        </w:tc>
      </w:tr>
      <w:tr w:rsidR="00277893" w:rsidRPr="00957553" w:rsidTr="00DB08F6">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lastRenderedPageBreak/>
              <w:t> 2.</w:t>
            </w:r>
          </w:p>
        </w:tc>
        <w:tc>
          <w:tcPr>
            <w:tcW w:w="3421" w:type="dxa"/>
          </w:tcPr>
          <w:p w:rsidR="00277893" w:rsidRPr="00957553" w:rsidRDefault="00277893" w:rsidP="00C37452">
            <w:pPr>
              <w:rPr>
                <w:lang w:eastAsia="lv-LV" w:bidi="lo-LA"/>
              </w:rPr>
            </w:pPr>
            <w:r w:rsidRPr="00957553">
              <w:rPr>
                <w:lang w:eastAsia="lv-LV" w:bidi="lo-LA"/>
              </w:rPr>
              <w:t>Projekta izpildes ietekme uz pārvaldes funkcijām</w:t>
            </w:r>
          </w:p>
        </w:tc>
        <w:tc>
          <w:tcPr>
            <w:tcW w:w="5210" w:type="dxa"/>
          </w:tcPr>
          <w:p w:rsidR="00277893" w:rsidRDefault="00277893">
            <w:r w:rsidRPr="005E3721">
              <w:t>Projekts šo jomu neskar</w:t>
            </w:r>
            <w:r>
              <w:t>.</w:t>
            </w:r>
          </w:p>
        </w:tc>
      </w:tr>
      <w:tr w:rsidR="00277893" w:rsidRPr="00957553" w:rsidTr="00DB08F6">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3.</w:t>
            </w:r>
          </w:p>
        </w:tc>
        <w:tc>
          <w:tcPr>
            <w:tcW w:w="3421" w:type="dxa"/>
          </w:tcPr>
          <w:p w:rsidR="00277893" w:rsidRPr="00957553" w:rsidRDefault="00277893" w:rsidP="00C37452">
            <w:pPr>
              <w:rPr>
                <w:lang w:eastAsia="lv-LV" w:bidi="lo-LA"/>
              </w:rPr>
            </w:pPr>
            <w:r w:rsidRPr="00957553">
              <w:rPr>
                <w:lang w:eastAsia="lv-LV" w:bidi="lo-LA"/>
              </w:rPr>
              <w:t>Projekta izpildes ietekme uz pārvaldes institucionālo struktūru.</w:t>
            </w:r>
          </w:p>
          <w:p w:rsidR="00277893" w:rsidRPr="00957553" w:rsidRDefault="00277893" w:rsidP="00C37452">
            <w:pPr>
              <w:rPr>
                <w:lang w:eastAsia="lv-LV" w:bidi="lo-LA"/>
              </w:rPr>
            </w:pPr>
            <w:r w:rsidRPr="00957553">
              <w:rPr>
                <w:lang w:eastAsia="lv-LV" w:bidi="lo-LA"/>
              </w:rPr>
              <w:t>Jaunu institūciju izveide</w:t>
            </w:r>
          </w:p>
        </w:tc>
        <w:tc>
          <w:tcPr>
            <w:tcW w:w="5210" w:type="dxa"/>
          </w:tcPr>
          <w:p w:rsidR="00277893" w:rsidRDefault="00277893">
            <w:r w:rsidRPr="005E3721">
              <w:t>Projekts šo jomu neskar</w:t>
            </w:r>
            <w:r>
              <w:t>.</w:t>
            </w:r>
          </w:p>
        </w:tc>
      </w:tr>
      <w:tr w:rsidR="00277893" w:rsidRPr="00957553" w:rsidTr="00DB08F6">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4.</w:t>
            </w:r>
          </w:p>
        </w:tc>
        <w:tc>
          <w:tcPr>
            <w:tcW w:w="3421" w:type="dxa"/>
          </w:tcPr>
          <w:p w:rsidR="00277893" w:rsidRPr="00957553" w:rsidRDefault="00277893" w:rsidP="00C37452">
            <w:pPr>
              <w:rPr>
                <w:lang w:eastAsia="lv-LV" w:bidi="lo-LA"/>
              </w:rPr>
            </w:pPr>
            <w:r w:rsidRPr="00957553">
              <w:rPr>
                <w:lang w:eastAsia="lv-LV" w:bidi="lo-LA"/>
              </w:rPr>
              <w:t>Projekta izpildes ietekme uz pārvaldes institucionālo struktūru.</w:t>
            </w:r>
          </w:p>
          <w:p w:rsidR="00277893" w:rsidRPr="00957553" w:rsidRDefault="00277893" w:rsidP="00C37452">
            <w:pPr>
              <w:rPr>
                <w:lang w:eastAsia="lv-LV" w:bidi="lo-LA"/>
              </w:rPr>
            </w:pPr>
            <w:r w:rsidRPr="00957553">
              <w:rPr>
                <w:lang w:eastAsia="lv-LV" w:bidi="lo-LA"/>
              </w:rPr>
              <w:t>Esošu institūciju likvidācija</w:t>
            </w:r>
          </w:p>
        </w:tc>
        <w:tc>
          <w:tcPr>
            <w:tcW w:w="5210" w:type="dxa"/>
          </w:tcPr>
          <w:p w:rsidR="00277893" w:rsidRDefault="00277893">
            <w:r w:rsidRPr="005E3721">
              <w:t>Projekts šo jomu neskar</w:t>
            </w:r>
            <w:r>
              <w:t>.</w:t>
            </w:r>
          </w:p>
        </w:tc>
      </w:tr>
      <w:tr w:rsidR="00277893" w:rsidRPr="00957553" w:rsidTr="00DB08F6">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5.</w:t>
            </w:r>
          </w:p>
        </w:tc>
        <w:tc>
          <w:tcPr>
            <w:tcW w:w="3421" w:type="dxa"/>
          </w:tcPr>
          <w:p w:rsidR="00277893" w:rsidRPr="00957553" w:rsidRDefault="00277893" w:rsidP="00C37452">
            <w:pPr>
              <w:rPr>
                <w:lang w:eastAsia="lv-LV" w:bidi="lo-LA"/>
              </w:rPr>
            </w:pPr>
            <w:r w:rsidRPr="00957553">
              <w:rPr>
                <w:lang w:eastAsia="lv-LV" w:bidi="lo-LA"/>
              </w:rPr>
              <w:t>Projekta izpildes ietekme uz pārvaldes institucionālo struktūru.</w:t>
            </w:r>
          </w:p>
          <w:p w:rsidR="00277893" w:rsidRPr="00957553" w:rsidRDefault="00277893" w:rsidP="00C37452">
            <w:pPr>
              <w:rPr>
                <w:lang w:eastAsia="lv-LV" w:bidi="lo-LA"/>
              </w:rPr>
            </w:pPr>
            <w:r w:rsidRPr="00957553">
              <w:rPr>
                <w:lang w:eastAsia="lv-LV" w:bidi="lo-LA"/>
              </w:rPr>
              <w:t>Esošu institūciju reorganizācija</w:t>
            </w:r>
          </w:p>
        </w:tc>
        <w:tc>
          <w:tcPr>
            <w:tcW w:w="5210" w:type="dxa"/>
          </w:tcPr>
          <w:p w:rsidR="00277893" w:rsidRDefault="00277893">
            <w:r w:rsidRPr="005E3721">
              <w:t>Projekts šo jomu neskar</w:t>
            </w:r>
            <w:r>
              <w:t>.</w:t>
            </w:r>
          </w:p>
        </w:tc>
      </w:tr>
      <w:tr w:rsidR="00277893" w:rsidRPr="00957553" w:rsidTr="00DB08F6">
        <w:tc>
          <w:tcPr>
            <w:tcW w:w="656" w:type="dxa"/>
          </w:tcPr>
          <w:p w:rsidR="00277893" w:rsidRPr="00957553" w:rsidRDefault="00277893" w:rsidP="001E3003">
            <w:pPr>
              <w:spacing w:before="100" w:beforeAutospacing="1" w:after="100" w:afterAutospacing="1"/>
              <w:rPr>
                <w:lang w:eastAsia="lv-LV" w:bidi="lo-LA"/>
              </w:rPr>
            </w:pPr>
            <w:r w:rsidRPr="00957553">
              <w:rPr>
                <w:lang w:eastAsia="lv-LV" w:bidi="lo-LA"/>
              </w:rPr>
              <w:t> 6.</w:t>
            </w:r>
          </w:p>
        </w:tc>
        <w:tc>
          <w:tcPr>
            <w:tcW w:w="3421" w:type="dxa"/>
          </w:tcPr>
          <w:p w:rsidR="00277893" w:rsidRPr="00957553" w:rsidRDefault="00277893" w:rsidP="00C37452">
            <w:pPr>
              <w:rPr>
                <w:lang w:eastAsia="lv-LV" w:bidi="lo-LA"/>
              </w:rPr>
            </w:pPr>
            <w:r w:rsidRPr="00957553">
              <w:rPr>
                <w:lang w:eastAsia="lv-LV" w:bidi="lo-LA"/>
              </w:rPr>
              <w:t>Cita informācija</w:t>
            </w:r>
          </w:p>
        </w:tc>
        <w:tc>
          <w:tcPr>
            <w:tcW w:w="5210" w:type="dxa"/>
          </w:tcPr>
          <w:p w:rsidR="00277893" w:rsidRPr="00957553" w:rsidRDefault="00277893" w:rsidP="00F05A22">
            <w:pPr>
              <w:rPr>
                <w:lang w:eastAsia="lv-LV" w:bidi="lo-LA"/>
              </w:rPr>
            </w:pPr>
            <w:r w:rsidRPr="00957553">
              <w:rPr>
                <w:lang w:eastAsia="lv-LV" w:bidi="lo-LA"/>
              </w:rPr>
              <w:t>Nav</w:t>
            </w:r>
          </w:p>
        </w:tc>
      </w:tr>
    </w:tbl>
    <w:p w:rsidR="00277893" w:rsidRDefault="00277893" w:rsidP="00F05A22">
      <w:pPr>
        <w:rPr>
          <w:lang w:eastAsia="lv-LV" w:bidi="lo-LA"/>
        </w:rPr>
      </w:pPr>
    </w:p>
    <w:p w:rsidR="00277893" w:rsidRDefault="00277893" w:rsidP="00533D0C">
      <w:pPr>
        <w:tabs>
          <w:tab w:val="left" w:pos="6804"/>
        </w:tabs>
        <w:rPr>
          <w:sz w:val="28"/>
          <w:szCs w:val="28"/>
          <w:lang w:eastAsia="lv-LV" w:bidi="lo-LA"/>
        </w:rPr>
      </w:pPr>
    </w:p>
    <w:p w:rsidR="00277893" w:rsidRPr="00DC19A2" w:rsidRDefault="00277893" w:rsidP="00DC19A2">
      <w:pPr>
        <w:autoSpaceDE w:val="0"/>
        <w:autoSpaceDN w:val="0"/>
        <w:adjustRightInd w:val="0"/>
        <w:rPr>
          <w:color w:val="000000"/>
          <w:sz w:val="28"/>
          <w:szCs w:val="28"/>
          <w:lang w:eastAsia="lv-LV"/>
        </w:rPr>
      </w:pPr>
      <w:r>
        <w:rPr>
          <w:color w:val="000000"/>
          <w:sz w:val="28"/>
          <w:szCs w:val="28"/>
          <w:lang w:eastAsia="lv-LV"/>
        </w:rPr>
        <w:t xml:space="preserve">Veselības ministre </w:t>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proofErr w:type="spellStart"/>
      <w:r>
        <w:rPr>
          <w:color w:val="000000"/>
          <w:sz w:val="28"/>
          <w:szCs w:val="28"/>
          <w:lang w:eastAsia="lv-LV"/>
        </w:rPr>
        <w:t>I.Circene</w:t>
      </w:r>
      <w:proofErr w:type="spellEnd"/>
    </w:p>
    <w:p w:rsidR="00277893" w:rsidRDefault="00277893" w:rsidP="00E97A91">
      <w:pPr>
        <w:ind w:right="4818"/>
        <w:rPr>
          <w:sz w:val="20"/>
          <w:szCs w:val="20"/>
        </w:rPr>
      </w:pPr>
    </w:p>
    <w:p w:rsidR="00277893" w:rsidRDefault="00277893" w:rsidP="00E97A91">
      <w:pPr>
        <w:ind w:right="4818"/>
        <w:rPr>
          <w:sz w:val="20"/>
          <w:szCs w:val="20"/>
        </w:rPr>
      </w:pPr>
    </w:p>
    <w:p w:rsidR="00277893" w:rsidRDefault="00277893" w:rsidP="00E97A91">
      <w:pPr>
        <w:ind w:right="4818"/>
        <w:rPr>
          <w:sz w:val="20"/>
          <w:szCs w:val="20"/>
        </w:rPr>
      </w:pPr>
    </w:p>
    <w:p w:rsidR="00277893" w:rsidRDefault="00277893" w:rsidP="00E97A91">
      <w:pPr>
        <w:ind w:right="4818"/>
        <w:rPr>
          <w:sz w:val="20"/>
          <w:szCs w:val="20"/>
        </w:rPr>
      </w:pPr>
    </w:p>
    <w:p w:rsidR="00277893" w:rsidRPr="00957553" w:rsidRDefault="00277893" w:rsidP="00E97A91">
      <w:pPr>
        <w:ind w:right="4818"/>
        <w:rPr>
          <w:sz w:val="20"/>
          <w:szCs w:val="20"/>
        </w:rPr>
      </w:pPr>
    </w:p>
    <w:p w:rsidR="0018142B" w:rsidRDefault="0018142B" w:rsidP="00354B0D">
      <w:pPr>
        <w:ind w:right="4818"/>
        <w:rPr>
          <w:sz w:val="20"/>
          <w:szCs w:val="20"/>
        </w:rPr>
      </w:pPr>
      <w:r>
        <w:rPr>
          <w:sz w:val="20"/>
          <w:szCs w:val="20"/>
        </w:rPr>
        <w:t>29.01.2013 14:41</w:t>
      </w:r>
    </w:p>
    <w:p w:rsidR="00277893" w:rsidRDefault="00A46848" w:rsidP="00354B0D">
      <w:pPr>
        <w:ind w:right="4818"/>
        <w:rPr>
          <w:sz w:val="20"/>
          <w:szCs w:val="20"/>
        </w:rPr>
      </w:pPr>
      <w:r>
        <w:fldChar w:fldCharType="begin"/>
      </w:r>
      <w:r w:rsidR="005C357B">
        <w:instrText xml:space="preserve"> NUMWORDS   \* MERGEFORMAT </w:instrText>
      </w:r>
      <w:r>
        <w:fldChar w:fldCharType="separate"/>
      </w:r>
      <w:r w:rsidR="0018142B" w:rsidRPr="0018142B">
        <w:rPr>
          <w:noProof/>
          <w:sz w:val="20"/>
          <w:szCs w:val="20"/>
        </w:rPr>
        <w:t>2944</w:t>
      </w:r>
      <w:r>
        <w:fldChar w:fldCharType="end"/>
      </w:r>
    </w:p>
    <w:p w:rsidR="00277893" w:rsidRPr="00957553" w:rsidRDefault="00277893" w:rsidP="00354B0D">
      <w:pPr>
        <w:ind w:right="4818"/>
        <w:rPr>
          <w:sz w:val="20"/>
          <w:szCs w:val="20"/>
        </w:rPr>
      </w:pPr>
      <w:proofErr w:type="spellStart"/>
      <w:r>
        <w:rPr>
          <w:sz w:val="20"/>
          <w:szCs w:val="20"/>
        </w:rPr>
        <w:t>N.Hamandikova</w:t>
      </w:r>
      <w:proofErr w:type="spellEnd"/>
      <w:r>
        <w:rPr>
          <w:sz w:val="20"/>
          <w:szCs w:val="20"/>
        </w:rPr>
        <w:t xml:space="preserve">, </w:t>
      </w:r>
      <w:bookmarkStart w:id="13" w:name="OLE_LINK7"/>
      <w:bookmarkStart w:id="14" w:name="OLE_LINK8"/>
      <w:r>
        <w:rPr>
          <w:sz w:val="20"/>
          <w:szCs w:val="20"/>
        </w:rPr>
        <w:t>67876090</w:t>
      </w:r>
    </w:p>
    <w:p w:rsidR="00277893" w:rsidRPr="00957553" w:rsidRDefault="00277893" w:rsidP="00354B0D">
      <w:pPr>
        <w:ind w:right="4818"/>
        <w:rPr>
          <w:sz w:val="20"/>
          <w:szCs w:val="20"/>
        </w:rPr>
      </w:pPr>
      <w:r>
        <w:rPr>
          <w:sz w:val="20"/>
          <w:szCs w:val="20"/>
        </w:rPr>
        <w:t>natalija.hamandikova</w:t>
      </w:r>
      <w:r w:rsidRPr="00957553">
        <w:rPr>
          <w:sz w:val="20"/>
          <w:szCs w:val="20"/>
        </w:rPr>
        <w:t>@vm.gov.lv</w:t>
      </w:r>
      <w:bookmarkEnd w:id="13"/>
      <w:bookmarkEnd w:id="14"/>
    </w:p>
    <w:sectPr w:rsidR="00277893" w:rsidRPr="00957553" w:rsidSect="002F1241">
      <w:headerReference w:type="even" r:id="rId7"/>
      <w:headerReference w:type="default" r:id="rId8"/>
      <w:footerReference w:type="default" r:id="rId9"/>
      <w:footerReference w:type="first" r:id="rId10"/>
      <w:pgSz w:w="11906" w:h="16838" w:code="9"/>
      <w:pgMar w:top="1134" w:right="1134" w:bottom="1701" w:left="1701" w:header="567"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42" w:rsidRDefault="00987542">
      <w:r>
        <w:separator/>
      </w:r>
    </w:p>
  </w:endnote>
  <w:endnote w:type="continuationSeparator" w:id="0">
    <w:p w:rsidR="00987542" w:rsidRDefault="00987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42" w:rsidRPr="00354B0D" w:rsidRDefault="0018142B" w:rsidP="00354B0D">
    <w:pPr>
      <w:pStyle w:val="naisc"/>
      <w:spacing w:before="0" w:after="0"/>
      <w:jc w:val="both"/>
    </w:pPr>
    <w:r>
      <w:rPr>
        <w:noProof/>
        <w:sz w:val="20"/>
        <w:szCs w:val="20"/>
      </w:rPr>
      <w:t>VManot_29</w:t>
    </w:r>
    <w:r w:rsidR="00987542">
      <w:rPr>
        <w:noProof/>
        <w:sz w:val="20"/>
        <w:szCs w:val="20"/>
      </w:rPr>
      <w:t>0113_not44</w:t>
    </w:r>
    <w:r w:rsidR="00987542" w:rsidRPr="00D473C0">
      <w:rPr>
        <w:noProof/>
        <w:sz w:val="20"/>
        <w:szCs w:val="20"/>
      </w:rPr>
      <w:t xml:space="preserve">; </w:t>
    </w:r>
    <w:r w:rsidR="00987542" w:rsidRPr="003C6A36">
      <w:rPr>
        <w:noProof/>
        <w:sz w:val="20"/>
        <w:szCs w:val="20"/>
      </w:rPr>
      <w:t xml:space="preserve">Ministru kabineta noteikumu projekta </w:t>
    </w:r>
    <w:r w:rsidR="00987542">
      <w:rPr>
        <w:noProof/>
        <w:sz w:val="20"/>
        <w:szCs w:val="20"/>
      </w:rPr>
      <w:t>„</w:t>
    </w:r>
    <w:r w:rsidR="00987542" w:rsidRPr="003C6A36">
      <w:rPr>
        <w:noProof/>
        <w:sz w:val="20"/>
        <w:szCs w:val="20"/>
      </w:rPr>
      <w:t xml:space="preserve">Grozījumi Ministru kabineta 2009.gada 13.janvāra noteikumos Nr.44 </w:t>
    </w:r>
    <w:r w:rsidR="00987542">
      <w:rPr>
        <w:noProof/>
        <w:sz w:val="20"/>
        <w:szCs w:val="20"/>
      </w:rPr>
      <w:t>„</w:t>
    </w:r>
    <w:r w:rsidR="00987542" w:rsidRPr="003C6A36">
      <w:rPr>
        <w:noProof/>
        <w:sz w:val="20"/>
        <w:szCs w:val="20"/>
      </w:rPr>
      <w:t xml:space="preserve">Noteikumi par darbības programmas </w:t>
    </w:r>
    <w:r w:rsidR="00987542">
      <w:rPr>
        <w:noProof/>
        <w:sz w:val="20"/>
        <w:szCs w:val="20"/>
      </w:rPr>
      <w:t>„</w:t>
    </w:r>
    <w:r w:rsidR="00987542" w:rsidRPr="003C6A36">
      <w:rPr>
        <w:noProof/>
        <w:sz w:val="20"/>
        <w:szCs w:val="20"/>
      </w:rPr>
      <w:t>Infrastruktūra un pakalpojumi</w:t>
    </w:r>
    <w:r w:rsidR="00987542">
      <w:rPr>
        <w:noProof/>
        <w:sz w:val="20"/>
        <w:szCs w:val="20"/>
      </w:rPr>
      <w:t>”</w:t>
    </w:r>
    <w:r w:rsidR="00987542" w:rsidRPr="003C6A36">
      <w:rPr>
        <w:noProof/>
        <w:sz w:val="20"/>
        <w:szCs w:val="20"/>
      </w:rPr>
      <w:t xml:space="preserve"> papildinājuma 3.1.5.3.1.apakšaktivitāti </w:t>
    </w:r>
    <w:r w:rsidR="00987542">
      <w:rPr>
        <w:noProof/>
        <w:sz w:val="20"/>
        <w:szCs w:val="20"/>
      </w:rPr>
      <w:t>„</w:t>
    </w:r>
    <w:r w:rsidR="00987542" w:rsidRPr="003C6A36">
      <w:rPr>
        <w:noProof/>
        <w:sz w:val="20"/>
        <w:szCs w:val="20"/>
      </w:rPr>
      <w:t>Stacionārās veselības aprūpes attīstība</w:t>
    </w:r>
    <w:r w:rsidR="00987542">
      <w:rPr>
        <w:noProof/>
        <w:sz w:val="20"/>
        <w:szCs w:val="20"/>
      </w:rPr>
      <w:t>”””</w:t>
    </w:r>
    <w:r w:rsidR="00987542" w:rsidRPr="00C37452">
      <w:rPr>
        <w:noProof/>
        <w:sz w:val="20"/>
        <w:szCs w:val="20"/>
      </w:rPr>
      <w:t xml:space="preserve"> </w:t>
    </w:r>
    <w:r w:rsidR="00987542" w:rsidRPr="00354B0D">
      <w:rPr>
        <w:noProof/>
        <w:sz w:val="20"/>
        <w:szCs w:val="20"/>
      </w:rPr>
      <w:t xml:space="preserve">sākotnējās ietekmes novērtējuma </w:t>
    </w:r>
    <w:smartTag w:uri="schemas-tilde-lv/tildestengine" w:element="veidnes">
      <w:smartTagPr>
        <w:attr w:name="id" w:val="-1"/>
        <w:attr w:name="baseform" w:val="ziņojums"/>
        <w:attr w:name="text" w:val="ziņojums"/>
      </w:smartTagPr>
      <w:r w:rsidR="00987542" w:rsidRPr="00354B0D">
        <w:rPr>
          <w:noProof/>
          <w:sz w:val="20"/>
          <w:szCs w:val="20"/>
        </w:rPr>
        <w:t>ziņojums</w:t>
      </w:r>
    </w:smartTag>
    <w:r w:rsidR="00987542" w:rsidRPr="00354B0D">
      <w:rPr>
        <w:noProof/>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42" w:rsidRPr="00354B0D" w:rsidRDefault="0018142B" w:rsidP="00354B0D">
    <w:pPr>
      <w:pStyle w:val="naisc"/>
      <w:spacing w:before="0" w:after="0"/>
      <w:jc w:val="both"/>
    </w:pPr>
    <w:r>
      <w:rPr>
        <w:noProof/>
        <w:sz w:val="20"/>
        <w:szCs w:val="20"/>
      </w:rPr>
      <w:t>VManot_29</w:t>
    </w:r>
    <w:r w:rsidR="00987542">
      <w:rPr>
        <w:noProof/>
        <w:sz w:val="20"/>
        <w:szCs w:val="20"/>
      </w:rPr>
      <w:t>0113_not44</w:t>
    </w:r>
    <w:r w:rsidR="00987542" w:rsidRPr="00D473C0">
      <w:rPr>
        <w:noProof/>
        <w:sz w:val="20"/>
        <w:szCs w:val="20"/>
      </w:rPr>
      <w:t xml:space="preserve">; </w:t>
    </w:r>
    <w:r w:rsidR="00987542" w:rsidRPr="003C6A36">
      <w:rPr>
        <w:noProof/>
        <w:sz w:val="20"/>
        <w:szCs w:val="20"/>
      </w:rPr>
      <w:t xml:space="preserve">Ministru kabineta noteikumu projekta </w:t>
    </w:r>
    <w:r w:rsidR="00987542">
      <w:rPr>
        <w:noProof/>
        <w:sz w:val="20"/>
        <w:szCs w:val="20"/>
      </w:rPr>
      <w:t>„</w:t>
    </w:r>
    <w:r w:rsidR="00987542" w:rsidRPr="003C6A36">
      <w:rPr>
        <w:noProof/>
        <w:sz w:val="20"/>
        <w:szCs w:val="20"/>
      </w:rPr>
      <w:t xml:space="preserve">Grozījumi Ministru kabineta 2009.gada 13.janvāra noteikumos Nr.44 </w:t>
    </w:r>
    <w:r w:rsidR="00987542">
      <w:rPr>
        <w:noProof/>
        <w:sz w:val="20"/>
        <w:szCs w:val="20"/>
      </w:rPr>
      <w:t>„</w:t>
    </w:r>
    <w:r w:rsidR="00987542" w:rsidRPr="003C6A36">
      <w:rPr>
        <w:noProof/>
        <w:sz w:val="20"/>
        <w:szCs w:val="20"/>
      </w:rPr>
      <w:t xml:space="preserve">Noteikumi par darbības programmas </w:t>
    </w:r>
    <w:r w:rsidR="00987542">
      <w:rPr>
        <w:noProof/>
        <w:sz w:val="20"/>
        <w:szCs w:val="20"/>
      </w:rPr>
      <w:t>„</w:t>
    </w:r>
    <w:r w:rsidR="00987542" w:rsidRPr="003C6A36">
      <w:rPr>
        <w:noProof/>
        <w:sz w:val="20"/>
        <w:szCs w:val="20"/>
      </w:rPr>
      <w:t>Infrastruktūra un pakalpojumi</w:t>
    </w:r>
    <w:r w:rsidR="00987542">
      <w:rPr>
        <w:noProof/>
        <w:sz w:val="20"/>
        <w:szCs w:val="20"/>
      </w:rPr>
      <w:t>”</w:t>
    </w:r>
    <w:r w:rsidR="00987542" w:rsidRPr="003C6A36">
      <w:rPr>
        <w:noProof/>
        <w:sz w:val="20"/>
        <w:szCs w:val="20"/>
      </w:rPr>
      <w:t xml:space="preserve"> papildinājuma 3.1.5.3.1.apakšaktivitāti </w:t>
    </w:r>
    <w:r w:rsidR="00987542">
      <w:rPr>
        <w:noProof/>
        <w:sz w:val="20"/>
        <w:szCs w:val="20"/>
      </w:rPr>
      <w:t>„</w:t>
    </w:r>
    <w:r w:rsidR="00987542" w:rsidRPr="003C6A36">
      <w:rPr>
        <w:noProof/>
        <w:sz w:val="20"/>
        <w:szCs w:val="20"/>
      </w:rPr>
      <w:t>Stacionārās veselības aprūpes attīstība</w:t>
    </w:r>
    <w:r w:rsidR="00987542">
      <w:rPr>
        <w:noProof/>
        <w:sz w:val="20"/>
        <w:szCs w:val="20"/>
      </w:rPr>
      <w:t>”””</w:t>
    </w:r>
    <w:r w:rsidR="00987542" w:rsidRPr="00C37452">
      <w:rPr>
        <w:noProof/>
        <w:sz w:val="20"/>
        <w:szCs w:val="20"/>
      </w:rPr>
      <w:t xml:space="preserve"> </w:t>
    </w:r>
    <w:r w:rsidR="00987542" w:rsidRPr="00354B0D">
      <w:rPr>
        <w:noProof/>
        <w:sz w:val="20"/>
        <w:szCs w:val="20"/>
      </w:rPr>
      <w:t xml:space="preserve">sākotnējās ietekmes novērtējuma </w:t>
    </w:r>
    <w:smartTag w:uri="schemas-tilde-lv/tildestengine" w:element="veidnes">
      <w:smartTagPr>
        <w:attr w:name="id" w:val="-1"/>
        <w:attr w:name="baseform" w:val="ziņojums"/>
        <w:attr w:name="text" w:val="ziņojums"/>
      </w:smartTagPr>
      <w:r w:rsidR="00987542" w:rsidRPr="00354B0D">
        <w:rPr>
          <w:noProof/>
          <w:sz w:val="20"/>
          <w:szCs w:val="20"/>
        </w:rPr>
        <w:t>ziņojums</w:t>
      </w:r>
    </w:smartTag>
    <w:r w:rsidR="00987542" w:rsidRPr="00354B0D">
      <w:rPr>
        <w:noProof/>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42" w:rsidRDefault="00987542">
      <w:r>
        <w:separator/>
      </w:r>
    </w:p>
  </w:footnote>
  <w:footnote w:type="continuationSeparator" w:id="0">
    <w:p w:rsidR="00987542" w:rsidRDefault="00987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42" w:rsidRDefault="00A46848">
    <w:pPr>
      <w:pStyle w:val="Header"/>
      <w:framePr w:wrap="around" w:vAnchor="text" w:hAnchor="margin" w:xAlign="center" w:y="1"/>
      <w:rPr>
        <w:rStyle w:val="PageNumber"/>
      </w:rPr>
    </w:pPr>
    <w:r>
      <w:rPr>
        <w:rStyle w:val="PageNumber"/>
      </w:rPr>
      <w:fldChar w:fldCharType="begin"/>
    </w:r>
    <w:r w:rsidR="00987542">
      <w:rPr>
        <w:rStyle w:val="PageNumber"/>
      </w:rPr>
      <w:instrText xml:space="preserve">PAGE  </w:instrText>
    </w:r>
    <w:r>
      <w:rPr>
        <w:rStyle w:val="PageNumber"/>
      </w:rPr>
      <w:fldChar w:fldCharType="end"/>
    </w:r>
  </w:p>
  <w:p w:rsidR="00987542" w:rsidRDefault="009875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42" w:rsidRDefault="00A46848">
    <w:pPr>
      <w:pStyle w:val="Header"/>
      <w:framePr w:wrap="around" w:vAnchor="text" w:hAnchor="margin" w:xAlign="center" w:y="1"/>
      <w:rPr>
        <w:rStyle w:val="PageNumber"/>
      </w:rPr>
    </w:pPr>
    <w:r>
      <w:rPr>
        <w:rStyle w:val="PageNumber"/>
      </w:rPr>
      <w:fldChar w:fldCharType="begin"/>
    </w:r>
    <w:r w:rsidR="00987542">
      <w:rPr>
        <w:rStyle w:val="PageNumber"/>
      </w:rPr>
      <w:instrText xml:space="preserve">PAGE  </w:instrText>
    </w:r>
    <w:r>
      <w:rPr>
        <w:rStyle w:val="PageNumber"/>
      </w:rPr>
      <w:fldChar w:fldCharType="separate"/>
    </w:r>
    <w:r w:rsidR="0018142B">
      <w:rPr>
        <w:rStyle w:val="PageNumber"/>
        <w:noProof/>
      </w:rPr>
      <w:t>11</w:t>
    </w:r>
    <w:r>
      <w:rPr>
        <w:rStyle w:val="PageNumber"/>
      </w:rPr>
      <w:fldChar w:fldCharType="end"/>
    </w:r>
  </w:p>
  <w:p w:rsidR="00987542" w:rsidRDefault="00987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D06E3C5"/>
    <w:multiLevelType w:val="hybridMultilevel"/>
    <w:tmpl w:val="05B74D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34A6BF9"/>
    <w:multiLevelType w:val="hybridMultilevel"/>
    <w:tmpl w:val="85F6A6C0"/>
    <w:lvl w:ilvl="0" w:tplc="78B2DA90">
      <w:numFmt w:val="bullet"/>
      <w:lvlText w:val="-"/>
      <w:lvlJc w:val="left"/>
      <w:pPr>
        <w:ind w:left="535" w:hanging="360"/>
      </w:pPr>
      <w:rPr>
        <w:rFonts w:ascii="Times New Roman" w:eastAsia="Times New Roman" w:hAnsi="Times New Roman" w:hint="default"/>
      </w:rPr>
    </w:lvl>
    <w:lvl w:ilvl="1" w:tplc="04260003" w:tentative="1">
      <w:start w:val="1"/>
      <w:numFmt w:val="bullet"/>
      <w:lvlText w:val="o"/>
      <w:lvlJc w:val="left"/>
      <w:pPr>
        <w:ind w:left="1255" w:hanging="360"/>
      </w:pPr>
      <w:rPr>
        <w:rFonts w:ascii="Courier New" w:hAnsi="Courier New" w:hint="default"/>
      </w:rPr>
    </w:lvl>
    <w:lvl w:ilvl="2" w:tplc="04260005" w:tentative="1">
      <w:start w:val="1"/>
      <w:numFmt w:val="bullet"/>
      <w:lvlText w:val=""/>
      <w:lvlJc w:val="left"/>
      <w:pPr>
        <w:ind w:left="1975" w:hanging="360"/>
      </w:pPr>
      <w:rPr>
        <w:rFonts w:ascii="Wingdings" w:hAnsi="Wingdings" w:hint="default"/>
      </w:rPr>
    </w:lvl>
    <w:lvl w:ilvl="3" w:tplc="04260001" w:tentative="1">
      <w:start w:val="1"/>
      <w:numFmt w:val="bullet"/>
      <w:lvlText w:val=""/>
      <w:lvlJc w:val="left"/>
      <w:pPr>
        <w:ind w:left="2695" w:hanging="360"/>
      </w:pPr>
      <w:rPr>
        <w:rFonts w:ascii="Symbol" w:hAnsi="Symbol" w:hint="default"/>
      </w:rPr>
    </w:lvl>
    <w:lvl w:ilvl="4" w:tplc="04260003" w:tentative="1">
      <w:start w:val="1"/>
      <w:numFmt w:val="bullet"/>
      <w:lvlText w:val="o"/>
      <w:lvlJc w:val="left"/>
      <w:pPr>
        <w:ind w:left="3415" w:hanging="360"/>
      </w:pPr>
      <w:rPr>
        <w:rFonts w:ascii="Courier New" w:hAnsi="Courier New" w:hint="default"/>
      </w:rPr>
    </w:lvl>
    <w:lvl w:ilvl="5" w:tplc="04260005" w:tentative="1">
      <w:start w:val="1"/>
      <w:numFmt w:val="bullet"/>
      <w:lvlText w:val=""/>
      <w:lvlJc w:val="left"/>
      <w:pPr>
        <w:ind w:left="4135" w:hanging="360"/>
      </w:pPr>
      <w:rPr>
        <w:rFonts w:ascii="Wingdings" w:hAnsi="Wingdings" w:hint="default"/>
      </w:rPr>
    </w:lvl>
    <w:lvl w:ilvl="6" w:tplc="04260001" w:tentative="1">
      <w:start w:val="1"/>
      <w:numFmt w:val="bullet"/>
      <w:lvlText w:val=""/>
      <w:lvlJc w:val="left"/>
      <w:pPr>
        <w:ind w:left="4855" w:hanging="360"/>
      </w:pPr>
      <w:rPr>
        <w:rFonts w:ascii="Symbol" w:hAnsi="Symbol" w:hint="default"/>
      </w:rPr>
    </w:lvl>
    <w:lvl w:ilvl="7" w:tplc="04260003" w:tentative="1">
      <w:start w:val="1"/>
      <w:numFmt w:val="bullet"/>
      <w:lvlText w:val="o"/>
      <w:lvlJc w:val="left"/>
      <w:pPr>
        <w:ind w:left="5575" w:hanging="360"/>
      </w:pPr>
      <w:rPr>
        <w:rFonts w:ascii="Courier New" w:hAnsi="Courier New" w:hint="default"/>
      </w:rPr>
    </w:lvl>
    <w:lvl w:ilvl="8" w:tplc="04260005" w:tentative="1">
      <w:start w:val="1"/>
      <w:numFmt w:val="bullet"/>
      <w:lvlText w:val=""/>
      <w:lvlJc w:val="left"/>
      <w:pPr>
        <w:ind w:left="6295" w:hanging="360"/>
      </w:pPr>
      <w:rPr>
        <w:rFonts w:ascii="Wingdings" w:hAnsi="Wingdings" w:hint="default"/>
      </w:rPr>
    </w:lvl>
  </w:abstractNum>
  <w:abstractNum w:abstractNumId="4">
    <w:nsid w:val="0A97AAB9"/>
    <w:multiLevelType w:val="hybridMultilevel"/>
    <w:tmpl w:val="CE04E48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D354CB4"/>
    <w:multiLevelType w:val="hybridMultilevel"/>
    <w:tmpl w:val="59AEFCE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4721E6B"/>
    <w:multiLevelType w:val="hybridMultilevel"/>
    <w:tmpl w:val="486E1C70"/>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nsid w:val="14967C37"/>
    <w:multiLevelType w:val="hybridMultilevel"/>
    <w:tmpl w:val="253CC1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4D31015"/>
    <w:multiLevelType w:val="hybridMultilevel"/>
    <w:tmpl w:val="36C208F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7217B31"/>
    <w:multiLevelType w:val="hybridMultilevel"/>
    <w:tmpl w:val="D4DC8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1D476CF"/>
    <w:multiLevelType w:val="hybridMultilevel"/>
    <w:tmpl w:val="8AE2879A"/>
    <w:lvl w:ilvl="0" w:tplc="04260003">
      <w:start w:val="1"/>
      <w:numFmt w:val="bullet"/>
      <w:lvlText w:val="o"/>
      <w:lvlJc w:val="left"/>
      <w:pPr>
        <w:ind w:left="780" w:hanging="360"/>
      </w:pPr>
      <w:rPr>
        <w:rFonts w:ascii="Courier New" w:hAnsi="Courier New"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27D73026"/>
    <w:multiLevelType w:val="hybridMultilevel"/>
    <w:tmpl w:val="AFD03D5C"/>
    <w:lvl w:ilvl="0" w:tplc="04260003">
      <w:start w:val="1"/>
      <w:numFmt w:val="bullet"/>
      <w:lvlText w:val="o"/>
      <w:lvlJc w:val="left"/>
      <w:pPr>
        <w:ind w:left="780" w:hanging="360"/>
      </w:pPr>
      <w:rPr>
        <w:rFonts w:ascii="Courier New" w:hAnsi="Courier New"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2B674AC1"/>
    <w:multiLevelType w:val="hybridMultilevel"/>
    <w:tmpl w:val="129EB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57553"/>
    <w:multiLevelType w:val="hybridMultilevel"/>
    <w:tmpl w:val="8012C33C"/>
    <w:lvl w:ilvl="0" w:tplc="04260001">
      <w:start w:val="1"/>
      <w:numFmt w:val="bullet"/>
      <w:lvlText w:val=""/>
      <w:lvlJc w:val="left"/>
      <w:pPr>
        <w:ind w:left="1094" w:hanging="360"/>
      </w:pPr>
      <w:rPr>
        <w:rFonts w:ascii="Symbol" w:hAnsi="Symbol" w:hint="default"/>
      </w:rPr>
    </w:lvl>
    <w:lvl w:ilvl="1" w:tplc="04260003" w:tentative="1">
      <w:start w:val="1"/>
      <w:numFmt w:val="bullet"/>
      <w:lvlText w:val="o"/>
      <w:lvlJc w:val="left"/>
      <w:pPr>
        <w:ind w:left="1814" w:hanging="360"/>
      </w:pPr>
      <w:rPr>
        <w:rFonts w:ascii="Courier New" w:hAnsi="Courier New" w:hint="default"/>
      </w:rPr>
    </w:lvl>
    <w:lvl w:ilvl="2" w:tplc="04260005" w:tentative="1">
      <w:start w:val="1"/>
      <w:numFmt w:val="bullet"/>
      <w:lvlText w:val=""/>
      <w:lvlJc w:val="left"/>
      <w:pPr>
        <w:ind w:left="2534" w:hanging="360"/>
      </w:pPr>
      <w:rPr>
        <w:rFonts w:ascii="Wingdings" w:hAnsi="Wingdings" w:hint="default"/>
      </w:rPr>
    </w:lvl>
    <w:lvl w:ilvl="3" w:tplc="04260001" w:tentative="1">
      <w:start w:val="1"/>
      <w:numFmt w:val="bullet"/>
      <w:lvlText w:val=""/>
      <w:lvlJc w:val="left"/>
      <w:pPr>
        <w:ind w:left="3254" w:hanging="360"/>
      </w:pPr>
      <w:rPr>
        <w:rFonts w:ascii="Symbol" w:hAnsi="Symbol" w:hint="default"/>
      </w:rPr>
    </w:lvl>
    <w:lvl w:ilvl="4" w:tplc="04260003" w:tentative="1">
      <w:start w:val="1"/>
      <w:numFmt w:val="bullet"/>
      <w:lvlText w:val="o"/>
      <w:lvlJc w:val="left"/>
      <w:pPr>
        <w:ind w:left="3974" w:hanging="360"/>
      </w:pPr>
      <w:rPr>
        <w:rFonts w:ascii="Courier New" w:hAnsi="Courier New" w:hint="default"/>
      </w:rPr>
    </w:lvl>
    <w:lvl w:ilvl="5" w:tplc="04260005" w:tentative="1">
      <w:start w:val="1"/>
      <w:numFmt w:val="bullet"/>
      <w:lvlText w:val=""/>
      <w:lvlJc w:val="left"/>
      <w:pPr>
        <w:ind w:left="4694" w:hanging="360"/>
      </w:pPr>
      <w:rPr>
        <w:rFonts w:ascii="Wingdings" w:hAnsi="Wingdings" w:hint="default"/>
      </w:rPr>
    </w:lvl>
    <w:lvl w:ilvl="6" w:tplc="04260001" w:tentative="1">
      <w:start w:val="1"/>
      <w:numFmt w:val="bullet"/>
      <w:lvlText w:val=""/>
      <w:lvlJc w:val="left"/>
      <w:pPr>
        <w:ind w:left="5414" w:hanging="360"/>
      </w:pPr>
      <w:rPr>
        <w:rFonts w:ascii="Symbol" w:hAnsi="Symbol" w:hint="default"/>
      </w:rPr>
    </w:lvl>
    <w:lvl w:ilvl="7" w:tplc="04260003" w:tentative="1">
      <w:start w:val="1"/>
      <w:numFmt w:val="bullet"/>
      <w:lvlText w:val="o"/>
      <w:lvlJc w:val="left"/>
      <w:pPr>
        <w:ind w:left="6134" w:hanging="360"/>
      </w:pPr>
      <w:rPr>
        <w:rFonts w:ascii="Courier New" w:hAnsi="Courier New" w:hint="default"/>
      </w:rPr>
    </w:lvl>
    <w:lvl w:ilvl="8" w:tplc="04260005" w:tentative="1">
      <w:start w:val="1"/>
      <w:numFmt w:val="bullet"/>
      <w:lvlText w:val=""/>
      <w:lvlJc w:val="left"/>
      <w:pPr>
        <w:ind w:left="6854" w:hanging="360"/>
      </w:pPr>
      <w:rPr>
        <w:rFonts w:ascii="Wingdings" w:hAnsi="Wingdings" w:hint="default"/>
      </w:rPr>
    </w:lvl>
  </w:abstractNum>
  <w:abstractNum w:abstractNumId="14">
    <w:nsid w:val="2E4A066E"/>
    <w:multiLevelType w:val="hybridMultilevel"/>
    <w:tmpl w:val="F4A60C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6">
    <w:nsid w:val="3E8113A9"/>
    <w:multiLevelType w:val="hybridMultilevel"/>
    <w:tmpl w:val="A364C1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F10E0"/>
    <w:multiLevelType w:val="hybridMultilevel"/>
    <w:tmpl w:val="CB90F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EE439D"/>
    <w:multiLevelType w:val="hybridMultilevel"/>
    <w:tmpl w:val="59102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79451B"/>
    <w:multiLevelType w:val="hybridMultilevel"/>
    <w:tmpl w:val="A01CBB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5EF7D72"/>
    <w:multiLevelType w:val="hybridMultilevel"/>
    <w:tmpl w:val="ADA05BD8"/>
    <w:lvl w:ilvl="0" w:tplc="0426000B">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2">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786" w:hanging="360"/>
      </w:pPr>
      <w:rPr>
        <w:rFonts w:ascii="Courier New" w:hAnsi="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5">
    <w:nsid w:val="672424C1"/>
    <w:multiLevelType w:val="hybridMultilevel"/>
    <w:tmpl w:val="5EA4253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nsid w:val="694D0D6B"/>
    <w:multiLevelType w:val="hybridMultilevel"/>
    <w:tmpl w:val="F29CF488"/>
    <w:lvl w:ilvl="0" w:tplc="B534FF94">
      <w:start w:val="1"/>
      <w:numFmt w:val="bullet"/>
      <w:lvlText w:val=""/>
      <w:lvlJc w:val="left"/>
      <w:pPr>
        <w:ind w:left="360" w:hanging="360"/>
      </w:pPr>
      <w:rPr>
        <w:rFonts w:ascii="Wingdings" w:hAnsi="Wingdings" w:hint="default"/>
        <w:color w:val="auto"/>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A2324E"/>
    <w:multiLevelType w:val="hybridMultilevel"/>
    <w:tmpl w:val="22DE269A"/>
    <w:lvl w:ilvl="0" w:tplc="0426000B">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8">
    <w:nsid w:val="69FD56BA"/>
    <w:multiLevelType w:val="hybridMultilevel"/>
    <w:tmpl w:val="6116FC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6B806536"/>
    <w:multiLevelType w:val="hybridMultilevel"/>
    <w:tmpl w:val="2646CDF2"/>
    <w:lvl w:ilvl="0" w:tplc="00CAC57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1FA5384"/>
    <w:multiLevelType w:val="hybridMultilevel"/>
    <w:tmpl w:val="47109C3A"/>
    <w:lvl w:ilvl="0" w:tplc="061486BA">
      <w:start w:val="1"/>
      <w:numFmt w:val="bullet"/>
      <w:lvlText w:val=""/>
      <w:lvlJc w:val="left"/>
      <w:pPr>
        <w:ind w:left="1255" w:hanging="360"/>
      </w:pPr>
      <w:rPr>
        <w:rFonts w:ascii="Wingdings" w:hAnsi="Wingdings" w:hint="default"/>
        <w:color w:val="FF0000"/>
      </w:rPr>
    </w:lvl>
    <w:lvl w:ilvl="1" w:tplc="04260003" w:tentative="1">
      <w:start w:val="1"/>
      <w:numFmt w:val="bullet"/>
      <w:lvlText w:val="o"/>
      <w:lvlJc w:val="left"/>
      <w:pPr>
        <w:ind w:left="1975" w:hanging="360"/>
      </w:pPr>
      <w:rPr>
        <w:rFonts w:ascii="Courier New" w:hAnsi="Courier New" w:hint="default"/>
      </w:rPr>
    </w:lvl>
    <w:lvl w:ilvl="2" w:tplc="04260005" w:tentative="1">
      <w:start w:val="1"/>
      <w:numFmt w:val="bullet"/>
      <w:lvlText w:val=""/>
      <w:lvlJc w:val="left"/>
      <w:pPr>
        <w:ind w:left="2695" w:hanging="360"/>
      </w:pPr>
      <w:rPr>
        <w:rFonts w:ascii="Wingdings" w:hAnsi="Wingdings" w:hint="default"/>
      </w:rPr>
    </w:lvl>
    <w:lvl w:ilvl="3" w:tplc="04260001" w:tentative="1">
      <w:start w:val="1"/>
      <w:numFmt w:val="bullet"/>
      <w:lvlText w:val=""/>
      <w:lvlJc w:val="left"/>
      <w:pPr>
        <w:ind w:left="3415" w:hanging="360"/>
      </w:pPr>
      <w:rPr>
        <w:rFonts w:ascii="Symbol" w:hAnsi="Symbol" w:hint="default"/>
      </w:rPr>
    </w:lvl>
    <w:lvl w:ilvl="4" w:tplc="04260003" w:tentative="1">
      <w:start w:val="1"/>
      <w:numFmt w:val="bullet"/>
      <w:lvlText w:val="o"/>
      <w:lvlJc w:val="left"/>
      <w:pPr>
        <w:ind w:left="4135" w:hanging="360"/>
      </w:pPr>
      <w:rPr>
        <w:rFonts w:ascii="Courier New" w:hAnsi="Courier New" w:hint="default"/>
      </w:rPr>
    </w:lvl>
    <w:lvl w:ilvl="5" w:tplc="04260005" w:tentative="1">
      <w:start w:val="1"/>
      <w:numFmt w:val="bullet"/>
      <w:lvlText w:val=""/>
      <w:lvlJc w:val="left"/>
      <w:pPr>
        <w:ind w:left="4855" w:hanging="360"/>
      </w:pPr>
      <w:rPr>
        <w:rFonts w:ascii="Wingdings" w:hAnsi="Wingdings" w:hint="default"/>
      </w:rPr>
    </w:lvl>
    <w:lvl w:ilvl="6" w:tplc="04260001" w:tentative="1">
      <w:start w:val="1"/>
      <w:numFmt w:val="bullet"/>
      <w:lvlText w:val=""/>
      <w:lvlJc w:val="left"/>
      <w:pPr>
        <w:ind w:left="5575" w:hanging="360"/>
      </w:pPr>
      <w:rPr>
        <w:rFonts w:ascii="Symbol" w:hAnsi="Symbol" w:hint="default"/>
      </w:rPr>
    </w:lvl>
    <w:lvl w:ilvl="7" w:tplc="04260003" w:tentative="1">
      <w:start w:val="1"/>
      <w:numFmt w:val="bullet"/>
      <w:lvlText w:val="o"/>
      <w:lvlJc w:val="left"/>
      <w:pPr>
        <w:ind w:left="6295" w:hanging="360"/>
      </w:pPr>
      <w:rPr>
        <w:rFonts w:ascii="Courier New" w:hAnsi="Courier New" w:hint="default"/>
      </w:rPr>
    </w:lvl>
    <w:lvl w:ilvl="8" w:tplc="04260005" w:tentative="1">
      <w:start w:val="1"/>
      <w:numFmt w:val="bullet"/>
      <w:lvlText w:val=""/>
      <w:lvlJc w:val="left"/>
      <w:pPr>
        <w:ind w:left="7015" w:hanging="360"/>
      </w:pPr>
      <w:rPr>
        <w:rFonts w:ascii="Wingdings" w:hAnsi="Wingdings" w:hint="default"/>
      </w:rPr>
    </w:lvl>
  </w:abstractNum>
  <w:num w:numId="1">
    <w:abstractNumId w:val="2"/>
  </w:num>
  <w:num w:numId="2">
    <w:abstractNumId w:val="23"/>
  </w:num>
  <w:num w:numId="3">
    <w:abstractNumId w:val="17"/>
  </w:num>
  <w:num w:numId="4">
    <w:abstractNumId w:val="1"/>
  </w:num>
  <w:num w:numId="5">
    <w:abstractNumId w:val="0"/>
  </w:num>
  <w:num w:numId="6">
    <w:abstractNumId w:val="4"/>
  </w:num>
  <w:num w:numId="7">
    <w:abstractNumId w:val="24"/>
  </w:num>
  <w:num w:numId="8">
    <w:abstractNumId w:val="16"/>
  </w:num>
  <w:num w:numId="9">
    <w:abstractNumId w:val="14"/>
  </w:num>
  <w:num w:numId="10">
    <w:abstractNumId w:val="15"/>
  </w:num>
  <w:num w:numId="11">
    <w:abstractNumId w:val="26"/>
  </w:num>
  <w:num w:numId="12">
    <w:abstractNumId w:val="12"/>
  </w:num>
  <w:num w:numId="13">
    <w:abstractNumId w:val="13"/>
  </w:num>
  <w:num w:numId="14">
    <w:abstractNumId w:val="8"/>
  </w:num>
  <w:num w:numId="15">
    <w:abstractNumId w:val="25"/>
  </w:num>
  <w:num w:numId="16">
    <w:abstractNumId w:val="28"/>
  </w:num>
  <w:num w:numId="17">
    <w:abstractNumId w:val="9"/>
  </w:num>
  <w:num w:numId="18">
    <w:abstractNumId w:val="19"/>
  </w:num>
  <w:num w:numId="19">
    <w:abstractNumId w:val="11"/>
  </w:num>
  <w:num w:numId="20">
    <w:abstractNumId w:val="10"/>
  </w:num>
  <w:num w:numId="21">
    <w:abstractNumId w:val="20"/>
  </w:num>
  <w:num w:numId="22">
    <w:abstractNumId w:val="5"/>
  </w:num>
  <w:num w:numId="23">
    <w:abstractNumId w:val="3"/>
  </w:num>
  <w:num w:numId="24">
    <w:abstractNumId w:val="30"/>
  </w:num>
  <w:num w:numId="25">
    <w:abstractNumId w:val="21"/>
  </w:num>
  <w:num w:numId="26">
    <w:abstractNumId w:val="27"/>
  </w:num>
  <w:num w:numId="27">
    <w:abstractNumId w:val="7"/>
  </w:num>
  <w:num w:numId="28">
    <w:abstractNumId w:val="6"/>
  </w:num>
  <w:num w:numId="29">
    <w:abstractNumId w:val="22"/>
  </w:num>
  <w:num w:numId="30">
    <w:abstractNumId w:val="1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A1C"/>
    <w:rsid w:val="000006CF"/>
    <w:rsid w:val="00002859"/>
    <w:rsid w:val="0000392C"/>
    <w:rsid w:val="00010234"/>
    <w:rsid w:val="00010573"/>
    <w:rsid w:val="000106D5"/>
    <w:rsid w:val="00014819"/>
    <w:rsid w:val="0001496E"/>
    <w:rsid w:val="00016826"/>
    <w:rsid w:val="00016A2E"/>
    <w:rsid w:val="00016BD9"/>
    <w:rsid w:val="00017DF7"/>
    <w:rsid w:val="000209FC"/>
    <w:rsid w:val="00021364"/>
    <w:rsid w:val="00022523"/>
    <w:rsid w:val="000225E5"/>
    <w:rsid w:val="00023A89"/>
    <w:rsid w:val="00023BA6"/>
    <w:rsid w:val="00023EAD"/>
    <w:rsid w:val="0002480A"/>
    <w:rsid w:val="00031B47"/>
    <w:rsid w:val="00032A9F"/>
    <w:rsid w:val="000331F5"/>
    <w:rsid w:val="000350F7"/>
    <w:rsid w:val="000401EE"/>
    <w:rsid w:val="00040261"/>
    <w:rsid w:val="00040280"/>
    <w:rsid w:val="000404F1"/>
    <w:rsid w:val="0004188B"/>
    <w:rsid w:val="000419AE"/>
    <w:rsid w:val="000427CE"/>
    <w:rsid w:val="00043261"/>
    <w:rsid w:val="0004341C"/>
    <w:rsid w:val="00043687"/>
    <w:rsid w:val="00044751"/>
    <w:rsid w:val="00044811"/>
    <w:rsid w:val="000461A6"/>
    <w:rsid w:val="00046C46"/>
    <w:rsid w:val="00046C62"/>
    <w:rsid w:val="00046D48"/>
    <w:rsid w:val="00050028"/>
    <w:rsid w:val="000518C5"/>
    <w:rsid w:val="00051A1C"/>
    <w:rsid w:val="00051C99"/>
    <w:rsid w:val="0005514A"/>
    <w:rsid w:val="0005631C"/>
    <w:rsid w:val="000563AF"/>
    <w:rsid w:val="0005680A"/>
    <w:rsid w:val="00060FDE"/>
    <w:rsid w:val="0006285F"/>
    <w:rsid w:val="00062879"/>
    <w:rsid w:val="00062E81"/>
    <w:rsid w:val="00065C4A"/>
    <w:rsid w:val="000700EC"/>
    <w:rsid w:val="000703FA"/>
    <w:rsid w:val="000748B8"/>
    <w:rsid w:val="00074C50"/>
    <w:rsid w:val="00075C90"/>
    <w:rsid w:val="00075FE6"/>
    <w:rsid w:val="0007617E"/>
    <w:rsid w:val="0008105E"/>
    <w:rsid w:val="0008118C"/>
    <w:rsid w:val="00081E56"/>
    <w:rsid w:val="00082220"/>
    <w:rsid w:val="000838C4"/>
    <w:rsid w:val="0008397F"/>
    <w:rsid w:val="000876AA"/>
    <w:rsid w:val="00087787"/>
    <w:rsid w:val="00087912"/>
    <w:rsid w:val="000879A1"/>
    <w:rsid w:val="000879EB"/>
    <w:rsid w:val="00090780"/>
    <w:rsid w:val="0009078A"/>
    <w:rsid w:val="000920DD"/>
    <w:rsid w:val="00092C08"/>
    <w:rsid w:val="00092C69"/>
    <w:rsid w:val="00092F8F"/>
    <w:rsid w:val="00093955"/>
    <w:rsid w:val="00093E32"/>
    <w:rsid w:val="00094A86"/>
    <w:rsid w:val="00094D29"/>
    <w:rsid w:val="00094F8F"/>
    <w:rsid w:val="00095C56"/>
    <w:rsid w:val="0009711C"/>
    <w:rsid w:val="000A0B0B"/>
    <w:rsid w:val="000A0FF3"/>
    <w:rsid w:val="000A1230"/>
    <w:rsid w:val="000A2285"/>
    <w:rsid w:val="000A249F"/>
    <w:rsid w:val="000A3D7C"/>
    <w:rsid w:val="000A632A"/>
    <w:rsid w:val="000A6B35"/>
    <w:rsid w:val="000A7B2A"/>
    <w:rsid w:val="000B0A3D"/>
    <w:rsid w:val="000B18FD"/>
    <w:rsid w:val="000B1BF6"/>
    <w:rsid w:val="000B5EC2"/>
    <w:rsid w:val="000B64CD"/>
    <w:rsid w:val="000C0894"/>
    <w:rsid w:val="000C11F7"/>
    <w:rsid w:val="000C1806"/>
    <w:rsid w:val="000C326C"/>
    <w:rsid w:val="000C328B"/>
    <w:rsid w:val="000C3AA5"/>
    <w:rsid w:val="000C4947"/>
    <w:rsid w:val="000C62B6"/>
    <w:rsid w:val="000C69A8"/>
    <w:rsid w:val="000C7607"/>
    <w:rsid w:val="000C7F03"/>
    <w:rsid w:val="000D0990"/>
    <w:rsid w:val="000D0EC9"/>
    <w:rsid w:val="000D10A0"/>
    <w:rsid w:val="000D1DF2"/>
    <w:rsid w:val="000D2306"/>
    <w:rsid w:val="000D3507"/>
    <w:rsid w:val="000D3C37"/>
    <w:rsid w:val="000D40AC"/>
    <w:rsid w:val="000D5A1E"/>
    <w:rsid w:val="000D7C2B"/>
    <w:rsid w:val="000E0490"/>
    <w:rsid w:val="000E2002"/>
    <w:rsid w:val="000E3B43"/>
    <w:rsid w:val="000E3FAE"/>
    <w:rsid w:val="000E50F3"/>
    <w:rsid w:val="000E6D22"/>
    <w:rsid w:val="000E7021"/>
    <w:rsid w:val="000F079B"/>
    <w:rsid w:val="000F08FF"/>
    <w:rsid w:val="000F099A"/>
    <w:rsid w:val="000F0B0D"/>
    <w:rsid w:val="000F42B4"/>
    <w:rsid w:val="000F5852"/>
    <w:rsid w:val="000F694E"/>
    <w:rsid w:val="00101A99"/>
    <w:rsid w:val="001022F4"/>
    <w:rsid w:val="00102B64"/>
    <w:rsid w:val="00103B3E"/>
    <w:rsid w:val="00103DB6"/>
    <w:rsid w:val="00104722"/>
    <w:rsid w:val="001056DC"/>
    <w:rsid w:val="00106780"/>
    <w:rsid w:val="00106ABE"/>
    <w:rsid w:val="00106C4B"/>
    <w:rsid w:val="00106FF3"/>
    <w:rsid w:val="00107C46"/>
    <w:rsid w:val="001108E9"/>
    <w:rsid w:val="00111190"/>
    <w:rsid w:val="0011122E"/>
    <w:rsid w:val="00111307"/>
    <w:rsid w:val="0011132A"/>
    <w:rsid w:val="00111D17"/>
    <w:rsid w:val="00113461"/>
    <w:rsid w:val="00113E50"/>
    <w:rsid w:val="00115C48"/>
    <w:rsid w:val="00117BB9"/>
    <w:rsid w:val="0012089E"/>
    <w:rsid w:val="00121708"/>
    <w:rsid w:val="00122EC9"/>
    <w:rsid w:val="00123DA9"/>
    <w:rsid w:val="00124003"/>
    <w:rsid w:val="0012583B"/>
    <w:rsid w:val="00125ED6"/>
    <w:rsid w:val="001268E7"/>
    <w:rsid w:val="001274D6"/>
    <w:rsid w:val="00127A88"/>
    <w:rsid w:val="00130286"/>
    <w:rsid w:val="0013083A"/>
    <w:rsid w:val="00130B15"/>
    <w:rsid w:val="00132010"/>
    <w:rsid w:val="00132477"/>
    <w:rsid w:val="00132673"/>
    <w:rsid w:val="001342F6"/>
    <w:rsid w:val="001343E2"/>
    <w:rsid w:val="0013473F"/>
    <w:rsid w:val="00136848"/>
    <w:rsid w:val="00137712"/>
    <w:rsid w:val="001420EE"/>
    <w:rsid w:val="0014373C"/>
    <w:rsid w:val="001437C1"/>
    <w:rsid w:val="001442C4"/>
    <w:rsid w:val="001445AA"/>
    <w:rsid w:val="00146DB1"/>
    <w:rsid w:val="00147FEA"/>
    <w:rsid w:val="001507FC"/>
    <w:rsid w:val="00151E3F"/>
    <w:rsid w:val="00151F95"/>
    <w:rsid w:val="001526CD"/>
    <w:rsid w:val="00152866"/>
    <w:rsid w:val="00152D07"/>
    <w:rsid w:val="00153393"/>
    <w:rsid w:val="00155F8A"/>
    <w:rsid w:val="00156B34"/>
    <w:rsid w:val="00160053"/>
    <w:rsid w:val="0016187F"/>
    <w:rsid w:val="0016188D"/>
    <w:rsid w:val="00162A40"/>
    <w:rsid w:val="00165AF4"/>
    <w:rsid w:val="00166407"/>
    <w:rsid w:val="0016725E"/>
    <w:rsid w:val="001674EA"/>
    <w:rsid w:val="0016756C"/>
    <w:rsid w:val="00172E1B"/>
    <w:rsid w:val="00173657"/>
    <w:rsid w:val="00173DB7"/>
    <w:rsid w:val="00174F93"/>
    <w:rsid w:val="00175779"/>
    <w:rsid w:val="00175FE2"/>
    <w:rsid w:val="00176498"/>
    <w:rsid w:val="001777FC"/>
    <w:rsid w:val="0018006E"/>
    <w:rsid w:val="00180ACF"/>
    <w:rsid w:val="00180D14"/>
    <w:rsid w:val="0018142B"/>
    <w:rsid w:val="00182AA3"/>
    <w:rsid w:val="00183B82"/>
    <w:rsid w:val="00184C32"/>
    <w:rsid w:val="00185B8D"/>
    <w:rsid w:val="00187B52"/>
    <w:rsid w:val="00187BCA"/>
    <w:rsid w:val="00190925"/>
    <w:rsid w:val="00190E51"/>
    <w:rsid w:val="00191D21"/>
    <w:rsid w:val="00193692"/>
    <w:rsid w:val="001942EB"/>
    <w:rsid w:val="00194CC7"/>
    <w:rsid w:val="001950BA"/>
    <w:rsid w:val="00195FE5"/>
    <w:rsid w:val="00197678"/>
    <w:rsid w:val="001A033A"/>
    <w:rsid w:val="001A0B18"/>
    <w:rsid w:val="001A22CB"/>
    <w:rsid w:val="001A28C3"/>
    <w:rsid w:val="001A3B62"/>
    <w:rsid w:val="001A4EE7"/>
    <w:rsid w:val="001A5CA1"/>
    <w:rsid w:val="001A5F95"/>
    <w:rsid w:val="001A6264"/>
    <w:rsid w:val="001A788A"/>
    <w:rsid w:val="001B02E4"/>
    <w:rsid w:val="001B0E85"/>
    <w:rsid w:val="001B0FB3"/>
    <w:rsid w:val="001B1DEC"/>
    <w:rsid w:val="001B1E8D"/>
    <w:rsid w:val="001B7153"/>
    <w:rsid w:val="001B71F8"/>
    <w:rsid w:val="001C02F2"/>
    <w:rsid w:val="001C07E0"/>
    <w:rsid w:val="001C11EA"/>
    <w:rsid w:val="001C1423"/>
    <w:rsid w:val="001C338C"/>
    <w:rsid w:val="001C457A"/>
    <w:rsid w:val="001C493F"/>
    <w:rsid w:val="001C5F71"/>
    <w:rsid w:val="001C68E9"/>
    <w:rsid w:val="001D0025"/>
    <w:rsid w:val="001D0BE3"/>
    <w:rsid w:val="001D2D91"/>
    <w:rsid w:val="001D2F3C"/>
    <w:rsid w:val="001D3051"/>
    <w:rsid w:val="001D3987"/>
    <w:rsid w:val="001D4584"/>
    <w:rsid w:val="001D49E8"/>
    <w:rsid w:val="001D6102"/>
    <w:rsid w:val="001D6DB1"/>
    <w:rsid w:val="001E155F"/>
    <w:rsid w:val="001E1C78"/>
    <w:rsid w:val="001E20B3"/>
    <w:rsid w:val="001E3003"/>
    <w:rsid w:val="001E32B2"/>
    <w:rsid w:val="001E4130"/>
    <w:rsid w:val="001E4513"/>
    <w:rsid w:val="001E6859"/>
    <w:rsid w:val="001E6CEC"/>
    <w:rsid w:val="001E7771"/>
    <w:rsid w:val="001F04E9"/>
    <w:rsid w:val="001F1DDC"/>
    <w:rsid w:val="001F1DDE"/>
    <w:rsid w:val="001F2F1B"/>
    <w:rsid w:val="001F31EB"/>
    <w:rsid w:val="001F36EF"/>
    <w:rsid w:val="001F39B6"/>
    <w:rsid w:val="001F3FB8"/>
    <w:rsid w:val="001F4E23"/>
    <w:rsid w:val="001F6BC5"/>
    <w:rsid w:val="001F76D3"/>
    <w:rsid w:val="00200E3B"/>
    <w:rsid w:val="0020206A"/>
    <w:rsid w:val="00202099"/>
    <w:rsid w:val="0020494B"/>
    <w:rsid w:val="00205006"/>
    <w:rsid w:val="00205ADF"/>
    <w:rsid w:val="002070E9"/>
    <w:rsid w:val="002105B1"/>
    <w:rsid w:val="00210B37"/>
    <w:rsid w:val="0021141D"/>
    <w:rsid w:val="0021148A"/>
    <w:rsid w:val="00211DB8"/>
    <w:rsid w:val="00212E13"/>
    <w:rsid w:val="00213AD2"/>
    <w:rsid w:val="0021470A"/>
    <w:rsid w:val="00214F9A"/>
    <w:rsid w:val="002164FB"/>
    <w:rsid w:val="00216724"/>
    <w:rsid w:val="00217705"/>
    <w:rsid w:val="002178A0"/>
    <w:rsid w:val="002209CB"/>
    <w:rsid w:val="00221576"/>
    <w:rsid w:val="0022195A"/>
    <w:rsid w:val="00221A24"/>
    <w:rsid w:val="00224ACA"/>
    <w:rsid w:val="00226A91"/>
    <w:rsid w:val="00231B6A"/>
    <w:rsid w:val="00232CEC"/>
    <w:rsid w:val="00233132"/>
    <w:rsid w:val="00234B35"/>
    <w:rsid w:val="002352C7"/>
    <w:rsid w:val="00235360"/>
    <w:rsid w:val="0023643A"/>
    <w:rsid w:val="00236630"/>
    <w:rsid w:val="00236F7C"/>
    <w:rsid w:val="00241E38"/>
    <w:rsid w:val="00241EAF"/>
    <w:rsid w:val="00243493"/>
    <w:rsid w:val="002440D4"/>
    <w:rsid w:val="0024551A"/>
    <w:rsid w:val="0024567A"/>
    <w:rsid w:val="00245E4D"/>
    <w:rsid w:val="0024688C"/>
    <w:rsid w:val="00250273"/>
    <w:rsid w:val="00250E14"/>
    <w:rsid w:val="00251191"/>
    <w:rsid w:val="002518B4"/>
    <w:rsid w:val="00252F83"/>
    <w:rsid w:val="00253E28"/>
    <w:rsid w:val="00257286"/>
    <w:rsid w:val="00260DED"/>
    <w:rsid w:val="00260F8B"/>
    <w:rsid w:val="00262B6A"/>
    <w:rsid w:val="0026440F"/>
    <w:rsid w:val="00265B3A"/>
    <w:rsid w:val="00266AD1"/>
    <w:rsid w:val="00270922"/>
    <w:rsid w:val="002729EE"/>
    <w:rsid w:val="00272DE6"/>
    <w:rsid w:val="00273157"/>
    <w:rsid w:val="002742A1"/>
    <w:rsid w:val="00275505"/>
    <w:rsid w:val="00275599"/>
    <w:rsid w:val="00277893"/>
    <w:rsid w:val="00277CFA"/>
    <w:rsid w:val="00280BA2"/>
    <w:rsid w:val="00282642"/>
    <w:rsid w:val="002845C6"/>
    <w:rsid w:val="0028551C"/>
    <w:rsid w:val="0028615F"/>
    <w:rsid w:val="002871B8"/>
    <w:rsid w:val="00287987"/>
    <w:rsid w:val="00290C29"/>
    <w:rsid w:val="0029194F"/>
    <w:rsid w:val="00291DAD"/>
    <w:rsid w:val="00291E72"/>
    <w:rsid w:val="0029403B"/>
    <w:rsid w:val="00297DDD"/>
    <w:rsid w:val="002A0184"/>
    <w:rsid w:val="002A0382"/>
    <w:rsid w:val="002A0E81"/>
    <w:rsid w:val="002A1432"/>
    <w:rsid w:val="002A198C"/>
    <w:rsid w:val="002A31D0"/>
    <w:rsid w:val="002A46CA"/>
    <w:rsid w:val="002A49D0"/>
    <w:rsid w:val="002A725C"/>
    <w:rsid w:val="002B0032"/>
    <w:rsid w:val="002B0124"/>
    <w:rsid w:val="002B013F"/>
    <w:rsid w:val="002B2135"/>
    <w:rsid w:val="002B2148"/>
    <w:rsid w:val="002B2650"/>
    <w:rsid w:val="002B29C1"/>
    <w:rsid w:val="002B35F0"/>
    <w:rsid w:val="002B3DFA"/>
    <w:rsid w:val="002B5A80"/>
    <w:rsid w:val="002B5D9A"/>
    <w:rsid w:val="002B68CE"/>
    <w:rsid w:val="002B6B54"/>
    <w:rsid w:val="002B6C72"/>
    <w:rsid w:val="002B70B0"/>
    <w:rsid w:val="002C02D4"/>
    <w:rsid w:val="002C13CF"/>
    <w:rsid w:val="002C3857"/>
    <w:rsid w:val="002C3F14"/>
    <w:rsid w:val="002C5D12"/>
    <w:rsid w:val="002C605B"/>
    <w:rsid w:val="002C6AD5"/>
    <w:rsid w:val="002D0DEF"/>
    <w:rsid w:val="002D15EC"/>
    <w:rsid w:val="002D1C06"/>
    <w:rsid w:val="002D2859"/>
    <w:rsid w:val="002D33E0"/>
    <w:rsid w:val="002D3EA8"/>
    <w:rsid w:val="002D3F36"/>
    <w:rsid w:val="002D48B0"/>
    <w:rsid w:val="002D599A"/>
    <w:rsid w:val="002D6C23"/>
    <w:rsid w:val="002D70CB"/>
    <w:rsid w:val="002E1AA0"/>
    <w:rsid w:val="002E1C0E"/>
    <w:rsid w:val="002E3222"/>
    <w:rsid w:val="002E4977"/>
    <w:rsid w:val="002E64EC"/>
    <w:rsid w:val="002E6680"/>
    <w:rsid w:val="002E70B4"/>
    <w:rsid w:val="002E77C2"/>
    <w:rsid w:val="002F0610"/>
    <w:rsid w:val="002F1089"/>
    <w:rsid w:val="002F1241"/>
    <w:rsid w:val="002F1C53"/>
    <w:rsid w:val="002F25D5"/>
    <w:rsid w:val="002F2A6C"/>
    <w:rsid w:val="002F2C30"/>
    <w:rsid w:val="002F3222"/>
    <w:rsid w:val="002F35E2"/>
    <w:rsid w:val="002F3C9C"/>
    <w:rsid w:val="002F3DAD"/>
    <w:rsid w:val="002F4AA1"/>
    <w:rsid w:val="002F5298"/>
    <w:rsid w:val="002F55B9"/>
    <w:rsid w:val="002F5C8A"/>
    <w:rsid w:val="002F6DDC"/>
    <w:rsid w:val="00301E92"/>
    <w:rsid w:val="00303ECC"/>
    <w:rsid w:val="00304268"/>
    <w:rsid w:val="00304FAC"/>
    <w:rsid w:val="00304FB3"/>
    <w:rsid w:val="003053E2"/>
    <w:rsid w:val="00306FC9"/>
    <w:rsid w:val="00312F4F"/>
    <w:rsid w:val="00314B70"/>
    <w:rsid w:val="00320DFD"/>
    <w:rsid w:val="0032178A"/>
    <w:rsid w:val="003225AA"/>
    <w:rsid w:val="003233AF"/>
    <w:rsid w:val="00323DD9"/>
    <w:rsid w:val="00323E40"/>
    <w:rsid w:val="00325FE3"/>
    <w:rsid w:val="00327D98"/>
    <w:rsid w:val="00327F2F"/>
    <w:rsid w:val="00330ACA"/>
    <w:rsid w:val="003312B4"/>
    <w:rsid w:val="00332010"/>
    <w:rsid w:val="00332500"/>
    <w:rsid w:val="0033566F"/>
    <w:rsid w:val="00340B9C"/>
    <w:rsid w:val="00341476"/>
    <w:rsid w:val="0034346D"/>
    <w:rsid w:val="003444B0"/>
    <w:rsid w:val="0034660F"/>
    <w:rsid w:val="00350BD6"/>
    <w:rsid w:val="003536D5"/>
    <w:rsid w:val="00354B0D"/>
    <w:rsid w:val="00355D4B"/>
    <w:rsid w:val="00357041"/>
    <w:rsid w:val="00357958"/>
    <w:rsid w:val="00357977"/>
    <w:rsid w:val="00357DCB"/>
    <w:rsid w:val="0036029D"/>
    <w:rsid w:val="003615C2"/>
    <w:rsid w:val="0036166B"/>
    <w:rsid w:val="00361F5B"/>
    <w:rsid w:val="00362A62"/>
    <w:rsid w:val="0036313C"/>
    <w:rsid w:val="00363DC2"/>
    <w:rsid w:val="00365A5C"/>
    <w:rsid w:val="003672FF"/>
    <w:rsid w:val="0036772C"/>
    <w:rsid w:val="00367D95"/>
    <w:rsid w:val="00367F43"/>
    <w:rsid w:val="00371CAB"/>
    <w:rsid w:val="00371F83"/>
    <w:rsid w:val="003720ED"/>
    <w:rsid w:val="00372200"/>
    <w:rsid w:val="00374E68"/>
    <w:rsid w:val="0037552B"/>
    <w:rsid w:val="00375726"/>
    <w:rsid w:val="0037578F"/>
    <w:rsid w:val="0037684B"/>
    <w:rsid w:val="00376899"/>
    <w:rsid w:val="00376A85"/>
    <w:rsid w:val="00376CD4"/>
    <w:rsid w:val="00377438"/>
    <w:rsid w:val="003777F9"/>
    <w:rsid w:val="0038256D"/>
    <w:rsid w:val="003845D9"/>
    <w:rsid w:val="00384797"/>
    <w:rsid w:val="00384D18"/>
    <w:rsid w:val="00386E5C"/>
    <w:rsid w:val="00390B0A"/>
    <w:rsid w:val="00391A0D"/>
    <w:rsid w:val="00392AD8"/>
    <w:rsid w:val="00394632"/>
    <w:rsid w:val="00394AC9"/>
    <w:rsid w:val="00395167"/>
    <w:rsid w:val="003958D7"/>
    <w:rsid w:val="00397A86"/>
    <w:rsid w:val="003A33E3"/>
    <w:rsid w:val="003A4FD6"/>
    <w:rsid w:val="003A5810"/>
    <w:rsid w:val="003A58AA"/>
    <w:rsid w:val="003A68AD"/>
    <w:rsid w:val="003A71D9"/>
    <w:rsid w:val="003A743D"/>
    <w:rsid w:val="003B27A7"/>
    <w:rsid w:val="003B5988"/>
    <w:rsid w:val="003B7EA5"/>
    <w:rsid w:val="003C1481"/>
    <w:rsid w:val="003C1A61"/>
    <w:rsid w:val="003C1A7F"/>
    <w:rsid w:val="003C575D"/>
    <w:rsid w:val="003C6A36"/>
    <w:rsid w:val="003C71C8"/>
    <w:rsid w:val="003D19D5"/>
    <w:rsid w:val="003D2D26"/>
    <w:rsid w:val="003D36AC"/>
    <w:rsid w:val="003D3737"/>
    <w:rsid w:val="003D4C14"/>
    <w:rsid w:val="003D55EC"/>
    <w:rsid w:val="003D6096"/>
    <w:rsid w:val="003D6919"/>
    <w:rsid w:val="003D6FF6"/>
    <w:rsid w:val="003D7E98"/>
    <w:rsid w:val="003E093F"/>
    <w:rsid w:val="003E1C44"/>
    <w:rsid w:val="003E2064"/>
    <w:rsid w:val="003E5383"/>
    <w:rsid w:val="003E55A2"/>
    <w:rsid w:val="003E5FE9"/>
    <w:rsid w:val="003E6BA0"/>
    <w:rsid w:val="003E6FDD"/>
    <w:rsid w:val="003F02B2"/>
    <w:rsid w:val="003F1001"/>
    <w:rsid w:val="003F1C03"/>
    <w:rsid w:val="003F1D51"/>
    <w:rsid w:val="003F2C9C"/>
    <w:rsid w:val="003F3283"/>
    <w:rsid w:val="003F4890"/>
    <w:rsid w:val="003F64ED"/>
    <w:rsid w:val="003F6E3D"/>
    <w:rsid w:val="003F7881"/>
    <w:rsid w:val="003F7B8E"/>
    <w:rsid w:val="0040092E"/>
    <w:rsid w:val="00402AEB"/>
    <w:rsid w:val="00403525"/>
    <w:rsid w:val="004039F0"/>
    <w:rsid w:val="00403AB7"/>
    <w:rsid w:val="00404336"/>
    <w:rsid w:val="00406460"/>
    <w:rsid w:val="00406A38"/>
    <w:rsid w:val="00407067"/>
    <w:rsid w:val="004078CC"/>
    <w:rsid w:val="00407AD9"/>
    <w:rsid w:val="004106D1"/>
    <w:rsid w:val="004118F3"/>
    <w:rsid w:val="00412639"/>
    <w:rsid w:val="00413FE9"/>
    <w:rsid w:val="00415285"/>
    <w:rsid w:val="004217B1"/>
    <w:rsid w:val="00422021"/>
    <w:rsid w:val="00424CEE"/>
    <w:rsid w:val="00425F1A"/>
    <w:rsid w:val="00425FA9"/>
    <w:rsid w:val="00427E7B"/>
    <w:rsid w:val="00430918"/>
    <w:rsid w:val="00431DE8"/>
    <w:rsid w:val="00431ED9"/>
    <w:rsid w:val="00435509"/>
    <w:rsid w:val="00437540"/>
    <w:rsid w:val="0043756A"/>
    <w:rsid w:val="00443CA4"/>
    <w:rsid w:val="00444DC2"/>
    <w:rsid w:val="0044514D"/>
    <w:rsid w:val="00445515"/>
    <w:rsid w:val="00445E18"/>
    <w:rsid w:val="00450759"/>
    <w:rsid w:val="00451DF3"/>
    <w:rsid w:val="00452170"/>
    <w:rsid w:val="00452DC4"/>
    <w:rsid w:val="0045306C"/>
    <w:rsid w:val="004543CC"/>
    <w:rsid w:val="004543F2"/>
    <w:rsid w:val="0045495E"/>
    <w:rsid w:val="0045569D"/>
    <w:rsid w:val="00455BC4"/>
    <w:rsid w:val="004565AB"/>
    <w:rsid w:val="0045670D"/>
    <w:rsid w:val="004605AA"/>
    <w:rsid w:val="004612BD"/>
    <w:rsid w:val="004614BE"/>
    <w:rsid w:val="00461752"/>
    <w:rsid w:val="004621BB"/>
    <w:rsid w:val="0046222A"/>
    <w:rsid w:val="00462E58"/>
    <w:rsid w:val="00463E49"/>
    <w:rsid w:val="00465F24"/>
    <w:rsid w:val="00467A6A"/>
    <w:rsid w:val="0047035C"/>
    <w:rsid w:val="0047129B"/>
    <w:rsid w:val="00471B09"/>
    <w:rsid w:val="00471F5C"/>
    <w:rsid w:val="004725FC"/>
    <w:rsid w:val="0047285A"/>
    <w:rsid w:val="00472AC0"/>
    <w:rsid w:val="004733BB"/>
    <w:rsid w:val="00473F24"/>
    <w:rsid w:val="0047573C"/>
    <w:rsid w:val="00476A6E"/>
    <w:rsid w:val="00480AFD"/>
    <w:rsid w:val="00482EF1"/>
    <w:rsid w:val="004832CE"/>
    <w:rsid w:val="004837AB"/>
    <w:rsid w:val="00484837"/>
    <w:rsid w:val="0048532F"/>
    <w:rsid w:val="00487AEB"/>
    <w:rsid w:val="00487B43"/>
    <w:rsid w:val="0049217F"/>
    <w:rsid w:val="00497CBE"/>
    <w:rsid w:val="004A289F"/>
    <w:rsid w:val="004A303C"/>
    <w:rsid w:val="004A3942"/>
    <w:rsid w:val="004A41D5"/>
    <w:rsid w:val="004A455D"/>
    <w:rsid w:val="004A4F3B"/>
    <w:rsid w:val="004A60A4"/>
    <w:rsid w:val="004A60DF"/>
    <w:rsid w:val="004B0DBD"/>
    <w:rsid w:val="004B232E"/>
    <w:rsid w:val="004B2405"/>
    <w:rsid w:val="004B3557"/>
    <w:rsid w:val="004B4C51"/>
    <w:rsid w:val="004B5FCF"/>
    <w:rsid w:val="004B6222"/>
    <w:rsid w:val="004B6226"/>
    <w:rsid w:val="004B6C05"/>
    <w:rsid w:val="004C0B9C"/>
    <w:rsid w:val="004C242C"/>
    <w:rsid w:val="004C2B40"/>
    <w:rsid w:val="004C31D0"/>
    <w:rsid w:val="004C6D39"/>
    <w:rsid w:val="004D014F"/>
    <w:rsid w:val="004D01D2"/>
    <w:rsid w:val="004D2866"/>
    <w:rsid w:val="004D2C63"/>
    <w:rsid w:val="004D5B1B"/>
    <w:rsid w:val="004D6813"/>
    <w:rsid w:val="004D7897"/>
    <w:rsid w:val="004E1ACE"/>
    <w:rsid w:val="004E1B75"/>
    <w:rsid w:val="004E2610"/>
    <w:rsid w:val="004E3019"/>
    <w:rsid w:val="004E37E9"/>
    <w:rsid w:val="004E6143"/>
    <w:rsid w:val="004E75D5"/>
    <w:rsid w:val="004E79AE"/>
    <w:rsid w:val="004F3397"/>
    <w:rsid w:val="004F3D53"/>
    <w:rsid w:val="004F3F9F"/>
    <w:rsid w:val="004F68A9"/>
    <w:rsid w:val="004F75B0"/>
    <w:rsid w:val="00500693"/>
    <w:rsid w:val="005009F7"/>
    <w:rsid w:val="00502C2B"/>
    <w:rsid w:val="0050302F"/>
    <w:rsid w:val="0050386C"/>
    <w:rsid w:val="00503B34"/>
    <w:rsid w:val="00504667"/>
    <w:rsid w:val="00504727"/>
    <w:rsid w:val="00505E68"/>
    <w:rsid w:val="00506220"/>
    <w:rsid w:val="00507B6B"/>
    <w:rsid w:val="00510BE4"/>
    <w:rsid w:val="00511C30"/>
    <w:rsid w:val="00511CEB"/>
    <w:rsid w:val="0051270C"/>
    <w:rsid w:val="0051564B"/>
    <w:rsid w:val="00515706"/>
    <w:rsid w:val="00517DEB"/>
    <w:rsid w:val="005212B1"/>
    <w:rsid w:val="00521C3F"/>
    <w:rsid w:val="00523695"/>
    <w:rsid w:val="00524751"/>
    <w:rsid w:val="00525855"/>
    <w:rsid w:val="00527A13"/>
    <w:rsid w:val="0053051B"/>
    <w:rsid w:val="00530D0A"/>
    <w:rsid w:val="00531C98"/>
    <w:rsid w:val="00532516"/>
    <w:rsid w:val="00533053"/>
    <w:rsid w:val="00533845"/>
    <w:rsid w:val="00533D0C"/>
    <w:rsid w:val="00534EF5"/>
    <w:rsid w:val="00535AB8"/>
    <w:rsid w:val="00536F46"/>
    <w:rsid w:val="0054229B"/>
    <w:rsid w:val="0054254F"/>
    <w:rsid w:val="0054383D"/>
    <w:rsid w:val="00545588"/>
    <w:rsid w:val="005456A4"/>
    <w:rsid w:val="00545862"/>
    <w:rsid w:val="005473E7"/>
    <w:rsid w:val="00547F42"/>
    <w:rsid w:val="00550437"/>
    <w:rsid w:val="00550601"/>
    <w:rsid w:val="00553314"/>
    <w:rsid w:val="005540B9"/>
    <w:rsid w:val="005548BD"/>
    <w:rsid w:val="005557A1"/>
    <w:rsid w:val="005561EC"/>
    <w:rsid w:val="00556A19"/>
    <w:rsid w:val="00557784"/>
    <w:rsid w:val="0056168A"/>
    <w:rsid w:val="00562116"/>
    <w:rsid w:val="0056303D"/>
    <w:rsid w:val="00564B00"/>
    <w:rsid w:val="00564D01"/>
    <w:rsid w:val="00565F33"/>
    <w:rsid w:val="00570845"/>
    <w:rsid w:val="00570F82"/>
    <w:rsid w:val="0057109A"/>
    <w:rsid w:val="005715E6"/>
    <w:rsid w:val="00572022"/>
    <w:rsid w:val="005727D4"/>
    <w:rsid w:val="00572B38"/>
    <w:rsid w:val="005749A7"/>
    <w:rsid w:val="00574DD5"/>
    <w:rsid w:val="00574FA8"/>
    <w:rsid w:val="0057502B"/>
    <w:rsid w:val="005759D8"/>
    <w:rsid w:val="00575FAC"/>
    <w:rsid w:val="0057699A"/>
    <w:rsid w:val="0057699F"/>
    <w:rsid w:val="00580558"/>
    <w:rsid w:val="00581270"/>
    <w:rsid w:val="00582808"/>
    <w:rsid w:val="00583CA4"/>
    <w:rsid w:val="00584848"/>
    <w:rsid w:val="00584D91"/>
    <w:rsid w:val="00585F96"/>
    <w:rsid w:val="00592472"/>
    <w:rsid w:val="005940DF"/>
    <w:rsid w:val="00594DA9"/>
    <w:rsid w:val="0059541B"/>
    <w:rsid w:val="00595DFB"/>
    <w:rsid w:val="005962B9"/>
    <w:rsid w:val="005968B7"/>
    <w:rsid w:val="005A0203"/>
    <w:rsid w:val="005A0358"/>
    <w:rsid w:val="005A0993"/>
    <w:rsid w:val="005A1F05"/>
    <w:rsid w:val="005A5899"/>
    <w:rsid w:val="005A5968"/>
    <w:rsid w:val="005A64A8"/>
    <w:rsid w:val="005A64CD"/>
    <w:rsid w:val="005A6E26"/>
    <w:rsid w:val="005A7247"/>
    <w:rsid w:val="005A7340"/>
    <w:rsid w:val="005B073D"/>
    <w:rsid w:val="005B143B"/>
    <w:rsid w:val="005B28B0"/>
    <w:rsid w:val="005B2CE0"/>
    <w:rsid w:val="005B4AA4"/>
    <w:rsid w:val="005C0F88"/>
    <w:rsid w:val="005C112F"/>
    <w:rsid w:val="005C1472"/>
    <w:rsid w:val="005C1D29"/>
    <w:rsid w:val="005C357B"/>
    <w:rsid w:val="005C5317"/>
    <w:rsid w:val="005C5C77"/>
    <w:rsid w:val="005C7386"/>
    <w:rsid w:val="005D106F"/>
    <w:rsid w:val="005D2CAC"/>
    <w:rsid w:val="005D3DEE"/>
    <w:rsid w:val="005D4D8A"/>
    <w:rsid w:val="005D6A38"/>
    <w:rsid w:val="005D764D"/>
    <w:rsid w:val="005D7ED3"/>
    <w:rsid w:val="005E1132"/>
    <w:rsid w:val="005E3721"/>
    <w:rsid w:val="005E3E07"/>
    <w:rsid w:val="005E5B42"/>
    <w:rsid w:val="005E627E"/>
    <w:rsid w:val="005E6A79"/>
    <w:rsid w:val="005F1481"/>
    <w:rsid w:val="005F1991"/>
    <w:rsid w:val="005F2C42"/>
    <w:rsid w:val="005F5643"/>
    <w:rsid w:val="005F5711"/>
    <w:rsid w:val="005F74F8"/>
    <w:rsid w:val="006007D6"/>
    <w:rsid w:val="006017BB"/>
    <w:rsid w:val="00603A61"/>
    <w:rsid w:val="00603B17"/>
    <w:rsid w:val="0060706B"/>
    <w:rsid w:val="006105E7"/>
    <w:rsid w:val="00611B0E"/>
    <w:rsid w:val="00612FE3"/>
    <w:rsid w:val="00617A54"/>
    <w:rsid w:val="00617EAE"/>
    <w:rsid w:val="00621CE5"/>
    <w:rsid w:val="00623154"/>
    <w:rsid w:val="00623AE2"/>
    <w:rsid w:val="00624CE3"/>
    <w:rsid w:val="00626EFE"/>
    <w:rsid w:val="006274C9"/>
    <w:rsid w:val="00627C44"/>
    <w:rsid w:val="006303F8"/>
    <w:rsid w:val="0063122B"/>
    <w:rsid w:val="00631464"/>
    <w:rsid w:val="00631A45"/>
    <w:rsid w:val="00631C66"/>
    <w:rsid w:val="006321F4"/>
    <w:rsid w:val="00633373"/>
    <w:rsid w:val="00633A90"/>
    <w:rsid w:val="00634A76"/>
    <w:rsid w:val="006359CA"/>
    <w:rsid w:val="00635F13"/>
    <w:rsid w:val="00636F5B"/>
    <w:rsid w:val="00640263"/>
    <w:rsid w:val="00640E74"/>
    <w:rsid w:val="00641585"/>
    <w:rsid w:val="00641770"/>
    <w:rsid w:val="006419FF"/>
    <w:rsid w:val="00641A95"/>
    <w:rsid w:val="0064310B"/>
    <w:rsid w:val="00643D50"/>
    <w:rsid w:val="00643EA4"/>
    <w:rsid w:val="006446A6"/>
    <w:rsid w:val="00644EF0"/>
    <w:rsid w:val="006450C2"/>
    <w:rsid w:val="00645213"/>
    <w:rsid w:val="00645C03"/>
    <w:rsid w:val="00646424"/>
    <w:rsid w:val="00646C96"/>
    <w:rsid w:val="006526A1"/>
    <w:rsid w:val="00653354"/>
    <w:rsid w:val="00653419"/>
    <w:rsid w:val="00653689"/>
    <w:rsid w:val="006559AC"/>
    <w:rsid w:val="00656B85"/>
    <w:rsid w:val="00656CBC"/>
    <w:rsid w:val="00656EA7"/>
    <w:rsid w:val="0065733C"/>
    <w:rsid w:val="00657610"/>
    <w:rsid w:val="006605C7"/>
    <w:rsid w:val="0066117F"/>
    <w:rsid w:val="00661348"/>
    <w:rsid w:val="00662DF2"/>
    <w:rsid w:val="00663891"/>
    <w:rsid w:val="00664806"/>
    <w:rsid w:val="0066675E"/>
    <w:rsid w:val="00666E06"/>
    <w:rsid w:val="006671FB"/>
    <w:rsid w:val="00670776"/>
    <w:rsid w:val="00670D7F"/>
    <w:rsid w:val="00672058"/>
    <w:rsid w:val="006721D7"/>
    <w:rsid w:val="006726FB"/>
    <w:rsid w:val="00673220"/>
    <w:rsid w:val="00674E83"/>
    <w:rsid w:val="0067660E"/>
    <w:rsid w:val="006771FC"/>
    <w:rsid w:val="00681332"/>
    <w:rsid w:val="00683498"/>
    <w:rsid w:val="00684614"/>
    <w:rsid w:val="0068626A"/>
    <w:rsid w:val="0068746E"/>
    <w:rsid w:val="00687949"/>
    <w:rsid w:val="00687FC1"/>
    <w:rsid w:val="0069120C"/>
    <w:rsid w:val="00692632"/>
    <w:rsid w:val="00692EB2"/>
    <w:rsid w:val="00694459"/>
    <w:rsid w:val="00694C8F"/>
    <w:rsid w:val="0069680F"/>
    <w:rsid w:val="00696EFF"/>
    <w:rsid w:val="006A03CD"/>
    <w:rsid w:val="006A1C2F"/>
    <w:rsid w:val="006A2A78"/>
    <w:rsid w:val="006A3077"/>
    <w:rsid w:val="006A35B8"/>
    <w:rsid w:val="006A5E10"/>
    <w:rsid w:val="006A60F3"/>
    <w:rsid w:val="006A64E5"/>
    <w:rsid w:val="006A7274"/>
    <w:rsid w:val="006B1174"/>
    <w:rsid w:val="006B1587"/>
    <w:rsid w:val="006B2120"/>
    <w:rsid w:val="006B2CDB"/>
    <w:rsid w:val="006B2FB5"/>
    <w:rsid w:val="006B3B57"/>
    <w:rsid w:val="006B3FEE"/>
    <w:rsid w:val="006B669A"/>
    <w:rsid w:val="006B7013"/>
    <w:rsid w:val="006C21D2"/>
    <w:rsid w:val="006C27D1"/>
    <w:rsid w:val="006C7625"/>
    <w:rsid w:val="006C7DDE"/>
    <w:rsid w:val="006D0547"/>
    <w:rsid w:val="006D13AF"/>
    <w:rsid w:val="006D203D"/>
    <w:rsid w:val="006D28DC"/>
    <w:rsid w:val="006D3EC5"/>
    <w:rsid w:val="006D45E1"/>
    <w:rsid w:val="006D4755"/>
    <w:rsid w:val="006D4D60"/>
    <w:rsid w:val="006D7A15"/>
    <w:rsid w:val="006E0234"/>
    <w:rsid w:val="006E56CA"/>
    <w:rsid w:val="006E6F24"/>
    <w:rsid w:val="006E719B"/>
    <w:rsid w:val="006E7387"/>
    <w:rsid w:val="006E7DAB"/>
    <w:rsid w:val="006F0008"/>
    <w:rsid w:val="006F1150"/>
    <w:rsid w:val="006F13BE"/>
    <w:rsid w:val="006F291D"/>
    <w:rsid w:val="006F45D6"/>
    <w:rsid w:val="006F507E"/>
    <w:rsid w:val="006F55BB"/>
    <w:rsid w:val="00700B62"/>
    <w:rsid w:val="0070404F"/>
    <w:rsid w:val="007044DA"/>
    <w:rsid w:val="0070475C"/>
    <w:rsid w:val="00704D5E"/>
    <w:rsid w:val="00705713"/>
    <w:rsid w:val="00706479"/>
    <w:rsid w:val="00707159"/>
    <w:rsid w:val="00707983"/>
    <w:rsid w:val="00707BDE"/>
    <w:rsid w:val="00707DCB"/>
    <w:rsid w:val="00710816"/>
    <w:rsid w:val="007137E9"/>
    <w:rsid w:val="00713DE8"/>
    <w:rsid w:val="00713FE4"/>
    <w:rsid w:val="007141EE"/>
    <w:rsid w:val="00714B02"/>
    <w:rsid w:val="00715B84"/>
    <w:rsid w:val="00717D11"/>
    <w:rsid w:val="007222EA"/>
    <w:rsid w:val="00722800"/>
    <w:rsid w:val="00723AD0"/>
    <w:rsid w:val="007278DA"/>
    <w:rsid w:val="00727B39"/>
    <w:rsid w:val="00733CBD"/>
    <w:rsid w:val="00734027"/>
    <w:rsid w:val="00735911"/>
    <w:rsid w:val="00735F67"/>
    <w:rsid w:val="007371EA"/>
    <w:rsid w:val="00740F76"/>
    <w:rsid w:val="00744429"/>
    <w:rsid w:val="00744650"/>
    <w:rsid w:val="00744E2C"/>
    <w:rsid w:val="0074576E"/>
    <w:rsid w:val="007505C2"/>
    <w:rsid w:val="00752183"/>
    <w:rsid w:val="00752565"/>
    <w:rsid w:val="00752662"/>
    <w:rsid w:val="007545DD"/>
    <w:rsid w:val="007560F0"/>
    <w:rsid w:val="007565E0"/>
    <w:rsid w:val="00757C4D"/>
    <w:rsid w:val="00760F9F"/>
    <w:rsid w:val="00763141"/>
    <w:rsid w:val="0076380C"/>
    <w:rsid w:val="00763C01"/>
    <w:rsid w:val="007647F0"/>
    <w:rsid w:val="007652CA"/>
    <w:rsid w:val="007667EC"/>
    <w:rsid w:val="00770756"/>
    <w:rsid w:val="007710B2"/>
    <w:rsid w:val="00771460"/>
    <w:rsid w:val="00771DF1"/>
    <w:rsid w:val="00772511"/>
    <w:rsid w:val="00776058"/>
    <w:rsid w:val="007812D1"/>
    <w:rsid w:val="00781671"/>
    <w:rsid w:val="0078572B"/>
    <w:rsid w:val="00787D01"/>
    <w:rsid w:val="00790A31"/>
    <w:rsid w:val="0079215A"/>
    <w:rsid w:val="00792C43"/>
    <w:rsid w:val="007952DD"/>
    <w:rsid w:val="00797404"/>
    <w:rsid w:val="00797FEA"/>
    <w:rsid w:val="007A0784"/>
    <w:rsid w:val="007A0EB3"/>
    <w:rsid w:val="007A122F"/>
    <w:rsid w:val="007A1919"/>
    <w:rsid w:val="007A3E83"/>
    <w:rsid w:val="007A4D6B"/>
    <w:rsid w:val="007A4F56"/>
    <w:rsid w:val="007A5FB2"/>
    <w:rsid w:val="007A6598"/>
    <w:rsid w:val="007A70EB"/>
    <w:rsid w:val="007A7C8B"/>
    <w:rsid w:val="007B2107"/>
    <w:rsid w:val="007B2923"/>
    <w:rsid w:val="007B3BCC"/>
    <w:rsid w:val="007B5209"/>
    <w:rsid w:val="007B5C03"/>
    <w:rsid w:val="007B675A"/>
    <w:rsid w:val="007C0858"/>
    <w:rsid w:val="007C4095"/>
    <w:rsid w:val="007C4099"/>
    <w:rsid w:val="007C4A52"/>
    <w:rsid w:val="007C57CD"/>
    <w:rsid w:val="007C718B"/>
    <w:rsid w:val="007C782F"/>
    <w:rsid w:val="007C788E"/>
    <w:rsid w:val="007D021B"/>
    <w:rsid w:val="007D11D4"/>
    <w:rsid w:val="007D132E"/>
    <w:rsid w:val="007D28CF"/>
    <w:rsid w:val="007D3BCC"/>
    <w:rsid w:val="007D4B95"/>
    <w:rsid w:val="007D4C79"/>
    <w:rsid w:val="007D5722"/>
    <w:rsid w:val="007D703B"/>
    <w:rsid w:val="007D7B79"/>
    <w:rsid w:val="007E0B71"/>
    <w:rsid w:val="007E21EC"/>
    <w:rsid w:val="007E2BDE"/>
    <w:rsid w:val="007E5047"/>
    <w:rsid w:val="007E63FA"/>
    <w:rsid w:val="007E7080"/>
    <w:rsid w:val="007E7909"/>
    <w:rsid w:val="007E795C"/>
    <w:rsid w:val="007F1156"/>
    <w:rsid w:val="007F17A3"/>
    <w:rsid w:val="007F2488"/>
    <w:rsid w:val="007F2A84"/>
    <w:rsid w:val="007F2B5D"/>
    <w:rsid w:val="007F3581"/>
    <w:rsid w:val="007F45A2"/>
    <w:rsid w:val="007F72A8"/>
    <w:rsid w:val="007F7C4B"/>
    <w:rsid w:val="00804315"/>
    <w:rsid w:val="00804E4E"/>
    <w:rsid w:val="00805AF2"/>
    <w:rsid w:val="008061A5"/>
    <w:rsid w:val="0081067C"/>
    <w:rsid w:val="00810E47"/>
    <w:rsid w:val="008134E4"/>
    <w:rsid w:val="0081374A"/>
    <w:rsid w:val="00814165"/>
    <w:rsid w:val="008164E0"/>
    <w:rsid w:val="00817F1B"/>
    <w:rsid w:val="00820CDF"/>
    <w:rsid w:val="0082170C"/>
    <w:rsid w:val="00822D82"/>
    <w:rsid w:val="00824D3A"/>
    <w:rsid w:val="00825EF0"/>
    <w:rsid w:val="00826192"/>
    <w:rsid w:val="008270FC"/>
    <w:rsid w:val="00827901"/>
    <w:rsid w:val="00831928"/>
    <w:rsid w:val="00832686"/>
    <w:rsid w:val="008327AE"/>
    <w:rsid w:val="00832F8E"/>
    <w:rsid w:val="00833D31"/>
    <w:rsid w:val="008361C3"/>
    <w:rsid w:val="00837738"/>
    <w:rsid w:val="00837E60"/>
    <w:rsid w:val="00841D0C"/>
    <w:rsid w:val="00841E0F"/>
    <w:rsid w:val="00842F1F"/>
    <w:rsid w:val="00844751"/>
    <w:rsid w:val="008447F2"/>
    <w:rsid w:val="0084592A"/>
    <w:rsid w:val="00846CED"/>
    <w:rsid w:val="00847124"/>
    <w:rsid w:val="00850871"/>
    <w:rsid w:val="00850D9A"/>
    <w:rsid w:val="008530B9"/>
    <w:rsid w:val="00853D0E"/>
    <w:rsid w:val="0085438B"/>
    <w:rsid w:val="00854D50"/>
    <w:rsid w:val="008557BC"/>
    <w:rsid w:val="008564C4"/>
    <w:rsid w:val="00860888"/>
    <w:rsid w:val="0086096A"/>
    <w:rsid w:val="0086170A"/>
    <w:rsid w:val="00864C89"/>
    <w:rsid w:val="0087028D"/>
    <w:rsid w:val="008724E9"/>
    <w:rsid w:val="0087453A"/>
    <w:rsid w:val="00874B9F"/>
    <w:rsid w:val="00874EED"/>
    <w:rsid w:val="008751D7"/>
    <w:rsid w:val="00875DE7"/>
    <w:rsid w:val="00881A2A"/>
    <w:rsid w:val="00882444"/>
    <w:rsid w:val="0088309F"/>
    <w:rsid w:val="008832C4"/>
    <w:rsid w:val="00883458"/>
    <w:rsid w:val="00884187"/>
    <w:rsid w:val="0088421E"/>
    <w:rsid w:val="00885691"/>
    <w:rsid w:val="00887095"/>
    <w:rsid w:val="00890451"/>
    <w:rsid w:val="00890A41"/>
    <w:rsid w:val="00895AAA"/>
    <w:rsid w:val="00895E02"/>
    <w:rsid w:val="00895E1C"/>
    <w:rsid w:val="00896E66"/>
    <w:rsid w:val="008974D5"/>
    <w:rsid w:val="00897FD3"/>
    <w:rsid w:val="008A1044"/>
    <w:rsid w:val="008A321E"/>
    <w:rsid w:val="008A3670"/>
    <w:rsid w:val="008A4E49"/>
    <w:rsid w:val="008A4E9F"/>
    <w:rsid w:val="008A5924"/>
    <w:rsid w:val="008A63FF"/>
    <w:rsid w:val="008A652A"/>
    <w:rsid w:val="008A6BF2"/>
    <w:rsid w:val="008A7545"/>
    <w:rsid w:val="008B0407"/>
    <w:rsid w:val="008B2B87"/>
    <w:rsid w:val="008B2D02"/>
    <w:rsid w:val="008B2F47"/>
    <w:rsid w:val="008B3998"/>
    <w:rsid w:val="008B4A54"/>
    <w:rsid w:val="008B7445"/>
    <w:rsid w:val="008B75DB"/>
    <w:rsid w:val="008C045E"/>
    <w:rsid w:val="008C0FE1"/>
    <w:rsid w:val="008C10FA"/>
    <w:rsid w:val="008C225D"/>
    <w:rsid w:val="008C2C5E"/>
    <w:rsid w:val="008C3050"/>
    <w:rsid w:val="008C4258"/>
    <w:rsid w:val="008C432F"/>
    <w:rsid w:val="008C54DF"/>
    <w:rsid w:val="008C5A12"/>
    <w:rsid w:val="008C5DA9"/>
    <w:rsid w:val="008C68C1"/>
    <w:rsid w:val="008C7DE5"/>
    <w:rsid w:val="008D2C1D"/>
    <w:rsid w:val="008D35AB"/>
    <w:rsid w:val="008D69E8"/>
    <w:rsid w:val="008D7634"/>
    <w:rsid w:val="008E007A"/>
    <w:rsid w:val="008E2128"/>
    <w:rsid w:val="008E28DE"/>
    <w:rsid w:val="008E2D79"/>
    <w:rsid w:val="008E2E18"/>
    <w:rsid w:val="008E4ED4"/>
    <w:rsid w:val="008E5715"/>
    <w:rsid w:val="008E593B"/>
    <w:rsid w:val="008E60A1"/>
    <w:rsid w:val="008E6C07"/>
    <w:rsid w:val="008E6DAC"/>
    <w:rsid w:val="008E765E"/>
    <w:rsid w:val="008F1099"/>
    <w:rsid w:val="008F1146"/>
    <w:rsid w:val="008F32EF"/>
    <w:rsid w:val="008F3F39"/>
    <w:rsid w:val="008F4E95"/>
    <w:rsid w:val="008F738A"/>
    <w:rsid w:val="008F7577"/>
    <w:rsid w:val="008F7EE4"/>
    <w:rsid w:val="00903AF4"/>
    <w:rsid w:val="009048CA"/>
    <w:rsid w:val="00905C40"/>
    <w:rsid w:val="00906428"/>
    <w:rsid w:val="00906472"/>
    <w:rsid w:val="009067AD"/>
    <w:rsid w:val="009072E8"/>
    <w:rsid w:val="00907682"/>
    <w:rsid w:val="00907E0C"/>
    <w:rsid w:val="00907FDA"/>
    <w:rsid w:val="00910DD0"/>
    <w:rsid w:val="00912093"/>
    <w:rsid w:val="0091213A"/>
    <w:rsid w:val="009125C8"/>
    <w:rsid w:val="00912CDC"/>
    <w:rsid w:val="00912DA3"/>
    <w:rsid w:val="00913A63"/>
    <w:rsid w:val="00914B80"/>
    <w:rsid w:val="00916CCF"/>
    <w:rsid w:val="00916CEF"/>
    <w:rsid w:val="00920A5B"/>
    <w:rsid w:val="00921A8D"/>
    <w:rsid w:val="009239C5"/>
    <w:rsid w:val="009257DB"/>
    <w:rsid w:val="0092787E"/>
    <w:rsid w:val="00927B54"/>
    <w:rsid w:val="00934387"/>
    <w:rsid w:val="00934CE1"/>
    <w:rsid w:val="00937B91"/>
    <w:rsid w:val="00942202"/>
    <w:rsid w:val="009422B9"/>
    <w:rsid w:val="00946E18"/>
    <w:rsid w:val="00947C31"/>
    <w:rsid w:val="009504DE"/>
    <w:rsid w:val="00952C19"/>
    <w:rsid w:val="00952CE8"/>
    <w:rsid w:val="009543B2"/>
    <w:rsid w:val="0095449B"/>
    <w:rsid w:val="00954E9D"/>
    <w:rsid w:val="00955292"/>
    <w:rsid w:val="009561E1"/>
    <w:rsid w:val="009566DF"/>
    <w:rsid w:val="00956BE0"/>
    <w:rsid w:val="00957553"/>
    <w:rsid w:val="00961203"/>
    <w:rsid w:val="0096161C"/>
    <w:rsid w:val="009669AC"/>
    <w:rsid w:val="00971CF8"/>
    <w:rsid w:val="00973E2B"/>
    <w:rsid w:val="00977C9D"/>
    <w:rsid w:val="00982293"/>
    <w:rsid w:val="009848F8"/>
    <w:rsid w:val="0098570E"/>
    <w:rsid w:val="00985D59"/>
    <w:rsid w:val="00987542"/>
    <w:rsid w:val="00987B37"/>
    <w:rsid w:val="00991D8E"/>
    <w:rsid w:val="00994F5E"/>
    <w:rsid w:val="009969BB"/>
    <w:rsid w:val="009A1AD8"/>
    <w:rsid w:val="009A2C7D"/>
    <w:rsid w:val="009A3100"/>
    <w:rsid w:val="009A3B53"/>
    <w:rsid w:val="009A4137"/>
    <w:rsid w:val="009A43BD"/>
    <w:rsid w:val="009A537E"/>
    <w:rsid w:val="009A6648"/>
    <w:rsid w:val="009A690C"/>
    <w:rsid w:val="009A7369"/>
    <w:rsid w:val="009B0A7B"/>
    <w:rsid w:val="009B2734"/>
    <w:rsid w:val="009B3E22"/>
    <w:rsid w:val="009B4456"/>
    <w:rsid w:val="009B4D86"/>
    <w:rsid w:val="009B5142"/>
    <w:rsid w:val="009B5305"/>
    <w:rsid w:val="009B7177"/>
    <w:rsid w:val="009B7188"/>
    <w:rsid w:val="009B78CA"/>
    <w:rsid w:val="009B791E"/>
    <w:rsid w:val="009C0829"/>
    <w:rsid w:val="009C3139"/>
    <w:rsid w:val="009C449D"/>
    <w:rsid w:val="009C4F84"/>
    <w:rsid w:val="009C70D7"/>
    <w:rsid w:val="009C7705"/>
    <w:rsid w:val="009C7DED"/>
    <w:rsid w:val="009C7F06"/>
    <w:rsid w:val="009D02B6"/>
    <w:rsid w:val="009D0F62"/>
    <w:rsid w:val="009D4640"/>
    <w:rsid w:val="009D6D8F"/>
    <w:rsid w:val="009D715C"/>
    <w:rsid w:val="009E053A"/>
    <w:rsid w:val="009E3028"/>
    <w:rsid w:val="009E4020"/>
    <w:rsid w:val="009E6C51"/>
    <w:rsid w:val="009F1B0A"/>
    <w:rsid w:val="009F2063"/>
    <w:rsid w:val="009F297E"/>
    <w:rsid w:val="009F2D95"/>
    <w:rsid w:val="009F3DDB"/>
    <w:rsid w:val="009F411E"/>
    <w:rsid w:val="009F52EB"/>
    <w:rsid w:val="009F5349"/>
    <w:rsid w:val="009F663F"/>
    <w:rsid w:val="009F681B"/>
    <w:rsid w:val="009F68D4"/>
    <w:rsid w:val="009F6950"/>
    <w:rsid w:val="009F6F63"/>
    <w:rsid w:val="009F6FFC"/>
    <w:rsid w:val="009F7206"/>
    <w:rsid w:val="00A00C4F"/>
    <w:rsid w:val="00A02148"/>
    <w:rsid w:val="00A02ABA"/>
    <w:rsid w:val="00A02F44"/>
    <w:rsid w:val="00A03770"/>
    <w:rsid w:val="00A0400F"/>
    <w:rsid w:val="00A04118"/>
    <w:rsid w:val="00A04E8A"/>
    <w:rsid w:val="00A05C48"/>
    <w:rsid w:val="00A06121"/>
    <w:rsid w:val="00A0723C"/>
    <w:rsid w:val="00A0772D"/>
    <w:rsid w:val="00A07B3B"/>
    <w:rsid w:val="00A112AE"/>
    <w:rsid w:val="00A11B1F"/>
    <w:rsid w:val="00A11DF0"/>
    <w:rsid w:val="00A12AAB"/>
    <w:rsid w:val="00A12CFF"/>
    <w:rsid w:val="00A1405D"/>
    <w:rsid w:val="00A15840"/>
    <w:rsid w:val="00A17BB6"/>
    <w:rsid w:val="00A2076A"/>
    <w:rsid w:val="00A20B68"/>
    <w:rsid w:val="00A21204"/>
    <w:rsid w:val="00A21D51"/>
    <w:rsid w:val="00A25691"/>
    <w:rsid w:val="00A259C5"/>
    <w:rsid w:val="00A26E45"/>
    <w:rsid w:val="00A31701"/>
    <w:rsid w:val="00A3235E"/>
    <w:rsid w:val="00A3455E"/>
    <w:rsid w:val="00A3480D"/>
    <w:rsid w:val="00A35D22"/>
    <w:rsid w:val="00A374FB"/>
    <w:rsid w:val="00A406D4"/>
    <w:rsid w:val="00A40FED"/>
    <w:rsid w:val="00A43650"/>
    <w:rsid w:val="00A45172"/>
    <w:rsid w:val="00A456AA"/>
    <w:rsid w:val="00A4669E"/>
    <w:rsid w:val="00A46848"/>
    <w:rsid w:val="00A478CF"/>
    <w:rsid w:val="00A47ABD"/>
    <w:rsid w:val="00A52FC4"/>
    <w:rsid w:val="00A53705"/>
    <w:rsid w:val="00A53E1A"/>
    <w:rsid w:val="00A56161"/>
    <w:rsid w:val="00A573C2"/>
    <w:rsid w:val="00A5789D"/>
    <w:rsid w:val="00A61668"/>
    <w:rsid w:val="00A65B68"/>
    <w:rsid w:val="00A65F5E"/>
    <w:rsid w:val="00A666EA"/>
    <w:rsid w:val="00A678BC"/>
    <w:rsid w:val="00A67BC9"/>
    <w:rsid w:val="00A7112C"/>
    <w:rsid w:val="00A7163C"/>
    <w:rsid w:val="00A723F7"/>
    <w:rsid w:val="00A737E5"/>
    <w:rsid w:val="00A73C44"/>
    <w:rsid w:val="00A745BF"/>
    <w:rsid w:val="00A7474F"/>
    <w:rsid w:val="00A74F92"/>
    <w:rsid w:val="00A7585E"/>
    <w:rsid w:val="00A758E3"/>
    <w:rsid w:val="00A75DBC"/>
    <w:rsid w:val="00A75FE0"/>
    <w:rsid w:val="00A763EF"/>
    <w:rsid w:val="00A76668"/>
    <w:rsid w:val="00A7763B"/>
    <w:rsid w:val="00A807E0"/>
    <w:rsid w:val="00A82B3C"/>
    <w:rsid w:val="00A83905"/>
    <w:rsid w:val="00A86AF2"/>
    <w:rsid w:val="00A86DA7"/>
    <w:rsid w:val="00A86E1B"/>
    <w:rsid w:val="00A86F66"/>
    <w:rsid w:val="00A95059"/>
    <w:rsid w:val="00A95CF7"/>
    <w:rsid w:val="00A95EE4"/>
    <w:rsid w:val="00A96A2A"/>
    <w:rsid w:val="00A9791B"/>
    <w:rsid w:val="00AA2569"/>
    <w:rsid w:val="00AA2D54"/>
    <w:rsid w:val="00AA37A2"/>
    <w:rsid w:val="00AA37B3"/>
    <w:rsid w:val="00AA3CDF"/>
    <w:rsid w:val="00AA7901"/>
    <w:rsid w:val="00AB2A1F"/>
    <w:rsid w:val="00AB380B"/>
    <w:rsid w:val="00AB433B"/>
    <w:rsid w:val="00AB4BCB"/>
    <w:rsid w:val="00AB551F"/>
    <w:rsid w:val="00AB6F09"/>
    <w:rsid w:val="00AB7CE1"/>
    <w:rsid w:val="00AC0B8D"/>
    <w:rsid w:val="00AC1EA1"/>
    <w:rsid w:val="00AC4C44"/>
    <w:rsid w:val="00AC51C4"/>
    <w:rsid w:val="00AC756B"/>
    <w:rsid w:val="00AD07E9"/>
    <w:rsid w:val="00AD0E18"/>
    <w:rsid w:val="00AD17F2"/>
    <w:rsid w:val="00AD4A55"/>
    <w:rsid w:val="00AD4AEA"/>
    <w:rsid w:val="00AD528C"/>
    <w:rsid w:val="00AD52AB"/>
    <w:rsid w:val="00AD63DB"/>
    <w:rsid w:val="00AD7418"/>
    <w:rsid w:val="00AE0DCA"/>
    <w:rsid w:val="00AE18BF"/>
    <w:rsid w:val="00AE281B"/>
    <w:rsid w:val="00AE298A"/>
    <w:rsid w:val="00AE2E33"/>
    <w:rsid w:val="00AE44FB"/>
    <w:rsid w:val="00AE50A7"/>
    <w:rsid w:val="00AE50BB"/>
    <w:rsid w:val="00AE619C"/>
    <w:rsid w:val="00AE7341"/>
    <w:rsid w:val="00AE7EBE"/>
    <w:rsid w:val="00AF1DE6"/>
    <w:rsid w:val="00AF44AF"/>
    <w:rsid w:val="00AF452A"/>
    <w:rsid w:val="00AF53F0"/>
    <w:rsid w:val="00B04B2A"/>
    <w:rsid w:val="00B04EBB"/>
    <w:rsid w:val="00B06149"/>
    <w:rsid w:val="00B0793C"/>
    <w:rsid w:val="00B1027E"/>
    <w:rsid w:val="00B10C8F"/>
    <w:rsid w:val="00B115B5"/>
    <w:rsid w:val="00B115D0"/>
    <w:rsid w:val="00B13C3A"/>
    <w:rsid w:val="00B14161"/>
    <w:rsid w:val="00B15208"/>
    <w:rsid w:val="00B15B83"/>
    <w:rsid w:val="00B15FB3"/>
    <w:rsid w:val="00B16A64"/>
    <w:rsid w:val="00B2041F"/>
    <w:rsid w:val="00B223EB"/>
    <w:rsid w:val="00B23B86"/>
    <w:rsid w:val="00B25A49"/>
    <w:rsid w:val="00B27A53"/>
    <w:rsid w:val="00B27FB9"/>
    <w:rsid w:val="00B31260"/>
    <w:rsid w:val="00B3195A"/>
    <w:rsid w:val="00B31994"/>
    <w:rsid w:val="00B319F8"/>
    <w:rsid w:val="00B32C55"/>
    <w:rsid w:val="00B33C07"/>
    <w:rsid w:val="00B3546D"/>
    <w:rsid w:val="00B3622E"/>
    <w:rsid w:val="00B36C34"/>
    <w:rsid w:val="00B3720F"/>
    <w:rsid w:val="00B40722"/>
    <w:rsid w:val="00B42702"/>
    <w:rsid w:val="00B43465"/>
    <w:rsid w:val="00B43941"/>
    <w:rsid w:val="00B43976"/>
    <w:rsid w:val="00B43D3B"/>
    <w:rsid w:val="00B44346"/>
    <w:rsid w:val="00B44BD3"/>
    <w:rsid w:val="00B44C20"/>
    <w:rsid w:val="00B46AF9"/>
    <w:rsid w:val="00B509FB"/>
    <w:rsid w:val="00B50FF5"/>
    <w:rsid w:val="00B516DB"/>
    <w:rsid w:val="00B5176A"/>
    <w:rsid w:val="00B519A4"/>
    <w:rsid w:val="00B52A17"/>
    <w:rsid w:val="00B52F1B"/>
    <w:rsid w:val="00B53560"/>
    <w:rsid w:val="00B53E5E"/>
    <w:rsid w:val="00B5458B"/>
    <w:rsid w:val="00B55987"/>
    <w:rsid w:val="00B56FBC"/>
    <w:rsid w:val="00B57EE4"/>
    <w:rsid w:val="00B60701"/>
    <w:rsid w:val="00B613D4"/>
    <w:rsid w:val="00B6225B"/>
    <w:rsid w:val="00B62302"/>
    <w:rsid w:val="00B632A3"/>
    <w:rsid w:val="00B662A2"/>
    <w:rsid w:val="00B6722B"/>
    <w:rsid w:val="00B7057D"/>
    <w:rsid w:val="00B70FC8"/>
    <w:rsid w:val="00B712D0"/>
    <w:rsid w:val="00B71713"/>
    <w:rsid w:val="00B71AAB"/>
    <w:rsid w:val="00B722C7"/>
    <w:rsid w:val="00B73532"/>
    <w:rsid w:val="00B74BBB"/>
    <w:rsid w:val="00B75FAB"/>
    <w:rsid w:val="00B76575"/>
    <w:rsid w:val="00B76F4B"/>
    <w:rsid w:val="00B81520"/>
    <w:rsid w:val="00B817F5"/>
    <w:rsid w:val="00B8184B"/>
    <w:rsid w:val="00B818EB"/>
    <w:rsid w:val="00B825D6"/>
    <w:rsid w:val="00B84473"/>
    <w:rsid w:val="00B8465B"/>
    <w:rsid w:val="00B84FF5"/>
    <w:rsid w:val="00B8503D"/>
    <w:rsid w:val="00B85AE4"/>
    <w:rsid w:val="00B900A5"/>
    <w:rsid w:val="00B91676"/>
    <w:rsid w:val="00B923BE"/>
    <w:rsid w:val="00B9292C"/>
    <w:rsid w:val="00B92F25"/>
    <w:rsid w:val="00B94A4B"/>
    <w:rsid w:val="00B95B41"/>
    <w:rsid w:val="00B95D61"/>
    <w:rsid w:val="00B96CE1"/>
    <w:rsid w:val="00BA02A0"/>
    <w:rsid w:val="00BA0CE5"/>
    <w:rsid w:val="00BA1188"/>
    <w:rsid w:val="00BA2CD0"/>
    <w:rsid w:val="00BA3412"/>
    <w:rsid w:val="00BA3C4F"/>
    <w:rsid w:val="00BA558A"/>
    <w:rsid w:val="00BA6835"/>
    <w:rsid w:val="00BB01E8"/>
    <w:rsid w:val="00BB0B79"/>
    <w:rsid w:val="00BB1429"/>
    <w:rsid w:val="00BB368C"/>
    <w:rsid w:val="00BB3A3A"/>
    <w:rsid w:val="00BB61CF"/>
    <w:rsid w:val="00BB68CD"/>
    <w:rsid w:val="00BB7397"/>
    <w:rsid w:val="00BB788F"/>
    <w:rsid w:val="00BC0D29"/>
    <w:rsid w:val="00BC197A"/>
    <w:rsid w:val="00BC19F6"/>
    <w:rsid w:val="00BC3F5B"/>
    <w:rsid w:val="00BC4231"/>
    <w:rsid w:val="00BC528F"/>
    <w:rsid w:val="00BC5649"/>
    <w:rsid w:val="00BC5D2D"/>
    <w:rsid w:val="00BC7204"/>
    <w:rsid w:val="00BC73D7"/>
    <w:rsid w:val="00BD76C0"/>
    <w:rsid w:val="00BE05D8"/>
    <w:rsid w:val="00BE09F3"/>
    <w:rsid w:val="00BE0C68"/>
    <w:rsid w:val="00BE1CBA"/>
    <w:rsid w:val="00BE2355"/>
    <w:rsid w:val="00BE320E"/>
    <w:rsid w:val="00BE3636"/>
    <w:rsid w:val="00BE44FA"/>
    <w:rsid w:val="00BE4BE4"/>
    <w:rsid w:val="00BF018D"/>
    <w:rsid w:val="00BF09CD"/>
    <w:rsid w:val="00BF1C44"/>
    <w:rsid w:val="00BF1F42"/>
    <w:rsid w:val="00BF2774"/>
    <w:rsid w:val="00BF309E"/>
    <w:rsid w:val="00BF3978"/>
    <w:rsid w:val="00BF3BC6"/>
    <w:rsid w:val="00BF41FA"/>
    <w:rsid w:val="00BF43D0"/>
    <w:rsid w:val="00BF5CC3"/>
    <w:rsid w:val="00BF67BC"/>
    <w:rsid w:val="00BF7279"/>
    <w:rsid w:val="00BF74B8"/>
    <w:rsid w:val="00BF7785"/>
    <w:rsid w:val="00C01058"/>
    <w:rsid w:val="00C01D30"/>
    <w:rsid w:val="00C02558"/>
    <w:rsid w:val="00C02E96"/>
    <w:rsid w:val="00C039B1"/>
    <w:rsid w:val="00C040B7"/>
    <w:rsid w:val="00C04C2C"/>
    <w:rsid w:val="00C05A65"/>
    <w:rsid w:val="00C06827"/>
    <w:rsid w:val="00C07D5A"/>
    <w:rsid w:val="00C1604E"/>
    <w:rsid w:val="00C17B13"/>
    <w:rsid w:val="00C21D87"/>
    <w:rsid w:val="00C22C45"/>
    <w:rsid w:val="00C23677"/>
    <w:rsid w:val="00C24972"/>
    <w:rsid w:val="00C24B96"/>
    <w:rsid w:val="00C26649"/>
    <w:rsid w:val="00C267DD"/>
    <w:rsid w:val="00C3055C"/>
    <w:rsid w:val="00C3125C"/>
    <w:rsid w:val="00C31A86"/>
    <w:rsid w:val="00C3226E"/>
    <w:rsid w:val="00C33018"/>
    <w:rsid w:val="00C3434D"/>
    <w:rsid w:val="00C36190"/>
    <w:rsid w:val="00C36450"/>
    <w:rsid w:val="00C3734F"/>
    <w:rsid w:val="00C37452"/>
    <w:rsid w:val="00C37760"/>
    <w:rsid w:val="00C40D44"/>
    <w:rsid w:val="00C41B42"/>
    <w:rsid w:val="00C439BF"/>
    <w:rsid w:val="00C4486F"/>
    <w:rsid w:val="00C45455"/>
    <w:rsid w:val="00C45CF2"/>
    <w:rsid w:val="00C46167"/>
    <w:rsid w:val="00C461E6"/>
    <w:rsid w:val="00C5021D"/>
    <w:rsid w:val="00C52487"/>
    <w:rsid w:val="00C53E8C"/>
    <w:rsid w:val="00C541AC"/>
    <w:rsid w:val="00C5513A"/>
    <w:rsid w:val="00C553BE"/>
    <w:rsid w:val="00C5750D"/>
    <w:rsid w:val="00C5785D"/>
    <w:rsid w:val="00C61639"/>
    <w:rsid w:val="00C63A40"/>
    <w:rsid w:val="00C647FC"/>
    <w:rsid w:val="00C65542"/>
    <w:rsid w:val="00C6663F"/>
    <w:rsid w:val="00C66D50"/>
    <w:rsid w:val="00C67598"/>
    <w:rsid w:val="00C71E4B"/>
    <w:rsid w:val="00C71ECB"/>
    <w:rsid w:val="00C721F0"/>
    <w:rsid w:val="00C722E4"/>
    <w:rsid w:val="00C74370"/>
    <w:rsid w:val="00C763FE"/>
    <w:rsid w:val="00C768EA"/>
    <w:rsid w:val="00C772C8"/>
    <w:rsid w:val="00C77E43"/>
    <w:rsid w:val="00C826AF"/>
    <w:rsid w:val="00C83002"/>
    <w:rsid w:val="00C84C11"/>
    <w:rsid w:val="00C85131"/>
    <w:rsid w:val="00C85FE1"/>
    <w:rsid w:val="00C861C1"/>
    <w:rsid w:val="00C9038C"/>
    <w:rsid w:val="00C9072D"/>
    <w:rsid w:val="00C91E7B"/>
    <w:rsid w:val="00C922F6"/>
    <w:rsid w:val="00C94C21"/>
    <w:rsid w:val="00C95269"/>
    <w:rsid w:val="00C97483"/>
    <w:rsid w:val="00CA0795"/>
    <w:rsid w:val="00CA0E93"/>
    <w:rsid w:val="00CA13C3"/>
    <w:rsid w:val="00CA14D2"/>
    <w:rsid w:val="00CA19D7"/>
    <w:rsid w:val="00CA1BC0"/>
    <w:rsid w:val="00CA2C99"/>
    <w:rsid w:val="00CA2CE9"/>
    <w:rsid w:val="00CA3654"/>
    <w:rsid w:val="00CA6069"/>
    <w:rsid w:val="00CA6C76"/>
    <w:rsid w:val="00CA7EC8"/>
    <w:rsid w:val="00CB0270"/>
    <w:rsid w:val="00CB06D4"/>
    <w:rsid w:val="00CB34C2"/>
    <w:rsid w:val="00CB4A5A"/>
    <w:rsid w:val="00CB4C19"/>
    <w:rsid w:val="00CB4DA5"/>
    <w:rsid w:val="00CB6196"/>
    <w:rsid w:val="00CB6BCB"/>
    <w:rsid w:val="00CB7251"/>
    <w:rsid w:val="00CB7CF1"/>
    <w:rsid w:val="00CC14E4"/>
    <w:rsid w:val="00CC208A"/>
    <w:rsid w:val="00CC23C0"/>
    <w:rsid w:val="00CC353E"/>
    <w:rsid w:val="00CC3C46"/>
    <w:rsid w:val="00CC4507"/>
    <w:rsid w:val="00CC49D7"/>
    <w:rsid w:val="00CC4D4B"/>
    <w:rsid w:val="00CC62CA"/>
    <w:rsid w:val="00CC6303"/>
    <w:rsid w:val="00CC74E5"/>
    <w:rsid w:val="00CD1E1F"/>
    <w:rsid w:val="00CD1FEB"/>
    <w:rsid w:val="00CD26A6"/>
    <w:rsid w:val="00CD31C3"/>
    <w:rsid w:val="00CD3D9B"/>
    <w:rsid w:val="00CD424F"/>
    <w:rsid w:val="00CD4889"/>
    <w:rsid w:val="00CD48F4"/>
    <w:rsid w:val="00CD49E6"/>
    <w:rsid w:val="00CD7164"/>
    <w:rsid w:val="00CD740C"/>
    <w:rsid w:val="00CE00A3"/>
    <w:rsid w:val="00CE0325"/>
    <w:rsid w:val="00CE0D9D"/>
    <w:rsid w:val="00CE14D4"/>
    <w:rsid w:val="00CE1CB1"/>
    <w:rsid w:val="00CE2B42"/>
    <w:rsid w:val="00CE3CF6"/>
    <w:rsid w:val="00CE44AA"/>
    <w:rsid w:val="00CE6E01"/>
    <w:rsid w:val="00CE73C8"/>
    <w:rsid w:val="00CE7987"/>
    <w:rsid w:val="00CF40A7"/>
    <w:rsid w:val="00CF47F3"/>
    <w:rsid w:val="00CF7299"/>
    <w:rsid w:val="00CF7434"/>
    <w:rsid w:val="00CF7E20"/>
    <w:rsid w:val="00D00C59"/>
    <w:rsid w:val="00D01272"/>
    <w:rsid w:val="00D0263B"/>
    <w:rsid w:val="00D0309B"/>
    <w:rsid w:val="00D0369B"/>
    <w:rsid w:val="00D04158"/>
    <w:rsid w:val="00D041AD"/>
    <w:rsid w:val="00D042B6"/>
    <w:rsid w:val="00D05230"/>
    <w:rsid w:val="00D05454"/>
    <w:rsid w:val="00D057C9"/>
    <w:rsid w:val="00D05E51"/>
    <w:rsid w:val="00D0659C"/>
    <w:rsid w:val="00D078A1"/>
    <w:rsid w:val="00D10D99"/>
    <w:rsid w:val="00D117EB"/>
    <w:rsid w:val="00D11AAA"/>
    <w:rsid w:val="00D121E5"/>
    <w:rsid w:val="00D1273D"/>
    <w:rsid w:val="00D1323D"/>
    <w:rsid w:val="00D1442D"/>
    <w:rsid w:val="00D147EB"/>
    <w:rsid w:val="00D1525E"/>
    <w:rsid w:val="00D15843"/>
    <w:rsid w:val="00D15DDC"/>
    <w:rsid w:val="00D16D57"/>
    <w:rsid w:val="00D177BC"/>
    <w:rsid w:val="00D17B99"/>
    <w:rsid w:val="00D2060A"/>
    <w:rsid w:val="00D20CD7"/>
    <w:rsid w:val="00D24255"/>
    <w:rsid w:val="00D2440C"/>
    <w:rsid w:val="00D25B38"/>
    <w:rsid w:val="00D2651F"/>
    <w:rsid w:val="00D27030"/>
    <w:rsid w:val="00D27A64"/>
    <w:rsid w:val="00D305DA"/>
    <w:rsid w:val="00D306F3"/>
    <w:rsid w:val="00D32B01"/>
    <w:rsid w:val="00D32BEF"/>
    <w:rsid w:val="00D334E7"/>
    <w:rsid w:val="00D33BEB"/>
    <w:rsid w:val="00D359FC"/>
    <w:rsid w:val="00D41348"/>
    <w:rsid w:val="00D41AA3"/>
    <w:rsid w:val="00D4246D"/>
    <w:rsid w:val="00D4399A"/>
    <w:rsid w:val="00D473C0"/>
    <w:rsid w:val="00D477B5"/>
    <w:rsid w:val="00D50665"/>
    <w:rsid w:val="00D50E4C"/>
    <w:rsid w:val="00D50E74"/>
    <w:rsid w:val="00D51AA7"/>
    <w:rsid w:val="00D55B8D"/>
    <w:rsid w:val="00D56869"/>
    <w:rsid w:val="00D606F0"/>
    <w:rsid w:val="00D60B19"/>
    <w:rsid w:val="00D622DD"/>
    <w:rsid w:val="00D62B81"/>
    <w:rsid w:val="00D631D3"/>
    <w:rsid w:val="00D65492"/>
    <w:rsid w:val="00D704F7"/>
    <w:rsid w:val="00D70E1B"/>
    <w:rsid w:val="00D7291E"/>
    <w:rsid w:val="00D7321D"/>
    <w:rsid w:val="00D73D89"/>
    <w:rsid w:val="00D74353"/>
    <w:rsid w:val="00D75260"/>
    <w:rsid w:val="00D75358"/>
    <w:rsid w:val="00D75A33"/>
    <w:rsid w:val="00D7643B"/>
    <w:rsid w:val="00D7651B"/>
    <w:rsid w:val="00D7720D"/>
    <w:rsid w:val="00D80C2E"/>
    <w:rsid w:val="00D8102D"/>
    <w:rsid w:val="00D81390"/>
    <w:rsid w:val="00D81BC3"/>
    <w:rsid w:val="00D82A0B"/>
    <w:rsid w:val="00D82E71"/>
    <w:rsid w:val="00D838FF"/>
    <w:rsid w:val="00D83C3B"/>
    <w:rsid w:val="00D83E2F"/>
    <w:rsid w:val="00D87883"/>
    <w:rsid w:val="00D87BBB"/>
    <w:rsid w:val="00D87DA6"/>
    <w:rsid w:val="00D90A48"/>
    <w:rsid w:val="00D912B1"/>
    <w:rsid w:val="00D94887"/>
    <w:rsid w:val="00DA1C34"/>
    <w:rsid w:val="00DA2F3A"/>
    <w:rsid w:val="00DA320A"/>
    <w:rsid w:val="00DA5DF8"/>
    <w:rsid w:val="00DA60C3"/>
    <w:rsid w:val="00DA62C6"/>
    <w:rsid w:val="00DA74EE"/>
    <w:rsid w:val="00DB01CE"/>
    <w:rsid w:val="00DB0843"/>
    <w:rsid w:val="00DB08F6"/>
    <w:rsid w:val="00DB18A3"/>
    <w:rsid w:val="00DB1AAD"/>
    <w:rsid w:val="00DB2ABA"/>
    <w:rsid w:val="00DB3650"/>
    <w:rsid w:val="00DB3655"/>
    <w:rsid w:val="00DB36CD"/>
    <w:rsid w:val="00DB440E"/>
    <w:rsid w:val="00DB44B0"/>
    <w:rsid w:val="00DB4848"/>
    <w:rsid w:val="00DB4E32"/>
    <w:rsid w:val="00DB574B"/>
    <w:rsid w:val="00DB58A6"/>
    <w:rsid w:val="00DB63B9"/>
    <w:rsid w:val="00DB7BC2"/>
    <w:rsid w:val="00DC14D7"/>
    <w:rsid w:val="00DC19A2"/>
    <w:rsid w:val="00DC1A0A"/>
    <w:rsid w:val="00DC2FD0"/>
    <w:rsid w:val="00DC35F3"/>
    <w:rsid w:val="00DC4551"/>
    <w:rsid w:val="00DC5A48"/>
    <w:rsid w:val="00DD0B19"/>
    <w:rsid w:val="00DD2256"/>
    <w:rsid w:val="00DD2393"/>
    <w:rsid w:val="00DD449D"/>
    <w:rsid w:val="00DD60E5"/>
    <w:rsid w:val="00DD7CDF"/>
    <w:rsid w:val="00DE28CC"/>
    <w:rsid w:val="00DE2BE1"/>
    <w:rsid w:val="00DE3623"/>
    <w:rsid w:val="00DE42A2"/>
    <w:rsid w:val="00DE4791"/>
    <w:rsid w:val="00DE50BB"/>
    <w:rsid w:val="00DE5470"/>
    <w:rsid w:val="00DE6093"/>
    <w:rsid w:val="00DF017E"/>
    <w:rsid w:val="00DF0395"/>
    <w:rsid w:val="00DF2479"/>
    <w:rsid w:val="00DF2ED7"/>
    <w:rsid w:val="00DF4002"/>
    <w:rsid w:val="00DF4189"/>
    <w:rsid w:val="00DF50C3"/>
    <w:rsid w:val="00DF5418"/>
    <w:rsid w:val="00DF5B54"/>
    <w:rsid w:val="00DF6C15"/>
    <w:rsid w:val="00DF6F66"/>
    <w:rsid w:val="00E04AF5"/>
    <w:rsid w:val="00E05326"/>
    <w:rsid w:val="00E05863"/>
    <w:rsid w:val="00E064B2"/>
    <w:rsid w:val="00E0672A"/>
    <w:rsid w:val="00E1053D"/>
    <w:rsid w:val="00E10794"/>
    <w:rsid w:val="00E12271"/>
    <w:rsid w:val="00E129A6"/>
    <w:rsid w:val="00E13144"/>
    <w:rsid w:val="00E13AE0"/>
    <w:rsid w:val="00E13BBE"/>
    <w:rsid w:val="00E15B9B"/>
    <w:rsid w:val="00E165C9"/>
    <w:rsid w:val="00E177DE"/>
    <w:rsid w:val="00E207AF"/>
    <w:rsid w:val="00E20FBE"/>
    <w:rsid w:val="00E24823"/>
    <w:rsid w:val="00E273E7"/>
    <w:rsid w:val="00E27A85"/>
    <w:rsid w:val="00E31E2D"/>
    <w:rsid w:val="00E32DB2"/>
    <w:rsid w:val="00E3474A"/>
    <w:rsid w:val="00E347ED"/>
    <w:rsid w:val="00E35173"/>
    <w:rsid w:val="00E35782"/>
    <w:rsid w:val="00E35E57"/>
    <w:rsid w:val="00E36CE6"/>
    <w:rsid w:val="00E429BB"/>
    <w:rsid w:val="00E46C46"/>
    <w:rsid w:val="00E472C5"/>
    <w:rsid w:val="00E5049F"/>
    <w:rsid w:val="00E532A2"/>
    <w:rsid w:val="00E535EE"/>
    <w:rsid w:val="00E553AD"/>
    <w:rsid w:val="00E561A5"/>
    <w:rsid w:val="00E564A1"/>
    <w:rsid w:val="00E57F0C"/>
    <w:rsid w:val="00E60C9D"/>
    <w:rsid w:val="00E60DB9"/>
    <w:rsid w:val="00E63958"/>
    <w:rsid w:val="00E63CC0"/>
    <w:rsid w:val="00E64ED0"/>
    <w:rsid w:val="00E664EE"/>
    <w:rsid w:val="00E66A0C"/>
    <w:rsid w:val="00E6702F"/>
    <w:rsid w:val="00E675BE"/>
    <w:rsid w:val="00E7042B"/>
    <w:rsid w:val="00E70A7F"/>
    <w:rsid w:val="00E71719"/>
    <w:rsid w:val="00E72705"/>
    <w:rsid w:val="00E72977"/>
    <w:rsid w:val="00E72F02"/>
    <w:rsid w:val="00E737FF"/>
    <w:rsid w:val="00E738C0"/>
    <w:rsid w:val="00E7488B"/>
    <w:rsid w:val="00E7532B"/>
    <w:rsid w:val="00E76692"/>
    <w:rsid w:val="00E77306"/>
    <w:rsid w:val="00E77F00"/>
    <w:rsid w:val="00E80B62"/>
    <w:rsid w:val="00E80E9B"/>
    <w:rsid w:val="00E81442"/>
    <w:rsid w:val="00E8370A"/>
    <w:rsid w:val="00E84508"/>
    <w:rsid w:val="00E850B5"/>
    <w:rsid w:val="00E86CDC"/>
    <w:rsid w:val="00E87D80"/>
    <w:rsid w:val="00E90A37"/>
    <w:rsid w:val="00E915C6"/>
    <w:rsid w:val="00E931DC"/>
    <w:rsid w:val="00E93DCD"/>
    <w:rsid w:val="00E945D5"/>
    <w:rsid w:val="00E97A91"/>
    <w:rsid w:val="00EA0248"/>
    <w:rsid w:val="00EA12B1"/>
    <w:rsid w:val="00EA2165"/>
    <w:rsid w:val="00EA41E7"/>
    <w:rsid w:val="00EA4808"/>
    <w:rsid w:val="00EA5611"/>
    <w:rsid w:val="00EB1AC1"/>
    <w:rsid w:val="00EB4803"/>
    <w:rsid w:val="00EB5D54"/>
    <w:rsid w:val="00EB6276"/>
    <w:rsid w:val="00EB66EA"/>
    <w:rsid w:val="00EC19AA"/>
    <w:rsid w:val="00EC21C0"/>
    <w:rsid w:val="00EC253D"/>
    <w:rsid w:val="00EC2AEC"/>
    <w:rsid w:val="00EC3C23"/>
    <w:rsid w:val="00EC3D25"/>
    <w:rsid w:val="00EC3F34"/>
    <w:rsid w:val="00EC466F"/>
    <w:rsid w:val="00EC4A5B"/>
    <w:rsid w:val="00EC5193"/>
    <w:rsid w:val="00EC5DB1"/>
    <w:rsid w:val="00EC6394"/>
    <w:rsid w:val="00EC6D23"/>
    <w:rsid w:val="00EC7219"/>
    <w:rsid w:val="00EC7ABC"/>
    <w:rsid w:val="00ED17D9"/>
    <w:rsid w:val="00ED1F3B"/>
    <w:rsid w:val="00ED2509"/>
    <w:rsid w:val="00ED5237"/>
    <w:rsid w:val="00ED6914"/>
    <w:rsid w:val="00ED7219"/>
    <w:rsid w:val="00EE0335"/>
    <w:rsid w:val="00EE255E"/>
    <w:rsid w:val="00EE3EE8"/>
    <w:rsid w:val="00EE4281"/>
    <w:rsid w:val="00EE43E2"/>
    <w:rsid w:val="00EE4DD8"/>
    <w:rsid w:val="00EE5ED7"/>
    <w:rsid w:val="00EE662E"/>
    <w:rsid w:val="00EF2BB1"/>
    <w:rsid w:val="00EF3E07"/>
    <w:rsid w:val="00EF63A1"/>
    <w:rsid w:val="00EF6588"/>
    <w:rsid w:val="00EF6864"/>
    <w:rsid w:val="00F000FB"/>
    <w:rsid w:val="00F034A3"/>
    <w:rsid w:val="00F05A22"/>
    <w:rsid w:val="00F05C68"/>
    <w:rsid w:val="00F0696F"/>
    <w:rsid w:val="00F102D6"/>
    <w:rsid w:val="00F11797"/>
    <w:rsid w:val="00F120F0"/>
    <w:rsid w:val="00F12899"/>
    <w:rsid w:val="00F13E3B"/>
    <w:rsid w:val="00F13ECE"/>
    <w:rsid w:val="00F16864"/>
    <w:rsid w:val="00F17C34"/>
    <w:rsid w:val="00F21799"/>
    <w:rsid w:val="00F21EB4"/>
    <w:rsid w:val="00F25F18"/>
    <w:rsid w:val="00F26FA6"/>
    <w:rsid w:val="00F3003D"/>
    <w:rsid w:val="00F31326"/>
    <w:rsid w:val="00F33D25"/>
    <w:rsid w:val="00F362C5"/>
    <w:rsid w:val="00F36468"/>
    <w:rsid w:val="00F36C7D"/>
    <w:rsid w:val="00F36CCA"/>
    <w:rsid w:val="00F3738F"/>
    <w:rsid w:val="00F40558"/>
    <w:rsid w:val="00F40DA5"/>
    <w:rsid w:val="00F42455"/>
    <w:rsid w:val="00F459FA"/>
    <w:rsid w:val="00F45F7F"/>
    <w:rsid w:val="00F46134"/>
    <w:rsid w:val="00F46706"/>
    <w:rsid w:val="00F50A21"/>
    <w:rsid w:val="00F50B42"/>
    <w:rsid w:val="00F52A7D"/>
    <w:rsid w:val="00F53AD8"/>
    <w:rsid w:val="00F563E0"/>
    <w:rsid w:val="00F60C0F"/>
    <w:rsid w:val="00F61709"/>
    <w:rsid w:val="00F62B10"/>
    <w:rsid w:val="00F62D9F"/>
    <w:rsid w:val="00F6306B"/>
    <w:rsid w:val="00F63616"/>
    <w:rsid w:val="00F639C8"/>
    <w:rsid w:val="00F63F7C"/>
    <w:rsid w:val="00F65AD8"/>
    <w:rsid w:val="00F7063B"/>
    <w:rsid w:val="00F70B7F"/>
    <w:rsid w:val="00F72C4D"/>
    <w:rsid w:val="00F73795"/>
    <w:rsid w:val="00F738E9"/>
    <w:rsid w:val="00F7428B"/>
    <w:rsid w:val="00F758FB"/>
    <w:rsid w:val="00F76442"/>
    <w:rsid w:val="00F766CD"/>
    <w:rsid w:val="00F76BCD"/>
    <w:rsid w:val="00F77604"/>
    <w:rsid w:val="00F82EF7"/>
    <w:rsid w:val="00F83C8A"/>
    <w:rsid w:val="00F84679"/>
    <w:rsid w:val="00F84CF9"/>
    <w:rsid w:val="00F8579C"/>
    <w:rsid w:val="00F85C3A"/>
    <w:rsid w:val="00F85EFE"/>
    <w:rsid w:val="00F876F2"/>
    <w:rsid w:val="00F87A21"/>
    <w:rsid w:val="00F87BFB"/>
    <w:rsid w:val="00F9044E"/>
    <w:rsid w:val="00F90A99"/>
    <w:rsid w:val="00F924F5"/>
    <w:rsid w:val="00F92599"/>
    <w:rsid w:val="00F92D1C"/>
    <w:rsid w:val="00F937A5"/>
    <w:rsid w:val="00F93ADD"/>
    <w:rsid w:val="00F93E87"/>
    <w:rsid w:val="00F958DE"/>
    <w:rsid w:val="00F96301"/>
    <w:rsid w:val="00F96978"/>
    <w:rsid w:val="00F96B3B"/>
    <w:rsid w:val="00F9787F"/>
    <w:rsid w:val="00FA07D5"/>
    <w:rsid w:val="00FA10BC"/>
    <w:rsid w:val="00FA15E0"/>
    <w:rsid w:val="00FA161D"/>
    <w:rsid w:val="00FA22FB"/>
    <w:rsid w:val="00FA23E0"/>
    <w:rsid w:val="00FA3EB8"/>
    <w:rsid w:val="00FA41CE"/>
    <w:rsid w:val="00FA52EA"/>
    <w:rsid w:val="00FA6EF1"/>
    <w:rsid w:val="00FB0C41"/>
    <w:rsid w:val="00FB14D0"/>
    <w:rsid w:val="00FB1501"/>
    <w:rsid w:val="00FB25E0"/>
    <w:rsid w:val="00FB3546"/>
    <w:rsid w:val="00FB61D2"/>
    <w:rsid w:val="00FB6BE5"/>
    <w:rsid w:val="00FC23EB"/>
    <w:rsid w:val="00FC2CD8"/>
    <w:rsid w:val="00FC3507"/>
    <w:rsid w:val="00FC430C"/>
    <w:rsid w:val="00FC4F09"/>
    <w:rsid w:val="00FC67B2"/>
    <w:rsid w:val="00FD036F"/>
    <w:rsid w:val="00FD056E"/>
    <w:rsid w:val="00FD080B"/>
    <w:rsid w:val="00FD208F"/>
    <w:rsid w:val="00FD243E"/>
    <w:rsid w:val="00FD26C0"/>
    <w:rsid w:val="00FD2B55"/>
    <w:rsid w:val="00FD40D7"/>
    <w:rsid w:val="00FD495A"/>
    <w:rsid w:val="00FD5F2B"/>
    <w:rsid w:val="00FD7AD8"/>
    <w:rsid w:val="00FE0FCD"/>
    <w:rsid w:val="00FE1D0B"/>
    <w:rsid w:val="00FE3954"/>
    <w:rsid w:val="00FE5A68"/>
    <w:rsid w:val="00FE65EF"/>
    <w:rsid w:val="00FF29AD"/>
    <w:rsid w:val="00FF2C90"/>
    <w:rsid w:val="00FF3B3C"/>
    <w:rsid w:val="00FF3E8A"/>
    <w:rsid w:val="00FF471C"/>
    <w:rsid w:val="00FF5E53"/>
    <w:rsid w:val="00FF6726"/>
    <w:rsid w:val="00FF6C9C"/>
    <w:rsid w:val="00FF7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val="lv-LV"/>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3D"/>
    <w:rPr>
      <w:rFonts w:ascii="Cambria" w:hAnsi="Cambria" w:cs="Times New Roman"/>
      <w:b/>
      <w:bCs/>
      <w:kern w:val="32"/>
      <w:sz w:val="32"/>
      <w:szCs w:val="32"/>
      <w:lang w:val="lv-LV"/>
    </w:rPr>
  </w:style>
  <w:style w:type="character" w:customStyle="1" w:styleId="Heading2Char">
    <w:name w:val="Heading 2 Char"/>
    <w:basedOn w:val="DefaultParagraphFont"/>
    <w:link w:val="Heading2"/>
    <w:uiPriority w:val="99"/>
    <w:semiHidden/>
    <w:locked/>
    <w:rsid w:val="00D1273D"/>
    <w:rPr>
      <w:rFonts w:ascii="Cambria" w:hAnsi="Cambria" w:cs="Times New Roman"/>
      <w:b/>
      <w:bCs/>
      <w:i/>
      <w:iCs/>
      <w:sz w:val="28"/>
      <w:szCs w:val="28"/>
      <w:lang w:val="lv-LV"/>
    </w:rPr>
  </w:style>
  <w:style w:type="character" w:customStyle="1" w:styleId="Heading4Char">
    <w:name w:val="Heading 4 Char"/>
    <w:basedOn w:val="DefaultParagraphFont"/>
    <w:link w:val="Heading4"/>
    <w:uiPriority w:val="99"/>
    <w:semiHidden/>
    <w:locked/>
    <w:rsid w:val="00D1273D"/>
    <w:rPr>
      <w:rFonts w:ascii="Calibri" w:hAnsi="Calibri" w:cs="Times New Roman"/>
      <w:b/>
      <w:bCs/>
      <w:sz w:val="28"/>
      <w:szCs w:val="28"/>
      <w:lang w:val="lv-LV"/>
    </w:rPr>
  </w:style>
  <w:style w:type="character" w:customStyle="1" w:styleId="Heading5Char">
    <w:name w:val="Heading 5 Char"/>
    <w:basedOn w:val="DefaultParagraphFont"/>
    <w:link w:val="Heading5"/>
    <w:uiPriority w:val="99"/>
    <w:semiHidden/>
    <w:locked/>
    <w:rsid w:val="00D1273D"/>
    <w:rPr>
      <w:rFonts w:ascii="Calibri" w:hAnsi="Calibri" w:cs="Times New Roman"/>
      <w:b/>
      <w:bCs/>
      <w:i/>
      <w:iCs/>
      <w:sz w:val="26"/>
      <w:szCs w:val="26"/>
      <w:lang w:val="lv-LV"/>
    </w:rPr>
  </w:style>
  <w:style w:type="character" w:customStyle="1" w:styleId="Heading7Char">
    <w:name w:val="Heading 7 Char"/>
    <w:basedOn w:val="DefaultParagraphFont"/>
    <w:link w:val="Heading7"/>
    <w:uiPriority w:val="99"/>
    <w:semiHidden/>
    <w:locked/>
    <w:rsid w:val="00D1273D"/>
    <w:rPr>
      <w:rFonts w:ascii="Calibri"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locked/>
    <w:rsid w:val="00D1273D"/>
    <w:rPr>
      <w:rFonts w:cs="Times New Roman"/>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uiPriority w:val="99"/>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locked/>
    <w:rsid w:val="00D1273D"/>
    <w:rPr>
      <w:rFonts w:cs="Times New Roman"/>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locked/>
    <w:rsid w:val="00D1273D"/>
    <w:rPr>
      <w:rFonts w:cs="Times New Roman"/>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locked/>
    <w:rsid w:val="00D1273D"/>
    <w:rPr>
      <w:rFonts w:cs="Times New Roman"/>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99"/>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locked/>
    <w:rsid w:val="00D1273D"/>
    <w:rPr>
      <w:rFonts w:cs="Times New Roman"/>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character" w:customStyle="1" w:styleId="FootnoteTextChar1">
    <w:name w:val="Footnote Text Char1"/>
    <w:basedOn w:val="DefaultParagraphFont"/>
    <w:link w:val="FootnoteText"/>
    <w:uiPriority w:val="99"/>
    <w:semiHidden/>
    <w:rsid w:val="007F2DA7"/>
    <w:rPr>
      <w:sz w:val="20"/>
      <w:szCs w:val="20"/>
      <w:lang w:val="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locked/>
    <w:rsid w:val="00D1273D"/>
    <w:rPr>
      <w:rFonts w:cs="Times New Roman"/>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locked/>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paragraph" w:customStyle="1" w:styleId="CharChar4CharCharCharChar">
    <w:name w:val="Char Char4 Char Char Char Char"/>
    <w:basedOn w:val="Normal"/>
    <w:next w:val="BlockText"/>
    <w:uiPriority w:val="99"/>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FD495A"/>
    <w:pPr>
      <w:spacing w:after="160" w:line="240" w:lineRule="exact"/>
    </w:pPr>
    <w:rPr>
      <w:rFonts w:ascii="Tahoma" w:hAnsi="Tahoma"/>
      <w:sz w:val="20"/>
      <w:szCs w:val="20"/>
      <w:lang w:val="en-US"/>
    </w:rPr>
  </w:style>
  <w:style w:type="paragraph" w:customStyle="1" w:styleId="Default">
    <w:name w:val="Default"/>
    <w:uiPriority w:val="99"/>
    <w:rsid w:val="000518C5"/>
    <w:pPr>
      <w:autoSpaceDE w:val="0"/>
      <w:autoSpaceDN w:val="0"/>
      <w:adjustRightInd w:val="0"/>
    </w:pPr>
    <w:rPr>
      <w:color w:val="000000"/>
      <w:sz w:val="24"/>
      <w:szCs w:val="24"/>
      <w:lang w:val="lv-LV" w:eastAsia="lv-LV"/>
    </w:rPr>
  </w:style>
  <w:style w:type="paragraph" w:customStyle="1" w:styleId="RakstzCharCharRakstzCharCharRakstz">
    <w:name w:val="Rakstz. Char Char Rakstz. Char Char Rakstz."/>
    <w:basedOn w:val="Normal"/>
    <w:uiPriority w:val="99"/>
    <w:rsid w:val="00906472"/>
    <w:pPr>
      <w:spacing w:after="160" w:line="240" w:lineRule="exact"/>
    </w:pPr>
    <w:rPr>
      <w:rFonts w:ascii="Tahoma" w:hAnsi="Tahoma"/>
      <w:sz w:val="20"/>
      <w:szCs w:val="20"/>
      <w:lang w:val="en-US"/>
    </w:rPr>
  </w:style>
  <w:style w:type="paragraph" w:customStyle="1" w:styleId="naisnod">
    <w:name w:val="naisnod"/>
    <w:basedOn w:val="Normal"/>
    <w:uiPriority w:val="99"/>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uiPriority w:val="99"/>
    <w:rsid w:val="00FB0C41"/>
    <w:pPr>
      <w:spacing w:before="100" w:beforeAutospacing="1" w:after="100" w:afterAutospacing="1"/>
    </w:pPr>
    <w:rPr>
      <w:lang w:eastAsia="lv-LV" w:bidi="lo-LA"/>
    </w:rPr>
  </w:style>
  <w:style w:type="character" w:customStyle="1" w:styleId="spelle">
    <w:name w:val="spelle"/>
    <w:basedOn w:val="DefaultParagraphFont"/>
    <w:uiPriority w:val="99"/>
    <w:rsid w:val="002F4AA1"/>
    <w:rPr>
      <w:rFonts w:cs="Times New Roman"/>
    </w:rPr>
  </w:style>
  <w:style w:type="table" w:styleId="TableGrid">
    <w:name w:val="Table Grid"/>
    <w:basedOn w:val="TableNormal"/>
    <w:uiPriority w:val="99"/>
    <w:rsid w:val="00BE09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approved">
    <w:name w:val="notapproved"/>
    <w:basedOn w:val="DefaultParagraphFont"/>
    <w:uiPriority w:val="99"/>
    <w:rsid w:val="00A40FED"/>
    <w:rPr>
      <w:rFonts w:cs="Times New Roman"/>
    </w:rPr>
  </w:style>
  <w:style w:type="character" w:customStyle="1" w:styleId="tvhtml1">
    <w:name w:val="tv_html1"/>
    <w:basedOn w:val="DefaultParagraphFont"/>
    <w:uiPriority w:val="99"/>
    <w:rsid w:val="00213AD2"/>
    <w:rPr>
      <w:rFonts w:ascii="Verdana" w:hAnsi="Verdana" w:cs="Times New Roman"/>
      <w:sz w:val="18"/>
      <w:szCs w:val="18"/>
    </w:rPr>
  </w:style>
  <w:style w:type="paragraph" w:styleId="Revision">
    <w:name w:val="Revision"/>
    <w:hidden/>
    <w:uiPriority w:val="99"/>
    <w:semiHidden/>
    <w:rsid w:val="00B662A2"/>
    <w:rPr>
      <w:sz w:val="24"/>
      <w:szCs w:val="24"/>
      <w:lang w:val="lv-LV"/>
    </w:rPr>
  </w:style>
  <w:style w:type="paragraph" w:styleId="ListParagraph">
    <w:name w:val="List Paragraph"/>
    <w:basedOn w:val="Normal"/>
    <w:uiPriority w:val="99"/>
    <w:qFormat/>
    <w:rsid w:val="00122EC9"/>
    <w:pPr>
      <w:ind w:left="720"/>
      <w:contextualSpacing/>
    </w:pPr>
  </w:style>
</w:styles>
</file>

<file path=word/webSettings.xml><?xml version="1.0" encoding="utf-8"?>
<w:webSettings xmlns:r="http://schemas.openxmlformats.org/officeDocument/2006/relationships" xmlns:w="http://schemas.openxmlformats.org/wordprocessingml/2006/main">
  <w:divs>
    <w:div w:id="615794417">
      <w:marLeft w:val="0"/>
      <w:marRight w:val="0"/>
      <w:marTop w:val="0"/>
      <w:marBottom w:val="0"/>
      <w:divBdr>
        <w:top w:val="none" w:sz="0" w:space="0" w:color="auto"/>
        <w:left w:val="none" w:sz="0" w:space="0" w:color="auto"/>
        <w:bottom w:val="none" w:sz="0" w:space="0" w:color="auto"/>
        <w:right w:val="none" w:sz="0" w:space="0" w:color="auto"/>
      </w:divBdr>
    </w:div>
    <w:div w:id="615794418">
      <w:marLeft w:val="0"/>
      <w:marRight w:val="0"/>
      <w:marTop w:val="0"/>
      <w:marBottom w:val="0"/>
      <w:divBdr>
        <w:top w:val="none" w:sz="0" w:space="0" w:color="auto"/>
        <w:left w:val="none" w:sz="0" w:space="0" w:color="auto"/>
        <w:bottom w:val="none" w:sz="0" w:space="0" w:color="auto"/>
        <w:right w:val="none" w:sz="0" w:space="0" w:color="auto"/>
      </w:divBdr>
      <w:divsChild>
        <w:div w:id="615794464">
          <w:marLeft w:val="0"/>
          <w:marRight w:val="0"/>
          <w:marTop w:val="0"/>
          <w:marBottom w:val="0"/>
          <w:divBdr>
            <w:top w:val="none" w:sz="0" w:space="0" w:color="auto"/>
            <w:left w:val="none" w:sz="0" w:space="0" w:color="auto"/>
            <w:bottom w:val="none" w:sz="0" w:space="0" w:color="auto"/>
            <w:right w:val="none" w:sz="0" w:space="0" w:color="auto"/>
          </w:divBdr>
        </w:div>
      </w:divsChild>
    </w:div>
    <w:div w:id="615794419">
      <w:marLeft w:val="0"/>
      <w:marRight w:val="0"/>
      <w:marTop w:val="0"/>
      <w:marBottom w:val="0"/>
      <w:divBdr>
        <w:top w:val="none" w:sz="0" w:space="0" w:color="auto"/>
        <w:left w:val="none" w:sz="0" w:space="0" w:color="auto"/>
        <w:bottom w:val="none" w:sz="0" w:space="0" w:color="auto"/>
        <w:right w:val="none" w:sz="0" w:space="0" w:color="auto"/>
      </w:divBdr>
    </w:div>
    <w:div w:id="615794420">
      <w:marLeft w:val="45"/>
      <w:marRight w:val="45"/>
      <w:marTop w:val="90"/>
      <w:marBottom w:val="90"/>
      <w:divBdr>
        <w:top w:val="none" w:sz="0" w:space="0" w:color="auto"/>
        <w:left w:val="none" w:sz="0" w:space="0" w:color="auto"/>
        <w:bottom w:val="none" w:sz="0" w:space="0" w:color="auto"/>
        <w:right w:val="none" w:sz="0" w:space="0" w:color="auto"/>
      </w:divBdr>
      <w:divsChild>
        <w:div w:id="615794467">
          <w:marLeft w:val="0"/>
          <w:marRight w:val="0"/>
          <w:marTop w:val="0"/>
          <w:marBottom w:val="567"/>
          <w:divBdr>
            <w:top w:val="none" w:sz="0" w:space="0" w:color="auto"/>
            <w:left w:val="none" w:sz="0" w:space="0" w:color="auto"/>
            <w:bottom w:val="none" w:sz="0" w:space="0" w:color="auto"/>
            <w:right w:val="none" w:sz="0" w:space="0" w:color="auto"/>
          </w:divBdr>
        </w:div>
      </w:divsChild>
    </w:div>
    <w:div w:id="615794421">
      <w:marLeft w:val="0"/>
      <w:marRight w:val="0"/>
      <w:marTop w:val="0"/>
      <w:marBottom w:val="0"/>
      <w:divBdr>
        <w:top w:val="none" w:sz="0" w:space="0" w:color="auto"/>
        <w:left w:val="none" w:sz="0" w:space="0" w:color="auto"/>
        <w:bottom w:val="none" w:sz="0" w:space="0" w:color="auto"/>
        <w:right w:val="none" w:sz="0" w:space="0" w:color="auto"/>
      </w:divBdr>
    </w:div>
    <w:div w:id="615794422">
      <w:marLeft w:val="0"/>
      <w:marRight w:val="0"/>
      <w:marTop w:val="0"/>
      <w:marBottom w:val="0"/>
      <w:divBdr>
        <w:top w:val="none" w:sz="0" w:space="0" w:color="auto"/>
        <w:left w:val="none" w:sz="0" w:space="0" w:color="auto"/>
        <w:bottom w:val="none" w:sz="0" w:space="0" w:color="auto"/>
        <w:right w:val="none" w:sz="0" w:space="0" w:color="auto"/>
      </w:divBdr>
    </w:div>
    <w:div w:id="615794423">
      <w:marLeft w:val="0"/>
      <w:marRight w:val="0"/>
      <w:marTop w:val="0"/>
      <w:marBottom w:val="0"/>
      <w:divBdr>
        <w:top w:val="none" w:sz="0" w:space="0" w:color="auto"/>
        <w:left w:val="none" w:sz="0" w:space="0" w:color="auto"/>
        <w:bottom w:val="none" w:sz="0" w:space="0" w:color="auto"/>
        <w:right w:val="none" w:sz="0" w:space="0" w:color="auto"/>
      </w:divBdr>
    </w:div>
    <w:div w:id="615794424">
      <w:marLeft w:val="0"/>
      <w:marRight w:val="0"/>
      <w:marTop w:val="0"/>
      <w:marBottom w:val="0"/>
      <w:divBdr>
        <w:top w:val="none" w:sz="0" w:space="0" w:color="auto"/>
        <w:left w:val="none" w:sz="0" w:space="0" w:color="auto"/>
        <w:bottom w:val="none" w:sz="0" w:space="0" w:color="auto"/>
        <w:right w:val="none" w:sz="0" w:space="0" w:color="auto"/>
      </w:divBdr>
    </w:div>
    <w:div w:id="615794426">
      <w:marLeft w:val="0"/>
      <w:marRight w:val="0"/>
      <w:marTop w:val="0"/>
      <w:marBottom w:val="0"/>
      <w:divBdr>
        <w:top w:val="none" w:sz="0" w:space="0" w:color="auto"/>
        <w:left w:val="none" w:sz="0" w:space="0" w:color="auto"/>
        <w:bottom w:val="none" w:sz="0" w:space="0" w:color="auto"/>
        <w:right w:val="none" w:sz="0" w:space="0" w:color="auto"/>
      </w:divBdr>
    </w:div>
    <w:div w:id="615794427">
      <w:marLeft w:val="0"/>
      <w:marRight w:val="0"/>
      <w:marTop w:val="0"/>
      <w:marBottom w:val="0"/>
      <w:divBdr>
        <w:top w:val="none" w:sz="0" w:space="0" w:color="auto"/>
        <w:left w:val="none" w:sz="0" w:space="0" w:color="auto"/>
        <w:bottom w:val="none" w:sz="0" w:space="0" w:color="auto"/>
        <w:right w:val="none" w:sz="0" w:space="0" w:color="auto"/>
      </w:divBdr>
    </w:div>
    <w:div w:id="615794428">
      <w:marLeft w:val="0"/>
      <w:marRight w:val="0"/>
      <w:marTop w:val="0"/>
      <w:marBottom w:val="0"/>
      <w:divBdr>
        <w:top w:val="none" w:sz="0" w:space="0" w:color="auto"/>
        <w:left w:val="none" w:sz="0" w:space="0" w:color="auto"/>
        <w:bottom w:val="none" w:sz="0" w:space="0" w:color="auto"/>
        <w:right w:val="none" w:sz="0" w:space="0" w:color="auto"/>
      </w:divBdr>
    </w:div>
    <w:div w:id="615794435">
      <w:marLeft w:val="0"/>
      <w:marRight w:val="0"/>
      <w:marTop w:val="0"/>
      <w:marBottom w:val="0"/>
      <w:divBdr>
        <w:top w:val="none" w:sz="0" w:space="0" w:color="auto"/>
        <w:left w:val="none" w:sz="0" w:space="0" w:color="auto"/>
        <w:bottom w:val="none" w:sz="0" w:space="0" w:color="auto"/>
        <w:right w:val="none" w:sz="0" w:space="0" w:color="auto"/>
      </w:divBdr>
      <w:divsChild>
        <w:div w:id="615794429">
          <w:marLeft w:val="0"/>
          <w:marRight w:val="0"/>
          <w:marTop w:val="0"/>
          <w:marBottom w:val="0"/>
          <w:divBdr>
            <w:top w:val="none" w:sz="0" w:space="0" w:color="auto"/>
            <w:left w:val="none" w:sz="0" w:space="0" w:color="auto"/>
            <w:bottom w:val="none" w:sz="0" w:space="0" w:color="auto"/>
            <w:right w:val="none" w:sz="0" w:space="0" w:color="auto"/>
          </w:divBdr>
        </w:div>
        <w:div w:id="615794432">
          <w:marLeft w:val="0"/>
          <w:marRight w:val="0"/>
          <w:marTop w:val="0"/>
          <w:marBottom w:val="0"/>
          <w:divBdr>
            <w:top w:val="none" w:sz="0" w:space="0" w:color="auto"/>
            <w:left w:val="none" w:sz="0" w:space="0" w:color="auto"/>
            <w:bottom w:val="none" w:sz="0" w:space="0" w:color="auto"/>
            <w:right w:val="none" w:sz="0" w:space="0" w:color="auto"/>
          </w:divBdr>
        </w:div>
        <w:div w:id="615794434">
          <w:marLeft w:val="0"/>
          <w:marRight w:val="0"/>
          <w:marTop w:val="0"/>
          <w:marBottom w:val="0"/>
          <w:divBdr>
            <w:top w:val="none" w:sz="0" w:space="0" w:color="auto"/>
            <w:left w:val="none" w:sz="0" w:space="0" w:color="auto"/>
            <w:bottom w:val="none" w:sz="0" w:space="0" w:color="auto"/>
            <w:right w:val="none" w:sz="0" w:space="0" w:color="auto"/>
          </w:divBdr>
        </w:div>
        <w:div w:id="615794438">
          <w:marLeft w:val="0"/>
          <w:marRight w:val="0"/>
          <w:marTop w:val="0"/>
          <w:marBottom w:val="0"/>
          <w:divBdr>
            <w:top w:val="none" w:sz="0" w:space="0" w:color="auto"/>
            <w:left w:val="none" w:sz="0" w:space="0" w:color="auto"/>
            <w:bottom w:val="none" w:sz="0" w:space="0" w:color="auto"/>
            <w:right w:val="none" w:sz="0" w:space="0" w:color="auto"/>
          </w:divBdr>
        </w:div>
        <w:div w:id="615794439">
          <w:marLeft w:val="0"/>
          <w:marRight w:val="0"/>
          <w:marTop w:val="0"/>
          <w:marBottom w:val="0"/>
          <w:divBdr>
            <w:top w:val="none" w:sz="0" w:space="0" w:color="auto"/>
            <w:left w:val="none" w:sz="0" w:space="0" w:color="auto"/>
            <w:bottom w:val="none" w:sz="0" w:space="0" w:color="auto"/>
            <w:right w:val="none" w:sz="0" w:space="0" w:color="auto"/>
          </w:divBdr>
        </w:div>
        <w:div w:id="615794441">
          <w:marLeft w:val="0"/>
          <w:marRight w:val="0"/>
          <w:marTop w:val="0"/>
          <w:marBottom w:val="0"/>
          <w:divBdr>
            <w:top w:val="none" w:sz="0" w:space="0" w:color="auto"/>
            <w:left w:val="none" w:sz="0" w:space="0" w:color="auto"/>
            <w:bottom w:val="none" w:sz="0" w:space="0" w:color="auto"/>
            <w:right w:val="none" w:sz="0" w:space="0" w:color="auto"/>
          </w:divBdr>
        </w:div>
        <w:div w:id="615794443">
          <w:marLeft w:val="0"/>
          <w:marRight w:val="0"/>
          <w:marTop w:val="0"/>
          <w:marBottom w:val="0"/>
          <w:divBdr>
            <w:top w:val="none" w:sz="0" w:space="0" w:color="auto"/>
            <w:left w:val="none" w:sz="0" w:space="0" w:color="auto"/>
            <w:bottom w:val="none" w:sz="0" w:space="0" w:color="auto"/>
            <w:right w:val="none" w:sz="0" w:space="0" w:color="auto"/>
          </w:divBdr>
        </w:div>
        <w:div w:id="615794448">
          <w:marLeft w:val="0"/>
          <w:marRight w:val="0"/>
          <w:marTop w:val="0"/>
          <w:marBottom w:val="0"/>
          <w:divBdr>
            <w:top w:val="none" w:sz="0" w:space="0" w:color="auto"/>
            <w:left w:val="none" w:sz="0" w:space="0" w:color="auto"/>
            <w:bottom w:val="none" w:sz="0" w:space="0" w:color="auto"/>
            <w:right w:val="none" w:sz="0" w:space="0" w:color="auto"/>
          </w:divBdr>
        </w:div>
        <w:div w:id="615794450">
          <w:marLeft w:val="0"/>
          <w:marRight w:val="0"/>
          <w:marTop w:val="0"/>
          <w:marBottom w:val="0"/>
          <w:divBdr>
            <w:top w:val="none" w:sz="0" w:space="0" w:color="auto"/>
            <w:left w:val="none" w:sz="0" w:space="0" w:color="auto"/>
            <w:bottom w:val="none" w:sz="0" w:space="0" w:color="auto"/>
            <w:right w:val="none" w:sz="0" w:space="0" w:color="auto"/>
          </w:divBdr>
        </w:div>
        <w:div w:id="615794452">
          <w:marLeft w:val="0"/>
          <w:marRight w:val="0"/>
          <w:marTop w:val="0"/>
          <w:marBottom w:val="0"/>
          <w:divBdr>
            <w:top w:val="none" w:sz="0" w:space="0" w:color="auto"/>
            <w:left w:val="none" w:sz="0" w:space="0" w:color="auto"/>
            <w:bottom w:val="none" w:sz="0" w:space="0" w:color="auto"/>
            <w:right w:val="none" w:sz="0" w:space="0" w:color="auto"/>
          </w:divBdr>
        </w:div>
        <w:div w:id="615794454">
          <w:marLeft w:val="0"/>
          <w:marRight w:val="0"/>
          <w:marTop w:val="0"/>
          <w:marBottom w:val="0"/>
          <w:divBdr>
            <w:top w:val="none" w:sz="0" w:space="0" w:color="auto"/>
            <w:left w:val="none" w:sz="0" w:space="0" w:color="auto"/>
            <w:bottom w:val="none" w:sz="0" w:space="0" w:color="auto"/>
            <w:right w:val="none" w:sz="0" w:space="0" w:color="auto"/>
          </w:divBdr>
        </w:div>
        <w:div w:id="615794455">
          <w:marLeft w:val="0"/>
          <w:marRight w:val="0"/>
          <w:marTop w:val="0"/>
          <w:marBottom w:val="0"/>
          <w:divBdr>
            <w:top w:val="none" w:sz="0" w:space="0" w:color="auto"/>
            <w:left w:val="none" w:sz="0" w:space="0" w:color="auto"/>
            <w:bottom w:val="none" w:sz="0" w:space="0" w:color="auto"/>
            <w:right w:val="none" w:sz="0" w:space="0" w:color="auto"/>
          </w:divBdr>
        </w:div>
      </w:divsChild>
    </w:div>
    <w:div w:id="615794440">
      <w:marLeft w:val="0"/>
      <w:marRight w:val="0"/>
      <w:marTop w:val="0"/>
      <w:marBottom w:val="0"/>
      <w:divBdr>
        <w:top w:val="none" w:sz="0" w:space="0" w:color="auto"/>
        <w:left w:val="none" w:sz="0" w:space="0" w:color="auto"/>
        <w:bottom w:val="none" w:sz="0" w:space="0" w:color="auto"/>
        <w:right w:val="none" w:sz="0" w:space="0" w:color="auto"/>
      </w:divBdr>
    </w:div>
    <w:div w:id="615794447">
      <w:marLeft w:val="0"/>
      <w:marRight w:val="0"/>
      <w:marTop w:val="0"/>
      <w:marBottom w:val="0"/>
      <w:divBdr>
        <w:top w:val="none" w:sz="0" w:space="0" w:color="auto"/>
        <w:left w:val="none" w:sz="0" w:space="0" w:color="auto"/>
        <w:bottom w:val="none" w:sz="0" w:space="0" w:color="auto"/>
        <w:right w:val="none" w:sz="0" w:space="0" w:color="auto"/>
      </w:divBdr>
      <w:divsChild>
        <w:div w:id="615794430">
          <w:marLeft w:val="0"/>
          <w:marRight w:val="0"/>
          <w:marTop w:val="0"/>
          <w:marBottom w:val="0"/>
          <w:divBdr>
            <w:top w:val="none" w:sz="0" w:space="0" w:color="auto"/>
            <w:left w:val="none" w:sz="0" w:space="0" w:color="auto"/>
            <w:bottom w:val="none" w:sz="0" w:space="0" w:color="auto"/>
            <w:right w:val="none" w:sz="0" w:space="0" w:color="auto"/>
          </w:divBdr>
        </w:div>
        <w:div w:id="615794431">
          <w:marLeft w:val="0"/>
          <w:marRight w:val="0"/>
          <w:marTop w:val="0"/>
          <w:marBottom w:val="0"/>
          <w:divBdr>
            <w:top w:val="none" w:sz="0" w:space="0" w:color="auto"/>
            <w:left w:val="none" w:sz="0" w:space="0" w:color="auto"/>
            <w:bottom w:val="none" w:sz="0" w:space="0" w:color="auto"/>
            <w:right w:val="none" w:sz="0" w:space="0" w:color="auto"/>
          </w:divBdr>
        </w:div>
        <w:div w:id="615794433">
          <w:marLeft w:val="0"/>
          <w:marRight w:val="0"/>
          <w:marTop w:val="0"/>
          <w:marBottom w:val="0"/>
          <w:divBdr>
            <w:top w:val="none" w:sz="0" w:space="0" w:color="auto"/>
            <w:left w:val="none" w:sz="0" w:space="0" w:color="auto"/>
            <w:bottom w:val="none" w:sz="0" w:space="0" w:color="auto"/>
            <w:right w:val="none" w:sz="0" w:space="0" w:color="auto"/>
          </w:divBdr>
        </w:div>
        <w:div w:id="615794436">
          <w:marLeft w:val="0"/>
          <w:marRight w:val="0"/>
          <w:marTop w:val="0"/>
          <w:marBottom w:val="0"/>
          <w:divBdr>
            <w:top w:val="none" w:sz="0" w:space="0" w:color="auto"/>
            <w:left w:val="none" w:sz="0" w:space="0" w:color="auto"/>
            <w:bottom w:val="none" w:sz="0" w:space="0" w:color="auto"/>
            <w:right w:val="none" w:sz="0" w:space="0" w:color="auto"/>
          </w:divBdr>
        </w:div>
        <w:div w:id="615794437">
          <w:marLeft w:val="0"/>
          <w:marRight w:val="0"/>
          <w:marTop w:val="0"/>
          <w:marBottom w:val="0"/>
          <w:divBdr>
            <w:top w:val="none" w:sz="0" w:space="0" w:color="auto"/>
            <w:left w:val="none" w:sz="0" w:space="0" w:color="auto"/>
            <w:bottom w:val="none" w:sz="0" w:space="0" w:color="auto"/>
            <w:right w:val="none" w:sz="0" w:space="0" w:color="auto"/>
          </w:divBdr>
        </w:div>
        <w:div w:id="615794442">
          <w:marLeft w:val="0"/>
          <w:marRight w:val="0"/>
          <w:marTop w:val="0"/>
          <w:marBottom w:val="0"/>
          <w:divBdr>
            <w:top w:val="none" w:sz="0" w:space="0" w:color="auto"/>
            <w:left w:val="none" w:sz="0" w:space="0" w:color="auto"/>
            <w:bottom w:val="none" w:sz="0" w:space="0" w:color="auto"/>
            <w:right w:val="none" w:sz="0" w:space="0" w:color="auto"/>
          </w:divBdr>
        </w:div>
        <w:div w:id="615794444">
          <w:marLeft w:val="0"/>
          <w:marRight w:val="0"/>
          <w:marTop w:val="0"/>
          <w:marBottom w:val="0"/>
          <w:divBdr>
            <w:top w:val="none" w:sz="0" w:space="0" w:color="auto"/>
            <w:left w:val="none" w:sz="0" w:space="0" w:color="auto"/>
            <w:bottom w:val="none" w:sz="0" w:space="0" w:color="auto"/>
            <w:right w:val="none" w:sz="0" w:space="0" w:color="auto"/>
          </w:divBdr>
        </w:div>
        <w:div w:id="615794445">
          <w:marLeft w:val="0"/>
          <w:marRight w:val="0"/>
          <w:marTop w:val="0"/>
          <w:marBottom w:val="0"/>
          <w:divBdr>
            <w:top w:val="none" w:sz="0" w:space="0" w:color="auto"/>
            <w:left w:val="none" w:sz="0" w:space="0" w:color="auto"/>
            <w:bottom w:val="none" w:sz="0" w:space="0" w:color="auto"/>
            <w:right w:val="none" w:sz="0" w:space="0" w:color="auto"/>
          </w:divBdr>
        </w:div>
        <w:div w:id="615794446">
          <w:marLeft w:val="0"/>
          <w:marRight w:val="0"/>
          <w:marTop w:val="0"/>
          <w:marBottom w:val="0"/>
          <w:divBdr>
            <w:top w:val="none" w:sz="0" w:space="0" w:color="auto"/>
            <w:left w:val="none" w:sz="0" w:space="0" w:color="auto"/>
            <w:bottom w:val="none" w:sz="0" w:space="0" w:color="auto"/>
            <w:right w:val="none" w:sz="0" w:space="0" w:color="auto"/>
          </w:divBdr>
        </w:div>
        <w:div w:id="615794449">
          <w:marLeft w:val="0"/>
          <w:marRight w:val="0"/>
          <w:marTop w:val="0"/>
          <w:marBottom w:val="0"/>
          <w:divBdr>
            <w:top w:val="none" w:sz="0" w:space="0" w:color="auto"/>
            <w:left w:val="none" w:sz="0" w:space="0" w:color="auto"/>
            <w:bottom w:val="none" w:sz="0" w:space="0" w:color="auto"/>
            <w:right w:val="none" w:sz="0" w:space="0" w:color="auto"/>
          </w:divBdr>
        </w:div>
        <w:div w:id="615794451">
          <w:marLeft w:val="0"/>
          <w:marRight w:val="0"/>
          <w:marTop w:val="0"/>
          <w:marBottom w:val="0"/>
          <w:divBdr>
            <w:top w:val="none" w:sz="0" w:space="0" w:color="auto"/>
            <w:left w:val="none" w:sz="0" w:space="0" w:color="auto"/>
            <w:bottom w:val="none" w:sz="0" w:space="0" w:color="auto"/>
            <w:right w:val="none" w:sz="0" w:space="0" w:color="auto"/>
          </w:divBdr>
        </w:div>
        <w:div w:id="615794453">
          <w:marLeft w:val="0"/>
          <w:marRight w:val="0"/>
          <w:marTop w:val="0"/>
          <w:marBottom w:val="0"/>
          <w:divBdr>
            <w:top w:val="none" w:sz="0" w:space="0" w:color="auto"/>
            <w:left w:val="none" w:sz="0" w:space="0" w:color="auto"/>
            <w:bottom w:val="none" w:sz="0" w:space="0" w:color="auto"/>
            <w:right w:val="none" w:sz="0" w:space="0" w:color="auto"/>
          </w:divBdr>
        </w:div>
      </w:divsChild>
    </w:div>
    <w:div w:id="615794456">
      <w:marLeft w:val="0"/>
      <w:marRight w:val="0"/>
      <w:marTop w:val="0"/>
      <w:marBottom w:val="0"/>
      <w:divBdr>
        <w:top w:val="none" w:sz="0" w:space="0" w:color="auto"/>
        <w:left w:val="none" w:sz="0" w:space="0" w:color="auto"/>
        <w:bottom w:val="none" w:sz="0" w:space="0" w:color="auto"/>
        <w:right w:val="none" w:sz="0" w:space="0" w:color="auto"/>
      </w:divBdr>
    </w:div>
    <w:div w:id="615794457">
      <w:marLeft w:val="0"/>
      <w:marRight w:val="0"/>
      <w:marTop w:val="0"/>
      <w:marBottom w:val="0"/>
      <w:divBdr>
        <w:top w:val="none" w:sz="0" w:space="0" w:color="auto"/>
        <w:left w:val="none" w:sz="0" w:space="0" w:color="auto"/>
        <w:bottom w:val="none" w:sz="0" w:space="0" w:color="auto"/>
        <w:right w:val="none" w:sz="0" w:space="0" w:color="auto"/>
      </w:divBdr>
    </w:div>
    <w:div w:id="615794458">
      <w:marLeft w:val="0"/>
      <w:marRight w:val="0"/>
      <w:marTop w:val="0"/>
      <w:marBottom w:val="0"/>
      <w:divBdr>
        <w:top w:val="none" w:sz="0" w:space="0" w:color="auto"/>
        <w:left w:val="none" w:sz="0" w:space="0" w:color="auto"/>
        <w:bottom w:val="none" w:sz="0" w:space="0" w:color="auto"/>
        <w:right w:val="none" w:sz="0" w:space="0" w:color="auto"/>
      </w:divBdr>
    </w:div>
    <w:div w:id="615794459">
      <w:marLeft w:val="0"/>
      <w:marRight w:val="0"/>
      <w:marTop w:val="0"/>
      <w:marBottom w:val="0"/>
      <w:divBdr>
        <w:top w:val="none" w:sz="0" w:space="0" w:color="auto"/>
        <w:left w:val="none" w:sz="0" w:space="0" w:color="auto"/>
        <w:bottom w:val="none" w:sz="0" w:space="0" w:color="auto"/>
        <w:right w:val="none" w:sz="0" w:space="0" w:color="auto"/>
      </w:divBdr>
    </w:div>
    <w:div w:id="615794460">
      <w:marLeft w:val="0"/>
      <w:marRight w:val="0"/>
      <w:marTop w:val="0"/>
      <w:marBottom w:val="0"/>
      <w:divBdr>
        <w:top w:val="none" w:sz="0" w:space="0" w:color="auto"/>
        <w:left w:val="none" w:sz="0" w:space="0" w:color="auto"/>
        <w:bottom w:val="none" w:sz="0" w:space="0" w:color="auto"/>
        <w:right w:val="none" w:sz="0" w:space="0" w:color="auto"/>
      </w:divBdr>
      <w:divsChild>
        <w:div w:id="615794425">
          <w:marLeft w:val="0"/>
          <w:marRight w:val="0"/>
          <w:marTop w:val="0"/>
          <w:marBottom w:val="0"/>
          <w:divBdr>
            <w:top w:val="none" w:sz="0" w:space="0" w:color="auto"/>
            <w:left w:val="none" w:sz="0" w:space="0" w:color="auto"/>
            <w:bottom w:val="none" w:sz="0" w:space="0" w:color="auto"/>
            <w:right w:val="none" w:sz="0" w:space="0" w:color="auto"/>
          </w:divBdr>
        </w:div>
      </w:divsChild>
    </w:div>
    <w:div w:id="615794461">
      <w:marLeft w:val="0"/>
      <w:marRight w:val="0"/>
      <w:marTop w:val="0"/>
      <w:marBottom w:val="0"/>
      <w:divBdr>
        <w:top w:val="none" w:sz="0" w:space="0" w:color="auto"/>
        <w:left w:val="none" w:sz="0" w:space="0" w:color="auto"/>
        <w:bottom w:val="none" w:sz="0" w:space="0" w:color="auto"/>
        <w:right w:val="none" w:sz="0" w:space="0" w:color="auto"/>
      </w:divBdr>
    </w:div>
    <w:div w:id="615794462">
      <w:marLeft w:val="0"/>
      <w:marRight w:val="0"/>
      <w:marTop w:val="0"/>
      <w:marBottom w:val="0"/>
      <w:divBdr>
        <w:top w:val="none" w:sz="0" w:space="0" w:color="auto"/>
        <w:left w:val="none" w:sz="0" w:space="0" w:color="auto"/>
        <w:bottom w:val="none" w:sz="0" w:space="0" w:color="auto"/>
        <w:right w:val="none" w:sz="0" w:space="0" w:color="auto"/>
      </w:divBdr>
    </w:div>
    <w:div w:id="615794463">
      <w:marLeft w:val="0"/>
      <w:marRight w:val="0"/>
      <w:marTop w:val="0"/>
      <w:marBottom w:val="0"/>
      <w:divBdr>
        <w:top w:val="none" w:sz="0" w:space="0" w:color="auto"/>
        <w:left w:val="none" w:sz="0" w:space="0" w:color="auto"/>
        <w:bottom w:val="none" w:sz="0" w:space="0" w:color="auto"/>
        <w:right w:val="none" w:sz="0" w:space="0" w:color="auto"/>
      </w:divBdr>
    </w:div>
    <w:div w:id="615794465">
      <w:marLeft w:val="0"/>
      <w:marRight w:val="0"/>
      <w:marTop w:val="0"/>
      <w:marBottom w:val="0"/>
      <w:divBdr>
        <w:top w:val="none" w:sz="0" w:space="0" w:color="auto"/>
        <w:left w:val="none" w:sz="0" w:space="0" w:color="auto"/>
        <w:bottom w:val="none" w:sz="0" w:space="0" w:color="auto"/>
        <w:right w:val="none" w:sz="0" w:space="0" w:color="auto"/>
      </w:divBdr>
    </w:div>
    <w:div w:id="615794466">
      <w:marLeft w:val="0"/>
      <w:marRight w:val="0"/>
      <w:marTop w:val="0"/>
      <w:marBottom w:val="0"/>
      <w:divBdr>
        <w:top w:val="none" w:sz="0" w:space="0" w:color="auto"/>
        <w:left w:val="none" w:sz="0" w:space="0" w:color="auto"/>
        <w:bottom w:val="none" w:sz="0" w:space="0" w:color="auto"/>
        <w:right w:val="none" w:sz="0" w:space="0" w:color="auto"/>
      </w:divBdr>
    </w:div>
    <w:div w:id="615794468">
      <w:marLeft w:val="0"/>
      <w:marRight w:val="0"/>
      <w:marTop w:val="0"/>
      <w:marBottom w:val="0"/>
      <w:divBdr>
        <w:top w:val="none" w:sz="0" w:space="0" w:color="auto"/>
        <w:left w:val="none" w:sz="0" w:space="0" w:color="auto"/>
        <w:bottom w:val="none" w:sz="0" w:space="0" w:color="auto"/>
        <w:right w:val="none" w:sz="0" w:space="0" w:color="auto"/>
      </w:divBdr>
    </w:div>
    <w:div w:id="615794469">
      <w:marLeft w:val="0"/>
      <w:marRight w:val="0"/>
      <w:marTop w:val="0"/>
      <w:marBottom w:val="0"/>
      <w:divBdr>
        <w:top w:val="none" w:sz="0" w:space="0" w:color="auto"/>
        <w:left w:val="none" w:sz="0" w:space="0" w:color="auto"/>
        <w:bottom w:val="none" w:sz="0" w:space="0" w:color="auto"/>
        <w:right w:val="none" w:sz="0" w:space="0" w:color="auto"/>
      </w:divBdr>
    </w:div>
    <w:div w:id="615794470">
      <w:marLeft w:val="0"/>
      <w:marRight w:val="0"/>
      <w:marTop w:val="0"/>
      <w:marBottom w:val="0"/>
      <w:divBdr>
        <w:top w:val="none" w:sz="0" w:space="0" w:color="auto"/>
        <w:left w:val="none" w:sz="0" w:space="0" w:color="auto"/>
        <w:bottom w:val="none" w:sz="0" w:space="0" w:color="auto"/>
        <w:right w:val="none" w:sz="0" w:space="0" w:color="auto"/>
      </w:divBdr>
    </w:div>
    <w:div w:id="615794471">
      <w:marLeft w:val="0"/>
      <w:marRight w:val="0"/>
      <w:marTop w:val="0"/>
      <w:marBottom w:val="0"/>
      <w:divBdr>
        <w:top w:val="none" w:sz="0" w:space="0" w:color="auto"/>
        <w:left w:val="none" w:sz="0" w:space="0" w:color="auto"/>
        <w:bottom w:val="none" w:sz="0" w:space="0" w:color="auto"/>
        <w:right w:val="none" w:sz="0" w:space="0" w:color="auto"/>
      </w:divBdr>
    </w:div>
    <w:div w:id="615794472">
      <w:marLeft w:val="0"/>
      <w:marRight w:val="0"/>
      <w:marTop w:val="0"/>
      <w:marBottom w:val="0"/>
      <w:divBdr>
        <w:top w:val="none" w:sz="0" w:space="0" w:color="auto"/>
        <w:left w:val="none" w:sz="0" w:space="0" w:color="auto"/>
        <w:bottom w:val="none" w:sz="0" w:space="0" w:color="auto"/>
        <w:right w:val="none" w:sz="0" w:space="0" w:color="auto"/>
      </w:divBdr>
    </w:div>
    <w:div w:id="615794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2964</Words>
  <Characters>21047</Characters>
  <Application>Microsoft Office Word</Application>
  <DocSecurity>0</DocSecurity>
  <Lines>751</Lines>
  <Paragraphs>328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13.janvāra noteikumos Nr.44 „Noteikumi par darbības programmas „Infrastruktūra un pakalpojumi” papildinājuma 3.1.5.3.1.apakšaktivitāti „Stacionārās veselības aprūpes attīstība”” s</vt:lpstr>
    </vt:vector>
  </TitlesOfParts>
  <Company>Veselības minsitrija</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13.janvāra noteikumos Nr.44 „Noteikumi par darbības programmas „Infrastruktūra un pakalpojumi” papildinājuma 3.1.5.3.1.apakšaktivitāti „Stacionārās veselības aprūpes attīstība”” s</dc:title>
  <dc:subject>Anotācija</dc:subject>
  <dc:creator>Natālija Hamandikova</dc:creator>
  <cp:keywords/>
  <dc:description>67876090
natalija.hamandikova@vm.gov.lv</dc:description>
  <cp:lastModifiedBy>nhamandikova</cp:lastModifiedBy>
  <cp:revision>7</cp:revision>
  <cp:lastPrinted>2012-09-13T07:48:00Z</cp:lastPrinted>
  <dcterms:created xsi:type="dcterms:W3CDTF">2013-01-25T07:54:00Z</dcterms:created>
  <dcterms:modified xsi:type="dcterms:W3CDTF">2013-01-29T12:41:00Z</dcterms:modified>
</cp:coreProperties>
</file>