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2F" w:rsidRPr="008333A3" w:rsidRDefault="005F4E83" w:rsidP="00662E2F">
      <w:pPr>
        <w:jc w:val="right"/>
        <w:rPr>
          <w:rFonts w:eastAsia="Calibri"/>
          <w:i/>
          <w:sz w:val="28"/>
          <w:szCs w:val="28"/>
          <w:lang w:val="lv-LV"/>
        </w:rPr>
      </w:pPr>
      <w:r>
        <w:rPr>
          <w:rFonts w:eastAsia="Calibri"/>
          <w:i/>
          <w:sz w:val="28"/>
          <w:szCs w:val="28"/>
          <w:lang w:val="lv-LV"/>
        </w:rPr>
        <w:t>Ministru kabineta a</w:t>
      </w:r>
      <w:r w:rsidR="00662E2F" w:rsidRPr="008333A3">
        <w:rPr>
          <w:rFonts w:eastAsia="Calibri"/>
          <w:i/>
          <w:sz w:val="28"/>
          <w:szCs w:val="28"/>
          <w:lang w:val="lv-LV"/>
        </w:rPr>
        <w:t>tbildes vēstules projekts</w:t>
      </w:r>
    </w:p>
    <w:p w:rsidR="00662E2F" w:rsidRPr="008333A3" w:rsidRDefault="00662E2F" w:rsidP="00662E2F">
      <w:pPr>
        <w:jc w:val="both"/>
        <w:rPr>
          <w:sz w:val="28"/>
          <w:szCs w:val="28"/>
          <w:lang w:val="lv-LV"/>
        </w:rPr>
      </w:pPr>
    </w:p>
    <w:p w:rsidR="00662E2F" w:rsidRDefault="00F86CE6" w:rsidP="00165890">
      <w:pPr>
        <w:spacing w:before="120" w:after="120"/>
        <w:jc w:val="right"/>
        <w:rPr>
          <w:b/>
          <w:sz w:val="28"/>
          <w:szCs w:val="28"/>
          <w:lang w:val="lv-LV"/>
        </w:rPr>
      </w:pPr>
      <w:r>
        <w:rPr>
          <w:b/>
          <w:sz w:val="28"/>
          <w:szCs w:val="28"/>
          <w:lang w:val="lv-LV"/>
        </w:rPr>
        <w:t xml:space="preserve">Saeimas </w:t>
      </w:r>
      <w:r w:rsidR="00833D77">
        <w:rPr>
          <w:b/>
          <w:sz w:val="28"/>
          <w:szCs w:val="28"/>
          <w:lang w:val="lv-LV"/>
        </w:rPr>
        <w:t xml:space="preserve">Sociālo un darba lietu komisijas priekšsēdētājai </w:t>
      </w:r>
      <w:proofErr w:type="spellStart"/>
      <w:r w:rsidR="00833D77">
        <w:rPr>
          <w:b/>
          <w:sz w:val="28"/>
          <w:szCs w:val="28"/>
          <w:lang w:val="lv-LV"/>
        </w:rPr>
        <w:t>A.Barčai</w:t>
      </w:r>
      <w:proofErr w:type="spellEnd"/>
    </w:p>
    <w:p w:rsidR="00833D77" w:rsidRPr="005E0E25" w:rsidRDefault="00833D77" w:rsidP="00165890">
      <w:pPr>
        <w:spacing w:before="120" w:after="120"/>
        <w:jc w:val="right"/>
        <w:rPr>
          <w:b/>
          <w:sz w:val="28"/>
          <w:szCs w:val="28"/>
          <w:lang w:val="lv-LV"/>
        </w:rPr>
      </w:pPr>
      <w:r w:rsidRPr="005E0E25">
        <w:rPr>
          <w:b/>
          <w:sz w:val="28"/>
          <w:szCs w:val="28"/>
          <w:lang w:val="lv-LV"/>
        </w:rPr>
        <w:t xml:space="preserve">Saeimas deputātam </w:t>
      </w:r>
      <w:proofErr w:type="spellStart"/>
      <w:r w:rsidRPr="005E0E25">
        <w:rPr>
          <w:b/>
          <w:sz w:val="28"/>
          <w:szCs w:val="28"/>
          <w:lang w:val="lv-LV"/>
        </w:rPr>
        <w:t>A.Klementjevam</w:t>
      </w:r>
      <w:proofErr w:type="spellEnd"/>
    </w:p>
    <w:p w:rsidR="00662E2F" w:rsidRPr="005E0E25" w:rsidRDefault="00662E2F" w:rsidP="00662E2F">
      <w:pPr>
        <w:jc w:val="both"/>
        <w:rPr>
          <w:sz w:val="28"/>
          <w:szCs w:val="28"/>
          <w:lang w:val="lv-LV"/>
        </w:rPr>
      </w:pPr>
    </w:p>
    <w:tbl>
      <w:tblPr>
        <w:tblW w:w="0" w:type="auto"/>
        <w:tblLayout w:type="fixed"/>
        <w:tblCellMar>
          <w:left w:w="0" w:type="dxa"/>
          <w:right w:w="0" w:type="dxa"/>
        </w:tblCellMar>
        <w:tblLook w:val="00A0"/>
      </w:tblPr>
      <w:tblGrid>
        <w:gridCol w:w="5430"/>
      </w:tblGrid>
      <w:tr w:rsidR="0097253B" w:rsidRPr="005E0E25" w:rsidTr="0093324E">
        <w:trPr>
          <w:trHeight w:val="677"/>
        </w:trPr>
        <w:tc>
          <w:tcPr>
            <w:tcW w:w="5430" w:type="dxa"/>
            <w:hideMark/>
          </w:tcPr>
          <w:p w:rsidR="0097481E" w:rsidRPr="005E0E25" w:rsidRDefault="005F4E83" w:rsidP="00833D77">
            <w:pPr>
              <w:keepLines/>
              <w:autoSpaceDE w:val="0"/>
              <w:autoSpaceDN w:val="0"/>
              <w:adjustRightInd w:val="0"/>
              <w:ind w:left="260"/>
              <w:rPr>
                <w:color w:val="000000"/>
                <w:sz w:val="28"/>
                <w:szCs w:val="28"/>
                <w:lang w:val="lv-LV"/>
              </w:rPr>
            </w:pPr>
            <w:r w:rsidRPr="005E0E25">
              <w:rPr>
                <w:color w:val="000000"/>
                <w:sz w:val="28"/>
                <w:szCs w:val="28"/>
                <w:lang w:val="lv-LV"/>
              </w:rPr>
              <w:t>Par nepieciešamo papildu finansējumu veselības aprūpes nozarei 2013.gadā</w:t>
            </w:r>
          </w:p>
        </w:tc>
      </w:tr>
    </w:tbl>
    <w:p w:rsidR="0097253B" w:rsidRPr="005E0E25" w:rsidRDefault="0097253B" w:rsidP="0097253B">
      <w:pPr>
        <w:autoSpaceDE w:val="0"/>
        <w:autoSpaceDN w:val="0"/>
        <w:adjustRightInd w:val="0"/>
        <w:ind w:left="261"/>
        <w:jc w:val="both"/>
        <w:rPr>
          <w:color w:val="000000"/>
          <w:sz w:val="28"/>
          <w:szCs w:val="28"/>
          <w:lang w:val="lv-LV"/>
        </w:rPr>
      </w:pPr>
    </w:p>
    <w:p w:rsidR="00F86CE6" w:rsidRPr="006B0A3B" w:rsidRDefault="00F66A76" w:rsidP="00F61B7C">
      <w:pPr>
        <w:ind w:firstLine="720"/>
        <w:jc w:val="both"/>
        <w:rPr>
          <w:sz w:val="28"/>
          <w:szCs w:val="28"/>
          <w:lang w:val="lv-LV"/>
        </w:rPr>
      </w:pPr>
      <w:r w:rsidRPr="006B0A3B">
        <w:rPr>
          <w:sz w:val="28"/>
          <w:szCs w:val="28"/>
          <w:lang w:val="lv-LV"/>
        </w:rPr>
        <w:t xml:space="preserve">Valsts kanceleja ir saņēmusi </w:t>
      </w:r>
      <w:r w:rsidR="00F86CE6" w:rsidRPr="006B0A3B">
        <w:rPr>
          <w:sz w:val="28"/>
          <w:szCs w:val="28"/>
          <w:lang w:val="lv-LV"/>
        </w:rPr>
        <w:t xml:space="preserve">Saeimas deputāta </w:t>
      </w:r>
      <w:proofErr w:type="spellStart"/>
      <w:r w:rsidR="00833D77" w:rsidRPr="006B0A3B">
        <w:rPr>
          <w:sz w:val="28"/>
          <w:szCs w:val="28"/>
          <w:lang w:val="lv-LV"/>
        </w:rPr>
        <w:t>A.Klementjeva</w:t>
      </w:r>
      <w:proofErr w:type="spellEnd"/>
      <w:r w:rsidR="00833D77" w:rsidRPr="006B0A3B">
        <w:rPr>
          <w:sz w:val="28"/>
          <w:szCs w:val="28"/>
          <w:lang w:val="lv-LV"/>
        </w:rPr>
        <w:t xml:space="preserve"> 2013.gada 18.jūlija vēstuli Nr.8/1-2-n/299-11/13 „Par ārkārtas Saeimas sēdes sasaukšanu” </w:t>
      </w:r>
      <w:r w:rsidR="00F86CE6" w:rsidRPr="006B0A3B">
        <w:rPr>
          <w:sz w:val="28"/>
          <w:szCs w:val="28"/>
          <w:lang w:val="lv-LV"/>
        </w:rPr>
        <w:t xml:space="preserve">un </w:t>
      </w:r>
      <w:r w:rsidR="00833D77" w:rsidRPr="006B0A3B">
        <w:rPr>
          <w:sz w:val="28"/>
          <w:szCs w:val="28"/>
          <w:lang w:val="lv-LV"/>
        </w:rPr>
        <w:t>Saeimas Sociālo un darba lietu komisijas 2013.gada 19.jūlija vēstuli Nr.9/9-2-n/127-11/13</w:t>
      </w:r>
      <w:r w:rsidR="00F61B7C" w:rsidRPr="006B0A3B">
        <w:rPr>
          <w:sz w:val="28"/>
          <w:szCs w:val="28"/>
          <w:lang w:val="lv-LV"/>
        </w:rPr>
        <w:t>.</w:t>
      </w:r>
    </w:p>
    <w:p w:rsidR="00F86CE6" w:rsidRPr="006B0A3B" w:rsidRDefault="00F86CE6" w:rsidP="00F61B7C">
      <w:pPr>
        <w:ind w:firstLine="720"/>
        <w:jc w:val="both"/>
        <w:rPr>
          <w:sz w:val="28"/>
          <w:szCs w:val="28"/>
          <w:lang w:val="lv-LV"/>
        </w:rPr>
      </w:pPr>
      <w:r w:rsidRPr="006B0A3B">
        <w:rPr>
          <w:sz w:val="28"/>
          <w:szCs w:val="28"/>
          <w:lang w:val="lv-LV"/>
        </w:rPr>
        <w:t xml:space="preserve">Atbilstoši Ministru prezidenta 2013.gada 24.jūlija rezolūcijai Nr.90/TA-1838 </w:t>
      </w:r>
      <w:r w:rsidR="00D840E0" w:rsidRPr="006B0A3B">
        <w:rPr>
          <w:sz w:val="28"/>
          <w:szCs w:val="28"/>
          <w:lang w:val="lv-LV"/>
        </w:rPr>
        <w:t>v</w:t>
      </w:r>
      <w:r w:rsidRPr="006B0A3B">
        <w:rPr>
          <w:sz w:val="28"/>
          <w:szCs w:val="28"/>
          <w:lang w:val="lv-LV"/>
        </w:rPr>
        <w:t>eselības ministr</w:t>
      </w:r>
      <w:r w:rsidR="00D840E0" w:rsidRPr="006B0A3B">
        <w:rPr>
          <w:sz w:val="28"/>
          <w:szCs w:val="28"/>
          <w:lang w:val="lv-LV"/>
        </w:rPr>
        <w:t>ei</w:t>
      </w:r>
      <w:r w:rsidRPr="006B0A3B">
        <w:rPr>
          <w:sz w:val="28"/>
          <w:szCs w:val="28"/>
          <w:lang w:val="lv-LV"/>
        </w:rPr>
        <w:t xml:space="preserve"> uzdots kopīgi ar </w:t>
      </w:r>
      <w:r w:rsidR="00D840E0" w:rsidRPr="006B0A3B">
        <w:rPr>
          <w:sz w:val="28"/>
          <w:szCs w:val="28"/>
          <w:lang w:val="lv-LV"/>
        </w:rPr>
        <w:t>f</w:t>
      </w:r>
      <w:r w:rsidRPr="006B0A3B">
        <w:rPr>
          <w:sz w:val="28"/>
          <w:szCs w:val="28"/>
          <w:lang w:val="lv-LV"/>
        </w:rPr>
        <w:t xml:space="preserve">inanšu ministru sagatavot </w:t>
      </w:r>
      <w:r w:rsidR="000977DF" w:rsidRPr="006B0A3B">
        <w:rPr>
          <w:sz w:val="28"/>
          <w:szCs w:val="28"/>
          <w:lang w:val="lv-LV"/>
        </w:rPr>
        <w:t xml:space="preserve">atbildes projektu </w:t>
      </w:r>
      <w:r w:rsidR="005E0E25" w:rsidRPr="006B0A3B">
        <w:rPr>
          <w:sz w:val="28"/>
          <w:szCs w:val="28"/>
          <w:lang w:val="lv-LV"/>
        </w:rPr>
        <w:t xml:space="preserve">Saeimas </w:t>
      </w:r>
      <w:r w:rsidR="000977DF" w:rsidRPr="006B0A3B">
        <w:rPr>
          <w:sz w:val="28"/>
          <w:szCs w:val="28"/>
          <w:lang w:val="lv-LV"/>
        </w:rPr>
        <w:t xml:space="preserve">Sociālo un darba lietu komisijai </w:t>
      </w:r>
      <w:r w:rsidRPr="006B0A3B">
        <w:rPr>
          <w:sz w:val="28"/>
          <w:szCs w:val="28"/>
          <w:lang w:val="lv-LV"/>
        </w:rPr>
        <w:t xml:space="preserve">un </w:t>
      </w:r>
      <w:r w:rsidR="000977DF" w:rsidRPr="006B0A3B">
        <w:rPr>
          <w:sz w:val="28"/>
          <w:szCs w:val="28"/>
          <w:lang w:val="lv-LV"/>
        </w:rPr>
        <w:t xml:space="preserve">veselības ministrei </w:t>
      </w:r>
      <w:r w:rsidRPr="006B0A3B">
        <w:rPr>
          <w:sz w:val="28"/>
          <w:szCs w:val="28"/>
          <w:lang w:val="lv-LV"/>
        </w:rPr>
        <w:t>līdz šī gada 15.augustam iesniegt</w:t>
      </w:r>
      <w:r w:rsidR="00D9168B">
        <w:rPr>
          <w:sz w:val="28"/>
          <w:szCs w:val="28"/>
          <w:lang w:val="lv-LV"/>
        </w:rPr>
        <w:t xml:space="preserve"> </w:t>
      </w:r>
      <w:r w:rsidR="000977DF" w:rsidRPr="006B0A3B">
        <w:rPr>
          <w:sz w:val="28"/>
          <w:szCs w:val="28"/>
          <w:lang w:val="lv-LV"/>
        </w:rPr>
        <w:t>projektu Valsts kancelejā izskatīšanai Min</w:t>
      </w:r>
      <w:r w:rsidR="00483C80">
        <w:rPr>
          <w:sz w:val="28"/>
          <w:szCs w:val="28"/>
          <w:lang w:val="lv-LV"/>
        </w:rPr>
        <w:t xml:space="preserve">istru kabineta 20.augusta sēdē. </w:t>
      </w:r>
      <w:r w:rsidR="00020C73" w:rsidRPr="006B0A3B">
        <w:rPr>
          <w:sz w:val="28"/>
          <w:szCs w:val="28"/>
          <w:lang w:val="lv-LV"/>
        </w:rPr>
        <w:t>Atbilstoši</w:t>
      </w:r>
      <w:r w:rsidRPr="006B0A3B">
        <w:rPr>
          <w:sz w:val="28"/>
          <w:szCs w:val="28"/>
          <w:lang w:val="lv-LV"/>
        </w:rPr>
        <w:t xml:space="preserve"> Ministru prezidenta</w:t>
      </w:r>
      <w:r w:rsidR="00F61B7C" w:rsidRPr="006B0A3B">
        <w:rPr>
          <w:sz w:val="28"/>
          <w:szCs w:val="28"/>
          <w:lang w:val="lv-LV"/>
        </w:rPr>
        <w:t xml:space="preserve"> 2013.gada 26.jūlija rezolūcij</w:t>
      </w:r>
      <w:r w:rsidR="00020C73" w:rsidRPr="006B0A3B">
        <w:rPr>
          <w:sz w:val="28"/>
          <w:szCs w:val="28"/>
          <w:lang w:val="lv-LV"/>
        </w:rPr>
        <w:t>ai</w:t>
      </w:r>
      <w:r w:rsidRPr="006B0A3B">
        <w:rPr>
          <w:sz w:val="28"/>
          <w:szCs w:val="28"/>
          <w:lang w:val="lv-LV"/>
        </w:rPr>
        <w:t xml:space="preserve"> Nr.45/SAN-1227 veselības ministrei uzdots kopīgi ar </w:t>
      </w:r>
      <w:r w:rsidR="00D840E0" w:rsidRPr="006B0A3B">
        <w:rPr>
          <w:sz w:val="28"/>
          <w:szCs w:val="28"/>
          <w:lang w:val="lv-LV"/>
        </w:rPr>
        <w:t>f</w:t>
      </w:r>
      <w:r w:rsidRPr="006B0A3B">
        <w:rPr>
          <w:sz w:val="28"/>
          <w:szCs w:val="28"/>
          <w:lang w:val="lv-LV"/>
        </w:rPr>
        <w:t xml:space="preserve">inanšu ministru izvērtēt Saeimas deputāta </w:t>
      </w:r>
      <w:proofErr w:type="spellStart"/>
      <w:r w:rsidRPr="006B0A3B">
        <w:rPr>
          <w:sz w:val="28"/>
          <w:szCs w:val="28"/>
          <w:lang w:val="lv-LV"/>
        </w:rPr>
        <w:t>A.Klementjeva</w:t>
      </w:r>
      <w:proofErr w:type="spellEnd"/>
      <w:r w:rsidRPr="006B0A3B">
        <w:rPr>
          <w:sz w:val="28"/>
          <w:szCs w:val="28"/>
          <w:lang w:val="lv-LV"/>
        </w:rPr>
        <w:t xml:space="preserve"> 2013.gada 18.jūlija vēstulē Nr.8/1-2-n/299-11/13 minēto par nepieciešamo papildu finansējumu </w:t>
      </w:r>
      <w:r w:rsidR="00290D20" w:rsidRPr="006B0A3B">
        <w:rPr>
          <w:sz w:val="28"/>
          <w:szCs w:val="28"/>
          <w:lang w:val="lv-LV"/>
        </w:rPr>
        <w:t xml:space="preserve">veselības aprūpes jomā 2013.gadā </w:t>
      </w:r>
      <w:r w:rsidRPr="006B0A3B">
        <w:rPr>
          <w:sz w:val="28"/>
          <w:szCs w:val="28"/>
          <w:lang w:val="lv-LV"/>
        </w:rPr>
        <w:t>un</w:t>
      </w:r>
      <w:r w:rsidR="00290D20" w:rsidRPr="006B0A3B">
        <w:rPr>
          <w:sz w:val="28"/>
          <w:szCs w:val="28"/>
          <w:lang w:val="lv-LV"/>
        </w:rPr>
        <w:t xml:space="preserve">, ja nepieciešams, </w:t>
      </w:r>
      <w:r w:rsidRPr="006B0A3B">
        <w:rPr>
          <w:sz w:val="28"/>
          <w:szCs w:val="28"/>
          <w:lang w:val="lv-LV"/>
        </w:rPr>
        <w:t xml:space="preserve"> sagatavot </w:t>
      </w:r>
      <w:r w:rsidR="00290D20" w:rsidRPr="006B0A3B">
        <w:rPr>
          <w:sz w:val="28"/>
          <w:szCs w:val="28"/>
          <w:lang w:val="lv-LV"/>
        </w:rPr>
        <w:t xml:space="preserve">attiecīgu </w:t>
      </w:r>
      <w:r w:rsidRPr="006B0A3B">
        <w:rPr>
          <w:sz w:val="28"/>
          <w:szCs w:val="28"/>
          <w:lang w:val="lv-LV"/>
        </w:rPr>
        <w:t xml:space="preserve">informatīvo ziņojumu ar priekšlikumiem par konkrētu turpmāko rīcību un iesniegt Valsts kancelejā izskatīšanai </w:t>
      </w:r>
      <w:r w:rsidR="00A877EC" w:rsidRPr="006B0A3B">
        <w:rPr>
          <w:sz w:val="28"/>
          <w:szCs w:val="28"/>
          <w:lang w:val="lv-LV"/>
        </w:rPr>
        <w:t>Ministru kabineta 2013.</w:t>
      </w:r>
      <w:r w:rsidRPr="006B0A3B">
        <w:rPr>
          <w:sz w:val="28"/>
          <w:szCs w:val="28"/>
          <w:lang w:val="lv-LV"/>
        </w:rPr>
        <w:t xml:space="preserve"> gada 20.augusta sēdē vienlaikus ar tiesību akta projektu TA-1838, vai iesniegt Ministru prezidentam informāciju par vēstulē minēto situāciju.</w:t>
      </w:r>
    </w:p>
    <w:p w:rsidR="00165890" w:rsidRPr="006B0A3B" w:rsidRDefault="00161271" w:rsidP="00165890">
      <w:pPr>
        <w:ind w:firstLine="720"/>
        <w:jc w:val="both"/>
        <w:rPr>
          <w:sz w:val="28"/>
          <w:szCs w:val="28"/>
          <w:lang w:val="lv-LV"/>
        </w:rPr>
      </w:pPr>
      <w:r w:rsidRPr="006B0A3B">
        <w:rPr>
          <w:sz w:val="28"/>
          <w:szCs w:val="28"/>
          <w:lang w:val="lv-LV"/>
        </w:rPr>
        <w:t xml:space="preserve">Atbilstoši </w:t>
      </w:r>
      <w:r w:rsidR="00F86CE6" w:rsidRPr="006B0A3B">
        <w:rPr>
          <w:sz w:val="28"/>
          <w:szCs w:val="28"/>
          <w:lang w:val="lv-LV"/>
        </w:rPr>
        <w:t>Ministru prezidenta rezolūcij</w:t>
      </w:r>
      <w:r w:rsidR="00516CDC" w:rsidRPr="006B0A3B">
        <w:rPr>
          <w:sz w:val="28"/>
          <w:szCs w:val="28"/>
          <w:lang w:val="lv-LV"/>
        </w:rPr>
        <w:t>ā</w:t>
      </w:r>
      <w:r w:rsidR="00F86CE6" w:rsidRPr="006B0A3B">
        <w:rPr>
          <w:sz w:val="28"/>
          <w:szCs w:val="28"/>
          <w:lang w:val="lv-LV"/>
        </w:rPr>
        <w:t xml:space="preserve"> Nr.45/SAN-1227</w:t>
      </w:r>
      <w:r w:rsidRPr="006B0A3B">
        <w:rPr>
          <w:sz w:val="28"/>
          <w:szCs w:val="28"/>
          <w:lang w:val="lv-LV"/>
        </w:rPr>
        <w:t xml:space="preserve"> uzdotajam</w:t>
      </w:r>
      <w:r w:rsidR="00483C80">
        <w:rPr>
          <w:sz w:val="28"/>
          <w:szCs w:val="28"/>
          <w:lang w:val="lv-LV"/>
        </w:rPr>
        <w:t xml:space="preserve"> </w:t>
      </w:r>
      <w:r w:rsidR="00F86CE6" w:rsidRPr="006B0A3B">
        <w:rPr>
          <w:sz w:val="28"/>
          <w:szCs w:val="28"/>
          <w:lang w:val="lv-LV"/>
        </w:rPr>
        <w:t>Veselības ministrija izstrādā</w:t>
      </w:r>
      <w:r w:rsidR="00020C73" w:rsidRPr="006B0A3B">
        <w:rPr>
          <w:sz w:val="28"/>
          <w:szCs w:val="28"/>
          <w:lang w:val="lv-LV"/>
        </w:rPr>
        <w:t>ja</w:t>
      </w:r>
      <w:r w:rsidR="00165890" w:rsidRPr="006B0A3B">
        <w:rPr>
          <w:sz w:val="28"/>
          <w:szCs w:val="28"/>
          <w:lang w:val="lv-LV"/>
        </w:rPr>
        <w:t xml:space="preserve"> </w:t>
      </w:r>
      <w:r w:rsidR="00020C73" w:rsidRPr="006B0A3B">
        <w:rPr>
          <w:sz w:val="28"/>
          <w:szCs w:val="28"/>
          <w:lang w:val="lv-LV"/>
        </w:rPr>
        <w:t>i</w:t>
      </w:r>
      <w:r w:rsidR="00165890" w:rsidRPr="006B0A3B">
        <w:rPr>
          <w:sz w:val="28"/>
          <w:szCs w:val="28"/>
          <w:lang w:val="lv-LV"/>
        </w:rPr>
        <w:t>nformatīv</w:t>
      </w:r>
      <w:r w:rsidR="00483C80">
        <w:rPr>
          <w:sz w:val="28"/>
          <w:szCs w:val="28"/>
          <w:lang w:val="lv-LV"/>
        </w:rPr>
        <w:t>o</w:t>
      </w:r>
      <w:r w:rsidR="00F86CE6" w:rsidRPr="006B0A3B">
        <w:rPr>
          <w:sz w:val="28"/>
          <w:szCs w:val="28"/>
          <w:lang w:val="lv-LV"/>
        </w:rPr>
        <w:t xml:space="preserve"> ziņojum</w:t>
      </w:r>
      <w:r w:rsidR="00483C80">
        <w:rPr>
          <w:sz w:val="28"/>
          <w:szCs w:val="28"/>
          <w:lang w:val="lv-LV"/>
        </w:rPr>
        <w:t xml:space="preserve">u </w:t>
      </w:r>
      <w:r w:rsidR="00F86CE6" w:rsidRPr="006B0A3B">
        <w:rPr>
          <w:sz w:val="28"/>
          <w:szCs w:val="28"/>
          <w:lang w:val="lv-LV"/>
        </w:rPr>
        <w:t>„Par papildu nepieciešamo finansējumu veselības aprūpes nozarei 2013.gadā</w:t>
      </w:r>
      <w:r w:rsidR="00483C80">
        <w:rPr>
          <w:sz w:val="28"/>
          <w:szCs w:val="28"/>
          <w:lang w:val="lv-LV"/>
        </w:rPr>
        <w:t>”</w:t>
      </w:r>
      <w:r w:rsidR="00020C73" w:rsidRPr="006B0A3B">
        <w:rPr>
          <w:sz w:val="28"/>
          <w:szCs w:val="28"/>
          <w:lang w:val="lv-LV"/>
        </w:rPr>
        <w:t>, kas</w:t>
      </w:r>
      <w:r w:rsidR="00165890" w:rsidRPr="006B0A3B">
        <w:rPr>
          <w:sz w:val="28"/>
          <w:szCs w:val="28"/>
          <w:lang w:val="lv-LV"/>
        </w:rPr>
        <w:t xml:space="preserve"> tika skatīts Ministru kabineta 2013.gada 27.augusta sēdē kā Ministru kabineta lieta</w:t>
      </w:r>
      <w:r w:rsidR="00483C80">
        <w:rPr>
          <w:sz w:val="28"/>
          <w:szCs w:val="28"/>
          <w:lang w:val="lv-LV"/>
        </w:rPr>
        <w:t xml:space="preserve"> </w:t>
      </w:r>
      <w:r w:rsidRPr="006B0A3B">
        <w:rPr>
          <w:sz w:val="28"/>
          <w:szCs w:val="28"/>
          <w:lang w:val="lv-LV"/>
        </w:rPr>
        <w:t>(TA-2331)</w:t>
      </w:r>
      <w:r w:rsidR="00165890" w:rsidRPr="006B0A3B">
        <w:rPr>
          <w:sz w:val="28"/>
          <w:szCs w:val="28"/>
          <w:lang w:val="lv-LV"/>
        </w:rPr>
        <w:t>.</w:t>
      </w:r>
      <w:r w:rsidR="00F61B7C" w:rsidRPr="006B0A3B">
        <w:rPr>
          <w:sz w:val="28"/>
          <w:szCs w:val="28"/>
          <w:lang w:val="lv-LV"/>
        </w:rPr>
        <w:t xml:space="preserve"> Minēta</w:t>
      </w:r>
      <w:r w:rsidR="003F776C" w:rsidRPr="006B0A3B">
        <w:rPr>
          <w:sz w:val="28"/>
          <w:szCs w:val="28"/>
          <w:lang w:val="lv-LV"/>
        </w:rPr>
        <w:t>jā</w:t>
      </w:r>
      <w:r w:rsidR="00F61B7C" w:rsidRPr="006B0A3B">
        <w:rPr>
          <w:sz w:val="28"/>
          <w:szCs w:val="28"/>
          <w:lang w:val="lv-LV"/>
        </w:rPr>
        <w:t xml:space="preserve"> ziņojum</w:t>
      </w:r>
      <w:r w:rsidR="003F776C" w:rsidRPr="006B0A3B">
        <w:rPr>
          <w:sz w:val="28"/>
          <w:szCs w:val="28"/>
          <w:lang w:val="lv-LV"/>
        </w:rPr>
        <w:t>ā</w:t>
      </w:r>
      <w:r w:rsidR="00F61B7C" w:rsidRPr="006B0A3B">
        <w:rPr>
          <w:sz w:val="28"/>
          <w:szCs w:val="28"/>
          <w:lang w:val="lv-LV"/>
        </w:rPr>
        <w:t xml:space="preserve"> ir </w:t>
      </w:r>
      <w:r w:rsidR="00C51523" w:rsidRPr="006B0A3B">
        <w:rPr>
          <w:sz w:val="28"/>
          <w:szCs w:val="28"/>
          <w:lang w:val="lv-LV"/>
        </w:rPr>
        <w:t xml:space="preserve">iekļauta informācija </w:t>
      </w:r>
      <w:r w:rsidR="0020203E" w:rsidRPr="006B0A3B">
        <w:rPr>
          <w:sz w:val="28"/>
          <w:szCs w:val="28"/>
          <w:lang w:val="lv-LV"/>
        </w:rPr>
        <w:t xml:space="preserve">gan </w:t>
      </w:r>
      <w:r w:rsidR="00C51523" w:rsidRPr="006B0A3B">
        <w:rPr>
          <w:sz w:val="28"/>
          <w:szCs w:val="28"/>
          <w:lang w:val="lv-LV"/>
        </w:rPr>
        <w:t xml:space="preserve">par </w:t>
      </w:r>
      <w:r w:rsidR="00316E5B" w:rsidRPr="006B0A3B">
        <w:rPr>
          <w:sz w:val="28"/>
          <w:szCs w:val="28"/>
          <w:lang w:val="lv-LV"/>
        </w:rPr>
        <w:t xml:space="preserve">papildu finansējuma nepieciešamību 2013.gadam </w:t>
      </w:r>
      <w:r w:rsidR="00472FDA" w:rsidRPr="006B0A3B">
        <w:rPr>
          <w:sz w:val="28"/>
          <w:szCs w:val="28"/>
          <w:lang w:val="lv-LV"/>
        </w:rPr>
        <w:t xml:space="preserve">pasākumiem </w:t>
      </w:r>
      <w:r w:rsidR="00316E5B" w:rsidRPr="006B0A3B">
        <w:rPr>
          <w:sz w:val="28"/>
          <w:szCs w:val="28"/>
          <w:lang w:val="lv-LV"/>
        </w:rPr>
        <w:t xml:space="preserve">atbilstoši </w:t>
      </w:r>
      <w:r w:rsidR="00020C73" w:rsidRPr="006B0A3B">
        <w:rPr>
          <w:sz w:val="28"/>
          <w:szCs w:val="28"/>
          <w:lang w:val="lv-LV"/>
        </w:rPr>
        <w:t>Ministru kabineta 2013.gada 28.maija sēdē iz</w:t>
      </w:r>
      <w:r w:rsidR="00316E5B" w:rsidRPr="006B0A3B">
        <w:rPr>
          <w:sz w:val="28"/>
          <w:szCs w:val="28"/>
          <w:lang w:val="lv-LV"/>
        </w:rPr>
        <w:t>skatītaj</w:t>
      </w:r>
      <w:r w:rsidR="00472FDA" w:rsidRPr="006B0A3B">
        <w:rPr>
          <w:sz w:val="28"/>
          <w:szCs w:val="28"/>
          <w:lang w:val="lv-LV"/>
        </w:rPr>
        <w:t>am</w:t>
      </w:r>
      <w:r w:rsidR="00020C73" w:rsidRPr="006B0A3B">
        <w:rPr>
          <w:sz w:val="28"/>
          <w:szCs w:val="28"/>
          <w:lang w:val="lv-LV"/>
        </w:rPr>
        <w:t xml:space="preserve"> </w:t>
      </w:r>
      <w:r w:rsidR="00316E5B" w:rsidRPr="006B0A3B">
        <w:rPr>
          <w:sz w:val="28"/>
          <w:szCs w:val="28"/>
          <w:lang w:val="lv-LV"/>
        </w:rPr>
        <w:t>informatīvaj</w:t>
      </w:r>
      <w:r w:rsidR="00472FDA" w:rsidRPr="006B0A3B">
        <w:rPr>
          <w:sz w:val="28"/>
          <w:szCs w:val="28"/>
          <w:lang w:val="lv-LV"/>
        </w:rPr>
        <w:t>am</w:t>
      </w:r>
      <w:r w:rsidR="0020203E" w:rsidRPr="006B0A3B">
        <w:rPr>
          <w:sz w:val="28"/>
          <w:szCs w:val="28"/>
          <w:lang w:val="lv-LV"/>
        </w:rPr>
        <w:t xml:space="preserve"> </w:t>
      </w:r>
      <w:r w:rsidR="00F61B7C" w:rsidRPr="006B0A3B">
        <w:rPr>
          <w:sz w:val="28"/>
          <w:szCs w:val="28"/>
          <w:lang w:val="lv-LV"/>
        </w:rPr>
        <w:t>ziņojum</w:t>
      </w:r>
      <w:r w:rsidR="00316E5B" w:rsidRPr="006B0A3B">
        <w:rPr>
          <w:sz w:val="28"/>
          <w:szCs w:val="28"/>
          <w:lang w:val="lv-LV"/>
        </w:rPr>
        <w:t>am</w:t>
      </w:r>
      <w:r w:rsidR="00483C80">
        <w:rPr>
          <w:sz w:val="28"/>
          <w:szCs w:val="28"/>
          <w:lang w:val="lv-LV"/>
        </w:rPr>
        <w:t xml:space="preserve"> </w:t>
      </w:r>
      <w:r w:rsidR="006D33BD" w:rsidRPr="006B0A3B">
        <w:rPr>
          <w:sz w:val="28"/>
          <w:szCs w:val="28"/>
          <w:lang w:val="lv-LV"/>
        </w:rPr>
        <w:t>„Finanšu si</w:t>
      </w:r>
      <w:r w:rsidR="00483C80">
        <w:rPr>
          <w:sz w:val="28"/>
          <w:szCs w:val="28"/>
          <w:lang w:val="lv-LV"/>
        </w:rPr>
        <w:t xml:space="preserve">tuācija veselības aprūpes jomā”, </w:t>
      </w:r>
      <w:r w:rsidR="0020203E" w:rsidRPr="006B0A3B">
        <w:rPr>
          <w:sz w:val="28"/>
          <w:szCs w:val="28"/>
          <w:lang w:val="lv-LV"/>
        </w:rPr>
        <w:t>gan</w:t>
      </w:r>
      <w:r w:rsidR="00C51523" w:rsidRPr="006B0A3B">
        <w:rPr>
          <w:sz w:val="28"/>
          <w:szCs w:val="28"/>
          <w:lang w:val="lv-LV"/>
        </w:rPr>
        <w:t xml:space="preserve"> par </w:t>
      </w:r>
      <w:r w:rsidR="00F61B7C" w:rsidRPr="006B0A3B">
        <w:rPr>
          <w:sz w:val="28"/>
          <w:szCs w:val="28"/>
          <w:lang w:val="lv-LV"/>
        </w:rPr>
        <w:t>atsevišķiem neatliekamiem veselības aprūpes pasākumiem pakalpojumu pieejamības uzlabošanai, kur</w:t>
      </w:r>
      <w:r w:rsidR="00C51523" w:rsidRPr="006B0A3B">
        <w:rPr>
          <w:sz w:val="28"/>
          <w:szCs w:val="28"/>
          <w:lang w:val="lv-LV"/>
        </w:rPr>
        <w:t>u īstenošanai</w:t>
      </w:r>
      <w:r w:rsidR="00F61B7C" w:rsidRPr="006B0A3B">
        <w:rPr>
          <w:sz w:val="28"/>
          <w:szCs w:val="28"/>
          <w:lang w:val="lv-LV"/>
        </w:rPr>
        <w:t xml:space="preserve"> nepieciešam</w:t>
      </w:r>
      <w:r w:rsidR="00C3079E" w:rsidRPr="006B0A3B">
        <w:rPr>
          <w:sz w:val="28"/>
          <w:szCs w:val="28"/>
          <w:lang w:val="lv-LV"/>
        </w:rPr>
        <w:t>s</w:t>
      </w:r>
      <w:r w:rsidR="00F61B7C" w:rsidRPr="006B0A3B">
        <w:rPr>
          <w:sz w:val="28"/>
          <w:szCs w:val="28"/>
          <w:lang w:val="lv-LV"/>
        </w:rPr>
        <w:t xml:space="preserve"> papildu </w:t>
      </w:r>
      <w:r w:rsidRPr="006B0A3B">
        <w:rPr>
          <w:sz w:val="28"/>
          <w:szCs w:val="28"/>
          <w:lang w:val="lv-LV"/>
        </w:rPr>
        <w:t xml:space="preserve">valsts budžeta </w:t>
      </w:r>
      <w:r w:rsidR="00F61B7C" w:rsidRPr="006B0A3B">
        <w:rPr>
          <w:sz w:val="28"/>
          <w:szCs w:val="28"/>
          <w:lang w:val="lv-LV"/>
        </w:rPr>
        <w:t>finan</w:t>
      </w:r>
      <w:r w:rsidR="00C3079E" w:rsidRPr="006B0A3B">
        <w:rPr>
          <w:sz w:val="28"/>
          <w:szCs w:val="28"/>
          <w:lang w:val="lv-LV"/>
        </w:rPr>
        <w:t>sējums</w:t>
      </w:r>
      <w:r w:rsidR="00F61B7C" w:rsidRPr="006B0A3B">
        <w:rPr>
          <w:sz w:val="28"/>
          <w:szCs w:val="28"/>
          <w:lang w:val="lv-LV"/>
        </w:rPr>
        <w:t xml:space="preserve"> 2013.gadā.</w:t>
      </w:r>
      <w:r w:rsidR="00165890" w:rsidRPr="006B0A3B">
        <w:rPr>
          <w:sz w:val="28"/>
          <w:szCs w:val="28"/>
          <w:lang w:val="lv-LV"/>
        </w:rPr>
        <w:t xml:space="preserve"> </w:t>
      </w:r>
    </w:p>
    <w:p w:rsidR="00D9168B" w:rsidRDefault="00D9168B">
      <w:pPr>
        <w:tabs>
          <w:tab w:val="left" w:pos="7200"/>
        </w:tabs>
        <w:jc w:val="both"/>
        <w:rPr>
          <w:sz w:val="28"/>
          <w:szCs w:val="28"/>
          <w:lang w:val="lv-LV"/>
        </w:rPr>
      </w:pPr>
      <w:r>
        <w:rPr>
          <w:sz w:val="28"/>
          <w:szCs w:val="28"/>
          <w:lang w:val="lv-LV"/>
        </w:rPr>
        <w:t xml:space="preserve">           </w:t>
      </w:r>
      <w:r w:rsidR="000E2FF5" w:rsidRPr="006B0A3B">
        <w:rPr>
          <w:sz w:val="28"/>
          <w:szCs w:val="28"/>
          <w:lang w:val="lv-LV"/>
        </w:rPr>
        <w:t>Izskatot informatīvā ziņojuma projektu</w:t>
      </w:r>
      <w:r w:rsidR="00C3079E" w:rsidRPr="006B0A3B">
        <w:rPr>
          <w:sz w:val="28"/>
          <w:szCs w:val="28"/>
          <w:lang w:val="lv-LV"/>
        </w:rPr>
        <w:t xml:space="preserve"> „Par papildu nepieciešamo finansējumu veselības aprūpes nozarei 2013.gadā”</w:t>
      </w:r>
      <w:r w:rsidR="00EF4D33" w:rsidRPr="006B0A3B">
        <w:rPr>
          <w:sz w:val="28"/>
          <w:szCs w:val="28"/>
          <w:lang w:val="lv-LV"/>
        </w:rPr>
        <w:t>,</w:t>
      </w:r>
      <w:r w:rsidR="000E2FF5" w:rsidRPr="006B0A3B">
        <w:rPr>
          <w:sz w:val="28"/>
          <w:szCs w:val="28"/>
          <w:lang w:val="lv-LV"/>
        </w:rPr>
        <w:t xml:space="preserve"> </w:t>
      </w:r>
      <w:r w:rsidR="00165890" w:rsidRPr="006B0A3B">
        <w:rPr>
          <w:sz w:val="28"/>
          <w:szCs w:val="28"/>
          <w:lang w:val="lv-LV"/>
        </w:rPr>
        <w:t xml:space="preserve">Ministru kabineta 2013.gada 27.augusta sēdē tika atbalstīta papildu finansējuma piešķiršana Veselības ministrijai </w:t>
      </w:r>
      <w:r w:rsidR="000E2FF5" w:rsidRPr="006B0A3B">
        <w:rPr>
          <w:sz w:val="28"/>
          <w:szCs w:val="28"/>
          <w:lang w:val="lv-LV"/>
        </w:rPr>
        <w:t xml:space="preserve">5 191 154 latu apmērā </w:t>
      </w:r>
      <w:r w:rsidR="00515ABC" w:rsidRPr="006B0A3B">
        <w:rPr>
          <w:sz w:val="28"/>
          <w:szCs w:val="28"/>
          <w:lang w:val="lv-LV"/>
        </w:rPr>
        <w:t>šādu neatliekamu veselības aprūpes pasākumu nodrošināšanai:</w:t>
      </w:r>
    </w:p>
    <w:p w:rsidR="004E39CA" w:rsidRPr="006B0A3B" w:rsidRDefault="00515ABC">
      <w:pPr>
        <w:tabs>
          <w:tab w:val="left" w:pos="7200"/>
        </w:tabs>
        <w:jc w:val="both"/>
        <w:rPr>
          <w:sz w:val="28"/>
          <w:szCs w:val="28"/>
          <w:lang w:val="lv-LV"/>
        </w:rPr>
      </w:pPr>
      <w:r w:rsidRPr="006B0A3B">
        <w:rPr>
          <w:sz w:val="28"/>
          <w:szCs w:val="28"/>
          <w:lang w:val="lv-LV"/>
        </w:rPr>
        <w:lastRenderedPageBreak/>
        <w:t>1. dienas stacionāru pakalpojumu pieejamības uzlabošanai 1 043 266 latus;</w:t>
      </w:r>
    </w:p>
    <w:p w:rsidR="004E39CA" w:rsidRPr="006B0A3B" w:rsidRDefault="00515ABC" w:rsidP="00D9168B">
      <w:pPr>
        <w:tabs>
          <w:tab w:val="left" w:pos="7200"/>
        </w:tabs>
        <w:spacing w:before="120"/>
        <w:jc w:val="both"/>
        <w:rPr>
          <w:sz w:val="28"/>
          <w:szCs w:val="28"/>
          <w:lang w:val="lv-LV"/>
        </w:rPr>
      </w:pPr>
      <w:r w:rsidRPr="006B0A3B">
        <w:rPr>
          <w:sz w:val="28"/>
          <w:szCs w:val="28"/>
          <w:lang w:val="lv-LV"/>
        </w:rPr>
        <w:t>2. onkoloģijas pakalpojumu nodrošināšanai 494 500 latus;</w:t>
      </w:r>
    </w:p>
    <w:p w:rsidR="00515ABC" w:rsidRPr="006B0A3B" w:rsidRDefault="00515ABC" w:rsidP="00515ABC">
      <w:pPr>
        <w:tabs>
          <w:tab w:val="left" w:pos="7200"/>
        </w:tabs>
        <w:spacing w:before="120"/>
        <w:jc w:val="both"/>
        <w:rPr>
          <w:sz w:val="28"/>
          <w:szCs w:val="28"/>
          <w:lang w:val="lv-LV"/>
        </w:rPr>
      </w:pPr>
      <w:r w:rsidRPr="006B0A3B">
        <w:rPr>
          <w:sz w:val="28"/>
          <w:szCs w:val="28"/>
          <w:lang w:val="lv-LV"/>
        </w:rPr>
        <w:t>3. izmeklējumu nodrošināšanai 24 stundu laikā slimnīcu uzņemšanas nodaļās 1 814 519 latus;</w:t>
      </w:r>
    </w:p>
    <w:p w:rsidR="00515ABC" w:rsidRPr="006B0A3B" w:rsidRDefault="00515ABC" w:rsidP="00515ABC">
      <w:pPr>
        <w:tabs>
          <w:tab w:val="left" w:pos="7200"/>
        </w:tabs>
        <w:spacing w:before="120"/>
        <w:jc w:val="both"/>
        <w:rPr>
          <w:sz w:val="28"/>
          <w:szCs w:val="28"/>
          <w:lang w:val="lv-LV"/>
        </w:rPr>
      </w:pPr>
      <w:r w:rsidRPr="006B0A3B">
        <w:rPr>
          <w:sz w:val="28"/>
          <w:szCs w:val="28"/>
          <w:lang w:val="lv-LV"/>
        </w:rPr>
        <w:t>4. rehabilitācijas pakalpojumu pieejamības uzlabošanai ilgstoši slimojošu personu ātrākai atgriešanai darba tirgū (stacionārai palīdzībai) 966 215 latus;</w:t>
      </w:r>
    </w:p>
    <w:p w:rsidR="00515ABC" w:rsidRPr="006B0A3B" w:rsidRDefault="00515ABC" w:rsidP="00515ABC">
      <w:pPr>
        <w:tabs>
          <w:tab w:val="left" w:pos="7200"/>
        </w:tabs>
        <w:spacing w:before="120"/>
        <w:jc w:val="both"/>
        <w:rPr>
          <w:sz w:val="28"/>
          <w:szCs w:val="28"/>
          <w:lang w:val="lv-LV"/>
        </w:rPr>
      </w:pPr>
      <w:r w:rsidRPr="006B0A3B">
        <w:rPr>
          <w:sz w:val="28"/>
          <w:szCs w:val="28"/>
          <w:lang w:val="lv-LV"/>
        </w:rPr>
        <w:t>5. papildus apaugļošanas procedūrām 125 pacientiem 87 500 latus atbilstoši „Mātes un bērna veselības uzlabošanas plānam 2012.-2014.gadam”;</w:t>
      </w:r>
    </w:p>
    <w:p w:rsidR="00515ABC" w:rsidRPr="006B0A3B" w:rsidRDefault="00515ABC" w:rsidP="00515ABC">
      <w:pPr>
        <w:tabs>
          <w:tab w:val="left" w:pos="7200"/>
        </w:tabs>
        <w:spacing w:before="120"/>
        <w:jc w:val="both"/>
        <w:rPr>
          <w:sz w:val="28"/>
          <w:szCs w:val="28"/>
          <w:lang w:val="lv-LV"/>
        </w:rPr>
      </w:pPr>
      <w:r w:rsidRPr="006B0A3B">
        <w:rPr>
          <w:sz w:val="28"/>
          <w:szCs w:val="28"/>
          <w:lang w:val="lv-LV"/>
        </w:rPr>
        <w:t>6. izdevumu  segšanai VSIA „Paula Stradiņa klīniskā universitātes slimnīca”, kas saistīti ar turpmākās attīstības  izpēti</w:t>
      </w:r>
      <w:r w:rsidR="000E2FF5" w:rsidRPr="006B0A3B">
        <w:rPr>
          <w:sz w:val="28"/>
          <w:szCs w:val="28"/>
          <w:lang w:val="lv-LV"/>
        </w:rPr>
        <w:t>,</w:t>
      </w:r>
      <w:r w:rsidRPr="006B0A3B">
        <w:rPr>
          <w:sz w:val="28"/>
          <w:szCs w:val="28"/>
          <w:lang w:val="lv-LV"/>
        </w:rPr>
        <w:t xml:space="preserve"> 30 000 latus;</w:t>
      </w:r>
    </w:p>
    <w:p w:rsidR="00515ABC" w:rsidRPr="006B0A3B" w:rsidRDefault="00515ABC" w:rsidP="00515ABC">
      <w:pPr>
        <w:tabs>
          <w:tab w:val="left" w:pos="7200"/>
        </w:tabs>
        <w:spacing w:before="120"/>
        <w:jc w:val="both"/>
        <w:rPr>
          <w:sz w:val="28"/>
          <w:szCs w:val="28"/>
          <w:lang w:val="lv-LV"/>
        </w:rPr>
      </w:pPr>
      <w:r w:rsidRPr="006B0A3B">
        <w:rPr>
          <w:sz w:val="28"/>
          <w:szCs w:val="28"/>
          <w:lang w:val="lv-LV"/>
        </w:rPr>
        <w:t xml:space="preserve">7.ultrasonogrāfijas iekārtas un </w:t>
      </w:r>
      <w:proofErr w:type="spellStart"/>
      <w:r w:rsidRPr="006B0A3B">
        <w:rPr>
          <w:sz w:val="28"/>
          <w:szCs w:val="28"/>
          <w:lang w:val="lv-LV"/>
        </w:rPr>
        <w:t>kardiotokogrāfu</w:t>
      </w:r>
      <w:proofErr w:type="spellEnd"/>
      <w:r w:rsidRPr="006B0A3B">
        <w:rPr>
          <w:sz w:val="28"/>
          <w:szCs w:val="28"/>
          <w:lang w:val="lv-LV"/>
        </w:rPr>
        <w:t xml:space="preserve"> iegādei </w:t>
      </w:r>
      <w:proofErr w:type="spellStart"/>
      <w:r w:rsidRPr="006B0A3B">
        <w:rPr>
          <w:sz w:val="28"/>
          <w:szCs w:val="28"/>
          <w:lang w:val="lv-LV"/>
        </w:rPr>
        <w:t>invazīvo</w:t>
      </w:r>
      <w:proofErr w:type="spellEnd"/>
      <w:r w:rsidRPr="006B0A3B">
        <w:rPr>
          <w:sz w:val="28"/>
          <w:szCs w:val="28"/>
          <w:lang w:val="lv-LV"/>
        </w:rPr>
        <w:t xml:space="preserve"> pakalpojumu nodrošināšanai jaundzimušajiem</w:t>
      </w:r>
      <w:r w:rsidRPr="006B0A3B">
        <w:rPr>
          <w:b/>
          <w:sz w:val="28"/>
          <w:szCs w:val="28"/>
          <w:lang w:val="lv-LV"/>
        </w:rPr>
        <w:t xml:space="preserve"> </w:t>
      </w:r>
      <w:r w:rsidRPr="006B0A3B">
        <w:rPr>
          <w:sz w:val="28"/>
          <w:szCs w:val="28"/>
          <w:lang w:val="lv-LV"/>
        </w:rPr>
        <w:t>perinatālās aprūpes centrā</w:t>
      </w:r>
      <w:r w:rsidRPr="006B0A3B">
        <w:rPr>
          <w:b/>
          <w:sz w:val="28"/>
          <w:szCs w:val="28"/>
          <w:lang w:val="lv-LV"/>
        </w:rPr>
        <w:t xml:space="preserve"> </w:t>
      </w:r>
      <w:r w:rsidRPr="006B0A3B">
        <w:rPr>
          <w:sz w:val="28"/>
          <w:szCs w:val="28"/>
          <w:lang w:val="lv-LV"/>
        </w:rPr>
        <w:t>98 010 latus;</w:t>
      </w:r>
    </w:p>
    <w:p w:rsidR="00515ABC" w:rsidRPr="006B0A3B" w:rsidRDefault="00515ABC" w:rsidP="00515ABC">
      <w:pPr>
        <w:tabs>
          <w:tab w:val="left" w:pos="7200"/>
        </w:tabs>
        <w:spacing w:before="120"/>
        <w:jc w:val="both"/>
        <w:rPr>
          <w:sz w:val="28"/>
          <w:szCs w:val="28"/>
          <w:lang w:val="lv-LV"/>
        </w:rPr>
      </w:pPr>
      <w:r w:rsidRPr="006B0A3B">
        <w:rPr>
          <w:sz w:val="28"/>
          <w:szCs w:val="28"/>
          <w:lang w:val="lv-LV"/>
        </w:rPr>
        <w:t>8. sirds veselības pakalpojumu nodrošināšanai bērniem un pieaugušajiem 99 438 latus</w:t>
      </w:r>
      <w:r w:rsidR="000E2FF5" w:rsidRPr="006B0A3B">
        <w:rPr>
          <w:sz w:val="28"/>
          <w:szCs w:val="28"/>
          <w:lang w:val="lv-LV"/>
        </w:rPr>
        <w:t>;</w:t>
      </w:r>
    </w:p>
    <w:p w:rsidR="00515ABC" w:rsidRPr="006B0A3B" w:rsidRDefault="00515ABC" w:rsidP="00515ABC">
      <w:pPr>
        <w:tabs>
          <w:tab w:val="left" w:pos="7200"/>
        </w:tabs>
        <w:spacing w:before="120"/>
        <w:jc w:val="both"/>
        <w:rPr>
          <w:sz w:val="28"/>
          <w:szCs w:val="28"/>
          <w:lang w:val="lv-LV"/>
        </w:rPr>
      </w:pPr>
      <w:r w:rsidRPr="006B0A3B">
        <w:rPr>
          <w:sz w:val="28"/>
          <w:szCs w:val="28"/>
          <w:lang w:val="lv-LV"/>
        </w:rPr>
        <w:t>9.  apakšprogrammā 33.03.00 "Kompensējamo medikamentu un materiālu apmaksāšana" papildus apaugļošanas procesā nepieciešamo medikamentu kompensācijai 125 pacientiem 110 785 latus;</w:t>
      </w:r>
    </w:p>
    <w:p w:rsidR="00EF4D33" w:rsidRPr="006B0A3B" w:rsidRDefault="00515ABC" w:rsidP="00515ABC">
      <w:pPr>
        <w:tabs>
          <w:tab w:val="left" w:pos="7200"/>
        </w:tabs>
        <w:spacing w:before="120"/>
        <w:jc w:val="both"/>
        <w:rPr>
          <w:sz w:val="28"/>
          <w:szCs w:val="28"/>
          <w:lang w:val="lv-LV"/>
        </w:rPr>
      </w:pPr>
      <w:r w:rsidRPr="006B0A3B">
        <w:rPr>
          <w:sz w:val="28"/>
          <w:szCs w:val="28"/>
          <w:lang w:val="lv-LV"/>
        </w:rPr>
        <w:t>10. programmā 39.04.00 "Neatliekamā medicīniskā palīdzība 446 921 latu Neatliekamās medicīniskās palīdzības dienestam Rīgas reģionālajam centram norēķiniem ar akciju sabiedrību „Rīgas sanitārā transporta autobāze” par neatliekamās medicīniskās palīdzības transportlīdzekļu nomu un autovadītāju pakalpojumu nodrošināšanu</w:t>
      </w:r>
      <w:r w:rsidR="000E2FF5" w:rsidRPr="006B0A3B">
        <w:rPr>
          <w:sz w:val="28"/>
          <w:szCs w:val="28"/>
          <w:lang w:val="lv-LV"/>
        </w:rPr>
        <w:t>.</w:t>
      </w:r>
      <w:r w:rsidRPr="006B0A3B">
        <w:rPr>
          <w:sz w:val="28"/>
          <w:szCs w:val="28"/>
          <w:lang w:val="lv-LV"/>
        </w:rPr>
        <w:t xml:space="preserve"> </w:t>
      </w:r>
      <w:r w:rsidR="00165890" w:rsidRPr="006B0A3B">
        <w:rPr>
          <w:sz w:val="28"/>
          <w:szCs w:val="28"/>
          <w:lang w:val="lv-LV"/>
        </w:rPr>
        <w:t xml:space="preserve">  </w:t>
      </w:r>
    </w:p>
    <w:p w:rsidR="000977DF" w:rsidRPr="006B0A3B" w:rsidRDefault="00B3608F" w:rsidP="00515ABC">
      <w:pPr>
        <w:tabs>
          <w:tab w:val="left" w:pos="7200"/>
        </w:tabs>
        <w:spacing w:before="120"/>
        <w:jc w:val="both"/>
        <w:rPr>
          <w:sz w:val="28"/>
          <w:szCs w:val="28"/>
          <w:lang w:val="lv-LV"/>
        </w:rPr>
      </w:pPr>
      <w:r w:rsidRPr="006B0A3B">
        <w:rPr>
          <w:sz w:val="28"/>
          <w:szCs w:val="28"/>
          <w:lang w:val="lv-LV"/>
        </w:rPr>
        <w:t xml:space="preserve">           </w:t>
      </w:r>
      <w:r w:rsidR="00306BD5" w:rsidRPr="006B0A3B">
        <w:rPr>
          <w:sz w:val="28"/>
          <w:szCs w:val="28"/>
          <w:lang w:val="lv-LV"/>
        </w:rPr>
        <w:t>Vienlaikus jāatzīmē</w:t>
      </w:r>
      <w:r w:rsidR="00451409" w:rsidRPr="006B0A3B">
        <w:rPr>
          <w:sz w:val="28"/>
          <w:szCs w:val="28"/>
          <w:lang w:val="lv-LV"/>
        </w:rPr>
        <w:t xml:space="preserve">, ka Veselības ministrijai </w:t>
      </w:r>
      <w:r w:rsidR="00E446D6" w:rsidRPr="006B0A3B">
        <w:rPr>
          <w:sz w:val="28"/>
          <w:szCs w:val="28"/>
          <w:lang w:val="lv-LV"/>
        </w:rPr>
        <w:t>jāiesniedz izskatīšanai Ministru kabinetā rīkojuma projekts par līdzekļu pārdali</w:t>
      </w:r>
      <w:r w:rsidR="00567720" w:rsidRPr="006B0A3B">
        <w:rPr>
          <w:sz w:val="28"/>
          <w:szCs w:val="28"/>
          <w:lang w:val="lv-LV"/>
        </w:rPr>
        <w:t xml:space="preserve"> no Finanšu ministrijas budžeta apakšprogrammas 31.02.00 „Valsts parāda vadība” </w:t>
      </w:r>
      <w:r w:rsidR="009A3DDA" w:rsidRPr="006B0A3B">
        <w:rPr>
          <w:sz w:val="28"/>
          <w:szCs w:val="28"/>
          <w:lang w:val="lv-LV"/>
        </w:rPr>
        <w:t xml:space="preserve">uz Veselības ministrijas pamatbudžetu </w:t>
      </w:r>
      <w:r w:rsidR="00567720" w:rsidRPr="006B0A3B">
        <w:rPr>
          <w:sz w:val="28"/>
          <w:szCs w:val="28"/>
          <w:lang w:val="lv-LV"/>
        </w:rPr>
        <w:t>5 191 154 latu apmērā</w:t>
      </w:r>
      <w:r w:rsidR="00306BD5" w:rsidRPr="006B0A3B">
        <w:rPr>
          <w:sz w:val="28"/>
          <w:szCs w:val="28"/>
          <w:lang w:val="lv-LV"/>
        </w:rPr>
        <w:t xml:space="preserve"> un p</w:t>
      </w:r>
      <w:r w:rsidR="00E446D6" w:rsidRPr="006B0A3B">
        <w:rPr>
          <w:sz w:val="28"/>
          <w:szCs w:val="28"/>
          <w:lang w:val="lv-LV"/>
        </w:rPr>
        <w:t>ēc</w:t>
      </w:r>
      <w:r w:rsidR="00472FDA" w:rsidRPr="006B0A3B">
        <w:rPr>
          <w:sz w:val="28"/>
          <w:szCs w:val="28"/>
          <w:lang w:val="lv-LV"/>
        </w:rPr>
        <w:t xml:space="preserve"> min</w:t>
      </w:r>
      <w:r w:rsidR="00E446D6" w:rsidRPr="006B0A3B">
        <w:rPr>
          <w:sz w:val="28"/>
          <w:szCs w:val="28"/>
          <w:lang w:val="lv-LV"/>
        </w:rPr>
        <w:t>ētā</w:t>
      </w:r>
      <w:r w:rsidR="00472FDA" w:rsidRPr="006B0A3B">
        <w:rPr>
          <w:sz w:val="28"/>
          <w:szCs w:val="28"/>
          <w:lang w:val="lv-LV"/>
        </w:rPr>
        <w:t xml:space="preserve"> Ministru kabineta </w:t>
      </w:r>
      <w:r w:rsidR="00E446D6" w:rsidRPr="006B0A3B">
        <w:rPr>
          <w:sz w:val="28"/>
          <w:szCs w:val="28"/>
          <w:lang w:val="lv-LV"/>
        </w:rPr>
        <w:t>rīkojuma pieņemšanas</w:t>
      </w:r>
      <w:r w:rsidR="00472FDA" w:rsidRPr="006B0A3B">
        <w:rPr>
          <w:sz w:val="28"/>
          <w:szCs w:val="28"/>
          <w:lang w:val="lv-LV"/>
        </w:rPr>
        <w:t xml:space="preserve"> </w:t>
      </w:r>
      <w:r w:rsidR="00E446D6" w:rsidRPr="006B0A3B">
        <w:rPr>
          <w:sz w:val="28"/>
          <w:szCs w:val="28"/>
          <w:lang w:val="lv-LV"/>
        </w:rPr>
        <w:t xml:space="preserve">finanšu ministrs informēs Saeimu par nepieciešamību veikt </w:t>
      </w:r>
      <w:r w:rsidR="005E0E25" w:rsidRPr="006B0A3B">
        <w:rPr>
          <w:sz w:val="28"/>
          <w:szCs w:val="28"/>
          <w:lang w:val="lv-LV"/>
        </w:rPr>
        <w:t xml:space="preserve">likumā „Par valsts budžetu 2013.gadam” noteiktās </w:t>
      </w:r>
      <w:r w:rsidR="00E446D6" w:rsidRPr="006B0A3B">
        <w:rPr>
          <w:sz w:val="28"/>
          <w:szCs w:val="28"/>
          <w:lang w:val="lv-LV"/>
        </w:rPr>
        <w:t>apropriācijas pārdali</w:t>
      </w:r>
      <w:r w:rsidR="009A3DDA" w:rsidRPr="006B0A3B">
        <w:rPr>
          <w:sz w:val="28"/>
          <w:szCs w:val="28"/>
          <w:lang w:val="lv-LV"/>
        </w:rPr>
        <w:t>,</w:t>
      </w:r>
      <w:r w:rsidR="00E446D6" w:rsidRPr="006B0A3B">
        <w:rPr>
          <w:sz w:val="28"/>
          <w:szCs w:val="28"/>
          <w:lang w:val="lv-LV"/>
        </w:rPr>
        <w:t xml:space="preserve"> un </w:t>
      </w:r>
      <w:r w:rsidR="009A3DDA" w:rsidRPr="006B0A3B">
        <w:rPr>
          <w:sz w:val="28"/>
          <w:szCs w:val="28"/>
          <w:lang w:val="lv-LV"/>
        </w:rPr>
        <w:t xml:space="preserve">pēc Saeimas pozitīva lēmuma saņemšanas </w:t>
      </w:r>
      <w:r w:rsidR="00306BD5" w:rsidRPr="006B0A3B">
        <w:rPr>
          <w:sz w:val="28"/>
          <w:szCs w:val="28"/>
          <w:lang w:val="lv-LV"/>
        </w:rPr>
        <w:t xml:space="preserve">tiks veikta </w:t>
      </w:r>
      <w:r w:rsidR="009A3DDA" w:rsidRPr="006B0A3B">
        <w:rPr>
          <w:sz w:val="28"/>
          <w:szCs w:val="28"/>
          <w:lang w:val="lv-LV"/>
        </w:rPr>
        <w:t xml:space="preserve">minētā </w:t>
      </w:r>
      <w:r w:rsidR="00306BD5" w:rsidRPr="006B0A3B">
        <w:rPr>
          <w:sz w:val="28"/>
          <w:szCs w:val="28"/>
          <w:lang w:val="lv-LV"/>
        </w:rPr>
        <w:t>apropriācijas pārdale</w:t>
      </w:r>
      <w:r w:rsidR="000977DF" w:rsidRPr="006B0A3B">
        <w:rPr>
          <w:sz w:val="28"/>
          <w:szCs w:val="28"/>
          <w:lang w:val="lv-LV"/>
        </w:rPr>
        <w:t xml:space="preserve">. </w:t>
      </w:r>
    </w:p>
    <w:p w:rsidR="004E39CA" w:rsidRPr="006B0A3B" w:rsidRDefault="00823FD3">
      <w:pPr>
        <w:tabs>
          <w:tab w:val="left" w:pos="7200"/>
        </w:tabs>
        <w:spacing w:before="120"/>
        <w:jc w:val="both"/>
        <w:rPr>
          <w:sz w:val="28"/>
          <w:szCs w:val="28"/>
          <w:lang w:val="lv-LV"/>
        </w:rPr>
      </w:pPr>
      <w:r w:rsidRPr="006B0A3B">
        <w:rPr>
          <w:sz w:val="28"/>
          <w:szCs w:val="28"/>
          <w:lang w:val="lv-LV"/>
        </w:rPr>
        <w:t xml:space="preserve">            Vienlaikus jāatzīmē, ka 2013.gadā jau tika rasta iespēja Veselības ministrijai piešķirt papildu finansējumu 7 000 000 latu apmērā un atbilstoši </w:t>
      </w:r>
      <w:r w:rsidR="00165890" w:rsidRPr="006B0A3B">
        <w:rPr>
          <w:sz w:val="28"/>
          <w:szCs w:val="28"/>
          <w:lang w:val="lv-LV"/>
        </w:rPr>
        <w:t xml:space="preserve"> </w:t>
      </w:r>
      <w:r w:rsidR="00F61B7C" w:rsidRPr="006B0A3B">
        <w:rPr>
          <w:sz w:val="28"/>
          <w:szCs w:val="28"/>
          <w:lang w:val="lv-LV"/>
        </w:rPr>
        <w:t xml:space="preserve"> </w:t>
      </w:r>
    </w:p>
    <w:p w:rsidR="004E39CA" w:rsidRPr="006B0A3B" w:rsidRDefault="000F0DB7">
      <w:pPr>
        <w:spacing w:after="120"/>
        <w:jc w:val="both"/>
        <w:rPr>
          <w:sz w:val="28"/>
          <w:szCs w:val="28"/>
          <w:lang w:val="lv-LV"/>
        </w:rPr>
      </w:pPr>
      <w:r w:rsidRPr="006B0A3B">
        <w:rPr>
          <w:sz w:val="28"/>
          <w:szCs w:val="28"/>
          <w:lang w:val="lv-LV"/>
        </w:rPr>
        <w:t xml:space="preserve">Ministru kabineta 2013.gada 12.jūnija rīkojumam Nr.247 „Par pamatbudžeta apropriācijas pārdali starp Finanšu ministriju un Veselības ministriju” tika atbalstīta finansējuma pārdale no Finanšu ministrijas budžeta apakšprogrammas 31.02.00 „Valsts parāda vadība” Veselības ministrijai 2013.gadā 7 000 000 latu apmērā, tai skaitā: rindu mazināšanai un ambulatoro pakalpojumu pieejamības uzlabošanai 1 017 389 latu apmērā, </w:t>
      </w:r>
      <w:r w:rsidRPr="006B0A3B">
        <w:rPr>
          <w:sz w:val="28"/>
          <w:szCs w:val="28"/>
          <w:lang w:val="lv-LV"/>
        </w:rPr>
        <w:lastRenderedPageBreak/>
        <w:t xml:space="preserve">stacionāro pakalpojumu pieejamības uzlabošanai 471 733 latu apmērā, vienreizējiem maksājumiem ārstniecības iestādēm infrastruktūras uzturēšanas izdevumu deficīta daļējai segšanai 3 050 388 latu apmērā, ambulatorajai ārstēšanai paredzēto kompensējamo medikamentu un materiālu iegādes izdevumu deficīta daļējai segšanai 1 627 358 latu apmērā, reto slimību medikamentozai ārstēšanai bērniem, ņemot vērā pacientu ķermeņa masas pieaugumu, kā arī jaunu pacientu iekļaušanu reto slimību sarakstā 43 653 latu apmērā, neatliekamās medicīniskās palīdzības nodrošināšanai 789 479 latu apmērā, lai Neatliekamās medicīniskās palīdzības dienests segtu siltumenerģijas, elektroenerģijas, degvielas iegādes izdevumu pieauguma izmaksas, kārtējā remonta izdevumus un norēķinātos ar akciju sabiedrību „Rīgas sanitārā transporta autobāze” par neatliekamās medicīniskās palīdzības transportlīdzekļu nomu. </w:t>
      </w:r>
    </w:p>
    <w:p w:rsidR="00F86CE6" w:rsidRPr="006B0A3B" w:rsidRDefault="00823FD3" w:rsidP="00515ABC">
      <w:pPr>
        <w:tabs>
          <w:tab w:val="left" w:pos="7200"/>
        </w:tabs>
        <w:spacing w:before="120"/>
        <w:jc w:val="both"/>
        <w:rPr>
          <w:sz w:val="28"/>
          <w:szCs w:val="28"/>
          <w:lang w:val="lv-LV"/>
        </w:rPr>
      </w:pPr>
      <w:r w:rsidRPr="006B0A3B">
        <w:rPr>
          <w:sz w:val="28"/>
          <w:szCs w:val="28"/>
          <w:lang w:val="lv-LV"/>
        </w:rPr>
        <w:t xml:space="preserve">           Līdz ar to Ministru kabinets ir atbalstījis papildu finansējuma piešķiršanu Veselības ministrijai 2013.gadā 12 191 154 latu apmērā.</w:t>
      </w:r>
    </w:p>
    <w:tbl>
      <w:tblPr>
        <w:tblW w:w="8707" w:type="dxa"/>
        <w:tblLayout w:type="fixed"/>
        <w:tblCellMar>
          <w:left w:w="0" w:type="dxa"/>
          <w:right w:w="0" w:type="dxa"/>
        </w:tblCellMar>
        <w:tblLook w:val="00A0"/>
      </w:tblPr>
      <w:tblGrid>
        <w:gridCol w:w="8707"/>
      </w:tblGrid>
      <w:tr w:rsidR="0097253B" w:rsidRPr="006B0A3B" w:rsidTr="008333A3">
        <w:trPr>
          <w:trHeight w:val="4678"/>
        </w:trPr>
        <w:tc>
          <w:tcPr>
            <w:tcW w:w="8707" w:type="dxa"/>
          </w:tcPr>
          <w:p w:rsidR="00F86CE6" w:rsidRPr="006B0A3B" w:rsidRDefault="00F86CE6" w:rsidP="002002F2">
            <w:pPr>
              <w:keepLines/>
              <w:autoSpaceDE w:val="0"/>
              <w:autoSpaceDN w:val="0"/>
              <w:adjustRightInd w:val="0"/>
              <w:jc w:val="both"/>
              <w:rPr>
                <w:sz w:val="28"/>
                <w:szCs w:val="28"/>
                <w:lang w:val="lv-LV"/>
              </w:rPr>
            </w:pPr>
          </w:p>
          <w:p w:rsidR="000977DF" w:rsidRPr="006B0A3B" w:rsidRDefault="008A003F" w:rsidP="000977DF">
            <w:pPr>
              <w:spacing w:after="120"/>
              <w:ind w:firstLine="720"/>
              <w:jc w:val="both"/>
              <w:rPr>
                <w:sz w:val="28"/>
                <w:szCs w:val="28"/>
                <w:lang w:val="lv-LV"/>
              </w:rPr>
            </w:pPr>
            <w:r w:rsidRPr="006B0A3B">
              <w:rPr>
                <w:sz w:val="28"/>
                <w:szCs w:val="28"/>
                <w:lang w:val="lv-LV"/>
              </w:rPr>
              <w:t xml:space="preserve">Attiecībā uz jautājumu par papildu nepieciešamajiem valsts budžeta līdzekļiem Izglītības un zinātnes ministrijai piemaksām skolotāju algām 6 042 100 latu apmērā un mācību līdzekļu iegādei 537 112 latu apmērā </w:t>
            </w:r>
            <w:r w:rsidR="00823FD3" w:rsidRPr="006B0A3B">
              <w:rPr>
                <w:sz w:val="28"/>
                <w:szCs w:val="28"/>
                <w:lang w:val="lv-LV"/>
              </w:rPr>
              <w:t>atzīmējam</w:t>
            </w:r>
            <w:r w:rsidRPr="006B0A3B">
              <w:rPr>
                <w:sz w:val="28"/>
                <w:szCs w:val="28"/>
                <w:lang w:val="lv-LV"/>
              </w:rPr>
              <w:t xml:space="preserve">, ka Ministru kabineta 2013.gada 30.jūlija sēdē (protokols Nr.41, 79.§) tika skatīts Izglītības un zinātnes ministrijas sagatavotais informatīvais ziņojums „Par papildu finansējumu pedagogu darba samaksai 2013.gadam un turpmākajiem gadiem” un konceptuāli atbalstīta nepieciešamība nodrošināt iztrūkstošo finansējumu līdz 6 042 100 latu pedagogu darba samaksai 2013.gadā un turpmākajos gados, kas tiks precizēts, izmantojot aktuālākās izglītojamo skaita prognozes un spēkā esošo normatīvo regulējumu pedagogu darba samaksas aprēķiniem. </w:t>
            </w:r>
            <w:r w:rsidR="000F0DB7" w:rsidRPr="006B0A3B">
              <w:rPr>
                <w:sz w:val="28"/>
                <w:szCs w:val="28"/>
                <w:lang w:val="lv-LV"/>
              </w:rPr>
              <w:t>Savukārt, lai nodrošinātu Izglītības likuma izpildi attiecībā uz mācību līdzekļu iegādi sekmīgai mācību procesa īstenošanai no 2013.gada 1.septembra, saskaņā ar Finanšu ministrijas 2013.gada 9.augusta rīkojumu Nr.335 „Par pamatbudžeta apropriācijas pārdali starp programmām, apakšprogrammām un budžeta izdevumu kodiem atbilstoši ekonomiskajām kategorijām” un 2013.gada 16.augusta rīkojumu Nr.344 „Par pamatbudžeta apropriācijas pārdali starp programmām, apakšprogrammām un budžeta izdevumu kodiem atbilstoši ekonomiskajām kategorijām” tika veikta apropriācijas pārdale, samazinot 537 112 latu apmērā procentu izdevumus Izglītības un zinātnes ministrijas budžeta apakšprogrammā 03.04.00 „Studējošo un studiju kreditēšana” un attiecīgi palielinot izdevumus apakšprogrammā 01.14.00 „Mācību literatūras iegāde” par 382 260 latiem un apakšprogrammā 01.05.00 „Dotācija privātajām mācību iestādēm” par 154 852 latiem</w:t>
            </w:r>
            <w:r w:rsidR="000977DF" w:rsidRPr="006B0A3B">
              <w:rPr>
                <w:sz w:val="28"/>
                <w:szCs w:val="28"/>
                <w:lang w:val="lv-LV"/>
              </w:rPr>
              <w:t>.</w:t>
            </w:r>
            <w:bookmarkStart w:id="0" w:name="_GoBack"/>
            <w:bookmarkEnd w:id="0"/>
          </w:p>
          <w:p w:rsidR="002002F2" w:rsidRPr="006B0A3B" w:rsidRDefault="00515ABC" w:rsidP="00DA629E">
            <w:pPr>
              <w:keepLines/>
              <w:autoSpaceDE w:val="0"/>
              <w:autoSpaceDN w:val="0"/>
              <w:adjustRightInd w:val="0"/>
              <w:jc w:val="both"/>
              <w:rPr>
                <w:sz w:val="28"/>
                <w:szCs w:val="28"/>
                <w:lang w:val="lv-LV"/>
              </w:rPr>
            </w:pPr>
            <w:r w:rsidRPr="006B0A3B">
              <w:rPr>
                <w:sz w:val="28"/>
                <w:szCs w:val="28"/>
                <w:lang w:val="lv-LV"/>
              </w:rPr>
              <w:t xml:space="preserve">              </w:t>
            </w:r>
            <w:r w:rsidR="00DA629E" w:rsidRPr="006B0A3B">
              <w:rPr>
                <w:sz w:val="28"/>
                <w:szCs w:val="28"/>
                <w:lang w:val="lv-LV"/>
              </w:rPr>
              <w:t>Vienlaikus jāatzīmē</w:t>
            </w:r>
            <w:r w:rsidR="002002F2" w:rsidRPr="006B0A3B">
              <w:rPr>
                <w:sz w:val="28"/>
                <w:szCs w:val="28"/>
                <w:lang w:val="lv-LV"/>
              </w:rPr>
              <w:t xml:space="preserve">, ka saskaņā ar aktualizētajām kopbudžeta ieņēmumu un izdevumu prognozēm, kā arī atjaunoto informāciju par korekciju apjomu atbilstoši Eiropas kontu sistēmas (EKS’95) metodoloģijai, </w:t>
            </w:r>
            <w:r w:rsidR="002002F2" w:rsidRPr="006B0A3B">
              <w:rPr>
                <w:sz w:val="28"/>
                <w:szCs w:val="28"/>
                <w:lang w:val="lv-LV"/>
              </w:rPr>
              <w:lastRenderedPageBreak/>
              <w:t xml:space="preserve">prognozētais vispārējās </w:t>
            </w:r>
            <w:r w:rsidR="00DA629E" w:rsidRPr="006B0A3B">
              <w:rPr>
                <w:sz w:val="28"/>
                <w:szCs w:val="28"/>
                <w:lang w:val="lv-LV"/>
              </w:rPr>
              <w:t>valdības budžeta deficīts 2013.</w:t>
            </w:r>
            <w:r w:rsidR="002002F2" w:rsidRPr="006B0A3B">
              <w:rPr>
                <w:sz w:val="28"/>
                <w:szCs w:val="28"/>
                <w:lang w:val="lv-LV"/>
              </w:rPr>
              <w:t xml:space="preserve">gadā veido 1,6% no </w:t>
            </w:r>
            <w:r w:rsidR="00DA629E" w:rsidRPr="006B0A3B">
              <w:rPr>
                <w:sz w:val="28"/>
                <w:szCs w:val="28"/>
                <w:lang w:val="lv-LV"/>
              </w:rPr>
              <w:t>iekšzemes kopprodukta (turpmāk – IKP)</w:t>
            </w:r>
            <w:r w:rsidR="002002F2" w:rsidRPr="006B0A3B">
              <w:rPr>
                <w:sz w:val="28"/>
                <w:szCs w:val="28"/>
                <w:lang w:val="lv-LV"/>
              </w:rPr>
              <w:t xml:space="preserve">. Salīdzinot ar vispārējās valdības budžeta deficīta mērķi, kas likumā „Par valsts budžetu 2013.gadam” noteikts 1,4% no IKP, 2013.gada budžeta finansiālais iznākums tiek prognozēts ar lielāku deficītu. To pamatā nosaka augstāks EKS’95 korekciju negatīvais apjoms, kā arī augstāki prognozētie pašvaldību izdevumi, kas tika aktualizēti, balstoties uz 2012.gada budžeta izpildes operatīvajiem datiem. Kā arī jāatzīmē, ka pašreizējās Finanšu ministrijas prognozes pie nemainīgas valdības politikas rāda, ka vispārējās valdības budžeta strukturālais deficīts 2013.gadā būs 1,3% no IKP, kas ir par 0,9% lielāks nekā 2012.gadā. Latvijas gadījumā vidēja termiņa mērķa (turpmāk - VTM) vērtība ir -0,5% no IKP. Stabilitātes un izaugsmes pakts paredz, ka, ja pie budžeta faktiskās izpildes strukturālais deficīts pārsniedz VTM vērtību, tad ir nepieciešams veikt izvērtējumu par novirzes apmēra būtiskumu, tomēr budžeta plānošanas fāzē netiek pieļautas novirzes no VTM. Svarīgi ir arī uzsvērt, ka Latvijas atbilstība VTM tiek aprēķināta, balstoties uz Eiropas Komisijas prognozēm, kas var atšķirties no Finanšu ministrijas prognozēm un norādīt uz VTM neizpildi. Līdz ar to, balstoties uz pašreizējo Finanšu ministrijas novērtējumu, kas jau paredz nobīdi no VTM vērtības, un ņemot vērā vairākus fiskālos riskus, kas ar lielāku vai mazāku varbūtību var atstāt negatīvu ietekmi uz vispārējās valdības budžeta bilanci, tādējādi pietuvinot vispārējās valdības budžeta strukturālās bilances apmēru maksimāli tuvu pieļaujamajam apmēram, </w:t>
            </w:r>
            <w:r w:rsidR="00823FD3" w:rsidRPr="006B0A3B">
              <w:rPr>
                <w:sz w:val="28"/>
                <w:szCs w:val="28"/>
                <w:lang w:val="lv-LV"/>
              </w:rPr>
              <w:t xml:space="preserve">nav iespējama vēl lielāka </w:t>
            </w:r>
            <w:r w:rsidR="002002F2" w:rsidRPr="006B0A3B">
              <w:rPr>
                <w:sz w:val="28"/>
                <w:szCs w:val="28"/>
                <w:lang w:val="lv-LV"/>
              </w:rPr>
              <w:t xml:space="preserve">papildu valsts budžeta līdzekļu </w:t>
            </w:r>
            <w:r w:rsidR="00823FD3" w:rsidRPr="006B0A3B">
              <w:rPr>
                <w:sz w:val="28"/>
                <w:szCs w:val="28"/>
                <w:lang w:val="lv-LV"/>
              </w:rPr>
              <w:t>a</w:t>
            </w:r>
            <w:r w:rsidR="00562CF7" w:rsidRPr="006B0A3B">
              <w:rPr>
                <w:sz w:val="28"/>
                <w:szCs w:val="28"/>
                <w:lang w:val="lv-LV"/>
              </w:rPr>
              <w:t>p</w:t>
            </w:r>
            <w:r w:rsidR="00823FD3" w:rsidRPr="006B0A3B">
              <w:rPr>
                <w:sz w:val="28"/>
                <w:szCs w:val="28"/>
                <w:lang w:val="lv-LV"/>
              </w:rPr>
              <w:t xml:space="preserve">mēra </w:t>
            </w:r>
            <w:r w:rsidR="002002F2" w:rsidRPr="006B0A3B">
              <w:rPr>
                <w:sz w:val="28"/>
                <w:szCs w:val="28"/>
                <w:lang w:val="lv-LV"/>
              </w:rPr>
              <w:t>piešķiršan</w:t>
            </w:r>
            <w:r w:rsidR="00823FD3" w:rsidRPr="006B0A3B">
              <w:rPr>
                <w:sz w:val="28"/>
                <w:szCs w:val="28"/>
                <w:lang w:val="lv-LV"/>
              </w:rPr>
              <w:t>a</w:t>
            </w:r>
            <w:r w:rsidR="002002F2" w:rsidRPr="006B0A3B">
              <w:rPr>
                <w:sz w:val="28"/>
                <w:szCs w:val="28"/>
                <w:lang w:val="lv-LV"/>
              </w:rPr>
              <w:t xml:space="preserve"> </w:t>
            </w:r>
            <w:r w:rsidR="00823FD3" w:rsidRPr="006B0A3B">
              <w:rPr>
                <w:sz w:val="28"/>
                <w:szCs w:val="28"/>
                <w:lang w:val="lv-LV"/>
              </w:rPr>
              <w:t xml:space="preserve">Veselības ministrijai </w:t>
            </w:r>
            <w:r w:rsidR="00C12E7A">
              <w:rPr>
                <w:sz w:val="28"/>
                <w:szCs w:val="28"/>
                <w:lang w:val="lv-LV"/>
              </w:rPr>
              <w:t>2013.gadā</w:t>
            </w:r>
            <w:r w:rsidR="00562CF7" w:rsidRPr="006B0A3B">
              <w:rPr>
                <w:sz w:val="28"/>
                <w:szCs w:val="28"/>
                <w:lang w:val="lv-LV"/>
              </w:rPr>
              <w:t xml:space="preserve">, kā arī </w:t>
            </w:r>
            <w:r w:rsidR="00823FD3" w:rsidRPr="006B0A3B">
              <w:rPr>
                <w:sz w:val="28"/>
                <w:szCs w:val="28"/>
                <w:lang w:val="lv-LV"/>
              </w:rPr>
              <w:t xml:space="preserve">nav atbalstāma </w:t>
            </w:r>
            <w:r w:rsidR="00D9168B">
              <w:rPr>
                <w:sz w:val="28"/>
                <w:szCs w:val="28"/>
                <w:lang w:val="lv-LV"/>
              </w:rPr>
              <w:t>grozījum</w:t>
            </w:r>
            <w:r w:rsidR="00823FD3" w:rsidRPr="006B0A3B">
              <w:rPr>
                <w:sz w:val="28"/>
                <w:szCs w:val="28"/>
                <w:lang w:val="lv-LV"/>
              </w:rPr>
              <w:t>u</w:t>
            </w:r>
            <w:r w:rsidR="002002F2" w:rsidRPr="006B0A3B">
              <w:rPr>
                <w:sz w:val="28"/>
                <w:szCs w:val="28"/>
                <w:lang w:val="lv-LV"/>
              </w:rPr>
              <w:t xml:space="preserve"> </w:t>
            </w:r>
            <w:r w:rsidR="00823FD3" w:rsidRPr="006B0A3B">
              <w:rPr>
                <w:sz w:val="28"/>
                <w:szCs w:val="28"/>
                <w:lang w:val="lv-LV"/>
              </w:rPr>
              <w:t xml:space="preserve">veikšana </w:t>
            </w:r>
            <w:r w:rsidR="002002F2" w:rsidRPr="006B0A3B">
              <w:rPr>
                <w:sz w:val="28"/>
                <w:szCs w:val="28"/>
                <w:lang w:val="lv-LV"/>
              </w:rPr>
              <w:t>2013.gada valsts budžetā.</w:t>
            </w:r>
          </w:p>
          <w:p w:rsidR="00823FD3" w:rsidRPr="006B0A3B" w:rsidRDefault="00823FD3" w:rsidP="00DA629E">
            <w:pPr>
              <w:keepLines/>
              <w:autoSpaceDE w:val="0"/>
              <w:autoSpaceDN w:val="0"/>
              <w:adjustRightInd w:val="0"/>
              <w:jc w:val="both"/>
              <w:rPr>
                <w:sz w:val="28"/>
                <w:szCs w:val="28"/>
                <w:lang w:val="lv-LV"/>
              </w:rPr>
            </w:pPr>
          </w:p>
          <w:p w:rsidR="004E39CA" w:rsidRPr="006B0A3B" w:rsidRDefault="00D9168B">
            <w:pPr>
              <w:jc w:val="both"/>
              <w:rPr>
                <w:sz w:val="28"/>
                <w:szCs w:val="28"/>
                <w:lang w:val="lv-LV"/>
              </w:rPr>
            </w:pPr>
            <w:r>
              <w:rPr>
                <w:sz w:val="28"/>
                <w:szCs w:val="28"/>
                <w:lang w:val="lv-LV"/>
              </w:rPr>
              <w:t xml:space="preserve">           </w:t>
            </w:r>
            <w:r w:rsidR="00562CF7" w:rsidRPr="006B0A3B">
              <w:rPr>
                <w:sz w:val="28"/>
                <w:szCs w:val="28"/>
                <w:lang w:val="lv-LV"/>
              </w:rPr>
              <w:t xml:space="preserve">Vienlaikus </w:t>
            </w:r>
            <w:r w:rsidR="00823FD3" w:rsidRPr="006B0A3B">
              <w:rPr>
                <w:sz w:val="28"/>
                <w:szCs w:val="28"/>
                <w:lang w:val="lv-LV"/>
              </w:rPr>
              <w:t>a</w:t>
            </w:r>
            <w:r w:rsidR="002002F2" w:rsidRPr="006B0A3B">
              <w:rPr>
                <w:sz w:val="28"/>
                <w:szCs w:val="28"/>
                <w:lang w:val="lv-LV"/>
              </w:rPr>
              <w:t>ttiecībā uz papildu finansējum</w:t>
            </w:r>
            <w:r w:rsidR="00B3608F" w:rsidRPr="006B0A3B">
              <w:rPr>
                <w:sz w:val="28"/>
                <w:szCs w:val="28"/>
                <w:lang w:val="lv-LV"/>
              </w:rPr>
              <w:t xml:space="preserve">a piešķiršanu Veselības ministrijai 2014.gadam un </w:t>
            </w:r>
            <w:r w:rsidR="00DA629E" w:rsidRPr="006B0A3B">
              <w:rPr>
                <w:sz w:val="28"/>
                <w:szCs w:val="28"/>
                <w:lang w:val="lv-LV"/>
              </w:rPr>
              <w:t>turpmākaj</w:t>
            </w:r>
            <w:r w:rsidR="00B3608F" w:rsidRPr="006B0A3B">
              <w:rPr>
                <w:sz w:val="28"/>
                <w:szCs w:val="28"/>
                <w:lang w:val="lv-LV"/>
              </w:rPr>
              <w:t>iem</w:t>
            </w:r>
            <w:r w:rsidR="00DA629E" w:rsidRPr="006B0A3B">
              <w:rPr>
                <w:sz w:val="28"/>
                <w:szCs w:val="28"/>
                <w:lang w:val="lv-LV"/>
              </w:rPr>
              <w:t xml:space="preserve"> gad</w:t>
            </w:r>
            <w:r w:rsidR="00B3608F" w:rsidRPr="006B0A3B">
              <w:rPr>
                <w:sz w:val="28"/>
                <w:szCs w:val="28"/>
                <w:lang w:val="lv-LV"/>
              </w:rPr>
              <w:t>iem</w:t>
            </w:r>
            <w:r w:rsidR="00722C00" w:rsidRPr="006B0A3B">
              <w:rPr>
                <w:sz w:val="28"/>
                <w:szCs w:val="28"/>
                <w:lang w:val="lv-LV"/>
              </w:rPr>
              <w:t xml:space="preserve"> jāatzīmē</w:t>
            </w:r>
            <w:r w:rsidR="00DA629E" w:rsidRPr="006B0A3B">
              <w:rPr>
                <w:sz w:val="28"/>
                <w:szCs w:val="28"/>
                <w:lang w:val="lv-LV"/>
              </w:rPr>
              <w:t xml:space="preserve">, </w:t>
            </w:r>
            <w:r w:rsidR="00722C00" w:rsidRPr="006B0A3B">
              <w:rPr>
                <w:sz w:val="28"/>
                <w:szCs w:val="28"/>
                <w:lang w:val="lv-LV"/>
              </w:rPr>
              <w:t xml:space="preserve">ka </w:t>
            </w:r>
            <w:r w:rsidR="002002F2" w:rsidRPr="006B0A3B">
              <w:rPr>
                <w:sz w:val="28"/>
                <w:szCs w:val="28"/>
                <w:lang w:val="lv-LV"/>
              </w:rPr>
              <w:t xml:space="preserve">Veselības ministrija </w:t>
            </w:r>
            <w:r w:rsidR="002002F2" w:rsidRPr="006B0A3B">
              <w:rPr>
                <w:noProof/>
                <w:sz w:val="28"/>
                <w:szCs w:val="28"/>
                <w:lang w:val="lv-LV"/>
              </w:rPr>
              <w:t>iesniedza Finanšu ministrijā un Pārresoru koordinācijas centrā jaunās politikas iniciatīvas pieteikumus un priekšlikumus administratīvās kapacitātes stiprināšanas pasākumiem 2014.-2016.gadam</w:t>
            </w:r>
            <w:r w:rsidR="002002F2" w:rsidRPr="006B0A3B">
              <w:rPr>
                <w:sz w:val="28"/>
                <w:szCs w:val="28"/>
                <w:lang w:val="lv-LV"/>
              </w:rPr>
              <w:t>, paredzot papildu valsts budžeta finansējuma nepieciešamību 2014.gadā</w:t>
            </w:r>
            <w:r w:rsidR="002002F2" w:rsidRPr="006B0A3B" w:rsidDel="00BC56BB">
              <w:rPr>
                <w:sz w:val="28"/>
                <w:szCs w:val="28"/>
                <w:lang w:val="lv-LV"/>
              </w:rPr>
              <w:t xml:space="preserve"> </w:t>
            </w:r>
            <w:r w:rsidR="002002F2" w:rsidRPr="006B0A3B">
              <w:rPr>
                <w:sz w:val="28"/>
                <w:szCs w:val="28"/>
                <w:lang w:val="lv-LV"/>
              </w:rPr>
              <w:t xml:space="preserve"> 72 905 657 latu apmērā, 2015.gadā  117 549 642 latu apmērā un 2016.gadā 206 549 071 lata apmērā. Jautājums par papildu valsts budžeta finansējuma piešķiršanu Veselības ministrijai 2014., 2015. un 2016.gadā </w:t>
            </w:r>
            <w:r w:rsidR="00B3608F" w:rsidRPr="006B0A3B">
              <w:rPr>
                <w:sz w:val="28"/>
                <w:szCs w:val="28"/>
                <w:lang w:val="lv-LV"/>
              </w:rPr>
              <w:t xml:space="preserve">tika </w:t>
            </w:r>
            <w:r w:rsidR="002002F2" w:rsidRPr="006B0A3B">
              <w:rPr>
                <w:sz w:val="28"/>
                <w:szCs w:val="28"/>
                <w:lang w:val="lv-LV"/>
              </w:rPr>
              <w:t>izskatīts Ministru kabinetā likumprojekta „Par valsts budžetu 2014.gadam” un likumprojekta „Par vidēja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r w:rsidR="00306BD5" w:rsidRPr="006B0A3B">
              <w:rPr>
                <w:sz w:val="28"/>
                <w:szCs w:val="28"/>
                <w:lang w:val="lv-LV"/>
              </w:rPr>
              <w:t xml:space="preserve"> Informējam, ka Ministru kabinets, izskatot ministriju jaunās politikas iniciatīvas, ir atbalstījis papildu finansējuma piešķiršanu</w:t>
            </w:r>
            <w:r w:rsidR="00306BD5" w:rsidRPr="006B0A3B" w:rsidDel="001B4882">
              <w:rPr>
                <w:sz w:val="28"/>
                <w:szCs w:val="28"/>
                <w:lang w:val="lv-LV"/>
              </w:rPr>
              <w:t xml:space="preserve"> </w:t>
            </w:r>
            <w:r w:rsidR="00306BD5" w:rsidRPr="006B0A3B">
              <w:rPr>
                <w:sz w:val="28"/>
                <w:szCs w:val="28"/>
                <w:lang w:val="lv-LV"/>
              </w:rPr>
              <w:t>Veselības ministrijai  2014.gadam  28 522 682 latu apmērā, tai skaitā:</w:t>
            </w:r>
          </w:p>
          <w:p w:rsidR="00306BD5" w:rsidRPr="006B0A3B" w:rsidRDefault="00306BD5" w:rsidP="00306BD5">
            <w:pPr>
              <w:ind w:firstLine="720"/>
              <w:jc w:val="both"/>
              <w:rPr>
                <w:sz w:val="28"/>
                <w:szCs w:val="28"/>
                <w:lang w:val="lv-LV"/>
              </w:rPr>
            </w:pPr>
            <w:r w:rsidRPr="006B0A3B">
              <w:rPr>
                <w:sz w:val="28"/>
                <w:szCs w:val="28"/>
                <w:lang w:val="lv-LV"/>
              </w:rPr>
              <w:lastRenderedPageBreak/>
              <w:t xml:space="preserve">1) </w:t>
            </w:r>
            <w:r w:rsidRPr="006B0A3B">
              <w:rPr>
                <w:sz w:val="28"/>
                <w:szCs w:val="28"/>
                <w:lang w:val="lv-LV" w:eastAsia="lv-LV"/>
              </w:rPr>
              <w:t>minimālās mēneša darba algas paaugstināšanai no 200 latiem uz 225 latiem ar 2014.gada janvāri 3 979 668 latu apmērā (MK 30.07.2013. protokols Nr.</w:t>
            </w:r>
            <w:r w:rsidRPr="006B0A3B">
              <w:rPr>
                <w:sz w:val="28"/>
                <w:szCs w:val="28"/>
                <w:lang w:val="lv-LV"/>
              </w:rPr>
              <w:t xml:space="preserve"> Nr.41, 114.§);</w:t>
            </w:r>
          </w:p>
          <w:p w:rsidR="00306BD5" w:rsidRPr="006B0A3B" w:rsidRDefault="00306BD5" w:rsidP="00306BD5">
            <w:pPr>
              <w:ind w:firstLine="720"/>
              <w:jc w:val="both"/>
              <w:rPr>
                <w:sz w:val="28"/>
                <w:szCs w:val="28"/>
                <w:lang w:val="lv-LV"/>
              </w:rPr>
            </w:pPr>
            <w:r w:rsidRPr="006B0A3B">
              <w:rPr>
                <w:sz w:val="28"/>
                <w:szCs w:val="28"/>
                <w:lang w:val="lv-LV"/>
              </w:rPr>
              <w:t>2) mēneš</w:t>
            </w:r>
            <w:r w:rsidRPr="006B0A3B">
              <w:rPr>
                <w:sz w:val="28"/>
                <w:szCs w:val="28"/>
                <w:lang w:val="lv-LV" w:eastAsia="lv-LV"/>
              </w:rPr>
              <w:t>algu izlīdzināšanai ar 2014.gada 1.janvāri 1 631 749 latu apmērā (MK 08.08.2013. protokols Nr.</w:t>
            </w:r>
            <w:r w:rsidRPr="006B0A3B">
              <w:rPr>
                <w:sz w:val="28"/>
                <w:szCs w:val="28"/>
                <w:lang w:val="lv-LV"/>
              </w:rPr>
              <w:t xml:space="preserve"> 43</w:t>
            </w:r>
            <w:r w:rsidR="00A877EC" w:rsidRPr="006B0A3B">
              <w:rPr>
                <w:sz w:val="28"/>
                <w:szCs w:val="28"/>
                <w:lang w:val="lv-LV"/>
              </w:rPr>
              <w:t>,</w:t>
            </w:r>
            <w:r w:rsidRPr="006B0A3B">
              <w:rPr>
                <w:sz w:val="28"/>
                <w:szCs w:val="28"/>
                <w:lang w:val="lv-LV"/>
              </w:rPr>
              <w:t xml:space="preserve"> 11.§);</w:t>
            </w:r>
          </w:p>
          <w:p w:rsidR="00306BD5" w:rsidRPr="006B0A3B" w:rsidRDefault="00306BD5" w:rsidP="00306BD5">
            <w:pPr>
              <w:ind w:firstLine="720"/>
              <w:jc w:val="both"/>
              <w:rPr>
                <w:sz w:val="28"/>
                <w:szCs w:val="28"/>
                <w:lang w:val="lv-LV"/>
              </w:rPr>
            </w:pPr>
            <w:r w:rsidRPr="006B0A3B">
              <w:rPr>
                <w:sz w:val="28"/>
                <w:szCs w:val="28"/>
                <w:lang w:val="lv-LV"/>
              </w:rPr>
              <w:t xml:space="preserve">3) elektrības un komunālo maksājumu sadārdzinājuma kompensācijai  148 886 latu apmērā </w:t>
            </w:r>
            <w:r w:rsidRPr="006B0A3B">
              <w:rPr>
                <w:sz w:val="28"/>
                <w:szCs w:val="28"/>
                <w:lang w:val="lv-LV" w:eastAsia="lv-LV"/>
              </w:rPr>
              <w:t>(MK 08.08.2013. protokols Nr.</w:t>
            </w:r>
            <w:r w:rsidRPr="006B0A3B">
              <w:rPr>
                <w:sz w:val="28"/>
                <w:szCs w:val="28"/>
                <w:lang w:val="lv-LV"/>
              </w:rPr>
              <w:t xml:space="preserve"> 43</w:t>
            </w:r>
            <w:r w:rsidR="00A877EC" w:rsidRPr="006B0A3B">
              <w:rPr>
                <w:sz w:val="28"/>
                <w:szCs w:val="28"/>
                <w:lang w:val="lv-LV"/>
              </w:rPr>
              <w:t>,</w:t>
            </w:r>
            <w:r w:rsidRPr="006B0A3B">
              <w:rPr>
                <w:sz w:val="28"/>
                <w:szCs w:val="28"/>
                <w:lang w:val="lv-LV"/>
              </w:rPr>
              <w:t xml:space="preserve"> 11.§);</w:t>
            </w:r>
          </w:p>
          <w:p w:rsidR="00306BD5" w:rsidRPr="006B0A3B" w:rsidRDefault="00306BD5" w:rsidP="00306BD5">
            <w:pPr>
              <w:ind w:firstLine="720"/>
              <w:jc w:val="both"/>
              <w:rPr>
                <w:sz w:val="28"/>
                <w:szCs w:val="28"/>
                <w:lang w:val="lv-LV"/>
              </w:rPr>
            </w:pPr>
            <w:r w:rsidRPr="006B0A3B">
              <w:rPr>
                <w:sz w:val="28"/>
                <w:szCs w:val="28"/>
                <w:lang w:val="lv-LV"/>
              </w:rPr>
              <w:t>4) jaunajām politikas iniciatīvām 22 762 379 latu apmērā (atbalstīts MK 27.08.2013. sēdē), tai skaitā:</w:t>
            </w:r>
          </w:p>
          <w:p w:rsidR="00306BD5" w:rsidRPr="006B0A3B" w:rsidRDefault="00306BD5" w:rsidP="00306BD5">
            <w:pPr>
              <w:ind w:firstLine="720"/>
              <w:jc w:val="both"/>
              <w:rPr>
                <w:sz w:val="28"/>
                <w:szCs w:val="28"/>
                <w:lang w:val="lv-LV"/>
              </w:rPr>
            </w:pPr>
            <w:r w:rsidRPr="006B0A3B">
              <w:rPr>
                <w:sz w:val="28"/>
                <w:szCs w:val="28"/>
                <w:lang w:val="lv-LV"/>
              </w:rPr>
              <w:t xml:space="preserve">a) ārstniecības personu darba samaksas paaugstināšanai 15 491 610 latu apmērā, </w:t>
            </w:r>
          </w:p>
          <w:p w:rsidR="00306BD5" w:rsidRPr="006B0A3B" w:rsidRDefault="00306BD5" w:rsidP="00306BD5">
            <w:pPr>
              <w:ind w:firstLine="720"/>
              <w:jc w:val="both"/>
              <w:rPr>
                <w:sz w:val="28"/>
                <w:szCs w:val="28"/>
                <w:lang w:val="lv-LV"/>
              </w:rPr>
            </w:pPr>
            <w:r w:rsidRPr="006B0A3B">
              <w:rPr>
                <w:sz w:val="28"/>
                <w:szCs w:val="28"/>
                <w:lang w:val="lv-LV"/>
              </w:rPr>
              <w:t xml:space="preserve">b) veselības aprūpes pakalpojumu tarifu elementu (U, N, A, P) pieaugumam 1 000 000 latu apmērā, </w:t>
            </w:r>
          </w:p>
          <w:p w:rsidR="00306BD5" w:rsidRPr="006B0A3B" w:rsidRDefault="00306BD5" w:rsidP="00306BD5">
            <w:pPr>
              <w:ind w:firstLine="720"/>
              <w:jc w:val="both"/>
              <w:rPr>
                <w:sz w:val="28"/>
                <w:szCs w:val="28"/>
                <w:lang w:val="lv-LV"/>
              </w:rPr>
            </w:pPr>
            <w:r w:rsidRPr="006B0A3B">
              <w:rPr>
                <w:sz w:val="28"/>
                <w:szCs w:val="28"/>
                <w:lang w:val="lv-LV"/>
              </w:rPr>
              <w:t xml:space="preserve">c) ambulatorajai ārstniecībai paredzēto zāļu iegādes izdevumu kompensācijas un centralizētas medikamentu iegādes nodrošināšanai 3 168 977 latu apmērā, </w:t>
            </w:r>
          </w:p>
          <w:p w:rsidR="00D840E0" w:rsidRPr="006B0A3B" w:rsidRDefault="00306BD5" w:rsidP="00306BD5">
            <w:pPr>
              <w:ind w:firstLine="720"/>
              <w:jc w:val="both"/>
              <w:rPr>
                <w:sz w:val="28"/>
                <w:szCs w:val="28"/>
                <w:lang w:val="lv-LV"/>
              </w:rPr>
            </w:pPr>
            <w:r w:rsidRPr="006B0A3B">
              <w:rPr>
                <w:sz w:val="28"/>
                <w:szCs w:val="28"/>
                <w:lang w:val="lv-LV"/>
              </w:rPr>
              <w:t xml:space="preserve">d) </w:t>
            </w:r>
            <w:r w:rsidR="00D840E0" w:rsidRPr="006B0A3B">
              <w:rPr>
                <w:sz w:val="28"/>
                <w:szCs w:val="28"/>
                <w:lang w:val="lv-LV"/>
              </w:rPr>
              <w:t>veselības veicināšanas pasākumu nodrošināšanai 170 983 latu apmērā,</w:t>
            </w:r>
          </w:p>
          <w:p w:rsidR="00306BD5" w:rsidRPr="006B0A3B" w:rsidRDefault="00D840E0" w:rsidP="00306BD5">
            <w:pPr>
              <w:ind w:firstLine="720"/>
              <w:jc w:val="both"/>
              <w:rPr>
                <w:sz w:val="28"/>
                <w:szCs w:val="28"/>
                <w:lang w:val="lv-LV"/>
              </w:rPr>
            </w:pPr>
            <w:r w:rsidRPr="006B0A3B">
              <w:rPr>
                <w:sz w:val="28"/>
                <w:szCs w:val="28"/>
                <w:lang w:val="lv-LV"/>
              </w:rPr>
              <w:t xml:space="preserve">e) </w:t>
            </w:r>
            <w:r w:rsidR="00306BD5" w:rsidRPr="006B0A3B">
              <w:rPr>
                <w:sz w:val="28"/>
                <w:szCs w:val="28"/>
                <w:lang w:val="lv-LV"/>
              </w:rPr>
              <w:t xml:space="preserve">ambulatoro veselības aprūpes pakalpojumu gaidīšanas rindu mazināšanai 1 478 438 latu apmērā, </w:t>
            </w:r>
          </w:p>
          <w:p w:rsidR="00306BD5" w:rsidRPr="006B0A3B" w:rsidRDefault="00D840E0" w:rsidP="00306BD5">
            <w:pPr>
              <w:ind w:firstLine="720"/>
              <w:jc w:val="both"/>
              <w:rPr>
                <w:sz w:val="28"/>
                <w:szCs w:val="28"/>
                <w:lang w:val="lv-LV"/>
              </w:rPr>
            </w:pPr>
            <w:r w:rsidRPr="006B0A3B">
              <w:rPr>
                <w:sz w:val="28"/>
                <w:szCs w:val="28"/>
                <w:lang w:val="lv-LV"/>
              </w:rPr>
              <w:t>f</w:t>
            </w:r>
            <w:r w:rsidR="00306BD5" w:rsidRPr="006B0A3B">
              <w:rPr>
                <w:sz w:val="28"/>
                <w:szCs w:val="28"/>
                <w:lang w:val="lv-LV"/>
              </w:rPr>
              <w:t xml:space="preserve">) stacionāro veselības aprūpes pakalpojumu gaidīšanas rindu mazināšanai 928 033 latu apmērā, </w:t>
            </w:r>
          </w:p>
          <w:p w:rsidR="00306BD5" w:rsidRPr="006B0A3B" w:rsidRDefault="00D840E0" w:rsidP="00306BD5">
            <w:pPr>
              <w:ind w:firstLine="720"/>
              <w:jc w:val="both"/>
              <w:rPr>
                <w:sz w:val="28"/>
                <w:szCs w:val="28"/>
                <w:lang w:val="lv-LV"/>
              </w:rPr>
            </w:pPr>
            <w:r w:rsidRPr="006B0A3B">
              <w:rPr>
                <w:sz w:val="28"/>
                <w:szCs w:val="28"/>
                <w:lang w:val="lv-LV"/>
              </w:rPr>
              <w:t>g</w:t>
            </w:r>
            <w:r w:rsidR="00306BD5" w:rsidRPr="006B0A3B">
              <w:rPr>
                <w:sz w:val="28"/>
                <w:szCs w:val="28"/>
                <w:lang w:val="lv-LV"/>
              </w:rPr>
              <w:t>) rehabilitācijas pakalpojumu apjoma palielināšanai 508 243 latu apmērā,</w:t>
            </w:r>
          </w:p>
          <w:p w:rsidR="00306BD5" w:rsidRPr="006B0A3B" w:rsidRDefault="00D840E0" w:rsidP="00306BD5">
            <w:pPr>
              <w:ind w:firstLine="720"/>
              <w:jc w:val="both"/>
              <w:rPr>
                <w:sz w:val="28"/>
                <w:szCs w:val="28"/>
                <w:lang w:val="lv-LV"/>
              </w:rPr>
            </w:pPr>
            <w:r w:rsidRPr="006B0A3B">
              <w:rPr>
                <w:sz w:val="28"/>
                <w:szCs w:val="28"/>
                <w:lang w:val="lv-LV"/>
              </w:rPr>
              <w:t>h</w:t>
            </w:r>
            <w:r w:rsidR="00306BD5" w:rsidRPr="006B0A3B">
              <w:rPr>
                <w:sz w:val="28"/>
                <w:szCs w:val="28"/>
                <w:lang w:val="lv-LV"/>
              </w:rPr>
              <w:t>) Veselības ministrijas dalībai OECD 16 095 latu apmērā.</w:t>
            </w:r>
          </w:p>
          <w:p w:rsidR="00306BD5" w:rsidRPr="006B0A3B" w:rsidRDefault="00306BD5" w:rsidP="00306BD5">
            <w:pPr>
              <w:spacing w:after="120"/>
              <w:ind w:firstLine="720"/>
              <w:jc w:val="both"/>
              <w:rPr>
                <w:sz w:val="28"/>
                <w:szCs w:val="28"/>
                <w:lang w:val="lv-LV"/>
              </w:rPr>
            </w:pPr>
          </w:p>
          <w:p w:rsidR="00750D52" w:rsidRPr="006B0A3B" w:rsidRDefault="00750D52" w:rsidP="00B3608F">
            <w:pPr>
              <w:spacing w:after="120"/>
              <w:ind w:firstLine="720"/>
              <w:jc w:val="both"/>
              <w:rPr>
                <w:sz w:val="28"/>
                <w:szCs w:val="28"/>
                <w:lang w:val="lv-LV"/>
              </w:rPr>
            </w:pPr>
          </w:p>
        </w:tc>
      </w:tr>
    </w:tbl>
    <w:p w:rsidR="004E1E1F" w:rsidRPr="006B0A3B" w:rsidRDefault="004E1E1F" w:rsidP="001A0179">
      <w:pPr>
        <w:jc w:val="both"/>
        <w:rPr>
          <w:sz w:val="28"/>
          <w:szCs w:val="28"/>
          <w:lang w:val="lv-LV"/>
        </w:rPr>
      </w:pPr>
      <w:r w:rsidRPr="006B0A3B">
        <w:rPr>
          <w:sz w:val="28"/>
          <w:szCs w:val="28"/>
          <w:lang w:val="lv-LV"/>
        </w:rPr>
        <w:lastRenderedPageBreak/>
        <w:t xml:space="preserve">Ministru prezidents                                                          </w:t>
      </w:r>
      <w:r w:rsidR="00571CDF" w:rsidRPr="006B0A3B">
        <w:rPr>
          <w:sz w:val="28"/>
          <w:szCs w:val="28"/>
          <w:lang w:val="lv-LV"/>
        </w:rPr>
        <w:tab/>
        <w:t xml:space="preserve">    </w:t>
      </w:r>
      <w:r w:rsidRPr="006B0A3B">
        <w:rPr>
          <w:sz w:val="28"/>
          <w:szCs w:val="28"/>
          <w:lang w:val="lv-LV"/>
        </w:rPr>
        <w:t xml:space="preserve"> </w:t>
      </w:r>
      <w:proofErr w:type="spellStart"/>
      <w:r w:rsidRPr="006B0A3B">
        <w:rPr>
          <w:sz w:val="28"/>
          <w:szCs w:val="28"/>
          <w:lang w:val="lv-LV"/>
        </w:rPr>
        <w:t>V.Dombrovskis</w:t>
      </w:r>
      <w:proofErr w:type="spellEnd"/>
    </w:p>
    <w:p w:rsidR="009E2E7C" w:rsidRDefault="009E2E7C" w:rsidP="001A0179">
      <w:pPr>
        <w:jc w:val="both"/>
        <w:rPr>
          <w:sz w:val="28"/>
          <w:szCs w:val="28"/>
          <w:lang w:val="lv-LV"/>
        </w:rPr>
      </w:pPr>
    </w:p>
    <w:p w:rsidR="006B0A3B" w:rsidRPr="006B0A3B" w:rsidRDefault="006B0A3B" w:rsidP="001A0179">
      <w:pPr>
        <w:jc w:val="both"/>
        <w:rPr>
          <w:sz w:val="28"/>
          <w:szCs w:val="28"/>
          <w:lang w:val="lv-LV"/>
        </w:rPr>
      </w:pPr>
    </w:p>
    <w:p w:rsidR="004E1E1F" w:rsidRDefault="004E1E1F" w:rsidP="005C3C8F">
      <w:pPr>
        <w:jc w:val="both"/>
        <w:rPr>
          <w:sz w:val="28"/>
          <w:szCs w:val="28"/>
          <w:lang w:val="lv-LV"/>
        </w:rPr>
      </w:pPr>
      <w:r w:rsidRPr="006B0A3B">
        <w:rPr>
          <w:sz w:val="28"/>
          <w:szCs w:val="28"/>
          <w:lang w:val="lv-LV"/>
        </w:rPr>
        <w:t>Veselības ministre</w:t>
      </w:r>
      <w:r w:rsidRPr="006B0A3B">
        <w:rPr>
          <w:sz w:val="28"/>
          <w:szCs w:val="28"/>
          <w:lang w:val="lv-LV"/>
        </w:rPr>
        <w:tab/>
      </w:r>
      <w:r w:rsidRPr="006B0A3B">
        <w:rPr>
          <w:sz w:val="28"/>
          <w:szCs w:val="28"/>
          <w:lang w:val="lv-LV"/>
        </w:rPr>
        <w:tab/>
      </w:r>
      <w:r w:rsidRPr="00D840E0">
        <w:rPr>
          <w:sz w:val="28"/>
          <w:szCs w:val="28"/>
          <w:lang w:val="lv-LV"/>
        </w:rPr>
        <w:tab/>
      </w:r>
      <w:r w:rsidRPr="00D840E0">
        <w:rPr>
          <w:sz w:val="28"/>
          <w:szCs w:val="28"/>
          <w:lang w:val="lv-LV"/>
        </w:rPr>
        <w:tab/>
      </w:r>
      <w:r w:rsidRPr="00D840E0">
        <w:rPr>
          <w:sz w:val="28"/>
          <w:szCs w:val="28"/>
          <w:lang w:val="lv-LV"/>
        </w:rPr>
        <w:tab/>
      </w:r>
      <w:r w:rsidRPr="00D840E0">
        <w:rPr>
          <w:sz w:val="28"/>
          <w:szCs w:val="28"/>
          <w:lang w:val="lv-LV"/>
        </w:rPr>
        <w:tab/>
      </w:r>
      <w:r w:rsidRPr="00D840E0">
        <w:rPr>
          <w:sz w:val="28"/>
          <w:szCs w:val="28"/>
          <w:lang w:val="lv-LV"/>
        </w:rPr>
        <w:tab/>
      </w:r>
      <w:r w:rsidRPr="00D840E0">
        <w:rPr>
          <w:sz w:val="28"/>
          <w:szCs w:val="28"/>
          <w:lang w:val="lv-LV"/>
        </w:rPr>
        <w:tab/>
        <w:t xml:space="preserve">     </w:t>
      </w:r>
      <w:proofErr w:type="spellStart"/>
      <w:r w:rsidRPr="00D840E0">
        <w:rPr>
          <w:sz w:val="28"/>
          <w:szCs w:val="28"/>
          <w:lang w:val="lv-LV"/>
        </w:rPr>
        <w:t>I.Circe</w:t>
      </w:r>
      <w:r w:rsidRPr="008333A3">
        <w:rPr>
          <w:sz w:val="28"/>
          <w:szCs w:val="28"/>
          <w:lang w:val="lv-LV"/>
        </w:rPr>
        <w:t>ne</w:t>
      </w:r>
      <w:proofErr w:type="spellEnd"/>
    </w:p>
    <w:p w:rsidR="00ED0F6C" w:rsidRDefault="00ED0F6C" w:rsidP="00ED0F6C">
      <w:pPr>
        <w:jc w:val="both"/>
      </w:pPr>
    </w:p>
    <w:p w:rsidR="00515ABC" w:rsidRDefault="00515ABC" w:rsidP="00ED0F6C">
      <w:pPr>
        <w:jc w:val="both"/>
        <w:rPr>
          <w:sz w:val="22"/>
          <w:szCs w:val="22"/>
          <w:lang w:val="lv-LV"/>
        </w:rPr>
      </w:pPr>
    </w:p>
    <w:p w:rsidR="00E71DBD" w:rsidRDefault="00E71DBD" w:rsidP="00ED0F6C">
      <w:pPr>
        <w:jc w:val="both"/>
        <w:rPr>
          <w:sz w:val="22"/>
          <w:szCs w:val="22"/>
          <w:lang w:val="lv-LV"/>
        </w:rPr>
      </w:pPr>
    </w:p>
    <w:p w:rsidR="00E71DBD" w:rsidRDefault="00E71DBD" w:rsidP="00ED0F6C">
      <w:pPr>
        <w:jc w:val="both"/>
        <w:rPr>
          <w:sz w:val="22"/>
          <w:szCs w:val="22"/>
          <w:lang w:val="lv-LV"/>
        </w:rPr>
      </w:pPr>
    </w:p>
    <w:p w:rsidR="00E71DBD" w:rsidRDefault="00E71DBD" w:rsidP="00ED0F6C">
      <w:pPr>
        <w:jc w:val="both"/>
        <w:rPr>
          <w:sz w:val="22"/>
          <w:szCs w:val="22"/>
          <w:lang w:val="lv-LV"/>
        </w:rPr>
      </w:pPr>
    </w:p>
    <w:p w:rsidR="006B0A3B" w:rsidRDefault="006B0A3B" w:rsidP="00ED0F6C">
      <w:pPr>
        <w:jc w:val="both"/>
        <w:rPr>
          <w:sz w:val="22"/>
          <w:szCs w:val="22"/>
          <w:lang w:val="lv-LV"/>
        </w:rPr>
      </w:pPr>
      <w:r>
        <w:rPr>
          <w:sz w:val="22"/>
          <w:szCs w:val="22"/>
          <w:lang w:val="lv-LV"/>
        </w:rPr>
        <w:t>30.08.2013</w:t>
      </w:r>
      <w:r w:rsidR="00D9168B">
        <w:rPr>
          <w:sz w:val="22"/>
          <w:szCs w:val="22"/>
          <w:lang w:val="lv-LV"/>
        </w:rPr>
        <w:t xml:space="preserve">    </w:t>
      </w:r>
      <w:r w:rsidR="00C12E7A">
        <w:rPr>
          <w:sz w:val="22"/>
          <w:szCs w:val="22"/>
          <w:lang w:val="lv-LV"/>
        </w:rPr>
        <w:t>11:28</w:t>
      </w:r>
    </w:p>
    <w:p w:rsidR="00ED0F6C" w:rsidRPr="00533502" w:rsidRDefault="006559D8" w:rsidP="00ED0F6C">
      <w:pPr>
        <w:jc w:val="both"/>
        <w:rPr>
          <w:sz w:val="22"/>
          <w:szCs w:val="22"/>
          <w:lang w:val="lv-LV"/>
        </w:rPr>
      </w:pPr>
      <w:r>
        <w:rPr>
          <w:sz w:val="22"/>
          <w:szCs w:val="22"/>
          <w:lang w:val="lv-LV"/>
        </w:rPr>
        <w:t>1487</w:t>
      </w:r>
    </w:p>
    <w:p w:rsidR="00ED0F6C" w:rsidRPr="00533502" w:rsidRDefault="00ED0F6C" w:rsidP="00ED0F6C">
      <w:pPr>
        <w:jc w:val="both"/>
        <w:rPr>
          <w:sz w:val="22"/>
          <w:szCs w:val="22"/>
          <w:lang w:val="lv-LV"/>
        </w:rPr>
      </w:pPr>
      <w:r w:rsidRPr="00533502">
        <w:rPr>
          <w:sz w:val="22"/>
          <w:szCs w:val="22"/>
          <w:lang w:val="lv-LV"/>
        </w:rPr>
        <w:t>Budžeta un investīciju departamenta</w:t>
      </w:r>
    </w:p>
    <w:p w:rsidR="00ED0F6C" w:rsidRPr="00533502" w:rsidRDefault="00ED0F6C" w:rsidP="00ED0F6C">
      <w:pPr>
        <w:jc w:val="both"/>
        <w:rPr>
          <w:sz w:val="22"/>
          <w:szCs w:val="22"/>
          <w:lang w:val="lv-LV"/>
        </w:rPr>
      </w:pPr>
      <w:r w:rsidRPr="00533502">
        <w:rPr>
          <w:sz w:val="22"/>
          <w:szCs w:val="22"/>
          <w:lang w:val="lv-LV"/>
        </w:rPr>
        <w:t>Budžeta plānošanas nodaļas vecākā referente</w:t>
      </w:r>
    </w:p>
    <w:p w:rsidR="00ED0F6C" w:rsidRPr="00533502" w:rsidRDefault="00ED0F6C" w:rsidP="00ED0F6C">
      <w:pPr>
        <w:jc w:val="both"/>
        <w:rPr>
          <w:sz w:val="22"/>
          <w:szCs w:val="22"/>
          <w:lang w:val="lv-LV"/>
        </w:rPr>
      </w:pPr>
      <w:r w:rsidRPr="00533502">
        <w:rPr>
          <w:sz w:val="22"/>
          <w:szCs w:val="22"/>
          <w:lang w:val="lv-LV"/>
        </w:rPr>
        <w:t>Ž.Zvaigzne, tālr.67876041</w:t>
      </w:r>
    </w:p>
    <w:p w:rsidR="00ED0F6C" w:rsidRPr="00533502" w:rsidRDefault="00ED0F6C" w:rsidP="00ED0F6C">
      <w:pPr>
        <w:jc w:val="both"/>
        <w:rPr>
          <w:sz w:val="22"/>
          <w:szCs w:val="22"/>
          <w:lang w:val="lv-LV"/>
        </w:rPr>
      </w:pPr>
      <w:r w:rsidRPr="00533502">
        <w:rPr>
          <w:sz w:val="22"/>
          <w:szCs w:val="22"/>
          <w:lang w:val="lv-LV"/>
        </w:rPr>
        <w:t xml:space="preserve">fakss 67876002, </w:t>
      </w:r>
      <w:hyperlink r:id="rId8" w:history="1">
        <w:r w:rsidRPr="00533502">
          <w:rPr>
            <w:rStyle w:val="Hyperlink"/>
            <w:sz w:val="22"/>
            <w:szCs w:val="22"/>
            <w:lang w:val="lv-LV"/>
          </w:rPr>
          <w:t>Zanete.Zvaigzne@vm.gov.lv</w:t>
        </w:r>
      </w:hyperlink>
    </w:p>
    <w:p w:rsidR="008333A3" w:rsidRPr="00ED0F6C" w:rsidRDefault="008333A3" w:rsidP="00ED0F6C">
      <w:pPr>
        <w:rPr>
          <w:sz w:val="20"/>
          <w:szCs w:val="20"/>
          <w:lang w:val="lv-LV"/>
        </w:rPr>
      </w:pPr>
    </w:p>
    <w:sectPr w:rsidR="008333A3" w:rsidRPr="00ED0F6C" w:rsidSect="009E2E7C">
      <w:headerReference w:type="default" r:id="rId9"/>
      <w:footerReference w:type="default" r:id="rId10"/>
      <w:footerReference w:type="first" r:id="rId11"/>
      <w:pgSz w:w="11906" w:h="16838"/>
      <w:pgMar w:top="1440" w:right="1416" w:bottom="1276" w:left="180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F8" w:rsidRDefault="002F69F8" w:rsidP="00EA3089">
      <w:r>
        <w:separator/>
      </w:r>
    </w:p>
  </w:endnote>
  <w:endnote w:type="continuationSeparator" w:id="0">
    <w:p w:rsidR="002F69F8" w:rsidRDefault="002F69F8" w:rsidP="00EA3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52" w:rsidRDefault="006B0A3B" w:rsidP="00533502">
    <w:pPr>
      <w:pStyle w:val="Footer"/>
      <w:jc w:val="both"/>
      <w:rPr>
        <w:sz w:val="22"/>
        <w:szCs w:val="22"/>
        <w:lang w:val="lv-LV"/>
      </w:rPr>
    </w:pPr>
    <w:r>
      <w:rPr>
        <w:sz w:val="22"/>
        <w:szCs w:val="22"/>
        <w:lang w:val="lv-LV"/>
      </w:rPr>
      <w:t>VMInfo_30</w:t>
    </w:r>
    <w:r w:rsidR="00750D52" w:rsidRPr="00533502">
      <w:rPr>
        <w:sz w:val="22"/>
        <w:szCs w:val="22"/>
        <w:lang w:val="lv-LV"/>
      </w:rPr>
      <w:t xml:space="preserve">0813_Saeima; </w:t>
    </w:r>
    <w:bookmarkStart w:id="1" w:name="OLE_LINK2"/>
    <w:bookmarkStart w:id="2" w:name="OLE_LINK3"/>
    <w:r w:rsidR="00750D52" w:rsidRPr="00533502">
      <w:rPr>
        <w:sz w:val="22"/>
        <w:szCs w:val="22"/>
        <w:lang w:val="lv-LV"/>
      </w:rPr>
      <w:t>Ministru kabineta atbildes vēstules projekts „„Par nepieciešamo papildu finansējumu veselības aprūpes nozarei 2013.gadā”</w:t>
    </w:r>
  </w:p>
  <w:bookmarkEnd w:id="1"/>
  <w:bookmarkEnd w:id="2"/>
  <w:p w:rsidR="00750D52" w:rsidRDefault="00750D52" w:rsidP="00533502">
    <w:pPr>
      <w:pStyle w:val="Footer"/>
      <w:jc w:val="both"/>
      <w:rPr>
        <w:sz w:val="22"/>
        <w:szCs w:val="22"/>
        <w:lang w:val="lv-LV"/>
      </w:rPr>
    </w:pPr>
  </w:p>
  <w:p w:rsidR="00750D52" w:rsidRDefault="00750D52" w:rsidP="00533502">
    <w:pPr>
      <w:pStyle w:val="Footer"/>
      <w:jc w:val="both"/>
      <w:rPr>
        <w:sz w:val="22"/>
        <w:szCs w:val="22"/>
        <w:lang w:val="lv-LV"/>
      </w:rPr>
    </w:pPr>
  </w:p>
  <w:p w:rsidR="00750D52" w:rsidRPr="00533502" w:rsidRDefault="00750D52" w:rsidP="00533502">
    <w:pPr>
      <w:pStyle w:val="Footer"/>
      <w:jc w:val="both"/>
      <w:rPr>
        <w:sz w:val="22"/>
        <w:szCs w:val="22"/>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52" w:rsidRPr="00533502" w:rsidRDefault="006B0A3B" w:rsidP="00533502">
    <w:pPr>
      <w:pStyle w:val="Footer"/>
      <w:jc w:val="both"/>
      <w:rPr>
        <w:sz w:val="22"/>
        <w:szCs w:val="22"/>
        <w:lang w:val="lv-LV"/>
      </w:rPr>
    </w:pPr>
    <w:r>
      <w:rPr>
        <w:sz w:val="22"/>
        <w:szCs w:val="22"/>
        <w:lang w:val="lv-LV"/>
      </w:rPr>
      <w:t>VMInfo_30</w:t>
    </w:r>
    <w:r w:rsidR="00750D52" w:rsidRPr="00533502">
      <w:rPr>
        <w:sz w:val="22"/>
        <w:szCs w:val="22"/>
        <w:lang w:val="lv-LV"/>
      </w:rPr>
      <w:t xml:space="preserve">0813_Saeima; </w:t>
    </w:r>
    <w:bookmarkStart w:id="3" w:name="OLE_LINK4"/>
    <w:bookmarkStart w:id="4" w:name="OLE_LINK5"/>
    <w:bookmarkStart w:id="5" w:name="_Hlk306872978"/>
    <w:bookmarkStart w:id="6" w:name="OLE_LINK1"/>
    <w:r w:rsidR="00750D52" w:rsidRPr="00533502">
      <w:rPr>
        <w:sz w:val="22"/>
        <w:szCs w:val="22"/>
        <w:lang w:val="lv-LV"/>
      </w:rPr>
      <w:t>Ministru kabineta atbildes vēstules projekts „„Par nepieciešamo papildu finansējumu veselības aprūpes nozarei 2013.gadā”</w:t>
    </w:r>
  </w:p>
  <w:p w:rsidR="00750D52" w:rsidRPr="000260C5" w:rsidRDefault="00750D52" w:rsidP="000260C5">
    <w:pPr>
      <w:jc w:val="both"/>
      <w:rPr>
        <w:lang w:val="lv-LV"/>
      </w:rPr>
    </w:pPr>
  </w:p>
  <w:p w:rsidR="00750D52" w:rsidRPr="000E1EFE" w:rsidRDefault="00750D52" w:rsidP="00D63101">
    <w:pPr>
      <w:jc w:val="both"/>
      <w:rPr>
        <w:lang w:val="lv-LV"/>
      </w:rPr>
    </w:pPr>
  </w:p>
  <w:bookmarkEnd w:id="3"/>
  <w:bookmarkEnd w:id="4"/>
  <w:bookmarkEnd w:id="5"/>
  <w:bookmarkEnd w:id="6"/>
  <w:p w:rsidR="00750D52" w:rsidRPr="00EA3089" w:rsidRDefault="00750D52" w:rsidP="00EA3089">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F8" w:rsidRDefault="002F69F8" w:rsidP="00EA3089">
      <w:r>
        <w:separator/>
      </w:r>
    </w:p>
  </w:footnote>
  <w:footnote w:type="continuationSeparator" w:id="0">
    <w:p w:rsidR="002F69F8" w:rsidRDefault="002F69F8" w:rsidP="00EA3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52" w:rsidRDefault="00FB57DD">
    <w:pPr>
      <w:pStyle w:val="Header"/>
      <w:jc w:val="center"/>
    </w:pPr>
    <w:r>
      <w:fldChar w:fldCharType="begin"/>
    </w:r>
    <w:r w:rsidR="003D76A5">
      <w:instrText xml:space="preserve"> PAGE   \* MERGEFORMAT </w:instrText>
    </w:r>
    <w:r>
      <w:fldChar w:fldCharType="separate"/>
    </w:r>
    <w:r w:rsidR="006559D8">
      <w:rPr>
        <w:noProof/>
      </w:rPr>
      <w:t>5</w:t>
    </w:r>
    <w:r>
      <w:rPr>
        <w:noProof/>
      </w:rPr>
      <w:fldChar w:fldCharType="end"/>
    </w:r>
  </w:p>
  <w:p w:rsidR="00750D52" w:rsidRDefault="00750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E6C"/>
    <w:multiLevelType w:val="hybridMultilevel"/>
    <w:tmpl w:val="19C02C88"/>
    <w:lvl w:ilvl="0" w:tplc="78189EA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17D10E9"/>
    <w:multiLevelType w:val="hybridMultilevel"/>
    <w:tmpl w:val="5FBC3072"/>
    <w:lvl w:ilvl="0" w:tplc="65CEEB3E">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58E043CE"/>
    <w:multiLevelType w:val="hybridMultilevel"/>
    <w:tmpl w:val="CCCC2DD2"/>
    <w:lvl w:ilvl="0" w:tplc="D572F03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63713846"/>
    <w:multiLevelType w:val="hybridMultilevel"/>
    <w:tmpl w:val="8F54FEE8"/>
    <w:lvl w:ilvl="0" w:tplc="FE3ABAC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BBA1952"/>
    <w:multiLevelType w:val="hybridMultilevel"/>
    <w:tmpl w:val="63E6DAD8"/>
    <w:lvl w:ilvl="0" w:tplc="0F64BC88">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5">
    <w:nsid w:val="7DB01988"/>
    <w:multiLevelType w:val="hybridMultilevel"/>
    <w:tmpl w:val="85708FBA"/>
    <w:lvl w:ilvl="0" w:tplc="CE32F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31D7"/>
    <w:rsid w:val="00012D1B"/>
    <w:rsid w:val="00020170"/>
    <w:rsid w:val="00020C73"/>
    <w:rsid w:val="00024FB2"/>
    <w:rsid w:val="000251BA"/>
    <w:rsid w:val="000260C5"/>
    <w:rsid w:val="0002698E"/>
    <w:rsid w:val="0002737D"/>
    <w:rsid w:val="000334C6"/>
    <w:rsid w:val="00034103"/>
    <w:rsid w:val="000701D3"/>
    <w:rsid w:val="00085F0E"/>
    <w:rsid w:val="00085FD0"/>
    <w:rsid w:val="00086BA6"/>
    <w:rsid w:val="00090084"/>
    <w:rsid w:val="000965E9"/>
    <w:rsid w:val="000977DF"/>
    <w:rsid w:val="000A5EB2"/>
    <w:rsid w:val="000A713C"/>
    <w:rsid w:val="000B2448"/>
    <w:rsid w:val="000B2926"/>
    <w:rsid w:val="000D3D41"/>
    <w:rsid w:val="000D5BFF"/>
    <w:rsid w:val="000E1EFE"/>
    <w:rsid w:val="000E2FF5"/>
    <w:rsid w:val="000E3211"/>
    <w:rsid w:val="000E3A94"/>
    <w:rsid w:val="000E5CD5"/>
    <w:rsid w:val="000F0DB7"/>
    <w:rsid w:val="00102C00"/>
    <w:rsid w:val="001035EA"/>
    <w:rsid w:val="001135C5"/>
    <w:rsid w:val="00124648"/>
    <w:rsid w:val="00126505"/>
    <w:rsid w:val="001510DE"/>
    <w:rsid w:val="00151E64"/>
    <w:rsid w:val="00161271"/>
    <w:rsid w:val="00165890"/>
    <w:rsid w:val="0016741A"/>
    <w:rsid w:val="001704D6"/>
    <w:rsid w:val="00177A2B"/>
    <w:rsid w:val="001802D8"/>
    <w:rsid w:val="00190A14"/>
    <w:rsid w:val="00197CFE"/>
    <w:rsid w:val="001A0179"/>
    <w:rsid w:val="001A706F"/>
    <w:rsid w:val="001B0496"/>
    <w:rsid w:val="001B0DB4"/>
    <w:rsid w:val="001B4882"/>
    <w:rsid w:val="001B4C2E"/>
    <w:rsid w:val="001B72B7"/>
    <w:rsid w:val="001B7B1A"/>
    <w:rsid w:val="001C2691"/>
    <w:rsid w:val="001C68EE"/>
    <w:rsid w:val="001C6BAC"/>
    <w:rsid w:val="001C7C72"/>
    <w:rsid w:val="001D6487"/>
    <w:rsid w:val="001D6DF6"/>
    <w:rsid w:val="001E4B9F"/>
    <w:rsid w:val="001E66DB"/>
    <w:rsid w:val="001F26DD"/>
    <w:rsid w:val="002002F2"/>
    <w:rsid w:val="0020203E"/>
    <w:rsid w:val="002134BB"/>
    <w:rsid w:val="00214B6E"/>
    <w:rsid w:val="002218B3"/>
    <w:rsid w:val="00226EF2"/>
    <w:rsid w:val="00236565"/>
    <w:rsid w:val="00247E36"/>
    <w:rsid w:val="00270940"/>
    <w:rsid w:val="002715FB"/>
    <w:rsid w:val="00280601"/>
    <w:rsid w:val="00286F8A"/>
    <w:rsid w:val="002873D1"/>
    <w:rsid w:val="00290D20"/>
    <w:rsid w:val="0029169D"/>
    <w:rsid w:val="002917E9"/>
    <w:rsid w:val="002939DB"/>
    <w:rsid w:val="002A500C"/>
    <w:rsid w:val="002A61C7"/>
    <w:rsid w:val="002B5976"/>
    <w:rsid w:val="002C0F6E"/>
    <w:rsid w:val="002C6E18"/>
    <w:rsid w:val="002C6F81"/>
    <w:rsid w:val="002C7624"/>
    <w:rsid w:val="002D30C2"/>
    <w:rsid w:val="002D646C"/>
    <w:rsid w:val="002E3D0D"/>
    <w:rsid w:val="002F06C7"/>
    <w:rsid w:val="002F69F8"/>
    <w:rsid w:val="00304E46"/>
    <w:rsid w:val="00306BD5"/>
    <w:rsid w:val="00311578"/>
    <w:rsid w:val="00312654"/>
    <w:rsid w:val="003164A5"/>
    <w:rsid w:val="00316E5B"/>
    <w:rsid w:val="00321D58"/>
    <w:rsid w:val="00322D58"/>
    <w:rsid w:val="0032322A"/>
    <w:rsid w:val="0032617F"/>
    <w:rsid w:val="00333245"/>
    <w:rsid w:val="00333BCA"/>
    <w:rsid w:val="0033712A"/>
    <w:rsid w:val="0033797C"/>
    <w:rsid w:val="00344C5D"/>
    <w:rsid w:val="003452AE"/>
    <w:rsid w:val="00346119"/>
    <w:rsid w:val="00352883"/>
    <w:rsid w:val="00361D97"/>
    <w:rsid w:val="003626D2"/>
    <w:rsid w:val="003718A3"/>
    <w:rsid w:val="00372520"/>
    <w:rsid w:val="00374222"/>
    <w:rsid w:val="00374CEB"/>
    <w:rsid w:val="003752C4"/>
    <w:rsid w:val="0037794C"/>
    <w:rsid w:val="00380364"/>
    <w:rsid w:val="00382098"/>
    <w:rsid w:val="00395D82"/>
    <w:rsid w:val="003967C7"/>
    <w:rsid w:val="00396A59"/>
    <w:rsid w:val="003A2F6E"/>
    <w:rsid w:val="003A3EA6"/>
    <w:rsid w:val="003B5286"/>
    <w:rsid w:val="003B7332"/>
    <w:rsid w:val="003C3150"/>
    <w:rsid w:val="003C53BA"/>
    <w:rsid w:val="003D68A3"/>
    <w:rsid w:val="003D746A"/>
    <w:rsid w:val="003D760F"/>
    <w:rsid w:val="003D76A5"/>
    <w:rsid w:val="003E1B7B"/>
    <w:rsid w:val="003F36E4"/>
    <w:rsid w:val="003F3A64"/>
    <w:rsid w:val="003F776C"/>
    <w:rsid w:val="0040051D"/>
    <w:rsid w:val="004105E0"/>
    <w:rsid w:val="00410C75"/>
    <w:rsid w:val="00421484"/>
    <w:rsid w:val="00422E8A"/>
    <w:rsid w:val="0043262A"/>
    <w:rsid w:val="00432BA5"/>
    <w:rsid w:val="00451409"/>
    <w:rsid w:val="00460847"/>
    <w:rsid w:val="00461F58"/>
    <w:rsid w:val="00472FDA"/>
    <w:rsid w:val="0047423F"/>
    <w:rsid w:val="004775E5"/>
    <w:rsid w:val="00477D4A"/>
    <w:rsid w:val="00483669"/>
    <w:rsid w:val="004838C3"/>
    <w:rsid w:val="00483C80"/>
    <w:rsid w:val="00483CD8"/>
    <w:rsid w:val="00483F1F"/>
    <w:rsid w:val="00485B57"/>
    <w:rsid w:val="00492407"/>
    <w:rsid w:val="00495F26"/>
    <w:rsid w:val="004A2233"/>
    <w:rsid w:val="004B2C27"/>
    <w:rsid w:val="004C3FD8"/>
    <w:rsid w:val="004D0C27"/>
    <w:rsid w:val="004D3CB4"/>
    <w:rsid w:val="004D6A6C"/>
    <w:rsid w:val="004E1E1F"/>
    <w:rsid w:val="004E358A"/>
    <w:rsid w:val="004E39CA"/>
    <w:rsid w:val="004E5D8F"/>
    <w:rsid w:val="004F2C42"/>
    <w:rsid w:val="00504FFE"/>
    <w:rsid w:val="00515ABC"/>
    <w:rsid w:val="00516CDC"/>
    <w:rsid w:val="00533502"/>
    <w:rsid w:val="00534B99"/>
    <w:rsid w:val="00536012"/>
    <w:rsid w:val="005377AB"/>
    <w:rsid w:val="00542F6C"/>
    <w:rsid w:val="00554D5B"/>
    <w:rsid w:val="00555FA3"/>
    <w:rsid w:val="00562CF7"/>
    <w:rsid w:val="00563826"/>
    <w:rsid w:val="00564AC3"/>
    <w:rsid w:val="00567720"/>
    <w:rsid w:val="00571CDF"/>
    <w:rsid w:val="0057351D"/>
    <w:rsid w:val="00595676"/>
    <w:rsid w:val="005977D4"/>
    <w:rsid w:val="005A1E0E"/>
    <w:rsid w:val="005A66B1"/>
    <w:rsid w:val="005C3B2C"/>
    <w:rsid w:val="005C3C8F"/>
    <w:rsid w:val="005C468C"/>
    <w:rsid w:val="005C4932"/>
    <w:rsid w:val="005D7677"/>
    <w:rsid w:val="005E0E25"/>
    <w:rsid w:val="005E2BC9"/>
    <w:rsid w:val="005F00DF"/>
    <w:rsid w:val="005F4961"/>
    <w:rsid w:val="005F4E83"/>
    <w:rsid w:val="0061195B"/>
    <w:rsid w:val="00611CB2"/>
    <w:rsid w:val="006208E8"/>
    <w:rsid w:val="00630BC3"/>
    <w:rsid w:val="00636289"/>
    <w:rsid w:val="00640E8D"/>
    <w:rsid w:val="006428BF"/>
    <w:rsid w:val="00644CAA"/>
    <w:rsid w:val="00645DF4"/>
    <w:rsid w:val="00647DDA"/>
    <w:rsid w:val="00652416"/>
    <w:rsid w:val="00654231"/>
    <w:rsid w:val="006559D8"/>
    <w:rsid w:val="0066229D"/>
    <w:rsid w:val="00662E2F"/>
    <w:rsid w:val="00663ABF"/>
    <w:rsid w:val="0066415D"/>
    <w:rsid w:val="0066552C"/>
    <w:rsid w:val="00666409"/>
    <w:rsid w:val="0066670A"/>
    <w:rsid w:val="00675F45"/>
    <w:rsid w:val="00680327"/>
    <w:rsid w:val="00685169"/>
    <w:rsid w:val="00686B19"/>
    <w:rsid w:val="00691C0F"/>
    <w:rsid w:val="00692D96"/>
    <w:rsid w:val="006A02B5"/>
    <w:rsid w:val="006A2CD5"/>
    <w:rsid w:val="006A4D9A"/>
    <w:rsid w:val="006B0A3B"/>
    <w:rsid w:val="006C1DDA"/>
    <w:rsid w:val="006C2B32"/>
    <w:rsid w:val="006C4261"/>
    <w:rsid w:val="006C74B8"/>
    <w:rsid w:val="006D116F"/>
    <w:rsid w:val="006D2D05"/>
    <w:rsid w:val="006D33BD"/>
    <w:rsid w:val="006E2205"/>
    <w:rsid w:val="006E6081"/>
    <w:rsid w:val="006F49AD"/>
    <w:rsid w:val="00700853"/>
    <w:rsid w:val="00713536"/>
    <w:rsid w:val="007145BE"/>
    <w:rsid w:val="00722C00"/>
    <w:rsid w:val="00724B0C"/>
    <w:rsid w:val="007267E3"/>
    <w:rsid w:val="00733EC4"/>
    <w:rsid w:val="00740FEF"/>
    <w:rsid w:val="00741B13"/>
    <w:rsid w:val="0074798D"/>
    <w:rsid w:val="00750D52"/>
    <w:rsid w:val="007526B3"/>
    <w:rsid w:val="00771D79"/>
    <w:rsid w:val="00786DD2"/>
    <w:rsid w:val="00790EE1"/>
    <w:rsid w:val="007A0ACE"/>
    <w:rsid w:val="007A1137"/>
    <w:rsid w:val="007B0404"/>
    <w:rsid w:val="007B57A9"/>
    <w:rsid w:val="007C1318"/>
    <w:rsid w:val="007D0A12"/>
    <w:rsid w:val="007D7B94"/>
    <w:rsid w:val="007E76BB"/>
    <w:rsid w:val="00804680"/>
    <w:rsid w:val="00805E0E"/>
    <w:rsid w:val="008168DB"/>
    <w:rsid w:val="00821233"/>
    <w:rsid w:val="00823FD3"/>
    <w:rsid w:val="00826FC0"/>
    <w:rsid w:val="00832DCC"/>
    <w:rsid w:val="008333A3"/>
    <w:rsid w:val="00833D77"/>
    <w:rsid w:val="00835364"/>
    <w:rsid w:val="00840DA0"/>
    <w:rsid w:val="00842122"/>
    <w:rsid w:val="008540F2"/>
    <w:rsid w:val="008548BB"/>
    <w:rsid w:val="00854964"/>
    <w:rsid w:val="008557D2"/>
    <w:rsid w:val="00855C54"/>
    <w:rsid w:val="00862C40"/>
    <w:rsid w:val="008663FE"/>
    <w:rsid w:val="008731D7"/>
    <w:rsid w:val="008806D1"/>
    <w:rsid w:val="00883C5E"/>
    <w:rsid w:val="00886E5D"/>
    <w:rsid w:val="00895A4F"/>
    <w:rsid w:val="008A003F"/>
    <w:rsid w:val="008A09E7"/>
    <w:rsid w:val="008A63D6"/>
    <w:rsid w:val="008B09FB"/>
    <w:rsid w:val="008C1AC9"/>
    <w:rsid w:val="008D0DE6"/>
    <w:rsid w:val="008E0950"/>
    <w:rsid w:val="008E2C12"/>
    <w:rsid w:val="008E39A9"/>
    <w:rsid w:val="008E66FD"/>
    <w:rsid w:val="008F03DB"/>
    <w:rsid w:val="008F2D01"/>
    <w:rsid w:val="009027AB"/>
    <w:rsid w:val="009053E2"/>
    <w:rsid w:val="00913BBF"/>
    <w:rsid w:val="00923FE9"/>
    <w:rsid w:val="00924315"/>
    <w:rsid w:val="00924F13"/>
    <w:rsid w:val="0093324E"/>
    <w:rsid w:val="00934D42"/>
    <w:rsid w:val="00953DA5"/>
    <w:rsid w:val="009558DE"/>
    <w:rsid w:val="00962CC1"/>
    <w:rsid w:val="00964049"/>
    <w:rsid w:val="0097253B"/>
    <w:rsid w:val="0097481E"/>
    <w:rsid w:val="00976581"/>
    <w:rsid w:val="00986E6F"/>
    <w:rsid w:val="00990E68"/>
    <w:rsid w:val="00995593"/>
    <w:rsid w:val="00995AAE"/>
    <w:rsid w:val="00995DD2"/>
    <w:rsid w:val="009A24CD"/>
    <w:rsid w:val="009A2F47"/>
    <w:rsid w:val="009A3DDA"/>
    <w:rsid w:val="009A6FA5"/>
    <w:rsid w:val="009C5531"/>
    <w:rsid w:val="009D1805"/>
    <w:rsid w:val="009E1B63"/>
    <w:rsid w:val="009E2E7C"/>
    <w:rsid w:val="009F714D"/>
    <w:rsid w:val="00A02EFF"/>
    <w:rsid w:val="00A07580"/>
    <w:rsid w:val="00A168BE"/>
    <w:rsid w:val="00A178D6"/>
    <w:rsid w:val="00A201CF"/>
    <w:rsid w:val="00A24971"/>
    <w:rsid w:val="00A2555B"/>
    <w:rsid w:val="00A309FE"/>
    <w:rsid w:val="00A352A5"/>
    <w:rsid w:val="00A37B91"/>
    <w:rsid w:val="00A444B2"/>
    <w:rsid w:val="00A45DC7"/>
    <w:rsid w:val="00A53433"/>
    <w:rsid w:val="00A55FB5"/>
    <w:rsid w:val="00A61E5F"/>
    <w:rsid w:val="00A63954"/>
    <w:rsid w:val="00A70BB8"/>
    <w:rsid w:val="00A7118D"/>
    <w:rsid w:val="00A844FE"/>
    <w:rsid w:val="00A877EC"/>
    <w:rsid w:val="00A97F8C"/>
    <w:rsid w:val="00AA6C2F"/>
    <w:rsid w:val="00AC66FD"/>
    <w:rsid w:val="00AC78BD"/>
    <w:rsid w:val="00AD6825"/>
    <w:rsid w:val="00AD6D0D"/>
    <w:rsid w:val="00AE41C9"/>
    <w:rsid w:val="00AF252C"/>
    <w:rsid w:val="00AF34D0"/>
    <w:rsid w:val="00B02E3E"/>
    <w:rsid w:val="00B04F51"/>
    <w:rsid w:val="00B21C94"/>
    <w:rsid w:val="00B30B71"/>
    <w:rsid w:val="00B32184"/>
    <w:rsid w:val="00B32F79"/>
    <w:rsid w:val="00B3608F"/>
    <w:rsid w:val="00B42314"/>
    <w:rsid w:val="00B529E6"/>
    <w:rsid w:val="00B54A83"/>
    <w:rsid w:val="00B560F1"/>
    <w:rsid w:val="00B57014"/>
    <w:rsid w:val="00B67F4F"/>
    <w:rsid w:val="00B92DDD"/>
    <w:rsid w:val="00B97074"/>
    <w:rsid w:val="00BC36A0"/>
    <w:rsid w:val="00BC79E1"/>
    <w:rsid w:val="00BD4E89"/>
    <w:rsid w:val="00BE415D"/>
    <w:rsid w:val="00BE4324"/>
    <w:rsid w:val="00BF5CDC"/>
    <w:rsid w:val="00C059C8"/>
    <w:rsid w:val="00C126F3"/>
    <w:rsid w:val="00C12E7A"/>
    <w:rsid w:val="00C1619F"/>
    <w:rsid w:val="00C24F43"/>
    <w:rsid w:val="00C3079E"/>
    <w:rsid w:val="00C3369A"/>
    <w:rsid w:val="00C33CB6"/>
    <w:rsid w:val="00C37209"/>
    <w:rsid w:val="00C37420"/>
    <w:rsid w:val="00C37428"/>
    <w:rsid w:val="00C4398F"/>
    <w:rsid w:val="00C44121"/>
    <w:rsid w:val="00C45394"/>
    <w:rsid w:val="00C475F6"/>
    <w:rsid w:val="00C51523"/>
    <w:rsid w:val="00C532F8"/>
    <w:rsid w:val="00C5641E"/>
    <w:rsid w:val="00C66061"/>
    <w:rsid w:val="00C6714F"/>
    <w:rsid w:val="00C71EE7"/>
    <w:rsid w:val="00C72D64"/>
    <w:rsid w:val="00C73563"/>
    <w:rsid w:val="00C758AE"/>
    <w:rsid w:val="00CA66CB"/>
    <w:rsid w:val="00CC253C"/>
    <w:rsid w:val="00CD1B26"/>
    <w:rsid w:val="00CD5C2E"/>
    <w:rsid w:val="00CE3D9F"/>
    <w:rsid w:val="00CE6752"/>
    <w:rsid w:val="00CE6CBF"/>
    <w:rsid w:val="00CF157F"/>
    <w:rsid w:val="00CF1640"/>
    <w:rsid w:val="00CF4FA8"/>
    <w:rsid w:val="00CF7DDD"/>
    <w:rsid w:val="00D01561"/>
    <w:rsid w:val="00D04EE4"/>
    <w:rsid w:val="00D07274"/>
    <w:rsid w:val="00D10763"/>
    <w:rsid w:val="00D10868"/>
    <w:rsid w:val="00D139B9"/>
    <w:rsid w:val="00D178AB"/>
    <w:rsid w:val="00D21A2B"/>
    <w:rsid w:val="00D24531"/>
    <w:rsid w:val="00D44072"/>
    <w:rsid w:val="00D44321"/>
    <w:rsid w:val="00D449DB"/>
    <w:rsid w:val="00D463B8"/>
    <w:rsid w:val="00D534C5"/>
    <w:rsid w:val="00D539D3"/>
    <w:rsid w:val="00D53ACA"/>
    <w:rsid w:val="00D5598C"/>
    <w:rsid w:val="00D6157C"/>
    <w:rsid w:val="00D63101"/>
    <w:rsid w:val="00D840E0"/>
    <w:rsid w:val="00D9168B"/>
    <w:rsid w:val="00D92630"/>
    <w:rsid w:val="00DA6013"/>
    <w:rsid w:val="00DA629E"/>
    <w:rsid w:val="00DA6830"/>
    <w:rsid w:val="00DC3F05"/>
    <w:rsid w:val="00DC6427"/>
    <w:rsid w:val="00DD48FC"/>
    <w:rsid w:val="00DE102A"/>
    <w:rsid w:val="00DE619E"/>
    <w:rsid w:val="00DF0D22"/>
    <w:rsid w:val="00E02610"/>
    <w:rsid w:val="00E0564A"/>
    <w:rsid w:val="00E2185B"/>
    <w:rsid w:val="00E26787"/>
    <w:rsid w:val="00E3354A"/>
    <w:rsid w:val="00E446D6"/>
    <w:rsid w:val="00E44A8C"/>
    <w:rsid w:val="00E45226"/>
    <w:rsid w:val="00E45439"/>
    <w:rsid w:val="00E45F50"/>
    <w:rsid w:val="00E51BFE"/>
    <w:rsid w:val="00E62132"/>
    <w:rsid w:val="00E62710"/>
    <w:rsid w:val="00E63A39"/>
    <w:rsid w:val="00E64E27"/>
    <w:rsid w:val="00E659AB"/>
    <w:rsid w:val="00E71DBD"/>
    <w:rsid w:val="00E7513A"/>
    <w:rsid w:val="00E76602"/>
    <w:rsid w:val="00E82B74"/>
    <w:rsid w:val="00E83333"/>
    <w:rsid w:val="00E8425C"/>
    <w:rsid w:val="00E900B6"/>
    <w:rsid w:val="00E91418"/>
    <w:rsid w:val="00EA3089"/>
    <w:rsid w:val="00EA708A"/>
    <w:rsid w:val="00EA7D6F"/>
    <w:rsid w:val="00EB5273"/>
    <w:rsid w:val="00EB531C"/>
    <w:rsid w:val="00EC38AD"/>
    <w:rsid w:val="00EC4D77"/>
    <w:rsid w:val="00ED0F6C"/>
    <w:rsid w:val="00EE1D50"/>
    <w:rsid w:val="00EE2931"/>
    <w:rsid w:val="00EE512A"/>
    <w:rsid w:val="00EF3CEA"/>
    <w:rsid w:val="00EF4D33"/>
    <w:rsid w:val="00F02AE6"/>
    <w:rsid w:val="00F04439"/>
    <w:rsid w:val="00F12D05"/>
    <w:rsid w:val="00F21F3A"/>
    <w:rsid w:val="00F248BD"/>
    <w:rsid w:val="00F27A64"/>
    <w:rsid w:val="00F3040A"/>
    <w:rsid w:val="00F31D0D"/>
    <w:rsid w:val="00F36423"/>
    <w:rsid w:val="00F55372"/>
    <w:rsid w:val="00F56851"/>
    <w:rsid w:val="00F56918"/>
    <w:rsid w:val="00F61B7C"/>
    <w:rsid w:val="00F66A76"/>
    <w:rsid w:val="00F66C9E"/>
    <w:rsid w:val="00F723FD"/>
    <w:rsid w:val="00F84FD1"/>
    <w:rsid w:val="00F86CE6"/>
    <w:rsid w:val="00F91577"/>
    <w:rsid w:val="00F93CC2"/>
    <w:rsid w:val="00F96E80"/>
    <w:rsid w:val="00FA13DB"/>
    <w:rsid w:val="00FB57DD"/>
    <w:rsid w:val="00FB6493"/>
    <w:rsid w:val="00FC1949"/>
    <w:rsid w:val="00FC28FE"/>
    <w:rsid w:val="00FD3D28"/>
    <w:rsid w:val="00FE0CFB"/>
    <w:rsid w:val="00FE50EF"/>
    <w:rsid w:val="00FF0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6C"/>
    <w:rPr>
      <w:sz w:val="24"/>
      <w:szCs w:val="24"/>
      <w:lang w:val="en-GB"/>
    </w:rPr>
  </w:style>
  <w:style w:type="paragraph" w:styleId="Heading1">
    <w:name w:val="heading 1"/>
    <w:basedOn w:val="Normal"/>
    <w:next w:val="Normal"/>
    <w:link w:val="Heading1Char"/>
    <w:uiPriority w:val="99"/>
    <w:qFormat/>
    <w:rsid w:val="002D646C"/>
    <w:pPr>
      <w:keepNext/>
      <w:ind w:firstLine="284"/>
      <w:jc w:val="center"/>
      <w:outlineLvl w:val="0"/>
    </w:pPr>
    <w:rPr>
      <w:b/>
      <w:sz w:val="28"/>
      <w:szCs w:val="20"/>
      <w:lang w:val="lv-LV"/>
    </w:rPr>
  </w:style>
  <w:style w:type="paragraph" w:styleId="Heading2">
    <w:name w:val="heading 2"/>
    <w:basedOn w:val="Normal"/>
    <w:next w:val="Normal"/>
    <w:link w:val="Heading2Char"/>
    <w:uiPriority w:val="99"/>
    <w:qFormat/>
    <w:rsid w:val="00151E6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46C"/>
    <w:rPr>
      <w:rFonts w:cs="Times New Roman"/>
      <w:b/>
      <w:sz w:val="28"/>
      <w:lang w:eastAsia="en-US"/>
    </w:rPr>
  </w:style>
  <w:style w:type="character" w:customStyle="1" w:styleId="Heading2Char">
    <w:name w:val="Heading 2 Char"/>
    <w:basedOn w:val="DefaultParagraphFont"/>
    <w:link w:val="Heading2"/>
    <w:uiPriority w:val="99"/>
    <w:semiHidden/>
    <w:locked/>
    <w:rsid w:val="00151E64"/>
    <w:rPr>
      <w:rFonts w:ascii="Cambria" w:hAnsi="Cambria" w:cs="Times New Roman"/>
      <w:b/>
      <w:bCs/>
      <w:color w:val="4F81BD"/>
      <w:sz w:val="26"/>
      <w:szCs w:val="26"/>
      <w:lang w:val="en-GB" w:eastAsia="en-US"/>
    </w:rPr>
  </w:style>
  <w:style w:type="paragraph" w:styleId="BalloonText">
    <w:name w:val="Balloon Text"/>
    <w:basedOn w:val="Normal"/>
    <w:link w:val="BalloonTextChar"/>
    <w:uiPriority w:val="99"/>
    <w:semiHidden/>
    <w:rsid w:val="00B30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B71"/>
    <w:rPr>
      <w:rFonts w:ascii="Tahoma" w:hAnsi="Tahoma" w:cs="Tahoma"/>
      <w:sz w:val="16"/>
      <w:szCs w:val="16"/>
      <w:lang w:val="en-GB" w:eastAsia="en-US"/>
    </w:rPr>
  </w:style>
  <w:style w:type="character" w:styleId="Hyperlink">
    <w:name w:val="Hyperlink"/>
    <w:basedOn w:val="DefaultParagraphFont"/>
    <w:uiPriority w:val="99"/>
    <w:rsid w:val="00962CC1"/>
    <w:rPr>
      <w:rFonts w:cs="Times New Roman"/>
      <w:color w:val="0000FF"/>
      <w:u w:val="single"/>
    </w:rPr>
  </w:style>
  <w:style w:type="paragraph" w:styleId="ListParagraph">
    <w:name w:val="List Paragraph"/>
    <w:basedOn w:val="Normal"/>
    <w:uiPriority w:val="99"/>
    <w:qFormat/>
    <w:rsid w:val="00962CC1"/>
    <w:pPr>
      <w:ind w:left="720"/>
      <w:contextualSpacing/>
    </w:pPr>
    <w:rPr>
      <w:sz w:val="20"/>
      <w:szCs w:val="20"/>
      <w:lang w:val="lv-LV"/>
    </w:rPr>
  </w:style>
  <w:style w:type="paragraph" w:styleId="Header">
    <w:name w:val="header"/>
    <w:basedOn w:val="Normal"/>
    <w:link w:val="HeaderChar"/>
    <w:uiPriority w:val="99"/>
    <w:rsid w:val="00EA3089"/>
    <w:pPr>
      <w:tabs>
        <w:tab w:val="center" w:pos="4153"/>
        <w:tab w:val="right" w:pos="8306"/>
      </w:tabs>
    </w:pPr>
  </w:style>
  <w:style w:type="character" w:customStyle="1" w:styleId="HeaderChar">
    <w:name w:val="Header Char"/>
    <w:basedOn w:val="DefaultParagraphFont"/>
    <w:link w:val="Header"/>
    <w:uiPriority w:val="99"/>
    <w:locked/>
    <w:rsid w:val="00EA3089"/>
    <w:rPr>
      <w:rFonts w:cs="Times New Roman"/>
      <w:sz w:val="24"/>
      <w:szCs w:val="24"/>
      <w:lang w:val="en-GB" w:eastAsia="en-US"/>
    </w:rPr>
  </w:style>
  <w:style w:type="paragraph" w:styleId="Footer">
    <w:name w:val="footer"/>
    <w:basedOn w:val="Normal"/>
    <w:link w:val="FooterChar"/>
    <w:uiPriority w:val="99"/>
    <w:rsid w:val="00EA3089"/>
    <w:pPr>
      <w:tabs>
        <w:tab w:val="center" w:pos="4153"/>
        <w:tab w:val="right" w:pos="8306"/>
      </w:tabs>
    </w:pPr>
  </w:style>
  <w:style w:type="character" w:customStyle="1" w:styleId="FooterChar">
    <w:name w:val="Footer Char"/>
    <w:basedOn w:val="DefaultParagraphFont"/>
    <w:link w:val="Footer"/>
    <w:uiPriority w:val="99"/>
    <w:locked/>
    <w:rsid w:val="00EA3089"/>
    <w:rPr>
      <w:rFonts w:cs="Times New Roman"/>
      <w:sz w:val="24"/>
      <w:szCs w:val="24"/>
      <w:lang w:val="en-GB" w:eastAsia="en-US"/>
    </w:rPr>
  </w:style>
  <w:style w:type="paragraph" w:customStyle="1" w:styleId="tvhtml">
    <w:name w:val="tv_html"/>
    <w:basedOn w:val="Normal"/>
    <w:uiPriority w:val="99"/>
    <w:rsid w:val="00D463B8"/>
    <w:pPr>
      <w:spacing w:before="100" w:beforeAutospacing="1" w:after="100" w:afterAutospacing="1"/>
    </w:pPr>
    <w:rPr>
      <w:rFonts w:ascii="Verdana" w:hAnsi="Verdana"/>
      <w:sz w:val="18"/>
      <w:szCs w:val="18"/>
      <w:lang w:val="en-US" w:bidi="lo-LA"/>
    </w:rPr>
  </w:style>
  <w:style w:type="character" w:styleId="Strong">
    <w:name w:val="Strong"/>
    <w:basedOn w:val="DefaultParagraphFont"/>
    <w:uiPriority w:val="99"/>
    <w:qFormat/>
    <w:locked/>
    <w:rsid w:val="00A844FE"/>
    <w:rPr>
      <w:rFonts w:cs="Times New Roman"/>
      <w:b/>
      <w:bCs/>
    </w:rPr>
  </w:style>
  <w:style w:type="paragraph" w:styleId="NoSpacing">
    <w:name w:val="No Spacing"/>
    <w:uiPriority w:val="1"/>
    <w:qFormat/>
    <w:rsid w:val="00F91577"/>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6C"/>
    <w:rPr>
      <w:sz w:val="24"/>
      <w:szCs w:val="24"/>
      <w:lang w:val="en-GB"/>
    </w:rPr>
  </w:style>
  <w:style w:type="paragraph" w:styleId="Heading1">
    <w:name w:val="heading 1"/>
    <w:basedOn w:val="Normal"/>
    <w:next w:val="Normal"/>
    <w:link w:val="Heading1Char"/>
    <w:uiPriority w:val="99"/>
    <w:qFormat/>
    <w:rsid w:val="002D646C"/>
    <w:pPr>
      <w:keepNext/>
      <w:ind w:firstLine="284"/>
      <w:jc w:val="center"/>
      <w:outlineLvl w:val="0"/>
    </w:pPr>
    <w:rPr>
      <w:b/>
      <w:sz w:val="28"/>
      <w:szCs w:val="20"/>
      <w:lang w:val="lv-LV"/>
    </w:rPr>
  </w:style>
  <w:style w:type="paragraph" w:styleId="Heading2">
    <w:name w:val="heading 2"/>
    <w:basedOn w:val="Normal"/>
    <w:next w:val="Normal"/>
    <w:link w:val="Heading2Char"/>
    <w:uiPriority w:val="99"/>
    <w:qFormat/>
    <w:rsid w:val="00151E6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46C"/>
    <w:rPr>
      <w:rFonts w:cs="Times New Roman"/>
      <w:b/>
      <w:sz w:val="28"/>
      <w:lang w:eastAsia="en-US"/>
    </w:rPr>
  </w:style>
  <w:style w:type="character" w:customStyle="1" w:styleId="Heading2Char">
    <w:name w:val="Heading 2 Char"/>
    <w:basedOn w:val="DefaultParagraphFont"/>
    <w:link w:val="Heading2"/>
    <w:uiPriority w:val="99"/>
    <w:semiHidden/>
    <w:locked/>
    <w:rsid w:val="00151E64"/>
    <w:rPr>
      <w:rFonts w:ascii="Cambria" w:hAnsi="Cambria" w:cs="Times New Roman"/>
      <w:b/>
      <w:bCs/>
      <w:color w:val="4F81BD"/>
      <w:sz w:val="26"/>
      <w:szCs w:val="26"/>
      <w:lang w:val="en-GB" w:eastAsia="en-US"/>
    </w:rPr>
  </w:style>
  <w:style w:type="paragraph" w:styleId="BalloonText">
    <w:name w:val="Balloon Text"/>
    <w:basedOn w:val="Normal"/>
    <w:link w:val="BalloonTextChar"/>
    <w:uiPriority w:val="99"/>
    <w:semiHidden/>
    <w:rsid w:val="00B30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B71"/>
    <w:rPr>
      <w:rFonts w:ascii="Tahoma" w:hAnsi="Tahoma" w:cs="Tahoma"/>
      <w:sz w:val="16"/>
      <w:szCs w:val="16"/>
      <w:lang w:val="en-GB" w:eastAsia="en-US"/>
    </w:rPr>
  </w:style>
  <w:style w:type="character" w:styleId="Hyperlink">
    <w:name w:val="Hyperlink"/>
    <w:basedOn w:val="DefaultParagraphFont"/>
    <w:uiPriority w:val="99"/>
    <w:rsid w:val="00962CC1"/>
    <w:rPr>
      <w:rFonts w:cs="Times New Roman"/>
      <w:color w:val="0000FF"/>
      <w:u w:val="single"/>
    </w:rPr>
  </w:style>
  <w:style w:type="paragraph" w:styleId="ListParagraph">
    <w:name w:val="List Paragraph"/>
    <w:basedOn w:val="Normal"/>
    <w:uiPriority w:val="99"/>
    <w:qFormat/>
    <w:rsid w:val="00962CC1"/>
    <w:pPr>
      <w:ind w:left="720"/>
      <w:contextualSpacing/>
    </w:pPr>
    <w:rPr>
      <w:sz w:val="20"/>
      <w:szCs w:val="20"/>
      <w:lang w:val="lv-LV"/>
    </w:rPr>
  </w:style>
  <w:style w:type="paragraph" w:styleId="Header">
    <w:name w:val="header"/>
    <w:basedOn w:val="Normal"/>
    <w:link w:val="HeaderChar"/>
    <w:uiPriority w:val="99"/>
    <w:rsid w:val="00EA3089"/>
    <w:pPr>
      <w:tabs>
        <w:tab w:val="center" w:pos="4153"/>
        <w:tab w:val="right" w:pos="8306"/>
      </w:tabs>
    </w:pPr>
  </w:style>
  <w:style w:type="character" w:customStyle="1" w:styleId="HeaderChar">
    <w:name w:val="Header Char"/>
    <w:basedOn w:val="DefaultParagraphFont"/>
    <w:link w:val="Header"/>
    <w:uiPriority w:val="99"/>
    <w:locked/>
    <w:rsid w:val="00EA3089"/>
    <w:rPr>
      <w:rFonts w:cs="Times New Roman"/>
      <w:sz w:val="24"/>
      <w:szCs w:val="24"/>
      <w:lang w:val="en-GB" w:eastAsia="en-US"/>
    </w:rPr>
  </w:style>
  <w:style w:type="paragraph" w:styleId="Footer">
    <w:name w:val="footer"/>
    <w:basedOn w:val="Normal"/>
    <w:link w:val="FooterChar"/>
    <w:uiPriority w:val="99"/>
    <w:rsid w:val="00EA3089"/>
    <w:pPr>
      <w:tabs>
        <w:tab w:val="center" w:pos="4153"/>
        <w:tab w:val="right" w:pos="8306"/>
      </w:tabs>
    </w:pPr>
  </w:style>
  <w:style w:type="character" w:customStyle="1" w:styleId="FooterChar">
    <w:name w:val="Footer Char"/>
    <w:basedOn w:val="DefaultParagraphFont"/>
    <w:link w:val="Footer"/>
    <w:uiPriority w:val="99"/>
    <w:locked/>
    <w:rsid w:val="00EA3089"/>
    <w:rPr>
      <w:rFonts w:cs="Times New Roman"/>
      <w:sz w:val="24"/>
      <w:szCs w:val="24"/>
      <w:lang w:val="en-GB" w:eastAsia="en-US"/>
    </w:rPr>
  </w:style>
  <w:style w:type="paragraph" w:customStyle="1" w:styleId="tvhtml">
    <w:name w:val="tv_html"/>
    <w:basedOn w:val="Normal"/>
    <w:uiPriority w:val="99"/>
    <w:rsid w:val="00D463B8"/>
    <w:pPr>
      <w:spacing w:before="100" w:beforeAutospacing="1" w:after="100" w:afterAutospacing="1"/>
    </w:pPr>
    <w:rPr>
      <w:rFonts w:ascii="Verdana" w:hAnsi="Verdana"/>
      <w:sz w:val="18"/>
      <w:szCs w:val="18"/>
      <w:lang w:val="en-US" w:bidi="lo-LA"/>
    </w:rPr>
  </w:style>
  <w:style w:type="character" w:styleId="Strong">
    <w:name w:val="Strong"/>
    <w:basedOn w:val="DefaultParagraphFont"/>
    <w:uiPriority w:val="99"/>
    <w:qFormat/>
    <w:locked/>
    <w:rsid w:val="00A844FE"/>
    <w:rPr>
      <w:rFonts w:cs="Times New Roman"/>
      <w:b/>
      <w:bCs/>
    </w:rPr>
  </w:style>
  <w:style w:type="paragraph" w:styleId="NoSpacing">
    <w:name w:val="No Spacing"/>
    <w:uiPriority w:val="1"/>
    <w:qFormat/>
    <w:rsid w:val="00F91577"/>
    <w:rPr>
      <w:lang w:val="lv-LV"/>
    </w:rPr>
  </w:style>
</w:styles>
</file>

<file path=word/webSettings.xml><?xml version="1.0" encoding="utf-8"?>
<w:webSettings xmlns:r="http://schemas.openxmlformats.org/officeDocument/2006/relationships" xmlns:w="http://schemas.openxmlformats.org/wordprocessingml/2006/main">
  <w:divs>
    <w:div w:id="572668184">
      <w:bodyDiv w:val="1"/>
      <w:marLeft w:val="0"/>
      <w:marRight w:val="0"/>
      <w:marTop w:val="0"/>
      <w:marBottom w:val="0"/>
      <w:divBdr>
        <w:top w:val="none" w:sz="0" w:space="0" w:color="auto"/>
        <w:left w:val="none" w:sz="0" w:space="0" w:color="auto"/>
        <w:bottom w:val="none" w:sz="0" w:space="0" w:color="auto"/>
        <w:right w:val="none" w:sz="0" w:space="0" w:color="auto"/>
      </w:divBdr>
    </w:div>
    <w:div w:id="955063634">
      <w:bodyDiv w:val="1"/>
      <w:marLeft w:val="0"/>
      <w:marRight w:val="0"/>
      <w:marTop w:val="0"/>
      <w:marBottom w:val="0"/>
      <w:divBdr>
        <w:top w:val="none" w:sz="0" w:space="0" w:color="auto"/>
        <w:left w:val="none" w:sz="0" w:space="0" w:color="auto"/>
        <w:bottom w:val="none" w:sz="0" w:space="0" w:color="auto"/>
        <w:right w:val="none" w:sz="0" w:space="0" w:color="auto"/>
      </w:divBdr>
    </w:div>
    <w:div w:id="1392773506">
      <w:marLeft w:val="45"/>
      <w:marRight w:val="45"/>
      <w:marTop w:val="90"/>
      <w:marBottom w:val="90"/>
      <w:divBdr>
        <w:top w:val="none" w:sz="0" w:space="0" w:color="auto"/>
        <w:left w:val="none" w:sz="0" w:space="0" w:color="auto"/>
        <w:bottom w:val="none" w:sz="0" w:space="0" w:color="auto"/>
        <w:right w:val="none" w:sz="0" w:space="0" w:color="auto"/>
      </w:divBdr>
      <w:divsChild>
        <w:div w:id="1392773509">
          <w:marLeft w:val="0"/>
          <w:marRight w:val="0"/>
          <w:marTop w:val="240"/>
          <w:marBottom w:val="0"/>
          <w:divBdr>
            <w:top w:val="none" w:sz="0" w:space="0" w:color="auto"/>
            <w:left w:val="none" w:sz="0" w:space="0" w:color="auto"/>
            <w:bottom w:val="none" w:sz="0" w:space="0" w:color="auto"/>
            <w:right w:val="none" w:sz="0" w:space="0" w:color="auto"/>
          </w:divBdr>
        </w:div>
      </w:divsChild>
    </w:div>
    <w:div w:id="1392773507">
      <w:marLeft w:val="0"/>
      <w:marRight w:val="0"/>
      <w:marTop w:val="0"/>
      <w:marBottom w:val="0"/>
      <w:divBdr>
        <w:top w:val="none" w:sz="0" w:space="0" w:color="auto"/>
        <w:left w:val="none" w:sz="0" w:space="0" w:color="auto"/>
        <w:bottom w:val="none" w:sz="0" w:space="0" w:color="auto"/>
        <w:right w:val="none" w:sz="0" w:space="0" w:color="auto"/>
      </w:divBdr>
    </w:div>
    <w:div w:id="1392773510">
      <w:marLeft w:val="0"/>
      <w:marRight w:val="0"/>
      <w:marTop w:val="0"/>
      <w:marBottom w:val="0"/>
      <w:divBdr>
        <w:top w:val="none" w:sz="0" w:space="0" w:color="auto"/>
        <w:left w:val="none" w:sz="0" w:space="0" w:color="auto"/>
        <w:bottom w:val="none" w:sz="0" w:space="0" w:color="auto"/>
        <w:right w:val="none" w:sz="0" w:space="0" w:color="auto"/>
      </w:divBdr>
    </w:div>
    <w:div w:id="1392773511">
      <w:marLeft w:val="45"/>
      <w:marRight w:val="45"/>
      <w:marTop w:val="90"/>
      <w:marBottom w:val="90"/>
      <w:divBdr>
        <w:top w:val="none" w:sz="0" w:space="0" w:color="auto"/>
        <w:left w:val="none" w:sz="0" w:space="0" w:color="auto"/>
        <w:bottom w:val="none" w:sz="0" w:space="0" w:color="auto"/>
        <w:right w:val="none" w:sz="0" w:space="0" w:color="auto"/>
      </w:divBdr>
      <w:divsChild>
        <w:div w:id="139277350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4ED6B-836D-4741-8F04-F22CA12D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1487</Words>
  <Characters>11010</Characters>
  <Application>Microsoft Office Word</Application>
  <DocSecurity>0</DocSecurity>
  <Lines>215</Lines>
  <Paragraphs>52</Paragraphs>
  <ScaleCrop>false</ScaleCrop>
  <HeadingPairs>
    <vt:vector size="2" baseType="variant">
      <vt:variant>
        <vt:lpstr>Title</vt:lpstr>
      </vt:variant>
      <vt:variant>
        <vt:i4>1</vt:i4>
      </vt:variant>
    </vt:vector>
  </HeadingPairs>
  <TitlesOfParts>
    <vt:vector size="1" baseType="lpstr">
      <vt:lpstr>Ministru kabineta atbildes vēstules projekts „„Par nepieciešamo papildu finansējumu veselības aprūpes nozarei 2013.gadā”</vt:lpstr>
    </vt:vector>
  </TitlesOfParts>
  <Company>Veselības ministrija</Company>
  <LinksUpToDate>false</LinksUpToDate>
  <CharactersWithSpaces>12445</CharactersWithSpaces>
  <SharedDoc>false</SharedDoc>
  <HLinks>
    <vt:vector size="12" baseType="variant">
      <vt:variant>
        <vt:i4>8126555</vt:i4>
      </vt:variant>
      <vt:variant>
        <vt:i4>3</vt:i4>
      </vt:variant>
      <vt:variant>
        <vt:i4>0</vt:i4>
      </vt:variant>
      <vt:variant>
        <vt:i4>5</vt:i4>
      </vt:variant>
      <vt:variant>
        <vt:lpwstr>mailto:Arturs.Pusmucans@vmnvd.gov.lv</vt:lpwstr>
      </vt:variant>
      <vt:variant>
        <vt:lpwstr/>
      </vt:variant>
      <vt:variant>
        <vt:i4>8257658</vt:i4>
      </vt:variant>
      <vt:variant>
        <vt:i4>0</vt:i4>
      </vt:variant>
      <vt:variant>
        <vt:i4>0</vt:i4>
      </vt:variant>
      <vt:variant>
        <vt:i4>5</vt:i4>
      </vt:variant>
      <vt:variant>
        <vt:lpwstr>http://likumi.lv/doc.php?id=150766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projekts „„Par nepieciešamo papildu finansējumu veselības aprūpes nozarei 2013.gadā”</dc:title>
  <dc:subject>Vēstules projekts</dc:subject>
  <dc:creator>Žanete Zvaigzne</dc:creator>
  <dc:description>tel.67876041, Budžeta un investīciju departamenta Budžeta plānošanas nodaļa, zanete.zvaigzne@vm.gov.lv</dc:description>
  <cp:lastModifiedBy>zzvaigzne</cp:lastModifiedBy>
  <cp:revision>7</cp:revision>
  <cp:lastPrinted>2013-08-30T07:31:00Z</cp:lastPrinted>
  <dcterms:created xsi:type="dcterms:W3CDTF">2013-08-30T08:15:00Z</dcterms:created>
  <dcterms:modified xsi:type="dcterms:W3CDTF">2013-08-30T08:28:00Z</dcterms:modified>
</cp:coreProperties>
</file>