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E450" w14:textId="77777777" w:rsidR="003E2130" w:rsidRPr="00F5458C" w:rsidRDefault="003E2130" w:rsidP="003E213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9448849" w14:textId="77777777" w:rsidR="003E2130" w:rsidRPr="00F5458C" w:rsidRDefault="003E2130" w:rsidP="003E2130">
      <w:pPr>
        <w:tabs>
          <w:tab w:val="left" w:pos="6663"/>
        </w:tabs>
        <w:rPr>
          <w:sz w:val="28"/>
          <w:szCs w:val="28"/>
        </w:rPr>
      </w:pPr>
    </w:p>
    <w:p w14:paraId="152D2D57" w14:textId="77777777" w:rsidR="003E2130" w:rsidRPr="00F5458C" w:rsidRDefault="003E2130" w:rsidP="003E2130">
      <w:pPr>
        <w:tabs>
          <w:tab w:val="left" w:pos="6663"/>
        </w:tabs>
        <w:rPr>
          <w:sz w:val="28"/>
          <w:szCs w:val="28"/>
        </w:rPr>
      </w:pPr>
    </w:p>
    <w:p w14:paraId="01312DC3" w14:textId="77777777" w:rsidR="003E2130" w:rsidRPr="00F5458C" w:rsidRDefault="003E2130" w:rsidP="003E2130">
      <w:pPr>
        <w:tabs>
          <w:tab w:val="left" w:pos="6663"/>
        </w:tabs>
        <w:rPr>
          <w:sz w:val="28"/>
          <w:szCs w:val="28"/>
        </w:rPr>
      </w:pPr>
    </w:p>
    <w:p w14:paraId="56B54C6F" w14:textId="77777777" w:rsidR="003E2130" w:rsidRPr="00F5458C" w:rsidRDefault="003E2130" w:rsidP="003E2130">
      <w:pPr>
        <w:tabs>
          <w:tab w:val="left" w:pos="6663"/>
        </w:tabs>
        <w:rPr>
          <w:sz w:val="28"/>
          <w:szCs w:val="28"/>
        </w:rPr>
      </w:pPr>
    </w:p>
    <w:p w14:paraId="044219D1" w14:textId="582D9F13" w:rsidR="003E2130" w:rsidRPr="003E2130" w:rsidRDefault="003E2130" w:rsidP="003E2130">
      <w:pPr>
        <w:tabs>
          <w:tab w:val="left" w:pos="6663"/>
        </w:tabs>
        <w:rPr>
          <w:sz w:val="28"/>
          <w:szCs w:val="28"/>
        </w:rPr>
      </w:pPr>
      <w:r w:rsidRPr="003E2130">
        <w:rPr>
          <w:sz w:val="28"/>
          <w:szCs w:val="28"/>
        </w:rPr>
        <w:t>2013</w:t>
      </w:r>
      <w:proofErr w:type="gramStart"/>
      <w:r w:rsidRPr="003E2130">
        <w:rPr>
          <w:sz w:val="28"/>
          <w:szCs w:val="28"/>
        </w:rPr>
        <w:t>.gada</w:t>
      </w:r>
      <w:proofErr w:type="gramEnd"/>
      <w:r w:rsidRPr="003E2130">
        <w:rPr>
          <w:sz w:val="28"/>
          <w:szCs w:val="28"/>
        </w:rPr>
        <w:t xml:space="preserve"> </w:t>
      </w:r>
      <w:r w:rsidR="006938E2">
        <w:rPr>
          <w:sz w:val="28"/>
          <w:szCs w:val="28"/>
        </w:rPr>
        <w:t>2.jūlijā</w:t>
      </w:r>
      <w:r w:rsidRPr="003E2130">
        <w:rPr>
          <w:sz w:val="28"/>
          <w:szCs w:val="28"/>
        </w:rPr>
        <w:tab/>
      </w:r>
      <w:proofErr w:type="spellStart"/>
      <w:r w:rsidRPr="003E2130">
        <w:rPr>
          <w:sz w:val="28"/>
          <w:szCs w:val="28"/>
        </w:rPr>
        <w:t>Noteikumi</w:t>
      </w:r>
      <w:proofErr w:type="spellEnd"/>
      <w:r w:rsidRPr="003E2130">
        <w:rPr>
          <w:sz w:val="28"/>
          <w:szCs w:val="28"/>
        </w:rPr>
        <w:t xml:space="preserve"> Nr.</w:t>
      </w:r>
      <w:r w:rsidR="006938E2">
        <w:rPr>
          <w:sz w:val="28"/>
          <w:szCs w:val="28"/>
        </w:rPr>
        <w:t>354</w:t>
      </w:r>
    </w:p>
    <w:p w14:paraId="76E51D8C" w14:textId="143CADC7" w:rsidR="003E2130" w:rsidRPr="00F5458C" w:rsidRDefault="003E2130" w:rsidP="003E2130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</w:t>
      </w:r>
      <w:r w:rsidR="006938E2">
        <w:rPr>
          <w:sz w:val="28"/>
          <w:szCs w:val="28"/>
        </w:rPr>
        <w:t>37</w:t>
      </w:r>
      <w:r w:rsidRPr="00F5458C">
        <w:rPr>
          <w:sz w:val="28"/>
          <w:szCs w:val="28"/>
        </w:rPr>
        <w:t xml:space="preserve">  </w:t>
      </w:r>
      <w:r w:rsidR="006938E2">
        <w:rPr>
          <w:sz w:val="28"/>
          <w:szCs w:val="28"/>
        </w:rPr>
        <w:t>16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B074E7D" w14:textId="2BD38354" w:rsidR="003E2130" w:rsidRPr="00FA01E8" w:rsidRDefault="003E2130" w:rsidP="003E2130">
      <w:pPr>
        <w:pStyle w:val="Heading1"/>
        <w:jc w:val="center"/>
        <w:rPr>
          <w:b w:val="0"/>
          <w:noProof/>
          <w:lang w:val="lv-LV"/>
        </w:rPr>
      </w:pPr>
    </w:p>
    <w:p w14:paraId="712F3A39" w14:textId="125AEF26" w:rsidR="00B50EF1" w:rsidRDefault="00D855E5" w:rsidP="003E2130">
      <w:pPr>
        <w:pStyle w:val="Heading1"/>
        <w:jc w:val="center"/>
        <w:rPr>
          <w:rFonts w:ascii="Arial Unicode MS" w:eastAsia="Arial Unicode MS" w:hAnsi="Arial Unicode MS" w:cs="Arial Unicode MS"/>
          <w:noProof/>
          <w:lang w:val="lv-LV"/>
        </w:rPr>
      </w:pPr>
      <w:r>
        <w:rPr>
          <w:noProof/>
          <w:lang w:val="lv-LV"/>
        </w:rPr>
        <w:t>K</w:t>
      </w:r>
      <w:r w:rsidR="00B50EF1">
        <w:rPr>
          <w:noProof/>
          <w:lang w:val="lv-LV"/>
        </w:rPr>
        <w:t xml:space="preserve">osmētikas līdzekļu būtisko prasību </w:t>
      </w:r>
      <w:r w:rsidR="00CA525A">
        <w:rPr>
          <w:noProof/>
          <w:lang w:val="lv-LV"/>
        </w:rPr>
        <w:t>nodrošināšanas</w:t>
      </w:r>
      <w:r w:rsidR="00B50EF1">
        <w:rPr>
          <w:noProof/>
          <w:lang w:val="lv-LV"/>
        </w:rPr>
        <w:t xml:space="preserve"> </w:t>
      </w:r>
      <w:r>
        <w:rPr>
          <w:noProof/>
          <w:lang w:val="lv-LV"/>
        </w:rPr>
        <w:t>kārtība</w:t>
      </w:r>
    </w:p>
    <w:p w14:paraId="712F3A3A" w14:textId="77777777" w:rsidR="00B50EF1" w:rsidRDefault="00B50EF1" w:rsidP="003E2130">
      <w:pPr>
        <w:jc w:val="right"/>
        <w:rPr>
          <w:sz w:val="28"/>
          <w:lang w:val="lv-LV"/>
        </w:rPr>
      </w:pPr>
    </w:p>
    <w:p w14:paraId="712F3A3B" w14:textId="77777777" w:rsidR="00C022A9" w:rsidRDefault="00B50EF1" w:rsidP="003E2130">
      <w:pPr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 xml:space="preserve">Izdoti saskaņā ar likuma </w:t>
      </w:r>
    </w:p>
    <w:p w14:paraId="712F3A3C" w14:textId="5E905B05" w:rsidR="00CA525A" w:rsidRDefault="003E2130" w:rsidP="003E2130">
      <w:pPr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>"</w:t>
      </w:r>
      <w:r w:rsidR="00B50EF1">
        <w:rPr>
          <w:noProof/>
          <w:sz w:val="28"/>
          <w:lang w:val="lv-LV"/>
        </w:rPr>
        <w:t>Par atbilstības novērtēšanu</w:t>
      </w:r>
      <w:r>
        <w:rPr>
          <w:noProof/>
          <w:sz w:val="28"/>
          <w:lang w:val="lv-LV"/>
        </w:rPr>
        <w:t>"</w:t>
      </w:r>
      <w:r w:rsidR="00B50EF1">
        <w:rPr>
          <w:noProof/>
          <w:sz w:val="28"/>
          <w:lang w:val="lv-LV"/>
        </w:rPr>
        <w:t xml:space="preserve"> </w:t>
      </w:r>
    </w:p>
    <w:p w14:paraId="712F3A3D" w14:textId="37A5FC5E" w:rsidR="00CA525A" w:rsidRDefault="00B50EF1" w:rsidP="003E2130">
      <w:pPr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>7.pant</w:t>
      </w:r>
      <w:r w:rsidR="00CA525A">
        <w:rPr>
          <w:noProof/>
          <w:sz w:val="28"/>
          <w:lang w:val="lv-LV"/>
        </w:rPr>
        <w:t>a pirmo</w:t>
      </w:r>
      <w:r w:rsidR="00BA37E7">
        <w:rPr>
          <w:noProof/>
          <w:sz w:val="28"/>
          <w:lang w:val="lv-LV"/>
        </w:rPr>
        <w:t xml:space="preserve"> </w:t>
      </w:r>
      <w:r w:rsidR="00CA525A">
        <w:rPr>
          <w:noProof/>
          <w:sz w:val="28"/>
          <w:lang w:val="lv-LV"/>
        </w:rPr>
        <w:t>daļu</w:t>
      </w:r>
      <w:r w:rsidR="00FA01E8" w:rsidRPr="00FA01E8">
        <w:rPr>
          <w:noProof/>
          <w:sz w:val="28"/>
          <w:lang w:val="lv-LV"/>
        </w:rPr>
        <w:t xml:space="preserve"> </w:t>
      </w:r>
      <w:r w:rsidR="00FA01E8">
        <w:rPr>
          <w:noProof/>
          <w:sz w:val="28"/>
          <w:lang w:val="lv-LV"/>
        </w:rPr>
        <w:t>un</w:t>
      </w:r>
    </w:p>
    <w:p w14:paraId="712F3A3E" w14:textId="75CF6714" w:rsidR="00CA525A" w:rsidRDefault="00CA525A" w:rsidP="003E2130">
      <w:pPr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>Patērētāju tiesību aizsardzības likuma</w:t>
      </w:r>
    </w:p>
    <w:p w14:paraId="712F3A3F" w14:textId="30B26EAA" w:rsidR="00C022A9" w:rsidRDefault="00CA525A" w:rsidP="003E2130">
      <w:pPr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>21.panta pirmo daļu</w:t>
      </w:r>
    </w:p>
    <w:p w14:paraId="712F3A40" w14:textId="77777777" w:rsidR="00B50EF1" w:rsidRDefault="00B50EF1" w:rsidP="003E2130">
      <w:pPr>
        <w:jc w:val="right"/>
        <w:rPr>
          <w:noProof/>
          <w:sz w:val="28"/>
          <w:lang w:val="lv-LV"/>
        </w:rPr>
      </w:pPr>
    </w:p>
    <w:p w14:paraId="712F3A43" w14:textId="7C5CAA18" w:rsidR="00D855E5" w:rsidRPr="00583391" w:rsidRDefault="00B50EF1" w:rsidP="003E2130">
      <w:pPr>
        <w:pStyle w:val="NoSpacing"/>
        <w:rPr>
          <w:szCs w:val="28"/>
        </w:rPr>
      </w:pPr>
      <w:bookmarkStart w:id="1" w:name="p1"/>
      <w:bookmarkEnd w:id="1"/>
      <w:proofErr w:type="gramStart"/>
      <w:r w:rsidRPr="00583391">
        <w:rPr>
          <w:szCs w:val="28"/>
        </w:rPr>
        <w:t>1.</w:t>
      </w:r>
      <w:r w:rsidR="00FA01E8">
        <w:rPr>
          <w:szCs w:val="28"/>
        </w:rPr>
        <w:t> </w:t>
      </w:r>
      <w:r w:rsidRPr="00583391">
        <w:rPr>
          <w:szCs w:val="28"/>
        </w:rPr>
        <w:t>Noteikumi</w:t>
      </w:r>
      <w:proofErr w:type="gramEnd"/>
      <w:r w:rsidRPr="00583391">
        <w:rPr>
          <w:szCs w:val="28"/>
        </w:rPr>
        <w:t xml:space="preserve"> no</w:t>
      </w:r>
      <w:r w:rsidR="00BA37E7" w:rsidRPr="00583391">
        <w:rPr>
          <w:szCs w:val="28"/>
        </w:rPr>
        <w:t xml:space="preserve">saka kosmētikas līdzekļu būtiskās prasības un to ievērošanas uzraudzības mehānismu, </w:t>
      </w:r>
      <w:r w:rsidR="00A866E4">
        <w:rPr>
          <w:szCs w:val="28"/>
        </w:rPr>
        <w:t>kā arī to</w:t>
      </w:r>
      <w:r w:rsidR="00BA37E7" w:rsidRPr="00583391">
        <w:rPr>
          <w:szCs w:val="28"/>
        </w:rPr>
        <w:t xml:space="preserve"> kosmētikas līdzekļu</w:t>
      </w:r>
      <w:r w:rsidR="00A866E4" w:rsidRPr="00A866E4">
        <w:rPr>
          <w:szCs w:val="28"/>
        </w:rPr>
        <w:t xml:space="preserve"> </w:t>
      </w:r>
      <w:r w:rsidR="00A866E4" w:rsidRPr="00583391">
        <w:rPr>
          <w:szCs w:val="28"/>
        </w:rPr>
        <w:t>marķēšanas kārtību</w:t>
      </w:r>
      <w:r w:rsidR="00BA37E7" w:rsidRPr="00583391">
        <w:rPr>
          <w:szCs w:val="28"/>
        </w:rPr>
        <w:t>, kuriem nepieciešams sevišķs marķējums</w:t>
      </w:r>
      <w:r w:rsidR="00CA525A" w:rsidRPr="00583391">
        <w:rPr>
          <w:szCs w:val="28"/>
        </w:rPr>
        <w:t>.</w:t>
      </w:r>
      <w:r w:rsidRPr="00583391">
        <w:rPr>
          <w:szCs w:val="28"/>
        </w:rPr>
        <w:t xml:space="preserve"> </w:t>
      </w:r>
    </w:p>
    <w:p w14:paraId="712F3A44" w14:textId="77777777" w:rsidR="00B50EF1" w:rsidRPr="00583391" w:rsidRDefault="00B50EF1" w:rsidP="003E2130">
      <w:pPr>
        <w:pStyle w:val="NoSpacing"/>
        <w:rPr>
          <w:szCs w:val="28"/>
        </w:rPr>
      </w:pPr>
      <w:bookmarkStart w:id="2" w:name="p2"/>
      <w:bookmarkEnd w:id="2"/>
    </w:p>
    <w:p w14:paraId="712F3A45" w14:textId="20D04EE2" w:rsidR="00041122" w:rsidRPr="00583391" w:rsidRDefault="00041122" w:rsidP="003E2130">
      <w:pPr>
        <w:pStyle w:val="NoSpacing"/>
        <w:rPr>
          <w:szCs w:val="28"/>
        </w:rPr>
      </w:pPr>
      <w:r w:rsidRPr="00583391">
        <w:rPr>
          <w:szCs w:val="28"/>
        </w:rPr>
        <w:t>2.</w:t>
      </w:r>
      <w:r w:rsidR="00FA01E8">
        <w:rPr>
          <w:szCs w:val="28"/>
        </w:rPr>
        <w:t> </w:t>
      </w:r>
      <w:r w:rsidRPr="00583391">
        <w:rPr>
          <w:szCs w:val="28"/>
        </w:rPr>
        <w:t>Juridiskā vai fiziskā persona, kas laiž tirgū vai dara pieejamus tirgū kosmētikas līdzekļus, ievēro Eiropas Parlamenta un Padomes 2009.gada 30.novembra Regulā (EK) Nr.</w:t>
      </w:r>
      <w:hyperlink r:id="rId9" w:tgtFrame="_blank" w:tooltip="Atvērt regulu latviešu valodā" w:history="1">
        <w:r w:rsidRPr="00583391">
          <w:rPr>
            <w:rStyle w:val="Hyperlink"/>
            <w:color w:val="auto"/>
            <w:szCs w:val="28"/>
            <w:u w:val="none"/>
          </w:rPr>
          <w:t>1223/2009</w:t>
        </w:r>
      </w:hyperlink>
      <w:r w:rsidRPr="00583391">
        <w:rPr>
          <w:szCs w:val="28"/>
        </w:rPr>
        <w:t xml:space="preserve"> par kosmētikas līdzekļiem (turpmāk – regula</w:t>
      </w:r>
      <w:r w:rsidR="003C6F21" w:rsidRPr="003C6F21">
        <w:rPr>
          <w:szCs w:val="28"/>
        </w:rPr>
        <w:t xml:space="preserve"> </w:t>
      </w:r>
      <w:r w:rsidR="003C6F21" w:rsidRPr="00583391">
        <w:rPr>
          <w:szCs w:val="28"/>
        </w:rPr>
        <w:t>Nr.</w:t>
      </w:r>
      <w:hyperlink r:id="rId10" w:tgtFrame="_blank" w:tooltip="Atvērt regulu latviešu valodā" w:history="1">
        <w:r w:rsidR="003C6F21" w:rsidRPr="00583391">
          <w:rPr>
            <w:rStyle w:val="Hyperlink"/>
            <w:color w:val="auto"/>
            <w:szCs w:val="28"/>
            <w:u w:val="none"/>
          </w:rPr>
          <w:t>1223/2009</w:t>
        </w:r>
      </w:hyperlink>
      <w:r w:rsidRPr="00583391">
        <w:rPr>
          <w:szCs w:val="28"/>
        </w:rPr>
        <w:t>) noteiktās prasības.</w:t>
      </w:r>
    </w:p>
    <w:p w14:paraId="712F3A46" w14:textId="48C0E5F3" w:rsidR="00B50EF1" w:rsidRPr="00583391" w:rsidRDefault="00B50EF1" w:rsidP="003E2130">
      <w:pPr>
        <w:pStyle w:val="NoSpacing"/>
        <w:rPr>
          <w:szCs w:val="28"/>
        </w:rPr>
      </w:pPr>
    </w:p>
    <w:p w14:paraId="712F3A47" w14:textId="3FE26523" w:rsidR="00547C54" w:rsidRPr="00583391" w:rsidRDefault="00DA5556" w:rsidP="003E2130">
      <w:pPr>
        <w:pStyle w:val="NoSpacing"/>
        <w:rPr>
          <w:szCs w:val="28"/>
        </w:rPr>
      </w:pPr>
      <w:bookmarkStart w:id="3" w:name="p4"/>
      <w:bookmarkEnd w:id="3"/>
      <w:r w:rsidRPr="00583391">
        <w:rPr>
          <w:szCs w:val="28"/>
        </w:rPr>
        <w:t>3</w:t>
      </w:r>
      <w:r w:rsidR="00B50EF1" w:rsidRPr="00583391">
        <w:rPr>
          <w:szCs w:val="28"/>
        </w:rPr>
        <w:t>.</w:t>
      </w:r>
      <w:r w:rsidR="00554E10">
        <w:rPr>
          <w:szCs w:val="28"/>
        </w:rPr>
        <w:t> </w:t>
      </w:r>
      <w:r w:rsidR="00B50EF1" w:rsidRPr="00583391">
        <w:rPr>
          <w:szCs w:val="28"/>
        </w:rPr>
        <w:t>Veselības inspekcija ir kompetentā iestāde</w:t>
      </w:r>
      <w:r w:rsidR="006968B5" w:rsidRPr="00583391">
        <w:rPr>
          <w:szCs w:val="28"/>
        </w:rPr>
        <w:t xml:space="preserve"> saskaņā ar</w:t>
      </w:r>
      <w:r w:rsidR="00547C54" w:rsidRPr="00583391">
        <w:rPr>
          <w:szCs w:val="28"/>
        </w:rPr>
        <w:t xml:space="preserve"> </w:t>
      </w:r>
      <w:r w:rsidR="00B00431" w:rsidRPr="00583391">
        <w:rPr>
          <w:szCs w:val="28"/>
        </w:rPr>
        <w:t>r</w:t>
      </w:r>
      <w:r w:rsidR="00547C54" w:rsidRPr="00583391">
        <w:rPr>
          <w:szCs w:val="28"/>
        </w:rPr>
        <w:t>egul</w:t>
      </w:r>
      <w:r w:rsidR="006968B5" w:rsidRPr="00583391">
        <w:rPr>
          <w:szCs w:val="28"/>
        </w:rPr>
        <w:t>as</w:t>
      </w:r>
      <w:r w:rsidR="00D7596A" w:rsidRPr="00583391">
        <w:rPr>
          <w:szCs w:val="28"/>
        </w:rPr>
        <w:t xml:space="preserve"> </w:t>
      </w:r>
      <w:r w:rsidR="00554E10">
        <w:rPr>
          <w:szCs w:val="28"/>
        </w:rPr>
        <w:t>Nr.</w:t>
      </w:r>
      <w:hyperlink r:id="rId11" w:tgtFrame="_blank" w:tooltip="Atvērt regulu latviešu valodā" w:history="1">
        <w:r w:rsidR="003C6F21" w:rsidRPr="00583391">
          <w:rPr>
            <w:rStyle w:val="Hyperlink"/>
            <w:color w:val="auto"/>
            <w:szCs w:val="28"/>
            <w:u w:val="none"/>
          </w:rPr>
          <w:t>1223/2009</w:t>
        </w:r>
      </w:hyperlink>
      <w:r w:rsidR="003C6F21">
        <w:t xml:space="preserve"> </w:t>
      </w:r>
      <w:r w:rsidR="00585E04" w:rsidRPr="00583391">
        <w:rPr>
          <w:szCs w:val="28"/>
        </w:rPr>
        <w:t>34.panta pirmo punktu</w:t>
      </w:r>
      <w:r w:rsidR="00884BF2" w:rsidRPr="00583391">
        <w:rPr>
          <w:szCs w:val="28"/>
        </w:rPr>
        <w:t xml:space="preserve"> </w:t>
      </w:r>
      <w:r w:rsidR="00547C54" w:rsidRPr="00583391">
        <w:rPr>
          <w:szCs w:val="28"/>
        </w:rPr>
        <w:t xml:space="preserve">(turpmāk – kompetentā </w:t>
      </w:r>
      <w:r w:rsidR="006968B5" w:rsidRPr="00583391">
        <w:rPr>
          <w:szCs w:val="28"/>
        </w:rPr>
        <w:t>iestāde</w:t>
      </w:r>
      <w:r w:rsidR="00547C54" w:rsidRPr="00583391">
        <w:rPr>
          <w:szCs w:val="28"/>
        </w:rPr>
        <w:t>)</w:t>
      </w:r>
      <w:r w:rsidR="00554E10">
        <w:rPr>
          <w:szCs w:val="28"/>
        </w:rPr>
        <w:t xml:space="preserve">, </w:t>
      </w:r>
      <w:r w:rsidR="006719B4" w:rsidRPr="00583391">
        <w:rPr>
          <w:szCs w:val="28"/>
        </w:rPr>
        <w:t>un</w:t>
      </w:r>
      <w:r w:rsidR="006719B4">
        <w:rPr>
          <w:szCs w:val="28"/>
        </w:rPr>
        <w:t xml:space="preserve"> </w:t>
      </w:r>
      <w:r w:rsidR="00554E10">
        <w:rPr>
          <w:szCs w:val="28"/>
        </w:rPr>
        <w:t>tā</w:t>
      </w:r>
      <w:r w:rsidR="00884BF2" w:rsidRPr="00583391">
        <w:rPr>
          <w:szCs w:val="28"/>
        </w:rPr>
        <w:t xml:space="preserve"> nodrošina</w:t>
      </w:r>
      <w:r w:rsidR="00585E04" w:rsidRPr="00583391">
        <w:rPr>
          <w:szCs w:val="28"/>
        </w:rPr>
        <w:t xml:space="preserve"> tirgus iekšējo kontroli</w:t>
      </w:r>
      <w:r w:rsidR="003C1DA6">
        <w:rPr>
          <w:szCs w:val="28"/>
        </w:rPr>
        <w:t>.</w:t>
      </w:r>
    </w:p>
    <w:p w14:paraId="712F3A48" w14:textId="77777777" w:rsidR="00B50EF1" w:rsidRPr="00583391" w:rsidRDefault="00B50EF1" w:rsidP="003E2130">
      <w:pPr>
        <w:pStyle w:val="NoSpacing"/>
        <w:rPr>
          <w:szCs w:val="28"/>
        </w:rPr>
      </w:pPr>
    </w:p>
    <w:p w14:paraId="712F3A49" w14:textId="2C392CB7" w:rsidR="00556E24" w:rsidRPr="00583391" w:rsidRDefault="00DA5556" w:rsidP="003E2130">
      <w:pPr>
        <w:pStyle w:val="NoSpacing"/>
        <w:rPr>
          <w:szCs w:val="28"/>
          <w:lang w:eastAsia="lv-LV"/>
        </w:rPr>
      </w:pPr>
      <w:bookmarkStart w:id="4" w:name="p5"/>
      <w:bookmarkEnd w:id="4"/>
      <w:r w:rsidRPr="00583391">
        <w:rPr>
          <w:szCs w:val="28"/>
          <w:lang w:eastAsia="lv-LV"/>
        </w:rPr>
        <w:t>4</w:t>
      </w:r>
      <w:r w:rsidR="00B50EF1" w:rsidRPr="00583391">
        <w:rPr>
          <w:szCs w:val="28"/>
          <w:lang w:eastAsia="lv-LV"/>
        </w:rPr>
        <w:t>.</w:t>
      </w:r>
      <w:r w:rsidR="00554E10">
        <w:rPr>
          <w:szCs w:val="28"/>
          <w:lang w:eastAsia="lv-LV"/>
        </w:rPr>
        <w:t> </w:t>
      </w:r>
      <w:r w:rsidR="00B50EF1" w:rsidRPr="00583391">
        <w:rPr>
          <w:szCs w:val="28"/>
          <w:lang w:eastAsia="lv-LV"/>
        </w:rPr>
        <w:t>Sabie</w:t>
      </w:r>
      <w:r w:rsidR="008C041F" w:rsidRPr="00583391">
        <w:rPr>
          <w:szCs w:val="28"/>
          <w:lang w:eastAsia="lv-LV"/>
        </w:rPr>
        <w:t xml:space="preserve">drības ar ierobežotu atbildību </w:t>
      </w:r>
      <w:r w:rsidR="003E2130">
        <w:rPr>
          <w:szCs w:val="28"/>
          <w:lang w:eastAsia="lv-LV"/>
        </w:rPr>
        <w:t>"</w:t>
      </w:r>
      <w:r w:rsidR="00B50EF1" w:rsidRPr="00583391">
        <w:rPr>
          <w:szCs w:val="28"/>
          <w:lang w:eastAsia="lv-LV"/>
        </w:rPr>
        <w:t>Rīgas Austrumu klīniskā universitātes slimnīca</w:t>
      </w:r>
      <w:r w:rsidR="003E2130">
        <w:rPr>
          <w:szCs w:val="28"/>
          <w:lang w:eastAsia="lv-LV"/>
        </w:rPr>
        <w:t>"</w:t>
      </w:r>
      <w:r w:rsidR="00B50EF1" w:rsidRPr="00583391">
        <w:rPr>
          <w:szCs w:val="28"/>
          <w:lang w:eastAsia="lv-LV"/>
        </w:rPr>
        <w:t xml:space="preserve"> Toksikoloģijas un sepses klīnikas Saindēšanās informācijas centrs </w:t>
      </w:r>
      <w:r w:rsidR="00807579" w:rsidRPr="00583391">
        <w:rPr>
          <w:szCs w:val="28"/>
          <w:lang w:eastAsia="lv-LV"/>
        </w:rPr>
        <w:t xml:space="preserve">elektroniskā veidā </w:t>
      </w:r>
      <w:r w:rsidR="00B50EF1" w:rsidRPr="00583391">
        <w:rPr>
          <w:szCs w:val="28"/>
          <w:lang w:eastAsia="lv-LV"/>
        </w:rPr>
        <w:t xml:space="preserve">saņem no Eiropas Komisijas </w:t>
      </w:r>
      <w:r w:rsidR="00B00431" w:rsidRPr="00583391">
        <w:rPr>
          <w:szCs w:val="28"/>
          <w:lang w:eastAsia="lv-LV"/>
        </w:rPr>
        <w:t>r</w:t>
      </w:r>
      <w:r w:rsidR="00585E04" w:rsidRPr="00583391">
        <w:rPr>
          <w:szCs w:val="28"/>
          <w:lang w:eastAsia="lv-LV"/>
        </w:rPr>
        <w:t>egulas</w:t>
      </w:r>
      <w:r w:rsidR="003C6F21" w:rsidRPr="003C6F21">
        <w:rPr>
          <w:szCs w:val="28"/>
        </w:rPr>
        <w:t xml:space="preserve"> </w:t>
      </w:r>
      <w:r w:rsidR="00554E10">
        <w:rPr>
          <w:szCs w:val="28"/>
        </w:rPr>
        <w:t>Nr.</w:t>
      </w:r>
      <w:hyperlink r:id="rId12" w:tgtFrame="_blank" w:tooltip="Atvērt regulu latviešu valodā" w:history="1">
        <w:r w:rsidR="003C6F21" w:rsidRPr="00583391">
          <w:rPr>
            <w:rStyle w:val="Hyperlink"/>
            <w:color w:val="auto"/>
            <w:szCs w:val="28"/>
            <w:u w:val="none"/>
          </w:rPr>
          <w:t>1223/2009</w:t>
        </w:r>
      </w:hyperlink>
      <w:r w:rsidR="00585E04" w:rsidRPr="00583391">
        <w:rPr>
          <w:szCs w:val="28"/>
          <w:lang w:eastAsia="lv-LV"/>
        </w:rPr>
        <w:t xml:space="preserve"> </w:t>
      </w:r>
      <w:r w:rsidR="00554E10">
        <w:rPr>
          <w:szCs w:val="28"/>
        </w:rPr>
        <w:t>13.</w:t>
      </w:r>
      <w:r w:rsidR="00CB3C04" w:rsidRPr="00583391">
        <w:rPr>
          <w:szCs w:val="28"/>
        </w:rPr>
        <w:t>panta 6.p</w:t>
      </w:r>
      <w:r w:rsidR="00554E10">
        <w:rPr>
          <w:szCs w:val="28"/>
        </w:rPr>
        <w:t>unktā minēto</w:t>
      </w:r>
      <w:r w:rsidR="00B50EF1" w:rsidRPr="00583391">
        <w:rPr>
          <w:szCs w:val="28"/>
          <w:lang w:eastAsia="lv-LV"/>
        </w:rPr>
        <w:t xml:space="preserve"> informāciju par kosmētikas līdzekli</w:t>
      </w:r>
      <w:r w:rsidR="00CB3C04" w:rsidRPr="00583391">
        <w:rPr>
          <w:szCs w:val="28"/>
          <w:lang w:eastAsia="lv-LV"/>
        </w:rPr>
        <w:t>.</w:t>
      </w:r>
    </w:p>
    <w:p w14:paraId="712F3A4A" w14:textId="77777777" w:rsidR="002D3498" w:rsidRPr="00583391" w:rsidRDefault="002D3498" w:rsidP="003E2130">
      <w:pPr>
        <w:pStyle w:val="NoSpacing"/>
        <w:rPr>
          <w:szCs w:val="28"/>
          <w:lang w:eastAsia="lv-LV"/>
        </w:rPr>
      </w:pPr>
    </w:p>
    <w:p w14:paraId="712F3A4B" w14:textId="4FA5D56D" w:rsidR="009C09F4" w:rsidRPr="002430B9" w:rsidRDefault="00DA5556" w:rsidP="003E2130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2430B9">
        <w:rPr>
          <w:sz w:val="28"/>
          <w:szCs w:val="28"/>
          <w:lang w:val="lv-LV" w:eastAsia="lv-LV"/>
        </w:rPr>
        <w:t>5</w:t>
      </w:r>
      <w:r w:rsidR="001F13A2" w:rsidRPr="002430B9">
        <w:rPr>
          <w:sz w:val="28"/>
          <w:szCs w:val="28"/>
          <w:lang w:val="lv-LV" w:eastAsia="lv-LV"/>
        </w:rPr>
        <w:t>.</w:t>
      </w:r>
      <w:r w:rsidR="00554E10">
        <w:rPr>
          <w:sz w:val="28"/>
          <w:szCs w:val="28"/>
          <w:lang w:val="lv-LV"/>
        </w:rPr>
        <w:t> </w:t>
      </w:r>
      <w:r w:rsidR="009C09F4" w:rsidRPr="003C6F21">
        <w:rPr>
          <w:sz w:val="28"/>
          <w:szCs w:val="28"/>
          <w:lang w:val="lv-LV"/>
        </w:rPr>
        <w:t>Regulā</w:t>
      </w:r>
      <w:r w:rsidR="006719B4">
        <w:rPr>
          <w:sz w:val="28"/>
          <w:szCs w:val="28"/>
          <w:lang w:val="lv-LV"/>
        </w:rPr>
        <w:t xml:space="preserve"> Nr.</w:t>
      </w:r>
      <w:hyperlink r:id="rId13" w:tgtFrame="_blank" w:tooltip="Atvērt regulu latviešu valodā" w:history="1">
        <w:r w:rsidR="003C6F21" w:rsidRPr="003C1DA6">
          <w:rPr>
            <w:rStyle w:val="Hyperlink"/>
            <w:color w:val="auto"/>
            <w:sz w:val="28"/>
            <w:szCs w:val="28"/>
            <w:u w:val="none"/>
            <w:lang w:val="lv-LV"/>
          </w:rPr>
          <w:t>1223/2009</w:t>
        </w:r>
      </w:hyperlink>
      <w:r w:rsidR="009C09F4" w:rsidRPr="003C6F21">
        <w:rPr>
          <w:sz w:val="28"/>
          <w:szCs w:val="28"/>
          <w:lang w:val="lv-LV"/>
        </w:rPr>
        <w:t xml:space="preserve"> noteiktās atbildīgās personas un izpl</w:t>
      </w:r>
      <w:r w:rsidR="00554E10">
        <w:rPr>
          <w:sz w:val="28"/>
          <w:szCs w:val="28"/>
          <w:lang w:val="lv-LV"/>
        </w:rPr>
        <w:t>atītāji izmanto šo noteikumu 1.</w:t>
      </w:r>
      <w:r w:rsidR="009C09F4" w:rsidRPr="003C6F21">
        <w:rPr>
          <w:sz w:val="28"/>
          <w:szCs w:val="28"/>
          <w:lang w:val="lv-LV"/>
        </w:rPr>
        <w:t>pielikumā no</w:t>
      </w:r>
      <w:r w:rsidR="00554E10">
        <w:rPr>
          <w:sz w:val="28"/>
          <w:szCs w:val="28"/>
          <w:lang w:val="lv-LV"/>
        </w:rPr>
        <w:t>rādī</w:t>
      </w:r>
      <w:r w:rsidR="009C09F4" w:rsidRPr="003C6F21">
        <w:rPr>
          <w:sz w:val="28"/>
          <w:szCs w:val="28"/>
          <w:lang w:val="lv-LV"/>
        </w:rPr>
        <w:t>to</w:t>
      </w:r>
      <w:r w:rsidR="009C09F4" w:rsidRPr="002430B9">
        <w:rPr>
          <w:sz w:val="28"/>
          <w:szCs w:val="28"/>
          <w:lang w:val="lv-LV"/>
        </w:rPr>
        <w:t xml:space="preserve"> veidlapu</w:t>
      </w:r>
      <w:r w:rsidR="003C1DA6">
        <w:rPr>
          <w:bCs/>
          <w:sz w:val="28"/>
          <w:szCs w:val="28"/>
          <w:lang w:val="lv-LV"/>
        </w:rPr>
        <w:t xml:space="preserve">, </w:t>
      </w:r>
      <w:r w:rsidR="009C09F4" w:rsidRPr="002430B9">
        <w:rPr>
          <w:sz w:val="28"/>
          <w:szCs w:val="28"/>
          <w:lang w:val="lv-LV" w:eastAsia="lv-LV"/>
        </w:rPr>
        <w:t xml:space="preserve">lai </w:t>
      </w:r>
      <w:r w:rsidR="006719B4" w:rsidRPr="002430B9">
        <w:rPr>
          <w:sz w:val="28"/>
          <w:szCs w:val="28"/>
          <w:lang w:val="lv-LV" w:eastAsia="lv-LV"/>
        </w:rPr>
        <w:t xml:space="preserve">atbilstoši </w:t>
      </w:r>
      <w:r w:rsidR="006719B4" w:rsidRPr="003C6F21">
        <w:rPr>
          <w:sz w:val="28"/>
          <w:szCs w:val="28"/>
          <w:lang w:val="lv-LV"/>
        </w:rPr>
        <w:t xml:space="preserve">regulas </w:t>
      </w:r>
      <w:r w:rsidR="006719B4">
        <w:rPr>
          <w:sz w:val="28"/>
          <w:szCs w:val="28"/>
          <w:lang w:val="lv-LV"/>
        </w:rPr>
        <w:t>Nr.</w:t>
      </w:r>
      <w:hyperlink r:id="rId14" w:tgtFrame="_blank" w:tooltip="Atvērt regulu latviešu valodā" w:history="1">
        <w:r w:rsidR="006719B4" w:rsidRPr="00671C41">
          <w:rPr>
            <w:rStyle w:val="Hyperlink"/>
            <w:color w:val="auto"/>
            <w:sz w:val="28"/>
            <w:szCs w:val="28"/>
            <w:u w:val="none"/>
            <w:lang w:val="lv-LV"/>
          </w:rPr>
          <w:t>1223/2009</w:t>
        </w:r>
      </w:hyperlink>
      <w:r w:rsidR="006719B4" w:rsidRPr="00671C41">
        <w:rPr>
          <w:sz w:val="28"/>
          <w:szCs w:val="28"/>
          <w:lang w:val="lv-LV"/>
        </w:rPr>
        <w:t xml:space="preserve"> </w:t>
      </w:r>
      <w:r w:rsidR="006719B4">
        <w:rPr>
          <w:sz w:val="28"/>
          <w:szCs w:val="28"/>
          <w:lang w:val="lv-LV"/>
        </w:rPr>
        <w:t>23.</w:t>
      </w:r>
      <w:r w:rsidR="006719B4" w:rsidRPr="002430B9">
        <w:rPr>
          <w:sz w:val="28"/>
          <w:szCs w:val="28"/>
          <w:lang w:val="lv-LV"/>
        </w:rPr>
        <w:t>pantam</w:t>
      </w:r>
      <w:r w:rsidR="006719B4" w:rsidRPr="002430B9">
        <w:rPr>
          <w:sz w:val="28"/>
          <w:szCs w:val="28"/>
          <w:lang w:val="lv-LV" w:eastAsia="lv-LV"/>
        </w:rPr>
        <w:t xml:space="preserve"> </w:t>
      </w:r>
      <w:r w:rsidR="009C09F4" w:rsidRPr="002430B9">
        <w:rPr>
          <w:sz w:val="28"/>
          <w:szCs w:val="28"/>
          <w:lang w:val="lv-LV" w:eastAsia="lv-LV"/>
        </w:rPr>
        <w:t xml:space="preserve">paziņotu kompetentajai iestādei par </w:t>
      </w:r>
      <w:r w:rsidR="00807579" w:rsidRPr="002430B9">
        <w:rPr>
          <w:sz w:val="28"/>
          <w:szCs w:val="28"/>
          <w:lang w:val="lv-LV" w:eastAsia="lv-LV"/>
        </w:rPr>
        <w:t xml:space="preserve">būtisku nevēlamu </w:t>
      </w:r>
      <w:r w:rsidR="009C09F4" w:rsidRPr="002430B9">
        <w:rPr>
          <w:sz w:val="28"/>
          <w:szCs w:val="28"/>
          <w:lang w:val="lv-LV" w:eastAsia="lv-LV"/>
        </w:rPr>
        <w:t>kosmētikas līdzekļa ietekmi.</w:t>
      </w:r>
    </w:p>
    <w:p w14:paraId="712F3A4C" w14:textId="77777777" w:rsidR="00DA5556" w:rsidRPr="00583391" w:rsidRDefault="00DA5556" w:rsidP="003E2130">
      <w:pPr>
        <w:pStyle w:val="NoSpacing"/>
        <w:rPr>
          <w:szCs w:val="28"/>
          <w:lang w:eastAsia="lv-LV"/>
        </w:rPr>
      </w:pPr>
    </w:p>
    <w:p w14:paraId="712F3A4D" w14:textId="28752ADE" w:rsidR="00252B01" w:rsidRPr="00583391" w:rsidRDefault="00252B01" w:rsidP="003E2130">
      <w:pPr>
        <w:pStyle w:val="NoSpacing"/>
        <w:rPr>
          <w:szCs w:val="28"/>
          <w:lang w:eastAsia="lv-LV"/>
        </w:rPr>
      </w:pPr>
      <w:r w:rsidRPr="00583391">
        <w:rPr>
          <w:szCs w:val="28"/>
          <w:lang w:eastAsia="lv-LV"/>
        </w:rPr>
        <w:lastRenderedPageBreak/>
        <w:t>6.</w:t>
      </w:r>
      <w:r w:rsidR="00554E10">
        <w:rPr>
          <w:szCs w:val="28"/>
          <w:lang w:eastAsia="lv-LV"/>
        </w:rPr>
        <w:t> </w:t>
      </w:r>
      <w:r w:rsidRPr="00583391">
        <w:rPr>
          <w:szCs w:val="28"/>
          <w:lang w:eastAsia="lv-LV"/>
        </w:rPr>
        <w:t xml:space="preserve">Ja ārstniecības persona vai gala patērētājs ziņo kompetentajai iestādei par </w:t>
      </w:r>
      <w:r w:rsidR="006719B4" w:rsidRPr="00583391">
        <w:rPr>
          <w:szCs w:val="28"/>
          <w:lang w:eastAsia="lv-LV"/>
        </w:rPr>
        <w:t xml:space="preserve">būtisku </w:t>
      </w:r>
      <w:r w:rsidR="00554E10" w:rsidRPr="00583391">
        <w:rPr>
          <w:szCs w:val="28"/>
          <w:lang w:eastAsia="lv-LV"/>
        </w:rPr>
        <w:t xml:space="preserve">nevēlamu </w:t>
      </w:r>
      <w:r w:rsidRPr="00583391">
        <w:rPr>
          <w:szCs w:val="28"/>
          <w:lang w:eastAsia="lv-LV"/>
        </w:rPr>
        <w:t xml:space="preserve">kosmētikas līdzekļa ietekmi, ziņojumā </w:t>
      </w:r>
      <w:r w:rsidR="003C1DA6">
        <w:rPr>
          <w:szCs w:val="28"/>
          <w:lang w:eastAsia="lv-LV"/>
        </w:rPr>
        <w:t>sniedz</w:t>
      </w:r>
      <w:r w:rsidRPr="00583391">
        <w:rPr>
          <w:szCs w:val="28"/>
          <w:lang w:eastAsia="lv-LV"/>
        </w:rPr>
        <w:t xml:space="preserve"> </w:t>
      </w:r>
      <w:r w:rsidR="006719B4">
        <w:rPr>
          <w:szCs w:val="28"/>
        </w:rPr>
        <w:t xml:space="preserve">šo noteikumu </w:t>
      </w:r>
      <w:r w:rsidRPr="00583391">
        <w:rPr>
          <w:szCs w:val="28"/>
          <w:lang w:eastAsia="lv-LV"/>
        </w:rPr>
        <w:t>1.pielikumā minēt</w:t>
      </w:r>
      <w:r w:rsidR="003C1DA6">
        <w:rPr>
          <w:szCs w:val="28"/>
          <w:lang w:eastAsia="lv-LV"/>
        </w:rPr>
        <w:t>o</w:t>
      </w:r>
      <w:r w:rsidRPr="00583391">
        <w:rPr>
          <w:szCs w:val="28"/>
          <w:lang w:eastAsia="lv-LV"/>
        </w:rPr>
        <w:t xml:space="preserve"> informācij</w:t>
      </w:r>
      <w:r w:rsidR="003C1DA6">
        <w:rPr>
          <w:szCs w:val="28"/>
          <w:lang w:eastAsia="lv-LV"/>
        </w:rPr>
        <w:t>u</w:t>
      </w:r>
      <w:r w:rsidRPr="00583391">
        <w:rPr>
          <w:szCs w:val="28"/>
          <w:lang w:eastAsia="lv-LV"/>
        </w:rPr>
        <w:t>.</w:t>
      </w:r>
    </w:p>
    <w:p w14:paraId="712F3A4E" w14:textId="77777777" w:rsidR="00B50EF1" w:rsidRPr="00583391" w:rsidRDefault="00B50EF1" w:rsidP="003E2130">
      <w:pPr>
        <w:pStyle w:val="NoSpacing"/>
        <w:rPr>
          <w:szCs w:val="28"/>
          <w:lang w:eastAsia="lv-LV"/>
        </w:rPr>
      </w:pPr>
    </w:p>
    <w:p w14:paraId="712F3A4F" w14:textId="3885D054" w:rsidR="00C8674E" w:rsidRPr="002430B9" w:rsidRDefault="00AC2016" w:rsidP="003E2130">
      <w:pPr>
        <w:pStyle w:val="NoSpacing"/>
        <w:rPr>
          <w:szCs w:val="28"/>
        </w:rPr>
      </w:pPr>
      <w:r w:rsidRPr="002430B9">
        <w:rPr>
          <w:color w:val="000000"/>
          <w:lang w:eastAsia="lv-LV"/>
        </w:rPr>
        <w:t>7. </w:t>
      </w:r>
      <w:r w:rsidR="003C1DA6">
        <w:rPr>
          <w:color w:val="000000"/>
          <w:lang w:eastAsia="lv-LV"/>
        </w:rPr>
        <w:t>Lai nodrošinātu k</w:t>
      </w:r>
      <w:r w:rsidRPr="002430B9">
        <w:rPr>
          <w:color w:val="000000"/>
          <w:lang w:eastAsia="lv-LV"/>
        </w:rPr>
        <w:t>osmētikas līdzekļa būtisko prasību ievērošan</w:t>
      </w:r>
      <w:r w:rsidR="003C1DA6">
        <w:rPr>
          <w:color w:val="000000"/>
          <w:lang w:eastAsia="lv-LV"/>
        </w:rPr>
        <w:t xml:space="preserve">u un </w:t>
      </w:r>
      <w:r w:rsidRPr="002430B9">
        <w:rPr>
          <w:color w:val="000000"/>
          <w:lang w:eastAsia="lv-LV"/>
        </w:rPr>
        <w:t xml:space="preserve">noteiktu </w:t>
      </w:r>
      <w:r w:rsidR="003C1DA6">
        <w:rPr>
          <w:color w:val="000000"/>
          <w:lang w:eastAsia="lv-LV"/>
        </w:rPr>
        <w:t>tā</w:t>
      </w:r>
      <w:r w:rsidRPr="002430B9">
        <w:rPr>
          <w:color w:val="000000"/>
          <w:lang w:eastAsia="lv-LV"/>
        </w:rPr>
        <w:t xml:space="preserve"> sastāvā šo noteikumu 2.pielikumā minētās vielas, ņemot un sagatavojot paraugus, izmanto šo noteikumu 2.pielikumā minētās metodes.</w:t>
      </w:r>
    </w:p>
    <w:p w14:paraId="712F3A50" w14:textId="77777777" w:rsidR="00AC2016" w:rsidRPr="002430B9" w:rsidRDefault="00AC2016" w:rsidP="003E2130">
      <w:pPr>
        <w:pStyle w:val="NoSpacing"/>
        <w:rPr>
          <w:szCs w:val="28"/>
        </w:rPr>
      </w:pPr>
    </w:p>
    <w:p w14:paraId="712F3A51" w14:textId="2155BF24" w:rsidR="00D62424" w:rsidRPr="00B00EC3" w:rsidRDefault="00B00EC3" w:rsidP="003E2130">
      <w:pPr>
        <w:pStyle w:val="NoSpacing"/>
        <w:rPr>
          <w:szCs w:val="28"/>
        </w:rPr>
      </w:pPr>
      <w:r w:rsidRPr="001A6017">
        <w:rPr>
          <w:szCs w:val="28"/>
        </w:rPr>
        <w:t>8.</w:t>
      </w:r>
      <w:r w:rsidR="00F77517" w:rsidRPr="001A6017">
        <w:rPr>
          <w:szCs w:val="28"/>
        </w:rPr>
        <w:t> </w:t>
      </w:r>
      <w:r w:rsidRPr="001A6017">
        <w:rPr>
          <w:szCs w:val="28"/>
        </w:rPr>
        <w:t xml:space="preserve">Šo noteikumu </w:t>
      </w:r>
      <w:r w:rsidR="001A6017" w:rsidRPr="001A6017">
        <w:rPr>
          <w:szCs w:val="28"/>
        </w:rPr>
        <w:t>7</w:t>
      </w:r>
      <w:r w:rsidRPr="001A6017">
        <w:rPr>
          <w:szCs w:val="28"/>
        </w:rPr>
        <w:t>.punktā</w:t>
      </w:r>
      <w:r w:rsidRPr="00B00EC3">
        <w:rPr>
          <w:szCs w:val="28"/>
        </w:rPr>
        <w:t xml:space="preserve"> </w:t>
      </w:r>
      <w:r w:rsidRPr="00671C41">
        <w:rPr>
          <w:szCs w:val="28"/>
        </w:rPr>
        <w:t>un regulas Nr.</w:t>
      </w:r>
      <w:hyperlink r:id="rId15" w:tgtFrame="_blank" w:tooltip="Atvērt regulu latviešu valodā" w:history="1">
        <w:r w:rsidRPr="00671C41">
          <w:rPr>
            <w:rStyle w:val="Hyperlink"/>
            <w:color w:val="auto"/>
            <w:szCs w:val="28"/>
            <w:u w:val="none"/>
          </w:rPr>
          <w:t>1223/2009</w:t>
        </w:r>
      </w:hyperlink>
      <w:r w:rsidRPr="00671C41">
        <w:rPr>
          <w:szCs w:val="28"/>
        </w:rPr>
        <w:t xml:space="preserve"> 1.pielikumā</w:t>
      </w:r>
      <w:r w:rsidRPr="00B00EC3">
        <w:rPr>
          <w:szCs w:val="28"/>
        </w:rPr>
        <w:t xml:space="preserve"> minētos testus veic laboratorijas</w:t>
      </w:r>
      <w:r w:rsidR="003C1DA6">
        <w:rPr>
          <w:szCs w:val="28"/>
        </w:rPr>
        <w:t>,</w:t>
      </w:r>
      <w:r w:rsidRPr="00B00EC3">
        <w:rPr>
          <w:szCs w:val="28"/>
        </w:rPr>
        <w:t xml:space="preserve"> kas atbilst </w:t>
      </w:r>
      <w:r w:rsidRPr="00B00EC3">
        <w:rPr>
          <w:color w:val="000000"/>
          <w:szCs w:val="28"/>
        </w:rPr>
        <w:t>normatīvo aktu prasībām par laboratoriju darba kvalitāti un laboratoriju inspicēšanu</w:t>
      </w:r>
      <w:r w:rsidR="00F77517">
        <w:rPr>
          <w:color w:val="000000"/>
          <w:szCs w:val="28"/>
        </w:rPr>
        <w:t>,</w:t>
      </w:r>
      <w:r w:rsidRPr="00B00EC3">
        <w:rPr>
          <w:szCs w:val="28"/>
        </w:rPr>
        <w:t xml:space="preserve"> vai laboratorijas, kas akreditētas sabiedrības ar ierobežotu atbildību </w:t>
      </w:r>
      <w:r w:rsidR="003E2130">
        <w:rPr>
          <w:szCs w:val="28"/>
        </w:rPr>
        <w:t>"</w:t>
      </w:r>
      <w:r w:rsidRPr="00B00EC3">
        <w:rPr>
          <w:szCs w:val="28"/>
        </w:rPr>
        <w:t>Standartizācijas, akreditācijas un metroloģijas centrs</w:t>
      </w:r>
      <w:r w:rsidR="003E2130">
        <w:rPr>
          <w:szCs w:val="28"/>
        </w:rPr>
        <w:t>"</w:t>
      </w:r>
      <w:r w:rsidRPr="00B00EC3">
        <w:rPr>
          <w:szCs w:val="28"/>
        </w:rPr>
        <w:t xml:space="preserve"> Latvijas Nacionālajā akreditācijas birojā atbilstoši standartam LVS EN ISO/IEC 17025:2005 </w:t>
      </w:r>
      <w:r w:rsidR="003E2130">
        <w:rPr>
          <w:szCs w:val="28"/>
        </w:rPr>
        <w:t>"</w:t>
      </w:r>
      <w:r w:rsidRPr="00B00EC3">
        <w:rPr>
          <w:szCs w:val="28"/>
        </w:rPr>
        <w:t>Testēšanas un kalibrēšanas laboratoriju kompetences vispārīgās prasības</w:t>
      </w:r>
      <w:r w:rsidR="003E2130">
        <w:rPr>
          <w:szCs w:val="28"/>
        </w:rPr>
        <w:t>"</w:t>
      </w:r>
      <w:r w:rsidRPr="00B00EC3">
        <w:rPr>
          <w:szCs w:val="28"/>
        </w:rPr>
        <w:t xml:space="preserve"> un par kurām publicēta informācija akreditācijas biroja </w:t>
      </w:r>
      <w:r w:rsidR="006719B4">
        <w:rPr>
          <w:szCs w:val="28"/>
        </w:rPr>
        <w:t>tīmekļa</w:t>
      </w:r>
      <w:r w:rsidR="003C1DA6">
        <w:rPr>
          <w:szCs w:val="28"/>
        </w:rPr>
        <w:t xml:space="preserve"> vietnē</w:t>
      </w:r>
      <w:r w:rsidRPr="00B00EC3">
        <w:rPr>
          <w:szCs w:val="28"/>
        </w:rPr>
        <w:t>.</w:t>
      </w:r>
    </w:p>
    <w:p w14:paraId="712F3A52" w14:textId="77777777" w:rsidR="00B00EC3" w:rsidRPr="00583391" w:rsidRDefault="00B00EC3" w:rsidP="003E2130">
      <w:pPr>
        <w:pStyle w:val="NoSpacing"/>
        <w:rPr>
          <w:szCs w:val="28"/>
        </w:rPr>
      </w:pPr>
    </w:p>
    <w:p w14:paraId="712F3A53" w14:textId="740191A1" w:rsidR="00D20CEF" w:rsidRPr="00583391" w:rsidRDefault="00D20CEF" w:rsidP="003E2130">
      <w:pPr>
        <w:pStyle w:val="NoSpacing"/>
        <w:rPr>
          <w:szCs w:val="28"/>
        </w:rPr>
      </w:pPr>
      <w:r w:rsidRPr="002430B9">
        <w:rPr>
          <w:szCs w:val="28"/>
        </w:rPr>
        <w:t>9.</w:t>
      </w:r>
      <w:r w:rsidR="00F77517">
        <w:rPr>
          <w:szCs w:val="28"/>
        </w:rPr>
        <w:t> </w:t>
      </w:r>
      <w:r w:rsidR="00733932" w:rsidRPr="002430B9">
        <w:rPr>
          <w:color w:val="000000"/>
          <w:lang w:eastAsia="lv-LV"/>
        </w:rPr>
        <w:t xml:space="preserve">Kosmētikas līdzekļa atbilstību mikrobioloģiskās tīrības kritērijiem, kas </w:t>
      </w:r>
      <w:r w:rsidR="00F77517">
        <w:rPr>
          <w:color w:val="000000"/>
          <w:lang w:eastAsia="lv-LV"/>
        </w:rPr>
        <w:t>minē</w:t>
      </w:r>
      <w:r w:rsidR="00733932" w:rsidRPr="002430B9">
        <w:rPr>
          <w:color w:val="000000"/>
          <w:lang w:eastAsia="lv-LV"/>
        </w:rPr>
        <w:t xml:space="preserve">ti šo noteikumu 3.pielikumā, nodrošina atbildīgā persona. </w:t>
      </w:r>
      <w:r w:rsidRPr="002430B9">
        <w:rPr>
          <w:szCs w:val="28"/>
        </w:rPr>
        <w:t>Kosmētikas līdzekļa mikrobioloģisko testēšanu veic saskaņā ar regulas</w:t>
      </w:r>
      <w:r w:rsidR="003C6F21" w:rsidRPr="003C6F21">
        <w:rPr>
          <w:szCs w:val="28"/>
        </w:rPr>
        <w:t xml:space="preserve"> </w:t>
      </w:r>
      <w:r w:rsidR="003C6F21" w:rsidRPr="00583391">
        <w:rPr>
          <w:szCs w:val="28"/>
        </w:rPr>
        <w:t>Nr.</w:t>
      </w:r>
      <w:hyperlink r:id="rId16" w:tgtFrame="_blank" w:tooltip="Atvērt regulu latviešu valodā" w:history="1">
        <w:r w:rsidR="003C6F21" w:rsidRPr="00583391">
          <w:rPr>
            <w:rStyle w:val="Hyperlink"/>
            <w:color w:val="auto"/>
            <w:szCs w:val="28"/>
            <w:u w:val="none"/>
          </w:rPr>
          <w:t>1223/2009</w:t>
        </w:r>
      </w:hyperlink>
      <w:r w:rsidRPr="002430B9">
        <w:rPr>
          <w:szCs w:val="28"/>
        </w:rPr>
        <w:t xml:space="preserve"> 12.</w:t>
      </w:r>
      <w:r w:rsidRPr="00583391">
        <w:rPr>
          <w:szCs w:val="28"/>
        </w:rPr>
        <w:t>pantā noteiktajām prasībām.</w:t>
      </w:r>
    </w:p>
    <w:p w14:paraId="712F3A54" w14:textId="77777777" w:rsidR="00583F0F" w:rsidRPr="00583391" w:rsidRDefault="00583F0F" w:rsidP="003E2130">
      <w:pPr>
        <w:pStyle w:val="NoSpacing"/>
        <w:rPr>
          <w:szCs w:val="28"/>
        </w:rPr>
      </w:pPr>
    </w:p>
    <w:p w14:paraId="712F3A55" w14:textId="27F9A425" w:rsidR="001D3065" w:rsidRPr="00583391" w:rsidRDefault="001D3065" w:rsidP="003E2130">
      <w:pPr>
        <w:pStyle w:val="NoSpacing"/>
        <w:rPr>
          <w:szCs w:val="28"/>
        </w:rPr>
      </w:pPr>
      <w:r w:rsidRPr="00583391">
        <w:rPr>
          <w:szCs w:val="28"/>
        </w:rPr>
        <w:t>1</w:t>
      </w:r>
      <w:r w:rsidR="00E4151A" w:rsidRPr="00583391">
        <w:rPr>
          <w:szCs w:val="28"/>
        </w:rPr>
        <w:t>0</w:t>
      </w:r>
      <w:r w:rsidRPr="00583391">
        <w:rPr>
          <w:szCs w:val="28"/>
        </w:rPr>
        <w:t>.</w:t>
      </w:r>
      <w:r w:rsidR="00F77517">
        <w:rPr>
          <w:szCs w:val="28"/>
        </w:rPr>
        <w:t> </w:t>
      </w:r>
      <w:r w:rsidR="009F7B6D" w:rsidRPr="00583391">
        <w:rPr>
          <w:szCs w:val="28"/>
        </w:rPr>
        <w:t>Latvijā ražotiem, importētiem vai izplatītiem kosmētikas līdzekļiem valsts valodā norāda regulas</w:t>
      </w:r>
      <w:r w:rsidR="003C6F21" w:rsidRPr="003C6F21">
        <w:rPr>
          <w:szCs w:val="28"/>
        </w:rPr>
        <w:t xml:space="preserve"> </w:t>
      </w:r>
      <w:r w:rsidR="003C6F21" w:rsidRPr="00583391">
        <w:rPr>
          <w:szCs w:val="28"/>
        </w:rPr>
        <w:t>Nr.</w:t>
      </w:r>
      <w:hyperlink r:id="rId17" w:tgtFrame="_blank" w:tooltip="Atvērt regulu latviešu valodā" w:history="1">
        <w:r w:rsidR="003C6F21" w:rsidRPr="00583391">
          <w:rPr>
            <w:rStyle w:val="Hyperlink"/>
            <w:color w:val="auto"/>
            <w:szCs w:val="28"/>
            <w:u w:val="none"/>
          </w:rPr>
          <w:t>1223/2009</w:t>
        </w:r>
      </w:hyperlink>
      <w:r w:rsidR="009F7B6D" w:rsidRPr="00583391">
        <w:rPr>
          <w:szCs w:val="28"/>
        </w:rPr>
        <w:t xml:space="preserve"> 19.panta 1.punkta </w:t>
      </w:r>
      <w:r w:rsidR="00F77517">
        <w:rPr>
          <w:szCs w:val="28"/>
        </w:rPr>
        <w:t>"</w:t>
      </w:r>
      <w:r w:rsidR="009F7B6D" w:rsidRPr="00583391">
        <w:rPr>
          <w:szCs w:val="28"/>
        </w:rPr>
        <w:t>b</w:t>
      </w:r>
      <w:r w:rsidR="00F77517">
        <w:rPr>
          <w:szCs w:val="28"/>
        </w:rPr>
        <w:t>"</w:t>
      </w:r>
      <w:r w:rsidR="009F7B6D" w:rsidRPr="00583391">
        <w:rPr>
          <w:szCs w:val="28"/>
        </w:rPr>
        <w:t xml:space="preserve">, </w:t>
      </w:r>
      <w:r w:rsidR="00F77517">
        <w:rPr>
          <w:szCs w:val="28"/>
        </w:rPr>
        <w:t>"</w:t>
      </w:r>
      <w:r w:rsidR="009F7B6D" w:rsidRPr="00583391">
        <w:rPr>
          <w:szCs w:val="28"/>
        </w:rPr>
        <w:t>c</w:t>
      </w:r>
      <w:r w:rsidR="00F77517">
        <w:rPr>
          <w:szCs w:val="28"/>
        </w:rPr>
        <w:t>"</w:t>
      </w:r>
      <w:r w:rsidR="009F7B6D" w:rsidRPr="00583391">
        <w:rPr>
          <w:szCs w:val="28"/>
        </w:rPr>
        <w:t xml:space="preserve">, </w:t>
      </w:r>
      <w:r w:rsidR="00F77517">
        <w:rPr>
          <w:szCs w:val="28"/>
        </w:rPr>
        <w:t>"</w:t>
      </w:r>
      <w:r w:rsidR="009F7B6D" w:rsidRPr="00583391">
        <w:rPr>
          <w:szCs w:val="28"/>
        </w:rPr>
        <w:t>d</w:t>
      </w:r>
      <w:r w:rsidR="00F77517">
        <w:rPr>
          <w:szCs w:val="28"/>
        </w:rPr>
        <w:t>"</w:t>
      </w:r>
      <w:r w:rsidR="009F7B6D" w:rsidRPr="00583391">
        <w:rPr>
          <w:szCs w:val="28"/>
        </w:rPr>
        <w:t xml:space="preserve"> un </w:t>
      </w:r>
      <w:r w:rsidR="00F77517">
        <w:rPr>
          <w:szCs w:val="28"/>
        </w:rPr>
        <w:t>"</w:t>
      </w:r>
      <w:r w:rsidR="009F7B6D" w:rsidRPr="00583391">
        <w:rPr>
          <w:szCs w:val="28"/>
        </w:rPr>
        <w:t>f</w:t>
      </w:r>
      <w:r w:rsidR="00F77517">
        <w:rPr>
          <w:szCs w:val="28"/>
        </w:rPr>
        <w:t>"</w:t>
      </w:r>
      <w:r w:rsidR="009F7B6D" w:rsidRPr="00583391">
        <w:rPr>
          <w:szCs w:val="28"/>
        </w:rPr>
        <w:t xml:space="preserve"> apakšpunktā un 2., 3. un 4.punktā minēto informāciju</w:t>
      </w:r>
      <w:r w:rsidR="00412937" w:rsidRPr="00583391">
        <w:rPr>
          <w:szCs w:val="28"/>
        </w:rPr>
        <w:t>.</w:t>
      </w:r>
    </w:p>
    <w:p w14:paraId="712F3A56" w14:textId="77777777" w:rsidR="009F7B6D" w:rsidRPr="00583391" w:rsidRDefault="009F7B6D" w:rsidP="003E2130">
      <w:pPr>
        <w:pStyle w:val="NoSpacing"/>
        <w:rPr>
          <w:szCs w:val="28"/>
        </w:rPr>
      </w:pPr>
    </w:p>
    <w:p w14:paraId="712F3A57" w14:textId="3F756845" w:rsidR="009F7B6D" w:rsidRPr="00583391" w:rsidRDefault="001D3065" w:rsidP="003E2130">
      <w:pPr>
        <w:pStyle w:val="NoSpacing"/>
        <w:rPr>
          <w:szCs w:val="28"/>
        </w:rPr>
      </w:pPr>
      <w:r w:rsidRPr="00583391">
        <w:rPr>
          <w:szCs w:val="28"/>
        </w:rPr>
        <w:t>1</w:t>
      </w:r>
      <w:r w:rsidR="00E4151A" w:rsidRPr="00583391">
        <w:rPr>
          <w:szCs w:val="28"/>
        </w:rPr>
        <w:t>1</w:t>
      </w:r>
      <w:r w:rsidRPr="00583391">
        <w:rPr>
          <w:szCs w:val="28"/>
        </w:rPr>
        <w:t>.</w:t>
      </w:r>
      <w:r w:rsidR="00F77517">
        <w:rPr>
          <w:szCs w:val="28"/>
        </w:rPr>
        <w:t> </w:t>
      </w:r>
      <w:r w:rsidRPr="00583391">
        <w:rPr>
          <w:szCs w:val="28"/>
        </w:rPr>
        <w:t>Kosmētikas līdzekļiem, kas nav fasēti vai tiek fasēti pārdošanas vietā pēc pircēja pieprasījuma, vai tiek fasēti tūlītējai pārdošanai</w:t>
      </w:r>
      <w:r w:rsidR="00DB357E" w:rsidRPr="00583391">
        <w:rPr>
          <w:szCs w:val="28"/>
        </w:rPr>
        <w:t xml:space="preserve">, </w:t>
      </w:r>
      <w:r w:rsidR="00B00431" w:rsidRPr="00583391">
        <w:rPr>
          <w:szCs w:val="28"/>
        </w:rPr>
        <w:t>r</w:t>
      </w:r>
      <w:r w:rsidR="00DB357E" w:rsidRPr="00583391">
        <w:rPr>
          <w:szCs w:val="28"/>
        </w:rPr>
        <w:t>egulas</w:t>
      </w:r>
      <w:r w:rsidR="003C6F21" w:rsidRPr="003C6F21">
        <w:rPr>
          <w:szCs w:val="28"/>
        </w:rPr>
        <w:t xml:space="preserve"> </w:t>
      </w:r>
      <w:r w:rsidR="00F77517">
        <w:rPr>
          <w:szCs w:val="28"/>
        </w:rPr>
        <w:t>Nr.</w:t>
      </w:r>
      <w:hyperlink r:id="rId18" w:tgtFrame="_blank" w:tooltip="Atvērt regulu latviešu valodā" w:history="1">
        <w:r w:rsidR="003C6F21" w:rsidRPr="00583391">
          <w:rPr>
            <w:rStyle w:val="Hyperlink"/>
            <w:color w:val="auto"/>
            <w:szCs w:val="28"/>
            <w:u w:val="none"/>
          </w:rPr>
          <w:t>1223/2009</w:t>
        </w:r>
      </w:hyperlink>
      <w:r w:rsidR="00DB357E" w:rsidRPr="00583391">
        <w:rPr>
          <w:szCs w:val="28"/>
        </w:rPr>
        <w:t xml:space="preserve"> </w:t>
      </w:r>
      <w:r w:rsidR="00AA2E90" w:rsidRPr="00583391">
        <w:rPr>
          <w:szCs w:val="28"/>
        </w:rPr>
        <w:t xml:space="preserve">19.panta </w:t>
      </w:r>
      <w:r w:rsidR="00F77517">
        <w:rPr>
          <w:szCs w:val="28"/>
        </w:rPr>
        <w:t>1.</w:t>
      </w:r>
      <w:r w:rsidR="00DB357E" w:rsidRPr="00583391">
        <w:rPr>
          <w:szCs w:val="28"/>
        </w:rPr>
        <w:t>punktā minēto informāciju norāda kosmētikas l</w:t>
      </w:r>
      <w:r w:rsidR="00C66114" w:rsidRPr="00583391">
        <w:rPr>
          <w:szCs w:val="28"/>
        </w:rPr>
        <w:t>īdzeklim pievienotajā anotācijā vai</w:t>
      </w:r>
      <w:r w:rsidR="00DB357E" w:rsidRPr="00583391">
        <w:rPr>
          <w:szCs w:val="28"/>
        </w:rPr>
        <w:t xml:space="preserve"> etiķetē</w:t>
      </w:r>
      <w:r w:rsidR="00C66114" w:rsidRPr="00583391">
        <w:rPr>
          <w:szCs w:val="28"/>
        </w:rPr>
        <w:t>.</w:t>
      </w:r>
      <w:r w:rsidR="009F7B6D" w:rsidRPr="00583391">
        <w:rPr>
          <w:szCs w:val="28"/>
        </w:rPr>
        <w:t xml:space="preserve"> </w:t>
      </w:r>
    </w:p>
    <w:p w14:paraId="712F3A58" w14:textId="77777777" w:rsidR="009F7B6D" w:rsidRPr="00583391" w:rsidRDefault="009F7B6D" w:rsidP="003E2130">
      <w:pPr>
        <w:pStyle w:val="NoSpacing"/>
        <w:rPr>
          <w:szCs w:val="28"/>
        </w:rPr>
      </w:pPr>
    </w:p>
    <w:p w14:paraId="712F3A59" w14:textId="6392B3DD" w:rsidR="007B6E09" w:rsidRPr="00583391" w:rsidRDefault="007B6E09" w:rsidP="003E2130">
      <w:pPr>
        <w:pStyle w:val="NoSpacing"/>
        <w:rPr>
          <w:szCs w:val="28"/>
        </w:rPr>
      </w:pPr>
      <w:r w:rsidRPr="00583391">
        <w:rPr>
          <w:szCs w:val="28"/>
        </w:rPr>
        <w:t>12.</w:t>
      </w:r>
      <w:r w:rsidR="00F77517">
        <w:rPr>
          <w:szCs w:val="28"/>
        </w:rPr>
        <w:t> </w:t>
      </w:r>
      <w:r w:rsidRPr="00583391">
        <w:rPr>
          <w:szCs w:val="28"/>
        </w:rPr>
        <w:t>Atbilstoši regulas</w:t>
      </w:r>
      <w:r w:rsidR="003C6F21" w:rsidRPr="003C6F21">
        <w:rPr>
          <w:szCs w:val="28"/>
        </w:rPr>
        <w:t xml:space="preserve"> </w:t>
      </w:r>
      <w:r w:rsidR="003C6F21" w:rsidRPr="00583391">
        <w:rPr>
          <w:szCs w:val="28"/>
        </w:rPr>
        <w:t>Nr.</w:t>
      </w:r>
      <w:hyperlink r:id="rId19" w:tgtFrame="_blank" w:tooltip="Atvērt regulu latviešu valodā" w:history="1">
        <w:r w:rsidR="003C6F21" w:rsidRPr="00583391">
          <w:rPr>
            <w:rStyle w:val="Hyperlink"/>
            <w:color w:val="auto"/>
            <w:szCs w:val="28"/>
            <w:u w:val="none"/>
          </w:rPr>
          <w:t>1223/2009</w:t>
        </w:r>
      </w:hyperlink>
      <w:r w:rsidRPr="00583391">
        <w:rPr>
          <w:szCs w:val="28"/>
        </w:rPr>
        <w:t xml:space="preserve"> 19.panta 4.punkt</w:t>
      </w:r>
      <w:r w:rsidR="00F77517">
        <w:rPr>
          <w:szCs w:val="28"/>
        </w:rPr>
        <w:t>ā minētajiem</w:t>
      </w:r>
      <w:r w:rsidRPr="00583391">
        <w:rPr>
          <w:szCs w:val="28"/>
        </w:rPr>
        <w:t xml:space="preserve"> nosacījumiem ražotāji, importētāji un izplatītāji </w:t>
      </w:r>
      <w:r w:rsidRPr="00AA002F">
        <w:rPr>
          <w:szCs w:val="28"/>
        </w:rPr>
        <w:t>nodrošin</w:t>
      </w:r>
      <w:r w:rsidR="001A6017" w:rsidRPr="00AA002F">
        <w:rPr>
          <w:szCs w:val="28"/>
        </w:rPr>
        <w:t xml:space="preserve">a </w:t>
      </w:r>
      <w:r w:rsidR="00AA002F" w:rsidRPr="00AA002F">
        <w:rPr>
          <w:szCs w:val="28"/>
        </w:rPr>
        <w:t>un pēc pieprasījuma spēj sniegt</w:t>
      </w:r>
      <w:r w:rsidR="001A6017" w:rsidRPr="00AA002F">
        <w:rPr>
          <w:szCs w:val="28"/>
        </w:rPr>
        <w:t xml:space="preserve"> vis</w:t>
      </w:r>
      <w:r w:rsidR="00AA002F" w:rsidRPr="00AA002F">
        <w:rPr>
          <w:szCs w:val="28"/>
        </w:rPr>
        <w:t>u</w:t>
      </w:r>
      <w:r w:rsidR="001A6017" w:rsidRPr="00AA002F">
        <w:rPr>
          <w:szCs w:val="28"/>
        </w:rPr>
        <w:t xml:space="preserve"> ar attiecīgo</w:t>
      </w:r>
      <w:r w:rsidRPr="00AA002F">
        <w:rPr>
          <w:szCs w:val="28"/>
        </w:rPr>
        <w:t xml:space="preserve"> </w:t>
      </w:r>
      <w:r w:rsidR="001A6017" w:rsidRPr="00AA002F">
        <w:rPr>
          <w:szCs w:val="28"/>
        </w:rPr>
        <w:t>kosmētikas līdzekli saistīt</w:t>
      </w:r>
      <w:r w:rsidR="00AA002F" w:rsidRPr="00AA002F">
        <w:rPr>
          <w:szCs w:val="28"/>
        </w:rPr>
        <w:t>o</w:t>
      </w:r>
      <w:r w:rsidR="001A6017" w:rsidRPr="00AA002F">
        <w:rPr>
          <w:szCs w:val="28"/>
        </w:rPr>
        <w:t xml:space="preserve"> informācij</w:t>
      </w:r>
      <w:r w:rsidR="00AA002F" w:rsidRPr="00AA002F">
        <w:rPr>
          <w:szCs w:val="28"/>
        </w:rPr>
        <w:t>u</w:t>
      </w:r>
      <w:r w:rsidR="001A6017" w:rsidRPr="00AA002F">
        <w:rPr>
          <w:szCs w:val="28"/>
        </w:rPr>
        <w:t xml:space="preserve"> </w:t>
      </w:r>
      <w:r w:rsidR="001A6017">
        <w:rPr>
          <w:szCs w:val="28"/>
        </w:rPr>
        <w:t>(</w:t>
      </w:r>
      <w:r w:rsidR="001A6017" w:rsidRPr="00583391">
        <w:rPr>
          <w:szCs w:val="28"/>
        </w:rPr>
        <w:t>ieskaitot partijas numuru</w:t>
      </w:r>
      <w:r w:rsidR="001A6017">
        <w:rPr>
          <w:szCs w:val="28"/>
        </w:rPr>
        <w:t>)</w:t>
      </w:r>
      <w:r w:rsidR="00AA002F">
        <w:rPr>
          <w:szCs w:val="28"/>
        </w:rPr>
        <w:t xml:space="preserve"> par tiem kosmētikas līdzekļiem</w:t>
      </w:r>
      <w:r w:rsidRPr="00583391">
        <w:rPr>
          <w:szCs w:val="28"/>
        </w:rPr>
        <w:t>, kas nav fasēti vai tiek fasēti pārdošanas vietā pēc pircēja pieprasījuma, vai tiek fasēti tūlītējai pārdošanai.</w:t>
      </w:r>
    </w:p>
    <w:p w14:paraId="712F3A5A" w14:textId="77777777" w:rsidR="00C022A9" w:rsidRPr="00583391" w:rsidRDefault="00C022A9" w:rsidP="003E2130">
      <w:pPr>
        <w:pStyle w:val="NoSpacing"/>
        <w:rPr>
          <w:szCs w:val="28"/>
        </w:rPr>
      </w:pPr>
    </w:p>
    <w:p w14:paraId="712F3A5B" w14:textId="00947892" w:rsidR="000E5F4A" w:rsidRPr="003D26C2" w:rsidRDefault="003D26C2" w:rsidP="003E2130">
      <w:pPr>
        <w:pStyle w:val="NoSpacing"/>
        <w:rPr>
          <w:color w:val="000000"/>
          <w:lang w:eastAsia="lv-LV"/>
        </w:rPr>
      </w:pPr>
      <w:r w:rsidRPr="003D26C2">
        <w:rPr>
          <w:color w:val="000000"/>
          <w:lang w:eastAsia="lv-LV"/>
        </w:rPr>
        <w:t>13.</w:t>
      </w:r>
      <w:r w:rsidR="00F77517">
        <w:rPr>
          <w:color w:val="000000"/>
          <w:lang w:eastAsia="lv-LV"/>
        </w:rPr>
        <w:t> </w:t>
      </w:r>
      <w:r w:rsidRPr="003D26C2">
        <w:rPr>
          <w:color w:val="000000"/>
          <w:lang w:eastAsia="lv-LV"/>
        </w:rPr>
        <w:t xml:space="preserve">Veselības inspekcija izsniedz kosmētikas līdzekļu ražotājiem Latvijā </w:t>
      </w:r>
      <w:r w:rsidR="006719B4">
        <w:rPr>
          <w:color w:val="000000"/>
          <w:lang w:eastAsia="lv-LV"/>
        </w:rPr>
        <w:t>b</w:t>
      </w:r>
      <w:r w:rsidRPr="003D26C2">
        <w:rPr>
          <w:color w:val="000000"/>
          <w:lang w:eastAsia="lv-LV"/>
        </w:rPr>
        <w:t>rīvās tirdzniecības sertifikāt</w:t>
      </w:r>
      <w:r w:rsidR="00F77517">
        <w:rPr>
          <w:color w:val="000000"/>
          <w:lang w:eastAsia="lv-LV"/>
        </w:rPr>
        <w:t>u, kas apliecina, ka komersants</w:t>
      </w:r>
      <w:r w:rsidRPr="003D26C2">
        <w:rPr>
          <w:color w:val="000000"/>
          <w:lang w:eastAsia="lv-LV"/>
        </w:rPr>
        <w:t xml:space="preserve"> ir paziņojis par Latvijā ražotu kosmētikas līdzekļu laišanu Latvijas tirgū. Brīvās tirdzniecības sertifikāta saņemšanai kosmētikas līdzekļu ražotājs </w:t>
      </w:r>
      <w:r w:rsidR="006719B4" w:rsidRPr="003D26C2">
        <w:rPr>
          <w:color w:val="000000"/>
          <w:lang w:eastAsia="lv-LV"/>
        </w:rPr>
        <w:t xml:space="preserve">iesniedz </w:t>
      </w:r>
      <w:r w:rsidRPr="003D26C2">
        <w:rPr>
          <w:color w:val="000000"/>
          <w:lang w:eastAsia="lv-LV"/>
        </w:rPr>
        <w:t>Veselības inspekcijā iesniegumu (4.pielikums) papīra vai elektroniska dokumenta formā. Ja iesniegumu iesniedz papīra dokumenta formā, iesnieguma</w:t>
      </w:r>
      <w:r w:rsidR="003C1DA6">
        <w:rPr>
          <w:color w:val="000000"/>
          <w:lang w:eastAsia="lv-LV"/>
        </w:rPr>
        <w:t>m</w:t>
      </w:r>
      <w:r w:rsidRPr="003D26C2">
        <w:rPr>
          <w:color w:val="000000"/>
          <w:lang w:eastAsia="lv-LV"/>
        </w:rPr>
        <w:t xml:space="preserve"> pievieno arī </w:t>
      </w:r>
      <w:r w:rsidR="003C1DA6">
        <w:rPr>
          <w:color w:val="000000"/>
          <w:lang w:eastAsia="lv-LV"/>
        </w:rPr>
        <w:t xml:space="preserve">tā </w:t>
      </w:r>
      <w:r w:rsidRPr="003D26C2">
        <w:rPr>
          <w:color w:val="000000"/>
          <w:lang w:eastAsia="lv-LV"/>
        </w:rPr>
        <w:t>elektronisk</w:t>
      </w:r>
      <w:r w:rsidR="003C1DA6">
        <w:rPr>
          <w:color w:val="000000"/>
          <w:lang w:eastAsia="lv-LV"/>
        </w:rPr>
        <w:t>o f</w:t>
      </w:r>
      <w:r w:rsidR="00F77517">
        <w:rPr>
          <w:color w:val="000000"/>
          <w:lang w:eastAsia="lv-LV"/>
        </w:rPr>
        <w:t>o</w:t>
      </w:r>
      <w:r w:rsidR="003C1DA6">
        <w:rPr>
          <w:color w:val="000000"/>
          <w:lang w:eastAsia="lv-LV"/>
        </w:rPr>
        <w:t>rmu</w:t>
      </w:r>
      <w:r w:rsidRPr="003D26C2">
        <w:rPr>
          <w:color w:val="000000"/>
          <w:lang w:eastAsia="lv-LV"/>
        </w:rPr>
        <w:t>.</w:t>
      </w:r>
    </w:p>
    <w:p w14:paraId="712F3A5C" w14:textId="77777777" w:rsidR="003D26C2" w:rsidRPr="004D2FC8" w:rsidRDefault="003D26C2" w:rsidP="003E2130">
      <w:pPr>
        <w:pStyle w:val="NoSpacing"/>
        <w:rPr>
          <w:szCs w:val="28"/>
          <w:lang w:eastAsia="lv-LV"/>
        </w:rPr>
      </w:pPr>
    </w:p>
    <w:p w14:paraId="712F3A5D" w14:textId="43B94F1F" w:rsidR="00A55B4D" w:rsidRPr="00583391" w:rsidRDefault="00A55B4D" w:rsidP="003E2130">
      <w:pPr>
        <w:pStyle w:val="NoSpacing"/>
        <w:rPr>
          <w:szCs w:val="28"/>
        </w:rPr>
      </w:pPr>
      <w:r w:rsidRPr="00583391">
        <w:rPr>
          <w:szCs w:val="28"/>
          <w:lang w:eastAsia="lv-LV"/>
        </w:rPr>
        <w:t>14.</w:t>
      </w:r>
      <w:r w:rsidR="00F77517">
        <w:rPr>
          <w:szCs w:val="28"/>
          <w:lang w:eastAsia="lv-LV"/>
        </w:rPr>
        <w:t> </w:t>
      </w:r>
      <w:r w:rsidRPr="00583391">
        <w:rPr>
          <w:szCs w:val="28"/>
          <w:lang w:eastAsia="lv-LV"/>
        </w:rPr>
        <w:t xml:space="preserve">Kompetentā iestāde </w:t>
      </w:r>
      <w:r w:rsidR="00471CFC">
        <w:rPr>
          <w:szCs w:val="28"/>
          <w:lang w:eastAsia="lv-LV"/>
        </w:rPr>
        <w:t>uztur</w:t>
      </w:r>
      <w:r w:rsidRPr="00583391">
        <w:rPr>
          <w:szCs w:val="28"/>
          <w:lang w:eastAsia="lv-LV"/>
        </w:rPr>
        <w:t xml:space="preserve"> </w:t>
      </w:r>
      <w:r w:rsidR="00807579">
        <w:rPr>
          <w:szCs w:val="28"/>
          <w:lang w:eastAsia="lv-LV"/>
        </w:rPr>
        <w:t>k</w:t>
      </w:r>
      <w:r w:rsidRPr="00583391">
        <w:rPr>
          <w:szCs w:val="28"/>
          <w:lang w:eastAsia="lv-LV"/>
        </w:rPr>
        <w:t>osmētikas līdzekļu sastāvdaļu datubāzi, kas izveidota līdz šo noteikumu spēkā stāšanās dienai, un</w:t>
      </w:r>
      <w:r w:rsidR="00F77517">
        <w:rPr>
          <w:szCs w:val="28"/>
          <w:lang w:eastAsia="lv-LV"/>
        </w:rPr>
        <w:t>, ja</w:t>
      </w:r>
      <w:r w:rsidRPr="00583391">
        <w:rPr>
          <w:szCs w:val="28"/>
          <w:lang w:eastAsia="lv-LV"/>
        </w:rPr>
        <w:t xml:space="preserve"> nepieciešams</w:t>
      </w:r>
      <w:r w:rsidR="00F77517">
        <w:rPr>
          <w:szCs w:val="28"/>
          <w:lang w:eastAsia="lv-LV"/>
        </w:rPr>
        <w:t>,</w:t>
      </w:r>
      <w:r w:rsidRPr="00583391">
        <w:rPr>
          <w:szCs w:val="28"/>
          <w:lang w:eastAsia="lv-LV"/>
        </w:rPr>
        <w:t xml:space="preserve"> </w:t>
      </w:r>
      <w:r w:rsidR="00807579" w:rsidRPr="00583391">
        <w:rPr>
          <w:szCs w:val="28"/>
          <w:lang w:eastAsia="lv-LV"/>
        </w:rPr>
        <w:t xml:space="preserve">ārstniecības </w:t>
      </w:r>
      <w:r w:rsidR="00807579">
        <w:rPr>
          <w:szCs w:val="28"/>
          <w:lang w:eastAsia="lv-LV"/>
        </w:rPr>
        <w:t>personām</w:t>
      </w:r>
      <w:r w:rsidR="00807579" w:rsidRPr="00583391">
        <w:rPr>
          <w:szCs w:val="28"/>
          <w:lang w:eastAsia="lv-LV"/>
        </w:rPr>
        <w:t xml:space="preserve"> </w:t>
      </w:r>
      <w:r w:rsidRPr="00583391">
        <w:rPr>
          <w:szCs w:val="28"/>
          <w:lang w:eastAsia="lv-LV"/>
        </w:rPr>
        <w:t>nodrošina pieeju informācijai saskaņā ar r</w:t>
      </w:r>
      <w:r w:rsidRPr="00583391">
        <w:rPr>
          <w:szCs w:val="28"/>
        </w:rPr>
        <w:t xml:space="preserve">egulas </w:t>
      </w:r>
      <w:r w:rsidR="00F77517">
        <w:rPr>
          <w:szCs w:val="28"/>
        </w:rPr>
        <w:t>Nr.</w:t>
      </w:r>
      <w:hyperlink r:id="rId20" w:tgtFrame="_blank" w:tooltip="Atvērt regulu latviešu valodā" w:history="1">
        <w:r w:rsidR="003C6F21" w:rsidRPr="00583391">
          <w:rPr>
            <w:rStyle w:val="Hyperlink"/>
            <w:color w:val="auto"/>
            <w:szCs w:val="28"/>
            <w:u w:val="none"/>
          </w:rPr>
          <w:t>1223/2009</w:t>
        </w:r>
      </w:hyperlink>
      <w:r w:rsidR="003C6F21">
        <w:t xml:space="preserve"> </w:t>
      </w:r>
      <w:r w:rsidRPr="00583391">
        <w:rPr>
          <w:szCs w:val="28"/>
        </w:rPr>
        <w:t>38.panta ceturto daļu.</w:t>
      </w:r>
    </w:p>
    <w:p w14:paraId="712F3A5E" w14:textId="77777777" w:rsidR="00B50EF1" w:rsidRPr="00583391" w:rsidRDefault="00B50EF1" w:rsidP="003E2130">
      <w:pPr>
        <w:pStyle w:val="NoSpacing"/>
        <w:rPr>
          <w:szCs w:val="28"/>
        </w:rPr>
      </w:pPr>
    </w:p>
    <w:p w14:paraId="712F3A5F" w14:textId="1DA9AF7A" w:rsidR="00B50EF1" w:rsidRPr="00583391" w:rsidRDefault="00C022A9" w:rsidP="003E2130">
      <w:pPr>
        <w:pStyle w:val="NoSpacing"/>
        <w:rPr>
          <w:szCs w:val="28"/>
        </w:rPr>
      </w:pPr>
      <w:r w:rsidRPr="00583391">
        <w:rPr>
          <w:szCs w:val="28"/>
        </w:rPr>
        <w:t>1</w:t>
      </w:r>
      <w:r w:rsidR="00A55B4D" w:rsidRPr="00583391">
        <w:rPr>
          <w:szCs w:val="28"/>
        </w:rPr>
        <w:t>5</w:t>
      </w:r>
      <w:r w:rsidR="00B50EF1" w:rsidRPr="00583391">
        <w:rPr>
          <w:szCs w:val="28"/>
        </w:rPr>
        <w:t>.</w:t>
      </w:r>
      <w:r w:rsidR="00F77517">
        <w:rPr>
          <w:szCs w:val="28"/>
        </w:rPr>
        <w:t> </w:t>
      </w:r>
      <w:r w:rsidR="00B50EF1" w:rsidRPr="00583391">
        <w:rPr>
          <w:szCs w:val="28"/>
        </w:rPr>
        <w:t xml:space="preserve">Atzīt par spēku zaudējušiem </w:t>
      </w:r>
      <w:r w:rsidR="00B50EF1" w:rsidRPr="00583391">
        <w:rPr>
          <w:noProof/>
          <w:szCs w:val="28"/>
        </w:rPr>
        <w:t>Ministru kabineta 2004.gada 20.</w:t>
      </w:r>
      <w:r w:rsidR="00F77517">
        <w:rPr>
          <w:noProof/>
          <w:szCs w:val="28"/>
        </w:rPr>
        <w:t>aprīļa noteikumus Nr.</w:t>
      </w:r>
      <w:r w:rsidR="00B50EF1" w:rsidRPr="00583391">
        <w:rPr>
          <w:noProof/>
          <w:szCs w:val="28"/>
        </w:rPr>
        <w:t xml:space="preserve">354 </w:t>
      </w:r>
      <w:r w:rsidR="003E2130">
        <w:rPr>
          <w:noProof/>
          <w:szCs w:val="28"/>
        </w:rPr>
        <w:t>"</w:t>
      </w:r>
      <w:r w:rsidR="00B50EF1" w:rsidRPr="00583391">
        <w:rPr>
          <w:noProof/>
          <w:szCs w:val="28"/>
        </w:rPr>
        <w:t>Noteikumi par būtiskajām prasībām kosmētikas līdzekļiem un to uzraudzības kārtību</w:t>
      </w:r>
      <w:r w:rsidR="003E2130">
        <w:rPr>
          <w:noProof/>
          <w:szCs w:val="28"/>
        </w:rPr>
        <w:t>"</w:t>
      </w:r>
      <w:r w:rsidR="00B50EF1" w:rsidRPr="00583391">
        <w:rPr>
          <w:szCs w:val="28"/>
        </w:rPr>
        <w:t xml:space="preserve"> (</w:t>
      </w:r>
      <w:r w:rsidR="00B50EF1" w:rsidRPr="00583391">
        <w:rPr>
          <w:noProof/>
          <w:szCs w:val="28"/>
        </w:rPr>
        <w:t xml:space="preserve">Latvijas Vēstnesis, 2004, 68., 185.nr.; 2005, 8., </w:t>
      </w:r>
      <w:r w:rsidR="00B50EF1" w:rsidRPr="00583391">
        <w:rPr>
          <w:szCs w:val="28"/>
        </w:rPr>
        <w:t>63., 157., 201.nr.; 2006, 90., 149.nr.; 2007, 33., 108., 160.nr.; 2008, 29., 122.nr.; 2009, 29., 85., 154.nr.; 2010, 16., 68.nr.; 2011, 78., 203.nr.</w:t>
      </w:r>
      <w:r w:rsidR="00AA2E90" w:rsidRPr="00583391">
        <w:rPr>
          <w:szCs w:val="28"/>
        </w:rPr>
        <w:t xml:space="preserve">; 2012, </w:t>
      </w:r>
      <w:r w:rsidR="00426DE3" w:rsidRPr="00583391">
        <w:rPr>
          <w:szCs w:val="28"/>
        </w:rPr>
        <w:t>169</w:t>
      </w:r>
      <w:r w:rsidR="00AA2E90" w:rsidRPr="00583391">
        <w:rPr>
          <w:szCs w:val="28"/>
        </w:rPr>
        <w:t>.nr.</w:t>
      </w:r>
      <w:r w:rsidR="00B974A4" w:rsidRPr="00583391">
        <w:rPr>
          <w:szCs w:val="28"/>
        </w:rPr>
        <w:t>;</w:t>
      </w:r>
      <w:r w:rsidR="002430B9">
        <w:rPr>
          <w:szCs w:val="28"/>
        </w:rPr>
        <w:t xml:space="preserve"> </w:t>
      </w:r>
      <w:r w:rsidR="00B974A4" w:rsidRPr="00583391">
        <w:rPr>
          <w:szCs w:val="28"/>
        </w:rPr>
        <w:t xml:space="preserve">2013, </w:t>
      </w:r>
      <w:r w:rsidR="007F17FD">
        <w:rPr>
          <w:szCs w:val="28"/>
        </w:rPr>
        <w:t>44.nr.</w:t>
      </w:r>
      <w:r w:rsidR="00B50EF1" w:rsidRPr="00583391">
        <w:rPr>
          <w:szCs w:val="28"/>
        </w:rPr>
        <w:t>)</w:t>
      </w:r>
      <w:r w:rsidR="00E16F23">
        <w:rPr>
          <w:szCs w:val="28"/>
        </w:rPr>
        <w:t>.</w:t>
      </w:r>
      <w:r w:rsidR="00B50EF1" w:rsidRPr="00583391">
        <w:rPr>
          <w:szCs w:val="28"/>
        </w:rPr>
        <w:t xml:space="preserve"> </w:t>
      </w:r>
    </w:p>
    <w:p w14:paraId="712F3A60" w14:textId="77777777" w:rsidR="00B50EF1" w:rsidRPr="00583391" w:rsidRDefault="00B50EF1" w:rsidP="003E2130">
      <w:pPr>
        <w:pStyle w:val="NoSpacing"/>
        <w:rPr>
          <w:szCs w:val="28"/>
        </w:rPr>
      </w:pPr>
      <w:bookmarkStart w:id="5" w:name="p6"/>
      <w:bookmarkEnd w:id="5"/>
    </w:p>
    <w:p w14:paraId="712F3A61" w14:textId="4F5CB107" w:rsidR="00235802" w:rsidRPr="00583391" w:rsidRDefault="008C041F" w:rsidP="003E2130">
      <w:pPr>
        <w:pStyle w:val="NoSpacing"/>
        <w:rPr>
          <w:szCs w:val="28"/>
        </w:rPr>
      </w:pPr>
      <w:proofErr w:type="gramStart"/>
      <w:r w:rsidRPr="00583391">
        <w:rPr>
          <w:szCs w:val="28"/>
        </w:rPr>
        <w:t>1</w:t>
      </w:r>
      <w:r w:rsidR="00A55B4D" w:rsidRPr="00583391">
        <w:rPr>
          <w:szCs w:val="28"/>
        </w:rPr>
        <w:t>6</w:t>
      </w:r>
      <w:r w:rsidR="00B50EF1" w:rsidRPr="00583391">
        <w:rPr>
          <w:szCs w:val="28"/>
        </w:rPr>
        <w:t>.</w:t>
      </w:r>
      <w:r w:rsidR="00F77517">
        <w:rPr>
          <w:szCs w:val="28"/>
        </w:rPr>
        <w:t> </w:t>
      </w:r>
      <w:r w:rsidR="00B50EF1" w:rsidRPr="00583391">
        <w:rPr>
          <w:szCs w:val="28"/>
        </w:rPr>
        <w:t>Noteikumi</w:t>
      </w:r>
      <w:proofErr w:type="gramEnd"/>
      <w:r w:rsidR="00B50EF1" w:rsidRPr="00583391">
        <w:rPr>
          <w:szCs w:val="28"/>
        </w:rPr>
        <w:t xml:space="preserve"> </w:t>
      </w:r>
      <w:r w:rsidR="001F13A2" w:rsidRPr="00583391">
        <w:rPr>
          <w:szCs w:val="28"/>
        </w:rPr>
        <w:t>stājas spēkā</w:t>
      </w:r>
      <w:r w:rsidR="00B50EF1" w:rsidRPr="00583391">
        <w:rPr>
          <w:szCs w:val="28"/>
        </w:rPr>
        <w:t xml:space="preserve"> </w:t>
      </w:r>
      <w:r w:rsidR="00235802" w:rsidRPr="00583391">
        <w:rPr>
          <w:szCs w:val="28"/>
        </w:rPr>
        <w:t>2013.gada 11.jūlijā.</w:t>
      </w:r>
    </w:p>
    <w:p w14:paraId="712F3A62" w14:textId="77777777" w:rsidR="00235802" w:rsidRPr="00583391" w:rsidRDefault="00235802" w:rsidP="003E2130">
      <w:pPr>
        <w:pStyle w:val="NoSpacing"/>
        <w:rPr>
          <w:szCs w:val="28"/>
        </w:rPr>
      </w:pPr>
    </w:p>
    <w:p w14:paraId="712F3A63" w14:textId="01788B1C" w:rsidR="00671C41" w:rsidRDefault="00671C41" w:rsidP="003E2130">
      <w:pPr>
        <w:pStyle w:val="NoSpacing"/>
      </w:pPr>
      <w:bookmarkStart w:id="6" w:name="416956"/>
      <w:r w:rsidRPr="00671C41">
        <w:t>17.</w:t>
      </w:r>
      <w:r w:rsidR="00F77517">
        <w:t> </w:t>
      </w:r>
      <w:r w:rsidR="003C1DA6">
        <w:t>Š</w:t>
      </w:r>
      <w:r w:rsidRPr="00671C41">
        <w:t>o noteikumu 14.punkts ir spēkā līdz 2020.gada 11.jūlijam</w:t>
      </w:r>
      <w:r w:rsidRPr="00D3198B">
        <w:t>.</w:t>
      </w:r>
    </w:p>
    <w:p w14:paraId="712F3A64" w14:textId="77777777" w:rsidR="00671C41" w:rsidRPr="003C1DA6" w:rsidRDefault="00671C41" w:rsidP="003E2130">
      <w:pPr>
        <w:jc w:val="center"/>
        <w:rPr>
          <w:lang w:val="lv-LV"/>
        </w:rPr>
      </w:pPr>
    </w:p>
    <w:p w14:paraId="712F3A65" w14:textId="77777777" w:rsidR="00B50EF1" w:rsidRPr="007519DA" w:rsidRDefault="00B50EF1" w:rsidP="003E2130">
      <w:pPr>
        <w:jc w:val="center"/>
        <w:rPr>
          <w:b/>
          <w:bCs/>
          <w:sz w:val="28"/>
          <w:szCs w:val="28"/>
          <w:lang w:val="lv-LV" w:eastAsia="lv-LV"/>
        </w:rPr>
      </w:pPr>
      <w:r w:rsidRPr="007519DA">
        <w:rPr>
          <w:b/>
          <w:bCs/>
          <w:sz w:val="28"/>
          <w:szCs w:val="28"/>
          <w:lang w:val="lv-LV" w:eastAsia="lv-LV"/>
        </w:rPr>
        <w:t>Informatīva atsauce uz Eiropas Savienības direktīvām</w:t>
      </w:r>
      <w:bookmarkEnd w:id="6"/>
    </w:p>
    <w:p w14:paraId="712F3A66" w14:textId="77777777" w:rsidR="00B50EF1" w:rsidRPr="007519DA" w:rsidRDefault="00B50EF1" w:rsidP="003E2130">
      <w:pPr>
        <w:rPr>
          <w:sz w:val="28"/>
          <w:szCs w:val="28"/>
          <w:lang w:val="lv-LV" w:eastAsia="lv-LV"/>
        </w:rPr>
      </w:pPr>
    </w:p>
    <w:p w14:paraId="712F3A67" w14:textId="75983AE6" w:rsidR="00B50EF1" w:rsidRPr="007519DA" w:rsidRDefault="00B50EF1" w:rsidP="003E2130">
      <w:pPr>
        <w:ind w:firstLine="709"/>
        <w:rPr>
          <w:sz w:val="28"/>
          <w:szCs w:val="28"/>
          <w:lang w:val="lv-LV" w:eastAsia="lv-LV"/>
        </w:rPr>
      </w:pPr>
      <w:r w:rsidRPr="007519DA">
        <w:rPr>
          <w:sz w:val="28"/>
          <w:szCs w:val="28"/>
          <w:lang w:val="lv-LV" w:eastAsia="lv-LV"/>
        </w:rPr>
        <w:t>Noteikumos iekļautas tiesību normas, kas izriet no</w:t>
      </w:r>
      <w:r w:rsidR="00F046CC" w:rsidRPr="007519DA">
        <w:rPr>
          <w:sz w:val="28"/>
          <w:szCs w:val="28"/>
          <w:lang w:val="lv-LV" w:eastAsia="lv-LV"/>
        </w:rPr>
        <w:t>:</w:t>
      </w:r>
    </w:p>
    <w:p w14:paraId="1D285FCD" w14:textId="4C17DFE0" w:rsidR="003E2130" w:rsidRDefault="00B50EF1" w:rsidP="003E2130">
      <w:pPr>
        <w:pStyle w:val="NoSpacing"/>
      </w:pPr>
      <w:bookmarkStart w:id="7" w:name="p20"/>
      <w:bookmarkStart w:id="8" w:name="p59"/>
      <w:bookmarkStart w:id="9" w:name="p64"/>
      <w:bookmarkStart w:id="10" w:name="p65"/>
      <w:bookmarkEnd w:id="7"/>
      <w:bookmarkEnd w:id="8"/>
      <w:bookmarkEnd w:id="9"/>
      <w:bookmarkEnd w:id="10"/>
      <w:r w:rsidRPr="007519DA">
        <w:t>1)</w:t>
      </w:r>
      <w:r w:rsidR="00F77517">
        <w:t> </w:t>
      </w:r>
      <w:r w:rsidRPr="007519DA">
        <w:t>Komisijas 1980.gada 22.decembra Pirmā</w:t>
      </w:r>
      <w:r w:rsidR="000A78BC">
        <w:t>s</w:t>
      </w:r>
      <w:r w:rsidRPr="007519DA">
        <w:t xml:space="preserve"> direktīva</w:t>
      </w:r>
      <w:r w:rsidR="000A78BC">
        <w:t>s</w:t>
      </w:r>
      <w:r w:rsidRPr="007519DA">
        <w:t xml:space="preserve"> </w:t>
      </w:r>
      <w:hyperlink r:id="rId21" w:tgtFrame="_blank" w:tooltip="Atvērt direktīvu latviešu valodā" w:history="1">
        <w:r w:rsidRPr="007519DA">
          <w:rPr>
            <w:rStyle w:val="Hyperlink"/>
            <w:color w:val="auto"/>
            <w:szCs w:val="28"/>
            <w:u w:val="none"/>
          </w:rPr>
          <w:t>80/1335/EEK</w:t>
        </w:r>
      </w:hyperlink>
      <w:r w:rsidRPr="007519DA">
        <w:t xml:space="preserve"> par dalībvalstu tiesību aktu tuvināšanu attiecībā uz analīzes metodēm, kas vajadzīgas, lai pārbaudītu kosmētikas līdzekļu sastāvu; </w:t>
      </w:r>
    </w:p>
    <w:p w14:paraId="167FD8B7" w14:textId="204BAD9A" w:rsidR="003E2130" w:rsidRDefault="00B50EF1" w:rsidP="003E2130">
      <w:pPr>
        <w:pStyle w:val="NoSpacing"/>
      </w:pPr>
      <w:r w:rsidRPr="007519DA">
        <w:t>2)</w:t>
      </w:r>
      <w:r w:rsidR="00F77517">
        <w:t> </w:t>
      </w:r>
      <w:r w:rsidRPr="007519DA">
        <w:t>Komisijas 1982.gada 14.maija Otrā</w:t>
      </w:r>
      <w:r w:rsidR="000A78BC">
        <w:t>s</w:t>
      </w:r>
      <w:r w:rsidRPr="007519DA">
        <w:t xml:space="preserve"> direktīva</w:t>
      </w:r>
      <w:r w:rsidR="000A78BC">
        <w:t>s</w:t>
      </w:r>
      <w:r w:rsidRPr="007519DA">
        <w:t xml:space="preserve"> </w:t>
      </w:r>
      <w:hyperlink r:id="rId22" w:tgtFrame="_blank" w:tooltip="Atvērt direktīvu latviešu valodā" w:history="1">
        <w:r w:rsidRPr="007519DA">
          <w:rPr>
            <w:rStyle w:val="Hyperlink"/>
            <w:color w:val="auto"/>
            <w:szCs w:val="28"/>
            <w:u w:val="none"/>
          </w:rPr>
          <w:t>82/434/EEK</w:t>
        </w:r>
      </w:hyperlink>
      <w:r w:rsidRPr="007519DA">
        <w:t xml:space="preserve"> par dalībvalstu tiesību aktu tuvināšanu attiecībā uz analīzes metodēm, kas vajadzīgas, lai pārbaudītu kosmētikas līdzekļu sastāvu; </w:t>
      </w:r>
    </w:p>
    <w:p w14:paraId="743B8C11" w14:textId="13D5A064" w:rsidR="003E2130" w:rsidRDefault="00B50EF1" w:rsidP="003E2130">
      <w:pPr>
        <w:pStyle w:val="NoSpacing"/>
      </w:pPr>
      <w:r w:rsidRPr="007519DA">
        <w:t>3)</w:t>
      </w:r>
      <w:r w:rsidR="00F77517">
        <w:t> </w:t>
      </w:r>
      <w:r w:rsidRPr="007519DA">
        <w:t>Komisijas 1983.gada 27.septembra Trešā</w:t>
      </w:r>
      <w:r w:rsidR="000A78BC">
        <w:t>s</w:t>
      </w:r>
      <w:r w:rsidRPr="007519DA">
        <w:t xml:space="preserve"> direktīva</w:t>
      </w:r>
      <w:r w:rsidR="000A78BC">
        <w:t>s</w:t>
      </w:r>
      <w:r w:rsidRPr="007519DA">
        <w:t xml:space="preserve"> </w:t>
      </w:r>
      <w:hyperlink r:id="rId23" w:tgtFrame="_blank" w:tooltip="Atvērt direktīvu latviešu valodā" w:history="1">
        <w:r w:rsidRPr="007519DA">
          <w:rPr>
            <w:rStyle w:val="Hyperlink"/>
            <w:color w:val="auto"/>
            <w:szCs w:val="28"/>
            <w:u w:val="none"/>
          </w:rPr>
          <w:t>83/514/EEK</w:t>
        </w:r>
      </w:hyperlink>
      <w:r w:rsidRPr="007519DA">
        <w:t xml:space="preserve"> par dalībvalstu tiesību aktu tuvināšanu attiecībā uz analīzes metodēm, kuras vajadzīgas, lai pārbaudītu kosmētikas līdzekļu sastāvu; </w:t>
      </w:r>
    </w:p>
    <w:p w14:paraId="52C6B9F9" w14:textId="3D44FE85" w:rsidR="003E2130" w:rsidRDefault="00B50EF1" w:rsidP="003E2130">
      <w:pPr>
        <w:pStyle w:val="NoSpacing"/>
      </w:pPr>
      <w:r w:rsidRPr="007519DA">
        <w:t>4)</w:t>
      </w:r>
      <w:r w:rsidR="00F77517">
        <w:t> </w:t>
      </w:r>
      <w:r w:rsidRPr="007519DA">
        <w:t>Komisijas 1985.gada 11.oktobra Ceturtā</w:t>
      </w:r>
      <w:r w:rsidR="000A78BC">
        <w:t>s</w:t>
      </w:r>
      <w:r w:rsidRPr="007519DA">
        <w:t xml:space="preserve"> direktīva</w:t>
      </w:r>
      <w:r w:rsidR="000A78BC">
        <w:t>s</w:t>
      </w:r>
      <w:r w:rsidRPr="007519DA">
        <w:t xml:space="preserve"> </w:t>
      </w:r>
      <w:hyperlink r:id="rId24" w:tgtFrame="_blank" w:tooltip="Atvērt direktīvu latviešu valodā" w:history="1">
        <w:r w:rsidRPr="007519DA">
          <w:rPr>
            <w:rStyle w:val="Hyperlink"/>
            <w:color w:val="auto"/>
            <w:szCs w:val="28"/>
            <w:u w:val="none"/>
          </w:rPr>
          <w:t>85/490/EEK</w:t>
        </w:r>
      </w:hyperlink>
      <w:r w:rsidRPr="007519DA">
        <w:t xml:space="preserve"> par dalībvalstu tiesību aktu tuvināšanu attiecībā uz analīzes metodēm, kuras vajadzīgas, lai pārbaudītu kosmētikas līdzekļu sastāvu; </w:t>
      </w:r>
    </w:p>
    <w:p w14:paraId="7B840D2B" w14:textId="61E3D49D" w:rsidR="003E2130" w:rsidRDefault="00B50EF1" w:rsidP="003E2130">
      <w:pPr>
        <w:pStyle w:val="NoSpacing"/>
      </w:pPr>
      <w:r w:rsidRPr="007519DA">
        <w:t>5)</w:t>
      </w:r>
      <w:r w:rsidR="00F77517">
        <w:t> </w:t>
      </w:r>
      <w:r w:rsidRPr="007519DA">
        <w:t>Komisijas 1993.gada 9.septembra Piektā</w:t>
      </w:r>
      <w:r w:rsidR="000A78BC">
        <w:t>s</w:t>
      </w:r>
      <w:r w:rsidRPr="007519DA">
        <w:t xml:space="preserve"> direktīva</w:t>
      </w:r>
      <w:r w:rsidR="000A78BC">
        <w:t>s</w:t>
      </w:r>
      <w:r w:rsidRPr="007519DA">
        <w:t xml:space="preserve"> </w:t>
      </w:r>
      <w:hyperlink r:id="rId25" w:tgtFrame="_blank" w:tooltip="Atvērt direktīvu latviešu valodā" w:history="1">
        <w:r w:rsidRPr="007519DA">
          <w:rPr>
            <w:rStyle w:val="Hyperlink"/>
            <w:color w:val="auto"/>
            <w:szCs w:val="28"/>
            <w:u w:val="none"/>
          </w:rPr>
          <w:t>93/73/EEK</w:t>
        </w:r>
      </w:hyperlink>
      <w:r w:rsidRPr="007519DA">
        <w:t xml:space="preserve"> par analīzes metodēm, kas vajadzīgas, lai pārbaudītu kosmētikas līdzekļu sastāvu; </w:t>
      </w:r>
    </w:p>
    <w:p w14:paraId="5AD21C88" w14:textId="3752FB50" w:rsidR="003E2130" w:rsidRDefault="00B50EF1" w:rsidP="003E2130">
      <w:pPr>
        <w:pStyle w:val="NoSpacing"/>
      </w:pPr>
      <w:r w:rsidRPr="007519DA">
        <w:t>6)</w:t>
      </w:r>
      <w:r w:rsidR="00F77517">
        <w:t> </w:t>
      </w:r>
      <w:r w:rsidRPr="007519DA">
        <w:t>Komisijas 1995.gada 7.jūlij</w:t>
      </w:r>
      <w:r w:rsidR="00F77517">
        <w:t>a</w:t>
      </w:r>
      <w:r w:rsidRPr="007519DA">
        <w:t xml:space="preserve"> Sestā</w:t>
      </w:r>
      <w:r w:rsidR="000A78BC">
        <w:t>s</w:t>
      </w:r>
      <w:r w:rsidRPr="007519DA">
        <w:t xml:space="preserve"> direktīva</w:t>
      </w:r>
      <w:r w:rsidR="000A78BC">
        <w:t>s</w:t>
      </w:r>
      <w:r w:rsidRPr="007519DA">
        <w:t xml:space="preserve"> </w:t>
      </w:r>
      <w:hyperlink r:id="rId26" w:tgtFrame="_blank" w:tooltip="Atvērt direktīvu latviešu valodā" w:history="1">
        <w:r w:rsidRPr="007519DA">
          <w:rPr>
            <w:rStyle w:val="Hyperlink"/>
            <w:color w:val="auto"/>
            <w:szCs w:val="28"/>
            <w:u w:val="none"/>
          </w:rPr>
          <w:t>95/32/EK</w:t>
        </w:r>
      </w:hyperlink>
      <w:r w:rsidRPr="007519DA">
        <w:t xml:space="preserve"> attiecībā uz analīzes metodēm, kas vajadzīgas, lai pārbaudītu kosmētikas līdzekļu sastāvu; </w:t>
      </w:r>
    </w:p>
    <w:p w14:paraId="46F3467C" w14:textId="1A6C8C3B" w:rsidR="003E2130" w:rsidRDefault="00B50EF1" w:rsidP="003E2130">
      <w:pPr>
        <w:pStyle w:val="NoSpacing"/>
      </w:pPr>
      <w:r w:rsidRPr="007519DA">
        <w:t>7)</w:t>
      </w:r>
      <w:r w:rsidR="00F77517">
        <w:t> </w:t>
      </w:r>
      <w:r w:rsidRPr="007519DA">
        <w:t>Komisijas 1996.gada 2.jūlija Septītā</w:t>
      </w:r>
      <w:r w:rsidR="000A78BC">
        <w:t>s</w:t>
      </w:r>
      <w:r w:rsidRPr="007519DA">
        <w:t xml:space="preserve"> direktīva</w:t>
      </w:r>
      <w:r w:rsidR="000A78BC">
        <w:t>s</w:t>
      </w:r>
      <w:r w:rsidRPr="007519DA">
        <w:t xml:space="preserve"> </w:t>
      </w:r>
      <w:hyperlink r:id="rId27" w:tgtFrame="_blank" w:tooltip="Atvērt direktīvu latviešu valodā" w:history="1">
        <w:r w:rsidRPr="007519DA">
          <w:rPr>
            <w:rStyle w:val="Hyperlink"/>
            <w:color w:val="auto"/>
            <w:szCs w:val="28"/>
            <w:u w:val="none"/>
          </w:rPr>
          <w:t>96/45/EK</w:t>
        </w:r>
      </w:hyperlink>
      <w:r w:rsidRPr="007519DA">
        <w:t xml:space="preserve"> attiecībā uz analīzes metodēm, kas vajadzīgas, lai pārbaudītu kosmētikas līdzekļu sastāvu; </w:t>
      </w:r>
    </w:p>
    <w:p w14:paraId="4724AFAF" w14:textId="77777777" w:rsidR="003E2130" w:rsidRDefault="003E2130">
      <w:pPr>
        <w:rPr>
          <w:sz w:val="28"/>
          <w:szCs w:val="20"/>
          <w:lang w:val="lv-LV"/>
        </w:rPr>
      </w:pPr>
      <w:r w:rsidRPr="00FA01E8">
        <w:rPr>
          <w:lang w:val="lv-LV"/>
        </w:rPr>
        <w:br w:type="page"/>
      </w:r>
    </w:p>
    <w:p w14:paraId="712F3A68" w14:textId="7EDA9EDC" w:rsidR="00B50EF1" w:rsidRPr="001A543F" w:rsidRDefault="00B50EF1" w:rsidP="003E2130">
      <w:pPr>
        <w:pStyle w:val="NoSpacing"/>
        <w:rPr>
          <w:i/>
          <w:iCs/>
          <w:lang w:eastAsia="lv-LV"/>
        </w:rPr>
      </w:pPr>
      <w:r w:rsidRPr="007519DA">
        <w:lastRenderedPageBreak/>
        <w:t>8)</w:t>
      </w:r>
      <w:r w:rsidR="00F77517">
        <w:t> </w:t>
      </w:r>
      <w:r w:rsidRPr="007519DA">
        <w:t>Komisijas 1990.gada 4.aprīļa Direktīva</w:t>
      </w:r>
      <w:r w:rsidR="000A78BC">
        <w:t>s</w:t>
      </w:r>
      <w:r w:rsidRPr="007519DA">
        <w:t xml:space="preserve"> </w:t>
      </w:r>
      <w:hyperlink r:id="rId28" w:tgtFrame="_blank" w:tooltip="Atvērt direktīvu latviešu valodā" w:history="1">
        <w:r w:rsidRPr="007519DA">
          <w:rPr>
            <w:rStyle w:val="Hyperlink"/>
            <w:color w:val="auto"/>
            <w:szCs w:val="28"/>
            <w:u w:val="none"/>
          </w:rPr>
          <w:t>90/207/EEK</w:t>
        </w:r>
      </w:hyperlink>
      <w:r w:rsidRPr="007519DA">
        <w:t xml:space="preserve">, ar kuru groza Otro direktīvu </w:t>
      </w:r>
      <w:hyperlink r:id="rId29" w:tgtFrame="_blank" w:tooltip="Atvērt direktīvu latviešu valodā" w:history="1">
        <w:r w:rsidRPr="007519DA">
          <w:rPr>
            <w:rStyle w:val="Hyperlink"/>
            <w:color w:val="auto"/>
            <w:szCs w:val="28"/>
            <w:u w:val="none"/>
          </w:rPr>
          <w:t>82/434/EEK</w:t>
        </w:r>
      </w:hyperlink>
      <w:r w:rsidRPr="007519DA">
        <w:t xml:space="preserve"> par dalībvalstu tiesību aktu tuvināšanu</w:t>
      </w:r>
      <w:r w:rsidRPr="001A543F">
        <w:t xml:space="preserve"> attiecībā uz analīzes metodēm, kas vajadzīgas, lai pārbaud</w:t>
      </w:r>
      <w:r w:rsidR="008C041F">
        <w:t>ītu kosmētikas līdzekļu sastāvu.</w:t>
      </w:r>
    </w:p>
    <w:p w14:paraId="712F3A69" w14:textId="77777777" w:rsidR="00B50EF1" w:rsidRPr="001A543F" w:rsidRDefault="00B50EF1" w:rsidP="003E2130">
      <w:pPr>
        <w:rPr>
          <w:i/>
          <w:iCs/>
          <w:sz w:val="28"/>
          <w:szCs w:val="28"/>
          <w:lang w:val="lv-LV" w:eastAsia="lv-LV"/>
        </w:rPr>
      </w:pPr>
    </w:p>
    <w:p w14:paraId="712F3A6A" w14:textId="77777777" w:rsidR="00A65186" w:rsidRDefault="00A65186" w:rsidP="003E2130">
      <w:pPr>
        <w:pStyle w:val="NoSpacing"/>
        <w:ind w:firstLine="0"/>
      </w:pPr>
    </w:p>
    <w:p w14:paraId="2536B6F2" w14:textId="77777777" w:rsidR="003E2130" w:rsidRDefault="003E2130" w:rsidP="003E2130">
      <w:pPr>
        <w:pStyle w:val="NoSpacing"/>
        <w:ind w:firstLine="709"/>
      </w:pPr>
    </w:p>
    <w:p w14:paraId="712F3A6B" w14:textId="65D6E84C" w:rsidR="00A65186" w:rsidRPr="006D137C" w:rsidRDefault="00A65186" w:rsidP="003E2130">
      <w:pPr>
        <w:pStyle w:val="NoSpacing"/>
        <w:tabs>
          <w:tab w:val="left" w:pos="6521"/>
        </w:tabs>
        <w:ind w:firstLine="709"/>
        <w:rPr>
          <w:sz w:val="14"/>
          <w:szCs w:val="14"/>
        </w:rPr>
      </w:pPr>
      <w:r w:rsidRPr="006D137C">
        <w:t>Ministru prezidents</w:t>
      </w:r>
      <w:r w:rsidRPr="006D137C">
        <w:tab/>
        <w:t>V</w:t>
      </w:r>
      <w:r w:rsidR="003E2130">
        <w:t xml:space="preserve">aldis </w:t>
      </w:r>
      <w:r w:rsidRPr="006D137C">
        <w:t>Dombrovskis</w:t>
      </w:r>
    </w:p>
    <w:p w14:paraId="712F3A6C" w14:textId="77777777" w:rsidR="00A65186" w:rsidRDefault="00A65186" w:rsidP="003E2130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3F152666" w14:textId="77777777" w:rsidR="003E2130" w:rsidRDefault="003E2130" w:rsidP="003E2130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712F3A6D" w14:textId="77777777" w:rsidR="00A65186" w:rsidRPr="006D137C" w:rsidRDefault="00A65186" w:rsidP="003E2130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712F3A6E" w14:textId="3E45AD5F" w:rsidR="00A65186" w:rsidRPr="006D137C" w:rsidRDefault="00A65186" w:rsidP="003E2130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Veselības ministre</w:t>
      </w:r>
      <w:r w:rsidRPr="006D137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I</w:t>
      </w:r>
      <w:r w:rsidR="003E2130">
        <w:rPr>
          <w:sz w:val="28"/>
          <w:szCs w:val="28"/>
          <w:lang w:val="lv-LV"/>
        </w:rPr>
        <w:t xml:space="preserve">ngrīda </w:t>
      </w:r>
      <w:r>
        <w:rPr>
          <w:sz w:val="28"/>
          <w:szCs w:val="28"/>
          <w:lang w:val="lv-LV"/>
        </w:rPr>
        <w:t>Circene</w:t>
      </w:r>
    </w:p>
    <w:p w14:paraId="712F3A6F" w14:textId="77777777" w:rsidR="00A65186" w:rsidRPr="006D137C" w:rsidRDefault="00A65186" w:rsidP="003E2130">
      <w:pPr>
        <w:pStyle w:val="NoSpacing"/>
        <w:ind w:firstLine="709"/>
      </w:pPr>
    </w:p>
    <w:sectPr w:rsidR="00A65186" w:rsidRPr="006D137C" w:rsidSect="003E2130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F3A82" w14:textId="77777777" w:rsidR="0089374D" w:rsidRDefault="0089374D">
      <w:r>
        <w:separator/>
      </w:r>
    </w:p>
  </w:endnote>
  <w:endnote w:type="continuationSeparator" w:id="0">
    <w:p w14:paraId="712F3A83" w14:textId="77777777" w:rsidR="0089374D" w:rsidRDefault="0089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6CD7" w14:textId="77777777" w:rsidR="003E2130" w:rsidRPr="003E2130" w:rsidRDefault="003E2130" w:rsidP="003E2130">
    <w:pPr>
      <w:pStyle w:val="Heading1"/>
      <w:jc w:val="both"/>
      <w:rPr>
        <w:rFonts w:ascii="Arial Unicode MS" w:eastAsia="Arial Unicode MS" w:hAnsi="Arial Unicode MS" w:cs="Arial Unicode MS"/>
        <w:noProof/>
        <w:sz w:val="16"/>
        <w:szCs w:val="16"/>
        <w:lang w:val="lv-LV"/>
      </w:rPr>
    </w:pPr>
    <w:r w:rsidRPr="003E2130">
      <w:rPr>
        <w:b w:val="0"/>
        <w:sz w:val="16"/>
        <w:szCs w:val="16"/>
        <w:lang w:val="lv-LV"/>
      </w:rPr>
      <w:t>N1142_3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F3A8C" w14:textId="7D5981E4" w:rsidR="0089374D" w:rsidRPr="003E2130" w:rsidRDefault="003E2130" w:rsidP="007A5B32">
    <w:pPr>
      <w:pStyle w:val="Heading1"/>
      <w:jc w:val="both"/>
      <w:rPr>
        <w:rFonts w:ascii="Arial Unicode MS" w:eastAsia="Arial Unicode MS" w:hAnsi="Arial Unicode MS" w:cs="Arial Unicode MS"/>
        <w:noProof/>
        <w:sz w:val="16"/>
        <w:szCs w:val="16"/>
        <w:lang w:val="lv-LV"/>
      </w:rPr>
    </w:pPr>
    <w:r w:rsidRPr="003E2130">
      <w:rPr>
        <w:b w:val="0"/>
        <w:sz w:val="16"/>
        <w:szCs w:val="16"/>
        <w:lang w:val="lv-LV"/>
      </w:rPr>
      <w:t>N1142_3</w:t>
    </w:r>
    <w:r w:rsidR="00FA01E8">
      <w:rPr>
        <w:b w:val="0"/>
        <w:sz w:val="16"/>
        <w:szCs w:val="16"/>
        <w:lang w:val="lv-LV"/>
      </w:rPr>
      <w:t xml:space="preserve"> </w:t>
    </w:r>
    <w:proofErr w:type="spellStart"/>
    <w:r w:rsidR="00FA01E8">
      <w:rPr>
        <w:b w:val="0"/>
        <w:sz w:val="16"/>
        <w:szCs w:val="16"/>
        <w:lang w:val="lv-LV"/>
      </w:rPr>
      <w:t>v_sk</w:t>
    </w:r>
    <w:proofErr w:type="spellEnd"/>
    <w:r w:rsidR="00FA01E8">
      <w:rPr>
        <w:b w:val="0"/>
        <w:sz w:val="16"/>
        <w:szCs w:val="16"/>
        <w:lang w:val="lv-LV"/>
      </w:rPr>
      <w:t xml:space="preserve">. = </w:t>
    </w:r>
    <w:r w:rsidR="00FA01E8">
      <w:rPr>
        <w:b w:val="0"/>
        <w:sz w:val="16"/>
        <w:szCs w:val="16"/>
        <w:lang w:val="lv-LV"/>
      </w:rPr>
      <w:fldChar w:fldCharType="begin"/>
    </w:r>
    <w:r w:rsidR="00FA01E8">
      <w:rPr>
        <w:b w:val="0"/>
        <w:sz w:val="16"/>
        <w:szCs w:val="16"/>
        <w:lang w:val="lv-LV"/>
      </w:rPr>
      <w:instrText xml:space="preserve"> NUMWORDS  \* MERGEFORMAT </w:instrText>
    </w:r>
    <w:r w:rsidR="00FA01E8">
      <w:rPr>
        <w:b w:val="0"/>
        <w:sz w:val="16"/>
        <w:szCs w:val="16"/>
        <w:lang w:val="lv-LV"/>
      </w:rPr>
      <w:fldChar w:fldCharType="separate"/>
    </w:r>
    <w:r w:rsidR="00E16F23">
      <w:rPr>
        <w:b w:val="0"/>
        <w:noProof/>
        <w:sz w:val="16"/>
        <w:szCs w:val="16"/>
        <w:lang w:val="lv-LV"/>
      </w:rPr>
      <w:t>765</w:t>
    </w:r>
    <w:r w:rsidR="00FA01E8">
      <w:rPr>
        <w:b w:val="0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F3A80" w14:textId="77777777" w:rsidR="0089374D" w:rsidRDefault="0089374D">
      <w:r>
        <w:separator/>
      </w:r>
    </w:p>
  </w:footnote>
  <w:footnote w:type="continuationSeparator" w:id="0">
    <w:p w14:paraId="712F3A81" w14:textId="77777777" w:rsidR="0089374D" w:rsidRDefault="0089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F3A84" w14:textId="77777777" w:rsidR="0089374D" w:rsidRDefault="00AE0A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37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F3A85" w14:textId="77777777" w:rsidR="0089374D" w:rsidRDefault="00893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F3A86" w14:textId="77777777" w:rsidR="0089374D" w:rsidRPr="003E2130" w:rsidRDefault="00AE0AD3">
    <w:pPr>
      <w:pStyle w:val="Header"/>
      <w:framePr w:wrap="around" w:vAnchor="text" w:hAnchor="margin" w:xAlign="center" w:y="1"/>
      <w:rPr>
        <w:rStyle w:val="PageNumber"/>
        <w:sz w:val="24"/>
      </w:rPr>
    </w:pPr>
    <w:r w:rsidRPr="003E2130">
      <w:rPr>
        <w:rStyle w:val="PageNumber"/>
        <w:sz w:val="24"/>
      </w:rPr>
      <w:fldChar w:fldCharType="begin"/>
    </w:r>
    <w:r w:rsidR="0089374D" w:rsidRPr="003E2130">
      <w:rPr>
        <w:rStyle w:val="PageNumber"/>
        <w:sz w:val="24"/>
      </w:rPr>
      <w:instrText xml:space="preserve">PAGE  </w:instrText>
    </w:r>
    <w:r w:rsidRPr="003E2130">
      <w:rPr>
        <w:rStyle w:val="PageNumber"/>
        <w:sz w:val="24"/>
      </w:rPr>
      <w:fldChar w:fldCharType="separate"/>
    </w:r>
    <w:r w:rsidR="006938E2">
      <w:rPr>
        <w:rStyle w:val="PageNumber"/>
        <w:noProof/>
        <w:sz w:val="24"/>
      </w:rPr>
      <w:t>4</w:t>
    </w:r>
    <w:r w:rsidRPr="003E2130">
      <w:rPr>
        <w:rStyle w:val="PageNumber"/>
        <w:sz w:val="24"/>
      </w:rPr>
      <w:fldChar w:fldCharType="end"/>
    </w:r>
  </w:p>
  <w:p w14:paraId="712F3A87" w14:textId="77777777" w:rsidR="0089374D" w:rsidRDefault="00893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F3A8B" w14:textId="59136D1B" w:rsidR="0089374D" w:rsidRDefault="003E2130" w:rsidP="003E2130">
    <w:pPr>
      <w:pStyle w:val="Header"/>
      <w:jc w:val="center"/>
      <w:rPr>
        <w:i/>
        <w:sz w:val="28"/>
        <w:szCs w:val="28"/>
        <w:lang w:val="lv-LV"/>
      </w:rPr>
    </w:pPr>
    <w:r>
      <w:rPr>
        <w:i/>
        <w:noProof/>
        <w:sz w:val="28"/>
        <w:szCs w:val="28"/>
        <w:lang w:val="lv-LV" w:eastAsia="lv-LV"/>
      </w:rPr>
      <w:drawing>
        <wp:inline distT="0" distB="0" distL="0" distR="0" wp14:anchorId="07BF8172" wp14:editId="7B6B291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9E"/>
    <w:multiLevelType w:val="multilevel"/>
    <w:tmpl w:val="39F4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4D1F57"/>
    <w:multiLevelType w:val="hybridMultilevel"/>
    <w:tmpl w:val="097675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5D00"/>
    <w:multiLevelType w:val="multilevel"/>
    <w:tmpl w:val="F1D07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92D7D"/>
    <w:multiLevelType w:val="hybridMultilevel"/>
    <w:tmpl w:val="63E0F2CE"/>
    <w:lvl w:ilvl="0" w:tplc="2C4E307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CBA6725"/>
    <w:multiLevelType w:val="hybridMultilevel"/>
    <w:tmpl w:val="D18458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FE60CE4"/>
    <w:multiLevelType w:val="hybridMultilevel"/>
    <w:tmpl w:val="0714D8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40117"/>
    <w:multiLevelType w:val="hybridMultilevel"/>
    <w:tmpl w:val="2B665F44"/>
    <w:lvl w:ilvl="0" w:tplc="678E1C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F1101"/>
    <w:multiLevelType w:val="multilevel"/>
    <w:tmpl w:val="0F8A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6041B1"/>
    <w:multiLevelType w:val="hybridMultilevel"/>
    <w:tmpl w:val="C4BAB5A8"/>
    <w:lvl w:ilvl="0" w:tplc="62F2797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E1E25"/>
    <w:multiLevelType w:val="multilevel"/>
    <w:tmpl w:val="70B67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5473FEE"/>
    <w:multiLevelType w:val="hybridMultilevel"/>
    <w:tmpl w:val="5F863700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1FA4"/>
    <w:multiLevelType w:val="hybridMultilevel"/>
    <w:tmpl w:val="3D2C15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F7921"/>
    <w:multiLevelType w:val="hybridMultilevel"/>
    <w:tmpl w:val="34A05D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A33F1A"/>
    <w:multiLevelType w:val="hybridMultilevel"/>
    <w:tmpl w:val="37947CF0"/>
    <w:lvl w:ilvl="0" w:tplc="9A92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4B7610"/>
    <w:multiLevelType w:val="multilevel"/>
    <w:tmpl w:val="854C4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FB7F1D"/>
    <w:multiLevelType w:val="multilevel"/>
    <w:tmpl w:val="BAAC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3CB32D3"/>
    <w:multiLevelType w:val="hybridMultilevel"/>
    <w:tmpl w:val="59B6159A"/>
    <w:lvl w:ilvl="0" w:tplc="F9D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980870"/>
    <w:multiLevelType w:val="hybridMultilevel"/>
    <w:tmpl w:val="D61435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FE4304"/>
    <w:multiLevelType w:val="hybridMultilevel"/>
    <w:tmpl w:val="CC6A845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0442C4"/>
    <w:multiLevelType w:val="multilevel"/>
    <w:tmpl w:val="7D222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70C53E0"/>
    <w:multiLevelType w:val="hybridMultilevel"/>
    <w:tmpl w:val="3BC66A4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55E83"/>
    <w:multiLevelType w:val="multilevel"/>
    <w:tmpl w:val="3C28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BC0CB2"/>
    <w:multiLevelType w:val="hybridMultilevel"/>
    <w:tmpl w:val="8A58D0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76A7A"/>
    <w:multiLevelType w:val="hybridMultilevel"/>
    <w:tmpl w:val="B1BE4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E897907"/>
    <w:multiLevelType w:val="hybridMultilevel"/>
    <w:tmpl w:val="A4921A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E5E69"/>
    <w:multiLevelType w:val="hybridMultilevel"/>
    <w:tmpl w:val="67EAD2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0943349"/>
    <w:multiLevelType w:val="hybridMultilevel"/>
    <w:tmpl w:val="0B8A01B2"/>
    <w:lvl w:ilvl="0" w:tplc="AF5AC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230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EA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AA2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E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AA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E8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7366E1"/>
    <w:multiLevelType w:val="hybridMultilevel"/>
    <w:tmpl w:val="A404D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8C10BA"/>
    <w:multiLevelType w:val="hybridMultilevel"/>
    <w:tmpl w:val="118ED5DA"/>
    <w:lvl w:ilvl="0" w:tplc="9C725DFC">
      <w:start w:val="4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D0F069F"/>
    <w:multiLevelType w:val="hybridMultilevel"/>
    <w:tmpl w:val="7FC6358A"/>
    <w:lvl w:ilvl="0" w:tplc="20BC3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B284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85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E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0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94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1C5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8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F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9"/>
  </w:num>
  <w:num w:numId="3">
    <w:abstractNumId w:val="20"/>
  </w:num>
  <w:num w:numId="4">
    <w:abstractNumId w:val="8"/>
  </w:num>
  <w:num w:numId="5">
    <w:abstractNumId w:val="29"/>
  </w:num>
  <w:num w:numId="6">
    <w:abstractNumId w:val="3"/>
  </w:num>
  <w:num w:numId="7">
    <w:abstractNumId w:val="43"/>
  </w:num>
  <w:num w:numId="8">
    <w:abstractNumId w:val="13"/>
  </w:num>
  <w:num w:numId="9">
    <w:abstractNumId w:val="27"/>
  </w:num>
  <w:num w:numId="10">
    <w:abstractNumId w:val="38"/>
  </w:num>
  <w:num w:numId="11">
    <w:abstractNumId w:val="42"/>
  </w:num>
  <w:num w:numId="12">
    <w:abstractNumId w:val="7"/>
  </w:num>
  <w:num w:numId="13">
    <w:abstractNumId w:val="35"/>
  </w:num>
  <w:num w:numId="14">
    <w:abstractNumId w:val="5"/>
  </w:num>
  <w:num w:numId="15">
    <w:abstractNumId w:val="19"/>
  </w:num>
  <w:num w:numId="16">
    <w:abstractNumId w:val="40"/>
  </w:num>
  <w:num w:numId="17">
    <w:abstractNumId w:val="21"/>
  </w:num>
  <w:num w:numId="18">
    <w:abstractNumId w:val="24"/>
  </w:num>
  <w:num w:numId="19">
    <w:abstractNumId w:val="25"/>
  </w:num>
  <w:num w:numId="20">
    <w:abstractNumId w:val="18"/>
  </w:num>
  <w:num w:numId="21">
    <w:abstractNumId w:val="34"/>
  </w:num>
  <w:num w:numId="22">
    <w:abstractNumId w:val="31"/>
  </w:num>
  <w:num w:numId="23">
    <w:abstractNumId w:val="23"/>
  </w:num>
  <w:num w:numId="24">
    <w:abstractNumId w:val="15"/>
  </w:num>
  <w:num w:numId="25">
    <w:abstractNumId w:val="0"/>
  </w:num>
  <w:num w:numId="26">
    <w:abstractNumId w:val="12"/>
  </w:num>
  <w:num w:numId="27">
    <w:abstractNumId w:val="2"/>
  </w:num>
  <w:num w:numId="28">
    <w:abstractNumId w:val="17"/>
  </w:num>
  <w:num w:numId="29">
    <w:abstractNumId w:val="4"/>
  </w:num>
  <w:num w:numId="30">
    <w:abstractNumId w:val="14"/>
  </w:num>
  <w:num w:numId="31">
    <w:abstractNumId w:val="11"/>
  </w:num>
  <w:num w:numId="32">
    <w:abstractNumId w:val="41"/>
  </w:num>
  <w:num w:numId="33">
    <w:abstractNumId w:val="28"/>
  </w:num>
  <w:num w:numId="34">
    <w:abstractNumId w:val="16"/>
  </w:num>
  <w:num w:numId="35">
    <w:abstractNumId w:val="10"/>
  </w:num>
  <w:num w:numId="36">
    <w:abstractNumId w:val="37"/>
  </w:num>
  <w:num w:numId="37">
    <w:abstractNumId w:val="1"/>
  </w:num>
  <w:num w:numId="38">
    <w:abstractNumId w:val="36"/>
  </w:num>
  <w:num w:numId="39">
    <w:abstractNumId w:val="9"/>
  </w:num>
  <w:num w:numId="40">
    <w:abstractNumId w:val="33"/>
  </w:num>
  <w:num w:numId="41">
    <w:abstractNumId w:val="30"/>
  </w:num>
  <w:num w:numId="42">
    <w:abstractNumId w:val="26"/>
  </w:num>
  <w:num w:numId="43">
    <w:abstractNumId w:val="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48"/>
    <w:rsid w:val="00001A6F"/>
    <w:rsid w:val="00003216"/>
    <w:rsid w:val="0000379A"/>
    <w:rsid w:val="00004FA1"/>
    <w:rsid w:val="000108C8"/>
    <w:rsid w:val="00014067"/>
    <w:rsid w:val="000211D5"/>
    <w:rsid w:val="000213A0"/>
    <w:rsid w:val="00021A81"/>
    <w:rsid w:val="00023A10"/>
    <w:rsid w:val="000261AF"/>
    <w:rsid w:val="000310DB"/>
    <w:rsid w:val="000313AE"/>
    <w:rsid w:val="000336AB"/>
    <w:rsid w:val="00041122"/>
    <w:rsid w:val="00043266"/>
    <w:rsid w:val="000562A5"/>
    <w:rsid w:val="0006271E"/>
    <w:rsid w:val="00067BD4"/>
    <w:rsid w:val="00071071"/>
    <w:rsid w:val="00083C07"/>
    <w:rsid w:val="00086D23"/>
    <w:rsid w:val="00091482"/>
    <w:rsid w:val="000959B0"/>
    <w:rsid w:val="00095D7A"/>
    <w:rsid w:val="000A123B"/>
    <w:rsid w:val="000A1C80"/>
    <w:rsid w:val="000A29E7"/>
    <w:rsid w:val="000A78BC"/>
    <w:rsid w:val="000B66A0"/>
    <w:rsid w:val="000C009E"/>
    <w:rsid w:val="000C1E95"/>
    <w:rsid w:val="000C39D7"/>
    <w:rsid w:val="000C4ACF"/>
    <w:rsid w:val="000D19CB"/>
    <w:rsid w:val="000D499F"/>
    <w:rsid w:val="000D6D16"/>
    <w:rsid w:val="000E406C"/>
    <w:rsid w:val="000E495B"/>
    <w:rsid w:val="000E4FAF"/>
    <w:rsid w:val="000E5E9C"/>
    <w:rsid w:val="000E5F4A"/>
    <w:rsid w:val="000F1BB1"/>
    <w:rsid w:val="000F307C"/>
    <w:rsid w:val="000F370E"/>
    <w:rsid w:val="00106CA1"/>
    <w:rsid w:val="0010714E"/>
    <w:rsid w:val="001136C0"/>
    <w:rsid w:val="001204AE"/>
    <w:rsid w:val="00130FB7"/>
    <w:rsid w:val="00131852"/>
    <w:rsid w:val="00140CF7"/>
    <w:rsid w:val="00150799"/>
    <w:rsid w:val="00155EDD"/>
    <w:rsid w:val="00163858"/>
    <w:rsid w:val="0018526C"/>
    <w:rsid w:val="0019309E"/>
    <w:rsid w:val="001950B1"/>
    <w:rsid w:val="00195E20"/>
    <w:rsid w:val="001A0DBB"/>
    <w:rsid w:val="001A2278"/>
    <w:rsid w:val="001A26FE"/>
    <w:rsid w:val="001A44B1"/>
    <w:rsid w:val="001A5D6D"/>
    <w:rsid w:val="001A6017"/>
    <w:rsid w:val="001A7773"/>
    <w:rsid w:val="001B4E59"/>
    <w:rsid w:val="001C2AA7"/>
    <w:rsid w:val="001D2A80"/>
    <w:rsid w:val="001D3065"/>
    <w:rsid w:val="001D6E4D"/>
    <w:rsid w:val="001F13A2"/>
    <w:rsid w:val="001F289D"/>
    <w:rsid w:val="001F29AC"/>
    <w:rsid w:val="001F2D53"/>
    <w:rsid w:val="0020430D"/>
    <w:rsid w:val="00204DD5"/>
    <w:rsid w:val="002066BD"/>
    <w:rsid w:val="00206D7B"/>
    <w:rsid w:val="00212174"/>
    <w:rsid w:val="00212B6F"/>
    <w:rsid w:val="00215365"/>
    <w:rsid w:val="00235802"/>
    <w:rsid w:val="002430B9"/>
    <w:rsid w:val="00252B01"/>
    <w:rsid w:val="00266F46"/>
    <w:rsid w:val="00271DF6"/>
    <w:rsid w:val="00272D24"/>
    <w:rsid w:val="00277941"/>
    <w:rsid w:val="00292361"/>
    <w:rsid w:val="00293913"/>
    <w:rsid w:val="002B395C"/>
    <w:rsid w:val="002C2AD0"/>
    <w:rsid w:val="002D3498"/>
    <w:rsid w:val="002F2928"/>
    <w:rsid w:val="002F7A1D"/>
    <w:rsid w:val="00302371"/>
    <w:rsid w:val="0030296B"/>
    <w:rsid w:val="003103AC"/>
    <w:rsid w:val="003172A8"/>
    <w:rsid w:val="00320AD6"/>
    <w:rsid w:val="00340F48"/>
    <w:rsid w:val="00342B89"/>
    <w:rsid w:val="00345A53"/>
    <w:rsid w:val="003476E2"/>
    <w:rsid w:val="00350133"/>
    <w:rsid w:val="00353224"/>
    <w:rsid w:val="00363FDC"/>
    <w:rsid w:val="00365B8B"/>
    <w:rsid w:val="00384D85"/>
    <w:rsid w:val="0038503F"/>
    <w:rsid w:val="00385F62"/>
    <w:rsid w:val="00396DB3"/>
    <w:rsid w:val="003A038B"/>
    <w:rsid w:val="003A3B58"/>
    <w:rsid w:val="003B2F09"/>
    <w:rsid w:val="003B320F"/>
    <w:rsid w:val="003C1DA6"/>
    <w:rsid w:val="003C6F21"/>
    <w:rsid w:val="003D04B9"/>
    <w:rsid w:val="003D26C2"/>
    <w:rsid w:val="003D3A3E"/>
    <w:rsid w:val="003D4D9A"/>
    <w:rsid w:val="003E2130"/>
    <w:rsid w:val="003E63F2"/>
    <w:rsid w:val="003E7600"/>
    <w:rsid w:val="00400D58"/>
    <w:rsid w:val="00412937"/>
    <w:rsid w:val="004161EC"/>
    <w:rsid w:val="00416590"/>
    <w:rsid w:val="004248DB"/>
    <w:rsid w:val="00426C50"/>
    <w:rsid w:val="00426DE3"/>
    <w:rsid w:val="00431DE4"/>
    <w:rsid w:val="004348E9"/>
    <w:rsid w:val="00434AB1"/>
    <w:rsid w:val="0043697A"/>
    <w:rsid w:val="00471665"/>
    <w:rsid w:val="00471CFC"/>
    <w:rsid w:val="00490A9A"/>
    <w:rsid w:val="0049609A"/>
    <w:rsid w:val="0049638C"/>
    <w:rsid w:val="004A010C"/>
    <w:rsid w:val="004A2B1C"/>
    <w:rsid w:val="004B0C0C"/>
    <w:rsid w:val="004B0D0A"/>
    <w:rsid w:val="004B417C"/>
    <w:rsid w:val="004B46A6"/>
    <w:rsid w:val="004B59CD"/>
    <w:rsid w:val="004C1C8D"/>
    <w:rsid w:val="004C2A41"/>
    <w:rsid w:val="004C3324"/>
    <w:rsid w:val="004C6EBC"/>
    <w:rsid w:val="004C7EA6"/>
    <w:rsid w:val="004D2FC8"/>
    <w:rsid w:val="004E678A"/>
    <w:rsid w:val="004E6B33"/>
    <w:rsid w:val="004F602A"/>
    <w:rsid w:val="004F6665"/>
    <w:rsid w:val="004F6B1F"/>
    <w:rsid w:val="005032DB"/>
    <w:rsid w:val="00505207"/>
    <w:rsid w:val="005063C2"/>
    <w:rsid w:val="0050780F"/>
    <w:rsid w:val="00523847"/>
    <w:rsid w:val="00524546"/>
    <w:rsid w:val="005347F4"/>
    <w:rsid w:val="00534DF1"/>
    <w:rsid w:val="005433E6"/>
    <w:rsid w:val="00547C54"/>
    <w:rsid w:val="00550F1B"/>
    <w:rsid w:val="005519CC"/>
    <w:rsid w:val="00554E10"/>
    <w:rsid w:val="00556E24"/>
    <w:rsid w:val="005607A7"/>
    <w:rsid w:val="00561AE1"/>
    <w:rsid w:val="0056395C"/>
    <w:rsid w:val="00563A62"/>
    <w:rsid w:val="0057515D"/>
    <w:rsid w:val="00577D5F"/>
    <w:rsid w:val="00581662"/>
    <w:rsid w:val="00583391"/>
    <w:rsid w:val="00583F0F"/>
    <w:rsid w:val="00585E04"/>
    <w:rsid w:val="005913B0"/>
    <w:rsid w:val="00593DD1"/>
    <w:rsid w:val="00596E52"/>
    <w:rsid w:val="005A2F21"/>
    <w:rsid w:val="005B15CF"/>
    <w:rsid w:val="005B2662"/>
    <w:rsid w:val="005B64E0"/>
    <w:rsid w:val="005C10FC"/>
    <w:rsid w:val="005D5446"/>
    <w:rsid w:val="005D6AEB"/>
    <w:rsid w:val="00602589"/>
    <w:rsid w:val="0061588C"/>
    <w:rsid w:val="00616B76"/>
    <w:rsid w:val="00617B4C"/>
    <w:rsid w:val="00633D06"/>
    <w:rsid w:val="00636318"/>
    <w:rsid w:val="00636A15"/>
    <w:rsid w:val="00644CB8"/>
    <w:rsid w:val="006473AA"/>
    <w:rsid w:val="00647509"/>
    <w:rsid w:val="00654B72"/>
    <w:rsid w:val="00661823"/>
    <w:rsid w:val="006719B4"/>
    <w:rsid w:val="00671C41"/>
    <w:rsid w:val="006737CD"/>
    <w:rsid w:val="00676D10"/>
    <w:rsid w:val="006779AF"/>
    <w:rsid w:val="00680E5F"/>
    <w:rsid w:val="006820F3"/>
    <w:rsid w:val="00687138"/>
    <w:rsid w:val="006938E2"/>
    <w:rsid w:val="006957AC"/>
    <w:rsid w:val="006968B5"/>
    <w:rsid w:val="00697EE3"/>
    <w:rsid w:val="006A1A33"/>
    <w:rsid w:val="006A79D2"/>
    <w:rsid w:val="006B0BEF"/>
    <w:rsid w:val="006C2F35"/>
    <w:rsid w:val="006C3D5F"/>
    <w:rsid w:val="006C5ED6"/>
    <w:rsid w:val="006D137C"/>
    <w:rsid w:val="006D5AFC"/>
    <w:rsid w:val="006E117E"/>
    <w:rsid w:val="006E6D63"/>
    <w:rsid w:val="006E7219"/>
    <w:rsid w:val="006F1C87"/>
    <w:rsid w:val="006F41F6"/>
    <w:rsid w:val="006F71A1"/>
    <w:rsid w:val="00701BC1"/>
    <w:rsid w:val="007130D5"/>
    <w:rsid w:val="007149A1"/>
    <w:rsid w:val="00722374"/>
    <w:rsid w:val="00730B43"/>
    <w:rsid w:val="00733932"/>
    <w:rsid w:val="00744435"/>
    <w:rsid w:val="0074746A"/>
    <w:rsid w:val="00750B1E"/>
    <w:rsid w:val="007519DA"/>
    <w:rsid w:val="00763CF5"/>
    <w:rsid w:val="007729DF"/>
    <w:rsid w:val="007750D3"/>
    <w:rsid w:val="00775195"/>
    <w:rsid w:val="007A04E2"/>
    <w:rsid w:val="007A5B32"/>
    <w:rsid w:val="007A6568"/>
    <w:rsid w:val="007B1680"/>
    <w:rsid w:val="007B6E09"/>
    <w:rsid w:val="007C2F39"/>
    <w:rsid w:val="007C55D2"/>
    <w:rsid w:val="007C5723"/>
    <w:rsid w:val="007C64CB"/>
    <w:rsid w:val="007D266C"/>
    <w:rsid w:val="007D27B5"/>
    <w:rsid w:val="007D6AFD"/>
    <w:rsid w:val="007F17FD"/>
    <w:rsid w:val="007F36C9"/>
    <w:rsid w:val="007F46A0"/>
    <w:rsid w:val="007F5B99"/>
    <w:rsid w:val="007F6FC7"/>
    <w:rsid w:val="007F76E6"/>
    <w:rsid w:val="00807579"/>
    <w:rsid w:val="00807ABA"/>
    <w:rsid w:val="008143DF"/>
    <w:rsid w:val="008178B1"/>
    <w:rsid w:val="008313DE"/>
    <w:rsid w:val="00831C3C"/>
    <w:rsid w:val="00833DAD"/>
    <w:rsid w:val="008370DE"/>
    <w:rsid w:val="0085393F"/>
    <w:rsid w:val="0086017C"/>
    <w:rsid w:val="008605F7"/>
    <w:rsid w:val="00863FD9"/>
    <w:rsid w:val="00864A38"/>
    <w:rsid w:val="00867162"/>
    <w:rsid w:val="008728AF"/>
    <w:rsid w:val="00876D3E"/>
    <w:rsid w:val="00881A74"/>
    <w:rsid w:val="00884BF2"/>
    <w:rsid w:val="0089062D"/>
    <w:rsid w:val="008927AC"/>
    <w:rsid w:val="008933A9"/>
    <w:rsid w:val="0089374D"/>
    <w:rsid w:val="008A0148"/>
    <w:rsid w:val="008A061C"/>
    <w:rsid w:val="008A282B"/>
    <w:rsid w:val="008A34EE"/>
    <w:rsid w:val="008A5206"/>
    <w:rsid w:val="008B0227"/>
    <w:rsid w:val="008B26DC"/>
    <w:rsid w:val="008C041F"/>
    <w:rsid w:val="008C22B2"/>
    <w:rsid w:val="008C5BA2"/>
    <w:rsid w:val="008C76E3"/>
    <w:rsid w:val="008D1D87"/>
    <w:rsid w:val="008E2BD7"/>
    <w:rsid w:val="008E56EE"/>
    <w:rsid w:val="008E6956"/>
    <w:rsid w:val="008F1160"/>
    <w:rsid w:val="009003DE"/>
    <w:rsid w:val="0090721C"/>
    <w:rsid w:val="00912F5C"/>
    <w:rsid w:val="009220CA"/>
    <w:rsid w:val="00932048"/>
    <w:rsid w:val="0094062F"/>
    <w:rsid w:val="00955139"/>
    <w:rsid w:val="009743A7"/>
    <w:rsid w:val="00977F06"/>
    <w:rsid w:val="009801C3"/>
    <w:rsid w:val="00984E0B"/>
    <w:rsid w:val="009852C7"/>
    <w:rsid w:val="00994783"/>
    <w:rsid w:val="00994798"/>
    <w:rsid w:val="009958C0"/>
    <w:rsid w:val="009B36F6"/>
    <w:rsid w:val="009B596E"/>
    <w:rsid w:val="009C09F4"/>
    <w:rsid w:val="009C1DD6"/>
    <w:rsid w:val="009D29A4"/>
    <w:rsid w:val="009D4E0D"/>
    <w:rsid w:val="009E183B"/>
    <w:rsid w:val="009F3B44"/>
    <w:rsid w:val="009F7B6D"/>
    <w:rsid w:val="00A0098D"/>
    <w:rsid w:val="00A0171F"/>
    <w:rsid w:val="00A0297D"/>
    <w:rsid w:val="00A03FF0"/>
    <w:rsid w:val="00A05B5A"/>
    <w:rsid w:val="00A0770C"/>
    <w:rsid w:val="00A07738"/>
    <w:rsid w:val="00A10650"/>
    <w:rsid w:val="00A16883"/>
    <w:rsid w:val="00A1768E"/>
    <w:rsid w:val="00A23751"/>
    <w:rsid w:val="00A23D83"/>
    <w:rsid w:val="00A25F62"/>
    <w:rsid w:val="00A35251"/>
    <w:rsid w:val="00A51527"/>
    <w:rsid w:val="00A55B4D"/>
    <w:rsid w:val="00A560BB"/>
    <w:rsid w:val="00A62009"/>
    <w:rsid w:val="00A62C24"/>
    <w:rsid w:val="00A640B4"/>
    <w:rsid w:val="00A65186"/>
    <w:rsid w:val="00A666E7"/>
    <w:rsid w:val="00A70133"/>
    <w:rsid w:val="00A76AC6"/>
    <w:rsid w:val="00A82623"/>
    <w:rsid w:val="00A83424"/>
    <w:rsid w:val="00A853BA"/>
    <w:rsid w:val="00A866E4"/>
    <w:rsid w:val="00A90E2A"/>
    <w:rsid w:val="00A948E8"/>
    <w:rsid w:val="00A958D0"/>
    <w:rsid w:val="00AA002F"/>
    <w:rsid w:val="00AA2E90"/>
    <w:rsid w:val="00AA7318"/>
    <w:rsid w:val="00AA741C"/>
    <w:rsid w:val="00AB6285"/>
    <w:rsid w:val="00AC2016"/>
    <w:rsid w:val="00AC495C"/>
    <w:rsid w:val="00AD2508"/>
    <w:rsid w:val="00AE0AD3"/>
    <w:rsid w:val="00AE1E78"/>
    <w:rsid w:val="00AE3322"/>
    <w:rsid w:val="00AF1040"/>
    <w:rsid w:val="00AF13C6"/>
    <w:rsid w:val="00AF711C"/>
    <w:rsid w:val="00B00431"/>
    <w:rsid w:val="00B00EC3"/>
    <w:rsid w:val="00B01A30"/>
    <w:rsid w:val="00B11C96"/>
    <w:rsid w:val="00B1278B"/>
    <w:rsid w:val="00B14E7A"/>
    <w:rsid w:val="00B42A4F"/>
    <w:rsid w:val="00B4787C"/>
    <w:rsid w:val="00B50EF1"/>
    <w:rsid w:val="00B54010"/>
    <w:rsid w:val="00B55A9D"/>
    <w:rsid w:val="00B55D36"/>
    <w:rsid w:val="00B662DD"/>
    <w:rsid w:val="00B70470"/>
    <w:rsid w:val="00B75253"/>
    <w:rsid w:val="00B83D20"/>
    <w:rsid w:val="00B974A4"/>
    <w:rsid w:val="00BA17F0"/>
    <w:rsid w:val="00BA2039"/>
    <w:rsid w:val="00BA37E7"/>
    <w:rsid w:val="00BA38FD"/>
    <w:rsid w:val="00BA75DC"/>
    <w:rsid w:val="00BB3335"/>
    <w:rsid w:val="00BB58A1"/>
    <w:rsid w:val="00BC346F"/>
    <w:rsid w:val="00BD0D6F"/>
    <w:rsid w:val="00BD390F"/>
    <w:rsid w:val="00BD5857"/>
    <w:rsid w:val="00BD6F8B"/>
    <w:rsid w:val="00BE3DB3"/>
    <w:rsid w:val="00BE7CB3"/>
    <w:rsid w:val="00BF1BAC"/>
    <w:rsid w:val="00BF2C6B"/>
    <w:rsid w:val="00C01851"/>
    <w:rsid w:val="00C022A9"/>
    <w:rsid w:val="00C03103"/>
    <w:rsid w:val="00C07B13"/>
    <w:rsid w:val="00C15A81"/>
    <w:rsid w:val="00C2157B"/>
    <w:rsid w:val="00C44C12"/>
    <w:rsid w:val="00C57A1F"/>
    <w:rsid w:val="00C62886"/>
    <w:rsid w:val="00C66114"/>
    <w:rsid w:val="00C66C44"/>
    <w:rsid w:val="00C70759"/>
    <w:rsid w:val="00C752E2"/>
    <w:rsid w:val="00C826A0"/>
    <w:rsid w:val="00C83943"/>
    <w:rsid w:val="00C85764"/>
    <w:rsid w:val="00C86210"/>
    <w:rsid w:val="00C8674E"/>
    <w:rsid w:val="00C93431"/>
    <w:rsid w:val="00CA021C"/>
    <w:rsid w:val="00CA3255"/>
    <w:rsid w:val="00CA525A"/>
    <w:rsid w:val="00CB2BEE"/>
    <w:rsid w:val="00CB2DEB"/>
    <w:rsid w:val="00CB3C04"/>
    <w:rsid w:val="00CB6254"/>
    <w:rsid w:val="00CB6810"/>
    <w:rsid w:val="00CB6B1D"/>
    <w:rsid w:val="00CC4F5A"/>
    <w:rsid w:val="00CC6693"/>
    <w:rsid w:val="00CD7CD6"/>
    <w:rsid w:val="00CE3B3C"/>
    <w:rsid w:val="00CF44B7"/>
    <w:rsid w:val="00CF530B"/>
    <w:rsid w:val="00CF67C0"/>
    <w:rsid w:val="00CF6BFF"/>
    <w:rsid w:val="00D0062E"/>
    <w:rsid w:val="00D01C09"/>
    <w:rsid w:val="00D01DC8"/>
    <w:rsid w:val="00D0431D"/>
    <w:rsid w:val="00D04FD1"/>
    <w:rsid w:val="00D122BE"/>
    <w:rsid w:val="00D20CEF"/>
    <w:rsid w:val="00D2442B"/>
    <w:rsid w:val="00D312B7"/>
    <w:rsid w:val="00D31F43"/>
    <w:rsid w:val="00D41360"/>
    <w:rsid w:val="00D41A9C"/>
    <w:rsid w:val="00D46161"/>
    <w:rsid w:val="00D47AD8"/>
    <w:rsid w:val="00D47DE3"/>
    <w:rsid w:val="00D5340F"/>
    <w:rsid w:val="00D53AF2"/>
    <w:rsid w:val="00D53DCD"/>
    <w:rsid w:val="00D54104"/>
    <w:rsid w:val="00D55AFA"/>
    <w:rsid w:val="00D6082D"/>
    <w:rsid w:val="00D62424"/>
    <w:rsid w:val="00D645BA"/>
    <w:rsid w:val="00D711A4"/>
    <w:rsid w:val="00D72EF3"/>
    <w:rsid w:val="00D74640"/>
    <w:rsid w:val="00D74E3B"/>
    <w:rsid w:val="00D7596A"/>
    <w:rsid w:val="00D80098"/>
    <w:rsid w:val="00D855E5"/>
    <w:rsid w:val="00D867D4"/>
    <w:rsid w:val="00D90FDD"/>
    <w:rsid w:val="00DA5556"/>
    <w:rsid w:val="00DA7246"/>
    <w:rsid w:val="00DB357E"/>
    <w:rsid w:val="00DB3ACE"/>
    <w:rsid w:val="00DB70B7"/>
    <w:rsid w:val="00DC4016"/>
    <w:rsid w:val="00DC41D9"/>
    <w:rsid w:val="00DC4A48"/>
    <w:rsid w:val="00DC4B21"/>
    <w:rsid w:val="00DC6031"/>
    <w:rsid w:val="00DC7175"/>
    <w:rsid w:val="00DD09AE"/>
    <w:rsid w:val="00DD2761"/>
    <w:rsid w:val="00DE28FB"/>
    <w:rsid w:val="00DE3012"/>
    <w:rsid w:val="00DE317B"/>
    <w:rsid w:val="00DE3736"/>
    <w:rsid w:val="00DE4BA7"/>
    <w:rsid w:val="00DE69DB"/>
    <w:rsid w:val="00DF2E2D"/>
    <w:rsid w:val="00E057C7"/>
    <w:rsid w:val="00E0714D"/>
    <w:rsid w:val="00E102F4"/>
    <w:rsid w:val="00E16F23"/>
    <w:rsid w:val="00E2002F"/>
    <w:rsid w:val="00E224DF"/>
    <w:rsid w:val="00E23215"/>
    <w:rsid w:val="00E265D7"/>
    <w:rsid w:val="00E324F4"/>
    <w:rsid w:val="00E3546F"/>
    <w:rsid w:val="00E35881"/>
    <w:rsid w:val="00E3779E"/>
    <w:rsid w:val="00E4151A"/>
    <w:rsid w:val="00E544FC"/>
    <w:rsid w:val="00E55A42"/>
    <w:rsid w:val="00E64C91"/>
    <w:rsid w:val="00E775CC"/>
    <w:rsid w:val="00E81D6B"/>
    <w:rsid w:val="00E85D94"/>
    <w:rsid w:val="00E86EB7"/>
    <w:rsid w:val="00E92EF6"/>
    <w:rsid w:val="00E96240"/>
    <w:rsid w:val="00E9761D"/>
    <w:rsid w:val="00EC4D2C"/>
    <w:rsid w:val="00ED2CBD"/>
    <w:rsid w:val="00EF0858"/>
    <w:rsid w:val="00EF09FF"/>
    <w:rsid w:val="00EF3B16"/>
    <w:rsid w:val="00F01093"/>
    <w:rsid w:val="00F046CC"/>
    <w:rsid w:val="00F173DA"/>
    <w:rsid w:val="00F23DA8"/>
    <w:rsid w:val="00F42E6F"/>
    <w:rsid w:val="00F44F16"/>
    <w:rsid w:val="00F46CED"/>
    <w:rsid w:val="00F52EFA"/>
    <w:rsid w:val="00F53C6D"/>
    <w:rsid w:val="00F554F5"/>
    <w:rsid w:val="00F5553D"/>
    <w:rsid w:val="00F65799"/>
    <w:rsid w:val="00F74F4F"/>
    <w:rsid w:val="00F77517"/>
    <w:rsid w:val="00F77C1E"/>
    <w:rsid w:val="00F77D6A"/>
    <w:rsid w:val="00FA01E8"/>
    <w:rsid w:val="00FA719C"/>
    <w:rsid w:val="00FB079D"/>
    <w:rsid w:val="00FB0C83"/>
    <w:rsid w:val="00FB1CB7"/>
    <w:rsid w:val="00FB6BEC"/>
    <w:rsid w:val="00FC0B7E"/>
    <w:rsid w:val="00FC7D32"/>
    <w:rsid w:val="00FD07D8"/>
    <w:rsid w:val="00FD1E65"/>
    <w:rsid w:val="00FD27EE"/>
    <w:rsid w:val="00FD3434"/>
    <w:rsid w:val="00FD59BC"/>
    <w:rsid w:val="00FE145E"/>
    <w:rsid w:val="00FE461A"/>
    <w:rsid w:val="00FE65E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3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Strong">
    <w:name w:val="Strong"/>
    <w:basedOn w:val="DefaultParagraphFont"/>
    <w:uiPriority w:val="22"/>
    <w:qFormat/>
    <w:rsid w:val="00F5553D"/>
    <w:rPr>
      <w:b/>
      <w:bCs/>
    </w:rPr>
  </w:style>
  <w:style w:type="character" w:customStyle="1" w:styleId="tvhtml1">
    <w:name w:val="tv_html1"/>
    <w:basedOn w:val="DefaultParagraphFont"/>
    <w:rsid w:val="00FC7D32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2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72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1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0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9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615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65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6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2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016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533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0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756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52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30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223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1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0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3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63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14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8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8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0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1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6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8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5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3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2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187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0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3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08:354:0034:01:LV:HTML" TargetMode="External"/><Relationship Id="rId18" Type="http://schemas.openxmlformats.org/officeDocument/2006/relationships/hyperlink" Target="http://eur-lex.europa.eu/LexUriServ/LexUriServ.do?uri=OJ:L:2008:354:0034:01:LV:HTML" TargetMode="External"/><Relationship Id="rId26" Type="http://schemas.openxmlformats.org/officeDocument/2006/relationships/hyperlink" Target="http://eur-lex.europa.eu/LexUriServ/LexUriServ.do?uri=CELEX:31995L0032:LV: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-lex.europa.eu/LexUriServ/LexUriServ.do?uri=CELEX:31980L1335:LV:HTML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08:354:0034:01:LV:HTML" TargetMode="External"/><Relationship Id="rId17" Type="http://schemas.openxmlformats.org/officeDocument/2006/relationships/hyperlink" Target="http://eur-lex.europa.eu/LexUriServ/LexUriServ.do?uri=OJ:L:2008:354:0034:01:LV:HTML" TargetMode="External"/><Relationship Id="rId25" Type="http://schemas.openxmlformats.org/officeDocument/2006/relationships/hyperlink" Target="http://eur-lex.europa.eu/LexUriServ/LexUriServ.do?uri=CELEX:31993L0073:LV:HTML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xUriServ/LexUriServ.do?uri=OJ:L:2008:354:0034:01:LV:HTML" TargetMode="External"/><Relationship Id="rId20" Type="http://schemas.openxmlformats.org/officeDocument/2006/relationships/hyperlink" Target="http://eur-lex.europa.eu/LexUriServ/LexUriServ.do?uri=OJ:L:2008:354:0034:01:LV:HTML" TargetMode="External"/><Relationship Id="rId29" Type="http://schemas.openxmlformats.org/officeDocument/2006/relationships/hyperlink" Target="http://eur-lex.europa.eu/LexUriServ/LexUriServ.do?uri=CELEX:31982L0434:LV: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2008:354:0034:01:LV:HTML" TargetMode="External"/><Relationship Id="rId24" Type="http://schemas.openxmlformats.org/officeDocument/2006/relationships/hyperlink" Target="http://eur-lex.europa.eu/LexUriServ/LexUriServ.do?uri=CELEX:31985L0490:LV: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xUriServ/LexUriServ.do?uri=OJ:L:2008:354:0034:01:LV:HTML" TargetMode="External"/><Relationship Id="rId23" Type="http://schemas.openxmlformats.org/officeDocument/2006/relationships/hyperlink" Target="http://eur-lex.europa.eu/LexUriServ/LexUriServ.do?uri=CELEX:31983L0514:LV:HTML" TargetMode="External"/><Relationship Id="rId28" Type="http://schemas.openxmlformats.org/officeDocument/2006/relationships/hyperlink" Target="http://eur-lex.europa.eu/LexUriServ/LexUriServ.do?uri=CELEX:31990L0207:LV: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OJ:L:2008:354:0034:01:LV:HTML" TargetMode="External"/><Relationship Id="rId19" Type="http://schemas.openxmlformats.org/officeDocument/2006/relationships/hyperlink" Target="http://eur-lex.europa.eu/LexUriServ/LexUriServ.do?uri=OJ:L:2008:354:0034:01:LV:HTML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OJ:L:2008:354:0034:01:LV:HTML" TargetMode="External"/><Relationship Id="rId14" Type="http://schemas.openxmlformats.org/officeDocument/2006/relationships/hyperlink" Target="http://eur-lex.europa.eu/LexUriServ/LexUriServ.do?uri=OJ:L:2008:354:0034:01:LV:HTML" TargetMode="External"/><Relationship Id="rId22" Type="http://schemas.openxmlformats.org/officeDocument/2006/relationships/hyperlink" Target="http://eur-lex.europa.eu/LexUriServ/LexUriServ.do?uri=CELEX:31982L0434:LV:HTML" TargetMode="External"/><Relationship Id="rId27" Type="http://schemas.openxmlformats.org/officeDocument/2006/relationships/hyperlink" Target="http://eur-lex.europa.eu/LexUriServ/LexUriServ.do?uri=CELEX:31996L0045:LV:HTML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2233-221E-409D-AB39-F313950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766</Words>
  <Characters>8698</Characters>
  <Application>Microsoft Office Word</Application>
  <DocSecurity>0</DocSecurity>
  <Lines>72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“Kosmētikas līdzekļu būtisko prasību nodrošināšanas kārtība”</vt:lpstr>
      <vt:lpstr>Ministru kabineta noteikumu projekts “Kosmētikas līdzekļu būtisko prasību nodrošināšanas kārtība” </vt:lpstr>
    </vt:vector>
  </TitlesOfParts>
  <Company>Veselības ministrija</Company>
  <LinksUpToDate>false</LinksUpToDate>
  <CharactersWithSpaces>9446</CharactersWithSpaces>
  <SharedDoc>false</SharedDoc>
  <HLinks>
    <vt:vector size="132" baseType="variant">
      <vt:variant>
        <vt:i4>7864393</vt:i4>
      </vt:variant>
      <vt:variant>
        <vt:i4>63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3342462</vt:i4>
      </vt:variant>
      <vt:variant>
        <vt:i4>60</vt:i4>
      </vt:variant>
      <vt:variant>
        <vt:i4>0</vt:i4>
      </vt:variant>
      <vt:variant>
        <vt:i4>5</vt:i4>
      </vt:variant>
      <vt:variant>
        <vt:lpwstr>http://eur-lex.europa.eu/LexUriServ/LexUriServ.do?uri=CELEX:31982L0434:LV:HTML</vt:lpwstr>
      </vt:variant>
      <vt:variant>
        <vt:lpwstr/>
      </vt:variant>
      <vt:variant>
        <vt:i4>3604607</vt:i4>
      </vt:variant>
      <vt:variant>
        <vt:i4>57</vt:i4>
      </vt:variant>
      <vt:variant>
        <vt:i4>0</vt:i4>
      </vt:variant>
      <vt:variant>
        <vt:i4>5</vt:i4>
      </vt:variant>
      <vt:variant>
        <vt:lpwstr>http://eur-lex.europa.eu/LexUriServ/LexUriServ.do?uri=CELEX:31990L0207:LV:HTML</vt:lpwstr>
      </vt:variant>
      <vt:variant>
        <vt:lpwstr/>
      </vt:variant>
      <vt:variant>
        <vt:i4>3604605</vt:i4>
      </vt:variant>
      <vt:variant>
        <vt:i4>54</vt:i4>
      </vt:variant>
      <vt:variant>
        <vt:i4>0</vt:i4>
      </vt:variant>
      <vt:variant>
        <vt:i4>5</vt:i4>
      </vt:variant>
      <vt:variant>
        <vt:lpwstr>http://eur-lex.europa.eu/LexUriServ/LexUriServ.do?uri=CELEX:31996L0045:LV:HTML</vt:lpwstr>
      </vt:variant>
      <vt:variant>
        <vt:lpwstr/>
      </vt:variant>
      <vt:variant>
        <vt:i4>3145849</vt:i4>
      </vt:variant>
      <vt:variant>
        <vt:i4>51</vt:i4>
      </vt:variant>
      <vt:variant>
        <vt:i4>0</vt:i4>
      </vt:variant>
      <vt:variant>
        <vt:i4>5</vt:i4>
      </vt:variant>
      <vt:variant>
        <vt:lpwstr>http://eur-lex.europa.eu/LexUriServ/LexUriServ.do?uri=CELEX:31995L0032:LV:HTML</vt:lpwstr>
      </vt:variant>
      <vt:variant>
        <vt:lpwstr/>
      </vt:variant>
      <vt:variant>
        <vt:i4>3211387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http://eur-lex.europa.eu/LexUriServ/LexUriServ.do?uri=CELEX:31993L0073:LV:HTML</vt:lpwstr>
      </vt:variant>
      <vt:variant>
        <vt:lpwstr/>
      </vt:variant>
      <vt:variant>
        <vt:i4>3604595</vt:i4>
      </vt:variant>
      <vt:variant>
        <vt:i4>45</vt:i4>
      </vt:variant>
      <vt:variant>
        <vt:i4>0</vt:i4>
      </vt:variant>
      <vt:variant>
        <vt:i4>5</vt:i4>
      </vt:variant>
      <vt:variant>
        <vt:lpwstr>http://eur-lex.europa.eu/LexUriServ/LexUriServ.do?uri=CELEX:31985L0490:LV:HTML</vt:lpwstr>
      </vt:variant>
      <vt:variant>
        <vt:lpwstr/>
      </vt:variant>
      <vt:variant>
        <vt:i4>3276925</vt:i4>
      </vt:variant>
      <vt:variant>
        <vt:i4>42</vt:i4>
      </vt:variant>
      <vt:variant>
        <vt:i4>0</vt:i4>
      </vt:variant>
      <vt:variant>
        <vt:i4>5</vt:i4>
      </vt:variant>
      <vt:variant>
        <vt:lpwstr>http://eur-lex.europa.eu/LexUriServ/LexUriServ.do?uri=CELEX:31983L0514:LV:HTML</vt:lpwstr>
      </vt:variant>
      <vt:variant>
        <vt:lpwstr/>
      </vt:variant>
      <vt:variant>
        <vt:i4>3342462</vt:i4>
      </vt:variant>
      <vt:variant>
        <vt:i4>39</vt:i4>
      </vt:variant>
      <vt:variant>
        <vt:i4>0</vt:i4>
      </vt:variant>
      <vt:variant>
        <vt:i4>5</vt:i4>
      </vt:variant>
      <vt:variant>
        <vt:lpwstr>http://eur-lex.europa.eu/LexUriServ/LexUriServ.do?uri=CELEX:31982L0434:LV:HTML</vt:lpwstr>
      </vt:variant>
      <vt:variant>
        <vt:lpwstr/>
      </vt:variant>
      <vt:variant>
        <vt:i4>3473533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http://eur-lex.europa.eu/LexUriServ/LexUriServ.do?uri=CELEX:31980L1335:LV:HTML</vt:lpwstr>
      </vt:variant>
      <vt:variant>
        <vt:lpwstr/>
      </vt:variant>
      <vt:variant>
        <vt:i4>7209009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  <vt:variant>
        <vt:i4>7209009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  <vt:variant>
        <vt:i4>7209009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http://www.latak.lv/</vt:lpwstr>
      </vt:variant>
      <vt:variant>
        <vt:lpwstr/>
      </vt:variant>
      <vt:variant>
        <vt:i4>4259841</vt:i4>
      </vt:variant>
      <vt:variant>
        <vt:i4>21</vt:i4>
      </vt:variant>
      <vt:variant>
        <vt:i4>0</vt:i4>
      </vt:variant>
      <vt:variant>
        <vt:i4>5</vt:i4>
      </vt:variant>
      <vt:variant>
        <vt:lpwstr>http://www.likumi.lv/doc.php?id=87895</vt:lpwstr>
      </vt:variant>
      <vt:variant>
        <vt:lpwstr>piel8</vt:lpwstr>
      </vt:variant>
      <vt:variant>
        <vt:i4>7209009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  <vt:variant>
        <vt:i4>7209009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http://eur-lex.europa.eu/LexUriServ/LexUriServ.do?uri=OJ:L:2008:354:0034:01:LV:HTML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“Kosmētikas līdzekļu būtisko prasību nodrošināšanas kārtība”</dc:title>
  <dc:subject>Noteikumu projekts</dc:subject>
  <dc:creator>Anita Segliņa</dc:creator>
  <dc:description>anita.seglina@vm.gov.lv, 67876102</dc:description>
  <cp:lastModifiedBy>Iveta Stafecka</cp:lastModifiedBy>
  <cp:revision>41</cp:revision>
  <cp:lastPrinted>2013-06-19T06:59:00Z</cp:lastPrinted>
  <dcterms:created xsi:type="dcterms:W3CDTF">2013-04-11T10:55:00Z</dcterms:created>
  <dcterms:modified xsi:type="dcterms:W3CDTF">2013-07-03T10:09:00Z</dcterms:modified>
</cp:coreProperties>
</file>