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8" w:rsidRPr="005E13BC" w:rsidRDefault="00642E38" w:rsidP="00642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13BC">
        <w:rPr>
          <w:rFonts w:ascii="Times New Roman" w:hAnsi="Times New Roman" w:cs="Times New Roman"/>
          <w:bCs/>
          <w:sz w:val="24"/>
          <w:szCs w:val="24"/>
          <w:lang w:eastAsia="lv-LV"/>
        </w:rPr>
        <w:t>1</w:t>
      </w:r>
      <w:r w:rsidRPr="005E13BC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:rsidR="00642E38" w:rsidRPr="005E13BC" w:rsidRDefault="00642E38" w:rsidP="00642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13BC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94760E" w:rsidRPr="005E13BC" w:rsidRDefault="00642E38" w:rsidP="00642E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E13BC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642E38" w:rsidRPr="005E13BC" w:rsidRDefault="00642E38" w:rsidP="007F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0776D" w:rsidRPr="005E13BC" w:rsidRDefault="0030776D" w:rsidP="007F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4760E" w:rsidRPr="005E13BC" w:rsidRDefault="0094760E" w:rsidP="00642E3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5E13BC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Ģimenes ārstam apmaksājamās manipulācijas</w:t>
      </w:r>
    </w:p>
    <w:p w:rsidR="0030776D" w:rsidRPr="005E13BC" w:rsidRDefault="0030776D" w:rsidP="00642E38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:rsidR="0030776D" w:rsidRPr="005E13BC" w:rsidRDefault="0030776D" w:rsidP="00642E38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898"/>
        <w:gridCol w:w="2505"/>
        <w:gridCol w:w="992"/>
        <w:gridCol w:w="2882"/>
        <w:gridCol w:w="2079"/>
      </w:tblGrid>
      <w:tr w:rsidR="00913530" w:rsidRPr="005E13BC" w:rsidTr="00642E38">
        <w:trPr>
          <w:trHeight w:val="126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:rsidR="0094760E" w:rsidRPr="005E13BC" w:rsidRDefault="0094760E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Manipulācijas nosaukums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Manipu</w:t>
            </w:r>
            <w:r w:rsidR="008D4C38"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lā</w:t>
            </w: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softHyphen/>
              <w:t>cijas kods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Diagnoze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 Primārās veselības aprūpes speciālists, kuram maksā par veikto ma</w:t>
            </w:r>
            <w:bookmarkStart w:id="0" w:name="_GoBack"/>
            <w:bookmarkEnd w:id="0"/>
            <w:r w:rsidRPr="005E13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nipulāciju</w:t>
            </w:r>
          </w:p>
        </w:tc>
      </w:tr>
      <w:tr w:rsidR="00913530" w:rsidRPr="005E13BC" w:rsidTr="00642E38">
        <w:trPr>
          <w:trHeight w:val="14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C00B21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Ārsta apskate pirms vakcinācijas. Neuzrāda kopā ar manipulāciju 01061 un 60404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01018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14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E3378" w:rsidP="009A7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Pieaugušo profilaktiskās apskates, ko veic ģimenes ārsts (atbilstoši šo noteikumu 1.pielikumam). Samaksa par manipulāciju ietverta ģimenes ārsta </w:t>
            </w:r>
            <w:proofErr w:type="spellStart"/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kapitācijas</w:t>
            </w:r>
            <w:proofErr w:type="spellEnd"/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naudā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60404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Z00.0</w:t>
            </w:r>
          </w:p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170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Pieaugušo profilaktiskās apskates, ko veic ģimenes ārsts, izmeklējot saslimušu pacientu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60405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E337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Bērnu profilaktiskās apskates, ko veic ģimenes ārsts (atbilstoši šo noteikumu 1.pielikumam)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01061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Z00.1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E3378" w:rsidP="009A7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ārsta pirmreizēja vai atkārtota grūtnieces apskate (atbilstoši šo noteikumu 1.pielikumam)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01062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Z34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1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E3378" w:rsidP="009A7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Ģimenes ārsta ginekoloģiskā apskate valsts organizētās vēža </w:t>
            </w:r>
            <w:proofErr w:type="spellStart"/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ietvaros (atbilstoši šo noteikumu 7.pielikumam)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01063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Z01.4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7.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E337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Bērnu profilaktiskās apskates, ko veic ģimenes ārsts pie bērna mājās (atbilstoši šo noteikumu 1.pielikumam)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01064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Z00.1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Piemaksa par ģimenes ārsta veiktu profilaktisko apskati, izmeklējot pacientu ar saslimšanu (apmaksā tikai bērniem)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01066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9.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Citoloģiskās uztriepes paņemšana no dzemdes kakla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01074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Iztriepes paņemšana seksuāli transmisīvo slimību diagnostikai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01078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Materiāla paņemšana bakterioloģiskiem uzsējumiem seksuāli transmisīvo slimību diagnostikai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01083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12.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Galvas, pleca, gūžas locītavas vai ķermeņa riņķa apsēju uzlikšana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03004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13.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Locītavu stabilizācijas pārsēju uzlikšana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03006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120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14.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Ģipša longetes, aptverot divas lielās locītavas (pleca, elkoņa, plaukstas, ceļa, pēdas) vai pagaidu pārsēja uzlikšana lūzuma gadījumā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03015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15.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Cirkulāra ģipša pārsēja (tutora) noņemšana 1 locītavai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03035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519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16.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Cirkulāra ģipša pārsēja noņemšana 2 locītavām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03036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350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17.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Ģipša pārsēja noņemšana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03041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440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18.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Vakcīnas ievadīšana ādā, zemādā un muskulī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03081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529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19.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Vakcīnas ievadīšana perorāli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03082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410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20.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Locītavas punkcija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03180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21.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Infiltrācijas anestēzija ar vietējo anestēzijas līdzekli, vada anestēzija kājas vai rokas pirkstam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04103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22.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Elektrokardiogrammas ar 12 novadījumiem pieraksts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06003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I10-I50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23.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Elektrokardiogrammas ar 12 novadījumiem apraksts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06004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I10-I50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24.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Izelpas maksimumplūsmas (IMP) noteikšana (PEF-metrija)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07002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J44-J45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14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25.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Spirogrāfija (pneimotahogrāfija) ar automātisku datoranalīzi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07017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14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26.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Inhalatora pareizas lietošanas apmācība, arī atkārtota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07060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J44-J45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316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27.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Dzemdes noslīdējuma korekcija ar riņķi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16010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316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28.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Spirāles izņemšana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16016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29.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Redzes spēju orientējoša pārbaude, novērtējums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17010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H53.9, H54.2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30.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Svešķermeņu izņemšana no acs konjunktīvas maisa vai mehāniska skropstu matiņu izņemšana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17123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316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31.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Sēra korķu izņemšana, arī abpusēja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18115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32.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Nekustīga svešķermeņa izņemšana no dzirdes ejas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18118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33.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Urīnpūšļa kateterizācija bez vienreizietojamā katetra vērtības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19015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34.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Urīnpūšļa kateterizācija ar vienreizlietojamā katetra vērtību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19016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120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35.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Pastāvīga katetra ielikšana, urīnpūšļa katetrizācija ar skalošanu, medikamentu instilāciju un/vai asins sarecējumu izskalošanu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19017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170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36.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Urīnpūšļa skalošana un/vai instilācija ielikta pastāvīga katetra gadījumā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19018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120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37.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Mazas brūces primārā apdare, tualete. Primāri dzīstošu brūču pārsiešana (brūces garums mazāks par 5 cm, virsma mazāka par 10 cm², tilpums mazāks par 3 cm³)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20010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120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38.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Lielas brūces primārā apdare, tualete. Primāri dzīstošu brūču pārsiešana (garums lielāks par 5 cm,virsma lielāka par 10 cm², tilpums lielāks par 3 cm³)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20013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39.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Brūču primārā ķirurģiskā apdare, ieskaitot izgriešanu un noslēgšanu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20014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27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40.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Diegu vai klamburu izņemšana no brūcēm vienā vai vairākās apmeklējumu reizēs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20015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pediatrs, internists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41.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Ligatūras, svešķermeņa, kas redzams brūcē, izņemšana (ambulatori)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20019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0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42.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Lielas, primāri nedzīstošas brūces apstrāde un/vai nekrožu izgriešana (ambulatori)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20028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43.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Zāļu ievadīšana, dobumu skalošana abscesa un strutojošu brūču gadījumos, drenas maiņa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20030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44.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Antirabiskais darbs (pirmā pieņemšana)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20031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45.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Virspusēja incīzija ar/bez drenāžu (furunkuls, karbunkuls, panarīcijs, abscess, flegmona, mastīti)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20044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170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46.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Rokas vai kājas pirksta naga trepanācija vai rezekcija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20070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B35.1, L03.0, S60.1, S61.1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47.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Virspusēju ādas un zemādas mīksto audu bojājumu primāra apdare garumā līdz 3 cm ambulatori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29001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48.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Virspusēju ādas un zemādas mīksto audu bojājumu primāra apdare virs 3 cm garuma ambulatori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29002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49.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Dziļo ādas un zemādas mīksto audu bojājumu primāra apdare garumā līdz 3 cm ambulatori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29003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</w:t>
            </w:r>
          </w:p>
        </w:tc>
      </w:tr>
      <w:tr w:rsidR="00913530" w:rsidRPr="005E13BC" w:rsidTr="00642E38">
        <w:trPr>
          <w:trHeight w:val="27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50.**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Asins ņemšana ar slēgtu sistēmu vienā stobriņā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40003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51.**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Asins ņemšana ar slēgtu sistēmu divos stobriņos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40004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52.**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Asins ņemšana ar slēgtu sistēmu trijos stobriņos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40005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469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53.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Hemoglobīns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40010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1264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54.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Urīna analīze ar teststrēmeli (9–10 parametri)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40148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B15–B18, C00-C97, E10–E27, E79, E83, I10–I15.9, I25-I50.9,K71–K74,M30-M34, N04–N11, N04-N11, N18–N30, N40, T66, Z34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55.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Apslēptās asinis ar teststrēmeli (pozitīva)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40172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56.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Apslēptās asinis ar teststrēmeli (negatīva)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40173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57.</w:t>
            </w:r>
          </w:p>
        </w:tc>
        <w:tc>
          <w:tcPr>
            <w:tcW w:w="2505" w:type="dxa"/>
            <w:shd w:val="clear" w:color="auto" w:fill="auto"/>
          </w:tcPr>
          <w:p w:rsidR="0094760E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Kopējais holesterīna līmenis asinīs – koncentrācija 5 mmol/L vai mazāka</w:t>
            </w:r>
          </w:p>
        </w:tc>
        <w:tc>
          <w:tcPr>
            <w:tcW w:w="992" w:type="dxa"/>
            <w:shd w:val="clear" w:color="auto" w:fill="auto"/>
          </w:tcPr>
          <w:p w:rsidR="0094760E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41056</w:t>
            </w:r>
          </w:p>
        </w:tc>
        <w:tc>
          <w:tcPr>
            <w:tcW w:w="2882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E03–E03.8, E10-E27, I10–I15.9,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I20-I22.9, 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-I50.9,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I60–I70.2</w:t>
            </w:r>
          </w:p>
        </w:tc>
        <w:tc>
          <w:tcPr>
            <w:tcW w:w="2079" w:type="dxa"/>
            <w:shd w:val="clear" w:color="auto" w:fill="auto"/>
          </w:tcPr>
          <w:p w:rsidR="0094760E" w:rsidRPr="005E13BC" w:rsidRDefault="0094760E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58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Kopējais holesterīna līmenis asinīs – koncentrācija 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lielāka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5 mmol/L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41057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E03–E03.8, E10-E27, I10–I15.9, I20-I22.9, I24-I50.9, I60–I70.2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59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Triglicerīdi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41046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E03–E03.8, E10-E27, I10–I15.9, I25–I50.9, I60– I70.2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ABL – holesterīns (tiešā metode)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41047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E03–E03.8, E10-E27, I10–I15.9, I25–I50.9, I60– I70.2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56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Glikoze asinīs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41095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E10–E14, E23.2,I10–I15.9, Z34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 grupas hemolītiskais streptokoks – ātrais tests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44045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470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Mikroalbumīnūrijas noteikšana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41101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E10 - E14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79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Mājas apstākļos mirušas personas nāves fakta apliecināšana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60085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531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65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Ģimenes ārsta mājas vizīte pie slimniekiem, veicot paliatīvo aprūpi un veselības aprūpi mājās, 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</w:rPr>
              <w:t>kā arī apmeklējot</w:t>
            </w: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 gripas slimniek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 gripas epidēmijas laikā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 un personu,</w:t>
            </w: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 pie kuras neatliekamās medicīniskās palīdzības brigāde veikusi izsaukumu un kura nav stacionēta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60086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Pamata diagnozes kodi veicot paliatīvo aprūpi: B20-B24; C00- C97; D37-D48; G05; G12; G13; G35; G54.6; G55.0; G60.0; G61.0; G63.1; G70; G95.1; G95.2; G99.2; I50; I69; K22.2; L89; T91.3; blakus diagnozes kods visos gadījumos, veicot paliatīvo aprūpi - Z51.5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Bērna vecumā no vienas nedēļas līdz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pieciem gadiem fiziskās un garīgās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novērtēšana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normatīvajiem aktiem par ārstniecības iestāžu </w:t>
            </w: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medicīniskās un uzskaites dokumentācijas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lietvedības kārtību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60230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jc w:val="center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Konsultācija par veselīgu dzīvesveidu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(2.tipa cukura diabēta pacientiem, pacientiem ar koronāro sirds slimību, arteriālo hipertensiju, hronisku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obstruktīvu plaušu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slimību, smēķētājiem)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60231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E11-E11.9; J44-J44.9; I10; I15-I15.9; I20-I22.9; I24-I25.9; Z71.6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jc w:val="center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Arteriālais 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asinsspiediens pacientam ar arteriālo hipertensiju ir 150/90 mmHg vai mazāks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60232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I20-I22.9; I24-I25.9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274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jc w:val="center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Kardiovaskulārā riska noteikšana pacientam ar arteriālo hipertensiju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60233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I10; I15-I15.9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416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Speciālista vai ģimenes ārsta mājas vizīte pie pacienta, kuram nepieciešama ilgstoša mākslīgā plaušu ventilācija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60250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16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R.Mantoux izdarīšana un nolasīšana. Ģimenes ārstam apmaksā atbilstoši tarifam, bet ftiziopulmonologs šo manipulāciju uzrāda sniegto pakalpojumu statistiskajai uzskaitei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60256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16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pandēmijas gripu A(H1N1)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60262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16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Vakcinācija pret B hepatītu riska grupas jaundzimušajiem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60263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58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Vakcinācija pret B hepatītu 4. 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60264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B hepatītu 1. 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60265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tuberkulozi viena deva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60266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7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B hepatītu 2.pote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60267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difteriju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60268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7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stinguma krampjiem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60269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E13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garo klepu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60270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  poliomielītu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b tipa </w:t>
            </w:r>
            <w:r w:rsidRPr="005E13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Haemophilus influenzae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infekciju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difteriju 2.pote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stinguma krampjiem 2.pote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60274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85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garo klepu 2.pote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86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  poliomielītu 2.pote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03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88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b tipa </w:t>
            </w:r>
            <w:r w:rsidRPr="005E13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Haemophilus influenzae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infekciju 2.pote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269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8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difteriju 3.pote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60278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90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stinguma krampjiem 3.pote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60279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91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garo klepu 3.pote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60280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92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  poliomielītu 3.pote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170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93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b tipa </w:t>
            </w:r>
            <w:r w:rsidRPr="005E13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Haemophilus influenzae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infekciju 3.pote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94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B hepatītu 3.pote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masalām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60284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96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masaliņām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9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epidēmisko parotītu 1.pote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9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Vakcinācija pret vējbakām viena deva 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9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Vakcinācija pret difteriju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60288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stinguma krampjiem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60289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garo klepu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60290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poliomielītu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difteriju 5.pote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stinguma krampjiem 5.pote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105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poliomielītu 5.pote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60294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106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masalām 2.pote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masaliņām 2.pote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epidēmisko parotītu 2.pote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60297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57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109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difteriju 6.pote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60307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48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stinguma krampjiem 6.pote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60308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7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111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poliomielītu 6.pote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60309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8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Revakcinācija pret difteriju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60316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99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Revakcinācija pret stinguma krampjiem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60317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48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  114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  pret stinguma krampjiem (pielieto pēc medicīniskām indikācijām)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60318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547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115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gripu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60319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48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116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trakumsērgu (antirabiskā vakcīna)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60320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48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117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ērču encefalītu bērniem 1.pote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11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ērču encefalītu bērniem 2.pote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11</w:t>
            </w:r>
            <w:r w:rsidR="007F5310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ērču encefalītu bērniem 3.pote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ērču encefalītu bērniem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60324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274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Vakcinācija pret trakumsērgu (antirābiskais Ig šķīdums)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122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Vakcinēšana ar pretērču encefalīta Ig šķīdumu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60329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825"/>
        </w:trPr>
        <w:tc>
          <w:tcPr>
            <w:tcW w:w="898" w:type="dxa"/>
            <w:shd w:val="clear" w:color="auto" w:fill="auto"/>
          </w:tcPr>
          <w:p w:rsidR="008D4C38" w:rsidRPr="005E13BC" w:rsidRDefault="007F5310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123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pneimokoku infekciju 1.pote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60331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913"/>
        </w:trPr>
        <w:tc>
          <w:tcPr>
            <w:tcW w:w="898" w:type="dxa"/>
            <w:shd w:val="clear" w:color="auto" w:fill="auto"/>
          </w:tcPr>
          <w:p w:rsidR="008D4C38" w:rsidRPr="005E13BC" w:rsidRDefault="0039793A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124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pneimokoku infekciju 2.pote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60332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859"/>
        </w:trPr>
        <w:tc>
          <w:tcPr>
            <w:tcW w:w="898" w:type="dxa"/>
            <w:shd w:val="clear" w:color="auto" w:fill="auto"/>
          </w:tcPr>
          <w:p w:rsidR="008D4C38" w:rsidRPr="005E13BC" w:rsidRDefault="0039793A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125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pneimokoku infekciju 3.pote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60333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39793A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126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pneimokoku infekciju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60334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39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</w:t>
            </w:r>
            <w:r w:rsidR="0039793A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cilvēka papilomas vīrusa infekciju 1.pote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60335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39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12</w:t>
            </w:r>
            <w:r w:rsidR="0039793A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cilvēka papilomas vīrusa infekciju 2.pote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60336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8D4C38" w:rsidP="00397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12</w:t>
            </w:r>
            <w:r w:rsidR="0039793A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cilvēka papilomas vīrusa infekciju 3.pote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60337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39793A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130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Vakcinācija pret garo klepu 5.pote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60338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  <w:tr w:rsidR="00913530" w:rsidRPr="005E13BC" w:rsidTr="00642E38">
        <w:trPr>
          <w:trHeight w:val="632"/>
        </w:trPr>
        <w:tc>
          <w:tcPr>
            <w:tcW w:w="898" w:type="dxa"/>
            <w:shd w:val="clear" w:color="auto" w:fill="auto"/>
          </w:tcPr>
          <w:p w:rsidR="008D4C38" w:rsidRPr="005E13BC" w:rsidRDefault="0039793A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131</w:t>
            </w:r>
            <w:r w:rsidR="008D4C38"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.*</w:t>
            </w:r>
          </w:p>
        </w:tc>
        <w:tc>
          <w:tcPr>
            <w:tcW w:w="2505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Vakcinācija pret b tipa </w:t>
            </w:r>
            <w:r w:rsidRPr="005E13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Haemophilus influenzae</w:t>
            </w: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infekciju 4.pote</w:t>
            </w:r>
          </w:p>
        </w:tc>
        <w:tc>
          <w:tcPr>
            <w:tcW w:w="99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60339</w:t>
            </w:r>
          </w:p>
        </w:tc>
        <w:tc>
          <w:tcPr>
            <w:tcW w:w="2882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79" w:type="dxa"/>
            <w:shd w:val="clear" w:color="auto" w:fill="auto"/>
          </w:tcPr>
          <w:p w:rsidR="008D4C38" w:rsidRPr="005E13BC" w:rsidRDefault="008D4C38" w:rsidP="007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E13B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ģimenes ārsts, internists, pediatrs</w:t>
            </w:r>
          </w:p>
        </w:tc>
      </w:tr>
    </w:tbl>
    <w:p w:rsidR="00913530" w:rsidRPr="005E13BC" w:rsidRDefault="0094760E" w:rsidP="007F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E13BC">
        <w:rPr>
          <w:rFonts w:ascii="Times New Roman" w:hAnsi="Times New Roman" w:cs="Times New Roman"/>
          <w:sz w:val="24"/>
          <w:szCs w:val="24"/>
          <w:lang w:eastAsia="lv-LV"/>
        </w:rPr>
        <w:t>Piezīme</w:t>
      </w:r>
      <w:r w:rsidR="00913530" w:rsidRPr="005E13BC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39793A" w:rsidRPr="005E13BC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94760E" w:rsidRPr="005E13BC" w:rsidRDefault="0094760E" w:rsidP="007F53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5E13BC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*   Manipulācijas uzrāda Ambulatorā pacienta talonā </w:t>
      </w:r>
      <w:r w:rsidR="0039793A" w:rsidRPr="005E13BC">
        <w:rPr>
          <w:rFonts w:ascii="Times New Roman" w:hAnsi="Times New Roman" w:cs="Times New Roman"/>
          <w:i/>
          <w:sz w:val="24"/>
          <w:szCs w:val="24"/>
          <w:lang w:eastAsia="lv-LV"/>
        </w:rPr>
        <w:t>atbilstoši normatīvajam aktam par vakcinācijas noteikumiem.</w:t>
      </w:r>
    </w:p>
    <w:p w:rsidR="0094760E" w:rsidRPr="005E13BC" w:rsidRDefault="0094760E" w:rsidP="007F53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5E13BC">
        <w:rPr>
          <w:rFonts w:ascii="Times New Roman" w:hAnsi="Times New Roman" w:cs="Times New Roman"/>
          <w:i/>
          <w:sz w:val="24"/>
          <w:szCs w:val="24"/>
          <w:lang w:eastAsia="lv-LV"/>
        </w:rPr>
        <w:t>**  Ambulatorajā veselības aprūpē apmaksā bērniem</w:t>
      </w:r>
      <w:r w:rsidR="00C85704" w:rsidRPr="005E13BC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913530" w:rsidRPr="005E13BC">
        <w:rPr>
          <w:rFonts w:ascii="Times New Roman" w:hAnsi="Times New Roman" w:cs="Times New Roman"/>
          <w:i/>
          <w:sz w:val="24"/>
          <w:szCs w:val="24"/>
          <w:lang w:eastAsia="lv-LV"/>
        </w:rPr>
        <w:t>un grūtniecēm.</w:t>
      </w:r>
    </w:p>
    <w:p w:rsidR="0094760E" w:rsidRPr="005E13BC" w:rsidRDefault="0094760E" w:rsidP="007F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2E38" w:rsidRPr="005E13BC" w:rsidRDefault="00642E38" w:rsidP="00642E3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2E38" w:rsidRPr="005E13BC" w:rsidRDefault="00642E38" w:rsidP="00642E3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E13BC">
        <w:rPr>
          <w:rFonts w:ascii="Times New Roman" w:hAnsi="Times New Roman" w:cs="Times New Roman"/>
          <w:sz w:val="28"/>
          <w:szCs w:val="28"/>
        </w:rPr>
        <w:t>Veselības ministre</w:t>
      </w:r>
      <w:r w:rsidRPr="005E13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5E13BC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E640F1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BC">
        <w:rPr>
          <w:rFonts w:ascii="Times New Roman" w:hAnsi="Times New Roman" w:cs="Times New Roman"/>
          <w:sz w:val="24"/>
          <w:szCs w:val="24"/>
        </w:rPr>
        <w:t>13</w:t>
      </w:r>
      <w:r w:rsidR="00642E38" w:rsidRPr="005E13BC">
        <w:rPr>
          <w:rFonts w:ascii="Times New Roman" w:hAnsi="Times New Roman" w:cs="Times New Roman"/>
          <w:sz w:val="24"/>
          <w:szCs w:val="24"/>
        </w:rPr>
        <w:t>.1</w:t>
      </w:r>
      <w:r w:rsidRPr="005E13BC">
        <w:rPr>
          <w:rFonts w:ascii="Times New Roman" w:hAnsi="Times New Roman" w:cs="Times New Roman"/>
          <w:sz w:val="24"/>
          <w:szCs w:val="24"/>
        </w:rPr>
        <w:t>2</w:t>
      </w:r>
      <w:r w:rsidR="00642E38" w:rsidRPr="005E13BC">
        <w:rPr>
          <w:rFonts w:ascii="Times New Roman" w:hAnsi="Times New Roman" w:cs="Times New Roman"/>
          <w:sz w:val="24"/>
          <w:szCs w:val="24"/>
        </w:rPr>
        <w:t>.2013    1</w:t>
      </w:r>
      <w:r w:rsidRPr="005E13BC">
        <w:rPr>
          <w:rFonts w:ascii="Times New Roman" w:hAnsi="Times New Roman" w:cs="Times New Roman"/>
          <w:sz w:val="24"/>
          <w:szCs w:val="24"/>
        </w:rPr>
        <w:t>2</w:t>
      </w:r>
      <w:r w:rsidR="00642E38" w:rsidRPr="005E13BC">
        <w:rPr>
          <w:rFonts w:ascii="Times New Roman" w:hAnsi="Times New Roman" w:cs="Times New Roman"/>
          <w:sz w:val="24"/>
          <w:szCs w:val="24"/>
        </w:rPr>
        <w:t>:</w:t>
      </w:r>
      <w:r w:rsidRPr="005E13BC">
        <w:rPr>
          <w:rFonts w:ascii="Times New Roman" w:hAnsi="Times New Roman" w:cs="Times New Roman"/>
          <w:sz w:val="24"/>
          <w:szCs w:val="24"/>
        </w:rPr>
        <w:t>31</w:t>
      </w:r>
    </w:p>
    <w:p w:rsidR="00642E38" w:rsidRPr="005E13BC" w:rsidRDefault="005D2A8A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BC">
        <w:rPr>
          <w:rFonts w:ascii="Times New Roman" w:hAnsi="Times New Roman" w:cs="Times New Roman"/>
          <w:sz w:val="24"/>
          <w:szCs w:val="24"/>
        </w:rPr>
        <w:t>1</w:t>
      </w:r>
      <w:r w:rsidR="00642E38" w:rsidRPr="005E13BC">
        <w:rPr>
          <w:rFonts w:ascii="Times New Roman" w:hAnsi="Times New Roman" w:cs="Times New Roman"/>
          <w:sz w:val="24"/>
          <w:szCs w:val="24"/>
        </w:rPr>
        <w:t>8</w:t>
      </w:r>
      <w:r w:rsidRPr="005E13BC">
        <w:rPr>
          <w:rFonts w:ascii="Times New Roman" w:hAnsi="Times New Roman" w:cs="Times New Roman"/>
          <w:sz w:val="24"/>
          <w:szCs w:val="24"/>
        </w:rPr>
        <w:t>82</w:t>
      </w: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BC">
        <w:rPr>
          <w:rFonts w:ascii="Times New Roman" w:hAnsi="Times New Roman" w:cs="Times New Roman"/>
          <w:sz w:val="24"/>
          <w:szCs w:val="24"/>
        </w:rPr>
        <w:t>L.Eglīte</w:t>
      </w:r>
    </w:p>
    <w:p w:rsidR="00642E38" w:rsidRPr="005E13BC" w:rsidRDefault="000D4049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42E38" w:rsidRPr="005E13BC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8" w:rsidRPr="005E13BC" w:rsidRDefault="00642E38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BC">
        <w:rPr>
          <w:rFonts w:ascii="Times New Roman" w:hAnsi="Times New Roman" w:cs="Times New Roman"/>
          <w:sz w:val="24"/>
          <w:szCs w:val="24"/>
        </w:rPr>
        <w:t>A.Reinika 67043780</w:t>
      </w:r>
    </w:p>
    <w:p w:rsidR="00642E38" w:rsidRPr="005E13BC" w:rsidRDefault="000D4049" w:rsidP="0064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2E38" w:rsidRPr="005E13BC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642E38" w:rsidRPr="008D4C38" w:rsidRDefault="00642E38" w:rsidP="007F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2E38" w:rsidRPr="008D4C38" w:rsidSect="00465674">
      <w:headerReference w:type="default" r:id="rId9"/>
      <w:footerReference w:type="defaul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38" w:rsidRDefault="00642E38" w:rsidP="00642E38">
      <w:pPr>
        <w:spacing w:after="0" w:line="240" w:lineRule="auto"/>
      </w:pPr>
      <w:r>
        <w:separator/>
      </w:r>
    </w:p>
  </w:endnote>
  <w:endnote w:type="continuationSeparator" w:id="0">
    <w:p w:rsidR="00642E38" w:rsidRDefault="00642E38" w:rsidP="006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38" w:rsidRPr="00187A81" w:rsidRDefault="00642E38" w:rsidP="00642E38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VMnotp1</w:t>
    </w:r>
    <w:r>
      <w:rPr>
        <w:rFonts w:ascii="Times New Roman" w:hAnsi="Times New Roman" w:cs="Times New Roman"/>
        <w:sz w:val="20"/>
        <w:szCs w:val="20"/>
      </w:rPr>
      <w:t>1</w:t>
    </w:r>
    <w:r w:rsidRPr="00187A81">
      <w:rPr>
        <w:rFonts w:ascii="Times New Roman" w:hAnsi="Times New Roman" w:cs="Times New Roman"/>
        <w:sz w:val="20"/>
        <w:szCs w:val="20"/>
      </w:rPr>
      <w:t>_</w:t>
    </w:r>
    <w:r w:rsidR="00DE4038">
      <w:rPr>
        <w:rFonts w:ascii="Times New Roman" w:hAnsi="Times New Roman" w:cs="Times New Roman"/>
        <w:sz w:val="20"/>
        <w:szCs w:val="20"/>
      </w:rPr>
      <w:t>1</w:t>
    </w:r>
    <w:r w:rsidR="00E640F1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E640F1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642E38" w:rsidRDefault="00642E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74" w:rsidRPr="00187A81" w:rsidRDefault="00465674" w:rsidP="00465674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VMnotp1</w:t>
    </w:r>
    <w:r>
      <w:rPr>
        <w:rFonts w:ascii="Times New Roman" w:hAnsi="Times New Roman" w:cs="Times New Roman"/>
        <w:sz w:val="20"/>
        <w:szCs w:val="20"/>
      </w:rPr>
      <w:t>1</w:t>
    </w:r>
    <w:r w:rsidRPr="00187A81">
      <w:rPr>
        <w:rFonts w:ascii="Times New Roman" w:hAnsi="Times New Roman" w:cs="Times New Roman"/>
        <w:sz w:val="20"/>
        <w:szCs w:val="20"/>
      </w:rPr>
      <w:t>_</w:t>
    </w:r>
    <w:r w:rsidR="00DE4038">
      <w:rPr>
        <w:rFonts w:ascii="Times New Roman" w:hAnsi="Times New Roman" w:cs="Times New Roman"/>
        <w:sz w:val="20"/>
        <w:szCs w:val="20"/>
      </w:rPr>
      <w:t>1</w:t>
    </w:r>
    <w:r w:rsidR="00E640F1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E640F1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465674" w:rsidRDefault="00465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38" w:rsidRDefault="00642E38" w:rsidP="00642E38">
      <w:pPr>
        <w:spacing w:after="0" w:line="240" w:lineRule="auto"/>
      </w:pPr>
      <w:r>
        <w:separator/>
      </w:r>
    </w:p>
  </w:footnote>
  <w:footnote w:type="continuationSeparator" w:id="0">
    <w:p w:rsidR="00642E38" w:rsidRDefault="00642E38" w:rsidP="006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47"/>
      <w:docPartObj>
        <w:docPartGallery w:val="Page Numbers (Top of Page)"/>
        <w:docPartUnique/>
      </w:docPartObj>
    </w:sdtPr>
    <w:sdtContent>
      <w:p w:rsidR="00465674" w:rsidRDefault="000D4049">
        <w:pPr>
          <w:pStyle w:val="Header"/>
          <w:jc w:val="center"/>
        </w:pPr>
        <w:fldSimple w:instr=" PAGE   \* MERGEFORMAT ">
          <w:r w:rsidR="005E13BC">
            <w:rPr>
              <w:noProof/>
            </w:rPr>
            <w:t>11</w:t>
          </w:r>
        </w:fldSimple>
      </w:p>
    </w:sdtContent>
  </w:sdt>
  <w:p w:rsidR="00465674" w:rsidRDefault="00465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49C"/>
    <w:rsid w:val="00045140"/>
    <w:rsid w:val="00090E14"/>
    <w:rsid w:val="000D4049"/>
    <w:rsid w:val="00122E71"/>
    <w:rsid w:val="001311E2"/>
    <w:rsid w:val="00166EC0"/>
    <w:rsid w:val="001B346A"/>
    <w:rsid w:val="001D649C"/>
    <w:rsid w:val="001F5714"/>
    <w:rsid w:val="00261F62"/>
    <w:rsid w:val="00297686"/>
    <w:rsid w:val="0030776D"/>
    <w:rsid w:val="0039793A"/>
    <w:rsid w:val="004102CB"/>
    <w:rsid w:val="00442095"/>
    <w:rsid w:val="00465674"/>
    <w:rsid w:val="004C73D0"/>
    <w:rsid w:val="004F2FE4"/>
    <w:rsid w:val="004F4DC9"/>
    <w:rsid w:val="00554B3D"/>
    <w:rsid w:val="005C4E41"/>
    <w:rsid w:val="005C77F7"/>
    <w:rsid w:val="005D2A8A"/>
    <w:rsid w:val="005E13BC"/>
    <w:rsid w:val="005F63C8"/>
    <w:rsid w:val="00642E38"/>
    <w:rsid w:val="006765A0"/>
    <w:rsid w:val="006970AD"/>
    <w:rsid w:val="006D40AF"/>
    <w:rsid w:val="006D5FDC"/>
    <w:rsid w:val="006F0B15"/>
    <w:rsid w:val="00712AB5"/>
    <w:rsid w:val="0073272A"/>
    <w:rsid w:val="00771E7A"/>
    <w:rsid w:val="007B0AD4"/>
    <w:rsid w:val="007F5310"/>
    <w:rsid w:val="008613BA"/>
    <w:rsid w:val="008D4C38"/>
    <w:rsid w:val="00913530"/>
    <w:rsid w:val="00917EA9"/>
    <w:rsid w:val="0094760E"/>
    <w:rsid w:val="0099708D"/>
    <w:rsid w:val="009A20A3"/>
    <w:rsid w:val="009A70C6"/>
    <w:rsid w:val="009E3378"/>
    <w:rsid w:val="00A0524C"/>
    <w:rsid w:val="00A35EDF"/>
    <w:rsid w:val="00B50B6F"/>
    <w:rsid w:val="00B728BB"/>
    <w:rsid w:val="00B74F57"/>
    <w:rsid w:val="00BD2A41"/>
    <w:rsid w:val="00C00B21"/>
    <w:rsid w:val="00C754B4"/>
    <w:rsid w:val="00C85704"/>
    <w:rsid w:val="00CE534A"/>
    <w:rsid w:val="00D35632"/>
    <w:rsid w:val="00D447D0"/>
    <w:rsid w:val="00D95BAD"/>
    <w:rsid w:val="00DE4038"/>
    <w:rsid w:val="00E16E08"/>
    <w:rsid w:val="00E54EFF"/>
    <w:rsid w:val="00E640F1"/>
    <w:rsid w:val="00F21256"/>
    <w:rsid w:val="00F256A9"/>
    <w:rsid w:val="00FD44F9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64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D64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1D649C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1D64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1D64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1D649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locked/>
    <w:rsid w:val="008D4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1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10"/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1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2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38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2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E38"/>
    <w:rPr>
      <w:rFonts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42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64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D64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1D649C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1D64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1D64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1D649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locked/>
    <w:rsid w:val="008D4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1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10"/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Reinika@vmn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ora.Eglit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61BC-C856-4494-ADB6-70A777BC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1882</Words>
  <Characters>14371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11.pielikums Ministru kabineta noteikumu projektam „Veselības aprūpes organizēšanas un finansēšanas kārtība”</vt:lpstr>
    </vt:vector>
  </TitlesOfParts>
  <Company>Veselības ministrija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11.pielikums Ministru kabineta noteikumu projektam „Veselības aprūpes organizēšanas un finansēšanas kārtība”</dc:title>
  <dc:subject>11.pielikums</dc:subject>
  <dc:creator>Leonora Eglīte</dc:creator>
  <dc:description>Leonora.Eglite@vm.gov.lv; tālr.67876091</dc:description>
  <cp:lastModifiedBy>leglite</cp:lastModifiedBy>
  <cp:revision>16</cp:revision>
  <cp:lastPrinted>2013-10-30T12:12:00Z</cp:lastPrinted>
  <dcterms:created xsi:type="dcterms:W3CDTF">2013-11-06T11:45:00Z</dcterms:created>
  <dcterms:modified xsi:type="dcterms:W3CDTF">2013-12-13T10:31:00Z</dcterms:modified>
</cp:coreProperties>
</file>