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44" w:rsidRDefault="00150044" w:rsidP="00B63444">
      <w:pPr>
        <w:rPr>
          <w:rFonts w:ascii="Times New Roman" w:hAnsi="Times New Roman" w:cs="Times New Roman"/>
          <w:b/>
          <w:sz w:val="24"/>
          <w:szCs w:val="24"/>
          <w:lang w:val="lv-LV"/>
        </w:rPr>
      </w:pPr>
    </w:p>
    <w:p w:rsidR="00C75586" w:rsidRPr="008C47BE" w:rsidRDefault="00C75586" w:rsidP="00C75586">
      <w:pPr>
        <w:jc w:val="center"/>
        <w:rPr>
          <w:rFonts w:ascii="Times New Roman" w:hAnsi="Times New Roman" w:cs="Times New Roman"/>
          <w:b/>
          <w:sz w:val="24"/>
          <w:szCs w:val="24"/>
          <w:lang w:val="lv-LV"/>
        </w:rPr>
      </w:pPr>
      <w:r w:rsidRPr="008C47BE">
        <w:rPr>
          <w:rFonts w:ascii="Times New Roman" w:hAnsi="Times New Roman" w:cs="Times New Roman"/>
          <w:b/>
          <w:sz w:val="24"/>
          <w:szCs w:val="24"/>
          <w:lang w:val="lv-LV"/>
        </w:rPr>
        <w:t>INFORMATĪVAIS ZIŅOJUMS</w:t>
      </w:r>
    </w:p>
    <w:p w:rsidR="00C75586" w:rsidRDefault="00C75586" w:rsidP="00C75586">
      <w:pPr>
        <w:pStyle w:val="NormalWeb"/>
        <w:snapToGrid w:val="0"/>
        <w:spacing w:before="0" w:after="0"/>
        <w:jc w:val="center"/>
        <w:rPr>
          <w:b/>
        </w:rPr>
      </w:pPr>
      <w:r>
        <w:rPr>
          <w:b/>
        </w:rPr>
        <w:t>Finanšu situācija</w:t>
      </w:r>
      <w:r w:rsidRPr="001A29D6">
        <w:rPr>
          <w:b/>
        </w:rPr>
        <w:t xml:space="preserve"> veselības </w:t>
      </w:r>
      <w:r>
        <w:rPr>
          <w:b/>
        </w:rPr>
        <w:t>aprūpes jomā</w:t>
      </w:r>
    </w:p>
    <w:p w:rsidR="00AC61F0" w:rsidRDefault="00AC61F0" w:rsidP="00616F70">
      <w:pPr>
        <w:autoSpaceDE w:val="0"/>
        <w:autoSpaceDN w:val="0"/>
        <w:adjustRightInd w:val="0"/>
        <w:spacing w:after="120" w:line="240" w:lineRule="auto"/>
        <w:jc w:val="both"/>
        <w:rPr>
          <w:rFonts w:ascii="Times New Roman" w:hAnsi="Times New Roman" w:cs="Times New Roman"/>
          <w:color w:val="000000"/>
          <w:sz w:val="24"/>
          <w:szCs w:val="24"/>
          <w:lang w:val="lv-LV"/>
        </w:rPr>
      </w:pPr>
    </w:p>
    <w:p w:rsidR="00150044" w:rsidRDefault="00150044" w:rsidP="00150044">
      <w:pPr>
        <w:pStyle w:val="NoSpacing"/>
        <w:ind w:left="720"/>
        <w:jc w:val="both"/>
        <w:rPr>
          <w:rFonts w:ascii="Times New Roman" w:hAnsi="Times New Roman"/>
          <w:b/>
          <w:sz w:val="24"/>
          <w:szCs w:val="24"/>
        </w:rPr>
      </w:pPr>
    </w:p>
    <w:p w:rsidR="0079151A" w:rsidRDefault="0079151A" w:rsidP="00E469A4">
      <w:pPr>
        <w:pStyle w:val="NoSpacing"/>
        <w:numPr>
          <w:ilvl w:val="0"/>
          <w:numId w:val="3"/>
        </w:numPr>
        <w:jc w:val="both"/>
        <w:rPr>
          <w:rFonts w:ascii="Times New Roman" w:hAnsi="Times New Roman"/>
          <w:b/>
          <w:sz w:val="24"/>
          <w:szCs w:val="24"/>
        </w:rPr>
      </w:pPr>
      <w:r>
        <w:rPr>
          <w:rFonts w:ascii="Times New Roman" w:hAnsi="Times New Roman"/>
          <w:b/>
          <w:sz w:val="24"/>
          <w:szCs w:val="24"/>
        </w:rPr>
        <w:t xml:space="preserve">Veselības aprūpes </w:t>
      </w:r>
      <w:r w:rsidR="00F62954">
        <w:rPr>
          <w:rFonts w:ascii="Times New Roman" w:hAnsi="Times New Roman"/>
          <w:b/>
          <w:sz w:val="24"/>
          <w:szCs w:val="24"/>
        </w:rPr>
        <w:t>finansējums</w:t>
      </w:r>
    </w:p>
    <w:p w:rsidR="00F62954" w:rsidRDefault="00F62954" w:rsidP="00F62954">
      <w:pPr>
        <w:pStyle w:val="NoSpacing"/>
        <w:ind w:left="720"/>
        <w:jc w:val="both"/>
        <w:rPr>
          <w:rFonts w:ascii="Times New Roman" w:hAnsi="Times New Roman"/>
          <w:b/>
          <w:sz w:val="24"/>
          <w:szCs w:val="24"/>
        </w:rPr>
      </w:pPr>
    </w:p>
    <w:p w:rsidR="000A3787" w:rsidRDefault="00AF1D04" w:rsidP="00F62954">
      <w:pPr>
        <w:autoSpaceDE w:val="0"/>
        <w:autoSpaceDN w:val="0"/>
        <w:adjustRightInd w:val="0"/>
        <w:spacing w:after="0" w:line="240" w:lineRule="auto"/>
        <w:ind w:firstLine="720"/>
        <w:jc w:val="both"/>
        <w:rPr>
          <w:rFonts w:ascii="Times New Roman" w:hAnsi="Times New Roman" w:cs="Times New Roman"/>
          <w:sz w:val="24"/>
          <w:szCs w:val="24"/>
          <w:lang w:val="lv-LV"/>
        </w:rPr>
      </w:pPr>
      <w:r w:rsidRPr="004F497C">
        <w:rPr>
          <w:rFonts w:ascii="Times New Roman" w:hAnsi="Times New Roman" w:cs="Times New Roman"/>
          <w:sz w:val="24"/>
          <w:szCs w:val="24"/>
          <w:lang w:val="lv-LV"/>
        </w:rPr>
        <w:t>Veselības ministrijas budžeta izdevumi 201</w:t>
      </w:r>
      <w:r w:rsidR="007E77CE">
        <w:rPr>
          <w:rFonts w:ascii="Times New Roman" w:hAnsi="Times New Roman" w:cs="Times New Roman"/>
          <w:sz w:val="24"/>
          <w:szCs w:val="24"/>
          <w:lang w:val="lv-LV"/>
        </w:rPr>
        <w:t>1</w:t>
      </w:r>
      <w:r w:rsidRPr="004F497C">
        <w:rPr>
          <w:rFonts w:ascii="Times New Roman" w:hAnsi="Times New Roman" w:cs="Times New Roman"/>
          <w:sz w:val="24"/>
          <w:szCs w:val="24"/>
          <w:lang w:val="lv-LV"/>
        </w:rPr>
        <w:t xml:space="preserve">.gadā atbilstoši likumam „Par valsts budžetu 2010.gadam” ir </w:t>
      </w:r>
      <w:r w:rsidR="00B23085" w:rsidRPr="004F497C">
        <w:rPr>
          <w:rFonts w:ascii="Times New Roman" w:hAnsi="Times New Roman" w:cs="Times New Roman"/>
          <w:sz w:val="24"/>
          <w:szCs w:val="24"/>
          <w:lang w:val="lv-LV"/>
        </w:rPr>
        <w:t>4</w:t>
      </w:r>
      <w:r w:rsidR="007E77CE">
        <w:rPr>
          <w:rFonts w:ascii="Times New Roman" w:hAnsi="Times New Roman" w:cs="Times New Roman"/>
          <w:sz w:val="24"/>
          <w:szCs w:val="24"/>
          <w:lang w:val="lv-LV"/>
        </w:rPr>
        <w:t>86 536 45</w:t>
      </w:r>
      <w:r w:rsidR="00B23085" w:rsidRPr="004F497C">
        <w:rPr>
          <w:rFonts w:ascii="Times New Roman" w:hAnsi="Times New Roman" w:cs="Times New Roman"/>
          <w:sz w:val="24"/>
          <w:szCs w:val="24"/>
          <w:lang w:val="lv-LV"/>
        </w:rPr>
        <w:t>5</w:t>
      </w:r>
      <w:r w:rsidRPr="004F497C">
        <w:rPr>
          <w:rFonts w:ascii="Times New Roman" w:hAnsi="Times New Roman" w:cs="Times New Roman"/>
          <w:sz w:val="24"/>
          <w:szCs w:val="24"/>
          <w:lang w:val="lv-LV"/>
        </w:rPr>
        <w:t xml:space="preserve"> lati</w:t>
      </w:r>
      <w:r w:rsidR="007E77CE">
        <w:rPr>
          <w:rFonts w:ascii="Times New Roman" w:hAnsi="Times New Roman" w:cs="Times New Roman"/>
          <w:sz w:val="24"/>
          <w:szCs w:val="24"/>
          <w:lang w:val="lv-LV"/>
        </w:rPr>
        <w:t>, tai skaitā 443 258 465 lati valsts budžeta pamatfunkciju izpildei, 43 277 990 lati ES fondu un ārvalstu līdzfinansējums. Kopējais finansējums ir par</w:t>
      </w:r>
      <w:r w:rsidRPr="004F497C">
        <w:rPr>
          <w:rFonts w:ascii="Times New Roman" w:hAnsi="Times New Roman" w:cs="Times New Roman"/>
          <w:sz w:val="24"/>
          <w:szCs w:val="24"/>
          <w:lang w:val="lv-LV"/>
        </w:rPr>
        <w:t xml:space="preserve"> </w:t>
      </w:r>
      <w:r w:rsidR="007E77CE">
        <w:rPr>
          <w:rFonts w:ascii="Times New Roman" w:hAnsi="Times New Roman" w:cs="Times New Roman"/>
          <w:sz w:val="24"/>
          <w:szCs w:val="24"/>
          <w:lang w:val="lv-LV"/>
        </w:rPr>
        <w:t>9 516 464 latiem mazāk</w:t>
      </w:r>
      <w:r w:rsidR="000A3787">
        <w:rPr>
          <w:rFonts w:ascii="Times New Roman" w:hAnsi="Times New Roman" w:cs="Times New Roman"/>
          <w:sz w:val="24"/>
          <w:szCs w:val="24"/>
          <w:lang w:val="lv-LV"/>
        </w:rPr>
        <w:t>s</w:t>
      </w:r>
      <w:r w:rsidRPr="004F497C">
        <w:rPr>
          <w:rFonts w:ascii="Times New Roman" w:hAnsi="Times New Roman" w:cs="Times New Roman"/>
          <w:sz w:val="24"/>
          <w:szCs w:val="24"/>
          <w:lang w:val="lv-LV"/>
        </w:rPr>
        <w:t xml:space="preserve"> salīdzinājumā ar 20</w:t>
      </w:r>
      <w:r w:rsidR="007E77CE">
        <w:rPr>
          <w:rFonts w:ascii="Times New Roman" w:hAnsi="Times New Roman" w:cs="Times New Roman"/>
          <w:sz w:val="24"/>
          <w:szCs w:val="24"/>
          <w:lang w:val="lv-LV"/>
        </w:rPr>
        <w:t>10</w:t>
      </w:r>
      <w:r w:rsidRPr="004F497C">
        <w:rPr>
          <w:rFonts w:ascii="Times New Roman" w:hAnsi="Times New Roman" w:cs="Times New Roman"/>
          <w:sz w:val="24"/>
          <w:szCs w:val="24"/>
          <w:lang w:val="lv-LV"/>
        </w:rPr>
        <w:t>.gad</w:t>
      </w:r>
      <w:r w:rsidR="007E77CE">
        <w:rPr>
          <w:rFonts w:ascii="Times New Roman" w:hAnsi="Times New Roman" w:cs="Times New Roman"/>
          <w:sz w:val="24"/>
          <w:szCs w:val="24"/>
          <w:lang w:val="lv-LV"/>
        </w:rPr>
        <w:t>a</w:t>
      </w:r>
      <w:r w:rsidRPr="004F497C">
        <w:rPr>
          <w:rFonts w:ascii="Times New Roman" w:hAnsi="Times New Roman" w:cs="Times New Roman"/>
          <w:sz w:val="24"/>
          <w:szCs w:val="24"/>
          <w:lang w:val="lv-LV"/>
        </w:rPr>
        <w:t xml:space="preserve"> </w:t>
      </w:r>
      <w:r w:rsidR="007E77CE">
        <w:rPr>
          <w:rFonts w:ascii="Times New Roman" w:hAnsi="Times New Roman" w:cs="Times New Roman"/>
          <w:sz w:val="24"/>
          <w:szCs w:val="24"/>
          <w:lang w:val="lv-LV"/>
        </w:rPr>
        <w:t>noslēgumu</w:t>
      </w:r>
      <w:r w:rsidR="000A3787">
        <w:rPr>
          <w:rFonts w:ascii="Times New Roman" w:hAnsi="Times New Roman" w:cs="Times New Roman"/>
          <w:sz w:val="24"/>
          <w:szCs w:val="24"/>
          <w:lang w:val="lv-LV"/>
        </w:rPr>
        <w:t xml:space="preserve">, tai skaitā </w:t>
      </w:r>
      <w:r w:rsidR="00EB5143">
        <w:rPr>
          <w:rFonts w:ascii="Times New Roman" w:hAnsi="Times New Roman" w:cs="Times New Roman"/>
          <w:sz w:val="24"/>
          <w:szCs w:val="24"/>
          <w:lang w:val="lv-LV"/>
        </w:rPr>
        <w:t xml:space="preserve">finansējums </w:t>
      </w:r>
      <w:r w:rsidR="000A3787">
        <w:rPr>
          <w:rFonts w:ascii="Times New Roman" w:hAnsi="Times New Roman" w:cs="Times New Roman"/>
          <w:sz w:val="24"/>
          <w:szCs w:val="24"/>
          <w:lang w:val="lv-LV"/>
        </w:rPr>
        <w:t xml:space="preserve">pamatfunkciju izpildei </w:t>
      </w:r>
      <w:r w:rsidR="00EB5143">
        <w:rPr>
          <w:rFonts w:ascii="Times New Roman" w:hAnsi="Times New Roman" w:cs="Times New Roman"/>
          <w:sz w:val="24"/>
          <w:szCs w:val="24"/>
          <w:lang w:val="lv-LV"/>
        </w:rPr>
        <w:t xml:space="preserve">ir </w:t>
      </w:r>
      <w:r w:rsidR="000A3787">
        <w:rPr>
          <w:rFonts w:ascii="Times New Roman" w:hAnsi="Times New Roman" w:cs="Times New Roman"/>
          <w:sz w:val="24"/>
          <w:szCs w:val="24"/>
          <w:lang w:val="lv-LV"/>
        </w:rPr>
        <w:t>par 22 694 749 latiem mazāks, ES fondu un ārvalstu līdzfinansējums ir par 13 179 285 latiem lielāks</w:t>
      </w:r>
      <w:r w:rsidR="007E77CE">
        <w:rPr>
          <w:rFonts w:ascii="Times New Roman" w:hAnsi="Times New Roman" w:cs="Times New Roman"/>
          <w:sz w:val="24"/>
          <w:szCs w:val="24"/>
          <w:lang w:val="lv-LV"/>
        </w:rPr>
        <w:t xml:space="preserve">. </w:t>
      </w:r>
    </w:p>
    <w:p w:rsidR="000A3787" w:rsidRDefault="000A3787" w:rsidP="0079151A">
      <w:pPr>
        <w:autoSpaceDE w:val="0"/>
        <w:autoSpaceDN w:val="0"/>
        <w:adjustRightInd w:val="0"/>
        <w:spacing w:before="120"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Atbilstoši likumam „Grozījumi likumā „Par valsts budžetu 2011.gadam” (stājies spēkā ar 30.04.2011) kopējie Veselības ministrijas budžeta izdevumi ir 492 508 415 lati, tai skaitā 449 919 401 lats valsts budžeta pamatfunkciju izpildei</w:t>
      </w:r>
      <w:r w:rsidR="005763E1">
        <w:rPr>
          <w:rFonts w:ascii="Times New Roman" w:hAnsi="Times New Roman" w:cs="Times New Roman"/>
          <w:sz w:val="24"/>
          <w:szCs w:val="24"/>
          <w:lang w:val="lv-LV"/>
        </w:rPr>
        <w:t xml:space="preserve"> (palielinājums pret gada sākumu 6 660 936 lati, tai skaitā izdevumos iestrādāts budžeta iestāžu 2010.gada pašu ieņēmumu līdzekļu atlikums 2 821 566 lati</w:t>
      </w:r>
      <w:r w:rsidR="00A10DD0">
        <w:rPr>
          <w:rFonts w:ascii="Times New Roman" w:hAnsi="Times New Roman" w:cs="Times New Roman"/>
          <w:sz w:val="24"/>
          <w:szCs w:val="24"/>
          <w:lang w:val="lv-LV"/>
        </w:rPr>
        <w:t xml:space="preserve">, </w:t>
      </w:r>
      <w:r w:rsidR="005C40BE">
        <w:rPr>
          <w:rFonts w:ascii="Times New Roman" w:hAnsi="Times New Roman" w:cs="Times New Roman"/>
          <w:sz w:val="24"/>
          <w:szCs w:val="24"/>
          <w:lang w:val="lv-LV"/>
        </w:rPr>
        <w:t>-</w:t>
      </w:r>
      <w:r w:rsidR="00A10DD0">
        <w:rPr>
          <w:rFonts w:ascii="Times New Roman" w:hAnsi="Times New Roman" w:cs="Times New Roman"/>
          <w:sz w:val="24"/>
          <w:szCs w:val="24"/>
          <w:lang w:val="lv-LV"/>
        </w:rPr>
        <w:t>146 812 lati dotācijas samazinājums pēc Ministru kabineta lēmuma</w:t>
      </w:r>
      <w:r w:rsidR="005763E1">
        <w:rPr>
          <w:rFonts w:ascii="Times New Roman" w:hAnsi="Times New Roman" w:cs="Times New Roman"/>
          <w:sz w:val="24"/>
          <w:szCs w:val="24"/>
          <w:lang w:val="lv-LV"/>
        </w:rPr>
        <w:t xml:space="preserve"> un 3 986 182 lati - pašu ieņēmumu no maksas pakalpojumiem līdzekļu palielinājums)</w:t>
      </w:r>
      <w:r>
        <w:rPr>
          <w:rFonts w:ascii="Times New Roman" w:hAnsi="Times New Roman" w:cs="Times New Roman"/>
          <w:sz w:val="24"/>
          <w:szCs w:val="24"/>
          <w:lang w:val="lv-LV"/>
        </w:rPr>
        <w:t>, 42</w:t>
      </w:r>
      <w:r w:rsidR="005763E1">
        <w:rPr>
          <w:rFonts w:ascii="Times New Roman" w:hAnsi="Times New Roman" w:cs="Times New Roman"/>
          <w:sz w:val="24"/>
          <w:szCs w:val="24"/>
          <w:lang w:val="lv-LV"/>
        </w:rPr>
        <w:t> 589 014</w:t>
      </w:r>
      <w:r>
        <w:rPr>
          <w:rFonts w:ascii="Times New Roman" w:hAnsi="Times New Roman" w:cs="Times New Roman"/>
          <w:sz w:val="24"/>
          <w:szCs w:val="24"/>
          <w:lang w:val="lv-LV"/>
        </w:rPr>
        <w:t> lati ES fondu un ārvalstu līdzfinansējums</w:t>
      </w:r>
      <w:r w:rsidR="005763E1">
        <w:rPr>
          <w:rFonts w:ascii="Times New Roman" w:hAnsi="Times New Roman" w:cs="Times New Roman"/>
          <w:sz w:val="24"/>
          <w:szCs w:val="24"/>
          <w:lang w:val="lv-LV"/>
        </w:rPr>
        <w:t xml:space="preserve"> (samazinājums pret gada sākumu 688 976 lati)</w:t>
      </w:r>
      <w:r>
        <w:rPr>
          <w:rFonts w:ascii="Times New Roman" w:hAnsi="Times New Roman" w:cs="Times New Roman"/>
          <w:sz w:val="24"/>
          <w:szCs w:val="24"/>
          <w:lang w:val="lv-LV"/>
        </w:rPr>
        <w:t>.</w:t>
      </w:r>
    </w:p>
    <w:p w:rsidR="00A56721" w:rsidRDefault="004F497C" w:rsidP="0079151A">
      <w:pPr>
        <w:autoSpaceDE w:val="0"/>
        <w:autoSpaceDN w:val="0"/>
        <w:adjustRightInd w:val="0"/>
        <w:spacing w:before="120" w:after="0" w:line="240" w:lineRule="auto"/>
        <w:ind w:firstLine="720"/>
        <w:jc w:val="both"/>
        <w:rPr>
          <w:rFonts w:ascii="Times New Roman" w:hAnsi="Times New Roman" w:cs="Times New Roman"/>
          <w:sz w:val="24"/>
          <w:szCs w:val="24"/>
          <w:lang w:val="lv-LV"/>
        </w:rPr>
      </w:pPr>
      <w:r w:rsidRPr="00A007B0">
        <w:rPr>
          <w:rFonts w:ascii="Times New Roman" w:hAnsi="Times New Roman" w:cs="Times New Roman"/>
          <w:sz w:val="24"/>
          <w:szCs w:val="24"/>
          <w:lang w:val="lv-LV"/>
        </w:rPr>
        <w:t xml:space="preserve">No kopējā </w:t>
      </w:r>
      <w:r w:rsidR="005C40BE" w:rsidRPr="00A007B0">
        <w:rPr>
          <w:rFonts w:ascii="Times New Roman" w:hAnsi="Times New Roman" w:cs="Times New Roman"/>
          <w:sz w:val="24"/>
          <w:szCs w:val="24"/>
          <w:lang w:val="lv-LV"/>
        </w:rPr>
        <w:t xml:space="preserve">2011.gada </w:t>
      </w:r>
      <w:r w:rsidRPr="00A007B0">
        <w:rPr>
          <w:rFonts w:ascii="Times New Roman" w:hAnsi="Times New Roman" w:cs="Times New Roman"/>
          <w:sz w:val="24"/>
          <w:szCs w:val="24"/>
          <w:lang w:val="lv-LV"/>
        </w:rPr>
        <w:t xml:space="preserve">finansējuma </w:t>
      </w:r>
      <w:r w:rsidR="008E23C2">
        <w:rPr>
          <w:rFonts w:ascii="Times New Roman" w:hAnsi="Times New Roman" w:cs="Times New Roman"/>
          <w:sz w:val="24"/>
          <w:szCs w:val="24"/>
          <w:lang w:val="lv-LV"/>
        </w:rPr>
        <w:t xml:space="preserve">(atbilstoši budžetam ar grozījumiem) </w:t>
      </w:r>
      <w:r w:rsidR="00AC61F0">
        <w:rPr>
          <w:rFonts w:ascii="Times New Roman" w:hAnsi="Times New Roman" w:cs="Times New Roman"/>
          <w:sz w:val="24"/>
          <w:szCs w:val="24"/>
          <w:lang w:val="lv-LV"/>
        </w:rPr>
        <w:t xml:space="preserve">tieši </w:t>
      </w:r>
      <w:r w:rsidR="00445EF0" w:rsidRPr="00A007B0">
        <w:rPr>
          <w:rFonts w:ascii="Times New Roman" w:hAnsi="Times New Roman" w:cs="Times New Roman"/>
          <w:sz w:val="24"/>
          <w:szCs w:val="24"/>
          <w:lang w:val="lv-LV"/>
        </w:rPr>
        <w:t>veselības aprūpes pakalpojumu</w:t>
      </w:r>
      <w:r w:rsidRPr="00A007B0">
        <w:rPr>
          <w:rFonts w:ascii="Times New Roman" w:hAnsi="Times New Roman" w:cs="Times New Roman"/>
          <w:sz w:val="24"/>
          <w:szCs w:val="24"/>
          <w:lang w:val="lv-LV"/>
        </w:rPr>
        <w:t xml:space="preserve"> nodrošināšanai novirzīti</w:t>
      </w:r>
      <w:r w:rsidR="008E23C2">
        <w:rPr>
          <w:rFonts w:ascii="Times New Roman" w:hAnsi="Times New Roman" w:cs="Times New Roman"/>
          <w:sz w:val="24"/>
          <w:szCs w:val="24"/>
          <w:lang w:val="lv-LV"/>
        </w:rPr>
        <w:t xml:space="preserve"> 420 018 439 lati</w:t>
      </w:r>
      <w:r w:rsidR="006A1552">
        <w:rPr>
          <w:rFonts w:ascii="Times New Roman" w:hAnsi="Times New Roman" w:cs="Times New Roman"/>
          <w:sz w:val="24"/>
          <w:szCs w:val="24"/>
          <w:lang w:val="lv-LV"/>
        </w:rPr>
        <w:t>, kas ir</w:t>
      </w:r>
      <w:r w:rsidR="008E23C2">
        <w:rPr>
          <w:rFonts w:ascii="Times New Roman" w:hAnsi="Times New Roman" w:cs="Times New Roman"/>
          <w:sz w:val="24"/>
          <w:szCs w:val="24"/>
          <w:lang w:val="lv-LV"/>
        </w:rPr>
        <w:t xml:space="preserve"> 85,2% no kopējā nozares budžeta</w:t>
      </w:r>
      <w:r w:rsidR="006A1552">
        <w:rPr>
          <w:rFonts w:ascii="Times New Roman" w:hAnsi="Times New Roman" w:cs="Times New Roman"/>
          <w:sz w:val="24"/>
          <w:szCs w:val="24"/>
          <w:lang w:val="lv-LV"/>
        </w:rPr>
        <w:t xml:space="preserve"> vai 93,4% no finansējuma budžeta pamatfunkciju izpildei.</w:t>
      </w:r>
      <w:r w:rsidR="008E23C2">
        <w:rPr>
          <w:rFonts w:ascii="Times New Roman" w:hAnsi="Times New Roman" w:cs="Times New Roman"/>
          <w:sz w:val="24"/>
          <w:szCs w:val="24"/>
          <w:lang w:val="lv-LV"/>
        </w:rPr>
        <w:t xml:space="preserve"> </w:t>
      </w:r>
      <w:r w:rsidR="006A1552">
        <w:rPr>
          <w:rFonts w:ascii="Times New Roman" w:hAnsi="Times New Roman" w:cs="Times New Roman"/>
          <w:sz w:val="24"/>
          <w:szCs w:val="24"/>
          <w:lang w:val="lv-LV"/>
        </w:rPr>
        <w:t xml:space="preserve">No kopējā </w:t>
      </w:r>
      <w:r w:rsidR="00AC61F0">
        <w:rPr>
          <w:rFonts w:ascii="Times New Roman" w:hAnsi="Times New Roman" w:cs="Times New Roman"/>
          <w:sz w:val="24"/>
          <w:szCs w:val="24"/>
          <w:lang w:val="lv-LV"/>
        </w:rPr>
        <w:t xml:space="preserve">veselības aprūpes pakalpojumu </w:t>
      </w:r>
      <w:r w:rsidR="006A1552">
        <w:rPr>
          <w:rFonts w:ascii="Times New Roman" w:hAnsi="Times New Roman" w:cs="Times New Roman"/>
          <w:sz w:val="24"/>
          <w:szCs w:val="24"/>
          <w:lang w:val="lv-LV"/>
        </w:rPr>
        <w:t>finansējuma</w:t>
      </w:r>
      <w:r w:rsidR="008E23C2">
        <w:rPr>
          <w:rFonts w:ascii="Times New Roman" w:hAnsi="Times New Roman" w:cs="Times New Roman"/>
          <w:sz w:val="24"/>
          <w:szCs w:val="24"/>
          <w:lang w:val="lv-LV"/>
        </w:rPr>
        <w:t xml:space="preserve"> </w:t>
      </w:r>
      <w:r w:rsidR="008E23C2" w:rsidRPr="008E23C2">
        <w:rPr>
          <w:rFonts w:ascii="Times New Roman" w:hAnsi="Times New Roman" w:cs="Times New Roman"/>
          <w:sz w:val="24"/>
          <w:szCs w:val="24"/>
          <w:lang w:val="lv-LV"/>
        </w:rPr>
        <w:t xml:space="preserve">Veselības norēķinu centra administrējamā daļa </w:t>
      </w:r>
      <w:r w:rsidR="008E23C2" w:rsidRPr="006A1552">
        <w:rPr>
          <w:rFonts w:ascii="Times New Roman" w:hAnsi="Times New Roman" w:cs="Times New Roman"/>
          <w:sz w:val="24"/>
          <w:szCs w:val="24"/>
          <w:lang w:val="lv-LV"/>
        </w:rPr>
        <w:t xml:space="preserve">ir </w:t>
      </w:r>
      <w:r w:rsidRPr="006A1552">
        <w:rPr>
          <w:rFonts w:ascii="Times New Roman" w:hAnsi="Times New Roman" w:cs="Times New Roman"/>
          <w:sz w:val="24"/>
          <w:szCs w:val="24"/>
          <w:lang w:val="lv-LV"/>
        </w:rPr>
        <w:t>3</w:t>
      </w:r>
      <w:r w:rsidR="006A1552" w:rsidRPr="006A1552">
        <w:rPr>
          <w:rFonts w:ascii="Times New Roman" w:hAnsi="Times New Roman" w:cs="Times New Roman"/>
          <w:sz w:val="24"/>
          <w:szCs w:val="24"/>
          <w:lang w:val="lv-LV"/>
        </w:rPr>
        <w:t>68</w:t>
      </w:r>
      <w:r w:rsidR="00445EF0" w:rsidRPr="006A1552">
        <w:rPr>
          <w:rFonts w:ascii="Times New Roman" w:hAnsi="Times New Roman" w:cs="Times New Roman"/>
          <w:sz w:val="24"/>
          <w:szCs w:val="24"/>
          <w:lang w:val="lv-LV"/>
        </w:rPr>
        <w:t> </w:t>
      </w:r>
      <w:r w:rsidR="006A1552" w:rsidRPr="006A1552">
        <w:rPr>
          <w:rFonts w:ascii="Times New Roman" w:hAnsi="Times New Roman" w:cs="Times New Roman"/>
          <w:sz w:val="24"/>
          <w:szCs w:val="24"/>
          <w:lang w:val="lv-LV"/>
        </w:rPr>
        <w:t>52</w:t>
      </w:r>
      <w:r w:rsidR="00A56721" w:rsidRPr="006A1552">
        <w:rPr>
          <w:rFonts w:ascii="Times New Roman" w:hAnsi="Times New Roman" w:cs="Times New Roman"/>
          <w:sz w:val="24"/>
          <w:szCs w:val="24"/>
          <w:lang w:val="lv-LV"/>
        </w:rPr>
        <w:t>5</w:t>
      </w:r>
      <w:r w:rsidR="00445EF0" w:rsidRPr="006A1552">
        <w:rPr>
          <w:rFonts w:ascii="Times New Roman" w:hAnsi="Times New Roman" w:cs="Times New Roman"/>
          <w:sz w:val="24"/>
          <w:szCs w:val="24"/>
          <w:lang w:val="lv-LV"/>
        </w:rPr>
        <w:t> </w:t>
      </w:r>
      <w:r w:rsidR="006A1552" w:rsidRPr="006A1552">
        <w:rPr>
          <w:rFonts w:ascii="Times New Roman" w:hAnsi="Times New Roman" w:cs="Times New Roman"/>
          <w:sz w:val="24"/>
          <w:szCs w:val="24"/>
          <w:lang w:val="lv-LV"/>
        </w:rPr>
        <w:t>294</w:t>
      </w:r>
      <w:r w:rsidR="00445EF0" w:rsidRPr="006A1552">
        <w:rPr>
          <w:rFonts w:ascii="Times New Roman" w:hAnsi="Times New Roman" w:cs="Times New Roman"/>
          <w:sz w:val="24"/>
          <w:szCs w:val="24"/>
          <w:lang w:val="lv-LV"/>
        </w:rPr>
        <w:t> </w:t>
      </w:r>
      <w:r w:rsidRPr="006A1552">
        <w:rPr>
          <w:rFonts w:ascii="Times New Roman" w:hAnsi="Times New Roman" w:cs="Times New Roman"/>
          <w:sz w:val="24"/>
          <w:szCs w:val="24"/>
          <w:lang w:val="lv-LV"/>
        </w:rPr>
        <w:t>lati</w:t>
      </w:r>
      <w:r w:rsidR="008E23C2" w:rsidRPr="006A1552">
        <w:rPr>
          <w:rFonts w:ascii="Times New Roman" w:hAnsi="Times New Roman" w:cs="Times New Roman"/>
          <w:sz w:val="24"/>
          <w:szCs w:val="24"/>
          <w:lang w:val="lv-LV"/>
        </w:rPr>
        <w:t xml:space="preserve"> (</w:t>
      </w:r>
      <w:r w:rsidR="005C40BE" w:rsidRPr="006A1552">
        <w:rPr>
          <w:rFonts w:ascii="Times New Roman" w:hAnsi="Times New Roman" w:cs="Times New Roman"/>
          <w:sz w:val="24"/>
          <w:szCs w:val="24"/>
          <w:lang w:val="lv-LV"/>
        </w:rPr>
        <w:t xml:space="preserve">tai skaitā </w:t>
      </w:r>
      <w:r w:rsidR="00A56721" w:rsidRPr="006A1552">
        <w:rPr>
          <w:rFonts w:ascii="Times New Roman" w:hAnsi="Times New Roman" w:cs="Times New Roman"/>
          <w:sz w:val="24"/>
          <w:szCs w:val="24"/>
          <w:lang w:val="lv-LV"/>
        </w:rPr>
        <w:t>335 482 652 lati</w:t>
      </w:r>
      <w:r w:rsidR="00AC61F0">
        <w:rPr>
          <w:rFonts w:ascii="Times New Roman" w:hAnsi="Times New Roman" w:cs="Times New Roman"/>
          <w:sz w:val="24"/>
          <w:szCs w:val="24"/>
          <w:lang w:val="lv-LV"/>
        </w:rPr>
        <w:t xml:space="preserve"> ir</w:t>
      </w:r>
      <w:r w:rsidR="008E23C2" w:rsidRPr="006A1552">
        <w:rPr>
          <w:rFonts w:ascii="Times New Roman" w:hAnsi="Times New Roman" w:cs="Times New Roman"/>
          <w:sz w:val="24"/>
          <w:szCs w:val="24"/>
          <w:lang w:val="lv-LV"/>
        </w:rPr>
        <w:t xml:space="preserve"> valsts budžeta finansējums ārstniecībai un medikament</w:t>
      </w:r>
      <w:r w:rsidR="00AC61F0">
        <w:rPr>
          <w:rFonts w:ascii="Times New Roman" w:hAnsi="Times New Roman" w:cs="Times New Roman"/>
          <w:sz w:val="24"/>
          <w:szCs w:val="24"/>
          <w:lang w:val="lv-LV"/>
        </w:rPr>
        <w:t>u iegādei</w:t>
      </w:r>
      <w:r w:rsidR="008E23C2" w:rsidRPr="006A1552">
        <w:rPr>
          <w:rFonts w:ascii="Times New Roman" w:hAnsi="Times New Roman" w:cs="Times New Roman"/>
          <w:sz w:val="24"/>
          <w:szCs w:val="24"/>
          <w:lang w:val="lv-LV"/>
        </w:rPr>
        <w:t xml:space="preserve">, </w:t>
      </w:r>
      <w:r w:rsidR="006A1552" w:rsidRPr="006A1552">
        <w:rPr>
          <w:rFonts w:ascii="Times New Roman" w:hAnsi="Times New Roman" w:cs="Times New Roman"/>
          <w:sz w:val="24"/>
          <w:szCs w:val="24"/>
          <w:lang w:val="lv-LV"/>
        </w:rPr>
        <w:t xml:space="preserve">30 310 711 lati </w:t>
      </w:r>
      <w:r w:rsidR="00AC61F0">
        <w:rPr>
          <w:rFonts w:ascii="Times New Roman" w:hAnsi="Times New Roman" w:cs="Times New Roman"/>
          <w:sz w:val="24"/>
          <w:szCs w:val="24"/>
          <w:lang w:val="lv-LV"/>
        </w:rPr>
        <w:t xml:space="preserve">- </w:t>
      </w:r>
      <w:r w:rsidR="006A1552" w:rsidRPr="006A1552">
        <w:rPr>
          <w:rFonts w:ascii="Times New Roman" w:hAnsi="Times New Roman" w:cs="Times New Roman"/>
          <w:sz w:val="24"/>
          <w:szCs w:val="24"/>
          <w:lang w:val="lv-LV"/>
        </w:rPr>
        <w:t xml:space="preserve">finansējums Sociālās drošības tīkla stratēģijas ietvaros, 2 731 931 lats </w:t>
      </w:r>
      <w:r w:rsidR="00AC61F0">
        <w:rPr>
          <w:rFonts w:ascii="Times New Roman" w:hAnsi="Times New Roman" w:cs="Times New Roman"/>
          <w:sz w:val="24"/>
          <w:szCs w:val="24"/>
          <w:lang w:val="lv-LV"/>
        </w:rPr>
        <w:t>-</w:t>
      </w:r>
      <w:r w:rsidR="006A1552" w:rsidRPr="006A1552">
        <w:rPr>
          <w:rFonts w:ascii="Times New Roman" w:hAnsi="Times New Roman" w:cs="Times New Roman"/>
          <w:sz w:val="24"/>
          <w:szCs w:val="24"/>
          <w:lang w:val="lv-LV"/>
        </w:rPr>
        <w:t xml:space="preserve"> Krievijas Federācijas pārskaitītais finansējums militāro pensionāru veselības aprūpei)</w:t>
      </w:r>
      <w:r w:rsidR="00A56721" w:rsidRPr="006A1552">
        <w:rPr>
          <w:rFonts w:ascii="Times New Roman" w:hAnsi="Times New Roman" w:cs="Times New Roman"/>
          <w:sz w:val="24"/>
          <w:szCs w:val="24"/>
          <w:lang w:val="lv-LV"/>
        </w:rPr>
        <w:t>, bet</w:t>
      </w:r>
      <w:r w:rsidR="00A56721">
        <w:rPr>
          <w:rFonts w:ascii="Times New Roman" w:hAnsi="Times New Roman" w:cs="Times New Roman"/>
          <w:sz w:val="24"/>
          <w:szCs w:val="24"/>
          <w:lang w:val="lv-LV"/>
        </w:rPr>
        <w:t xml:space="preserve"> 51 493 145 lati ir budžeta iestāžu</w:t>
      </w:r>
      <w:r w:rsidR="00C64978">
        <w:rPr>
          <w:rFonts w:ascii="Times New Roman" w:hAnsi="Times New Roman" w:cs="Times New Roman"/>
          <w:sz w:val="24"/>
          <w:szCs w:val="24"/>
          <w:lang w:val="lv-LV"/>
        </w:rPr>
        <w:t>, kas sniedz veselības aprūpes pakalpojumus,</w:t>
      </w:r>
      <w:r w:rsidR="00A56721">
        <w:rPr>
          <w:rFonts w:ascii="Times New Roman" w:hAnsi="Times New Roman" w:cs="Times New Roman"/>
          <w:sz w:val="24"/>
          <w:szCs w:val="24"/>
          <w:lang w:val="lv-LV"/>
        </w:rPr>
        <w:t xml:space="preserve"> finansējums.</w:t>
      </w:r>
      <w:r w:rsidRPr="004F497C">
        <w:rPr>
          <w:rFonts w:ascii="Times New Roman" w:hAnsi="Times New Roman" w:cs="Times New Roman"/>
          <w:sz w:val="24"/>
          <w:szCs w:val="24"/>
          <w:lang w:val="lv-LV"/>
        </w:rPr>
        <w:t xml:space="preserve"> </w:t>
      </w:r>
    </w:p>
    <w:p w:rsidR="00A56721" w:rsidRDefault="00A56721" w:rsidP="00A56721">
      <w:pPr>
        <w:autoSpaceDE w:val="0"/>
        <w:autoSpaceDN w:val="0"/>
        <w:adjustRightInd w:val="0"/>
        <w:spacing w:before="120"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 </w:t>
      </w:r>
      <w:r w:rsidRPr="004F497C">
        <w:rPr>
          <w:rFonts w:ascii="Times New Roman" w:hAnsi="Times New Roman" w:cs="Times New Roman"/>
          <w:sz w:val="24"/>
          <w:szCs w:val="24"/>
          <w:lang w:val="lv-LV"/>
        </w:rPr>
        <w:t xml:space="preserve">Veselības norēķinu centra </w:t>
      </w:r>
      <w:r w:rsidR="00C64978">
        <w:rPr>
          <w:rFonts w:ascii="Times New Roman" w:hAnsi="Times New Roman" w:cs="Times New Roman"/>
          <w:sz w:val="24"/>
          <w:szCs w:val="24"/>
          <w:lang w:val="lv-LV"/>
        </w:rPr>
        <w:t xml:space="preserve">kopējās </w:t>
      </w:r>
      <w:r w:rsidRPr="004F497C">
        <w:rPr>
          <w:rFonts w:ascii="Times New Roman" w:hAnsi="Times New Roman" w:cs="Times New Roman"/>
          <w:sz w:val="24"/>
          <w:szCs w:val="24"/>
          <w:lang w:val="lv-LV"/>
        </w:rPr>
        <w:t>administrējamā</w:t>
      </w:r>
      <w:r>
        <w:rPr>
          <w:rFonts w:ascii="Times New Roman" w:hAnsi="Times New Roman" w:cs="Times New Roman"/>
          <w:sz w:val="24"/>
          <w:szCs w:val="24"/>
          <w:lang w:val="lv-LV"/>
        </w:rPr>
        <w:t>s</w:t>
      </w:r>
      <w:r w:rsidRPr="004F497C">
        <w:rPr>
          <w:rFonts w:ascii="Times New Roman" w:hAnsi="Times New Roman" w:cs="Times New Roman"/>
          <w:sz w:val="24"/>
          <w:szCs w:val="24"/>
          <w:lang w:val="lv-LV"/>
        </w:rPr>
        <w:t xml:space="preserve"> </w:t>
      </w:r>
      <w:r w:rsidR="002B1ABC">
        <w:rPr>
          <w:rFonts w:ascii="Times New Roman" w:hAnsi="Times New Roman" w:cs="Times New Roman"/>
          <w:sz w:val="24"/>
          <w:szCs w:val="24"/>
          <w:lang w:val="lv-LV"/>
        </w:rPr>
        <w:t xml:space="preserve">budžeta </w:t>
      </w:r>
      <w:r w:rsidRPr="004F497C">
        <w:rPr>
          <w:rFonts w:ascii="Times New Roman" w:hAnsi="Times New Roman" w:cs="Times New Roman"/>
          <w:sz w:val="24"/>
          <w:szCs w:val="24"/>
          <w:lang w:val="lv-LV"/>
        </w:rPr>
        <w:t>daļa</w:t>
      </w:r>
      <w:r>
        <w:rPr>
          <w:rFonts w:ascii="Times New Roman" w:hAnsi="Times New Roman" w:cs="Times New Roman"/>
          <w:sz w:val="24"/>
          <w:szCs w:val="24"/>
          <w:lang w:val="lv-LV"/>
        </w:rPr>
        <w:t xml:space="preserve">s </w:t>
      </w:r>
      <w:r w:rsidR="002B1ABC">
        <w:rPr>
          <w:rFonts w:ascii="Times New Roman" w:hAnsi="Times New Roman" w:cs="Times New Roman"/>
          <w:sz w:val="24"/>
          <w:szCs w:val="24"/>
          <w:lang w:val="lv-LV"/>
        </w:rPr>
        <w:t>140 753 089 </w:t>
      </w:r>
      <w:r w:rsidR="004F497C" w:rsidRPr="004F497C">
        <w:rPr>
          <w:rFonts w:ascii="Times New Roman" w:hAnsi="Times New Roman" w:cs="Times New Roman"/>
          <w:sz w:val="24"/>
          <w:szCs w:val="24"/>
          <w:lang w:val="lv-LV"/>
        </w:rPr>
        <w:t>lat</w:t>
      </w:r>
      <w:r w:rsidR="002B1ABC">
        <w:rPr>
          <w:rFonts w:ascii="Times New Roman" w:hAnsi="Times New Roman" w:cs="Times New Roman"/>
          <w:sz w:val="24"/>
          <w:szCs w:val="24"/>
          <w:lang w:val="lv-LV"/>
        </w:rPr>
        <w:t>i</w:t>
      </w:r>
      <w:r w:rsidR="004F497C" w:rsidRPr="004F497C">
        <w:rPr>
          <w:rFonts w:ascii="Times New Roman" w:hAnsi="Times New Roman" w:cs="Times New Roman"/>
          <w:sz w:val="24"/>
          <w:szCs w:val="24"/>
          <w:lang w:val="lv-LV"/>
        </w:rPr>
        <w:t xml:space="preserve"> ir </w:t>
      </w:r>
      <w:r w:rsidR="0079151A">
        <w:rPr>
          <w:rFonts w:ascii="Times New Roman" w:hAnsi="Times New Roman" w:cs="Times New Roman"/>
          <w:sz w:val="24"/>
          <w:szCs w:val="24"/>
          <w:lang w:val="lv-LV"/>
        </w:rPr>
        <w:t>novirzīti</w:t>
      </w:r>
      <w:r w:rsidR="004F497C" w:rsidRPr="004F497C">
        <w:rPr>
          <w:rFonts w:ascii="Times New Roman" w:hAnsi="Times New Roman" w:cs="Times New Roman"/>
          <w:sz w:val="24"/>
          <w:szCs w:val="24"/>
          <w:lang w:val="lv-LV"/>
        </w:rPr>
        <w:t xml:space="preserve"> </w:t>
      </w:r>
      <w:r w:rsidR="002B1ABC" w:rsidRPr="004F497C">
        <w:rPr>
          <w:rFonts w:ascii="Times New Roman" w:hAnsi="Times New Roman" w:cs="Times New Roman"/>
          <w:sz w:val="24"/>
          <w:szCs w:val="24"/>
          <w:lang w:val="lv-LV"/>
        </w:rPr>
        <w:t>ambulatorās veselības aprūpes pakalpojumu sniegšana</w:t>
      </w:r>
      <w:r w:rsidR="002B1ABC">
        <w:rPr>
          <w:rFonts w:ascii="Times New Roman" w:hAnsi="Times New Roman" w:cs="Times New Roman"/>
          <w:sz w:val="24"/>
          <w:szCs w:val="24"/>
          <w:lang w:val="lv-LV"/>
        </w:rPr>
        <w:t xml:space="preserve">i, 139 225 193 lati - </w:t>
      </w:r>
      <w:r w:rsidR="004F497C" w:rsidRPr="004F497C">
        <w:rPr>
          <w:rFonts w:ascii="Times New Roman" w:hAnsi="Times New Roman" w:cs="Times New Roman"/>
          <w:sz w:val="24"/>
          <w:szCs w:val="24"/>
          <w:lang w:val="lv-LV"/>
        </w:rPr>
        <w:t>stacionārās veselības aprūpes pakalpojumu</w:t>
      </w:r>
      <w:r w:rsidR="0079151A">
        <w:rPr>
          <w:rFonts w:ascii="Times New Roman" w:hAnsi="Times New Roman" w:cs="Times New Roman"/>
          <w:sz w:val="24"/>
          <w:szCs w:val="24"/>
          <w:lang w:val="lv-LV"/>
        </w:rPr>
        <w:t xml:space="preserve"> sniegšanai, </w:t>
      </w:r>
      <w:r>
        <w:rPr>
          <w:rFonts w:ascii="Times New Roman" w:hAnsi="Times New Roman" w:cs="Times New Roman"/>
          <w:sz w:val="24"/>
          <w:szCs w:val="24"/>
          <w:lang w:val="lv-LV"/>
        </w:rPr>
        <w:t>3</w:t>
      </w:r>
      <w:r w:rsidR="002B1ABC">
        <w:rPr>
          <w:rFonts w:ascii="Times New Roman" w:hAnsi="Times New Roman" w:cs="Times New Roman"/>
          <w:sz w:val="24"/>
          <w:szCs w:val="24"/>
          <w:lang w:val="lv-LV"/>
        </w:rPr>
        <w:t> </w:t>
      </w:r>
      <w:r>
        <w:rPr>
          <w:rFonts w:ascii="Times New Roman" w:hAnsi="Times New Roman" w:cs="Times New Roman"/>
          <w:sz w:val="24"/>
          <w:szCs w:val="24"/>
          <w:lang w:val="lv-LV"/>
        </w:rPr>
        <w:t>5</w:t>
      </w:r>
      <w:r w:rsidR="002B1ABC">
        <w:rPr>
          <w:rFonts w:ascii="Times New Roman" w:hAnsi="Times New Roman" w:cs="Times New Roman"/>
          <w:sz w:val="24"/>
          <w:szCs w:val="24"/>
          <w:lang w:val="lv-LV"/>
        </w:rPr>
        <w:t>00 000</w:t>
      </w:r>
      <w:r w:rsidR="004F497C" w:rsidRPr="004F497C">
        <w:rPr>
          <w:rFonts w:ascii="Times New Roman" w:hAnsi="Times New Roman" w:cs="Times New Roman"/>
          <w:sz w:val="24"/>
          <w:szCs w:val="24"/>
          <w:lang w:val="lv-LV"/>
        </w:rPr>
        <w:t xml:space="preserve"> latu </w:t>
      </w:r>
      <w:r w:rsidR="00AC61F0">
        <w:rPr>
          <w:rFonts w:ascii="Times New Roman" w:hAnsi="Times New Roman" w:cs="Times New Roman"/>
          <w:sz w:val="24"/>
          <w:szCs w:val="24"/>
          <w:lang w:val="lv-LV"/>
        </w:rPr>
        <w:t>-</w:t>
      </w:r>
      <w:r w:rsidR="004F497C" w:rsidRPr="004F497C">
        <w:rPr>
          <w:rFonts w:ascii="Times New Roman" w:hAnsi="Times New Roman" w:cs="Times New Roman"/>
          <w:sz w:val="24"/>
          <w:szCs w:val="24"/>
          <w:lang w:val="lv-LV"/>
        </w:rPr>
        <w:t xml:space="preserve"> starptautiskiem norēķiniem par Latvijas iedzīvotā</w:t>
      </w:r>
      <w:r w:rsidR="0079151A">
        <w:rPr>
          <w:rFonts w:ascii="Times New Roman" w:hAnsi="Times New Roman" w:cs="Times New Roman"/>
          <w:sz w:val="24"/>
          <w:szCs w:val="24"/>
          <w:lang w:val="lv-LV"/>
        </w:rPr>
        <w:t xml:space="preserve">jiem sniegtajiem pakalpojumiem </w:t>
      </w:r>
      <w:r>
        <w:rPr>
          <w:rFonts w:ascii="Times New Roman" w:hAnsi="Times New Roman" w:cs="Times New Roman"/>
          <w:sz w:val="24"/>
          <w:szCs w:val="24"/>
          <w:lang w:val="lv-LV"/>
        </w:rPr>
        <w:t>E</w:t>
      </w:r>
      <w:r w:rsidR="00C64978">
        <w:rPr>
          <w:rFonts w:ascii="Times New Roman" w:hAnsi="Times New Roman" w:cs="Times New Roman"/>
          <w:sz w:val="24"/>
          <w:szCs w:val="24"/>
          <w:lang w:val="lv-LV"/>
        </w:rPr>
        <w:t>iropas Ekonomiskās zonas</w:t>
      </w:r>
      <w:r>
        <w:rPr>
          <w:rFonts w:ascii="Times New Roman" w:hAnsi="Times New Roman" w:cs="Times New Roman"/>
          <w:sz w:val="24"/>
          <w:szCs w:val="24"/>
          <w:lang w:val="lv-LV"/>
        </w:rPr>
        <w:t xml:space="preserve"> valstīs</w:t>
      </w:r>
      <w:r w:rsidR="00AC61F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AC61F0">
        <w:rPr>
          <w:rFonts w:ascii="Times New Roman" w:hAnsi="Times New Roman" w:cs="Times New Roman"/>
          <w:sz w:val="24"/>
          <w:szCs w:val="24"/>
          <w:lang w:val="lv-LV"/>
        </w:rPr>
        <w:t>73 012 273 lati</w:t>
      </w:r>
      <w:r w:rsidR="00AC61F0" w:rsidRPr="004F497C">
        <w:rPr>
          <w:rFonts w:ascii="Times New Roman" w:hAnsi="Times New Roman" w:cs="Times New Roman"/>
          <w:sz w:val="24"/>
          <w:szCs w:val="24"/>
          <w:lang w:val="lv-LV"/>
        </w:rPr>
        <w:t xml:space="preserve"> </w:t>
      </w:r>
      <w:r w:rsidR="00AC61F0">
        <w:rPr>
          <w:rFonts w:ascii="Times New Roman" w:hAnsi="Times New Roman" w:cs="Times New Roman"/>
          <w:sz w:val="24"/>
          <w:szCs w:val="24"/>
          <w:lang w:val="lv-LV"/>
        </w:rPr>
        <w:t xml:space="preserve">- </w:t>
      </w:r>
      <w:r w:rsidR="00AC61F0" w:rsidRPr="004F497C">
        <w:rPr>
          <w:rFonts w:ascii="Times New Roman" w:hAnsi="Times New Roman" w:cs="Times New Roman"/>
          <w:sz w:val="24"/>
          <w:szCs w:val="24"/>
          <w:lang w:val="lv-LV"/>
        </w:rPr>
        <w:t>kompensējam</w:t>
      </w:r>
      <w:r w:rsidR="00AC61F0">
        <w:rPr>
          <w:rFonts w:ascii="Times New Roman" w:hAnsi="Times New Roman" w:cs="Times New Roman"/>
          <w:sz w:val="24"/>
          <w:szCs w:val="24"/>
          <w:lang w:val="lv-LV"/>
        </w:rPr>
        <w:t>o</w:t>
      </w:r>
      <w:r w:rsidR="00AC61F0" w:rsidRPr="004F497C">
        <w:rPr>
          <w:rFonts w:ascii="Times New Roman" w:hAnsi="Times New Roman" w:cs="Times New Roman"/>
          <w:sz w:val="24"/>
          <w:szCs w:val="24"/>
          <w:lang w:val="lv-LV"/>
        </w:rPr>
        <w:t xml:space="preserve"> medikament</w:t>
      </w:r>
      <w:r w:rsidR="00AC61F0">
        <w:rPr>
          <w:rFonts w:ascii="Times New Roman" w:hAnsi="Times New Roman" w:cs="Times New Roman"/>
          <w:sz w:val="24"/>
          <w:szCs w:val="24"/>
          <w:lang w:val="lv-LV"/>
        </w:rPr>
        <w:t>u iegādei</w:t>
      </w:r>
      <w:r w:rsidR="00AC61F0" w:rsidRPr="004F497C">
        <w:rPr>
          <w:rFonts w:ascii="Times New Roman" w:hAnsi="Times New Roman" w:cs="Times New Roman"/>
          <w:sz w:val="24"/>
          <w:szCs w:val="24"/>
          <w:lang w:val="lv-LV"/>
        </w:rPr>
        <w:t xml:space="preserve">, </w:t>
      </w:r>
      <w:r w:rsidR="00AC61F0">
        <w:rPr>
          <w:rFonts w:ascii="Times New Roman" w:hAnsi="Times New Roman" w:cs="Times New Roman"/>
          <w:sz w:val="24"/>
          <w:szCs w:val="24"/>
          <w:lang w:val="lv-LV"/>
        </w:rPr>
        <w:t>6 385 360 lati -</w:t>
      </w:r>
      <w:r w:rsidR="00AC61F0" w:rsidRPr="004F497C">
        <w:rPr>
          <w:rFonts w:ascii="Times New Roman" w:hAnsi="Times New Roman" w:cs="Times New Roman"/>
          <w:sz w:val="24"/>
          <w:szCs w:val="24"/>
          <w:lang w:val="lv-LV"/>
        </w:rPr>
        <w:t xml:space="preserve"> centralizēt</w:t>
      </w:r>
      <w:r w:rsidR="00AC61F0">
        <w:rPr>
          <w:rFonts w:ascii="Times New Roman" w:hAnsi="Times New Roman" w:cs="Times New Roman"/>
          <w:sz w:val="24"/>
          <w:szCs w:val="24"/>
          <w:lang w:val="lv-LV"/>
        </w:rPr>
        <w:t>i iepērkamo</w:t>
      </w:r>
      <w:r w:rsidR="00AC61F0" w:rsidRPr="004F497C">
        <w:rPr>
          <w:rFonts w:ascii="Times New Roman" w:hAnsi="Times New Roman" w:cs="Times New Roman"/>
          <w:sz w:val="24"/>
          <w:szCs w:val="24"/>
          <w:lang w:val="lv-LV"/>
        </w:rPr>
        <w:t xml:space="preserve"> medikament</w:t>
      </w:r>
      <w:r w:rsidR="00AC61F0">
        <w:rPr>
          <w:rFonts w:ascii="Times New Roman" w:hAnsi="Times New Roman" w:cs="Times New Roman"/>
          <w:sz w:val="24"/>
          <w:szCs w:val="24"/>
          <w:lang w:val="lv-LV"/>
        </w:rPr>
        <w:t xml:space="preserve">u iegādei </w:t>
      </w:r>
      <w:r w:rsidR="0079151A">
        <w:rPr>
          <w:rFonts w:ascii="Times New Roman" w:hAnsi="Times New Roman" w:cs="Times New Roman"/>
          <w:sz w:val="24"/>
          <w:szCs w:val="24"/>
          <w:lang w:val="lv-LV"/>
        </w:rPr>
        <w:t xml:space="preserve">un </w:t>
      </w:r>
      <w:r w:rsidR="002B1ABC">
        <w:rPr>
          <w:rFonts w:ascii="Times New Roman" w:hAnsi="Times New Roman" w:cs="Times New Roman"/>
          <w:sz w:val="24"/>
          <w:szCs w:val="24"/>
          <w:lang w:val="lv-LV"/>
        </w:rPr>
        <w:t>560 184 lati -</w:t>
      </w:r>
      <w:r w:rsidR="00AE6642">
        <w:rPr>
          <w:rFonts w:ascii="Times New Roman" w:hAnsi="Times New Roman" w:cs="Times New Roman"/>
          <w:sz w:val="24"/>
          <w:szCs w:val="24"/>
          <w:lang w:val="lv-LV"/>
        </w:rPr>
        <w:t xml:space="preserve"> </w:t>
      </w:r>
      <w:r>
        <w:rPr>
          <w:rFonts w:ascii="Times New Roman" w:hAnsi="Times New Roman" w:cs="Times New Roman"/>
          <w:sz w:val="24"/>
          <w:szCs w:val="24"/>
          <w:lang w:val="lv-LV"/>
        </w:rPr>
        <w:t>reto slimību medikamentozajai ārstēšanai bērniem</w:t>
      </w:r>
      <w:r w:rsidR="004F497C" w:rsidRPr="004F497C">
        <w:rPr>
          <w:rFonts w:ascii="Times New Roman" w:hAnsi="Times New Roman" w:cs="Times New Roman"/>
          <w:sz w:val="24"/>
          <w:szCs w:val="24"/>
          <w:lang w:val="lv-LV"/>
        </w:rPr>
        <w:t>.</w:t>
      </w:r>
    </w:p>
    <w:p w:rsidR="00A2615B" w:rsidRDefault="00AC61F0" w:rsidP="00AC61F0">
      <w:pPr>
        <w:pStyle w:val="NormalWeb"/>
        <w:snapToGrid w:val="0"/>
        <w:spacing w:before="120" w:after="0"/>
        <w:ind w:firstLine="709"/>
        <w:jc w:val="both"/>
      </w:pPr>
      <w:r w:rsidRPr="00AC61F0">
        <w:t>Kopēj</w:t>
      </w:r>
      <w:r w:rsidR="00B20889">
        <w:t>ie</w:t>
      </w:r>
      <w:r w:rsidRPr="00AC61F0">
        <w:t xml:space="preserve"> </w:t>
      </w:r>
      <w:r w:rsidRPr="006C6A21">
        <w:rPr>
          <w:u w:val="single"/>
        </w:rPr>
        <w:t>resurs</w:t>
      </w:r>
      <w:r w:rsidR="00B20889">
        <w:rPr>
          <w:u w:val="single"/>
        </w:rPr>
        <w:t>i</w:t>
      </w:r>
      <w:r w:rsidRPr="006C6A21">
        <w:rPr>
          <w:u w:val="single"/>
        </w:rPr>
        <w:t xml:space="preserve"> ambulatoro un stacionāro veselības aprūpes pakalpojumu nodrošināšanai</w:t>
      </w:r>
      <w:r>
        <w:t xml:space="preserve"> (</w:t>
      </w:r>
      <w:r w:rsidR="00B20889">
        <w:t xml:space="preserve">t.i. </w:t>
      </w:r>
      <w:r>
        <w:t>neietverot finansējumu medikamentiem) 2011.gadā salīdzinājumā</w:t>
      </w:r>
      <w:r w:rsidR="006C6A21">
        <w:t xml:space="preserve"> ar 2010.gada noslēgumu </w:t>
      </w:r>
      <w:r w:rsidR="00B20889">
        <w:t xml:space="preserve">sadalījumā pa resursu veidiem </w:t>
      </w:r>
      <w:r w:rsidR="006C6A21">
        <w:t>ir šād</w:t>
      </w:r>
      <w:r w:rsidR="00B20889">
        <w:t>i</w:t>
      </w:r>
      <w:r w:rsidR="006C6A21">
        <w:t xml:space="preserve"> (skat. 1.tabulu):</w:t>
      </w:r>
    </w:p>
    <w:p w:rsidR="00E629AD" w:rsidRDefault="00E629AD">
      <w:pPr>
        <w:rPr>
          <w:rFonts w:ascii="Times New Roman" w:eastAsia="Times New Roman" w:hAnsi="Times New Roman" w:cs="Times New Roman"/>
          <w:sz w:val="24"/>
          <w:szCs w:val="24"/>
          <w:lang w:val="lv-LV" w:eastAsia="ar-SA"/>
        </w:rPr>
      </w:pPr>
      <w:r>
        <w:br w:type="page"/>
      </w:r>
    </w:p>
    <w:p w:rsidR="006C6A21" w:rsidRDefault="006C6A21" w:rsidP="006C6A21">
      <w:pPr>
        <w:pStyle w:val="NormalWeb"/>
        <w:snapToGrid w:val="0"/>
        <w:spacing w:before="120" w:after="0"/>
        <w:ind w:firstLine="709"/>
        <w:jc w:val="right"/>
      </w:pPr>
      <w:r>
        <w:lastRenderedPageBreak/>
        <w:t>1.tabula</w:t>
      </w:r>
    </w:p>
    <w:p w:rsidR="006C6A21" w:rsidRPr="00F62954" w:rsidRDefault="006C6A21" w:rsidP="00F62954">
      <w:pPr>
        <w:pStyle w:val="NormalWeb"/>
        <w:snapToGrid w:val="0"/>
        <w:spacing w:before="120" w:after="0"/>
        <w:ind w:firstLine="709"/>
        <w:jc w:val="center"/>
        <w:rPr>
          <w:b/>
        </w:rPr>
      </w:pPr>
      <w:r w:rsidRPr="006C6A21">
        <w:rPr>
          <w:b/>
        </w:rPr>
        <w:t>Resursi veselības aprūpes pakalpojumu apmaksai 2010.-2011.gadam</w:t>
      </w:r>
    </w:p>
    <w:tbl>
      <w:tblPr>
        <w:tblW w:w="9503" w:type="dxa"/>
        <w:tblInd w:w="103" w:type="dxa"/>
        <w:tblLayout w:type="fixed"/>
        <w:tblLook w:val="04A0"/>
      </w:tblPr>
      <w:tblGrid>
        <w:gridCol w:w="4116"/>
        <w:gridCol w:w="1418"/>
        <w:gridCol w:w="1417"/>
        <w:gridCol w:w="1418"/>
        <w:gridCol w:w="1134"/>
      </w:tblGrid>
      <w:tr w:rsidR="00445EF0" w:rsidRPr="00445EF0" w:rsidTr="00445EF0">
        <w:trPr>
          <w:trHeight w:val="795"/>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jc w:val="center"/>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45EF0" w:rsidRPr="00445EF0" w:rsidRDefault="00445EF0" w:rsidP="006C6A21">
            <w:pPr>
              <w:spacing w:after="0" w:line="240" w:lineRule="auto"/>
              <w:jc w:val="center"/>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2010.gads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jc w:val="center"/>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 xml:space="preserve">2011.gads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jc w:val="center"/>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Starpība, 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jc w:val="center"/>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Īpatsvars, %</w:t>
            </w:r>
          </w:p>
        </w:tc>
      </w:tr>
      <w:tr w:rsidR="00445EF0" w:rsidRPr="00445EF0" w:rsidTr="00445EF0">
        <w:trPr>
          <w:trHeight w:val="3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b/>
                <w:bCs/>
                <w:lang w:val="lv-LV" w:eastAsia="lv-LV"/>
              </w:rPr>
            </w:pPr>
            <w:r w:rsidRPr="00445EF0">
              <w:rPr>
                <w:rFonts w:ascii="Times New Roman" w:eastAsia="Times New Roman" w:hAnsi="Times New Roman" w:cs="Times New Roman"/>
                <w:b/>
                <w:bCs/>
                <w:lang w:val="lv-LV" w:eastAsia="lv-LV"/>
              </w:rPr>
              <w:t xml:space="preserve">FINANŠU RESURSI KOPĀ </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287 031 441</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283 478 282</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-3 553 159</w:t>
            </w:r>
          </w:p>
        </w:tc>
        <w:tc>
          <w:tcPr>
            <w:tcW w:w="1134"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98.76</w:t>
            </w:r>
          </w:p>
        </w:tc>
      </w:tr>
      <w:tr w:rsidR="00445EF0" w:rsidRPr="00445EF0" w:rsidTr="00445EF0">
        <w:trPr>
          <w:trHeight w:val="1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b/>
                <w:bCs/>
                <w:sz w:val="10"/>
                <w:szCs w:val="10"/>
                <w:lang w:val="lv-LV" w:eastAsia="lv-LV"/>
              </w:rPr>
            </w:pPr>
            <w:r w:rsidRPr="00445EF0">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b/>
                <w:bCs/>
                <w:sz w:val="10"/>
                <w:szCs w:val="10"/>
                <w:lang w:val="lv-LV" w:eastAsia="lv-LV"/>
              </w:rPr>
            </w:pPr>
            <w:r w:rsidRPr="00445EF0">
              <w:rPr>
                <w:rFonts w:ascii="Times New Roman" w:eastAsia="Times New Roman" w:hAnsi="Times New Roman" w:cs="Times New Roman"/>
                <w:b/>
                <w:bCs/>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b/>
                <w:bCs/>
                <w:sz w:val="10"/>
                <w:szCs w:val="10"/>
                <w:lang w:val="lv-LV" w:eastAsia="lv-LV"/>
              </w:rPr>
            </w:pPr>
            <w:r w:rsidRPr="00445EF0">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b/>
                <w:bCs/>
                <w:sz w:val="10"/>
                <w:szCs w:val="10"/>
                <w:lang w:val="lv-LV" w:eastAsia="lv-LV"/>
              </w:rPr>
            </w:pPr>
            <w:r w:rsidRPr="00445EF0">
              <w:rPr>
                <w:rFonts w:ascii="Times New Roman" w:eastAsia="Times New Roman" w:hAnsi="Times New Roman" w:cs="Times New Roman"/>
                <w:b/>
                <w:bCs/>
                <w:sz w:val="10"/>
                <w:szCs w:val="1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b/>
                <w:bCs/>
                <w:sz w:val="10"/>
                <w:szCs w:val="10"/>
                <w:lang w:val="lv-LV" w:eastAsia="lv-LV"/>
              </w:rPr>
            </w:pPr>
            <w:r w:rsidRPr="00445EF0">
              <w:rPr>
                <w:rFonts w:ascii="Times New Roman" w:eastAsia="Times New Roman" w:hAnsi="Times New Roman" w:cs="Times New Roman"/>
                <w:b/>
                <w:bCs/>
                <w:sz w:val="10"/>
                <w:szCs w:val="10"/>
                <w:lang w:val="lv-LV" w:eastAsia="lv-LV"/>
              </w:rPr>
              <w:t> </w:t>
            </w:r>
          </w:p>
        </w:tc>
      </w:tr>
      <w:tr w:rsidR="00445EF0" w:rsidRPr="00445EF0" w:rsidTr="00445EF0">
        <w:trPr>
          <w:trHeight w:val="3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b/>
                <w:bCs/>
                <w:lang w:val="lv-LV" w:eastAsia="lv-LV"/>
              </w:rPr>
            </w:pPr>
            <w:r w:rsidRPr="00445EF0">
              <w:rPr>
                <w:rFonts w:ascii="Times New Roman" w:eastAsia="Times New Roman" w:hAnsi="Times New Roman" w:cs="Times New Roman"/>
                <w:b/>
                <w:bCs/>
                <w:lang w:val="lv-LV" w:eastAsia="lv-LV"/>
              </w:rPr>
              <w:t>I.Ārstniecība ( pakalpojumu apmaksa)</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263 476 099</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255 181 995</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-8 294 104</w:t>
            </w:r>
          </w:p>
        </w:tc>
        <w:tc>
          <w:tcPr>
            <w:tcW w:w="1134"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96.85</w:t>
            </w:r>
          </w:p>
        </w:tc>
      </w:tr>
      <w:tr w:rsidR="00445EF0" w:rsidRPr="00445EF0" w:rsidTr="00445EF0">
        <w:trPr>
          <w:trHeight w:val="6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 xml:space="preserve">Apakšprogrammas "Ārstniecība" dotācija no valsts budžeta pakalpojumu apmaksai </w:t>
            </w:r>
            <w:r w:rsidR="006C6A21">
              <w:rPr>
                <w:rFonts w:ascii="Times New Roman" w:eastAsia="Times New Roman" w:hAnsi="Times New Roman" w:cs="Times New Roman"/>
                <w:lang w:val="lv-LV"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233 248 770</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254 417 995</w:t>
            </w:r>
          </w:p>
        </w:tc>
        <w:tc>
          <w:tcPr>
            <w:tcW w:w="1418"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21 169 225</w:t>
            </w:r>
          </w:p>
        </w:tc>
        <w:tc>
          <w:tcPr>
            <w:tcW w:w="1134"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 </w:t>
            </w:r>
          </w:p>
        </w:tc>
      </w:tr>
      <w:tr w:rsidR="00445EF0" w:rsidRPr="00445EF0" w:rsidTr="00445EF0">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Default="00445EF0" w:rsidP="00445EF0">
            <w:pPr>
              <w:spacing w:after="0" w:line="240" w:lineRule="auto"/>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 xml:space="preserve">Pašu ieņēmumu līdzekļu atlikumu pārdale </w:t>
            </w:r>
          </w:p>
          <w:p w:rsidR="00445EF0" w:rsidRPr="00445EF0" w:rsidRDefault="00445EF0" w:rsidP="00445EF0">
            <w:pPr>
              <w:spacing w:after="0" w:line="240" w:lineRule="auto"/>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(ar MK un FM rīkojumiem)</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3 244 983</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6C6A21" w:rsidP="00445EF0">
            <w:pPr>
              <w:spacing w:after="0" w:line="240" w:lineRule="auto"/>
              <w:jc w:val="right"/>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0</w:t>
            </w:r>
            <w:r w:rsidR="00445EF0" w:rsidRPr="00A007B0">
              <w:rPr>
                <w:rFonts w:ascii="Times New Roman" w:eastAsia="Times New Roman" w:hAnsi="Times New Roman" w:cs="Times New Roman"/>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-3 244 983</w:t>
            </w:r>
          </w:p>
        </w:tc>
        <w:tc>
          <w:tcPr>
            <w:tcW w:w="1134"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 </w:t>
            </w:r>
          </w:p>
        </w:tc>
      </w:tr>
      <w:tr w:rsidR="00445EF0" w:rsidRPr="00445EF0" w:rsidTr="00445EF0">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Līdzekļi no programmas 99.00.00. ''Līdzekļu neparedzētiem gadījumiem izlietojums''</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26 218 346</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6C6A21" w:rsidP="00445EF0">
            <w:pPr>
              <w:spacing w:after="0" w:line="240" w:lineRule="auto"/>
              <w:jc w:val="right"/>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0</w:t>
            </w:r>
            <w:r w:rsidR="00445EF0" w:rsidRPr="00A007B0">
              <w:rPr>
                <w:rFonts w:ascii="Times New Roman" w:eastAsia="Times New Roman" w:hAnsi="Times New Roman" w:cs="Times New Roman"/>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-26 218 346</w:t>
            </w:r>
          </w:p>
        </w:tc>
        <w:tc>
          <w:tcPr>
            <w:tcW w:w="1134"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 </w:t>
            </w:r>
          </w:p>
        </w:tc>
      </w:tr>
      <w:tr w:rsidR="00445EF0" w:rsidRPr="00445EF0" w:rsidTr="00445EF0">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Maksas pakalpojumi un citi pašu ieņēmumi</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764 000</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764 000</w:t>
            </w:r>
          </w:p>
        </w:tc>
        <w:tc>
          <w:tcPr>
            <w:tcW w:w="1418"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0</w:t>
            </w:r>
          </w:p>
        </w:tc>
        <w:tc>
          <w:tcPr>
            <w:tcW w:w="1134"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 </w:t>
            </w:r>
          </w:p>
        </w:tc>
      </w:tr>
      <w:tr w:rsidR="00445EF0" w:rsidRPr="00445EF0" w:rsidTr="00445EF0">
        <w:trPr>
          <w:trHeight w:val="1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b/>
                <w:bCs/>
                <w:sz w:val="10"/>
                <w:szCs w:val="10"/>
                <w:lang w:val="lv-LV" w:eastAsia="lv-LV"/>
              </w:rPr>
            </w:pPr>
            <w:r w:rsidRPr="00445EF0">
              <w:rPr>
                <w:rFonts w:ascii="Times New Roman" w:eastAsia="Times New Roman" w:hAnsi="Times New Roman" w:cs="Times New Roman"/>
                <w:b/>
                <w:bCs/>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b/>
                <w:bCs/>
                <w:sz w:val="10"/>
                <w:szCs w:val="10"/>
                <w:lang w:val="lv-LV" w:eastAsia="lv-LV"/>
              </w:rPr>
            </w:pPr>
            <w:r w:rsidRPr="00445EF0">
              <w:rPr>
                <w:rFonts w:ascii="Times New Roman" w:eastAsia="Times New Roman" w:hAnsi="Times New Roman" w:cs="Times New Roman"/>
                <w:b/>
                <w:bCs/>
                <w:sz w:val="10"/>
                <w:szCs w:val="10"/>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r>
      <w:tr w:rsidR="00445EF0" w:rsidRPr="00445EF0" w:rsidTr="00445EF0">
        <w:trPr>
          <w:trHeight w:val="5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b/>
                <w:bCs/>
                <w:lang w:val="lv-LV" w:eastAsia="lv-LV"/>
              </w:rPr>
            </w:pPr>
            <w:proofErr w:type="spellStart"/>
            <w:r w:rsidRPr="00445EF0">
              <w:rPr>
                <w:rFonts w:ascii="Times New Roman" w:eastAsia="Times New Roman" w:hAnsi="Times New Roman" w:cs="Times New Roman"/>
                <w:b/>
                <w:bCs/>
                <w:lang w:val="lv-LV" w:eastAsia="lv-LV"/>
              </w:rPr>
              <w:t>II.Sociālās</w:t>
            </w:r>
            <w:proofErr w:type="spellEnd"/>
            <w:r w:rsidRPr="00445EF0">
              <w:rPr>
                <w:rFonts w:ascii="Times New Roman" w:eastAsia="Times New Roman" w:hAnsi="Times New Roman" w:cs="Times New Roman"/>
                <w:b/>
                <w:bCs/>
                <w:lang w:val="lv-LV" w:eastAsia="lv-LV"/>
              </w:rPr>
              <w:t xml:space="preserve"> drošības tīkla stratēģijas pasākumu līdzekļi</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21 324 512</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26 124 219</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4 799 707</w:t>
            </w:r>
          </w:p>
        </w:tc>
        <w:tc>
          <w:tcPr>
            <w:tcW w:w="1134"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122.51</w:t>
            </w:r>
          </w:p>
        </w:tc>
      </w:tr>
      <w:tr w:rsidR="00445EF0" w:rsidRPr="00445EF0" w:rsidTr="00445EF0">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lang w:val="lv-LV" w:eastAsia="lv-LV"/>
              </w:rPr>
            </w:pPr>
            <w:proofErr w:type="spellStart"/>
            <w:r w:rsidRPr="00445EF0">
              <w:rPr>
                <w:rFonts w:ascii="Times New Roman" w:eastAsia="Times New Roman" w:hAnsi="Times New Roman" w:cs="Times New Roman"/>
                <w:lang w:val="lv-LV" w:eastAsia="lv-LV"/>
              </w:rPr>
              <w:t>Apakšprogrogramma</w:t>
            </w:r>
            <w:proofErr w:type="spellEnd"/>
            <w:r w:rsidRPr="00445EF0">
              <w:rPr>
                <w:rFonts w:ascii="Times New Roman" w:eastAsia="Times New Roman" w:hAnsi="Times New Roman" w:cs="Times New Roman"/>
                <w:lang w:val="lv-LV" w:eastAsia="lv-LV"/>
              </w:rPr>
              <w:t xml:space="preserve"> "Sociālās drošības tīkla stratēģijas pasākumu īstenošana"</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21 324 512</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26 124 219</w:t>
            </w:r>
          </w:p>
        </w:tc>
        <w:tc>
          <w:tcPr>
            <w:tcW w:w="1418"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4 799 707</w:t>
            </w:r>
          </w:p>
        </w:tc>
        <w:tc>
          <w:tcPr>
            <w:tcW w:w="1134"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 </w:t>
            </w:r>
          </w:p>
        </w:tc>
      </w:tr>
      <w:tr w:rsidR="00445EF0" w:rsidRPr="00445EF0" w:rsidTr="00445EF0">
        <w:trPr>
          <w:trHeight w:val="1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445EF0" w:rsidRDefault="00445EF0" w:rsidP="00445EF0">
            <w:pPr>
              <w:spacing w:after="0" w:line="240" w:lineRule="auto"/>
              <w:jc w:val="right"/>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sz w:val="10"/>
                <w:szCs w:val="10"/>
                <w:lang w:val="lv-LV" w:eastAsia="lv-LV"/>
              </w:rPr>
            </w:pPr>
            <w:r w:rsidRPr="00445EF0">
              <w:rPr>
                <w:rFonts w:ascii="Times New Roman" w:eastAsia="Times New Roman" w:hAnsi="Times New Roman" w:cs="Times New Roman"/>
                <w:sz w:val="10"/>
                <w:szCs w:val="10"/>
                <w:lang w:val="lv-LV" w:eastAsia="lv-LV"/>
              </w:rPr>
              <w:t> </w:t>
            </w:r>
          </w:p>
        </w:tc>
      </w:tr>
      <w:tr w:rsidR="00445EF0" w:rsidRPr="00445EF0" w:rsidTr="00445EF0">
        <w:trPr>
          <w:trHeight w:val="5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b/>
                <w:bCs/>
                <w:lang w:val="lv-LV" w:eastAsia="lv-LV"/>
              </w:rPr>
            </w:pPr>
            <w:r w:rsidRPr="00445EF0">
              <w:rPr>
                <w:rFonts w:ascii="Times New Roman" w:eastAsia="Times New Roman" w:hAnsi="Times New Roman" w:cs="Times New Roman"/>
                <w:b/>
                <w:bCs/>
                <w:lang w:val="lv-LV" w:eastAsia="lv-LV"/>
              </w:rPr>
              <w:t>III. Krievijas  Federācijas militāro pensionāru veselības aprūpe</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2 230 830</w:t>
            </w:r>
          </w:p>
        </w:tc>
        <w:tc>
          <w:tcPr>
            <w:tcW w:w="1417"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2 172 068</w:t>
            </w:r>
          </w:p>
        </w:tc>
        <w:tc>
          <w:tcPr>
            <w:tcW w:w="1418"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-58 762</w:t>
            </w:r>
          </w:p>
        </w:tc>
        <w:tc>
          <w:tcPr>
            <w:tcW w:w="1134" w:type="dxa"/>
            <w:tcBorders>
              <w:top w:val="nil"/>
              <w:left w:val="nil"/>
              <w:bottom w:val="single" w:sz="4" w:space="0" w:color="auto"/>
              <w:right w:val="single" w:sz="4" w:space="0" w:color="auto"/>
            </w:tcBorders>
            <w:shd w:val="clear" w:color="auto" w:fill="auto"/>
            <w:noWrap/>
            <w:vAlign w:val="center"/>
            <w:hideMark/>
          </w:tcPr>
          <w:p w:rsidR="00445EF0" w:rsidRPr="00A007B0" w:rsidRDefault="00445EF0" w:rsidP="00445EF0">
            <w:pPr>
              <w:spacing w:after="0" w:line="240" w:lineRule="auto"/>
              <w:jc w:val="right"/>
              <w:rPr>
                <w:rFonts w:ascii="Times New Roman" w:eastAsia="Times New Roman" w:hAnsi="Times New Roman" w:cs="Times New Roman"/>
                <w:b/>
                <w:bCs/>
                <w:lang w:val="lv-LV" w:eastAsia="lv-LV"/>
              </w:rPr>
            </w:pPr>
            <w:r w:rsidRPr="00A007B0">
              <w:rPr>
                <w:rFonts w:ascii="Times New Roman" w:eastAsia="Times New Roman" w:hAnsi="Times New Roman" w:cs="Times New Roman"/>
                <w:b/>
                <w:bCs/>
                <w:lang w:val="lv-LV" w:eastAsia="lv-LV"/>
              </w:rPr>
              <w:t>97.37</w:t>
            </w:r>
          </w:p>
        </w:tc>
      </w:tr>
      <w:tr w:rsidR="00445EF0" w:rsidRPr="00445EF0" w:rsidTr="00445EF0">
        <w:trPr>
          <w:trHeight w:val="9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445EF0" w:rsidRPr="00445EF0" w:rsidRDefault="00445EF0" w:rsidP="00445EF0">
            <w:pPr>
              <w:spacing w:after="0" w:line="240" w:lineRule="auto"/>
              <w:rPr>
                <w:rFonts w:ascii="Times New Roman" w:eastAsia="Times New Roman" w:hAnsi="Times New Roman" w:cs="Times New Roman"/>
                <w:lang w:val="lv-LV" w:eastAsia="lv-LV"/>
              </w:rPr>
            </w:pPr>
            <w:r w:rsidRPr="00445EF0">
              <w:rPr>
                <w:rFonts w:ascii="Times New Roman" w:eastAsia="Times New Roman" w:hAnsi="Times New Roman" w:cs="Times New Roman"/>
                <w:lang w:val="lv-LV" w:eastAsia="lv-LV"/>
              </w:rPr>
              <w:t>Līdzekļi no apakšprogrammas "Krievijas Federācijas militāro pensionāru veselības aprūpe" **</w:t>
            </w:r>
          </w:p>
        </w:tc>
        <w:tc>
          <w:tcPr>
            <w:tcW w:w="1418"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2 230 830</w:t>
            </w:r>
          </w:p>
        </w:tc>
        <w:tc>
          <w:tcPr>
            <w:tcW w:w="1417"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2 172 068</w:t>
            </w:r>
          </w:p>
        </w:tc>
        <w:tc>
          <w:tcPr>
            <w:tcW w:w="1418"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jc w:val="right"/>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-58 762</w:t>
            </w:r>
          </w:p>
        </w:tc>
        <w:tc>
          <w:tcPr>
            <w:tcW w:w="1134" w:type="dxa"/>
            <w:tcBorders>
              <w:top w:val="nil"/>
              <w:left w:val="nil"/>
              <w:bottom w:val="single" w:sz="4" w:space="0" w:color="auto"/>
              <w:right w:val="single" w:sz="4" w:space="0" w:color="auto"/>
            </w:tcBorders>
            <w:shd w:val="clear" w:color="auto" w:fill="auto"/>
            <w:vAlign w:val="center"/>
            <w:hideMark/>
          </w:tcPr>
          <w:p w:rsidR="00445EF0" w:rsidRPr="00A007B0" w:rsidRDefault="00445EF0" w:rsidP="00445EF0">
            <w:pPr>
              <w:spacing w:after="0" w:line="240" w:lineRule="auto"/>
              <w:rPr>
                <w:rFonts w:ascii="Times New Roman" w:eastAsia="Times New Roman" w:hAnsi="Times New Roman" w:cs="Times New Roman"/>
                <w:lang w:val="lv-LV" w:eastAsia="lv-LV"/>
              </w:rPr>
            </w:pPr>
            <w:r w:rsidRPr="00A007B0">
              <w:rPr>
                <w:rFonts w:ascii="Times New Roman" w:eastAsia="Times New Roman" w:hAnsi="Times New Roman" w:cs="Times New Roman"/>
                <w:lang w:val="lv-LV" w:eastAsia="lv-LV"/>
              </w:rPr>
              <w:t> </w:t>
            </w:r>
          </w:p>
        </w:tc>
      </w:tr>
      <w:tr w:rsidR="00445EF0" w:rsidRPr="00445EF0" w:rsidTr="00A007B0">
        <w:trPr>
          <w:trHeight w:val="209"/>
        </w:trPr>
        <w:tc>
          <w:tcPr>
            <w:tcW w:w="9503" w:type="dxa"/>
            <w:gridSpan w:val="5"/>
            <w:tcBorders>
              <w:top w:val="nil"/>
              <w:left w:val="nil"/>
              <w:bottom w:val="nil"/>
              <w:right w:val="nil"/>
            </w:tcBorders>
            <w:shd w:val="clear" w:color="auto" w:fill="auto"/>
            <w:vAlign w:val="center"/>
            <w:hideMark/>
          </w:tcPr>
          <w:p w:rsidR="00445EF0" w:rsidRPr="00A007B0" w:rsidRDefault="00445EF0" w:rsidP="00445EF0">
            <w:pPr>
              <w:spacing w:after="0" w:line="240" w:lineRule="auto"/>
              <w:rPr>
                <w:rFonts w:ascii="Times New Roman" w:eastAsia="Times New Roman" w:hAnsi="Times New Roman" w:cs="Times New Roman"/>
                <w:lang w:val="lv-LV" w:eastAsia="lv-LV"/>
              </w:rPr>
            </w:pPr>
          </w:p>
        </w:tc>
      </w:tr>
      <w:tr w:rsidR="00445EF0" w:rsidRPr="00B63444" w:rsidTr="00E629AD">
        <w:trPr>
          <w:trHeight w:val="1922"/>
        </w:trPr>
        <w:tc>
          <w:tcPr>
            <w:tcW w:w="9503" w:type="dxa"/>
            <w:gridSpan w:val="5"/>
            <w:tcBorders>
              <w:top w:val="nil"/>
              <w:left w:val="nil"/>
              <w:bottom w:val="nil"/>
              <w:right w:val="nil"/>
            </w:tcBorders>
            <w:shd w:val="clear" w:color="auto" w:fill="auto"/>
            <w:vAlign w:val="center"/>
            <w:hideMark/>
          </w:tcPr>
          <w:p w:rsidR="00445EF0" w:rsidRPr="00E629AD" w:rsidRDefault="00445EF0" w:rsidP="00922C25">
            <w:pPr>
              <w:spacing w:after="0" w:line="240" w:lineRule="auto"/>
              <w:jc w:val="both"/>
              <w:rPr>
                <w:rFonts w:ascii="Times New Roman" w:eastAsia="Times New Roman" w:hAnsi="Times New Roman" w:cs="Times New Roman"/>
                <w:lang w:val="lv-LV" w:eastAsia="lv-LV"/>
              </w:rPr>
            </w:pPr>
            <w:r w:rsidRPr="00E629AD">
              <w:rPr>
                <w:rFonts w:ascii="Times New Roman" w:eastAsia="Times New Roman" w:hAnsi="Times New Roman" w:cs="Times New Roman"/>
                <w:lang w:val="lv-LV" w:eastAsia="lv-LV"/>
              </w:rPr>
              <w:t>* 2010.gada finansējums no valsts budžeta dotācijas gada noslēgumā, atskaitot papildus piešķirtos līdzekļus ar 20.12.2010 FM rīkojumu Nr.705 (11 643 704 Ls - vienreizējs pasākums slimnīcu parādsaistību apmaksai), kā arī papildus piešķirtos līdzekļus valsts galvoto aizdevumu atmaksai Ludzas un Kuldīgas slimnīcām (322 939 Ls) un NMP brigāžu finansējuma daļu (2 056 284 Ls), kas 2010.gadā vēl bija iekļauta pakalpojumu apmaksā līdz Neatliekamās medicīniskās palīdzības dienesta galīgajai izveidei 01.07.2010.</w:t>
            </w:r>
            <w:r w:rsidR="00AC61F0" w:rsidRPr="00E629AD">
              <w:rPr>
                <w:rFonts w:ascii="Times New Roman" w:eastAsia="Times New Roman" w:hAnsi="Times New Roman" w:cs="Times New Roman"/>
                <w:lang w:val="lv-LV" w:eastAsia="lv-LV"/>
              </w:rPr>
              <w:t xml:space="preserve"> Atbilstoši </w:t>
            </w:r>
            <w:r w:rsidR="006C6A21" w:rsidRPr="00E629AD">
              <w:rPr>
                <w:rFonts w:ascii="Times New Roman" w:eastAsia="Times New Roman" w:hAnsi="Times New Roman" w:cs="Times New Roman"/>
                <w:lang w:val="lv-LV" w:eastAsia="lv-LV"/>
              </w:rPr>
              <w:t xml:space="preserve">tam </w:t>
            </w:r>
            <w:r w:rsidR="00AC61F0" w:rsidRPr="00E629AD">
              <w:rPr>
                <w:rFonts w:ascii="Times New Roman" w:eastAsia="Times New Roman" w:hAnsi="Times New Roman" w:cs="Times New Roman"/>
                <w:lang w:val="lv-LV" w:eastAsia="lv-LV"/>
              </w:rPr>
              <w:t xml:space="preserve">arī 2011.gada finansējumā nav ietverti </w:t>
            </w:r>
            <w:r w:rsidR="006C6A21" w:rsidRPr="00E629AD">
              <w:rPr>
                <w:rFonts w:ascii="Times New Roman" w:eastAsia="Times New Roman" w:hAnsi="Times New Roman" w:cs="Times New Roman"/>
                <w:lang w:val="lv-LV" w:eastAsia="lv-LV"/>
              </w:rPr>
              <w:t xml:space="preserve">budžeta grozījumos iestrādātie </w:t>
            </w:r>
            <w:r w:rsidR="00AC61F0" w:rsidRPr="00E629AD">
              <w:rPr>
                <w:rFonts w:ascii="Times New Roman" w:eastAsia="Times New Roman" w:hAnsi="Times New Roman" w:cs="Times New Roman"/>
                <w:lang w:val="lv-LV" w:eastAsia="lv-LV"/>
              </w:rPr>
              <w:t>līdzekļi no 2010.gada pašu ieņēmumu atlikuma</w:t>
            </w:r>
            <w:r w:rsidR="006C6A21" w:rsidRPr="00E629AD">
              <w:rPr>
                <w:rFonts w:ascii="Times New Roman" w:eastAsia="Times New Roman" w:hAnsi="Times New Roman" w:cs="Times New Roman"/>
                <w:lang w:val="lv-LV" w:eastAsia="lv-LV"/>
              </w:rPr>
              <w:t xml:space="preserve"> valsts galvoto aizdevumu atmaksai Ludzas un Kuldīgas slimnīcām (342 840 Ls).</w:t>
            </w:r>
          </w:p>
        </w:tc>
      </w:tr>
      <w:tr w:rsidR="00445EF0" w:rsidRPr="00B63444" w:rsidTr="00E629AD">
        <w:trPr>
          <w:trHeight w:val="746"/>
        </w:trPr>
        <w:tc>
          <w:tcPr>
            <w:tcW w:w="9503" w:type="dxa"/>
            <w:gridSpan w:val="5"/>
            <w:tcBorders>
              <w:top w:val="nil"/>
              <w:left w:val="nil"/>
              <w:bottom w:val="nil"/>
              <w:right w:val="nil"/>
            </w:tcBorders>
            <w:shd w:val="clear" w:color="auto" w:fill="auto"/>
            <w:vAlign w:val="center"/>
            <w:hideMark/>
          </w:tcPr>
          <w:p w:rsidR="00445EF0" w:rsidRPr="00E629AD" w:rsidRDefault="00445EF0" w:rsidP="00922C25">
            <w:pPr>
              <w:spacing w:after="0" w:line="240" w:lineRule="auto"/>
              <w:jc w:val="both"/>
              <w:rPr>
                <w:rFonts w:ascii="Times New Roman" w:eastAsia="Times New Roman" w:hAnsi="Times New Roman" w:cs="Times New Roman"/>
                <w:lang w:val="lv-LV" w:eastAsia="lv-LV"/>
              </w:rPr>
            </w:pPr>
            <w:r w:rsidRPr="00E629AD">
              <w:rPr>
                <w:rFonts w:ascii="Times New Roman" w:eastAsia="Times New Roman" w:hAnsi="Times New Roman" w:cs="Times New Roman"/>
                <w:lang w:val="lv-LV" w:eastAsia="lv-LV"/>
              </w:rPr>
              <w:t>** Finansējums no apakšprogrammas 37.03.00 "Krievijas Federācijas militāro pensionāru veselības aprūpe", kuru plānots izlietot veselības aprūpes pakalpojumu sniegšanai KF militārajiem pensionāriem.</w:t>
            </w:r>
          </w:p>
        </w:tc>
      </w:tr>
    </w:tbl>
    <w:p w:rsidR="00E629AD" w:rsidRDefault="00E629AD" w:rsidP="00B20889">
      <w:pPr>
        <w:pStyle w:val="NormalWeb"/>
        <w:snapToGrid w:val="0"/>
        <w:spacing w:before="120" w:after="0"/>
        <w:ind w:firstLine="709"/>
        <w:jc w:val="both"/>
      </w:pPr>
    </w:p>
    <w:p w:rsidR="00B20889" w:rsidRDefault="00B20889" w:rsidP="00B20889">
      <w:pPr>
        <w:pStyle w:val="NormalWeb"/>
        <w:snapToGrid w:val="0"/>
        <w:spacing w:before="120" w:after="0"/>
        <w:ind w:firstLine="709"/>
        <w:jc w:val="both"/>
      </w:pPr>
      <w:r w:rsidRPr="00AC61F0">
        <w:t>Kopējais</w:t>
      </w:r>
      <w:r>
        <w:t xml:space="preserve"> piešķirtā</w:t>
      </w:r>
      <w:r w:rsidRPr="00AC61F0">
        <w:t xml:space="preserve"> </w:t>
      </w:r>
      <w:r>
        <w:rPr>
          <w:u w:val="single"/>
        </w:rPr>
        <w:t>finansējuma sadalījums</w:t>
      </w:r>
      <w:r w:rsidRPr="006C6A21">
        <w:rPr>
          <w:u w:val="single"/>
        </w:rPr>
        <w:t xml:space="preserve"> </w:t>
      </w:r>
      <w:r>
        <w:rPr>
          <w:u w:val="single"/>
        </w:rPr>
        <w:t xml:space="preserve">izdevumiem </w:t>
      </w:r>
      <w:r w:rsidRPr="006C6A21">
        <w:rPr>
          <w:u w:val="single"/>
        </w:rPr>
        <w:t>ambulatoro un stacionāro veselības aprūpes pakalpojumu nodrošināšanai</w:t>
      </w:r>
      <w:r>
        <w:t xml:space="preserve"> 2011.gadā salīdzinājumā ar 2010.gada noslēgumu ir šāds (skat. 2.tabulu):</w:t>
      </w:r>
    </w:p>
    <w:p w:rsidR="0096140D" w:rsidRDefault="0096140D" w:rsidP="00B85753">
      <w:pPr>
        <w:pStyle w:val="NormalWeb"/>
        <w:snapToGrid w:val="0"/>
        <w:spacing w:before="0" w:after="0"/>
        <w:jc w:val="right"/>
      </w:pPr>
    </w:p>
    <w:p w:rsidR="00E629AD" w:rsidRDefault="00E629AD">
      <w:pPr>
        <w:rPr>
          <w:rFonts w:ascii="Times New Roman" w:eastAsia="Times New Roman" w:hAnsi="Times New Roman" w:cs="Times New Roman"/>
          <w:sz w:val="24"/>
          <w:szCs w:val="24"/>
          <w:lang w:val="lv-LV" w:eastAsia="ar-SA"/>
        </w:rPr>
      </w:pPr>
      <w:r>
        <w:br w:type="page"/>
      </w:r>
    </w:p>
    <w:p w:rsidR="00A2615B" w:rsidRDefault="00B85753" w:rsidP="00B85753">
      <w:pPr>
        <w:pStyle w:val="NormalWeb"/>
        <w:snapToGrid w:val="0"/>
        <w:spacing w:before="0" w:after="0"/>
        <w:jc w:val="right"/>
      </w:pPr>
      <w:r w:rsidRPr="00B85753">
        <w:lastRenderedPageBreak/>
        <w:t>2.tabula</w:t>
      </w:r>
    </w:p>
    <w:p w:rsidR="00B85753" w:rsidRPr="00B85753" w:rsidRDefault="00B85753" w:rsidP="00F62954">
      <w:pPr>
        <w:pStyle w:val="NormalWeb"/>
        <w:snapToGrid w:val="0"/>
        <w:spacing w:before="0" w:after="120"/>
        <w:jc w:val="center"/>
        <w:rPr>
          <w:b/>
        </w:rPr>
      </w:pPr>
      <w:r w:rsidRPr="00B85753">
        <w:rPr>
          <w:b/>
        </w:rPr>
        <w:t>Finansējuma sadalījums veselības aprūpes pakalpojumu apmaksai 2010.</w:t>
      </w:r>
      <w:r>
        <w:rPr>
          <w:b/>
        </w:rPr>
        <w:t>-</w:t>
      </w:r>
      <w:r w:rsidRPr="00B85753">
        <w:rPr>
          <w:b/>
        </w:rPr>
        <w:t xml:space="preserve"> 2011.gadam</w:t>
      </w:r>
    </w:p>
    <w:tbl>
      <w:tblPr>
        <w:tblW w:w="9487" w:type="dxa"/>
        <w:tblInd w:w="108" w:type="dxa"/>
        <w:tblLook w:val="04A0"/>
      </w:tblPr>
      <w:tblGrid>
        <w:gridCol w:w="3800"/>
        <w:gridCol w:w="1560"/>
        <w:gridCol w:w="1593"/>
        <w:gridCol w:w="1536"/>
        <w:gridCol w:w="998"/>
      </w:tblGrid>
      <w:tr w:rsidR="00B85753" w:rsidRPr="00B20889" w:rsidTr="00B85753">
        <w:trPr>
          <w:trHeight w:val="66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KOPĀ VISI RESURSI</w:t>
            </w:r>
            <w:r w:rsidRPr="00B20889">
              <w:rPr>
                <w:rFonts w:ascii="Times New Roman" w:eastAsia="Times New Roman" w:hAnsi="Times New Roman" w:cs="Times New Roman"/>
                <w:lang w:val="lv-LV" w:eastAsia="lv-LV"/>
              </w:rPr>
              <w:br/>
              <w:t>2010.g.</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KOPĀ VISI RESURSI</w:t>
            </w:r>
            <w:r w:rsidRPr="00B20889">
              <w:rPr>
                <w:rFonts w:ascii="Times New Roman" w:eastAsia="Times New Roman" w:hAnsi="Times New Roman" w:cs="Times New Roman"/>
                <w:lang w:val="lv-LV" w:eastAsia="lv-LV"/>
              </w:rPr>
              <w:br/>
              <w:t>2011.g.</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85753" w:rsidRDefault="00B85753" w:rsidP="00B85753">
            <w:pPr>
              <w:spacing w:after="0" w:line="240" w:lineRule="auto"/>
              <w:jc w:val="center"/>
              <w:rPr>
                <w:rFonts w:ascii="Times New Roman" w:eastAsia="Times New Roman" w:hAnsi="Times New Roman" w:cs="Times New Roman"/>
                <w:sz w:val="20"/>
                <w:szCs w:val="20"/>
                <w:lang w:val="lv-LV" w:eastAsia="lv-LV"/>
              </w:rPr>
            </w:pPr>
            <w:r w:rsidRPr="00B85753">
              <w:rPr>
                <w:rFonts w:ascii="Times New Roman" w:eastAsia="Times New Roman" w:hAnsi="Times New Roman" w:cs="Times New Roman"/>
                <w:sz w:val="20"/>
                <w:szCs w:val="20"/>
                <w:lang w:val="lv-LV" w:eastAsia="lv-LV"/>
              </w:rPr>
              <w:t xml:space="preserve">starpība </w:t>
            </w:r>
            <w:r w:rsidRPr="00B85753">
              <w:rPr>
                <w:rFonts w:ascii="Times New Roman" w:eastAsia="Times New Roman" w:hAnsi="Times New Roman" w:cs="Times New Roman"/>
                <w:sz w:val="20"/>
                <w:szCs w:val="20"/>
                <w:lang w:val="lv-LV" w:eastAsia="lv-LV"/>
              </w:rPr>
              <w:br/>
              <w:t xml:space="preserve">(+ pieaugums </w:t>
            </w:r>
            <w:r w:rsidRPr="00B85753">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color w:val="000000"/>
                <w:lang w:val="lv-LV" w:eastAsia="lv-LV"/>
              </w:rPr>
              <w:t>izmaiņas %</w:t>
            </w:r>
          </w:p>
        </w:tc>
      </w:tr>
      <w:tr w:rsidR="00B85753" w:rsidRPr="00B20889" w:rsidTr="00B85753">
        <w:trPr>
          <w:trHeight w:val="253"/>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color w:val="000000"/>
                <w:lang w:val="lv-LV" w:eastAsia="lv-LV"/>
              </w:rPr>
            </w:pPr>
          </w:p>
        </w:tc>
      </w:tr>
      <w:tr w:rsidR="00B85753" w:rsidRPr="00B20889" w:rsidTr="00B85753">
        <w:trPr>
          <w:trHeight w:val="285"/>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B85753" w:rsidRPr="00B20889" w:rsidRDefault="00B85753" w:rsidP="00B85753">
            <w:pPr>
              <w:spacing w:after="0" w:line="240" w:lineRule="auto"/>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b/>
                <w:bCs/>
                <w:color w:val="000000"/>
                <w:lang w:val="lv-LV" w:eastAsia="lv-LV"/>
              </w:rPr>
              <w:t>Ambulatorā palīdzība</w:t>
            </w:r>
            <w:r w:rsidRPr="00B20889">
              <w:rPr>
                <w:rFonts w:ascii="Times New Roman" w:eastAsia="Times New Roman" w:hAnsi="Times New Roman" w:cs="Times New Roman"/>
                <w:color w:val="000000"/>
                <w:lang w:val="lv-LV" w:eastAsia="lv-LV"/>
              </w:rPr>
              <w:t xml:space="preserve">, </w:t>
            </w:r>
            <w:r w:rsidRPr="00B20889">
              <w:rPr>
                <w:rFonts w:ascii="Times New Roman" w:eastAsia="Times New Roman" w:hAnsi="Times New Roman" w:cs="Times New Roman"/>
                <w:i/>
                <w:iCs/>
                <w:color w:val="000000"/>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132 448 315</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140 753 089</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8 304 774</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6.3</w:t>
            </w:r>
          </w:p>
        </w:tc>
      </w:tr>
      <w:tr w:rsidR="00B85753" w:rsidRPr="00B20889" w:rsidTr="00B85753">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1 948 485</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2 506 802</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558 317</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 </w:t>
            </w:r>
          </w:p>
        </w:tc>
      </w:tr>
      <w:tr w:rsidR="00B85753" w:rsidRPr="00B20889" w:rsidTr="00B85753">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21 754 406</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color w:val="000000"/>
                <w:lang w:val="lv-LV" w:eastAsia="lv-LV"/>
              </w:rPr>
              <w:t>21 480 680</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color w:val="000000"/>
                <w:lang w:val="lv-LV" w:eastAsia="lv-LV"/>
              </w:rPr>
              <w:t>-273 726</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color w:val="000000"/>
                <w:lang w:val="lv-LV" w:eastAsia="lv-LV"/>
              </w:rPr>
              <w:t> </w:t>
            </w:r>
          </w:p>
        </w:tc>
      </w:tr>
      <w:tr w:rsidR="00B85753" w:rsidRPr="00B20889" w:rsidTr="00B85753">
        <w:trPr>
          <w:trHeight w:val="28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151 991 604</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139 225 193</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-12 766 411</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-8.4</w:t>
            </w:r>
          </w:p>
        </w:tc>
      </w:tr>
      <w:tr w:rsidR="00B85753" w:rsidRPr="00B20889" w:rsidTr="00B85753">
        <w:trPr>
          <w:trHeight w:val="900"/>
        </w:trPr>
        <w:tc>
          <w:tcPr>
            <w:tcW w:w="3800" w:type="dxa"/>
            <w:tcBorders>
              <w:top w:val="nil"/>
              <w:left w:val="single" w:sz="4" w:space="0" w:color="auto"/>
              <w:bottom w:val="nil"/>
              <w:right w:val="single" w:sz="4" w:space="0" w:color="auto"/>
            </w:tcBorders>
            <w:shd w:val="clear" w:color="auto" w:fill="auto"/>
            <w:vAlign w:val="center"/>
            <w:hideMark/>
          </w:tcPr>
          <w:p w:rsidR="00B85753" w:rsidRPr="00B20889" w:rsidRDefault="00B85753" w:rsidP="00B20889">
            <w:pPr>
              <w:spacing w:after="0" w:line="240" w:lineRule="auto"/>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 xml:space="preserve">Norēķini </w:t>
            </w:r>
            <w:r w:rsidRPr="00B20889">
              <w:rPr>
                <w:rFonts w:ascii="Times New Roman" w:eastAsia="Times New Roman" w:hAnsi="Times New Roman" w:cs="Times New Roman"/>
                <w:color w:val="000000"/>
                <w:lang w:val="lv-LV" w:eastAsia="lv-LV"/>
              </w:rPr>
              <w:t>ar ES</w:t>
            </w:r>
            <w:r w:rsidRPr="00B20889">
              <w:rPr>
                <w:rFonts w:ascii="Times New Roman" w:eastAsia="Times New Roman" w:hAnsi="Times New Roman" w:cs="Times New Roman"/>
                <w:b/>
                <w:bCs/>
                <w:color w:val="000000"/>
                <w:lang w:val="lv-LV" w:eastAsia="lv-LV"/>
              </w:rPr>
              <w:t xml:space="preserve"> </w:t>
            </w:r>
            <w:r w:rsidRPr="00B20889">
              <w:rPr>
                <w:rFonts w:ascii="Times New Roman" w:eastAsia="Times New Roman" w:hAnsi="Times New Roman" w:cs="Times New Roman"/>
                <w:color w:val="000000"/>
                <w:lang w:val="lv-LV" w:eastAsia="lv-LV"/>
              </w:rPr>
              <w:t>un Eiropas ekonomiskās zonas valstīm par Latvijas iedzīvotājiem sniegtajiem pakalpojumiem</w:t>
            </w:r>
          </w:p>
        </w:tc>
        <w:tc>
          <w:tcPr>
            <w:tcW w:w="1560" w:type="dxa"/>
            <w:tcBorders>
              <w:top w:val="nil"/>
              <w:left w:val="nil"/>
              <w:bottom w:val="nil"/>
              <w:right w:val="single" w:sz="4" w:space="0" w:color="auto"/>
            </w:tcBorders>
            <w:shd w:val="clear" w:color="auto" w:fill="auto"/>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2 591 522</w:t>
            </w:r>
          </w:p>
        </w:tc>
        <w:tc>
          <w:tcPr>
            <w:tcW w:w="1593" w:type="dxa"/>
            <w:tcBorders>
              <w:top w:val="nil"/>
              <w:left w:val="nil"/>
              <w:bottom w:val="nil"/>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3 500 000</w:t>
            </w:r>
          </w:p>
        </w:tc>
        <w:tc>
          <w:tcPr>
            <w:tcW w:w="1536" w:type="dxa"/>
            <w:tcBorders>
              <w:top w:val="nil"/>
              <w:left w:val="nil"/>
              <w:bottom w:val="nil"/>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908 478</w:t>
            </w:r>
          </w:p>
        </w:tc>
        <w:tc>
          <w:tcPr>
            <w:tcW w:w="998" w:type="dxa"/>
            <w:tcBorders>
              <w:top w:val="nil"/>
              <w:left w:val="single" w:sz="4" w:space="0" w:color="auto"/>
              <w:bottom w:val="nil"/>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35.1</w:t>
            </w:r>
          </w:p>
        </w:tc>
      </w:tr>
      <w:tr w:rsidR="00B85753" w:rsidRPr="00B20889" w:rsidTr="00B85753">
        <w:trPr>
          <w:trHeight w:val="37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center"/>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287 031 441</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283 478 282</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-3 553 159</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-1.2</w:t>
            </w:r>
          </w:p>
        </w:tc>
      </w:tr>
      <w:tr w:rsidR="00B85753" w:rsidRPr="00B20889" w:rsidTr="005A4C39">
        <w:trPr>
          <w:trHeight w:val="70"/>
        </w:trPr>
        <w:tc>
          <w:tcPr>
            <w:tcW w:w="3800"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jc w:val="center"/>
              <w:rPr>
                <w:rFonts w:ascii="Times New Roman" w:eastAsia="Times New Roman" w:hAnsi="Times New Roman" w:cs="Times New Roman"/>
                <w:b/>
                <w:bCs/>
                <w:color w:val="000000"/>
                <w:sz w:val="8"/>
                <w:szCs w:val="8"/>
                <w:lang w:val="lv-LV" w:eastAsia="lv-LV"/>
              </w:rPr>
            </w:pPr>
          </w:p>
        </w:tc>
        <w:tc>
          <w:tcPr>
            <w:tcW w:w="1560" w:type="dxa"/>
            <w:tcBorders>
              <w:top w:val="nil"/>
              <w:left w:val="nil"/>
              <w:bottom w:val="nil"/>
              <w:right w:val="nil"/>
            </w:tcBorders>
            <w:shd w:val="clear" w:color="auto" w:fill="auto"/>
            <w:vAlign w:val="center"/>
            <w:hideMark/>
          </w:tcPr>
          <w:p w:rsidR="00B85753" w:rsidRPr="00B85753" w:rsidRDefault="00B85753" w:rsidP="00B20889">
            <w:pPr>
              <w:spacing w:after="0" w:line="240" w:lineRule="auto"/>
              <w:rPr>
                <w:rFonts w:ascii="Times New Roman" w:eastAsia="Times New Roman" w:hAnsi="Times New Roman" w:cs="Times New Roman"/>
                <w:b/>
                <w:bCs/>
                <w:color w:val="000000"/>
                <w:sz w:val="8"/>
                <w:szCs w:val="8"/>
                <w:lang w:val="lv-LV" w:eastAsia="lv-LV"/>
              </w:rPr>
            </w:pPr>
          </w:p>
        </w:tc>
        <w:tc>
          <w:tcPr>
            <w:tcW w:w="1593"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b/>
                <w:bCs/>
                <w:color w:val="000000"/>
                <w:sz w:val="8"/>
                <w:szCs w:val="8"/>
                <w:lang w:val="lv-LV" w:eastAsia="lv-LV"/>
              </w:rPr>
            </w:pPr>
          </w:p>
        </w:tc>
        <w:tc>
          <w:tcPr>
            <w:tcW w:w="1536"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b/>
                <w:bCs/>
                <w:color w:val="FF0000"/>
                <w:sz w:val="8"/>
                <w:szCs w:val="8"/>
                <w:lang w:val="lv-LV" w:eastAsia="lv-LV"/>
              </w:rPr>
            </w:pPr>
          </w:p>
        </w:tc>
        <w:tc>
          <w:tcPr>
            <w:tcW w:w="998"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b/>
                <w:bCs/>
                <w:color w:val="000000"/>
                <w:sz w:val="8"/>
                <w:szCs w:val="8"/>
                <w:lang w:val="lv-LV" w:eastAsia="lv-LV"/>
              </w:rPr>
            </w:pPr>
          </w:p>
        </w:tc>
      </w:tr>
      <w:tr w:rsidR="005A4C39" w:rsidRPr="00B20889" w:rsidTr="00E629AD">
        <w:trPr>
          <w:trHeight w:val="347"/>
        </w:trPr>
        <w:tc>
          <w:tcPr>
            <w:tcW w:w="9487" w:type="dxa"/>
            <w:gridSpan w:val="5"/>
            <w:tcBorders>
              <w:top w:val="nil"/>
              <w:left w:val="nil"/>
              <w:bottom w:val="nil"/>
              <w:right w:val="nil"/>
            </w:tcBorders>
            <w:shd w:val="clear" w:color="auto" w:fill="auto"/>
            <w:noWrap/>
            <w:vAlign w:val="center"/>
            <w:hideMark/>
          </w:tcPr>
          <w:p w:rsidR="005A4C39" w:rsidRPr="005A4C39" w:rsidRDefault="005A4C39" w:rsidP="00B20889">
            <w:pPr>
              <w:spacing w:after="0" w:line="240" w:lineRule="auto"/>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color w:val="000000"/>
                <w:sz w:val="24"/>
                <w:szCs w:val="24"/>
                <w:lang w:val="lv-LV" w:eastAsia="lv-LV"/>
              </w:rPr>
              <w:t xml:space="preserve">                     </w:t>
            </w:r>
            <w:r w:rsidRPr="005A4C39">
              <w:rPr>
                <w:rFonts w:ascii="Times New Roman" w:eastAsia="Times New Roman" w:hAnsi="Times New Roman" w:cs="Times New Roman"/>
                <w:b/>
                <w:bCs/>
                <w:i/>
                <w:color w:val="000000"/>
                <w:sz w:val="24"/>
                <w:szCs w:val="24"/>
                <w:lang w:val="lv-LV" w:eastAsia="lv-LV"/>
              </w:rPr>
              <w:t>tai skaitā:</w:t>
            </w:r>
          </w:p>
        </w:tc>
      </w:tr>
      <w:tr w:rsidR="00B85753" w:rsidRPr="00B20889" w:rsidTr="00B85753">
        <w:trPr>
          <w:trHeight w:val="315"/>
        </w:trPr>
        <w:tc>
          <w:tcPr>
            <w:tcW w:w="9487" w:type="dxa"/>
            <w:gridSpan w:val="5"/>
            <w:tcBorders>
              <w:top w:val="nil"/>
              <w:left w:val="nil"/>
              <w:bottom w:val="nil"/>
              <w:right w:val="nil"/>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color w:val="000000"/>
                <w:sz w:val="24"/>
                <w:szCs w:val="24"/>
                <w:lang w:val="lv-LV" w:eastAsia="lv-LV"/>
              </w:rPr>
            </w:pPr>
            <w:r w:rsidRPr="00B20889">
              <w:rPr>
                <w:rFonts w:ascii="Times New Roman" w:eastAsia="Times New Roman" w:hAnsi="Times New Roman" w:cs="Times New Roman"/>
                <w:b/>
                <w:bCs/>
                <w:color w:val="000000"/>
                <w:sz w:val="24"/>
                <w:szCs w:val="24"/>
                <w:lang w:val="lv-LV" w:eastAsia="lv-LV"/>
              </w:rPr>
              <w:t xml:space="preserve">I. Ārstniecība (pakalpojumu apmaksa) + KF militāro pensionāru veselības </w:t>
            </w:r>
            <w:r>
              <w:rPr>
                <w:rFonts w:ascii="Times New Roman" w:eastAsia="Times New Roman" w:hAnsi="Times New Roman" w:cs="Times New Roman"/>
                <w:b/>
                <w:bCs/>
                <w:color w:val="000000"/>
                <w:sz w:val="24"/>
                <w:szCs w:val="24"/>
                <w:lang w:val="lv-LV" w:eastAsia="lv-LV"/>
              </w:rPr>
              <w:t>aprūpe</w:t>
            </w:r>
          </w:p>
        </w:tc>
      </w:tr>
      <w:tr w:rsidR="00B85753" w:rsidRPr="00B20889" w:rsidTr="005A4C39">
        <w:trPr>
          <w:trHeight w:val="80"/>
        </w:trPr>
        <w:tc>
          <w:tcPr>
            <w:tcW w:w="3800"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b/>
                <w:bCs/>
                <w:color w:val="000000"/>
                <w:sz w:val="6"/>
                <w:szCs w:val="6"/>
                <w:lang w:val="lv-LV" w:eastAsia="lv-LV"/>
              </w:rPr>
            </w:pPr>
          </w:p>
        </w:tc>
        <w:tc>
          <w:tcPr>
            <w:tcW w:w="1560" w:type="dxa"/>
            <w:tcBorders>
              <w:top w:val="nil"/>
              <w:left w:val="nil"/>
              <w:bottom w:val="nil"/>
              <w:right w:val="nil"/>
            </w:tcBorders>
            <w:shd w:val="clear" w:color="auto" w:fill="auto"/>
            <w:vAlign w:val="center"/>
            <w:hideMark/>
          </w:tcPr>
          <w:p w:rsidR="00B85753" w:rsidRPr="00B85753" w:rsidRDefault="00B85753" w:rsidP="00B20889">
            <w:pPr>
              <w:spacing w:after="0" w:line="240" w:lineRule="auto"/>
              <w:rPr>
                <w:rFonts w:ascii="Times New Roman" w:eastAsia="Times New Roman" w:hAnsi="Times New Roman" w:cs="Times New Roman"/>
                <w:b/>
                <w:bCs/>
                <w:sz w:val="6"/>
                <w:szCs w:val="6"/>
                <w:lang w:val="lv-LV" w:eastAsia="lv-LV"/>
              </w:rPr>
            </w:pPr>
          </w:p>
        </w:tc>
        <w:tc>
          <w:tcPr>
            <w:tcW w:w="1593"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c>
          <w:tcPr>
            <w:tcW w:w="1536"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FF0000"/>
                <w:sz w:val="6"/>
                <w:szCs w:val="6"/>
                <w:lang w:val="lv-LV" w:eastAsia="lv-LV"/>
              </w:rPr>
            </w:pPr>
          </w:p>
        </w:tc>
        <w:tc>
          <w:tcPr>
            <w:tcW w:w="998"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r>
      <w:tr w:rsidR="00B85753" w:rsidRPr="00B20889" w:rsidTr="00B85753">
        <w:trPr>
          <w:trHeight w:val="72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b/>
                <w:bCs/>
                <w:lang w:val="lv-LV" w:eastAsia="lv-LV"/>
              </w:rPr>
            </w:pPr>
            <w:r w:rsidRPr="00B20889">
              <w:rPr>
                <w:rFonts w:ascii="Times New Roman" w:eastAsia="Times New Roman" w:hAnsi="Times New Roman" w:cs="Times New Roman"/>
                <w:b/>
                <w:bCs/>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Plānotie līdzekļi</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Plānotie līdzekļi</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85753" w:rsidRDefault="00B85753" w:rsidP="00B85753">
            <w:pPr>
              <w:spacing w:after="0" w:line="240" w:lineRule="auto"/>
              <w:jc w:val="center"/>
              <w:rPr>
                <w:rFonts w:ascii="Times New Roman" w:eastAsia="Times New Roman" w:hAnsi="Times New Roman" w:cs="Times New Roman"/>
                <w:sz w:val="20"/>
                <w:szCs w:val="20"/>
                <w:lang w:val="lv-LV" w:eastAsia="lv-LV"/>
              </w:rPr>
            </w:pPr>
            <w:r w:rsidRPr="00B85753">
              <w:rPr>
                <w:rFonts w:ascii="Times New Roman" w:eastAsia="Times New Roman" w:hAnsi="Times New Roman" w:cs="Times New Roman"/>
                <w:sz w:val="20"/>
                <w:szCs w:val="20"/>
                <w:lang w:val="lv-LV" w:eastAsia="lv-LV"/>
              </w:rPr>
              <w:t xml:space="preserve">starpība </w:t>
            </w:r>
            <w:r w:rsidRPr="00B85753">
              <w:rPr>
                <w:rFonts w:ascii="Times New Roman" w:eastAsia="Times New Roman" w:hAnsi="Times New Roman" w:cs="Times New Roman"/>
                <w:sz w:val="20"/>
                <w:szCs w:val="20"/>
                <w:lang w:val="lv-LV" w:eastAsia="lv-LV"/>
              </w:rPr>
              <w:br/>
              <w:t xml:space="preserve">(+ pieaugums </w:t>
            </w:r>
            <w:r w:rsidRPr="00B85753">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color w:val="000000"/>
                <w:lang w:val="lv-LV" w:eastAsia="lv-LV"/>
              </w:rPr>
              <w:t>izmaiņas %</w:t>
            </w:r>
          </w:p>
        </w:tc>
      </w:tr>
      <w:tr w:rsidR="00B85753" w:rsidRPr="00B20889" w:rsidTr="00B85753">
        <w:trPr>
          <w:trHeight w:val="253"/>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b/>
                <w:bCs/>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color w:val="000000"/>
                <w:lang w:val="lv-LV" w:eastAsia="lv-LV"/>
              </w:rPr>
            </w:pPr>
          </w:p>
        </w:tc>
      </w:tr>
      <w:tr w:rsidR="00B85753" w:rsidRPr="00B20889" w:rsidTr="00B85753">
        <w:trPr>
          <w:trHeight w:val="285"/>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B85753" w:rsidRPr="00B20889" w:rsidRDefault="00B85753" w:rsidP="00B85753">
            <w:pPr>
              <w:spacing w:after="0" w:line="240" w:lineRule="auto"/>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b/>
                <w:bCs/>
                <w:color w:val="000000"/>
                <w:lang w:val="lv-LV" w:eastAsia="lv-LV"/>
              </w:rPr>
              <w:t>Ambulatorā palīdzība</w:t>
            </w:r>
            <w:r w:rsidRPr="00B20889">
              <w:rPr>
                <w:rFonts w:ascii="Times New Roman" w:eastAsia="Times New Roman" w:hAnsi="Times New Roman" w:cs="Times New Roman"/>
                <w:color w:val="000000"/>
                <w:lang w:val="lv-LV" w:eastAsia="lv-LV"/>
              </w:rPr>
              <w:t xml:space="preserve">, </w:t>
            </w:r>
            <w:r w:rsidRPr="00B20889">
              <w:rPr>
                <w:rFonts w:ascii="Times New Roman" w:eastAsia="Times New Roman" w:hAnsi="Times New Roman" w:cs="Times New Roman"/>
                <w:i/>
                <w:iCs/>
                <w:color w:val="000000"/>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118 160 892</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123 772 347</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5 611 455</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4.7</w:t>
            </w:r>
          </w:p>
        </w:tc>
      </w:tr>
      <w:tr w:rsidR="00B85753" w:rsidRPr="00B20889" w:rsidTr="00B85753">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jc w:val="right"/>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1 067 776</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 </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-1 067 776</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 </w:t>
            </w:r>
          </w:p>
        </w:tc>
      </w:tr>
      <w:tr w:rsidR="00B85753" w:rsidRPr="00B20889" w:rsidTr="00B85753">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jc w:val="right"/>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12 737 790</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21 480 680</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8 742 890</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i/>
                <w:iCs/>
                <w:lang w:val="lv-LV" w:eastAsia="lv-LV"/>
              </w:rPr>
            </w:pPr>
            <w:r w:rsidRPr="00B20889">
              <w:rPr>
                <w:rFonts w:ascii="Times New Roman" w:eastAsia="Times New Roman" w:hAnsi="Times New Roman" w:cs="Times New Roman"/>
                <w:i/>
                <w:iCs/>
                <w:lang w:val="lv-LV" w:eastAsia="lv-LV"/>
              </w:rPr>
              <w:t> </w:t>
            </w:r>
          </w:p>
        </w:tc>
      </w:tr>
      <w:tr w:rsidR="00B85753" w:rsidRPr="00B20889" w:rsidTr="00B85753">
        <w:trPr>
          <w:trHeight w:val="28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144 954 515</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130 081 716</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-14 872 799</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-10.3</w:t>
            </w:r>
          </w:p>
        </w:tc>
      </w:tr>
      <w:tr w:rsidR="00B85753" w:rsidRPr="00B20889" w:rsidTr="00B85753">
        <w:trPr>
          <w:trHeight w:val="900"/>
        </w:trPr>
        <w:tc>
          <w:tcPr>
            <w:tcW w:w="3800" w:type="dxa"/>
            <w:tcBorders>
              <w:top w:val="nil"/>
              <w:left w:val="single" w:sz="4" w:space="0" w:color="auto"/>
              <w:bottom w:val="nil"/>
              <w:right w:val="single" w:sz="4" w:space="0" w:color="auto"/>
            </w:tcBorders>
            <w:shd w:val="clear" w:color="auto" w:fill="auto"/>
            <w:vAlign w:val="center"/>
            <w:hideMark/>
          </w:tcPr>
          <w:p w:rsidR="00B85753" w:rsidRPr="00B20889" w:rsidRDefault="00B85753" w:rsidP="00B20889">
            <w:pPr>
              <w:spacing w:after="0" w:line="240" w:lineRule="auto"/>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b/>
                <w:bCs/>
                <w:color w:val="000000"/>
                <w:lang w:val="lv-LV" w:eastAsia="lv-LV"/>
              </w:rPr>
              <w:t xml:space="preserve">Norēķini </w:t>
            </w:r>
            <w:r w:rsidRPr="00B20889">
              <w:rPr>
                <w:rFonts w:ascii="Times New Roman" w:eastAsia="Times New Roman" w:hAnsi="Times New Roman" w:cs="Times New Roman"/>
                <w:color w:val="000000"/>
                <w:lang w:val="lv-LV" w:eastAsia="lv-LV"/>
              </w:rPr>
              <w:t>ar ES</w:t>
            </w:r>
            <w:r w:rsidRPr="00B20889">
              <w:rPr>
                <w:rFonts w:ascii="Times New Roman" w:eastAsia="Times New Roman" w:hAnsi="Times New Roman" w:cs="Times New Roman"/>
                <w:b/>
                <w:bCs/>
                <w:color w:val="000000"/>
                <w:lang w:val="lv-LV" w:eastAsia="lv-LV"/>
              </w:rPr>
              <w:t xml:space="preserve"> </w:t>
            </w:r>
            <w:r w:rsidRPr="00B20889">
              <w:rPr>
                <w:rFonts w:ascii="Times New Roman" w:eastAsia="Times New Roman" w:hAnsi="Times New Roman" w:cs="Times New Roman"/>
                <w:color w:val="000000"/>
                <w:lang w:val="lv-LV" w:eastAsia="lv-LV"/>
              </w:rPr>
              <w:t>un Eiropas ekonomiskās zonas valstīm par Latvijas iedzīvotājiem sniegtajiem pakalpojumiem</w:t>
            </w:r>
          </w:p>
        </w:tc>
        <w:tc>
          <w:tcPr>
            <w:tcW w:w="1560" w:type="dxa"/>
            <w:tcBorders>
              <w:top w:val="nil"/>
              <w:left w:val="nil"/>
              <w:bottom w:val="nil"/>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2 591 522</w:t>
            </w:r>
          </w:p>
        </w:tc>
        <w:tc>
          <w:tcPr>
            <w:tcW w:w="1593" w:type="dxa"/>
            <w:tcBorders>
              <w:top w:val="nil"/>
              <w:left w:val="nil"/>
              <w:bottom w:val="nil"/>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3 500 000</w:t>
            </w:r>
          </w:p>
        </w:tc>
        <w:tc>
          <w:tcPr>
            <w:tcW w:w="1536" w:type="dxa"/>
            <w:tcBorders>
              <w:top w:val="nil"/>
              <w:left w:val="nil"/>
              <w:bottom w:val="nil"/>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908 478</w:t>
            </w:r>
          </w:p>
        </w:tc>
        <w:tc>
          <w:tcPr>
            <w:tcW w:w="998" w:type="dxa"/>
            <w:tcBorders>
              <w:top w:val="nil"/>
              <w:left w:val="nil"/>
              <w:bottom w:val="nil"/>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35.1</w:t>
            </w:r>
          </w:p>
        </w:tc>
      </w:tr>
      <w:tr w:rsidR="00B85753" w:rsidRPr="00B20889" w:rsidTr="00B85753">
        <w:trPr>
          <w:trHeight w:val="36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center"/>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265 706 929</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257 354 063</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-8 352 866</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-3.1</w:t>
            </w:r>
          </w:p>
        </w:tc>
      </w:tr>
      <w:tr w:rsidR="00B85753" w:rsidRPr="00B20889" w:rsidTr="00B85753">
        <w:trPr>
          <w:trHeight w:val="225"/>
        </w:trPr>
        <w:tc>
          <w:tcPr>
            <w:tcW w:w="3800"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c>
          <w:tcPr>
            <w:tcW w:w="1560"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c>
          <w:tcPr>
            <w:tcW w:w="1593"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c>
          <w:tcPr>
            <w:tcW w:w="1536"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c>
          <w:tcPr>
            <w:tcW w:w="998"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r>
      <w:tr w:rsidR="00B85753" w:rsidRPr="00B20889" w:rsidTr="00B85753">
        <w:trPr>
          <w:trHeight w:val="315"/>
        </w:trPr>
        <w:tc>
          <w:tcPr>
            <w:tcW w:w="5360" w:type="dxa"/>
            <w:gridSpan w:val="2"/>
            <w:tcBorders>
              <w:top w:val="nil"/>
              <w:left w:val="nil"/>
              <w:bottom w:val="nil"/>
              <w:right w:val="nil"/>
            </w:tcBorders>
            <w:shd w:val="clear" w:color="auto" w:fill="auto"/>
            <w:noWrap/>
            <w:vAlign w:val="center"/>
            <w:hideMark/>
          </w:tcPr>
          <w:p w:rsidR="00B85753" w:rsidRPr="00B20889" w:rsidRDefault="00B85753" w:rsidP="005A4C39">
            <w:pPr>
              <w:spacing w:after="0" w:line="240" w:lineRule="auto"/>
              <w:rPr>
                <w:rFonts w:ascii="Times New Roman" w:eastAsia="Times New Roman" w:hAnsi="Times New Roman" w:cs="Times New Roman"/>
                <w:b/>
                <w:bCs/>
                <w:color w:val="000000"/>
                <w:sz w:val="24"/>
                <w:szCs w:val="24"/>
                <w:lang w:val="lv-LV" w:eastAsia="lv-LV"/>
              </w:rPr>
            </w:pPr>
            <w:r w:rsidRPr="00B20889">
              <w:rPr>
                <w:rFonts w:ascii="Times New Roman" w:eastAsia="Times New Roman" w:hAnsi="Times New Roman" w:cs="Times New Roman"/>
                <w:b/>
                <w:bCs/>
                <w:color w:val="000000"/>
                <w:sz w:val="24"/>
                <w:szCs w:val="24"/>
                <w:lang w:val="lv-LV" w:eastAsia="lv-LV"/>
              </w:rPr>
              <w:t>II. Sociālās droš</w:t>
            </w:r>
            <w:r w:rsidR="005A4C39">
              <w:rPr>
                <w:rFonts w:ascii="Times New Roman" w:eastAsia="Times New Roman" w:hAnsi="Times New Roman" w:cs="Times New Roman"/>
                <w:b/>
                <w:bCs/>
                <w:color w:val="000000"/>
                <w:sz w:val="24"/>
                <w:szCs w:val="24"/>
                <w:lang w:val="lv-LV" w:eastAsia="lv-LV"/>
              </w:rPr>
              <w:t>ī</w:t>
            </w:r>
            <w:r w:rsidRPr="00B20889">
              <w:rPr>
                <w:rFonts w:ascii="Times New Roman" w:eastAsia="Times New Roman" w:hAnsi="Times New Roman" w:cs="Times New Roman"/>
                <w:b/>
                <w:bCs/>
                <w:color w:val="000000"/>
                <w:sz w:val="24"/>
                <w:szCs w:val="24"/>
                <w:lang w:val="lv-LV" w:eastAsia="lv-LV"/>
              </w:rPr>
              <w:t>bas tīkla stratēģijas līdzekļi</w:t>
            </w:r>
          </w:p>
        </w:tc>
        <w:tc>
          <w:tcPr>
            <w:tcW w:w="1593" w:type="dxa"/>
            <w:tcBorders>
              <w:top w:val="nil"/>
              <w:left w:val="nil"/>
              <w:bottom w:val="nil"/>
              <w:right w:val="nil"/>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color w:val="000000"/>
                <w:sz w:val="24"/>
                <w:szCs w:val="24"/>
                <w:lang w:val="lv-LV" w:eastAsia="lv-LV"/>
              </w:rPr>
            </w:pPr>
          </w:p>
        </w:tc>
        <w:tc>
          <w:tcPr>
            <w:tcW w:w="1536" w:type="dxa"/>
            <w:tcBorders>
              <w:top w:val="nil"/>
              <w:left w:val="nil"/>
              <w:bottom w:val="nil"/>
              <w:right w:val="nil"/>
            </w:tcBorders>
            <w:shd w:val="clear" w:color="auto" w:fill="auto"/>
            <w:noWrap/>
            <w:vAlign w:val="center"/>
            <w:hideMark/>
          </w:tcPr>
          <w:p w:rsidR="00B85753" w:rsidRPr="00B20889" w:rsidRDefault="00B85753" w:rsidP="00B20889">
            <w:pPr>
              <w:spacing w:after="0" w:line="240" w:lineRule="auto"/>
              <w:jc w:val="center"/>
              <w:rPr>
                <w:rFonts w:ascii="Times New Roman" w:eastAsia="Times New Roman" w:hAnsi="Times New Roman" w:cs="Times New Roman"/>
                <w:color w:val="000000"/>
                <w:sz w:val="24"/>
                <w:szCs w:val="24"/>
                <w:lang w:val="lv-LV" w:eastAsia="lv-LV"/>
              </w:rPr>
            </w:pPr>
          </w:p>
        </w:tc>
        <w:tc>
          <w:tcPr>
            <w:tcW w:w="998" w:type="dxa"/>
            <w:tcBorders>
              <w:top w:val="nil"/>
              <w:left w:val="nil"/>
              <w:bottom w:val="nil"/>
              <w:right w:val="nil"/>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color w:val="000000"/>
                <w:sz w:val="24"/>
                <w:szCs w:val="24"/>
                <w:lang w:val="lv-LV" w:eastAsia="lv-LV"/>
              </w:rPr>
            </w:pPr>
          </w:p>
        </w:tc>
      </w:tr>
      <w:tr w:rsidR="00B85753" w:rsidRPr="00B20889" w:rsidTr="005A4C39">
        <w:trPr>
          <w:trHeight w:val="80"/>
        </w:trPr>
        <w:tc>
          <w:tcPr>
            <w:tcW w:w="3800"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c>
          <w:tcPr>
            <w:tcW w:w="1560"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jc w:val="center"/>
              <w:rPr>
                <w:rFonts w:ascii="Times New Roman" w:eastAsia="Times New Roman" w:hAnsi="Times New Roman" w:cs="Times New Roman"/>
                <w:color w:val="000000"/>
                <w:sz w:val="6"/>
                <w:szCs w:val="6"/>
                <w:lang w:val="lv-LV" w:eastAsia="lv-LV"/>
              </w:rPr>
            </w:pPr>
          </w:p>
        </w:tc>
        <w:tc>
          <w:tcPr>
            <w:tcW w:w="1593"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jc w:val="center"/>
              <w:rPr>
                <w:rFonts w:ascii="Times New Roman" w:eastAsia="Times New Roman" w:hAnsi="Times New Roman" w:cs="Times New Roman"/>
                <w:color w:val="000000"/>
                <w:sz w:val="6"/>
                <w:szCs w:val="6"/>
                <w:lang w:val="lv-LV" w:eastAsia="lv-LV"/>
              </w:rPr>
            </w:pPr>
          </w:p>
        </w:tc>
        <w:tc>
          <w:tcPr>
            <w:tcW w:w="1536"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jc w:val="center"/>
              <w:rPr>
                <w:rFonts w:ascii="Times New Roman" w:eastAsia="Times New Roman" w:hAnsi="Times New Roman" w:cs="Times New Roman"/>
                <w:color w:val="000000"/>
                <w:sz w:val="6"/>
                <w:szCs w:val="6"/>
                <w:lang w:val="lv-LV" w:eastAsia="lv-LV"/>
              </w:rPr>
            </w:pPr>
          </w:p>
        </w:tc>
        <w:tc>
          <w:tcPr>
            <w:tcW w:w="998" w:type="dxa"/>
            <w:tcBorders>
              <w:top w:val="nil"/>
              <w:left w:val="nil"/>
              <w:bottom w:val="nil"/>
              <w:right w:val="nil"/>
            </w:tcBorders>
            <w:shd w:val="clear" w:color="auto" w:fill="auto"/>
            <w:noWrap/>
            <w:vAlign w:val="center"/>
            <w:hideMark/>
          </w:tcPr>
          <w:p w:rsidR="00B85753" w:rsidRPr="00B85753" w:rsidRDefault="00B85753" w:rsidP="00B20889">
            <w:pPr>
              <w:spacing w:after="0" w:line="240" w:lineRule="auto"/>
              <w:rPr>
                <w:rFonts w:ascii="Times New Roman" w:eastAsia="Times New Roman" w:hAnsi="Times New Roman" w:cs="Times New Roman"/>
                <w:color w:val="000000"/>
                <w:sz w:val="6"/>
                <w:szCs w:val="6"/>
                <w:lang w:val="lv-LV" w:eastAsia="lv-LV"/>
              </w:rPr>
            </w:pPr>
          </w:p>
        </w:tc>
      </w:tr>
      <w:tr w:rsidR="00B85753" w:rsidRPr="00B20889" w:rsidTr="00B85753">
        <w:trPr>
          <w:trHeight w:val="60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b/>
                <w:bCs/>
                <w:lang w:val="lv-LV" w:eastAsia="lv-LV"/>
              </w:rPr>
            </w:pPr>
            <w:r w:rsidRPr="00B20889">
              <w:rPr>
                <w:rFonts w:ascii="Times New Roman" w:eastAsia="Times New Roman" w:hAnsi="Times New Roman" w:cs="Times New Roman"/>
                <w:b/>
                <w:bCs/>
                <w:lang w:val="lv-LV" w:eastAsia="lv-LV"/>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sociālās drošības tīkla stratēģija</w:t>
            </w:r>
            <w:r w:rsidRPr="00B20889">
              <w:rPr>
                <w:rFonts w:ascii="Times New Roman" w:eastAsia="Times New Roman" w:hAnsi="Times New Roman" w:cs="Times New Roman"/>
                <w:lang w:val="lv-LV" w:eastAsia="lv-LV"/>
              </w:rPr>
              <w:br/>
              <w:t>2010.g.</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sociālās drošības tīkla stratēģija</w:t>
            </w:r>
            <w:r w:rsidRPr="00B20889">
              <w:rPr>
                <w:rFonts w:ascii="Times New Roman" w:eastAsia="Times New Roman" w:hAnsi="Times New Roman" w:cs="Times New Roman"/>
                <w:lang w:val="lv-LV" w:eastAsia="lv-LV"/>
              </w:rPr>
              <w:br/>
              <w:t>2011.g.</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85753" w:rsidRDefault="00B85753" w:rsidP="00B20889">
            <w:pPr>
              <w:spacing w:after="0" w:line="240" w:lineRule="auto"/>
              <w:jc w:val="center"/>
              <w:rPr>
                <w:rFonts w:ascii="Times New Roman" w:eastAsia="Times New Roman" w:hAnsi="Times New Roman" w:cs="Times New Roman"/>
                <w:sz w:val="20"/>
                <w:szCs w:val="20"/>
                <w:lang w:val="lv-LV" w:eastAsia="lv-LV"/>
              </w:rPr>
            </w:pPr>
            <w:r w:rsidRPr="00B85753">
              <w:rPr>
                <w:rFonts w:ascii="Times New Roman" w:eastAsia="Times New Roman" w:hAnsi="Times New Roman" w:cs="Times New Roman"/>
                <w:sz w:val="20"/>
                <w:szCs w:val="20"/>
                <w:lang w:val="lv-LV" w:eastAsia="lv-LV"/>
              </w:rPr>
              <w:t xml:space="preserve">starpība </w:t>
            </w:r>
            <w:r w:rsidRPr="00B85753">
              <w:rPr>
                <w:rFonts w:ascii="Times New Roman" w:eastAsia="Times New Roman" w:hAnsi="Times New Roman" w:cs="Times New Roman"/>
                <w:sz w:val="20"/>
                <w:szCs w:val="20"/>
                <w:lang w:val="lv-LV" w:eastAsia="lv-LV"/>
              </w:rPr>
              <w:br/>
              <w:t xml:space="preserve">(+ pieaugums </w:t>
            </w:r>
            <w:r w:rsidRPr="00B85753">
              <w:rPr>
                <w:rFonts w:ascii="Times New Roman" w:eastAsia="Times New Roman" w:hAnsi="Times New Roman" w:cs="Times New Roman"/>
                <w:sz w:val="20"/>
                <w:szCs w:val="20"/>
                <w:lang w:val="lv-LV" w:eastAsia="lv-LV"/>
              </w:rPr>
              <w:br/>
              <w:t>- samazinājums)</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753" w:rsidRPr="00B20889" w:rsidRDefault="00B85753" w:rsidP="00B20889">
            <w:pPr>
              <w:spacing w:after="0" w:line="240" w:lineRule="auto"/>
              <w:jc w:val="center"/>
              <w:rPr>
                <w:rFonts w:ascii="Times New Roman" w:eastAsia="Times New Roman" w:hAnsi="Times New Roman" w:cs="Times New Roman"/>
                <w:lang w:val="lv-LV" w:eastAsia="lv-LV"/>
              </w:rPr>
            </w:pPr>
            <w:r w:rsidRPr="00B20889">
              <w:rPr>
                <w:rFonts w:ascii="Times New Roman" w:eastAsia="Times New Roman" w:hAnsi="Times New Roman" w:cs="Times New Roman"/>
                <w:lang w:val="lv-LV" w:eastAsia="lv-LV"/>
              </w:rPr>
              <w:t>izmaiņas %</w:t>
            </w:r>
          </w:p>
        </w:tc>
      </w:tr>
      <w:tr w:rsidR="00B85753" w:rsidRPr="00B20889" w:rsidTr="00B85753">
        <w:trPr>
          <w:trHeight w:val="472"/>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b/>
                <w:bCs/>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B85753" w:rsidRPr="00B20889" w:rsidRDefault="00B85753" w:rsidP="00B20889">
            <w:pPr>
              <w:spacing w:after="0" w:line="240" w:lineRule="auto"/>
              <w:rPr>
                <w:rFonts w:ascii="Times New Roman" w:eastAsia="Times New Roman" w:hAnsi="Times New Roman" w:cs="Times New Roman"/>
                <w:lang w:val="lv-LV" w:eastAsia="lv-LV"/>
              </w:rPr>
            </w:pPr>
          </w:p>
        </w:tc>
      </w:tr>
      <w:tr w:rsidR="00B85753" w:rsidRPr="00B20889" w:rsidTr="00B85753">
        <w:trPr>
          <w:trHeight w:val="300"/>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color w:val="000000"/>
                <w:lang w:val="lv-LV" w:eastAsia="lv-LV"/>
              </w:rPr>
            </w:pPr>
            <w:r w:rsidRPr="00B20889">
              <w:rPr>
                <w:rFonts w:ascii="Times New Roman" w:eastAsia="Times New Roman" w:hAnsi="Times New Roman" w:cs="Times New Roman"/>
                <w:b/>
                <w:bCs/>
                <w:color w:val="000000"/>
                <w:lang w:val="lv-LV" w:eastAsia="lv-LV"/>
              </w:rPr>
              <w:t>Ambulatorā palīdzība</w:t>
            </w:r>
            <w:r w:rsidRPr="00B20889">
              <w:rPr>
                <w:rFonts w:ascii="Times New Roman" w:eastAsia="Times New Roman" w:hAnsi="Times New Roman" w:cs="Times New Roman"/>
                <w:color w:val="000000"/>
                <w:lang w:val="lv-LV" w:eastAsia="lv-LV"/>
              </w:rPr>
              <w:t xml:space="preserve">, </w:t>
            </w:r>
            <w:r w:rsidRPr="00B20889">
              <w:rPr>
                <w:rFonts w:ascii="Times New Roman" w:eastAsia="Times New Roman" w:hAnsi="Times New Roman" w:cs="Times New Roman"/>
                <w:i/>
                <w:iCs/>
                <w:color w:val="000000"/>
                <w:lang w:val="lv-LV" w:eastAsia="lv-LV"/>
              </w:rPr>
              <w:t>tai skaitā</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14 287 423</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16 980 742</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2 693 319</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18.9</w:t>
            </w:r>
          </w:p>
        </w:tc>
      </w:tr>
      <w:tr w:rsidR="00B85753" w:rsidRPr="00B20889" w:rsidTr="00B85753">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mājas aprūpe</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880 709</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2 506 802</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1 626 093</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 </w:t>
            </w:r>
          </w:p>
        </w:tc>
      </w:tr>
      <w:tr w:rsidR="00B85753" w:rsidRPr="00B20889" w:rsidTr="00B85753">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dienas stacionārs</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9 016 616</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0</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-9 016 616</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rPr>
                <w:rFonts w:ascii="Times New Roman" w:eastAsia="Times New Roman" w:hAnsi="Times New Roman" w:cs="Times New Roman"/>
                <w:i/>
                <w:iCs/>
                <w:color w:val="000000"/>
                <w:lang w:val="lv-LV" w:eastAsia="lv-LV"/>
              </w:rPr>
            </w:pPr>
            <w:r w:rsidRPr="00B20889">
              <w:rPr>
                <w:rFonts w:ascii="Times New Roman" w:eastAsia="Times New Roman" w:hAnsi="Times New Roman" w:cs="Times New Roman"/>
                <w:i/>
                <w:iCs/>
                <w:color w:val="000000"/>
                <w:lang w:val="lv-LV" w:eastAsia="lv-LV"/>
              </w:rPr>
              <w:t> </w:t>
            </w:r>
          </w:p>
        </w:tc>
      </w:tr>
      <w:tr w:rsidR="00B85753" w:rsidRPr="00B20889" w:rsidTr="00B85753">
        <w:trPr>
          <w:trHeight w:val="28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85753" w:rsidRPr="00B20889" w:rsidRDefault="00B85753" w:rsidP="00B20889">
            <w:pPr>
              <w:spacing w:after="0" w:line="240" w:lineRule="auto"/>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Stacionārā palīdzība</w:t>
            </w:r>
          </w:p>
        </w:tc>
        <w:tc>
          <w:tcPr>
            <w:tcW w:w="1560"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7 037 089</w:t>
            </w:r>
          </w:p>
        </w:tc>
        <w:tc>
          <w:tcPr>
            <w:tcW w:w="1593"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9 143 477</w:t>
            </w:r>
          </w:p>
        </w:tc>
        <w:tc>
          <w:tcPr>
            <w:tcW w:w="1536"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2 106 388</w:t>
            </w:r>
          </w:p>
        </w:tc>
        <w:tc>
          <w:tcPr>
            <w:tcW w:w="998" w:type="dxa"/>
            <w:tcBorders>
              <w:top w:val="nil"/>
              <w:left w:val="nil"/>
              <w:bottom w:val="single" w:sz="4" w:space="0" w:color="auto"/>
              <w:right w:val="single" w:sz="4" w:space="0" w:color="auto"/>
            </w:tcBorders>
            <w:shd w:val="clear" w:color="auto" w:fill="auto"/>
            <w:noWrap/>
            <w:vAlign w:val="center"/>
            <w:hideMark/>
          </w:tcPr>
          <w:p w:rsidR="00B85753" w:rsidRPr="00B20889" w:rsidRDefault="00B85753" w:rsidP="00B20889">
            <w:pPr>
              <w:spacing w:after="0" w:line="240" w:lineRule="auto"/>
              <w:jc w:val="right"/>
              <w:rPr>
                <w:rFonts w:ascii="Times New Roman" w:eastAsia="Times New Roman" w:hAnsi="Times New Roman" w:cs="Times New Roman"/>
                <w:b/>
                <w:bCs/>
                <w:color w:val="000000"/>
                <w:lang w:val="lv-LV" w:eastAsia="lv-LV"/>
              </w:rPr>
            </w:pPr>
            <w:r w:rsidRPr="00B20889">
              <w:rPr>
                <w:rFonts w:ascii="Times New Roman" w:eastAsia="Times New Roman" w:hAnsi="Times New Roman" w:cs="Times New Roman"/>
                <w:b/>
                <w:bCs/>
                <w:color w:val="000000"/>
                <w:lang w:val="lv-LV" w:eastAsia="lv-LV"/>
              </w:rPr>
              <w:t>29.9</w:t>
            </w:r>
          </w:p>
        </w:tc>
      </w:tr>
      <w:tr w:rsidR="00B85753" w:rsidRPr="00B20889" w:rsidTr="00B85753">
        <w:trPr>
          <w:trHeight w:val="37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center"/>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KOPĀ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21 324 512</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26 124 219</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4 799 707</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B85753" w:rsidRPr="005A4C39" w:rsidRDefault="00B85753" w:rsidP="00B20889">
            <w:pPr>
              <w:spacing w:after="0" w:line="240" w:lineRule="auto"/>
              <w:jc w:val="right"/>
              <w:rPr>
                <w:rFonts w:ascii="Times New Roman" w:eastAsia="Times New Roman" w:hAnsi="Times New Roman" w:cs="Times New Roman"/>
                <w:b/>
                <w:bCs/>
                <w:color w:val="000000"/>
                <w:lang w:val="lv-LV" w:eastAsia="lv-LV"/>
              </w:rPr>
            </w:pPr>
            <w:r w:rsidRPr="005A4C39">
              <w:rPr>
                <w:rFonts w:ascii="Times New Roman" w:eastAsia="Times New Roman" w:hAnsi="Times New Roman" w:cs="Times New Roman"/>
                <w:b/>
                <w:bCs/>
                <w:color w:val="000000"/>
                <w:lang w:val="lv-LV" w:eastAsia="lv-LV"/>
              </w:rPr>
              <w:t>22.5</w:t>
            </w:r>
          </w:p>
        </w:tc>
      </w:tr>
      <w:tr w:rsidR="00B85753" w:rsidRPr="00B63444" w:rsidTr="00E629AD">
        <w:trPr>
          <w:trHeight w:val="1402"/>
        </w:trPr>
        <w:tc>
          <w:tcPr>
            <w:tcW w:w="9487" w:type="dxa"/>
            <w:gridSpan w:val="5"/>
            <w:tcBorders>
              <w:top w:val="nil"/>
              <w:left w:val="nil"/>
              <w:bottom w:val="nil"/>
              <w:right w:val="nil"/>
            </w:tcBorders>
            <w:shd w:val="clear" w:color="auto" w:fill="auto"/>
            <w:vAlign w:val="center"/>
            <w:hideMark/>
          </w:tcPr>
          <w:p w:rsidR="00B85753" w:rsidRPr="00E629AD" w:rsidRDefault="00B85753" w:rsidP="00922C25">
            <w:pPr>
              <w:spacing w:after="0" w:line="240" w:lineRule="auto"/>
              <w:jc w:val="both"/>
              <w:rPr>
                <w:rFonts w:ascii="Times New Roman" w:eastAsia="Times New Roman" w:hAnsi="Times New Roman" w:cs="Times New Roman"/>
                <w:color w:val="000000"/>
                <w:lang w:val="lv-LV" w:eastAsia="lv-LV"/>
              </w:rPr>
            </w:pPr>
            <w:r w:rsidRPr="00E629AD">
              <w:rPr>
                <w:rFonts w:ascii="Times New Roman" w:eastAsia="Times New Roman" w:hAnsi="Times New Roman" w:cs="Times New Roman"/>
                <w:i/>
                <w:color w:val="000000"/>
                <w:lang w:val="lv-LV" w:eastAsia="lv-LV"/>
              </w:rPr>
              <w:t>Piezīme:</w:t>
            </w:r>
            <w:r w:rsidRPr="00E629AD">
              <w:rPr>
                <w:rFonts w:ascii="Times New Roman" w:eastAsia="Times New Roman" w:hAnsi="Times New Roman" w:cs="Times New Roman"/>
                <w:color w:val="000000"/>
                <w:lang w:val="lv-LV" w:eastAsia="lv-LV"/>
              </w:rPr>
              <w:t xml:space="preserve"> </w:t>
            </w:r>
            <w:r w:rsidRPr="00E629AD">
              <w:rPr>
                <w:rFonts w:ascii="Times New Roman" w:eastAsia="Times New Roman" w:hAnsi="Times New Roman" w:cs="Times New Roman"/>
                <w:color w:val="000000"/>
                <w:lang w:val="lv-LV" w:eastAsia="lv-LV"/>
              </w:rPr>
              <w:br/>
              <w:t>Sociālās drošības tīkla stratēģijas līdzekļu ambulatorās un stacionārās palīdzības plānotais finansējums 2011.gadam prognozēts pēc 2010.gada decembra  izpildes īpatsvara šiem veidiem.</w:t>
            </w:r>
            <w:r w:rsidRPr="00E629AD">
              <w:rPr>
                <w:rFonts w:ascii="Times New Roman" w:eastAsia="Times New Roman" w:hAnsi="Times New Roman" w:cs="Times New Roman"/>
                <w:color w:val="000000"/>
                <w:lang w:val="lv-LV" w:eastAsia="lv-LV"/>
              </w:rPr>
              <w:br/>
              <w:t>2010.gadam stacionārās un ambulatorās palīdzības īpatsvars noteikts, pamatojoties uz  šo pakalpojumu veidu procentuālo īpatsvaru atskaitē par 2010.gadu, par pamatu ņemot faktiski veikto darbu.</w:t>
            </w:r>
          </w:p>
        </w:tc>
      </w:tr>
    </w:tbl>
    <w:p w:rsidR="005A4C39" w:rsidRDefault="005A4C39" w:rsidP="00922C25">
      <w:pPr>
        <w:pStyle w:val="NormalWeb"/>
        <w:snapToGrid w:val="0"/>
        <w:spacing w:before="120" w:after="0"/>
        <w:ind w:firstLine="709"/>
        <w:jc w:val="both"/>
      </w:pPr>
    </w:p>
    <w:p w:rsidR="00A2615B" w:rsidRDefault="005A4C39" w:rsidP="00922C25">
      <w:pPr>
        <w:pStyle w:val="NormalWeb"/>
        <w:snapToGrid w:val="0"/>
        <w:spacing w:before="120" w:after="0"/>
        <w:ind w:firstLine="709"/>
        <w:jc w:val="both"/>
      </w:pPr>
      <w:r w:rsidRPr="00D23A67">
        <w:t xml:space="preserve">Kā redzams no </w:t>
      </w:r>
      <w:r w:rsidR="00842BA2" w:rsidRPr="00D23A67">
        <w:t xml:space="preserve">2.tabulā ietvertā </w:t>
      </w:r>
      <w:r w:rsidRPr="00D23A67">
        <w:t xml:space="preserve">līdzekļu sadalījuma, uzsvars </w:t>
      </w:r>
      <w:r w:rsidR="00842BA2" w:rsidRPr="00D23A67">
        <w:t>ir</w:t>
      </w:r>
      <w:r w:rsidRPr="00D23A67">
        <w:t xml:space="preserve"> likts uz ambulatoro palīdzību – kā izmaksu efektīvāko veselības aprūpi, uz ko arī balstītas pēdējos gados vei</w:t>
      </w:r>
      <w:r w:rsidR="00842BA2" w:rsidRPr="00D23A67">
        <w:t>ktās veselības aprūpes reformas – tiek mazināts stacionārās</w:t>
      </w:r>
      <w:r w:rsidR="002C7C0A" w:rsidRPr="00D23A67">
        <w:t xml:space="preserve"> veselības aprūpes</w:t>
      </w:r>
      <w:r w:rsidR="00842BA2" w:rsidRPr="00D23A67">
        <w:t>, kā izmaksu dārgākā veselības aprūpes posma, īpatsvars, bet palielināts ambulatorās aprūpes īpatsvars</w:t>
      </w:r>
      <w:r w:rsidR="002C7C0A" w:rsidRPr="00D23A67">
        <w:t xml:space="preserve"> kopējā veselības aprūpes pakalpojumu apjomā un finansējumā.</w:t>
      </w:r>
      <w:r w:rsidR="00842BA2" w:rsidRPr="00D23A67">
        <w:t xml:space="preserve"> Veicot reformas veselības aprūpes sistēmā, tika palielināts ambulatorajiem veselības aprūpes pakalpojumiem paredzētais finanšu līdzekļu apmērs un samazināts stacionāro veselības aprūpes pakalpojumu apjoms. </w:t>
      </w:r>
      <w:r w:rsidR="002C7C0A" w:rsidRPr="00D23A67">
        <w:t>Jāatzīmē, ka arī</w:t>
      </w:r>
      <w:r w:rsidR="00842BA2" w:rsidRPr="00D23A67">
        <w:t xml:space="preserve"> Latvijas Stratēģiskās attīstības plānā 2010.-2013.gadam (apstiprināts ar Ministru kabineta 2010.gada 9.aprīļa rīkojumu Nr.203 „Par Latvijas Stratēģiskās attīstības plānu 2010.–2013.gadam”) kā viens no galvenajiem rīcības virzieniem so</w:t>
      </w:r>
      <w:r w:rsidR="002C7C0A" w:rsidRPr="00D23A67">
        <w:t>ciālās drošības jomā ir noteikts</w:t>
      </w:r>
      <w:r w:rsidR="00842BA2" w:rsidRPr="00D23A67">
        <w:t xml:space="preserve"> ambulatorās veselības aprūpes pieejamības nodrošināšana, palielinot ambulatorajai veselības aprūpei paredzētos līdzekļus no kopējiem veselības nozares līdzekļiem.</w:t>
      </w:r>
    </w:p>
    <w:p w:rsidR="00C62DE7" w:rsidRPr="002C7C0A" w:rsidRDefault="00C62DE7" w:rsidP="00FE4C14">
      <w:pPr>
        <w:pStyle w:val="NormalWeb"/>
        <w:snapToGrid w:val="0"/>
        <w:spacing w:before="0" w:after="0"/>
        <w:ind w:firstLine="709"/>
        <w:jc w:val="both"/>
      </w:pPr>
    </w:p>
    <w:p w:rsidR="004028D7" w:rsidRPr="00B56497" w:rsidRDefault="00B56497" w:rsidP="00F62954">
      <w:pPr>
        <w:pStyle w:val="NormalWeb"/>
        <w:numPr>
          <w:ilvl w:val="0"/>
          <w:numId w:val="3"/>
        </w:numPr>
        <w:snapToGrid w:val="0"/>
        <w:spacing w:before="0" w:after="0"/>
        <w:ind w:left="1077" w:hanging="357"/>
        <w:rPr>
          <w:b/>
        </w:rPr>
      </w:pPr>
      <w:r>
        <w:rPr>
          <w:b/>
        </w:rPr>
        <w:t>Sekundārā ambulatorā veselības aprūpe</w:t>
      </w:r>
    </w:p>
    <w:p w:rsidR="00C75586" w:rsidRDefault="00C75586" w:rsidP="00C75586">
      <w:pPr>
        <w:pStyle w:val="NormalWeb"/>
        <w:snapToGrid w:val="0"/>
        <w:spacing w:before="0" w:after="0"/>
        <w:ind w:firstLine="720"/>
        <w:jc w:val="both"/>
      </w:pPr>
    </w:p>
    <w:p w:rsidR="00C75586" w:rsidRDefault="00C75586" w:rsidP="00F62954">
      <w:pPr>
        <w:pStyle w:val="NormalWeb"/>
        <w:snapToGrid w:val="0"/>
        <w:spacing w:before="0" w:after="0"/>
        <w:ind w:firstLine="720"/>
        <w:jc w:val="both"/>
      </w:pPr>
      <w:r>
        <w:t xml:space="preserve">Atbilstoši </w:t>
      </w:r>
      <w:r w:rsidR="00BA3065">
        <w:t xml:space="preserve">pārmaiņām </w:t>
      </w:r>
      <w:r>
        <w:t xml:space="preserve">veselības aprūpes sistēmā </w:t>
      </w:r>
      <w:proofErr w:type="spellStart"/>
      <w:r w:rsidR="00BA3065">
        <w:t>stacionēto</w:t>
      </w:r>
      <w:proofErr w:type="spellEnd"/>
      <w:r w:rsidR="00BA3065">
        <w:t xml:space="preserve"> pacientu skaits salīdzinājumā ar 2008. un 2009.gadu samazinās, turpretī</w:t>
      </w:r>
      <w:r>
        <w:t xml:space="preserve"> palielinās </w:t>
      </w:r>
      <w:r w:rsidR="00507947">
        <w:t xml:space="preserve">apmeklējumu skaits </w:t>
      </w:r>
      <w:r>
        <w:t xml:space="preserve">pie sekundārās ambulatorās veselības aprūpes (turpmāk – SAVA) speciālistiem, </w:t>
      </w:r>
      <w:r w:rsidR="00507947">
        <w:t xml:space="preserve">dienas stacionārā veikto aktivitāšu īpatsvars, </w:t>
      </w:r>
      <w:r>
        <w:t>kā arī palielinās pieprasījums pēc diagnostiskajiem un laboratoriskajiem izmeklējumiem.</w:t>
      </w:r>
      <w:r w:rsidR="00BA3065">
        <w:t xml:space="preserve"> Pacientu skaita pieaugums ir vērojams visā ambulatorajā veselības aprūpes līmenī.</w:t>
      </w:r>
      <w:r>
        <w:t xml:space="preserve"> A</w:t>
      </w:r>
      <w:r w:rsidRPr="00BE1A8C">
        <w:t>nalizējot Veselības norēķinu centra sniegto informāciju par 2011.gada četros mēnešos faktiski veikto SAVA speciālistu darbu un veiktajiem diagnostiskajiem un laboratoriskajiem izmeklējumiem var redzēt, ka faktiski veikto izmeklējumu skaits ir par 15% lielāks kā plānots (</w:t>
      </w:r>
      <w:r>
        <w:t>periodā vidēji plānoti 4 371 742</w:t>
      </w:r>
      <w:r w:rsidRPr="00BE1A8C">
        <w:t xml:space="preserve"> izmekl</w:t>
      </w:r>
      <w:r>
        <w:t>ējumi, faktiski veikti 5 015 078</w:t>
      </w:r>
      <w:r w:rsidRPr="00BE1A8C">
        <w:t> izmeklējumi)</w:t>
      </w:r>
      <w:r>
        <w:t>. Pieprasījuma pieaugumu var skaidrot ar to, ka palielinoties pacientu plūsmai pie SAVA speciālistiem palielinās arī diagnožu precīzai noteikšanai nepieciešamo diagnostikas un laboratorijas izmeklējumu apjoms, kurus daļēji iepriekšējos gados veica stacionāros jau hospitalizētiem pacientiem.</w:t>
      </w:r>
    </w:p>
    <w:p w:rsidR="00C75586" w:rsidRDefault="00C75586" w:rsidP="000A0076">
      <w:pPr>
        <w:pStyle w:val="NormalWeb"/>
        <w:snapToGrid w:val="0"/>
        <w:spacing w:before="120" w:after="0"/>
        <w:ind w:firstLine="720"/>
        <w:jc w:val="both"/>
      </w:pPr>
      <w:r>
        <w:t>Pieprasījums pēc SAVA speciālistu pakalpojumiem par 21% pārsniedz 2011.gada četriem mēnešiem plānoto apjomu (periodā vidēji plānoti 615 797 izmeklējumi, faktiski veikti 745 922 izmeklējumi), t.sk.:</w:t>
      </w:r>
    </w:p>
    <w:p w:rsidR="00C75586" w:rsidRDefault="00C75586" w:rsidP="00C75586">
      <w:pPr>
        <w:pStyle w:val="NormalWeb"/>
        <w:numPr>
          <w:ilvl w:val="0"/>
          <w:numId w:val="8"/>
        </w:numPr>
        <w:suppressAutoHyphens w:val="0"/>
        <w:snapToGrid w:val="0"/>
        <w:spacing w:before="0" w:after="0"/>
        <w:jc w:val="both"/>
      </w:pPr>
      <w:r>
        <w:t>traumatoloģijas speciālistu sniegtie pakalpojumi par 69%;</w:t>
      </w:r>
    </w:p>
    <w:p w:rsidR="00C75586" w:rsidRDefault="00C75586" w:rsidP="00C75586">
      <w:pPr>
        <w:pStyle w:val="NormalWeb"/>
        <w:numPr>
          <w:ilvl w:val="0"/>
          <w:numId w:val="8"/>
        </w:numPr>
        <w:suppressAutoHyphens w:val="0"/>
        <w:snapToGrid w:val="0"/>
        <w:spacing w:before="0" w:after="0"/>
        <w:jc w:val="both"/>
      </w:pPr>
      <w:r>
        <w:t>anestezioloģijas speciālistu sniegtie pakalpojumi par 65%;</w:t>
      </w:r>
    </w:p>
    <w:p w:rsidR="00C75586" w:rsidRDefault="00C75586" w:rsidP="00C75586">
      <w:pPr>
        <w:pStyle w:val="NormalWeb"/>
        <w:numPr>
          <w:ilvl w:val="0"/>
          <w:numId w:val="8"/>
        </w:numPr>
        <w:suppressAutoHyphens w:val="0"/>
        <w:snapToGrid w:val="0"/>
        <w:spacing w:before="0" w:after="0"/>
        <w:jc w:val="both"/>
      </w:pPr>
      <w:r>
        <w:t>ķirurģijas speciālistu sniegtie pakalpojumi par 38%;</w:t>
      </w:r>
    </w:p>
    <w:p w:rsidR="00C75586" w:rsidRDefault="00C75586" w:rsidP="00C75586">
      <w:pPr>
        <w:pStyle w:val="NormalWeb"/>
        <w:numPr>
          <w:ilvl w:val="0"/>
          <w:numId w:val="8"/>
        </w:numPr>
        <w:suppressAutoHyphens w:val="0"/>
        <w:snapToGrid w:val="0"/>
        <w:spacing w:before="0" w:after="0"/>
        <w:jc w:val="both"/>
      </w:pPr>
      <w:r>
        <w:t>uroloģijas speciālistu sniegtie pakalpojumi par 26%;</w:t>
      </w:r>
    </w:p>
    <w:p w:rsidR="00C75586" w:rsidRDefault="00C75586" w:rsidP="00C75586">
      <w:pPr>
        <w:pStyle w:val="NormalWeb"/>
        <w:numPr>
          <w:ilvl w:val="0"/>
          <w:numId w:val="8"/>
        </w:numPr>
        <w:suppressAutoHyphens w:val="0"/>
        <w:snapToGrid w:val="0"/>
        <w:spacing w:before="0" w:after="0"/>
        <w:jc w:val="both"/>
      </w:pPr>
      <w:proofErr w:type="spellStart"/>
      <w:r>
        <w:t>otolaringoloģijas</w:t>
      </w:r>
      <w:proofErr w:type="spellEnd"/>
      <w:r>
        <w:t xml:space="preserve"> speciālistu sniegtie pakalpojumi par 23%;</w:t>
      </w:r>
    </w:p>
    <w:p w:rsidR="00C75586" w:rsidRPr="00BE1A8C" w:rsidRDefault="00C75586" w:rsidP="000A0076">
      <w:pPr>
        <w:pStyle w:val="NormalWeb"/>
        <w:numPr>
          <w:ilvl w:val="0"/>
          <w:numId w:val="8"/>
        </w:numPr>
        <w:suppressAutoHyphens w:val="0"/>
        <w:snapToGrid w:val="0"/>
        <w:spacing w:before="0" w:after="0"/>
        <w:ind w:left="1077" w:hanging="357"/>
        <w:jc w:val="both"/>
      </w:pPr>
      <w:r>
        <w:t>pārējo SAVA speciālistu sniegtie pakalpojumi par 56%.</w:t>
      </w:r>
    </w:p>
    <w:p w:rsidR="00C75586" w:rsidRDefault="00C75586" w:rsidP="000A0076">
      <w:pPr>
        <w:pStyle w:val="NormalWeb"/>
        <w:snapToGrid w:val="0"/>
        <w:spacing w:before="120" w:after="0"/>
        <w:jc w:val="both"/>
      </w:pPr>
      <w:r>
        <w:tab/>
        <w:t>Pieprasījums pēc diagnostiskajiem izmeklējumiem un terapijas pakalpojumiem par 25% pārsniedz 2011.gada četriem mēnešiem plānoto izmeklējumu apjomu (periodā vidēji plānoti 573 796 izmeklējumi, faktiski veikti 715 579 izmeklējumi), t.sk.:</w:t>
      </w:r>
    </w:p>
    <w:p w:rsidR="00C75586" w:rsidRDefault="00C75586" w:rsidP="00C75586">
      <w:pPr>
        <w:pStyle w:val="NormalWeb"/>
        <w:numPr>
          <w:ilvl w:val="0"/>
          <w:numId w:val="7"/>
        </w:numPr>
        <w:suppressAutoHyphens w:val="0"/>
        <w:snapToGrid w:val="0"/>
        <w:spacing w:before="0" w:after="0"/>
        <w:jc w:val="both"/>
      </w:pPr>
      <w:r>
        <w:t>staru terapijas pakalpojumi par 43%;</w:t>
      </w:r>
    </w:p>
    <w:p w:rsidR="00C75586" w:rsidRDefault="00C75586" w:rsidP="00C75586">
      <w:pPr>
        <w:pStyle w:val="NormalWeb"/>
        <w:numPr>
          <w:ilvl w:val="0"/>
          <w:numId w:val="7"/>
        </w:numPr>
        <w:suppressAutoHyphens w:val="0"/>
        <w:snapToGrid w:val="0"/>
        <w:spacing w:before="0" w:after="0"/>
        <w:jc w:val="both"/>
      </w:pPr>
      <w:r>
        <w:t>magnētiskās rezonanses izmeklējumi par 32%;</w:t>
      </w:r>
    </w:p>
    <w:p w:rsidR="00C75586" w:rsidRDefault="00C75586" w:rsidP="00C75586">
      <w:pPr>
        <w:pStyle w:val="NormalWeb"/>
        <w:numPr>
          <w:ilvl w:val="0"/>
          <w:numId w:val="7"/>
        </w:numPr>
        <w:suppressAutoHyphens w:val="0"/>
        <w:snapToGrid w:val="0"/>
        <w:spacing w:before="0" w:after="0"/>
        <w:jc w:val="both"/>
      </w:pPr>
      <w:r>
        <w:t>rentgenoloģiskie izmeklējumi par 31%;</w:t>
      </w:r>
    </w:p>
    <w:p w:rsidR="00C75586" w:rsidRDefault="00C75586" w:rsidP="00C75586">
      <w:pPr>
        <w:pStyle w:val="NormalWeb"/>
        <w:numPr>
          <w:ilvl w:val="0"/>
          <w:numId w:val="7"/>
        </w:numPr>
        <w:suppressAutoHyphens w:val="0"/>
        <w:snapToGrid w:val="0"/>
        <w:spacing w:before="0" w:after="0"/>
        <w:jc w:val="both"/>
      </w:pPr>
      <w:proofErr w:type="spellStart"/>
      <w:r>
        <w:t>radionuklīdās</w:t>
      </w:r>
      <w:proofErr w:type="spellEnd"/>
      <w:r>
        <w:t xml:space="preserve"> diagnostikas izmeklējumi par 30%;</w:t>
      </w:r>
    </w:p>
    <w:p w:rsidR="00C75586" w:rsidRDefault="00C75586" w:rsidP="00C75586">
      <w:pPr>
        <w:pStyle w:val="NormalWeb"/>
        <w:numPr>
          <w:ilvl w:val="0"/>
          <w:numId w:val="7"/>
        </w:numPr>
        <w:suppressAutoHyphens w:val="0"/>
        <w:snapToGrid w:val="0"/>
        <w:spacing w:before="0" w:after="0"/>
        <w:jc w:val="both"/>
      </w:pPr>
      <w:proofErr w:type="spellStart"/>
      <w:r>
        <w:t>kompjūtertomogrāfijas</w:t>
      </w:r>
      <w:proofErr w:type="spellEnd"/>
      <w:r>
        <w:t xml:space="preserve"> izmeklējumi par 27%;</w:t>
      </w:r>
    </w:p>
    <w:p w:rsidR="00C75586" w:rsidRDefault="00C75586" w:rsidP="000A0076">
      <w:pPr>
        <w:pStyle w:val="NormalWeb"/>
        <w:numPr>
          <w:ilvl w:val="0"/>
          <w:numId w:val="7"/>
        </w:numPr>
        <w:suppressAutoHyphens w:val="0"/>
        <w:snapToGrid w:val="0"/>
        <w:spacing w:before="0" w:after="0"/>
        <w:ind w:left="1077" w:hanging="357"/>
        <w:jc w:val="both"/>
      </w:pPr>
      <w:proofErr w:type="spellStart"/>
      <w:r>
        <w:t>doplerogrāfijas</w:t>
      </w:r>
      <w:proofErr w:type="spellEnd"/>
      <w:r>
        <w:t xml:space="preserve"> izmeklējumi par 25%.</w:t>
      </w:r>
    </w:p>
    <w:p w:rsidR="00C75586" w:rsidRDefault="00C75586" w:rsidP="00BA3065">
      <w:pPr>
        <w:pStyle w:val="NormalWeb"/>
        <w:snapToGrid w:val="0"/>
        <w:spacing w:before="120" w:after="0"/>
        <w:ind w:firstLine="709"/>
        <w:jc w:val="both"/>
      </w:pPr>
      <w:r>
        <w:lastRenderedPageBreak/>
        <w:t>Pieprasījums pēc laboratoriskajiem izmeklējumiem par 10% pārsniedz 2011.gada četriem mēnešiem plānoto izmeklējumu apjomu (periodā vidēji plānoti 2 950 935 izmeklējumi, faktiski veikti 3 254 004 izmeklējumi).</w:t>
      </w:r>
    </w:p>
    <w:p w:rsidR="00FE4C14" w:rsidRDefault="00FE4C14" w:rsidP="005A4C39">
      <w:pPr>
        <w:pStyle w:val="NormalWeb"/>
        <w:snapToGrid w:val="0"/>
        <w:spacing w:before="120" w:after="0"/>
        <w:ind w:firstLine="709"/>
        <w:jc w:val="both"/>
      </w:pPr>
      <w:r w:rsidRPr="00B56497">
        <w:t>Sekundārajā ambulatorajā veselības aprūpē</w:t>
      </w:r>
      <w:r>
        <w:t xml:space="preserve"> 2011.gada pirmo četru mēnešu izpildes rādītāji </w:t>
      </w:r>
      <w:r w:rsidR="00A03ACF">
        <w:t xml:space="preserve">lielākajā daļā pakalpojumu programmu </w:t>
      </w:r>
      <w:r>
        <w:t>pārsniedz atbilstošā perioda plānu</w:t>
      </w:r>
      <w:r w:rsidR="0042667C">
        <w:t>.</w:t>
      </w:r>
      <w:r>
        <w:t xml:space="preserve"> </w:t>
      </w:r>
      <w:r w:rsidR="0042667C">
        <w:t xml:space="preserve">Plānotais ambulatoro izmeklējumu skaits 2011.gadā ir 13 115 225, bet četros mēnešos faktiski veikti jau 5 015 078 izmeklējumi, </w:t>
      </w:r>
      <w:r w:rsidR="00753FC8">
        <w:t xml:space="preserve">kas naudas izteiksmē pārsniedz noslēgto līgumu summas par 2,7 </w:t>
      </w:r>
      <w:proofErr w:type="spellStart"/>
      <w:r w:rsidR="00753FC8">
        <w:t>milj.latu</w:t>
      </w:r>
      <w:proofErr w:type="spellEnd"/>
      <w:r w:rsidR="007D6EAE">
        <w:t xml:space="preserve"> jeb par 17%</w:t>
      </w:r>
      <w:r>
        <w:t xml:space="preserve"> (skat. 3.tabulu):</w:t>
      </w:r>
    </w:p>
    <w:p w:rsidR="00FE4C14" w:rsidRDefault="00A03ACF" w:rsidP="00A03ACF">
      <w:pPr>
        <w:pStyle w:val="NormalWeb"/>
        <w:snapToGrid w:val="0"/>
        <w:spacing w:before="120" w:after="0"/>
        <w:ind w:firstLine="709"/>
        <w:jc w:val="right"/>
      </w:pPr>
      <w:r>
        <w:t>3.tabula</w:t>
      </w:r>
    </w:p>
    <w:p w:rsidR="00A03ACF" w:rsidRDefault="00A03ACF" w:rsidP="00F62954">
      <w:pPr>
        <w:pStyle w:val="NormalWeb"/>
        <w:snapToGrid w:val="0"/>
        <w:spacing w:before="120" w:after="0"/>
        <w:jc w:val="center"/>
        <w:rPr>
          <w:b/>
        </w:rPr>
      </w:pPr>
      <w:r w:rsidRPr="00A03ACF">
        <w:rPr>
          <w:b/>
        </w:rPr>
        <w:t xml:space="preserve">Sekundāro ambulatoro veselības aprūpes pakalpojumu izpilde 2011.gada 4 mēnešos </w:t>
      </w:r>
    </w:p>
    <w:p w:rsidR="00753FC8" w:rsidRPr="00297071" w:rsidRDefault="00753FC8" w:rsidP="00753FC8">
      <w:pPr>
        <w:pStyle w:val="NormalWeb"/>
        <w:snapToGrid w:val="0"/>
        <w:spacing w:before="0" w:after="0"/>
        <w:jc w:val="center"/>
        <w:rPr>
          <w:b/>
          <w:sz w:val="12"/>
          <w:szCs w:val="12"/>
        </w:rPr>
      </w:pPr>
    </w:p>
    <w:tbl>
      <w:tblPr>
        <w:tblW w:w="9935" w:type="dxa"/>
        <w:tblInd w:w="93" w:type="dxa"/>
        <w:tblCellMar>
          <w:left w:w="28" w:type="dxa"/>
          <w:right w:w="28" w:type="dxa"/>
        </w:tblCellMar>
        <w:tblLook w:val="04A0"/>
      </w:tblPr>
      <w:tblGrid>
        <w:gridCol w:w="3763"/>
        <w:gridCol w:w="1275"/>
        <w:gridCol w:w="1276"/>
        <w:gridCol w:w="1276"/>
        <w:gridCol w:w="1276"/>
        <w:gridCol w:w="1069"/>
      </w:tblGrid>
      <w:tr w:rsidR="00753FC8" w:rsidRPr="00A03ACF" w:rsidTr="007D6EAE">
        <w:trPr>
          <w:trHeight w:val="600"/>
        </w:trPr>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FC8" w:rsidRPr="00A03ACF" w:rsidRDefault="00753FC8" w:rsidP="00A03ACF">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Pakalpojumu programmas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FC8" w:rsidRPr="00A03ACF" w:rsidRDefault="00753FC8" w:rsidP="00A03ACF">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Līgumu summa gadam, Ls</w:t>
            </w:r>
          </w:p>
        </w:tc>
        <w:tc>
          <w:tcPr>
            <w:tcW w:w="4897" w:type="dxa"/>
            <w:gridSpan w:val="4"/>
            <w:tcBorders>
              <w:top w:val="single" w:sz="4" w:space="0" w:color="auto"/>
              <w:left w:val="nil"/>
              <w:bottom w:val="single" w:sz="4" w:space="0" w:color="auto"/>
              <w:right w:val="single" w:sz="4" w:space="0" w:color="auto"/>
            </w:tcBorders>
            <w:vAlign w:val="center"/>
          </w:tcPr>
          <w:p w:rsidR="00753FC8" w:rsidRPr="00A03ACF" w:rsidRDefault="00753FC8" w:rsidP="00753FC8">
            <w:pPr>
              <w:spacing w:after="0" w:line="240" w:lineRule="auto"/>
              <w:jc w:val="center"/>
              <w:rPr>
                <w:rFonts w:ascii="Times New Roman" w:eastAsia="Times New Roman" w:hAnsi="Times New Roman" w:cs="Times New Roman"/>
                <w:b/>
                <w:bCs/>
                <w:color w:val="000000"/>
                <w:sz w:val="18"/>
                <w:szCs w:val="18"/>
                <w:lang w:val="lv-LV" w:eastAsia="lv-LV"/>
              </w:rPr>
            </w:pPr>
            <w:r w:rsidRPr="00A03ACF">
              <w:rPr>
                <w:rFonts w:ascii="Times New Roman" w:eastAsia="Times New Roman" w:hAnsi="Times New Roman" w:cs="Times New Roman"/>
                <w:b/>
                <w:bCs/>
                <w:color w:val="000000"/>
                <w:sz w:val="18"/>
                <w:szCs w:val="18"/>
                <w:lang w:val="lv-LV" w:eastAsia="lv-LV"/>
              </w:rPr>
              <w:t>Pakalpojumu izpilde pārskata periodā</w:t>
            </w:r>
          </w:p>
        </w:tc>
      </w:tr>
      <w:tr w:rsidR="007D6EAE" w:rsidRPr="00A03ACF" w:rsidTr="007D6EAE">
        <w:trPr>
          <w:trHeight w:val="870"/>
        </w:trPr>
        <w:tc>
          <w:tcPr>
            <w:tcW w:w="3763" w:type="dxa"/>
            <w:vMerge/>
            <w:tcBorders>
              <w:top w:val="single" w:sz="4" w:space="0" w:color="auto"/>
              <w:left w:val="single" w:sz="4" w:space="0" w:color="auto"/>
              <w:bottom w:val="single" w:sz="4" w:space="0" w:color="auto"/>
              <w:right w:val="single" w:sz="4" w:space="0" w:color="auto"/>
            </w:tcBorders>
            <w:vAlign w:val="center"/>
            <w:hideMark/>
          </w:tcPr>
          <w:p w:rsidR="007D6EAE" w:rsidRPr="00A03ACF" w:rsidRDefault="007D6EAE" w:rsidP="00A03ACF">
            <w:pPr>
              <w:spacing w:after="0" w:line="240" w:lineRule="auto"/>
              <w:rPr>
                <w:rFonts w:ascii="Times New Roman" w:eastAsia="Times New Roman" w:hAnsi="Times New Roman" w:cs="Times New Roman"/>
                <w:sz w:val="18"/>
                <w:szCs w:val="18"/>
                <w:lang w:val="lv-LV"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D6EAE" w:rsidRPr="00A03ACF" w:rsidRDefault="007D6EAE" w:rsidP="00A03ACF">
            <w:pPr>
              <w:spacing w:after="0" w:line="240" w:lineRule="auto"/>
              <w:rPr>
                <w:rFonts w:ascii="Times New Roman" w:eastAsia="Times New Roman" w:hAnsi="Times New Roman" w:cs="Times New Roman"/>
                <w:sz w:val="18"/>
                <w:szCs w:val="18"/>
                <w:lang w:val="lv-LV" w:eastAsia="lv-LV"/>
              </w:rPr>
            </w:pPr>
          </w:p>
        </w:tc>
        <w:tc>
          <w:tcPr>
            <w:tcW w:w="1276" w:type="dxa"/>
            <w:tcBorders>
              <w:top w:val="nil"/>
              <w:left w:val="nil"/>
              <w:bottom w:val="single" w:sz="4" w:space="0" w:color="auto"/>
              <w:right w:val="single" w:sz="4" w:space="0" w:color="auto"/>
            </w:tcBorders>
            <w:shd w:val="clear" w:color="auto" w:fill="auto"/>
            <w:vAlign w:val="center"/>
            <w:hideMark/>
          </w:tcPr>
          <w:p w:rsidR="007D6EAE" w:rsidRPr="00A03ACF" w:rsidRDefault="007D6EAE" w:rsidP="00A03ACF">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 xml:space="preserve">Līguma apjoms  </w:t>
            </w:r>
            <w:r w:rsidRPr="00A03ACF">
              <w:rPr>
                <w:rFonts w:ascii="Times New Roman" w:eastAsia="Times New Roman" w:hAnsi="Times New Roman" w:cs="Times New Roman"/>
                <w:sz w:val="18"/>
                <w:szCs w:val="18"/>
                <w:lang w:val="lv-LV" w:eastAsia="lv-LV"/>
              </w:rPr>
              <w:br/>
              <w:t>4 mēnešiem</w:t>
            </w:r>
          </w:p>
        </w:tc>
        <w:tc>
          <w:tcPr>
            <w:tcW w:w="1276" w:type="dxa"/>
            <w:tcBorders>
              <w:top w:val="nil"/>
              <w:left w:val="nil"/>
              <w:bottom w:val="single" w:sz="4" w:space="0" w:color="auto"/>
              <w:right w:val="single" w:sz="4" w:space="0" w:color="auto"/>
            </w:tcBorders>
            <w:shd w:val="clear" w:color="auto" w:fill="auto"/>
            <w:vAlign w:val="center"/>
            <w:hideMark/>
          </w:tcPr>
          <w:p w:rsidR="007D6EAE" w:rsidRPr="00A03ACF" w:rsidRDefault="007D6EAE" w:rsidP="00A03ACF">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 xml:space="preserve">4 mēnešos veiktais darbs </w:t>
            </w:r>
          </w:p>
        </w:tc>
        <w:tc>
          <w:tcPr>
            <w:tcW w:w="1276" w:type="dxa"/>
            <w:tcBorders>
              <w:top w:val="nil"/>
              <w:left w:val="nil"/>
              <w:bottom w:val="single" w:sz="4" w:space="0" w:color="auto"/>
              <w:right w:val="single" w:sz="4" w:space="0" w:color="auto"/>
            </w:tcBorders>
            <w:vAlign w:val="center"/>
          </w:tcPr>
          <w:p w:rsidR="007D6EAE" w:rsidRPr="00A03ACF" w:rsidRDefault="007D6EAE" w:rsidP="007D6EAE">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 xml:space="preserve">pārstrāde/ </w:t>
            </w:r>
            <w:proofErr w:type="spellStart"/>
            <w:r w:rsidRPr="00A03ACF">
              <w:rPr>
                <w:rFonts w:ascii="Times New Roman" w:eastAsia="Times New Roman" w:hAnsi="Times New Roman" w:cs="Times New Roman"/>
                <w:sz w:val="18"/>
                <w:szCs w:val="18"/>
                <w:lang w:val="lv-LV" w:eastAsia="lv-LV"/>
              </w:rPr>
              <w:t>neizstrāde</w:t>
            </w:r>
            <w:proofErr w:type="spellEnd"/>
          </w:p>
        </w:tc>
        <w:tc>
          <w:tcPr>
            <w:tcW w:w="1069" w:type="dxa"/>
            <w:tcBorders>
              <w:top w:val="nil"/>
              <w:left w:val="single" w:sz="4" w:space="0" w:color="auto"/>
              <w:bottom w:val="single" w:sz="4" w:space="0" w:color="auto"/>
              <w:right w:val="single" w:sz="4" w:space="0" w:color="auto"/>
            </w:tcBorders>
            <w:shd w:val="clear" w:color="auto" w:fill="auto"/>
            <w:vAlign w:val="center"/>
            <w:hideMark/>
          </w:tcPr>
          <w:p w:rsidR="007D6EAE" w:rsidRPr="00A03ACF" w:rsidRDefault="007D6EAE" w:rsidP="00A03ACF">
            <w:pPr>
              <w:spacing w:after="0" w:line="240" w:lineRule="auto"/>
              <w:jc w:val="center"/>
              <w:rPr>
                <w:rFonts w:ascii="Times New Roman" w:eastAsia="Times New Roman" w:hAnsi="Times New Roman" w:cs="Times New Roman"/>
                <w:sz w:val="18"/>
                <w:szCs w:val="18"/>
                <w:lang w:val="lv-LV" w:eastAsia="lv-LV"/>
              </w:rPr>
            </w:pPr>
            <w:r>
              <w:rPr>
                <w:rFonts w:ascii="Times New Roman" w:eastAsia="Times New Roman" w:hAnsi="Times New Roman" w:cs="Times New Roman"/>
                <w:sz w:val="18"/>
                <w:szCs w:val="18"/>
                <w:lang w:val="lv-LV" w:eastAsia="lv-LV"/>
              </w:rPr>
              <w:t>Novirze %</w:t>
            </w:r>
          </w:p>
        </w:tc>
      </w:tr>
      <w:tr w:rsidR="007D6EAE" w:rsidRPr="00A03ACF" w:rsidTr="007D6EAE">
        <w:trPr>
          <w:trHeight w:val="225"/>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rsidR="007D6EAE" w:rsidRPr="00A03ACF" w:rsidRDefault="007D6EAE" w:rsidP="00A03ACF">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1</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A03ACF" w:rsidRDefault="007D6EAE" w:rsidP="00A03ACF">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A03ACF" w:rsidRDefault="007D6EAE" w:rsidP="00A03ACF">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A03ACF" w:rsidRDefault="007D6EAE" w:rsidP="00A03ACF">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4</w:t>
            </w:r>
          </w:p>
        </w:tc>
        <w:tc>
          <w:tcPr>
            <w:tcW w:w="1276" w:type="dxa"/>
            <w:tcBorders>
              <w:top w:val="single" w:sz="4" w:space="0" w:color="auto"/>
              <w:left w:val="nil"/>
              <w:bottom w:val="single" w:sz="4" w:space="0" w:color="auto"/>
              <w:right w:val="single" w:sz="4" w:space="0" w:color="auto"/>
            </w:tcBorders>
            <w:vAlign w:val="center"/>
          </w:tcPr>
          <w:p w:rsidR="007D6EAE" w:rsidRPr="00A03ACF" w:rsidRDefault="007D6EAE" w:rsidP="007D6EAE">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5=4-3</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A03ACF" w:rsidRDefault="007D6EAE" w:rsidP="007D6EAE">
            <w:pPr>
              <w:spacing w:after="0" w:line="240" w:lineRule="auto"/>
              <w:jc w:val="center"/>
              <w:rPr>
                <w:rFonts w:ascii="Times New Roman" w:eastAsia="Times New Roman" w:hAnsi="Times New Roman" w:cs="Times New Roman"/>
                <w:sz w:val="16"/>
                <w:szCs w:val="16"/>
                <w:lang w:val="lv-LV" w:eastAsia="lv-LV"/>
              </w:rPr>
            </w:pPr>
            <w:r>
              <w:rPr>
                <w:rFonts w:ascii="Times New Roman" w:eastAsia="Times New Roman" w:hAnsi="Times New Roman" w:cs="Times New Roman"/>
                <w:sz w:val="16"/>
                <w:szCs w:val="16"/>
                <w:lang w:val="lv-LV" w:eastAsia="lv-LV"/>
              </w:rPr>
              <w:t>6</w:t>
            </w:r>
            <w:r w:rsidRPr="00A03ACF">
              <w:rPr>
                <w:rFonts w:ascii="Times New Roman" w:eastAsia="Times New Roman" w:hAnsi="Times New Roman" w:cs="Times New Roman"/>
                <w:sz w:val="16"/>
                <w:szCs w:val="16"/>
                <w:lang w:val="lv-LV" w:eastAsia="lv-LV"/>
              </w:rPr>
              <w:t>=</w:t>
            </w:r>
            <w:r>
              <w:rPr>
                <w:rFonts w:ascii="Times New Roman" w:eastAsia="Times New Roman" w:hAnsi="Times New Roman" w:cs="Times New Roman"/>
                <w:sz w:val="16"/>
                <w:szCs w:val="16"/>
                <w:lang w:val="lv-LV" w:eastAsia="lv-LV"/>
              </w:rPr>
              <w:t>5/3*100</w:t>
            </w:r>
          </w:p>
        </w:tc>
      </w:tr>
      <w:tr w:rsidR="007D6EAE" w:rsidRPr="00A03ACF" w:rsidTr="007D6EAE">
        <w:trPr>
          <w:trHeight w:val="48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Pārējie ambulatorie sekundārās veselības aprūpes pasākumi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441 750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145 201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147 076</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1 875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7D6EAE">
            <w:pPr>
              <w:spacing w:after="0" w:line="240" w:lineRule="auto"/>
              <w:jc w:val="center"/>
              <w:rPr>
                <w:rFonts w:ascii="Times New Roman" w:hAnsi="Times New Roman" w:cs="Times New Roman"/>
                <w:bCs/>
                <w:sz w:val="18"/>
                <w:szCs w:val="18"/>
              </w:rPr>
            </w:pPr>
            <w:r w:rsidRPr="007D6EAE">
              <w:rPr>
                <w:rFonts w:ascii="Times New Roman" w:hAnsi="Times New Roman" w:cs="Times New Roman"/>
                <w:bCs/>
                <w:sz w:val="18"/>
                <w:szCs w:val="18"/>
              </w:rPr>
              <w:t>1.3</w:t>
            </w:r>
            <w:r w:rsidR="00297071">
              <w:rPr>
                <w:rFonts w:ascii="Times New Roman" w:hAnsi="Times New Roman" w:cs="Times New Roman"/>
                <w:bCs/>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Izmeklējumi un terapija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19 076 519</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6 358 850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7 962 375</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1 603 525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bCs/>
                <w:sz w:val="18"/>
                <w:szCs w:val="18"/>
              </w:rPr>
            </w:pPr>
            <w:r w:rsidRPr="007D6EAE">
              <w:rPr>
                <w:rFonts w:ascii="Times New Roman" w:hAnsi="Times New Roman" w:cs="Times New Roman"/>
                <w:bCs/>
                <w:sz w:val="18"/>
                <w:szCs w:val="18"/>
              </w:rPr>
              <w:t>25</w:t>
            </w:r>
            <w:r w:rsidR="00297071">
              <w:rPr>
                <w:rFonts w:ascii="Times New Roman" w:hAnsi="Times New Roman" w:cs="Times New Roman"/>
                <w:bCs/>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Rentgenoloģija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3 117 016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1 039 007</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1 286 617</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247 610</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Magnētiskā rezonanse</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1 542 802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514 268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647 522</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133 254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Kompjūtertomogrāfija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5 174 193</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1 724 745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2 271 406</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546 661</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Ultrasonogrāfija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2 076 890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692 278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843 666</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151 388</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Radionuklīdā diagnostika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239 848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79 948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110 861</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30 913</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w:t>
            </w:r>
          </w:p>
        </w:tc>
      </w:tr>
      <w:tr w:rsidR="007D6EAE" w:rsidRPr="00A03ACF" w:rsidTr="007D6EAE">
        <w:trPr>
          <w:trHeight w:val="241"/>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Osteodensitometrija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316 197</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105 396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115 184</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9 788</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9</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Sirds asinsvadu sistēmas funkcionālie izmeklējumi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1 639 124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546 355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644 202</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97 847</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D6EAE" w:rsidRPr="00A03ACF" w:rsidTr="007D6EAE">
        <w:trPr>
          <w:trHeight w:val="269"/>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Endoskopija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1 807 240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602 431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698 678</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96 247</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16</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Neiroelektrofizioloģiskie funkcionālie izmeklējumi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328 582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109 544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114 805</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5 261</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Doplerogrāfija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1 147 204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382 406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466 971</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84 565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22</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Mammogrāfija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220 112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73 368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64 863</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-8 505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-11</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Staru terapija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1 467 311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489 104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697 600</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208 496</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Rehabilitācijas pakalpojumi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1 892 849</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630 932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718 080</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87 148</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Fizikālās medicīnas pakalpojumi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442 981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147 347</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163 057</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15 710</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Ģenētisko slimnieku konsultēšana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17 310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5 768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6 641</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873</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15</w:t>
            </w:r>
            <w:r w:rsidR="00297071">
              <w:rPr>
                <w:rFonts w:ascii="Times New Roman" w:hAnsi="Times New Roman" w:cs="Times New Roman"/>
                <w:sz w:val="18"/>
                <w:szCs w:val="18"/>
              </w:rPr>
              <w:t>%</w:t>
            </w:r>
          </w:p>
        </w:tc>
      </w:tr>
      <w:tr w:rsidR="007D6EAE" w:rsidRPr="00A03ACF" w:rsidTr="007D6EAE">
        <w:trPr>
          <w:trHeight w:val="48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Multiplās sklerozes slimnieku konsultēšana un izmeklēšana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24 735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8 244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12 712</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4 468</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54</w:t>
            </w:r>
            <w:r w:rsidR="00297071">
              <w:rPr>
                <w:rFonts w:ascii="Times New Roman" w:hAnsi="Times New Roman" w:cs="Times New Roman"/>
                <w:sz w:val="18"/>
                <w:szCs w:val="18"/>
              </w:rPr>
              <w:t>%</w:t>
            </w:r>
          </w:p>
        </w:tc>
      </w:tr>
      <w:tr w:rsidR="007D6EAE" w:rsidRPr="00A03ACF" w:rsidTr="007D6EAE">
        <w:trPr>
          <w:trHeight w:val="48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Ambulatori konsultatīvā palīdzība pie nieru transplantācijas</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62 239</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20 748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2 676</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-18 072</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-87</w:t>
            </w:r>
            <w:r w:rsidR="00297071">
              <w:rPr>
                <w:rFonts w:ascii="Times New Roman" w:hAnsi="Times New Roman" w:cs="Times New Roman"/>
                <w:sz w:val="18"/>
                <w:szCs w:val="18"/>
              </w:rPr>
              <w:t>%</w:t>
            </w:r>
          </w:p>
        </w:tc>
      </w:tr>
      <w:tr w:rsidR="007D6EAE" w:rsidRPr="00A03ACF" w:rsidTr="007D6EAE">
        <w:trPr>
          <w:trHeight w:val="276"/>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Tiesu psihiatriskā un psiholoģiskā ekspertīze</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128 175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42 729</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41 073</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-1 656</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w:t>
            </w:r>
            <w:r w:rsidR="00297071">
              <w:rPr>
                <w:rFonts w:ascii="Times New Roman" w:hAnsi="Times New Roman" w:cs="Times New Roman"/>
                <w:sz w:val="18"/>
                <w:szCs w:val="18"/>
              </w:rPr>
              <w:t>4%</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Ambulatorā palīdzība surdoloģijā</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432 805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144 270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94 844</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sz w:val="20"/>
                <w:szCs w:val="20"/>
              </w:rPr>
            </w:pPr>
            <w:r w:rsidRPr="000962EA">
              <w:rPr>
                <w:rFonts w:ascii="Times New Roman" w:hAnsi="Times New Roman" w:cs="Times New Roman"/>
                <w:sz w:val="20"/>
                <w:szCs w:val="20"/>
              </w:rPr>
              <w:t>-49 426</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-34</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Speciālistu pakalpojumi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12 852 381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4 274 704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4 830 274</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555 570</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bCs/>
                <w:sz w:val="18"/>
                <w:szCs w:val="18"/>
              </w:rPr>
            </w:pPr>
            <w:r w:rsidRPr="007D6EAE">
              <w:rPr>
                <w:rFonts w:ascii="Times New Roman" w:hAnsi="Times New Roman" w:cs="Times New Roman"/>
                <w:bCs/>
                <w:sz w:val="18"/>
                <w:szCs w:val="18"/>
              </w:rPr>
              <w:t>13</w:t>
            </w:r>
            <w:r w:rsidR="00297071">
              <w:rPr>
                <w:rFonts w:ascii="Times New Roman" w:hAnsi="Times New Roman" w:cs="Times New Roman"/>
                <w:bCs/>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Kardioloģija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315 743</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105 256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118 899</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13 643</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13</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Oftalmoloģija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2 070 489</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690 171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899 274</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209 103</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30</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Otolaringoloģija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1 810 391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603 485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708 451</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104 966</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17</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Dermatoveneroloģija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556 334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185 431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204 985</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19 554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Psihiatrija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30 303</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10 097</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7 400</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-2 697</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-26</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Narkoloģija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35 150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11 731</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10 911</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-820</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-7</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lastRenderedPageBreak/>
              <w:t>Anestezioloģija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300 724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100 318</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140 304</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39 986</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Pneimonoloģija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201 686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68 547</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84 874</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16 327</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Endokrinoloģija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697 482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233 642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247 901</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14 259</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6</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Ķirurģija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1 897 297</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632 424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624 629</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-7 795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-1</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Uroloģija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428 562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142 856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188 831</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45 975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32</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Traumatoloģija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750 252</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250 076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265 342</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15 266</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6</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Ginekoloģija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1 608 527</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536 176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579 356</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43 180</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8</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Onkoloģija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390 235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130 080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128 974</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-1 106</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w:t>
            </w:r>
            <w:r w:rsidR="00297071">
              <w:rPr>
                <w:rFonts w:ascii="Times New Roman" w:hAnsi="Times New Roman" w:cs="Times New Roman"/>
                <w:sz w:val="18"/>
                <w:szCs w:val="18"/>
              </w:rPr>
              <w:t>1%</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Neiroloģija</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991 956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330 665</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374 220</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43 555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7D6EAE" w:rsidP="00297071">
            <w:pPr>
              <w:spacing w:after="0" w:line="240" w:lineRule="auto"/>
              <w:jc w:val="center"/>
              <w:rPr>
                <w:rFonts w:ascii="Times New Roman" w:hAnsi="Times New Roman" w:cs="Times New Roman"/>
                <w:sz w:val="18"/>
                <w:szCs w:val="18"/>
              </w:rPr>
            </w:pPr>
            <w:r w:rsidRPr="007D6EAE">
              <w:rPr>
                <w:rFonts w:ascii="Times New Roman" w:hAnsi="Times New Roman" w:cs="Times New Roman"/>
                <w:sz w:val="18"/>
                <w:szCs w:val="18"/>
              </w:rPr>
              <w:t>13</w:t>
            </w:r>
            <w:r w:rsidR="00297071">
              <w:rPr>
                <w:rFonts w:ascii="Times New Roman" w:hAnsi="Times New Roman" w:cs="Times New Roman"/>
                <w:sz w:val="18"/>
                <w:szCs w:val="18"/>
              </w:rPr>
              <w:t>%</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Pārējie speciālisti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767 250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243 749</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245 923</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i/>
                <w:sz w:val="20"/>
                <w:szCs w:val="20"/>
              </w:rPr>
            </w:pPr>
            <w:r w:rsidRPr="000962EA">
              <w:rPr>
                <w:rFonts w:ascii="Times New Roman" w:hAnsi="Times New Roman" w:cs="Times New Roman"/>
                <w:i/>
                <w:sz w:val="20"/>
                <w:szCs w:val="20"/>
              </w:rPr>
              <w:t>2 174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7D6EAE" w:rsidRPr="00A03ACF" w:rsidTr="007D6EAE">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7D6EAE" w:rsidRPr="000962EA" w:rsidRDefault="007D6EAE" w:rsidP="000962EA">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Laboratoriskie izmeklējumi</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11 956 600</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3 985 533</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4 494 907</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bCs/>
                <w:sz w:val="20"/>
                <w:szCs w:val="20"/>
              </w:rPr>
            </w:pPr>
            <w:r w:rsidRPr="000962EA">
              <w:rPr>
                <w:rFonts w:ascii="Times New Roman" w:hAnsi="Times New Roman" w:cs="Times New Roman"/>
                <w:bCs/>
                <w:sz w:val="20"/>
                <w:szCs w:val="20"/>
              </w:rPr>
              <w:t>509 374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7D6EAE" w:rsidRPr="007D6EAE" w:rsidRDefault="00297071" w:rsidP="007D6EA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r>
      <w:tr w:rsidR="007D6EAE" w:rsidRPr="00A03ACF" w:rsidTr="007D6EAE">
        <w:trPr>
          <w:trHeight w:val="255"/>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center"/>
              <w:rPr>
                <w:rFonts w:ascii="Times New Roman" w:hAnsi="Times New Roman" w:cs="Times New Roman"/>
                <w:b/>
                <w:bCs/>
                <w:sz w:val="20"/>
                <w:szCs w:val="20"/>
              </w:rPr>
            </w:pPr>
            <w:r w:rsidRPr="000962EA">
              <w:rPr>
                <w:rFonts w:ascii="Times New Roman" w:hAnsi="Times New Roman" w:cs="Times New Roman"/>
                <w:b/>
                <w:bCs/>
                <w:sz w:val="20"/>
                <w:szCs w:val="20"/>
              </w:rPr>
              <w:t>KOPĀ</w:t>
            </w:r>
          </w:p>
        </w:tc>
        <w:tc>
          <w:tcPr>
            <w:tcW w:w="1275"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
                <w:bCs/>
                <w:sz w:val="20"/>
                <w:szCs w:val="20"/>
              </w:rPr>
            </w:pPr>
            <w:r w:rsidRPr="000962EA">
              <w:rPr>
                <w:rFonts w:ascii="Times New Roman" w:hAnsi="Times New Roman" w:cs="Times New Roman"/>
                <w:b/>
                <w:bCs/>
                <w:sz w:val="20"/>
                <w:szCs w:val="20"/>
              </w:rPr>
              <w:t>47 328 344</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
                <w:bCs/>
                <w:sz w:val="20"/>
                <w:szCs w:val="20"/>
              </w:rPr>
            </w:pPr>
            <w:r w:rsidRPr="000962EA">
              <w:rPr>
                <w:rFonts w:ascii="Times New Roman" w:hAnsi="Times New Roman" w:cs="Times New Roman"/>
                <w:b/>
                <w:bCs/>
                <w:sz w:val="20"/>
                <w:szCs w:val="20"/>
              </w:rPr>
              <w:t>15 764 326</w:t>
            </w:r>
          </w:p>
        </w:tc>
        <w:tc>
          <w:tcPr>
            <w:tcW w:w="1276" w:type="dxa"/>
            <w:tcBorders>
              <w:top w:val="nil"/>
              <w:left w:val="nil"/>
              <w:bottom w:val="single" w:sz="4" w:space="0" w:color="auto"/>
              <w:right w:val="single" w:sz="4" w:space="0" w:color="auto"/>
            </w:tcBorders>
            <w:shd w:val="clear" w:color="auto" w:fill="auto"/>
            <w:noWrap/>
            <w:vAlign w:val="center"/>
            <w:hideMark/>
          </w:tcPr>
          <w:p w:rsidR="007D6EAE" w:rsidRPr="000962EA" w:rsidRDefault="007D6EAE" w:rsidP="000962EA">
            <w:pPr>
              <w:spacing w:after="0" w:line="240" w:lineRule="auto"/>
              <w:jc w:val="right"/>
              <w:rPr>
                <w:rFonts w:ascii="Times New Roman" w:hAnsi="Times New Roman" w:cs="Times New Roman"/>
                <w:b/>
                <w:bCs/>
                <w:sz w:val="20"/>
                <w:szCs w:val="20"/>
              </w:rPr>
            </w:pPr>
            <w:r w:rsidRPr="000962EA">
              <w:rPr>
                <w:rFonts w:ascii="Times New Roman" w:hAnsi="Times New Roman" w:cs="Times New Roman"/>
                <w:b/>
                <w:bCs/>
                <w:sz w:val="20"/>
                <w:szCs w:val="20"/>
              </w:rPr>
              <w:t>18 473 715</w:t>
            </w:r>
          </w:p>
        </w:tc>
        <w:tc>
          <w:tcPr>
            <w:tcW w:w="1276" w:type="dxa"/>
            <w:tcBorders>
              <w:top w:val="single" w:sz="4" w:space="0" w:color="auto"/>
              <w:left w:val="nil"/>
              <w:bottom w:val="single" w:sz="4" w:space="0" w:color="auto"/>
              <w:right w:val="single" w:sz="4" w:space="0" w:color="auto"/>
            </w:tcBorders>
            <w:vAlign w:val="center"/>
          </w:tcPr>
          <w:p w:rsidR="007D6EAE" w:rsidRPr="000962EA" w:rsidRDefault="007D6EAE" w:rsidP="007D6EAE">
            <w:pPr>
              <w:spacing w:after="0" w:line="240" w:lineRule="auto"/>
              <w:jc w:val="right"/>
              <w:rPr>
                <w:rFonts w:ascii="Times New Roman" w:hAnsi="Times New Roman" w:cs="Times New Roman"/>
                <w:b/>
                <w:bCs/>
                <w:sz w:val="20"/>
                <w:szCs w:val="20"/>
              </w:rPr>
            </w:pPr>
            <w:r w:rsidRPr="000962EA">
              <w:rPr>
                <w:rFonts w:ascii="Times New Roman" w:hAnsi="Times New Roman" w:cs="Times New Roman"/>
                <w:b/>
                <w:bCs/>
                <w:sz w:val="20"/>
                <w:szCs w:val="20"/>
              </w:rPr>
              <w:t>2 709 389</w:t>
            </w:r>
          </w:p>
        </w:tc>
        <w:tc>
          <w:tcPr>
            <w:tcW w:w="10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D6EAE" w:rsidRPr="007D6EAE" w:rsidRDefault="007D6EAE" w:rsidP="00297071">
            <w:pPr>
              <w:spacing w:after="0" w:line="240" w:lineRule="auto"/>
              <w:jc w:val="center"/>
              <w:rPr>
                <w:rFonts w:ascii="Times New Roman" w:hAnsi="Times New Roman" w:cs="Times New Roman"/>
                <w:b/>
                <w:bCs/>
                <w:sz w:val="20"/>
                <w:szCs w:val="20"/>
              </w:rPr>
            </w:pPr>
            <w:r w:rsidRPr="007D6EAE">
              <w:rPr>
                <w:rFonts w:ascii="Times New Roman" w:hAnsi="Times New Roman" w:cs="Times New Roman"/>
                <w:b/>
                <w:bCs/>
                <w:sz w:val="20"/>
                <w:szCs w:val="20"/>
              </w:rPr>
              <w:t>17</w:t>
            </w:r>
            <w:r w:rsidR="00297071">
              <w:rPr>
                <w:rFonts w:ascii="Times New Roman" w:hAnsi="Times New Roman" w:cs="Times New Roman"/>
                <w:b/>
                <w:bCs/>
                <w:sz w:val="20"/>
                <w:szCs w:val="20"/>
              </w:rPr>
              <w:t>%</w:t>
            </w:r>
          </w:p>
        </w:tc>
      </w:tr>
    </w:tbl>
    <w:p w:rsidR="00A03ACF" w:rsidRDefault="00A03ACF" w:rsidP="00A03ACF">
      <w:pPr>
        <w:pStyle w:val="NormalWeb"/>
        <w:snapToGrid w:val="0"/>
        <w:spacing w:before="120" w:after="0"/>
        <w:jc w:val="center"/>
        <w:rPr>
          <w:b/>
        </w:rPr>
      </w:pPr>
    </w:p>
    <w:p w:rsidR="00A03ACF" w:rsidRDefault="00753FC8" w:rsidP="005C52D8">
      <w:pPr>
        <w:pStyle w:val="NormalWeb"/>
        <w:snapToGrid w:val="0"/>
        <w:spacing w:before="120" w:after="0"/>
        <w:ind w:firstLine="709"/>
        <w:jc w:val="both"/>
      </w:pPr>
      <w:r>
        <w:t>Izveidojies</w:t>
      </w:r>
      <w:r w:rsidR="004420D9">
        <w:t xml:space="preserve"> d</w:t>
      </w:r>
      <w:r w:rsidR="00A03ACF" w:rsidRPr="00A03ACF">
        <w:t>efi</w:t>
      </w:r>
      <w:r w:rsidR="00A03ACF">
        <w:t xml:space="preserve">cīts </w:t>
      </w:r>
      <w:r>
        <w:rPr>
          <w:b/>
        </w:rPr>
        <w:t>2 709 389</w:t>
      </w:r>
      <w:r w:rsidR="00A03ACF" w:rsidRPr="0020654F">
        <w:rPr>
          <w:b/>
        </w:rPr>
        <w:t> latu</w:t>
      </w:r>
      <w:r w:rsidR="00A03ACF">
        <w:t xml:space="preserve"> apmērā </w:t>
      </w:r>
      <w:r w:rsidR="00A03ACF" w:rsidRPr="004420D9">
        <w:rPr>
          <w:u w:val="single"/>
        </w:rPr>
        <w:t>neietver dienas stacionāros sniegtos pakalpojumus</w:t>
      </w:r>
      <w:r w:rsidR="00A03ACF">
        <w:t xml:space="preserve">. </w:t>
      </w:r>
      <w:r w:rsidR="00507947">
        <w:t>Lielākā daļa</w:t>
      </w:r>
      <w:r w:rsidR="00A03ACF">
        <w:t xml:space="preserve"> </w:t>
      </w:r>
      <w:r w:rsidR="004420D9">
        <w:t xml:space="preserve">dienas stacionāru </w:t>
      </w:r>
      <w:r w:rsidR="00A03ACF">
        <w:t xml:space="preserve">pakalpojumi </w:t>
      </w:r>
      <w:r w:rsidR="004420D9">
        <w:t>tiek veikti slimnīcās</w:t>
      </w:r>
      <w:r w:rsidR="00507947">
        <w:t xml:space="preserve"> (pie slimnīcām izveidotajos dienas stacionāros).</w:t>
      </w:r>
      <w:r w:rsidR="004420D9">
        <w:t xml:space="preserve"> </w:t>
      </w:r>
      <w:r w:rsidR="00507947">
        <w:t>Dienas stacionāra darbībā ir vērojamas sezonalitātes tendences (pamatojoties uz 2010.gada pakalpojumu analīzi var secināt, ka vasaras mēnešos samazinās dienas stacionāra nodrošināto veselības aprūpes pakalpojumu apjoms), tādējādi</w:t>
      </w:r>
      <w:r w:rsidR="004420D9">
        <w:t>, prognozējams, ka četru mēnešu plāna pārpilde līdz gada beigām varētu kompensēties un pakalpojumi līdz gada beigām tiks sniegti plānotajā apmērā piešķirto līdzekļu ietvaros</w:t>
      </w:r>
      <w:r>
        <w:t>,</w:t>
      </w:r>
      <w:r w:rsidR="0067699E">
        <w:t xml:space="preserve"> vai </w:t>
      </w:r>
      <w:r>
        <w:t xml:space="preserve">arī </w:t>
      </w:r>
      <w:r w:rsidR="0067699E">
        <w:t>pagarināsies pakalpojumu saņemšanas laiks un ārstniecības iestādēm būs jāveido gaidīšanas rindas</w:t>
      </w:r>
      <w:r w:rsidR="004420D9">
        <w:t>.</w:t>
      </w:r>
    </w:p>
    <w:p w:rsidR="0042667C" w:rsidRDefault="00267DF8" w:rsidP="005C52D8">
      <w:pPr>
        <w:pStyle w:val="NormalWeb"/>
        <w:snapToGrid w:val="0"/>
        <w:spacing w:before="120" w:after="0"/>
        <w:ind w:firstLine="709"/>
        <w:jc w:val="both"/>
      </w:pPr>
      <w:r>
        <w:t xml:space="preserve">Līdz ar finansējuma deficītu sekundārās ambulatorās aprūpes pakalpojumiem </w:t>
      </w:r>
      <w:r w:rsidR="004028D7">
        <w:t>četros mēnešos ir pārsniegts arī</w:t>
      </w:r>
      <w:r w:rsidRPr="004028D7">
        <w:t xml:space="preserve"> </w:t>
      </w:r>
      <w:r w:rsidRPr="00A72695">
        <w:rPr>
          <w:u w:val="single"/>
        </w:rPr>
        <w:t>valsts apmaksāt</w:t>
      </w:r>
      <w:r w:rsidR="004028D7">
        <w:rPr>
          <w:u w:val="single"/>
        </w:rPr>
        <w:t>o</w:t>
      </w:r>
      <w:r w:rsidRPr="00A72695">
        <w:rPr>
          <w:u w:val="single"/>
        </w:rPr>
        <w:t xml:space="preserve"> pacientu iemaks</w:t>
      </w:r>
      <w:r w:rsidR="004028D7">
        <w:rPr>
          <w:u w:val="single"/>
        </w:rPr>
        <w:t>u</w:t>
      </w:r>
      <w:r w:rsidR="004028D7">
        <w:t xml:space="preserve"> plāns</w:t>
      </w:r>
      <w:r w:rsidR="00297071">
        <w:t xml:space="preserve"> par 157 </w:t>
      </w:r>
      <w:proofErr w:type="spellStart"/>
      <w:r w:rsidR="00297071">
        <w:t>tūkst.latu</w:t>
      </w:r>
      <w:proofErr w:type="spellEnd"/>
      <w:r w:rsidR="00297071">
        <w:t xml:space="preserve"> jeb par 14%</w:t>
      </w:r>
      <w:r w:rsidR="00F9592A">
        <w:t xml:space="preserve">. </w:t>
      </w:r>
      <w:r w:rsidR="0068623F">
        <w:t xml:space="preserve">4.tabulā </w:t>
      </w:r>
      <w:r w:rsidR="004807C4">
        <w:t xml:space="preserve">redzams </w:t>
      </w:r>
      <w:r w:rsidR="00297071">
        <w:t>pacientu iemaksām izlietotais finansējums</w:t>
      </w:r>
      <w:r w:rsidR="00A72695">
        <w:t xml:space="preserve"> sadalījumā pa </w:t>
      </w:r>
      <w:r w:rsidR="007F51DF">
        <w:t xml:space="preserve">sekundāro ambulatoro pakalpojumu programmām. </w:t>
      </w:r>
    </w:p>
    <w:p w:rsidR="00150044" w:rsidRDefault="00150044" w:rsidP="0096140D">
      <w:pPr>
        <w:pStyle w:val="NormalWeb"/>
        <w:snapToGrid w:val="0"/>
        <w:spacing w:before="0" w:after="0"/>
        <w:ind w:firstLine="709"/>
        <w:jc w:val="right"/>
      </w:pPr>
    </w:p>
    <w:p w:rsidR="00B31347" w:rsidRDefault="00F94F33" w:rsidP="0096140D">
      <w:pPr>
        <w:pStyle w:val="NormalWeb"/>
        <w:snapToGrid w:val="0"/>
        <w:spacing w:before="0" w:after="0"/>
        <w:ind w:firstLine="709"/>
        <w:jc w:val="right"/>
      </w:pPr>
      <w:r>
        <w:t>4.tabula</w:t>
      </w:r>
    </w:p>
    <w:p w:rsidR="00F94F33" w:rsidRPr="00F62954" w:rsidRDefault="00F94F33" w:rsidP="00297071">
      <w:pPr>
        <w:pStyle w:val="NormalWeb"/>
        <w:snapToGrid w:val="0"/>
        <w:spacing w:before="120" w:after="120"/>
        <w:ind w:firstLine="709"/>
        <w:jc w:val="center"/>
        <w:rPr>
          <w:b/>
        </w:rPr>
      </w:pPr>
      <w:r>
        <w:rPr>
          <w:b/>
        </w:rPr>
        <w:t>Pacientu iemaksu</w:t>
      </w:r>
      <w:r w:rsidRPr="00F94F33">
        <w:rPr>
          <w:b/>
        </w:rPr>
        <w:t xml:space="preserve"> izpilde 2011.gada 4 mēnešos sadalījumā pa programmām</w:t>
      </w:r>
    </w:p>
    <w:tbl>
      <w:tblPr>
        <w:tblW w:w="9858" w:type="dxa"/>
        <w:tblInd w:w="93" w:type="dxa"/>
        <w:tblCellMar>
          <w:left w:w="28" w:type="dxa"/>
          <w:right w:w="28" w:type="dxa"/>
        </w:tblCellMar>
        <w:tblLook w:val="04A0"/>
      </w:tblPr>
      <w:tblGrid>
        <w:gridCol w:w="3763"/>
        <w:gridCol w:w="1222"/>
        <w:gridCol w:w="1329"/>
        <w:gridCol w:w="1276"/>
        <w:gridCol w:w="1276"/>
        <w:gridCol w:w="992"/>
      </w:tblGrid>
      <w:tr w:rsidR="004807C4" w:rsidRPr="00A03ACF" w:rsidTr="004807C4">
        <w:trPr>
          <w:trHeight w:val="600"/>
        </w:trPr>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7C4" w:rsidRPr="00A03ACF" w:rsidRDefault="004807C4" w:rsidP="00F94F33">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Pakalpojumu programmas</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7C4" w:rsidRPr="00A03ACF" w:rsidRDefault="004807C4" w:rsidP="00F94F33">
            <w:pPr>
              <w:spacing w:after="0" w:line="240" w:lineRule="auto"/>
              <w:jc w:val="center"/>
              <w:rPr>
                <w:rFonts w:ascii="Times New Roman" w:eastAsia="Times New Roman" w:hAnsi="Times New Roman" w:cs="Times New Roman"/>
                <w:sz w:val="18"/>
                <w:szCs w:val="18"/>
                <w:lang w:val="lv-LV" w:eastAsia="lv-LV"/>
              </w:rPr>
            </w:pPr>
            <w:r w:rsidRPr="00F94F33">
              <w:rPr>
                <w:rFonts w:ascii="Times New Roman" w:eastAsia="Times New Roman" w:hAnsi="Times New Roman" w:cs="Times New Roman"/>
                <w:sz w:val="18"/>
                <w:szCs w:val="18"/>
                <w:lang w:val="lv-LV" w:eastAsia="lv-LV"/>
              </w:rPr>
              <w:t>Pacienta iemaksas kompensācija plāns gadam, Ls</w:t>
            </w:r>
          </w:p>
        </w:tc>
        <w:tc>
          <w:tcPr>
            <w:tcW w:w="4873" w:type="dxa"/>
            <w:gridSpan w:val="4"/>
            <w:tcBorders>
              <w:top w:val="single" w:sz="4" w:space="0" w:color="auto"/>
              <w:left w:val="nil"/>
              <w:bottom w:val="single" w:sz="4" w:space="0" w:color="auto"/>
              <w:right w:val="single" w:sz="4" w:space="0" w:color="000000"/>
            </w:tcBorders>
            <w:shd w:val="clear" w:color="auto" w:fill="auto"/>
            <w:vAlign w:val="center"/>
            <w:hideMark/>
          </w:tcPr>
          <w:p w:rsidR="004807C4" w:rsidRPr="00A03ACF" w:rsidRDefault="004807C4" w:rsidP="00F94F33">
            <w:pPr>
              <w:spacing w:after="0" w:line="240" w:lineRule="auto"/>
              <w:jc w:val="center"/>
              <w:rPr>
                <w:rFonts w:ascii="Times New Roman" w:eastAsia="Times New Roman" w:hAnsi="Times New Roman" w:cs="Times New Roman"/>
                <w:b/>
                <w:bCs/>
                <w:color w:val="000000"/>
                <w:sz w:val="18"/>
                <w:szCs w:val="18"/>
                <w:lang w:val="lv-LV" w:eastAsia="lv-LV"/>
              </w:rPr>
            </w:pPr>
            <w:r w:rsidRPr="00F94F33">
              <w:rPr>
                <w:rFonts w:ascii="Times New Roman" w:eastAsia="Times New Roman" w:hAnsi="Times New Roman" w:cs="Times New Roman"/>
                <w:b/>
                <w:bCs/>
                <w:color w:val="000000"/>
                <w:sz w:val="18"/>
                <w:szCs w:val="18"/>
                <w:lang w:val="lv-LV" w:eastAsia="lv-LV"/>
              </w:rPr>
              <w:t>Pacientu iemaksu kompensācijas izpildes apjoms pārskata periodā</w:t>
            </w:r>
          </w:p>
        </w:tc>
      </w:tr>
      <w:tr w:rsidR="00082062" w:rsidRPr="00A03ACF" w:rsidTr="004807C4">
        <w:trPr>
          <w:trHeight w:val="870"/>
        </w:trPr>
        <w:tc>
          <w:tcPr>
            <w:tcW w:w="3763" w:type="dxa"/>
            <w:vMerge/>
            <w:tcBorders>
              <w:top w:val="single" w:sz="4" w:space="0" w:color="auto"/>
              <w:left w:val="single" w:sz="4" w:space="0" w:color="auto"/>
              <w:bottom w:val="single" w:sz="4" w:space="0" w:color="auto"/>
              <w:right w:val="single" w:sz="4" w:space="0" w:color="auto"/>
            </w:tcBorders>
            <w:vAlign w:val="center"/>
            <w:hideMark/>
          </w:tcPr>
          <w:p w:rsidR="00082062" w:rsidRPr="00A03ACF" w:rsidRDefault="00082062" w:rsidP="00F94F33">
            <w:pPr>
              <w:spacing w:after="0" w:line="240" w:lineRule="auto"/>
              <w:rPr>
                <w:rFonts w:ascii="Times New Roman" w:eastAsia="Times New Roman" w:hAnsi="Times New Roman" w:cs="Times New Roman"/>
                <w:sz w:val="18"/>
                <w:szCs w:val="18"/>
                <w:lang w:val="lv-LV" w:eastAsia="lv-LV"/>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082062" w:rsidRPr="00A03ACF" w:rsidRDefault="00082062" w:rsidP="00F94F33">
            <w:pPr>
              <w:spacing w:after="0" w:line="240" w:lineRule="auto"/>
              <w:rPr>
                <w:rFonts w:ascii="Times New Roman" w:eastAsia="Times New Roman" w:hAnsi="Times New Roman" w:cs="Times New Roman"/>
                <w:sz w:val="18"/>
                <w:szCs w:val="18"/>
                <w:lang w:val="lv-LV" w:eastAsia="lv-LV"/>
              </w:rPr>
            </w:pPr>
          </w:p>
        </w:tc>
        <w:tc>
          <w:tcPr>
            <w:tcW w:w="1329" w:type="dxa"/>
            <w:tcBorders>
              <w:top w:val="nil"/>
              <w:left w:val="nil"/>
              <w:bottom w:val="single" w:sz="4" w:space="0" w:color="auto"/>
              <w:right w:val="single" w:sz="4" w:space="0" w:color="auto"/>
            </w:tcBorders>
            <w:shd w:val="clear" w:color="auto" w:fill="auto"/>
            <w:vAlign w:val="center"/>
            <w:hideMark/>
          </w:tcPr>
          <w:p w:rsidR="00082062" w:rsidRPr="00F94F33" w:rsidRDefault="00082062" w:rsidP="00F94F33">
            <w:pPr>
              <w:spacing w:after="0" w:line="240" w:lineRule="auto"/>
              <w:jc w:val="center"/>
              <w:rPr>
                <w:rFonts w:ascii="Times New Roman" w:hAnsi="Times New Roman" w:cs="Times New Roman"/>
                <w:sz w:val="18"/>
                <w:szCs w:val="18"/>
              </w:rPr>
            </w:pPr>
            <w:r w:rsidRPr="00F94F33">
              <w:rPr>
                <w:rFonts w:ascii="Times New Roman" w:hAnsi="Times New Roman" w:cs="Times New Roman"/>
                <w:sz w:val="18"/>
                <w:szCs w:val="18"/>
              </w:rPr>
              <w:t xml:space="preserve">Plānots </w:t>
            </w:r>
            <w:r w:rsidRPr="00F94F33">
              <w:rPr>
                <w:rFonts w:ascii="Times New Roman" w:hAnsi="Times New Roman" w:cs="Times New Roman"/>
                <w:sz w:val="18"/>
                <w:szCs w:val="18"/>
              </w:rPr>
              <w:br/>
              <w:t>4 mēnešiem</w:t>
            </w:r>
          </w:p>
        </w:tc>
        <w:tc>
          <w:tcPr>
            <w:tcW w:w="1276" w:type="dxa"/>
            <w:tcBorders>
              <w:top w:val="nil"/>
              <w:left w:val="nil"/>
              <w:bottom w:val="single" w:sz="4" w:space="0" w:color="auto"/>
              <w:right w:val="single" w:sz="4" w:space="0" w:color="auto"/>
            </w:tcBorders>
            <w:shd w:val="clear" w:color="auto" w:fill="auto"/>
            <w:vAlign w:val="center"/>
            <w:hideMark/>
          </w:tcPr>
          <w:p w:rsidR="00082062" w:rsidRPr="00F94F33" w:rsidRDefault="00082062" w:rsidP="00F94F33">
            <w:pPr>
              <w:spacing w:after="0" w:line="240" w:lineRule="auto"/>
              <w:jc w:val="center"/>
              <w:rPr>
                <w:rFonts w:ascii="Times New Roman" w:hAnsi="Times New Roman" w:cs="Times New Roman"/>
                <w:sz w:val="18"/>
                <w:szCs w:val="18"/>
              </w:rPr>
            </w:pPr>
            <w:r w:rsidRPr="00F94F33">
              <w:rPr>
                <w:rFonts w:ascii="Times New Roman" w:hAnsi="Times New Roman" w:cs="Times New Roman"/>
                <w:sz w:val="18"/>
                <w:szCs w:val="18"/>
              </w:rPr>
              <w:t>4 mēnešu izpilde</w:t>
            </w:r>
          </w:p>
        </w:tc>
        <w:tc>
          <w:tcPr>
            <w:tcW w:w="1276" w:type="dxa"/>
            <w:tcBorders>
              <w:top w:val="nil"/>
              <w:left w:val="nil"/>
              <w:bottom w:val="single" w:sz="4" w:space="0" w:color="auto"/>
              <w:right w:val="single" w:sz="4" w:space="0" w:color="auto"/>
            </w:tcBorders>
            <w:shd w:val="clear" w:color="auto" w:fill="auto"/>
            <w:vAlign w:val="center"/>
            <w:hideMark/>
          </w:tcPr>
          <w:p w:rsidR="00082062" w:rsidRPr="00A03ACF" w:rsidRDefault="00082062" w:rsidP="00F94F33">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 xml:space="preserve">pārstrāde/ </w:t>
            </w:r>
            <w:proofErr w:type="spellStart"/>
            <w:r w:rsidRPr="00A03ACF">
              <w:rPr>
                <w:rFonts w:ascii="Times New Roman" w:eastAsia="Times New Roman" w:hAnsi="Times New Roman" w:cs="Times New Roman"/>
                <w:sz w:val="18"/>
                <w:szCs w:val="18"/>
                <w:lang w:val="lv-LV" w:eastAsia="lv-LV"/>
              </w:rPr>
              <w:t>neizstrāde</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82062" w:rsidRPr="00A03ACF" w:rsidRDefault="00082062" w:rsidP="00F94F33">
            <w:pPr>
              <w:spacing w:after="0" w:line="240" w:lineRule="auto"/>
              <w:jc w:val="center"/>
              <w:rPr>
                <w:rFonts w:ascii="Times New Roman" w:eastAsia="Times New Roman" w:hAnsi="Times New Roman" w:cs="Times New Roman"/>
                <w:sz w:val="18"/>
                <w:szCs w:val="18"/>
                <w:lang w:val="lv-LV" w:eastAsia="lv-LV"/>
              </w:rPr>
            </w:pPr>
            <w:r w:rsidRPr="00A03ACF">
              <w:rPr>
                <w:rFonts w:ascii="Times New Roman" w:eastAsia="Times New Roman" w:hAnsi="Times New Roman" w:cs="Times New Roman"/>
                <w:sz w:val="18"/>
                <w:szCs w:val="18"/>
                <w:lang w:val="lv-LV" w:eastAsia="lv-LV"/>
              </w:rPr>
              <w:t>Novirze, %</w:t>
            </w:r>
          </w:p>
        </w:tc>
      </w:tr>
      <w:tr w:rsidR="00082062" w:rsidRPr="00A03ACF" w:rsidTr="004807C4">
        <w:trPr>
          <w:trHeight w:val="225"/>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rsidR="00082062" w:rsidRPr="00A03ACF" w:rsidRDefault="00082062" w:rsidP="00F94F33">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1</w:t>
            </w:r>
          </w:p>
        </w:tc>
        <w:tc>
          <w:tcPr>
            <w:tcW w:w="1222" w:type="dxa"/>
            <w:tcBorders>
              <w:top w:val="nil"/>
              <w:left w:val="nil"/>
              <w:bottom w:val="single" w:sz="4" w:space="0" w:color="auto"/>
              <w:right w:val="single" w:sz="4" w:space="0" w:color="auto"/>
            </w:tcBorders>
            <w:shd w:val="clear" w:color="auto" w:fill="auto"/>
            <w:noWrap/>
            <w:vAlign w:val="center"/>
            <w:hideMark/>
          </w:tcPr>
          <w:p w:rsidR="00082062" w:rsidRPr="00A03ACF" w:rsidRDefault="00082062" w:rsidP="00F94F33">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2</w:t>
            </w:r>
          </w:p>
        </w:tc>
        <w:tc>
          <w:tcPr>
            <w:tcW w:w="1329" w:type="dxa"/>
            <w:tcBorders>
              <w:top w:val="nil"/>
              <w:left w:val="nil"/>
              <w:bottom w:val="single" w:sz="4" w:space="0" w:color="auto"/>
              <w:right w:val="single" w:sz="4" w:space="0" w:color="auto"/>
            </w:tcBorders>
            <w:shd w:val="clear" w:color="auto" w:fill="auto"/>
            <w:noWrap/>
            <w:vAlign w:val="center"/>
            <w:hideMark/>
          </w:tcPr>
          <w:p w:rsidR="00082062" w:rsidRPr="00A03ACF" w:rsidRDefault="00082062" w:rsidP="00F94F33">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082062" w:rsidRPr="00A03ACF" w:rsidRDefault="00082062" w:rsidP="00F94F33">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4</w:t>
            </w:r>
          </w:p>
        </w:tc>
        <w:tc>
          <w:tcPr>
            <w:tcW w:w="1276" w:type="dxa"/>
            <w:tcBorders>
              <w:top w:val="nil"/>
              <w:left w:val="nil"/>
              <w:bottom w:val="single" w:sz="4" w:space="0" w:color="auto"/>
              <w:right w:val="single" w:sz="4" w:space="0" w:color="auto"/>
            </w:tcBorders>
            <w:shd w:val="clear" w:color="auto" w:fill="auto"/>
            <w:noWrap/>
            <w:vAlign w:val="center"/>
            <w:hideMark/>
          </w:tcPr>
          <w:p w:rsidR="00082062" w:rsidRPr="00A03ACF" w:rsidRDefault="00082062" w:rsidP="00F94F33">
            <w:pPr>
              <w:spacing w:after="0" w:line="240" w:lineRule="auto"/>
              <w:jc w:val="center"/>
              <w:rPr>
                <w:rFonts w:ascii="Times New Roman" w:eastAsia="Times New Roman" w:hAnsi="Times New Roman" w:cs="Times New Roman"/>
                <w:sz w:val="16"/>
                <w:szCs w:val="16"/>
                <w:lang w:val="lv-LV" w:eastAsia="lv-LV"/>
              </w:rPr>
            </w:pPr>
            <w:r w:rsidRPr="00A03ACF">
              <w:rPr>
                <w:rFonts w:ascii="Times New Roman" w:eastAsia="Times New Roman" w:hAnsi="Times New Roman" w:cs="Times New Roman"/>
                <w:sz w:val="16"/>
                <w:szCs w:val="16"/>
                <w:lang w:val="lv-LV" w:eastAsia="lv-LV"/>
              </w:rPr>
              <w:t>5=4-3</w:t>
            </w:r>
          </w:p>
        </w:tc>
        <w:tc>
          <w:tcPr>
            <w:tcW w:w="992" w:type="dxa"/>
            <w:tcBorders>
              <w:top w:val="nil"/>
              <w:left w:val="nil"/>
              <w:bottom w:val="single" w:sz="4" w:space="0" w:color="auto"/>
              <w:right w:val="single" w:sz="4" w:space="0" w:color="auto"/>
            </w:tcBorders>
            <w:shd w:val="clear" w:color="auto" w:fill="auto"/>
            <w:noWrap/>
            <w:vAlign w:val="center"/>
            <w:hideMark/>
          </w:tcPr>
          <w:p w:rsidR="00082062" w:rsidRPr="00A03ACF" w:rsidRDefault="004807C4" w:rsidP="00F94F33">
            <w:pPr>
              <w:spacing w:after="0" w:line="240" w:lineRule="auto"/>
              <w:jc w:val="center"/>
              <w:rPr>
                <w:rFonts w:ascii="Times New Roman" w:eastAsia="Times New Roman" w:hAnsi="Times New Roman" w:cs="Times New Roman"/>
                <w:sz w:val="16"/>
                <w:szCs w:val="16"/>
                <w:lang w:val="lv-LV" w:eastAsia="lv-LV"/>
              </w:rPr>
            </w:pPr>
            <w:r>
              <w:rPr>
                <w:rFonts w:ascii="Times New Roman" w:eastAsia="Times New Roman" w:hAnsi="Times New Roman" w:cs="Times New Roman"/>
                <w:sz w:val="16"/>
                <w:szCs w:val="16"/>
                <w:lang w:val="lv-LV" w:eastAsia="lv-LV"/>
              </w:rPr>
              <w:t>6</w:t>
            </w:r>
            <w:r w:rsidRPr="00A03ACF">
              <w:rPr>
                <w:rFonts w:ascii="Times New Roman" w:eastAsia="Times New Roman" w:hAnsi="Times New Roman" w:cs="Times New Roman"/>
                <w:sz w:val="16"/>
                <w:szCs w:val="16"/>
                <w:lang w:val="lv-LV" w:eastAsia="lv-LV"/>
              </w:rPr>
              <w:t>=</w:t>
            </w:r>
            <w:r>
              <w:rPr>
                <w:rFonts w:ascii="Times New Roman" w:eastAsia="Times New Roman" w:hAnsi="Times New Roman" w:cs="Times New Roman"/>
                <w:sz w:val="16"/>
                <w:szCs w:val="16"/>
                <w:lang w:val="lv-LV" w:eastAsia="lv-LV"/>
              </w:rPr>
              <w:t>5/3*100</w:t>
            </w:r>
          </w:p>
        </w:tc>
      </w:tr>
      <w:tr w:rsidR="00082062" w:rsidRPr="00A03ACF" w:rsidTr="004807C4">
        <w:trPr>
          <w:trHeight w:val="48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Pārējie ambulatorie sekundārās veselības aprūpes pasākumi</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9 777</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3 259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4 824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1 565</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bCs/>
                <w:sz w:val="20"/>
                <w:szCs w:val="20"/>
              </w:rPr>
            </w:pPr>
            <w:r w:rsidRPr="004028D7">
              <w:rPr>
                <w:rFonts w:ascii="Times New Roman" w:hAnsi="Times New Roman" w:cs="Times New Roman"/>
                <w:bCs/>
                <w:sz w:val="20"/>
                <w:szCs w:val="20"/>
              </w:rPr>
              <w:t>48%</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Izmeklējumi un terapija</w:t>
            </w:r>
          </w:p>
        </w:tc>
        <w:tc>
          <w:tcPr>
            <w:tcW w:w="1222" w:type="dxa"/>
            <w:tcBorders>
              <w:top w:val="nil"/>
              <w:left w:val="nil"/>
              <w:bottom w:val="single" w:sz="4" w:space="0" w:color="auto"/>
              <w:right w:val="single" w:sz="4" w:space="0" w:color="auto"/>
            </w:tcBorders>
            <w:shd w:val="clear" w:color="auto" w:fill="auto"/>
            <w:noWrap/>
            <w:vAlign w:val="center"/>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604 560</w:t>
            </w:r>
          </w:p>
        </w:tc>
        <w:tc>
          <w:tcPr>
            <w:tcW w:w="1329" w:type="dxa"/>
            <w:tcBorders>
              <w:top w:val="nil"/>
              <w:left w:val="nil"/>
              <w:bottom w:val="single" w:sz="4" w:space="0" w:color="auto"/>
              <w:right w:val="single" w:sz="4" w:space="0" w:color="auto"/>
            </w:tcBorders>
            <w:shd w:val="clear" w:color="auto" w:fill="auto"/>
            <w:noWrap/>
            <w:vAlign w:val="center"/>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201 520</w:t>
            </w:r>
          </w:p>
        </w:tc>
        <w:tc>
          <w:tcPr>
            <w:tcW w:w="1276" w:type="dxa"/>
            <w:tcBorders>
              <w:top w:val="nil"/>
              <w:left w:val="nil"/>
              <w:bottom w:val="single" w:sz="4" w:space="0" w:color="auto"/>
              <w:right w:val="single" w:sz="4" w:space="0" w:color="auto"/>
            </w:tcBorders>
            <w:shd w:val="clear" w:color="auto" w:fill="auto"/>
            <w:noWrap/>
            <w:vAlign w:val="center"/>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252 507</w:t>
            </w:r>
          </w:p>
        </w:tc>
        <w:tc>
          <w:tcPr>
            <w:tcW w:w="1276" w:type="dxa"/>
            <w:tcBorders>
              <w:top w:val="nil"/>
              <w:left w:val="nil"/>
              <w:bottom w:val="single" w:sz="4" w:space="0" w:color="auto"/>
              <w:right w:val="single" w:sz="4" w:space="0" w:color="auto"/>
            </w:tcBorders>
            <w:shd w:val="clear" w:color="auto" w:fill="auto"/>
            <w:noWrap/>
            <w:vAlign w:val="center"/>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50 987</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bCs/>
                <w:sz w:val="20"/>
                <w:szCs w:val="20"/>
              </w:rPr>
            </w:pPr>
            <w:r w:rsidRPr="004028D7">
              <w:rPr>
                <w:rFonts w:ascii="Times New Roman" w:hAnsi="Times New Roman" w:cs="Times New Roman"/>
                <w:bCs/>
                <w:sz w:val="20"/>
                <w:szCs w:val="20"/>
              </w:rPr>
              <w:t>25%</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Rentgenoloģija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260 166</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86 722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108 489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21 767</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25%</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Magnētiskā rezonanse</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41 823</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13 941</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19 370</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5 429</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39%</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Kompjūtertomogrāfija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78 525</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26 175</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37 305</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11 130</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43%</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Ultrasonogrāfija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115 854</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38 618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44 400</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5 782</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15%</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Radionuklīdā diagnostika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906</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302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408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106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35%</w:t>
            </w:r>
          </w:p>
        </w:tc>
      </w:tr>
      <w:tr w:rsidR="00082062" w:rsidRPr="00A03ACF" w:rsidTr="004807C4">
        <w:trPr>
          <w:trHeight w:val="287"/>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807C4">
            <w:pPr>
              <w:spacing w:after="0" w:line="240" w:lineRule="auto"/>
              <w:ind w:firstLine="193"/>
              <w:rPr>
                <w:rFonts w:ascii="Times New Roman" w:hAnsi="Times New Roman" w:cs="Times New Roman"/>
                <w:i/>
                <w:sz w:val="20"/>
                <w:szCs w:val="20"/>
              </w:rPr>
            </w:pPr>
            <w:r w:rsidRPr="000962EA">
              <w:rPr>
                <w:rFonts w:ascii="Times New Roman" w:hAnsi="Times New Roman" w:cs="Times New Roman"/>
                <w:i/>
                <w:sz w:val="20"/>
                <w:szCs w:val="20"/>
              </w:rPr>
              <w:t>Osteodensitometrija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1 197</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399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536</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137</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34%</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Sirds asinsvadu sistēmas funkcionālie izmeklējumi</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55 629</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18 543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20 919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2 376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13%</w:t>
            </w:r>
          </w:p>
        </w:tc>
      </w:tr>
      <w:tr w:rsidR="00082062" w:rsidRPr="00A03ACF" w:rsidTr="004807C4">
        <w:trPr>
          <w:trHeight w:val="227"/>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Endoskopija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11 226</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3 742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5 228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1 486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40%</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Neiroelektrofizioloģiskie funkcionālie izmeklējumi</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16 746</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5 582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5 739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157</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lastRenderedPageBreak/>
              <w:t>Doplerogrāfija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19 758</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6 586</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8 844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2 258</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34%</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Mammogrāfija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1 563</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521</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693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172</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33%</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firstLine="191"/>
              <w:rPr>
                <w:rFonts w:ascii="Times New Roman" w:hAnsi="Times New Roman" w:cs="Times New Roman"/>
                <w:i/>
                <w:sz w:val="20"/>
                <w:szCs w:val="20"/>
              </w:rPr>
            </w:pPr>
            <w:r w:rsidRPr="000962EA">
              <w:rPr>
                <w:rFonts w:ascii="Times New Roman" w:hAnsi="Times New Roman" w:cs="Times New Roman"/>
                <w:i/>
                <w:sz w:val="20"/>
                <w:szCs w:val="20"/>
              </w:rPr>
              <w:t>Staru terapija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1 167</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389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576</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187</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48%</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Rehabilitācijas pakalpojumi</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65 940</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21 980</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38 034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16 054</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sz w:val="20"/>
                <w:szCs w:val="20"/>
              </w:rPr>
            </w:pPr>
            <w:r w:rsidRPr="004028D7">
              <w:rPr>
                <w:rFonts w:ascii="Times New Roman" w:hAnsi="Times New Roman" w:cs="Times New Roman"/>
                <w:sz w:val="20"/>
                <w:szCs w:val="20"/>
              </w:rPr>
              <w:t>73%</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Fizikālās medicīnas pakalpojumi</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54 252</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18 084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12 765</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-5 319</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sz w:val="20"/>
                <w:szCs w:val="20"/>
              </w:rPr>
            </w:pPr>
            <w:r w:rsidRPr="004028D7">
              <w:rPr>
                <w:rFonts w:ascii="Times New Roman" w:hAnsi="Times New Roman" w:cs="Times New Roman"/>
                <w:sz w:val="20"/>
                <w:szCs w:val="20"/>
              </w:rPr>
              <w:t>-29%</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Ģenētisko slimnieku konsultēšana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1 743</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581</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582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sz w:val="20"/>
                <w:szCs w:val="20"/>
              </w:rPr>
            </w:pPr>
            <w:r w:rsidRPr="004028D7">
              <w:rPr>
                <w:rFonts w:ascii="Times New Roman" w:hAnsi="Times New Roman" w:cs="Times New Roman"/>
                <w:sz w:val="20"/>
                <w:szCs w:val="20"/>
              </w:rPr>
              <w:t>0%</w:t>
            </w:r>
          </w:p>
        </w:tc>
      </w:tr>
      <w:tr w:rsidR="00082062" w:rsidRPr="00A03ACF" w:rsidTr="004807C4">
        <w:trPr>
          <w:trHeight w:val="48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Multiplās sklerozes slimnieku konsultēšana un izmeklēšana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243</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81</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189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108</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sz w:val="20"/>
                <w:szCs w:val="20"/>
              </w:rPr>
            </w:pPr>
            <w:r w:rsidRPr="004028D7">
              <w:rPr>
                <w:rFonts w:ascii="Times New Roman" w:hAnsi="Times New Roman" w:cs="Times New Roman"/>
                <w:sz w:val="20"/>
                <w:szCs w:val="20"/>
              </w:rPr>
              <w:t>133%</w:t>
            </w:r>
          </w:p>
        </w:tc>
      </w:tr>
      <w:tr w:rsidR="00082062" w:rsidRPr="00A03ACF" w:rsidTr="004807C4">
        <w:trPr>
          <w:trHeight w:val="48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Ambulatori konsultatīvā palīdzība pie nieru transplantācijas</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33</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232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sz w:val="20"/>
                <w:szCs w:val="20"/>
              </w:rPr>
            </w:pPr>
            <w:r w:rsidRPr="004028D7">
              <w:rPr>
                <w:rFonts w:ascii="Times New Roman" w:hAnsi="Times New Roman" w:cs="Times New Roman"/>
                <w:sz w:val="20"/>
                <w:szCs w:val="20"/>
              </w:rPr>
              <w:t>2009%</w:t>
            </w:r>
          </w:p>
        </w:tc>
      </w:tr>
      <w:tr w:rsidR="00082062" w:rsidRPr="00A03ACF" w:rsidTr="004807C4">
        <w:trPr>
          <w:trHeight w:val="313"/>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Tiesu psihiatriskā un psiholoģiskā ekspertīze</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48</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16</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60</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44</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sz w:val="20"/>
                <w:szCs w:val="20"/>
              </w:rPr>
            </w:pPr>
            <w:r w:rsidRPr="004028D7">
              <w:rPr>
                <w:rFonts w:ascii="Times New Roman" w:hAnsi="Times New Roman" w:cs="Times New Roman"/>
                <w:sz w:val="20"/>
                <w:szCs w:val="20"/>
              </w:rPr>
              <w:t>275%</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Ambulatorā palīdzība surdoloģijā</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20 511</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6 837</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7 923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sz w:val="20"/>
                <w:szCs w:val="20"/>
              </w:rPr>
            </w:pPr>
            <w:r w:rsidRPr="004028D7">
              <w:rPr>
                <w:rFonts w:ascii="Times New Roman" w:hAnsi="Times New Roman" w:cs="Times New Roman"/>
                <w:sz w:val="20"/>
                <w:szCs w:val="20"/>
              </w:rPr>
              <w:t>1 086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sz w:val="20"/>
                <w:szCs w:val="20"/>
              </w:rPr>
            </w:pPr>
            <w:r w:rsidRPr="004028D7">
              <w:rPr>
                <w:rFonts w:ascii="Times New Roman" w:hAnsi="Times New Roman" w:cs="Times New Roman"/>
                <w:sz w:val="20"/>
                <w:szCs w:val="20"/>
              </w:rPr>
              <w:t>16%</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rPr>
                <w:rFonts w:ascii="Times New Roman" w:hAnsi="Times New Roman" w:cs="Times New Roman"/>
                <w:bCs/>
                <w:sz w:val="20"/>
                <w:szCs w:val="20"/>
              </w:rPr>
            </w:pPr>
            <w:r w:rsidRPr="000962EA">
              <w:rPr>
                <w:rFonts w:ascii="Times New Roman" w:hAnsi="Times New Roman" w:cs="Times New Roman"/>
                <w:bCs/>
                <w:sz w:val="20"/>
                <w:szCs w:val="20"/>
              </w:rPr>
              <w:t>Speciālistu pakalpojumi</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2 576 832</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858 944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951 259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Cs/>
                <w:sz w:val="20"/>
                <w:szCs w:val="20"/>
              </w:rPr>
            </w:pPr>
            <w:r w:rsidRPr="004028D7">
              <w:rPr>
                <w:rFonts w:ascii="Times New Roman" w:hAnsi="Times New Roman" w:cs="Times New Roman"/>
                <w:bCs/>
                <w:sz w:val="20"/>
                <w:szCs w:val="20"/>
              </w:rPr>
              <w:t>92 315</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bCs/>
                <w:sz w:val="20"/>
                <w:szCs w:val="20"/>
              </w:rPr>
            </w:pPr>
            <w:r w:rsidRPr="004028D7">
              <w:rPr>
                <w:rFonts w:ascii="Times New Roman" w:hAnsi="Times New Roman" w:cs="Times New Roman"/>
                <w:bCs/>
                <w:sz w:val="20"/>
                <w:szCs w:val="20"/>
              </w:rPr>
              <w:t>11%</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Kardioloģija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30 144</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10 048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10 902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854</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8%</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Oftalmoloģija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261 486</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87 162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85 153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-2 009</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-2%</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Otolaringoloģija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427 182</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142 394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158 871</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16 477</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12%</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Dermatoveneroloģija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124 092</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41 364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42 519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1 155</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Psihiatrija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491 553</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163 851</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219 242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55 391</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34%</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Narkoloģija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11 970</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3 990</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4 239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249</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6%</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Anestezioloģija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3 294</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1 098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1 393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295</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27%</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Pneimonoloģija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180 681</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60 227</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80 603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20 376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34%</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Endokrinoloģija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35 391</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11 797</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13 173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1 376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12%</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Ķirurģija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400 587</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133 529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121 746</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-11 783</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-9%</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Uroloģija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8 784</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2 928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3 824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896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31%</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Traumatoloģija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113 172</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37 724</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31 948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-5 776</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-15%</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Ginekoloģija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101 217</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33 739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35 702</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1 963</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6%</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Onkoloģija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11 811</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3 937</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5 170</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1 233</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31%</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Neiroloģija</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160 647</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53 549</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57 216</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3 667</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7%</w:t>
            </w:r>
          </w:p>
        </w:tc>
      </w:tr>
      <w:tr w:rsidR="00082062" w:rsidRPr="00A03ACF" w:rsidTr="004807C4">
        <w:trPr>
          <w:trHeight w:val="240"/>
        </w:trPr>
        <w:tc>
          <w:tcPr>
            <w:tcW w:w="3763" w:type="dxa"/>
            <w:tcBorders>
              <w:top w:val="nil"/>
              <w:left w:val="single" w:sz="4" w:space="0" w:color="auto"/>
              <w:bottom w:val="single" w:sz="4" w:space="0" w:color="auto"/>
              <w:right w:val="single" w:sz="4" w:space="0" w:color="auto"/>
            </w:tcBorders>
            <w:shd w:val="clear" w:color="auto" w:fill="auto"/>
            <w:vAlign w:val="center"/>
            <w:hideMark/>
          </w:tcPr>
          <w:p w:rsidR="00082062" w:rsidRPr="000962EA" w:rsidRDefault="00082062" w:rsidP="004028D7">
            <w:pPr>
              <w:spacing w:after="0" w:line="240" w:lineRule="auto"/>
              <w:ind w:left="191"/>
              <w:rPr>
                <w:rFonts w:ascii="Times New Roman" w:hAnsi="Times New Roman" w:cs="Times New Roman"/>
                <w:i/>
                <w:sz w:val="20"/>
                <w:szCs w:val="20"/>
              </w:rPr>
            </w:pPr>
            <w:r w:rsidRPr="000962EA">
              <w:rPr>
                <w:rFonts w:ascii="Times New Roman" w:hAnsi="Times New Roman" w:cs="Times New Roman"/>
                <w:i/>
                <w:sz w:val="20"/>
                <w:szCs w:val="20"/>
              </w:rPr>
              <w:t>Pārējie speciālisti</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214 821</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71 607</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79 558</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i/>
                <w:sz w:val="20"/>
                <w:szCs w:val="20"/>
              </w:rPr>
            </w:pPr>
            <w:r w:rsidRPr="004028D7">
              <w:rPr>
                <w:rFonts w:ascii="Times New Roman" w:hAnsi="Times New Roman" w:cs="Times New Roman"/>
                <w:i/>
                <w:sz w:val="20"/>
                <w:szCs w:val="20"/>
              </w:rPr>
              <w:t>7 951</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i/>
                <w:sz w:val="20"/>
                <w:szCs w:val="20"/>
              </w:rPr>
            </w:pPr>
            <w:r w:rsidRPr="004028D7">
              <w:rPr>
                <w:rFonts w:ascii="Times New Roman" w:hAnsi="Times New Roman" w:cs="Times New Roman"/>
                <w:i/>
                <w:sz w:val="20"/>
                <w:szCs w:val="20"/>
              </w:rPr>
              <w:t>11%</w:t>
            </w:r>
          </w:p>
        </w:tc>
      </w:tr>
      <w:tr w:rsidR="00082062" w:rsidRPr="00A03ACF" w:rsidTr="004807C4">
        <w:trPr>
          <w:trHeight w:val="255"/>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rsidR="00082062" w:rsidRPr="000962EA" w:rsidRDefault="00082062" w:rsidP="004028D7">
            <w:pPr>
              <w:spacing w:after="0" w:line="240" w:lineRule="auto"/>
              <w:jc w:val="center"/>
              <w:rPr>
                <w:rFonts w:ascii="Times New Roman" w:hAnsi="Times New Roman" w:cs="Times New Roman"/>
                <w:b/>
                <w:bCs/>
                <w:sz w:val="20"/>
                <w:szCs w:val="20"/>
              </w:rPr>
            </w:pPr>
            <w:r w:rsidRPr="000962EA">
              <w:rPr>
                <w:rFonts w:ascii="Times New Roman" w:hAnsi="Times New Roman" w:cs="Times New Roman"/>
                <w:b/>
                <w:bCs/>
                <w:sz w:val="20"/>
                <w:szCs w:val="20"/>
              </w:rPr>
              <w:t>KOPĀ</w:t>
            </w:r>
          </w:p>
        </w:tc>
        <w:tc>
          <w:tcPr>
            <w:tcW w:w="122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
                <w:bCs/>
                <w:sz w:val="20"/>
                <w:szCs w:val="20"/>
              </w:rPr>
            </w:pPr>
            <w:r w:rsidRPr="004028D7">
              <w:rPr>
                <w:rFonts w:ascii="Times New Roman" w:hAnsi="Times New Roman" w:cs="Times New Roman"/>
                <w:b/>
                <w:bCs/>
                <w:sz w:val="20"/>
                <w:szCs w:val="20"/>
              </w:rPr>
              <w:t>3 333 939</w:t>
            </w:r>
          </w:p>
        </w:tc>
        <w:tc>
          <w:tcPr>
            <w:tcW w:w="1329"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
                <w:bCs/>
                <w:sz w:val="20"/>
                <w:szCs w:val="20"/>
              </w:rPr>
            </w:pPr>
            <w:r w:rsidRPr="004028D7">
              <w:rPr>
                <w:rFonts w:ascii="Times New Roman" w:hAnsi="Times New Roman" w:cs="Times New Roman"/>
                <w:b/>
                <w:bCs/>
                <w:sz w:val="20"/>
                <w:szCs w:val="20"/>
              </w:rPr>
              <w:t>1 111 313</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
                <w:bCs/>
                <w:sz w:val="20"/>
                <w:szCs w:val="20"/>
              </w:rPr>
            </w:pPr>
            <w:r w:rsidRPr="004028D7">
              <w:rPr>
                <w:rFonts w:ascii="Times New Roman" w:hAnsi="Times New Roman" w:cs="Times New Roman"/>
                <w:b/>
                <w:bCs/>
                <w:sz w:val="20"/>
                <w:szCs w:val="20"/>
              </w:rPr>
              <w:t>1 268 375</w:t>
            </w:r>
          </w:p>
        </w:tc>
        <w:tc>
          <w:tcPr>
            <w:tcW w:w="1276"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right"/>
              <w:rPr>
                <w:rFonts w:ascii="Times New Roman" w:hAnsi="Times New Roman" w:cs="Times New Roman"/>
                <w:b/>
                <w:bCs/>
                <w:sz w:val="20"/>
                <w:szCs w:val="20"/>
              </w:rPr>
            </w:pPr>
            <w:r w:rsidRPr="004028D7">
              <w:rPr>
                <w:rFonts w:ascii="Times New Roman" w:hAnsi="Times New Roman" w:cs="Times New Roman"/>
                <w:b/>
                <w:bCs/>
                <w:sz w:val="20"/>
                <w:szCs w:val="20"/>
              </w:rPr>
              <w:t>157 062</w:t>
            </w:r>
          </w:p>
        </w:tc>
        <w:tc>
          <w:tcPr>
            <w:tcW w:w="992" w:type="dxa"/>
            <w:tcBorders>
              <w:top w:val="nil"/>
              <w:left w:val="nil"/>
              <w:bottom w:val="single" w:sz="4" w:space="0" w:color="auto"/>
              <w:right w:val="single" w:sz="4" w:space="0" w:color="auto"/>
            </w:tcBorders>
            <w:shd w:val="clear" w:color="auto" w:fill="auto"/>
            <w:noWrap/>
            <w:vAlign w:val="bottom"/>
            <w:hideMark/>
          </w:tcPr>
          <w:p w:rsidR="00082062" w:rsidRPr="004028D7" w:rsidRDefault="00082062" w:rsidP="004028D7">
            <w:pPr>
              <w:spacing w:after="0" w:line="240" w:lineRule="auto"/>
              <w:jc w:val="center"/>
              <w:rPr>
                <w:rFonts w:ascii="Times New Roman" w:hAnsi="Times New Roman" w:cs="Times New Roman"/>
                <w:b/>
                <w:bCs/>
                <w:sz w:val="20"/>
                <w:szCs w:val="20"/>
              </w:rPr>
            </w:pPr>
            <w:r w:rsidRPr="004028D7">
              <w:rPr>
                <w:rFonts w:ascii="Times New Roman" w:hAnsi="Times New Roman" w:cs="Times New Roman"/>
                <w:b/>
                <w:bCs/>
                <w:sz w:val="20"/>
                <w:szCs w:val="20"/>
              </w:rPr>
              <w:t>14%</w:t>
            </w:r>
          </w:p>
        </w:tc>
      </w:tr>
    </w:tbl>
    <w:p w:rsidR="008378FC" w:rsidRDefault="008378FC" w:rsidP="00950C2B">
      <w:pPr>
        <w:spacing w:before="120" w:after="120"/>
        <w:rPr>
          <w:rFonts w:ascii="Times New Roman" w:eastAsia="Times New Roman" w:hAnsi="Times New Roman" w:cs="Times New Roman"/>
          <w:sz w:val="24"/>
          <w:szCs w:val="24"/>
          <w:lang w:val="lv-LV" w:eastAsia="ar-SA"/>
        </w:rPr>
      </w:pPr>
    </w:p>
    <w:p w:rsidR="00B56497" w:rsidRPr="00616F70" w:rsidRDefault="00B56497" w:rsidP="00F62954">
      <w:pPr>
        <w:pStyle w:val="NormalWeb"/>
        <w:numPr>
          <w:ilvl w:val="0"/>
          <w:numId w:val="3"/>
        </w:numPr>
        <w:snapToGrid w:val="0"/>
        <w:spacing w:before="0" w:after="0"/>
        <w:ind w:left="1077" w:hanging="357"/>
        <w:rPr>
          <w:b/>
        </w:rPr>
      </w:pPr>
      <w:r w:rsidRPr="00616F70">
        <w:rPr>
          <w:b/>
        </w:rPr>
        <w:t>Kompensējamo medikamentu un materiālu apmaksāšana</w:t>
      </w:r>
    </w:p>
    <w:p w:rsidR="00B56497" w:rsidRPr="00B56497" w:rsidRDefault="00B56497" w:rsidP="00950C2B">
      <w:pPr>
        <w:pStyle w:val="NormalWeb"/>
        <w:snapToGrid w:val="0"/>
        <w:spacing w:before="0" w:after="0"/>
        <w:ind w:firstLine="709"/>
        <w:jc w:val="center"/>
        <w:rPr>
          <w:b/>
        </w:rPr>
      </w:pPr>
    </w:p>
    <w:p w:rsidR="005345F6" w:rsidRDefault="004430F7" w:rsidP="00F62954">
      <w:pPr>
        <w:pStyle w:val="NormalWeb"/>
        <w:spacing w:before="0" w:after="0"/>
        <w:ind w:firstLine="709"/>
        <w:jc w:val="both"/>
      </w:pPr>
      <w:r w:rsidRPr="004430F7">
        <w:t xml:space="preserve">Bez </w:t>
      </w:r>
      <w:r>
        <w:t>ambulatorās aprūpes 2011.gadā veidojas līdzekļu deficīts arī medikamentu iegādes kompensācijai iedzīvotājiem.</w:t>
      </w:r>
    </w:p>
    <w:p w:rsidR="00164FF2" w:rsidRDefault="00B90E79" w:rsidP="00164FF2">
      <w:pPr>
        <w:pStyle w:val="NormalWeb"/>
        <w:spacing w:before="120" w:after="0"/>
        <w:ind w:firstLine="709"/>
        <w:jc w:val="both"/>
      </w:pPr>
      <w:r>
        <w:t>Informatīvā ziņojuma 2.punktā minētās pārmaiņas veselības aprūpes sistēmā un pacientu plūsmas virzīšana uz ambulatoro veselības aprūpes līmeni ietekmē arī kompensējamo zāļu patēriņu. L</w:t>
      </w:r>
      <w:r w:rsidR="002B4C79">
        <w:t xml:space="preserve">ai nodrošinātu pilnvērtīgu pacientu ārstēšanu ambulatorās veselības aprūpes līmenī, </w:t>
      </w:r>
      <w:r w:rsidR="00164FF2">
        <w:t xml:space="preserve">un mazinātu nepieciešamību pacientiem ārstēties slimnīcā, ir jānodrošina pietiekams atbalsts kompensējamo zāļu saņemšanā no valsts puses. Jāatzīmē, ka 2011.gadā palielinās </w:t>
      </w:r>
      <w:r w:rsidR="00164FF2" w:rsidRPr="00693600">
        <w:t>pieprasījums pēc ambulatori lietojamiem medikamentiem</w:t>
      </w:r>
      <w:r w:rsidR="00164FF2">
        <w:t xml:space="preserve"> un materiāliem, kuru iegādi atbilstoši Ministru kabineta 2006.gada 31.oktobra noteikumiem Nr.899 „</w:t>
      </w:r>
      <w:r w:rsidR="00164FF2" w:rsidRPr="003E7CFC">
        <w:t>Ambulatorajai ārstēšanai paredzēto zāļu un medicīnisko ierīču iegādes izdevumu kompensācijas kārtība</w:t>
      </w:r>
      <w:r w:rsidR="00164FF2">
        <w:t>” noteiktā apmērā kompensē valsts.</w:t>
      </w:r>
    </w:p>
    <w:p w:rsidR="009804D1" w:rsidRDefault="004430F7" w:rsidP="007F51DF">
      <w:pPr>
        <w:pStyle w:val="NormalWeb"/>
        <w:spacing w:before="120" w:after="0"/>
        <w:ind w:firstLine="709"/>
        <w:jc w:val="both"/>
      </w:pPr>
      <w:r>
        <w:t>Budžeta apakšp</w:t>
      </w:r>
      <w:r w:rsidR="00164FF2">
        <w:t>r</w:t>
      </w:r>
      <w:r>
        <w:t xml:space="preserve">ogrammā 33.03.00 „Kompensējamo medikamentu un materiālu apmaksāšana” plānotos līdzekļus izlieto, lai nodrošinātu ambulatorajai ārstēšanai paredzēto zāļu un medicīnisko ierīču iegādes izdevumu kompensāciju, atbilstoši pacienta slimības diagnozei, raksturam un smaguma pakāpei. Plānotie līdzekļi 2011.gadā pēc budžeta grozījumiem ir 73 012 273 lati (tai skaitā 1 390 510 lati ir budžeta iestāžu 2010.gada pašu ieņēmumu līdzekļu atlikums, kas ar Ministru kabineta </w:t>
      </w:r>
      <w:r>
        <w:lastRenderedPageBreak/>
        <w:t>š.g.</w:t>
      </w:r>
      <w:r w:rsidRPr="004430F7">
        <w:t xml:space="preserve"> </w:t>
      </w:r>
      <w:r>
        <w:t>5.aprīļa sēdes lēmumu</w:t>
      </w:r>
      <w:r w:rsidRPr="004430F7">
        <w:t xml:space="preserve"> </w:t>
      </w:r>
      <w:r>
        <w:t>(</w:t>
      </w:r>
      <w:r w:rsidRPr="004430F7">
        <w:t>prot</w:t>
      </w:r>
      <w:r>
        <w:t xml:space="preserve">okols </w:t>
      </w:r>
      <w:r w:rsidRPr="004430F7">
        <w:t>Nr.22,</w:t>
      </w:r>
      <w:r w:rsidR="009804D1">
        <w:t xml:space="preserve"> </w:t>
      </w:r>
      <w:r w:rsidRPr="004430F7">
        <w:t>43.§</w:t>
      </w:r>
      <w:r w:rsidR="009804D1">
        <w:t>)</w:t>
      </w:r>
      <w:r>
        <w:t xml:space="preserve"> </w:t>
      </w:r>
      <w:r w:rsidR="009804D1">
        <w:t xml:space="preserve">tika iestrādāti izdevumos, 4 000 000 lati ir pašu ieņēmumu līdzekļu palielinājums, ko plānots iegūt no zāļu ražotājiem un izplatītājiem atbilstoši līgumiem par </w:t>
      </w:r>
      <w:r w:rsidR="00507947">
        <w:t xml:space="preserve">pacientiem kompensētajiem medikamentiem </w:t>
      </w:r>
      <w:r w:rsidR="009804D1">
        <w:t>virs plānotā).</w:t>
      </w:r>
    </w:p>
    <w:p w:rsidR="00D1200F" w:rsidRDefault="009804D1" w:rsidP="00D1200F">
      <w:pPr>
        <w:pStyle w:val="NormalWeb"/>
        <w:spacing w:before="120" w:after="0"/>
        <w:ind w:firstLine="709"/>
        <w:jc w:val="both"/>
      </w:pPr>
      <w:r>
        <w:t>Faktiski 2</w:t>
      </w:r>
      <w:r w:rsidR="004430F7">
        <w:t>011.gad</w:t>
      </w:r>
      <w:r>
        <w:t>a</w:t>
      </w:r>
      <w:r w:rsidR="004430F7">
        <w:t xml:space="preserve"> 4 mēnešos ambulatorajai ārstēšanai paredzēto zāļu un medicīnisko ierīču iegādes izdevumu kompensācijai tika izlietoti līdzekļi 2</w:t>
      </w:r>
      <w:r w:rsidR="00205C98">
        <w:t>5</w:t>
      </w:r>
      <w:r>
        <w:t> </w:t>
      </w:r>
      <w:r w:rsidR="00205C98">
        <w:t>709</w:t>
      </w:r>
      <w:r>
        <w:t> </w:t>
      </w:r>
      <w:r w:rsidR="00205C98">
        <w:t>889</w:t>
      </w:r>
      <w:r>
        <w:t xml:space="preserve"> latu apmērā</w:t>
      </w:r>
      <w:r w:rsidR="00D1200F">
        <w:t>,</w:t>
      </w:r>
      <w:r w:rsidR="00D1200F" w:rsidRPr="00D1200F">
        <w:t xml:space="preserve"> </w:t>
      </w:r>
      <w:r w:rsidR="00D1200F" w:rsidRPr="00AB721B">
        <w:t>kas ir 1</w:t>
      </w:r>
      <w:r w:rsidR="00205C98">
        <w:t>1,</w:t>
      </w:r>
      <w:r w:rsidR="00D1200F" w:rsidRPr="00AB721B">
        <w:t xml:space="preserve">5% pieaugums attiecībā </w:t>
      </w:r>
      <w:r w:rsidR="00D1200F">
        <w:t>pret 2010.gada 4 mēnešu izpildi.</w:t>
      </w:r>
      <w:r w:rsidRPr="009804D1">
        <w:t xml:space="preserve"> </w:t>
      </w:r>
      <w:r w:rsidR="00D1200F">
        <w:t xml:space="preserve">2011.gada </w:t>
      </w:r>
      <w:r>
        <w:t>4 mēnešos ir i</w:t>
      </w:r>
      <w:r w:rsidRPr="00AB721B">
        <w:t>zrakstītas 1 755 874 receptes</w:t>
      </w:r>
      <w:r w:rsidR="00D1200F">
        <w:t>, kas ir par 3% vairāk kā 2010.gada 4 mēnešos.</w:t>
      </w:r>
      <w:r w:rsidRPr="00AB721B">
        <w:t xml:space="preserve"> </w:t>
      </w:r>
      <w:r w:rsidR="00205C98">
        <w:t>Vienas receptes vidējā cena 2011.gada 4 mēnešos ir 14,64 lati, kas ir apmēram par 1,10 latiem vairāk kā 2010.gadā.</w:t>
      </w:r>
    </w:p>
    <w:p w:rsidR="00205C98" w:rsidRDefault="007F51DF" w:rsidP="005C52D8">
      <w:pPr>
        <w:pStyle w:val="NormalWeb"/>
        <w:spacing w:before="120" w:after="0"/>
        <w:ind w:firstLine="709"/>
        <w:jc w:val="both"/>
      </w:pPr>
      <w:r>
        <w:t>Četros mēnešos ambulatorajai ārstēšanai paredzēto zāļu un medicīnisko ierīču iegādes izdevumu kompensācijai i</w:t>
      </w:r>
      <w:r w:rsidR="007C2FB6">
        <w:t xml:space="preserve">zlietoto līdzekļu </w:t>
      </w:r>
      <w:r>
        <w:t xml:space="preserve">apjoms un </w:t>
      </w:r>
      <w:r w:rsidR="00D1200F">
        <w:t xml:space="preserve">procentuālais </w:t>
      </w:r>
      <w:r w:rsidR="007C2FB6">
        <w:t>sadalījums pa diagno</w:t>
      </w:r>
      <w:r>
        <w:t>žu grupām</w:t>
      </w:r>
      <w:r w:rsidR="007C2FB6">
        <w:t xml:space="preserve"> ir sekojošs (skat. </w:t>
      </w:r>
      <w:r w:rsidR="00F94F33">
        <w:t>5</w:t>
      </w:r>
      <w:r w:rsidR="007C2FB6">
        <w:t>.tabulu):</w:t>
      </w:r>
    </w:p>
    <w:p w:rsidR="004430F7" w:rsidRDefault="00F94F33" w:rsidP="00317AD5">
      <w:pPr>
        <w:pStyle w:val="NormalWeb"/>
        <w:spacing w:before="120" w:after="120"/>
        <w:ind w:left="318"/>
        <w:jc w:val="right"/>
      </w:pPr>
      <w:r>
        <w:t>5</w:t>
      </w:r>
      <w:r w:rsidR="007C2FB6">
        <w:t>.tabula</w:t>
      </w:r>
    </w:p>
    <w:p w:rsidR="005C52D8" w:rsidRPr="005C52D8" w:rsidRDefault="005C52D8" w:rsidP="00317AD5">
      <w:pPr>
        <w:pStyle w:val="NormalWeb"/>
        <w:spacing w:before="0" w:after="120"/>
        <w:ind w:left="318"/>
        <w:jc w:val="center"/>
        <w:rPr>
          <w:b/>
        </w:rPr>
      </w:pPr>
      <w:r>
        <w:rPr>
          <w:b/>
        </w:rPr>
        <w:t>A</w:t>
      </w:r>
      <w:r w:rsidRPr="005C52D8">
        <w:rPr>
          <w:b/>
        </w:rPr>
        <w:t>mbulatorajai ārstēšanai paredzēto zāļu un medicīnisko ierīču iegādes izdevumu kompensācijai izlietoto līdzekļu apjoms un procentuālais sadalījums pa diagnožu grupām</w:t>
      </w:r>
    </w:p>
    <w:p w:rsidR="007C2FB6" w:rsidRPr="0015206A" w:rsidRDefault="007C2FB6" w:rsidP="007C2FB6">
      <w:pPr>
        <w:pStyle w:val="NormalWeb"/>
        <w:spacing w:before="0" w:after="0"/>
        <w:ind w:left="317"/>
        <w:jc w:val="right"/>
      </w:pPr>
    </w:p>
    <w:tbl>
      <w:tblPr>
        <w:tblW w:w="9371" w:type="dxa"/>
        <w:tblInd w:w="93" w:type="dxa"/>
        <w:tblLook w:val="04A0"/>
      </w:tblPr>
      <w:tblGrid>
        <w:gridCol w:w="6394"/>
        <w:gridCol w:w="1276"/>
        <w:gridCol w:w="1701"/>
      </w:tblGrid>
      <w:tr w:rsidR="004430F7" w:rsidRPr="00F53CB5" w:rsidTr="007C2FB6">
        <w:trPr>
          <w:trHeight w:val="416"/>
        </w:trPr>
        <w:tc>
          <w:tcPr>
            <w:tcW w:w="639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4430F7" w:rsidRPr="009804D1" w:rsidRDefault="009804D1" w:rsidP="00F1578E">
            <w:pPr>
              <w:spacing w:after="0" w:line="240" w:lineRule="auto"/>
              <w:jc w:val="center"/>
              <w:rPr>
                <w:rFonts w:ascii="Times New Roman" w:eastAsia="Times New Roman" w:hAnsi="Times New Roman" w:cs="Times New Roman"/>
                <w:lang w:val="lv-LV" w:eastAsia="lv-LV"/>
              </w:rPr>
            </w:pPr>
            <w:r w:rsidRPr="009804D1">
              <w:rPr>
                <w:rFonts w:ascii="Times New Roman" w:eastAsia="Times New Roman" w:hAnsi="Times New Roman" w:cs="Times New Roman"/>
                <w:lang w:val="lv-LV" w:eastAsia="lv-LV"/>
              </w:rPr>
              <w:t>Diagno</w:t>
            </w:r>
            <w:r w:rsidR="00F1578E">
              <w:rPr>
                <w:rFonts w:ascii="Times New Roman" w:eastAsia="Times New Roman" w:hAnsi="Times New Roman" w:cs="Times New Roman"/>
                <w:lang w:val="lv-LV" w:eastAsia="lv-LV"/>
              </w:rPr>
              <w:t>žu grupas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430F7" w:rsidRPr="009804D1" w:rsidRDefault="004430F7" w:rsidP="007C2FB6">
            <w:pPr>
              <w:spacing w:after="0" w:line="240" w:lineRule="auto"/>
              <w:jc w:val="center"/>
              <w:rPr>
                <w:rFonts w:ascii="Times New Roman" w:eastAsia="Times New Roman" w:hAnsi="Times New Roman" w:cs="Times New Roman"/>
                <w:lang w:eastAsia="lv-LV"/>
              </w:rPr>
            </w:pPr>
            <w:r w:rsidRPr="009804D1">
              <w:rPr>
                <w:rFonts w:ascii="Times New Roman" w:eastAsia="Times New Roman" w:hAnsi="Times New Roman" w:cs="Times New Roman"/>
                <w:lang w:eastAsia="lv-LV"/>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430F7" w:rsidRPr="009804D1" w:rsidRDefault="007F51DF" w:rsidP="007C2F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 mēnešos izlietots, </w:t>
            </w:r>
            <w:r w:rsidR="004430F7" w:rsidRPr="009804D1">
              <w:rPr>
                <w:rFonts w:ascii="Times New Roman" w:eastAsia="Times New Roman" w:hAnsi="Times New Roman" w:cs="Times New Roman"/>
                <w:lang w:eastAsia="lv-LV"/>
              </w:rPr>
              <w:t>Ls</w:t>
            </w:r>
          </w:p>
        </w:tc>
      </w:tr>
      <w:tr w:rsidR="00205C98" w:rsidRPr="00F53CB5" w:rsidTr="00205C98">
        <w:trPr>
          <w:trHeight w:val="255"/>
        </w:trPr>
        <w:tc>
          <w:tcPr>
            <w:tcW w:w="6394" w:type="dxa"/>
            <w:tcBorders>
              <w:top w:val="nil"/>
              <w:left w:val="single" w:sz="4" w:space="0" w:color="000000"/>
              <w:bottom w:val="single" w:sz="4" w:space="0" w:color="000000"/>
              <w:right w:val="single" w:sz="4" w:space="0" w:color="000000"/>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 Acu un to palīgorgānu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4.54</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1 167 230</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2.</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Ausu un aizauss paugura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0.00</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539</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3.</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Asins un asinsrades orgānu slimības un imūnsistēmas traucējumi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1.64</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420 935</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4.</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Asinsrites sistēmas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22.03</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5 664 688</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Audzēji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15.03</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3 864 527</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6. Ādas un zemādas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0.20</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51 344</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7.</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Elpošanas sistēmas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5.31</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1 365 720</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8.</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Endokrīnās, uztures un vielmaiņas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21.34</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5 485 920</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9.</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Gremošanas sistēmas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0.29</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74 869</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10.</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Infekcijas un parazitārās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4.00</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1 029 035</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11.</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Muskuļu, skeleta un saistaudu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2.45</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629 876</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14.</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Nervu sistēmas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7.60</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1 953 323</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15.</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Psihiski un uzvedības traucējumi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5.89</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1 514 035</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16.</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Faktori, kas ietekmē veselību un saskari ar veselības aprūpes darbiniekiem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4.48</w:t>
            </w:r>
          </w:p>
        </w:tc>
        <w:tc>
          <w:tcPr>
            <w:tcW w:w="1701" w:type="dxa"/>
            <w:tcBorders>
              <w:top w:val="nil"/>
              <w:left w:val="nil"/>
              <w:bottom w:val="single" w:sz="4" w:space="0" w:color="auto"/>
              <w:right w:val="single" w:sz="4" w:space="0" w:color="auto"/>
            </w:tcBorders>
            <w:shd w:val="clear" w:color="auto" w:fill="auto"/>
            <w:noWrap/>
            <w:vAlign w:val="center"/>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1 152 324</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17.</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Uroģentālās sistēmas slimības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4.95</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1 272 132</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18.</w:t>
            </w:r>
            <w:r>
              <w:rPr>
                <w:rFonts w:ascii="Times New Roman" w:eastAsia="Times New Roman" w:hAnsi="Times New Roman" w:cs="Times New Roman"/>
                <w:color w:val="000000"/>
                <w:lang w:eastAsia="lv-LV"/>
              </w:rPr>
              <w:t xml:space="preserve"> </w:t>
            </w:r>
            <w:r w:rsidRPr="009804D1">
              <w:rPr>
                <w:rFonts w:ascii="Times New Roman" w:eastAsia="Times New Roman" w:hAnsi="Times New Roman" w:cs="Times New Roman"/>
                <w:color w:val="000000"/>
                <w:lang w:eastAsia="lv-LV"/>
              </w:rPr>
              <w:t>Ievainojumi, saindēšanās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0.10</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25 951</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13. Iedzimtas kroplības, deformācijas un hromosomu anomālijas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0.12</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31 590</w:t>
            </w:r>
          </w:p>
        </w:tc>
      </w:tr>
      <w:tr w:rsidR="00205C98" w:rsidRPr="00F53CB5" w:rsidTr="00205C98">
        <w:trPr>
          <w:trHeight w:val="255"/>
        </w:trPr>
        <w:tc>
          <w:tcPr>
            <w:tcW w:w="6394" w:type="dxa"/>
            <w:tcBorders>
              <w:top w:val="nil"/>
              <w:left w:val="single" w:sz="4" w:space="0" w:color="000000"/>
              <w:bottom w:val="single" w:sz="4" w:space="0" w:color="000000"/>
              <w:right w:val="nil"/>
            </w:tcBorders>
            <w:shd w:val="clear" w:color="auto" w:fill="auto"/>
            <w:noWrap/>
            <w:vAlign w:val="center"/>
            <w:hideMark/>
          </w:tcPr>
          <w:p w:rsidR="00205C98" w:rsidRPr="009804D1" w:rsidRDefault="00205C98" w:rsidP="007C2FB6">
            <w:pPr>
              <w:spacing w:after="0" w:line="240" w:lineRule="auto"/>
              <w:rPr>
                <w:rFonts w:ascii="Times New Roman" w:eastAsia="Times New Roman" w:hAnsi="Times New Roman" w:cs="Times New Roman"/>
                <w:color w:val="000000"/>
                <w:lang w:eastAsia="lv-LV"/>
              </w:rPr>
            </w:pPr>
            <w:r w:rsidRPr="009804D1">
              <w:rPr>
                <w:rFonts w:ascii="Times New Roman" w:eastAsia="Times New Roman" w:hAnsi="Times New Roman" w:cs="Times New Roman"/>
                <w:color w:val="000000"/>
                <w:lang w:eastAsia="lv-LV"/>
              </w:rPr>
              <w:t>19. Grūtniecība, dzemdības un pēcdzemdību periods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rPr>
            </w:pPr>
            <w:r w:rsidRPr="00205C98">
              <w:rPr>
                <w:rFonts w:ascii="Times New Roman" w:hAnsi="Times New Roman" w:cs="Times New Roman"/>
              </w:rPr>
              <w:t>0.02</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color w:val="000000"/>
              </w:rPr>
            </w:pPr>
            <w:r w:rsidRPr="00205C98">
              <w:rPr>
                <w:rFonts w:ascii="Times New Roman" w:hAnsi="Times New Roman" w:cs="Times New Roman"/>
                <w:color w:val="000000"/>
              </w:rPr>
              <w:t>5 852</w:t>
            </w:r>
          </w:p>
        </w:tc>
      </w:tr>
      <w:tr w:rsidR="00205C98" w:rsidRPr="00F53CB5" w:rsidTr="00205C98">
        <w:trPr>
          <w:trHeight w:val="255"/>
        </w:trPr>
        <w:tc>
          <w:tcPr>
            <w:tcW w:w="6394" w:type="dxa"/>
            <w:tcBorders>
              <w:top w:val="nil"/>
              <w:left w:val="single" w:sz="4" w:space="0" w:color="000000"/>
              <w:bottom w:val="single" w:sz="4" w:space="0" w:color="000000"/>
              <w:right w:val="single" w:sz="4" w:space="0" w:color="auto"/>
            </w:tcBorders>
            <w:shd w:val="clear" w:color="auto" w:fill="auto"/>
            <w:noWrap/>
            <w:vAlign w:val="center"/>
            <w:hideMark/>
          </w:tcPr>
          <w:p w:rsidR="00205C98" w:rsidRPr="009804D1" w:rsidRDefault="00205C98" w:rsidP="007C2FB6">
            <w:pPr>
              <w:spacing w:after="0" w:line="240" w:lineRule="auto"/>
              <w:jc w:val="center"/>
              <w:rPr>
                <w:rFonts w:ascii="Times New Roman" w:eastAsia="Times New Roman" w:hAnsi="Times New Roman" w:cs="Times New Roman"/>
                <w:b/>
                <w:color w:val="000000"/>
                <w:lang w:eastAsia="lv-LV"/>
              </w:rPr>
            </w:pPr>
            <w:r w:rsidRPr="009804D1">
              <w:rPr>
                <w:rFonts w:ascii="Times New Roman" w:eastAsia="Times New Roman" w:hAnsi="Times New Roman" w:cs="Times New Roman"/>
                <w:b/>
                <w:color w:val="000000"/>
                <w:lang w:eastAsia="lv-LV"/>
              </w:rPr>
              <w:t>Kopā</w:t>
            </w:r>
          </w:p>
        </w:tc>
        <w:tc>
          <w:tcPr>
            <w:tcW w:w="1276"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center"/>
              <w:rPr>
                <w:rFonts w:ascii="Times New Roman" w:hAnsi="Times New Roman" w:cs="Times New Roman"/>
                <w:b/>
                <w:bCs/>
              </w:rPr>
            </w:pPr>
            <w:r w:rsidRPr="00205C98">
              <w:rPr>
                <w:rFonts w:ascii="Times New Roman" w:hAnsi="Times New Roman" w:cs="Times New Roman"/>
                <w:b/>
                <w:bCs/>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205C98" w:rsidRPr="00205C98" w:rsidRDefault="00205C98" w:rsidP="00205C98">
            <w:pPr>
              <w:spacing w:after="0" w:line="240" w:lineRule="auto"/>
              <w:jc w:val="right"/>
              <w:rPr>
                <w:rFonts w:ascii="Times New Roman" w:hAnsi="Times New Roman" w:cs="Times New Roman"/>
                <w:b/>
                <w:bCs/>
                <w:color w:val="000000"/>
              </w:rPr>
            </w:pPr>
            <w:r w:rsidRPr="00205C98">
              <w:rPr>
                <w:rFonts w:ascii="Times New Roman" w:hAnsi="Times New Roman" w:cs="Times New Roman"/>
                <w:b/>
                <w:bCs/>
                <w:color w:val="000000"/>
              </w:rPr>
              <w:t>25 709 889</w:t>
            </w:r>
          </w:p>
        </w:tc>
      </w:tr>
    </w:tbl>
    <w:p w:rsidR="004430F7" w:rsidRDefault="004430F7" w:rsidP="004430F7">
      <w:pPr>
        <w:pStyle w:val="NormalWeb"/>
        <w:spacing w:before="0" w:after="0"/>
        <w:ind w:left="317"/>
        <w:jc w:val="both"/>
      </w:pPr>
    </w:p>
    <w:p w:rsidR="004430F7" w:rsidRPr="00D1200F" w:rsidRDefault="004430F7" w:rsidP="00365155">
      <w:pPr>
        <w:spacing w:after="120" w:line="240" w:lineRule="auto"/>
        <w:ind w:firstLine="720"/>
        <w:jc w:val="both"/>
        <w:rPr>
          <w:rFonts w:ascii="Times New Roman" w:hAnsi="Times New Roman"/>
          <w:sz w:val="24"/>
          <w:szCs w:val="24"/>
          <w:lang w:val="lv-LV"/>
        </w:rPr>
      </w:pPr>
      <w:r w:rsidRPr="00D1200F">
        <w:rPr>
          <w:rFonts w:ascii="Times New Roman" w:hAnsi="Times New Roman"/>
          <w:sz w:val="24"/>
          <w:szCs w:val="24"/>
          <w:lang w:val="lv-LV"/>
        </w:rPr>
        <w:t>Analizējot pa diagnožu grupām</w:t>
      </w:r>
      <w:r w:rsidR="00D1200F">
        <w:rPr>
          <w:rFonts w:ascii="Times New Roman" w:hAnsi="Times New Roman"/>
          <w:sz w:val="24"/>
          <w:szCs w:val="24"/>
          <w:lang w:val="lv-LV"/>
        </w:rPr>
        <w:t>,</w:t>
      </w:r>
      <w:r w:rsidRPr="00D1200F">
        <w:rPr>
          <w:rFonts w:ascii="Times New Roman" w:hAnsi="Times New Roman"/>
          <w:sz w:val="24"/>
          <w:szCs w:val="24"/>
          <w:lang w:val="lv-LV"/>
        </w:rPr>
        <w:t xml:space="preserve"> pēc faktiskajiem skaitļiem </w:t>
      </w:r>
      <w:r w:rsidR="00D1200F">
        <w:rPr>
          <w:rFonts w:ascii="Times New Roman" w:hAnsi="Times New Roman"/>
          <w:sz w:val="24"/>
          <w:szCs w:val="24"/>
          <w:lang w:val="lv-LV"/>
        </w:rPr>
        <w:t>vislielākais pieaugums ir</w:t>
      </w:r>
      <w:r w:rsidRPr="00D1200F">
        <w:rPr>
          <w:rFonts w:ascii="Times New Roman" w:hAnsi="Times New Roman"/>
          <w:sz w:val="24"/>
          <w:szCs w:val="24"/>
          <w:lang w:val="lv-LV"/>
        </w:rPr>
        <w:t xml:space="preserve"> diagnožu grupā </w:t>
      </w:r>
      <w:r w:rsidR="00D1200F">
        <w:rPr>
          <w:rFonts w:ascii="Times New Roman" w:hAnsi="Times New Roman"/>
          <w:sz w:val="24"/>
          <w:szCs w:val="24"/>
          <w:lang w:val="lv-LV"/>
        </w:rPr>
        <w:t>„</w:t>
      </w:r>
      <w:r w:rsidRPr="00D1200F">
        <w:rPr>
          <w:rFonts w:ascii="Times New Roman" w:hAnsi="Times New Roman"/>
          <w:sz w:val="24"/>
          <w:szCs w:val="24"/>
          <w:lang w:val="lv-LV"/>
        </w:rPr>
        <w:t>Asinsrites sistēmas slimības</w:t>
      </w:r>
      <w:r w:rsidR="00D1200F">
        <w:rPr>
          <w:rFonts w:ascii="Times New Roman" w:hAnsi="Times New Roman"/>
          <w:sz w:val="24"/>
          <w:szCs w:val="24"/>
          <w:lang w:val="lv-LV"/>
        </w:rPr>
        <w:t>”</w:t>
      </w:r>
      <w:r w:rsidRPr="00D1200F">
        <w:rPr>
          <w:rFonts w:ascii="Times New Roman" w:hAnsi="Times New Roman"/>
          <w:sz w:val="24"/>
          <w:szCs w:val="24"/>
          <w:lang w:val="lv-LV"/>
        </w:rPr>
        <w:t xml:space="preserve"> (pieaugums par 15 241 recepti jeb 2%), diagnožu grupā </w:t>
      </w:r>
      <w:r w:rsidR="00D1200F">
        <w:rPr>
          <w:rFonts w:ascii="Times New Roman" w:hAnsi="Times New Roman"/>
          <w:sz w:val="24"/>
          <w:szCs w:val="24"/>
          <w:lang w:val="lv-LV"/>
        </w:rPr>
        <w:t>„</w:t>
      </w:r>
      <w:r w:rsidRPr="00D1200F">
        <w:rPr>
          <w:rFonts w:ascii="Times New Roman" w:hAnsi="Times New Roman"/>
          <w:sz w:val="24"/>
          <w:szCs w:val="24"/>
          <w:lang w:val="lv-LV"/>
        </w:rPr>
        <w:t xml:space="preserve">Endokrīnās, </w:t>
      </w:r>
      <w:proofErr w:type="spellStart"/>
      <w:r w:rsidRPr="00D1200F">
        <w:rPr>
          <w:rFonts w:ascii="Times New Roman" w:hAnsi="Times New Roman"/>
          <w:sz w:val="24"/>
          <w:szCs w:val="24"/>
          <w:lang w:val="lv-LV"/>
        </w:rPr>
        <w:t>uztures</w:t>
      </w:r>
      <w:proofErr w:type="spellEnd"/>
      <w:r w:rsidRPr="00D1200F">
        <w:rPr>
          <w:rFonts w:ascii="Times New Roman" w:hAnsi="Times New Roman"/>
          <w:sz w:val="24"/>
          <w:szCs w:val="24"/>
          <w:lang w:val="lv-LV"/>
        </w:rPr>
        <w:t xml:space="preserve"> un vielmaiņas slimības</w:t>
      </w:r>
      <w:r w:rsidR="00D1200F">
        <w:rPr>
          <w:rFonts w:ascii="Times New Roman" w:hAnsi="Times New Roman"/>
          <w:sz w:val="24"/>
          <w:szCs w:val="24"/>
          <w:lang w:val="lv-LV"/>
        </w:rPr>
        <w:t>”</w:t>
      </w:r>
      <w:r w:rsidRPr="00D1200F">
        <w:rPr>
          <w:rFonts w:ascii="Times New Roman" w:hAnsi="Times New Roman"/>
          <w:sz w:val="24"/>
          <w:szCs w:val="24"/>
          <w:lang w:val="lv-LV"/>
        </w:rPr>
        <w:t xml:space="preserve"> (pieaugums par 6479 receptēm jeb 3%), diagnožu grupā </w:t>
      </w:r>
      <w:r w:rsidR="00D1200F">
        <w:rPr>
          <w:rFonts w:ascii="Times New Roman" w:hAnsi="Times New Roman"/>
          <w:sz w:val="24"/>
          <w:szCs w:val="24"/>
          <w:lang w:val="lv-LV"/>
        </w:rPr>
        <w:t>„</w:t>
      </w:r>
      <w:r w:rsidRPr="00D1200F">
        <w:rPr>
          <w:rFonts w:ascii="Times New Roman" w:hAnsi="Times New Roman"/>
          <w:sz w:val="24"/>
          <w:szCs w:val="24"/>
          <w:lang w:val="lv-LV"/>
        </w:rPr>
        <w:t>Faktori, kas ietekmē veselību</w:t>
      </w:r>
      <w:r w:rsidR="00D1200F">
        <w:rPr>
          <w:rFonts w:ascii="Times New Roman" w:hAnsi="Times New Roman"/>
          <w:sz w:val="24"/>
          <w:szCs w:val="24"/>
          <w:lang w:val="lv-LV"/>
        </w:rPr>
        <w:t>”</w:t>
      </w:r>
      <w:r w:rsidRPr="00D1200F">
        <w:rPr>
          <w:rFonts w:ascii="Times New Roman" w:hAnsi="Times New Roman"/>
          <w:sz w:val="24"/>
          <w:szCs w:val="24"/>
          <w:lang w:val="lv-LV"/>
        </w:rPr>
        <w:t xml:space="preserve"> (pieaugums par 5828 receptēm jeb 16%), diagnožu grupā </w:t>
      </w:r>
      <w:r w:rsidR="00D1200F">
        <w:rPr>
          <w:rFonts w:ascii="Times New Roman" w:hAnsi="Times New Roman"/>
          <w:sz w:val="24"/>
          <w:szCs w:val="24"/>
          <w:lang w:val="lv-LV"/>
        </w:rPr>
        <w:t>„</w:t>
      </w:r>
      <w:r w:rsidRPr="00D1200F">
        <w:rPr>
          <w:rFonts w:ascii="Times New Roman" w:hAnsi="Times New Roman"/>
          <w:sz w:val="24"/>
          <w:szCs w:val="24"/>
          <w:lang w:val="lv-LV"/>
        </w:rPr>
        <w:t>Audzēji</w:t>
      </w:r>
      <w:r w:rsidR="00D1200F">
        <w:rPr>
          <w:rFonts w:ascii="Times New Roman" w:hAnsi="Times New Roman"/>
          <w:sz w:val="24"/>
          <w:szCs w:val="24"/>
          <w:lang w:val="lv-LV"/>
        </w:rPr>
        <w:t>”</w:t>
      </w:r>
      <w:r w:rsidRPr="00D1200F">
        <w:rPr>
          <w:rFonts w:ascii="Times New Roman" w:hAnsi="Times New Roman"/>
          <w:sz w:val="24"/>
          <w:szCs w:val="24"/>
          <w:lang w:val="lv-LV"/>
        </w:rPr>
        <w:t xml:space="preserve"> (pieaugums par 2 570 receptēm jeb 8%).  </w:t>
      </w:r>
    </w:p>
    <w:p w:rsidR="004430F7" w:rsidRPr="00D1200F" w:rsidRDefault="004430F7" w:rsidP="00365155">
      <w:pPr>
        <w:spacing w:after="120" w:line="240" w:lineRule="auto"/>
        <w:ind w:firstLine="720"/>
        <w:jc w:val="both"/>
        <w:rPr>
          <w:rFonts w:ascii="Times New Roman" w:hAnsi="Times New Roman"/>
          <w:sz w:val="24"/>
          <w:szCs w:val="24"/>
        </w:rPr>
      </w:pPr>
      <w:r w:rsidRPr="00D1200F">
        <w:rPr>
          <w:rFonts w:ascii="Times New Roman" w:hAnsi="Times New Roman"/>
          <w:sz w:val="24"/>
          <w:szCs w:val="24"/>
        </w:rPr>
        <w:t xml:space="preserve">Vienas receptes vidējā cena vidēji pieaugusi par Ls </w:t>
      </w:r>
      <w:r w:rsidR="0006269A">
        <w:rPr>
          <w:rFonts w:ascii="Times New Roman" w:hAnsi="Times New Roman"/>
          <w:sz w:val="24"/>
          <w:szCs w:val="24"/>
        </w:rPr>
        <w:t>1</w:t>
      </w:r>
      <w:r w:rsidRPr="00D1200F">
        <w:rPr>
          <w:rFonts w:ascii="Times New Roman" w:hAnsi="Times New Roman"/>
          <w:sz w:val="24"/>
          <w:szCs w:val="24"/>
        </w:rPr>
        <w:t>,</w:t>
      </w:r>
      <w:r w:rsidR="0006269A">
        <w:rPr>
          <w:rFonts w:ascii="Times New Roman" w:hAnsi="Times New Roman"/>
          <w:sz w:val="24"/>
          <w:szCs w:val="24"/>
        </w:rPr>
        <w:t>1</w:t>
      </w:r>
      <w:r w:rsidRPr="00D1200F">
        <w:rPr>
          <w:rFonts w:ascii="Times New Roman" w:hAnsi="Times New Roman"/>
          <w:sz w:val="24"/>
          <w:szCs w:val="24"/>
        </w:rPr>
        <w:t xml:space="preserve">0 jeb </w:t>
      </w:r>
      <w:r w:rsidR="0006269A">
        <w:rPr>
          <w:rFonts w:ascii="Times New Roman" w:hAnsi="Times New Roman"/>
          <w:sz w:val="24"/>
          <w:szCs w:val="24"/>
        </w:rPr>
        <w:t>8</w:t>
      </w:r>
      <w:r w:rsidRPr="00D1200F">
        <w:rPr>
          <w:rFonts w:ascii="Times New Roman" w:hAnsi="Times New Roman"/>
          <w:sz w:val="24"/>
          <w:szCs w:val="24"/>
        </w:rPr>
        <w:t xml:space="preserve">%. Vienas receptes vidējā cena visvairāk pieaugusi diagnožu grupā </w:t>
      </w:r>
      <w:r w:rsidR="00D1200F">
        <w:rPr>
          <w:rFonts w:ascii="Times New Roman" w:hAnsi="Times New Roman"/>
          <w:sz w:val="24"/>
          <w:szCs w:val="24"/>
        </w:rPr>
        <w:t>“</w:t>
      </w:r>
      <w:r w:rsidRPr="00D1200F">
        <w:rPr>
          <w:rFonts w:ascii="Times New Roman" w:hAnsi="Times New Roman"/>
          <w:sz w:val="24"/>
          <w:szCs w:val="24"/>
        </w:rPr>
        <w:t>Infekcijas slimības</w:t>
      </w:r>
      <w:r w:rsidR="00D1200F">
        <w:rPr>
          <w:rFonts w:ascii="Times New Roman" w:hAnsi="Times New Roman"/>
          <w:sz w:val="24"/>
          <w:szCs w:val="24"/>
        </w:rPr>
        <w:t>”</w:t>
      </w:r>
      <w:r w:rsidRPr="00D1200F">
        <w:rPr>
          <w:rFonts w:ascii="Times New Roman" w:hAnsi="Times New Roman"/>
          <w:sz w:val="24"/>
          <w:szCs w:val="24"/>
        </w:rPr>
        <w:t xml:space="preserve">, kas saistīts ar kompensācijas procenta palielinājumu no 50% uz 75% kompensāciju Vīrusu hepatītiem, kā arī HIV ārstēšanai iekļauto zāļu </w:t>
      </w:r>
      <w:r w:rsidRPr="00D1200F">
        <w:rPr>
          <w:rFonts w:ascii="Times New Roman" w:hAnsi="Times New Roman"/>
          <w:sz w:val="24"/>
          <w:szCs w:val="24"/>
        </w:rPr>
        <w:lastRenderedPageBreak/>
        <w:t>kompensāciju, kas 2010.gada sākumā bija ļoti pasīva, sakarā ar kompensācijas kārtības maiņu šīm zālēm (iepri</w:t>
      </w:r>
      <w:r w:rsidR="00BD7575">
        <w:rPr>
          <w:rFonts w:ascii="Times New Roman" w:hAnsi="Times New Roman"/>
          <w:sz w:val="24"/>
          <w:szCs w:val="24"/>
        </w:rPr>
        <w:t>ekš kompensāciju nodrošināja VA “Latvijas Infektoloģijas centrs”</w:t>
      </w:r>
      <w:r w:rsidRPr="00D1200F">
        <w:rPr>
          <w:rFonts w:ascii="Times New Roman" w:hAnsi="Times New Roman"/>
          <w:sz w:val="24"/>
          <w:szCs w:val="24"/>
        </w:rPr>
        <w:t xml:space="preserve">) diagnožu grupā </w:t>
      </w:r>
      <w:r w:rsidR="00D1200F">
        <w:rPr>
          <w:rFonts w:ascii="Times New Roman" w:hAnsi="Times New Roman"/>
          <w:sz w:val="24"/>
          <w:szCs w:val="24"/>
        </w:rPr>
        <w:t>“</w:t>
      </w:r>
      <w:r w:rsidRPr="00D1200F">
        <w:rPr>
          <w:rFonts w:ascii="Times New Roman" w:hAnsi="Times New Roman"/>
          <w:sz w:val="24"/>
          <w:szCs w:val="24"/>
        </w:rPr>
        <w:t>Asinsrites sistēmas slimības</w:t>
      </w:r>
      <w:r w:rsidR="00D1200F">
        <w:rPr>
          <w:rFonts w:ascii="Times New Roman" w:hAnsi="Times New Roman"/>
          <w:sz w:val="24"/>
          <w:szCs w:val="24"/>
        </w:rPr>
        <w:t>”</w:t>
      </w:r>
      <w:r w:rsidRPr="00D1200F">
        <w:rPr>
          <w:rFonts w:ascii="Times New Roman" w:hAnsi="Times New Roman"/>
          <w:sz w:val="24"/>
          <w:szCs w:val="24"/>
        </w:rPr>
        <w:t xml:space="preserve"> (pieaugums par Ls 2,00 jeb par 50%), diagnožu grupā </w:t>
      </w:r>
      <w:r w:rsidR="00D1200F">
        <w:rPr>
          <w:rFonts w:ascii="Times New Roman" w:hAnsi="Times New Roman"/>
          <w:sz w:val="24"/>
          <w:szCs w:val="24"/>
        </w:rPr>
        <w:t>“</w:t>
      </w:r>
      <w:r w:rsidRPr="00D1200F">
        <w:rPr>
          <w:rFonts w:ascii="Times New Roman" w:hAnsi="Times New Roman"/>
          <w:sz w:val="24"/>
          <w:szCs w:val="24"/>
        </w:rPr>
        <w:t>Audzēji</w:t>
      </w:r>
      <w:r w:rsidR="00D1200F">
        <w:rPr>
          <w:rFonts w:ascii="Times New Roman" w:hAnsi="Times New Roman"/>
          <w:sz w:val="24"/>
          <w:szCs w:val="24"/>
        </w:rPr>
        <w:t>”</w:t>
      </w:r>
      <w:r w:rsidRPr="00D1200F">
        <w:rPr>
          <w:rFonts w:ascii="Times New Roman" w:hAnsi="Times New Roman"/>
          <w:sz w:val="24"/>
          <w:szCs w:val="24"/>
        </w:rPr>
        <w:t xml:space="preserve"> (pieaugums par Ls 13,00 jeb par 13%), diagnožu grupā </w:t>
      </w:r>
      <w:r w:rsidR="00D1200F">
        <w:rPr>
          <w:rFonts w:ascii="Times New Roman" w:hAnsi="Times New Roman"/>
          <w:sz w:val="24"/>
          <w:szCs w:val="24"/>
        </w:rPr>
        <w:t>“</w:t>
      </w:r>
      <w:r w:rsidRPr="00D1200F">
        <w:rPr>
          <w:rFonts w:ascii="Times New Roman" w:hAnsi="Times New Roman"/>
          <w:sz w:val="24"/>
          <w:szCs w:val="24"/>
        </w:rPr>
        <w:t>Acu un to palīgorgānu slimības</w:t>
      </w:r>
      <w:r w:rsidR="00D1200F">
        <w:rPr>
          <w:rFonts w:ascii="Times New Roman" w:hAnsi="Times New Roman"/>
          <w:sz w:val="24"/>
          <w:szCs w:val="24"/>
        </w:rPr>
        <w:t>”</w:t>
      </w:r>
      <w:r w:rsidRPr="00D1200F">
        <w:rPr>
          <w:rFonts w:ascii="Times New Roman" w:hAnsi="Times New Roman"/>
          <w:sz w:val="24"/>
          <w:szCs w:val="24"/>
        </w:rPr>
        <w:t xml:space="preserve"> (pieaugums par Ls 4,00 jeb par 13%).</w:t>
      </w:r>
    </w:p>
    <w:p w:rsidR="004430F7" w:rsidRPr="00D1200F" w:rsidRDefault="004430F7" w:rsidP="00365155">
      <w:pPr>
        <w:spacing w:after="120" w:line="240" w:lineRule="auto"/>
        <w:ind w:firstLine="720"/>
        <w:jc w:val="both"/>
        <w:rPr>
          <w:rFonts w:ascii="Times New Roman" w:hAnsi="Times New Roman"/>
          <w:sz w:val="24"/>
          <w:szCs w:val="24"/>
        </w:rPr>
      </w:pPr>
      <w:r w:rsidRPr="00D1200F">
        <w:rPr>
          <w:rFonts w:ascii="Times New Roman" w:hAnsi="Times New Roman"/>
          <w:sz w:val="24"/>
          <w:szCs w:val="24"/>
        </w:rPr>
        <w:t xml:space="preserve">Savukārt unikālo pacientu skaita pieaugums vislielākais ir diagnožu grupā </w:t>
      </w:r>
      <w:r w:rsidR="00D1200F">
        <w:rPr>
          <w:rFonts w:ascii="Times New Roman" w:hAnsi="Times New Roman"/>
          <w:sz w:val="24"/>
          <w:szCs w:val="24"/>
        </w:rPr>
        <w:t>“</w:t>
      </w:r>
      <w:r w:rsidRPr="00D1200F">
        <w:rPr>
          <w:rFonts w:ascii="Times New Roman" w:hAnsi="Times New Roman"/>
          <w:sz w:val="24"/>
          <w:szCs w:val="24"/>
        </w:rPr>
        <w:t>Infekcijas slimības</w:t>
      </w:r>
      <w:r w:rsidR="00D1200F">
        <w:rPr>
          <w:rFonts w:ascii="Times New Roman" w:hAnsi="Times New Roman"/>
          <w:sz w:val="24"/>
          <w:szCs w:val="24"/>
        </w:rPr>
        <w:t>”</w:t>
      </w:r>
      <w:r w:rsidRPr="00D1200F">
        <w:rPr>
          <w:rFonts w:ascii="Times New Roman" w:hAnsi="Times New Roman"/>
          <w:sz w:val="24"/>
          <w:szCs w:val="24"/>
        </w:rPr>
        <w:t xml:space="preserve"> (pieaugums par 251 pacientu jeb par 38%), diagnožu grupā </w:t>
      </w:r>
      <w:r w:rsidR="00D1200F">
        <w:rPr>
          <w:rFonts w:ascii="Times New Roman" w:hAnsi="Times New Roman"/>
          <w:sz w:val="24"/>
          <w:szCs w:val="24"/>
        </w:rPr>
        <w:t>“</w:t>
      </w:r>
      <w:r w:rsidRPr="00D1200F">
        <w:rPr>
          <w:rFonts w:ascii="Times New Roman" w:hAnsi="Times New Roman"/>
          <w:sz w:val="24"/>
          <w:szCs w:val="24"/>
        </w:rPr>
        <w:t>Endokrīnās, uztures un vielmaiņas slimības</w:t>
      </w:r>
      <w:r w:rsidR="00D1200F">
        <w:rPr>
          <w:rFonts w:ascii="Times New Roman" w:hAnsi="Times New Roman"/>
          <w:sz w:val="24"/>
          <w:szCs w:val="24"/>
        </w:rPr>
        <w:t>”</w:t>
      </w:r>
      <w:r w:rsidRPr="00D1200F">
        <w:rPr>
          <w:rFonts w:ascii="Times New Roman" w:hAnsi="Times New Roman"/>
          <w:sz w:val="24"/>
          <w:szCs w:val="24"/>
        </w:rPr>
        <w:t xml:space="preserve"> (pieaugums par 6</w:t>
      </w:r>
      <w:r w:rsidR="00D1200F">
        <w:rPr>
          <w:rFonts w:ascii="Times New Roman" w:hAnsi="Times New Roman"/>
          <w:sz w:val="24"/>
          <w:szCs w:val="24"/>
        </w:rPr>
        <w:t> </w:t>
      </w:r>
      <w:r w:rsidRPr="00D1200F">
        <w:rPr>
          <w:rFonts w:ascii="Times New Roman" w:hAnsi="Times New Roman"/>
          <w:sz w:val="24"/>
          <w:szCs w:val="24"/>
        </w:rPr>
        <w:t xml:space="preserve">266 pacientiem jeb 8%), diagnožu grupā </w:t>
      </w:r>
      <w:r w:rsidR="00D1200F">
        <w:rPr>
          <w:rFonts w:ascii="Times New Roman" w:hAnsi="Times New Roman"/>
          <w:sz w:val="24"/>
          <w:szCs w:val="24"/>
        </w:rPr>
        <w:t>“</w:t>
      </w:r>
      <w:r w:rsidRPr="00D1200F">
        <w:rPr>
          <w:rFonts w:ascii="Times New Roman" w:hAnsi="Times New Roman"/>
          <w:sz w:val="24"/>
          <w:szCs w:val="24"/>
        </w:rPr>
        <w:t>Asinsrites sistēmas slimības</w:t>
      </w:r>
      <w:r w:rsidR="00D1200F">
        <w:rPr>
          <w:rFonts w:ascii="Times New Roman" w:hAnsi="Times New Roman"/>
          <w:sz w:val="24"/>
          <w:szCs w:val="24"/>
        </w:rPr>
        <w:t>”</w:t>
      </w:r>
      <w:r w:rsidRPr="00D1200F">
        <w:rPr>
          <w:rFonts w:ascii="Times New Roman" w:hAnsi="Times New Roman"/>
          <w:sz w:val="24"/>
          <w:szCs w:val="24"/>
        </w:rPr>
        <w:t xml:space="preserve"> (pieaugums par 18</w:t>
      </w:r>
      <w:r w:rsidR="00D1200F">
        <w:rPr>
          <w:rFonts w:ascii="Times New Roman" w:hAnsi="Times New Roman"/>
          <w:sz w:val="24"/>
          <w:szCs w:val="24"/>
        </w:rPr>
        <w:t> </w:t>
      </w:r>
      <w:r w:rsidRPr="00D1200F">
        <w:rPr>
          <w:rFonts w:ascii="Times New Roman" w:hAnsi="Times New Roman"/>
          <w:sz w:val="24"/>
          <w:szCs w:val="24"/>
        </w:rPr>
        <w:t>540 pacientiem jeb par 7%).</w:t>
      </w:r>
    </w:p>
    <w:p w:rsidR="008378FC" w:rsidRDefault="00D16082" w:rsidP="008378FC">
      <w:pPr>
        <w:pStyle w:val="NormalWeb"/>
        <w:snapToGrid w:val="0"/>
        <w:spacing w:before="120" w:after="0"/>
        <w:ind w:firstLine="709"/>
        <w:jc w:val="both"/>
        <w:rPr>
          <w:lang w:val="en-US"/>
        </w:rPr>
      </w:pPr>
      <w:r>
        <w:rPr>
          <w:lang w:val="en-US"/>
        </w:rPr>
        <w:t>Budžeta apakšprogrammā 33.03.00 “Kompensējamo medikamentu un materiālu apmaksāšana” paredzētais finansējums atbilstoši finansēšanas plānam 2011.gada četriem mēnešiem bija 22 540 920 lati, bet</w:t>
      </w:r>
      <w:r w:rsidR="00365155">
        <w:rPr>
          <w:lang w:val="en-US"/>
        </w:rPr>
        <w:t xml:space="preserve"> </w:t>
      </w:r>
      <w:r>
        <w:rPr>
          <w:lang w:val="en-US"/>
        </w:rPr>
        <w:t>faktiskais pieprasījums atbilstoši rēķiniem</w:t>
      </w:r>
      <w:r w:rsidR="00551852">
        <w:rPr>
          <w:lang w:val="en-US"/>
        </w:rPr>
        <w:t xml:space="preserve"> četros mēnešos</w:t>
      </w:r>
      <w:r w:rsidR="00365155">
        <w:rPr>
          <w:lang w:val="en-US"/>
        </w:rPr>
        <w:t xml:space="preserve"> </w:t>
      </w:r>
      <w:r>
        <w:rPr>
          <w:lang w:val="en-US"/>
        </w:rPr>
        <w:t>bija</w:t>
      </w:r>
      <w:r w:rsidR="00365155">
        <w:rPr>
          <w:lang w:val="en-US"/>
        </w:rPr>
        <w:t xml:space="preserve"> 2</w:t>
      </w:r>
      <w:r w:rsidR="00205C98">
        <w:rPr>
          <w:lang w:val="en-US"/>
        </w:rPr>
        <w:t>5</w:t>
      </w:r>
      <w:r w:rsidR="00365155">
        <w:rPr>
          <w:lang w:val="en-US"/>
        </w:rPr>
        <w:t> </w:t>
      </w:r>
      <w:r w:rsidR="00205C98">
        <w:rPr>
          <w:lang w:val="en-US"/>
        </w:rPr>
        <w:t>709</w:t>
      </w:r>
      <w:r w:rsidR="00365155">
        <w:rPr>
          <w:lang w:val="en-US"/>
        </w:rPr>
        <w:t> </w:t>
      </w:r>
      <w:r w:rsidR="00205C98">
        <w:rPr>
          <w:lang w:val="en-US"/>
        </w:rPr>
        <w:t>889</w:t>
      </w:r>
      <w:r w:rsidR="00365155">
        <w:rPr>
          <w:lang w:val="en-US"/>
        </w:rPr>
        <w:t xml:space="preserve"> lati, kas </w:t>
      </w:r>
      <w:r w:rsidR="00551852">
        <w:rPr>
          <w:lang w:val="en-US"/>
        </w:rPr>
        <w:t xml:space="preserve">par </w:t>
      </w:r>
      <w:r>
        <w:rPr>
          <w:b/>
          <w:lang w:val="en-US"/>
        </w:rPr>
        <w:t>3</w:t>
      </w:r>
      <w:r w:rsidR="00551852" w:rsidRPr="00551852">
        <w:rPr>
          <w:b/>
          <w:lang w:val="en-US"/>
        </w:rPr>
        <w:t> </w:t>
      </w:r>
      <w:r>
        <w:rPr>
          <w:b/>
          <w:lang w:val="en-US"/>
        </w:rPr>
        <w:t>168</w:t>
      </w:r>
      <w:r w:rsidR="00551852" w:rsidRPr="00551852">
        <w:rPr>
          <w:b/>
          <w:lang w:val="en-US"/>
        </w:rPr>
        <w:t> </w:t>
      </w:r>
      <w:r>
        <w:rPr>
          <w:b/>
          <w:lang w:val="en-US"/>
        </w:rPr>
        <w:t>969</w:t>
      </w:r>
      <w:r w:rsidR="00551852" w:rsidRPr="00551852">
        <w:rPr>
          <w:b/>
          <w:lang w:val="en-US"/>
        </w:rPr>
        <w:t> latiem</w:t>
      </w:r>
      <w:r w:rsidR="00551852">
        <w:rPr>
          <w:lang w:val="en-US"/>
        </w:rPr>
        <w:t xml:space="preserve"> pārsniedz plānoto.</w:t>
      </w:r>
    </w:p>
    <w:p w:rsidR="008378FC" w:rsidRDefault="008378FC" w:rsidP="0015206A">
      <w:pPr>
        <w:pStyle w:val="NormalWeb"/>
        <w:snapToGrid w:val="0"/>
        <w:spacing w:before="120" w:after="0"/>
        <w:ind w:firstLine="709"/>
        <w:jc w:val="both"/>
        <w:rPr>
          <w:lang w:val="en-US"/>
        </w:rPr>
      </w:pPr>
    </w:p>
    <w:p w:rsidR="00C75586" w:rsidRPr="008378FC" w:rsidRDefault="00C75586" w:rsidP="00F62954">
      <w:pPr>
        <w:pStyle w:val="NormalWeb"/>
        <w:numPr>
          <w:ilvl w:val="0"/>
          <w:numId w:val="3"/>
        </w:numPr>
        <w:snapToGrid w:val="0"/>
        <w:spacing w:before="0" w:after="0"/>
        <w:ind w:left="1077" w:hanging="357"/>
        <w:jc w:val="both"/>
        <w:rPr>
          <w:b/>
          <w:lang w:val="en-US"/>
        </w:rPr>
      </w:pPr>
      <w:r w:rsidRPr="008378FC">
        <w:rPr>
          <w:b/>
        </w:rPr>
        <w:t>Stacionārā veselības aprūpe</w:t>
      </w:r>
    </w:p>
    <w:p w:rsidR="00C75586" w:rsidRPr="00693600" w:rsidRDefault="00C75586" w:rsidP="00C75586">
      <w:pPr>
        <w:spacing w:after="0" w:line="240" w:lineRule="auto"/>
        <w:jc w:val="center"/>
        <w:rPr>
          <w:rFonts w:ascii="Times New Roman" w:hAnsi="Times New Roman" w:cs="Times New Roman"/>
          <w:b/>
          <w:sz w:val="24"/>
          <w:szCs w:val="24"/>
        </w:rPr>
      </w:pPr>
    </w:p>
    <w:p w:rsidR="00C75586" w:rsidRPr="00693600" w:rsidRDefault="00C75586" w:rsidP="00F62954">
      <w:pPr>
        <w:spacing w:after="0" w:line="240" w:lineRule="auto"/>
        <w:jc w:val="both"/>
        <w:rPr>
          <w:rFonts w:ascii="Times New Roman" w:hAnsi="Times New Roman" w:cs="Times New Roman"/>
          <w:sz w:val="24"/>
          <w:szCs w:val="24"/>
        </w:rPr>
      </w:pPr>
      <w:r w:rsidRPr="00693600">
        <w:rPr>
          <w:rFonts w:ascii="Times New Roman" w:hAnsi="Times New Roman" w:cs="Times New Roman"/>
          <w:sz w:val="24"/>
          <w:szCs w:val="24"/>
        </w:rPr>
        <w:tab/>
        <w:t>2011.gadā finansējums stacionārajai veselības aprūpei ir plānots par 12,76 milj.latu mazāks kā 2010.gadā, t.sk., par 14,87 milj.latu mazāk apakšprogrammās 33.01.00 „Ārstniecība” un 37.03.00 „Krievijas Federācijas militāro pensionāru veselības aprūpe (no Krievijas Federācijas līdzekļiem)” un par 2,11 milj.latu vairāk apakšprogrammā 33.13.00 „Sociālās drošības tīkla stratēģijas pasākumu īstenošana”.</w:t>
      </w:r>
    </w:p>
    <w:p w:rsidR="00734F36" w:rsidRDefault="00C75586" w:rsidP="0067699E">
      <w:pPr>
        <w:pStyle w:val="NoSpacing"/>
        <w:spacing w:before="120"/>
        <w:ind w:firstLine="720"/>
        <w:jc w:val="both"/>
        <w:rPr>
          <w:rFonts w:ascii="Times New Roman" w:hAnsi="Times New Roman"/>
          <w:sz w:val="24"/>
          <w:szCs w:val="24"/>
        </w:rPr>
      </w:pPr>
      <w:r w:rsidRPr="00693600">
        <w:rPr>
          <w:rFonts w:ascii="Times New Roman" w:hAnsi="Times New Roman"/>
          <w:sz w:val="24"/>
          <w:szCs w:val="24"/>
        </w:rPr>
        <w:t xml:space="preserve">Līgumos ar stacionāro veselības aprūpes pakalpojumu sniedzējiem ir noteikts minimālais hospitalizējamo pacientu skaits 2011.gadā – 293 890 pacienti, t.sk., 268 110 pacienti no apakšprogrammām 33.01.00 „Ārstniecība” un 37.03.00 „Krievijas Federācijas militāro pensionāru veselības aprūpe (no Krievijas Federācijas līdzekļiem)” un 25 780 pacienti no apakšprogrammas 33.13.00 „Sociālās drošības tīkla stratēģijas pasākumu īstenošana” finanšu līdzekļiem. </w:t>
      </w:r>
    </w:p>
    <w:p w:rsidR="00C60914" w:rsidRPr="00C60914" w:rsidRDefault="00164FF2" w:rsidP="0067699E">
      <w:pPr>
        <w:pStyle w:val="NoSpacing"/>
        <w:spacing w:before="120"/>
        <w:ind w:firstLine="720"/>
        <w:jc w:val="both"/>
        <w:rPr>
          <w:rFonts w:ascii="Times New Roman" w:hAnsi="Times New Roman"/>
          <w:sz w:val="24"/>
          <w:szCs w:val="24"/>
        </w:rPr>
      </w:pPr>
      <w:r>
        <w:rPr>
          <w:rFonts w:ascii="Times New Roman" w:hAnsi="Times New Roman"/>
          <w:sz w:val="24"/>
          <w:szCs w:val="24"/>
        </w:rPr>
        <w:t>Izvērtējot</w:t>
      </w:r>
      <w:r w:rsidR="00C75586" w:rsidRPr="00693600">
        <w:rPr>
          <w:rFonts w:ascii="Times New Roman" w:hAnsi="Times New Roman"/>
          <w:sz w:val="24"/>
          <w:szCs w:val="24"/>
        </w:rPr>
        <w:t xml:space="preserve"> 2011.gada četru mēnešu faktisko hospitalizēto pacientu skaitu un tendences, var secināt, ka 2011.gadā kopējais hospitalizēto pacientu skaits varētu </w:t>
      </w:r>
      <w:r w:rsidR="00E6730E">
        <w:rPr>
          <w:rFonts w:ascii="Times New Roman" w:hAnsi="Times New Roman"/>
          <w:sz w:val="24"/>
          <w:szCs w:val="24"/>
        </w:rPr>
        <w:t>saglabāties 2010.gada līmenī</w:t>
      </w:r>
      <w:r w:rsidR="00A03B40">
        <w:rPr>
          <w:rFonts w:ascii="Times New Roman" w:hAnsi="Times New Roman"/>
          <w:sz w:val="24"/>
          <w:szCs w:val="24"/>
        </w:rPr>
        <w:t xml:space="preserve"> –</w:t>
      </w:r>
      <w:r w:rsidR="00E6730E">
        <w:rPr>
          <w:rFonts w:ascii="Times New Roman" w:hAnsi="Times New Roman"/>
          <w:sz w:val="24"/>
          <w:szCs w:val="24"/>
        </w:rPr>
        <w:t xml:space="preserve"> sasniedzot 325 000 hospitalizēto pacientu. </w:t>
      </w:r>
      <w:r w:rsidR="00C60914" w:rsidRPr="00C60914">
        <w:rPr>
          <w:rFonts w:ascii="Times New Roman" w:hAnsi="Times New Roman"/>
          <w:sz w:val="24"/>
          <w:szCs w:val="24"/>
        </w:rPr>
        <w:t xml:space="preserve">2009. un  2010.gadā sakarā ar veiktajiem pasākumiem stacionāru skaita mazināšanā un dienas stacionārā sniegto pakalpojumu apjoma palielināšanā </w:t>
      </w:r>
      <w:r w:rsidR="00734F36">
        <w:rPr>
          <w:rFonts w:ascii="Times New Roman" w:hAnsi="Times New Roman"/>
          <w:sz w:val="24"/>
          <w:szCs w:val="24"/>
        </w:rPr>
        <w:t>ievērojam</w:t>
      </w:r>
      <w:r w:rsidR="00A03B40">
        <w:rPr>
          <w:rFonts w:ascii="Times New Roman" w:hAnsi="Times New Roman"/>
          <w:sz w:val="24"/>
          <w:szCs w:val="24"/>
        </w:rPr>
        <w:t>i samazinājās</w:t>
      </w:r>
      <w:r w:rsidR="00C60914" w:rsidRPr="00C60914">
        <w:rPr>
          <w:rFonts w:ascii="Times New Roman" w:hAnsi="Times New Roman"/>
          <w:sz w:val="24"/>
          <w:szCs w:val="24"/>
        </w:rPr>
        <w:t xml:space="preserve"> hos</w:t>
      </w:r>
      <w:r w:rsidR="00A03B40">
        <w:rPr>
          <w:rFonts w:ascii="Times New Roman" w:hAnsi="Times New Roman"/>
          <w:sz w:val="24"/>
          <w:szCs w:val="24"/>
        </w:rPr>
        <w:t>pitalizāciju skaits visās slimnīcās</w:t>
      </w:r>
      <w:r w:rsidR="00C60914" w:rsidRPr="00C60914">
        <w:rPr>
          <w:rFonts w:ascii="Times New Roman" w:hAnsi="Times New Roman"/>
          <w:sz w:val="24"/>
          <w:szCs w:val="24"/>
        </w:rPr>
        <w:t xml:space="preserve">. </w:t>
      </w:r>
      <w:r w:rsidR="00CD39EC">
        <w:rPr>
          <w:rFonts w:ascii="Times New Roman" w:hAnsi="Times New Roman"/>
          <w:bCs/>
          <w:sz w:val="24"/>
          <w:szCs w:val="24"/>
        </w:rPr>
        <w:t>Ja</w:t>
      </w:r>
      <w:r w:rsidR="00C60914" w:rsidRPr="00C60914">
        <w:rPr>
          <w:rFonts w:ascii="Times New Roman" w:hAnsi="Times New Roman"/>
          <w:bCs/>
          <w:sz w:val="24"/>
          <w:szCs w:val="24"/>
        </w:rPr>
        <w:t xml:space="preserve"> 2009.gadā </w:t>
      </w:r>
      <w:r w:rsidR="00E66DC4">
        <w:rPr>
          <w:rFonts w:ascii="Times New Roman" w:hAnsi="Times New Roman"/>
          <w:bCs/>
          <w:sz w:val="24"/>
          <w:szCs w:val="24"/>
        </w:rPr>
        <w:t xml:space="preserve">jau </w:t>
      </w:r>
      <w:r w:rsidR="00C60914" w:rsidRPr="00C60914">
        <w:rPr>
          <w:rFonts w:ascii="Times New Roman" w:hAnsi="Times New Roman"/>
          <w:bCs/>
          <w:sz w:val="24"/>
          <w:szCs w:val="24"/>
        </w:rPr>
        <w:t>tika sasniegs salīdzinoši zems hospitalizācijas rādītājs uz 1000 iedzīvotājiem, tas ir 165 hospitalizācijas,</w:t>
      </w:r>
      <w:r w:rsidR="00C60914" w:rsidRPr="00C60914">
        <w:rPr>
          <w:rFonts w:ascii="Times New Roman" w:hAnsi="Times New Roman"/>
          <w:sz w:val="24"/>
          <w:szCs w:val="24"/>
        </w:rPr>
        <w:t xml:space="preserve"> sasniedzot vienu no zemākajiem hospitalizāciju skaita rādītājiem Eiropas Savienībā</w:t>
      </w:r>
      <w:r w:rsidR="00E66DC4">
        <w:rPr>
          <w:rFonts w:ascii="Times New Roman" w:hAnsi="Times New Roman"/>
          <w:sz w:val="24"/>
          <w:szCs w:val="24"/>
        </w:rPr>
        <w:t>, tad 2010.gadā šis rādītājs pazeminājās vēl vairāk – sasniedzot 145 hospitalizācijas uz 1000 iedzīvotājiem</w:t>
      </w:r>
      <w:r w:rsidR="00C60914" w:rsidRPr="00C60914">
        <w:rPr>
          <w:rFonts w:ascii="Times New Roman" w:hAnsi="Times New Roman"/>
          <w:sz w:val="24"/>
          <w:szCs w:val="24"/>
        </w:rPr>
        <w:t xml:space="preserve"> </w:t>
      </w:r>
      <w:r w:rsidR="00C60914" w:rsidRPr="00C60914">
        <w:rPr>
          <w:rFonts w:ascii="Times New Roman" w:hAnsi="Times New Roman"/>
          <w:bCs/>
          <w:sz w:val="24"/>
          <w:szCs w:val="24"/>
        </w:rPr>
        <w:t>(piemēram, Igaunijā 2008.gadā bija 190 hospita</w:t>
      </w:r>
      <w:r w:rsidR="00E66DC4">
        <w:rPr>
          <w:rFonts w:ascii="Times New Roman" w:hAnsi="Times New Roman"/>
          <w:bCs/>
          <w:sz w:val="24"/>
          <w:szCs w:val="24"/>
        </w:rPr>
        <w:t>lizācijas uz 1000 iedzīvotājiem</w:t>
      </w:r>
      <w:r w:rsidR="00C60914" w:rsidRPr="00C60914">
        <w:rPr>
          <w:rFonts w:ascii="Times New Roman" w:hAnsi="Times New Roman"/>
          <w:bCs/>
          <w:sz w:val="24"/>
          <w:szCs w:val="24"/>
        </w:rPr>
        <w:t>).</w:t>
      </w:r>
      <w:r w:rsidR="00C60914" w:rsidRPr="00C60914">
        <w:rPr>
          <w:rFonts w:ascii="Times New Roman" w:hAnsi="Times New Roman"/>
          <w:sz w:val="24"/>
          <w:szCs w:val="24"/>
        </w:rPr>
        <w:t xml:space="preserve"> </w:t>
      </w:r>
    </w:p>
    <w:p w:rsidR="00C60914" w:rsidRPr="00C60914" w:rsidRDefault="00C60914" w:rsidP="0067699E">
      <w:pPr>
        <w:pStyle w:val="NoSpacing"/>
        <w:spacing w:before="120"/>
        <w:ind w:firstLine="720"/>
        <w:jc w:val="both"/>
        <w:rPr>
          <w:rFonts w:ascii="Times New Roman" w:hAnsi="Times New Roman"/>
          <w:bCs/>
          <w:sz w:val="24"/>
          <w:szCs w:val="24"/>
        </w:rPr>
      </w:pPr>
      <w:r w:rsidRPr="00C60914">
        <w:rPr>
          <w:rFonts w:ascii="Times New Roman" w:hAnsi="Times New Roman"/>
          <w:sz w:val="24"/>
          <w:szCs w:val="24"/>
        </w:rPr>
        <w:t xml:space="preserve">Vēl </w:t>
      </w:r>
      <w:r w:rsidRPr="00C60914">
        <w:rPr>
          <w:rFonts w:ascii="Times New Roman" w:hAnsi="Times New Roman"/>
          <w:bCs/>
          <w:sz w:val="24"/>
          <w:szCs w:val="24"/>
        </w:rPr>
        <w:t xml:space="preserve">lielāka hospitalizēto </w:t>
      </w:r>
      <w:r w:rsidR="009C1DA0">
        <w:rPr>
          <w:rFonts w:ascii="Times New Roman" w:hAnsi="Times New Roman"/>
          <w:bCs/>
          <w:sz w:val="24"/>
          <w:szCs w:val="24"/>
        </w:rPr>
        <w:t>pacientu apjoma mazināšanās 2011</w:t>
      </w:r>
      <w:r w:rsidRPr="00C60914">
        <w:rPr>
          <w:rFonts w:ascii="Times New Roman" w:hAnsi="Times New Roman"/>
          <w:bCs/>
          <w:sz w:val="24"/>
          <w:szCs w:val="24"/>
        </w:rPr>
        <w:t xml:space="preserve">.gadā </w:t>
      </w:r>
      <w:r w:rsidR="009C1DA0">
        <w:rPr>
          <w:rFonts w:ascii="Times New Roman" w:hAnsi="Times New Roman"/>
          <w:bCs/>
          <w:sz w:val="24"/>
          <w:szCs w:val="24"/>
        </w:rPr>
        <w:t>salīdzinājumā ar 2010.gadu</w:t>
      </w:r>
      <w:r w:rsidRPr="00C60914">
        <w:rPr>
          <w:rFonts w:ascii="Times New Roman" w:hAnsi="Times New Roman"/>
          <w:bCs/>
          <w:sz w:val="24"/>
          <w:szCs w:val="24"/>
        </w:rPr>
        <w:t xml:space="preserve"> ir maz ticama, jo katrā populācijā ir noteikts daudzums iedzīvotāju, kuriem nepieciešama tieši stacionāra palīdzība. Tomēr, turpinot ambulatorās veselības aprūpes attīstību, </w:t>
      </w:r>
      <w:r w:rsidR="009C1DA0">
        <w:rPr>
          <w:rFonts w:ascii="Times New Roman" w:hAnsi="Times New Roman"/>
          <w:bCs/>
          <w:sz w:val="24"/>
          <w:szCs w:val="24"/>
        </w:rPr>
        <w:t xml:space="preserve">īpaši psihiatriskajā aprūpē, </w:t>
      </w:r>
      <w:r w:rsidRPr="00C60914">
        <w:rPr>
          <w:rFonts w:ascii="Times New Roman" w:hAnsi="Times New Roman"/>
          <w:bCs/>
          <w:sz w:val="24"/>
          <w:szCs w:val="24"/>
        </w:rPr>
        <w:t xml:space="preserve">2011. – 2013.gadā, novirzot tam nepieciešamo finansējumu, Veselības ministrijas ieskatā ir iespējams vēl nedaudz, 2 – </w:t>
      </w:r>
      <w:r w:rsidR="009C1DA0">
        <w:rPr>
          <w:rFonts w:ascii="Times New Roman" w:hAnsi="Times New Roman"/>
          <w:bCs/>
          <w:sz w:val="24"/>
          <w:szCs w:val="24"/>
        </w:rPr>
        <w:t>4</w:t>
      </w:r>
      <w:r w:rsidRPr="00C60914">
        <w:rPr>
          <w:rFonts w:ascii="Times New Roman" w:hAnsi="Times New Roman"/>
          <w:bCs/>
          <w:sz w:val="24"/>
          <w:szCs w:val="24"/>
        </w:rPr>
        <w:t xml:space="preserve">% apjomā, mazināt hospitalizācijas apjomu. </w:t>
      </w:r>
    </w:p>
    <w:p w:rsidR="00C75586" w:rsidRPr="009C1DA0" w:rsidRDefault="00C75586" w:rsidP="0067699E">
      <w:pPr>
        <w:spacing w:before="120" w:after="0" w:line="240" w:lineRule="auto"/>
        <w:ind w:firstLine="720"/>
        <w:jc w:val="both"/>
        <w:rPr>
          <w:rFonts w:ascii="Times New Roman" w:hAnsi="Times New Roman" w:cs="Times New Roman"/>
          <w:sz w:val="24"/>
          <w:szCs w:val="24"/>
          <w:lang w:val="lv-LV"/>
        </w:rPr>
      </w:pPr>
      <w:r w:rsidRPr="009C1DA0">
        <w:rPr>
          <w:rFonts w:ascii="Times New Roman" w:hAnsi="Times New Roman" w:cs="Times New Roman"/>
          <w:sz w:val="24"/>
          <w:szCs w:val="24"/>
          <w:lang w:val="lv-LV"/>
        </w:rPr>
        <w:t>Tā kā stacionārās veselības aprūpes pakalpojumu sniedzēju finansējums atbilstoši Ministru kabineta 2006.gada 19.decembra noteikumu Nr.1046 „Veselības aprūpes organizēšanas un finansēšanas kārtība” (turpmāk – Noteikumi Nr.1046) 130.</w:t>
      </w:r>
      <w:r w:rsidRPr="009C1DA0">
        <w:rPr>
          <w:rFonts w:ascii="Times New Roman" w:hAnsi="Times New Roman" w:cs="Times New Roman"/>
          <w:sz w:val="24"/>
          <w:szCs w:val="24"/>
          <w:vertAlign w:val="superscript"/>
          <w:lang w:val="lv-LV"/>
        </w:rPr>
        <w:t>3</w:t>
      </w:r>
      <w:r w:rsidRPr="009C1DA0">
        <w:rPr>
          <w:rFonts w:ascii="Times New Roman" w:hAnsi="Times New Roman" w:cs="Times New Roman"/>
          <w:sz w:val="24"/>
          <w:szCs w:val="24"/>
          <w:lang w:val="lv-LV"/>
        </w:rPr>
        <w:t xml:space="preserve">2.1.apakšpunktam tiek noteikts kā fiksēts gada maksājums un līgumos ir noteikts minimālais hospitalizējamo pacientu skaits, tad papildus </w:t>
      </w:r>
      <w:r w:rsidRPr="009C1DA0">
        <w:rPr>
          <w:rFonts w:ascii="Times New Roman" w:hAnsi="Times New Roman" w:cs="Times New Roman"/>
          <w:sz w:val="24"/>
          <w:szCs w:val="24"/>
          <w:lang w:val="lv-LV"/>
        </w:rPr>
        <w:lastRenderedPageBreak/>
        <w:t>finansējums stacionāro veselības aprūpes pakalpojumu nodrošināšanai netiek prasīts, jo ārstniecības iestādēm stacionārie veselības aprūpes pakalpojumi jānodrošina tām piešķirtā finansējuma ietvaros.</w:t>
      </w:r>
    </w:p>
    <w:p w:rsidR="0015206A" w:rsidRDefault="0015206A" w:rsidP="0015206A">
      <w:pPr>
        <w:pStyle w:val="NormalWeb"/>
        <w:snapToGrid w:val="0"/>
        <w:spacing w:before="120" w:after="0"/>
        <w:ind w:firstLine="720"/>
        <w:jc w:val="both"/>
      </w:pPr>
      <w:r w:rsidRPr="00693600">
        <w:t>Jāatzīmē, ka mazinot pacientu plūsmu slimnīcās, tā palielinās pie ambulatoraj</w:t>
      </w:r>
      <w:r>
        <w:t>iem speciālistiem, mājas aprūpē, dienas stacionāros, kā arī</w:t>
      </w:r>
      <w:r w:rsidRPr="00693600">
        <w:t xml:space="preserve"> palielinās pieprasījums pēc ambulatori lietojamiem medikamentiem, kas pēc būtības atbilst veselības aprūpes sistēmā nepieciešamajām izmaiņām. Turpinot ambulatorās veselības aprūpes attīstību,</w:t>
      </w:r>
      <w:r>
        <w:t xml:space="preserve"> tās ietvaros attīstot un nostiprinot prim</w:t>
      </w:r>
      <w:r w:rsidR="00F94D05">
        <w:t>ā</w:t>
      </w:r>
      <w:r>
        <w:t>rās veselības aprūpes sistēmu, mazināsies pieprasījumu pē</w:t>
      </w:r>
      <w:r w:rsidR="00F94D05">
        <w:t>c</w:t>
      </w:r>
      <w:r>
        <w:t xml:space="preserve"> slimnīcu un neatliekamās medicīniskās palīdzības brigāžu pakalpojumiem. Jāatzīmē, ka ambulatorās sistēmas attīstībai ir nepieciešams</w:t>
      </w:r>
      <w:r w:rsidRPr="00693600">
        <w:t xml:space="preserve"> novirz</w:t>
      </w:r>
      <w:r>
        <w:t>ī</w:t>
      </w:r>
      <w:r w:rsidRPr="00693600">
        <w:t>t finansējumu</w:t>
      </w:r>
      <w:r>
        <w:t>. Ambulatorās sistēmas un kompensējamo medikamentu sistēmas attīstība</w:t>
      </w:r>
      <w:r w:rsidRPr="00693600">
        <w:t xml:space="preserve"> Veselības ministrijas ieskatā </w:t>
      </w:r>
      <w:r>
        <w:t>ļaus</w:t>
      </w:r>
      <w:r w:rsidRPr="00693600">
        <w:t xml:space="preserve"> </w:t>
      </w:r>
      <w:r>
        <w:t>a</w:t>
      </w:r>
      <w:r w:rsidRPr="00693600">
        <w:t xml:space="preserve">rī </w:t>
      </w:r>
      <w:r>
        <w:t xml:space="preserve">mazināt vidējo ārstēšanās laiku slimnīcās, kas </w:t>
      </w:r>
      <w:r w:rsidRPr="00693600">
        <w:t>ļaus nozarei pieejamos resursus izmantot efektīvāk.</w:t>
      </w:r>
    </w:p>
    <w:p w:rsidR="0015206A" w:rsidRDefault="00F96B02" w:rsidP="0015206A">
      <w:pPr>
        <w:pStyle w:val="NormalWeb"/>
        <w:snapToGrid w:val="0"/>
        <w:spacing w:before="120" w:after="0"/>
        <w:ind w:firstLine="720"/>
        <w:jc w:val="both"/>
      </w:pPr>
      <w:r>
        <w:t>Savukārt</w:t>
      </w:r>
      <w:r w:rsidR="00C80341">
        <w:t xml:space="preserve"> Sociālās drošības tīkla stratēģijas ietvaros</w:t>
      </w:r>
      <w:r>
        <w:t xml:space="preserve"> </w:t>
      </w:r>
      <w:r w:rsidR="00C80341" w:rsidRPr="00DC41AB">
        <w:t xml:space="preserve">atbilstoši veiktajām izmaiņām sākot ar 2010.gada </w:t>
      </w:r>
      <w:r w:rsidR="00C80341">
        <w:t>otro pusi</w:t>
      </w:r>
      <w:r w:rsidR="00C80341" w:rsidRPr="00DC41AB">
        <w:t xml:space="preserve"> trūcīgiem pacientiem un </w:t>
      </w:r>
      <w:r w:rsidR="00C80341">
        <w:t xml:space="preserve"> pacientiem</w:t>
      </w:r>
      <w:r w:rsidR="00C80341" w:rsidRPr="00DC41AB">
        <w:t xml:space="preserve"> ar zemiem ienākumiem tika kompensēta ne tikai iemaksa un </w:t>
      </w:r>
      <w:proofErr w:type="spellStart"/>
      <w:r w:rsidR="00C80341" w:rsidRPr="00DC41AB">
        <w:t>līdzmaksājums</w:t>
      </w:r>
      <w:proofErr w:type="spellEnd"/>
      <w:r w:rsidR="00C80341" w:rsidRPr="00DC41AB">
        <w:t>, bet arī apmaksāts viss pacientam nepieciešamais pakalpojums.</w:t>
      </w:r>
      <w:r>
        <w:t xml:space="preserve"> </w:t>
      </w:r>
      <w:r w:rsidR="00C80341">
        <w:t>Saskaņā ar likumu</w:t>
      </w:r>
      <w:r w:rsidR="00C80341" w:rsidRPr="00DC41AB">
        <w:t xml:space="preserve"> „Par valsts budžetu 20</w:t>
      </w:r>
      <w:r w:rsidR="00C80341">
        <w:t xml:space="preserve">11.gadam” </w:t>
      </w:r>
      <w:r w:rsidR="00C80341" w:rsidRPr="00DC41AB">
        <w:t xml:space="preserve">valsts budžeta programmas 33.00.00 „Veselības aprūpes nodrošināšana” apakšprogrammā 33.13.00 „Sociālās drošības tīkla stratēģijas pasākumu īstenošana” resursi izdevumu segšanai  ir 30 310 711 lati. Šobrīd ar Ministru kabineta 2011.gada 18.maijā apstiprināto Rīkojumu Nr.205 „Grozījumi Sociālās drošības tīkla stratēģijā”) pasākumam </w:t>
      </w:r>
      <w:r w:rsidR="00C80341">
        <w:t>veselības aprūpes jomā „Personām</w:t>
      </w:r>
      <w:r w:rsidR="00C80341" w:rsidRPr="00DC41AB">
        <w:t xml:space="preserve"> ar zemiem ienākumiem noteiktās pacientu iemaksas un </w:t>
      </w:r>
      <w:proofErr w:type="spellStart"/>
      <w:r w:rsidR="00C80341" w:rsidRPr="00DC41AB">
        <w:t>līdzmaksājuma</w:t>
      </w:r>
      <w:proofErr w:type="spellEnd"/>
      <w:r w:rsidR="00C80341" w:rsidRPr="00DC41AB">
        <w:t xml:space="preserve"> kompensācija un pamatpakalpojuma apmaksa” 2011.gadā paredzētais finansējums ir 19 466 090 lati. </w:t>
      </w:r>
      <w:r w:rsidR="003455D5">
        <w:t xml:space="preserve">Tomēr, ņemot vērā lielu pieprasījumu pēc šiem pakalpojumiem jau </w:t>
      </w:r>
      <w:r w:rsidR="00317AD5">
        <w:t>kopš</w:t>
      </w:r>
      <w:r w:rsidR="003455D5">
        <w:t xml:space="preserve"> gada sākuma,</w:t>
      </w:r>
      <w:r w:rsidR="00C80341">
        <w:t xml:space="preserve"> pirmajā pusgadā </w:t>
      </w:r>
      <w:r w:rsidR="003455D5">
        <w:t>faktiski</w:t>
      </w:r>
      <w:r w:rsidR="00C80341">
        <w:t xml:space="preserve"> iztērēti 77,5% no visam gadam plānotā finansējuma. </w:t>
      </w:r>
      <w:r w:rsidR="00C80341" w:rsidRPr="00DC41AB">
        <w:t xml:space="preserve">Ņemot vērā ierobežotos finanšu resursus, </w:t>
      </w:r>
      <w:r>
        <w:t>vienlaikus tiek virzītas</w:t>
      </w:r>
      <w:r w:rsidR="00C80341">
        <w:t xml:space="preserve"> izmaiņas Stratēģijā un</w:t>
      </w:r>
      <w:r w:rsidR="00C80341" w:rsidRPr="00DC41AB">
        <w:t xml:space="preserve"> Ministru kabineta 2006.gada 19.decembra noteikumos Nr.1046 „Veselības aprūpes organiz</w:t>
      </w:r>
      <w:r w:rsidR="00C80341">
        <w:t>ēšanas un finansēšanas kārtība”, lai</w:t>
      </w:r>
      <w:r w:rsidR="00C80341" w:rsidRPr="00DC41AB">
        <w:t xml:space="preserve"> ar 2011.gada </w:t>
      </w:r>
      <w:r w:rsidR="003455D5">
        <w:t>otro pusgadu</w:t>
      </w:r>
      <w:r w:rsidR="00C80341" w:rsidRPr="00DC41AB">
        <w:t xml:space="preserve"> iepriekš minētajām iedzīvotāju kategorijām sniegto pamatpakalpojumu vairs neapmaksāt</w:t>
      </w:r>
      <w:r w:rsidR="00C80341">
        <w:t>u</w:t>
      </w:r>
      <w:r w:rsidR="00C80341" w:rsidRPr="00DC41AB">
        <w:t xml:space="preserve"> no Stratēģijas ietvaros piešķirtā finansējuma. Ar </w:t>
      </w:r>
      <w:r w:rsidR="003455D5">
        <w:t>otro pusgadu</w:t>
      </w:r>
      <w:r w:rsidR="00C80341" w:rsidRPr="00DC41AB">
        <w:t xml:space="preserve"> minētajām iedzīvotāju kategorijām Stratēģijas ietvaros turpinās kompensēt pacienta iemaksu un </w:t>
      </w:r>
      <w:proofErr w:type="spellStart"/>
      <w:r w:rsidR="00C80341" w:rsidRPr="00DC41AB">
        <w:t>līdzmaksājumu</w:t>
      </w:r>
      <w:proofErr w:type="spellEnd"/>
      <w:r w:rsidR="00C80341" w:rsidRPr="00DC41AB">
        <w:t>, savukārt, šo personu ārstēšana ārstniecības iestādēm tiks apmaksāta pēc tādiem pašiem principiem kā pārējiem Latvijas iedzīvotājiem (viena pacienta vidējām ārstēšanās izmaksām) no veselības aprūpei piešķirtajiem līdzekļiem budžeta programmas 33.00.00 „Veselības aprūpes nodrošināšana” apakšprogrammas 33.01.00 „Ārstniecība”</w:t>
      </w:r>
      <w:r>
        <w:t>.</w:t>
      </w:r>
      <w:r w:rsidR="00C80341" w:rsidRPr="00DC41AB">
        <w:t xml:space="preserve"> </w:t>
      </w:r>
      <w:r w:rsidR="0015206A">
        <w:t>Personām ar zemiem ienākumiem slimnīcu aprūpe tiks nodrošināta kopējā slimnīcu finansējuma ietvaros, savukārt ambulatoro aprūpi šī personu grupa saņems tādā pat kārtībā kā pārējie pacienti.</w:t>
      </w:r>
    </w:p>
    <w:p w:rsidR="00F96B02" w:rsidRDefault="00F96B02" w:rsidP="00F96B02">
      <w:pPr>
        <w:pStyle w:val="NormalWeb"/>
        <w:snapToGrid w:val="0"/>
        <w:spacing w:before="120" w:after="0"/>
        <w:ind w:firstLine="720"/>
        <w:jc w:val="both"/>
      </w:pPr>
      <w:r>
        <w:t>Tomēr</w:t>
      </w:r>
      <w:r w:rsidR="00950C2B">
        <w:t>, ņemot vērā četru mēnešu faktu,</w:t>
      </w:r>
      <w:r>
        <w:t xml:space="preserve"> </w:t>
      </w:r>
      <w:r w:rsidR="003455D5">
        <w:t>pirmajā pusgadā</w:t>
      </w:r>
      <w:r>
        <w:t xml:space="preserve"> </w:t>
      </w:r>
      <w:r w:rsidR="00317AD5">
        <w:t xml:space="preserve">vairākās slimnīcās </w:t>
      </w:r>
      <w:r w:rsidR="003455D5">
        <w:t xml:space="preserve">faktiski </w:t>
      </w:r>
      <w:r w:rsidR="00950C2B">
        <w:t>būs</w:t>
      </w:r>
      <w:r w:rsidR="00317AD5">
        <w:t xml:space="preserve"> sniegti pakalpojumi trūcīgām un maznodrošinātām personām tādā apmērā, ka </w:t>
      </w:r>
      <w:r w:rsidR="00950C2B">
        <w:t>tiks</w:t>
      </w:r>
      <w:r w:rsidR="00317AD5">
        <w:t xml:space="preserve"> </w:t>
      </w:r>
      <w:r w:rsidR="003455D5">
        <w:t>pārtērēt</w:t>
      </w:r>
      <w:r w:rsidR="00317AD5">
        <w:t>i</w:t>
      </w:r>
      <w:r w:rsidR="003455D5">
        <w:t xml:space="preserve"> līdzekļi attiecībā pret līguma summu </w:t>
      </w:r>
      <w:r w:rsidR="00950C2B">
        <w:t xml:space="preserve">visam </w:t>
      </w:r>
      <w:r w:rsidR="003455D5">
        <w:t xml:space="preserve">gadam. Šo saistību segšanai Stratēģijas ietvaros nepieciešami papildus līdzekļi </w:t>
      </w:r>
      <w:r w:rsidR="00950C2B">
        <w:t>626 473</w:t>
      </w:r>
      <w:r w:rsidR="003455D5">
        <w:t xml:space="preserve"> latu apmērā</w:t>
      </w:r>
      <w:r w:rsidR="00950C2B">
        <w:t xml:space="preserve"> (skat. 6.tabulu)</w:t>
      </w:r>
      <w:r w:rsidR="003455D5">
        <w:t>.</w:t>
      </w:r>
    </w:p>
    <w:p w:rsidR="00C75586" w:rsidRDefault="00950C2B" w:rsidP="0015206A">
      <w:pPr>
        <w:pStyle w:val="NormalWeb"/>
        <w:snapToGrid w:val="0"/>
        <w:spacing w:before="0" w:after="120"/>
        <w:ind w:firstLine="709"/>
        <w:jc w:val="right"/>
      </w:pPr>
      <w:r>
        <w:t>6.tabula</w:t>
      </w:r>
    </w:p>
    <w:p w:rsidR="00950C2B" w:rsidRDefault="00950C2B" w:rsidP="00950C2B">
      <w:pPr>
        <w:pStyle w:val="NormalWeb"/>
        <w:snapToGrid w:val="0"/>
        <w:spacing w:before="120" w:after="120"/>
        <w:jc w:val="center"/>
        <w:rPr>
          <w:b/>
        </w:rPr>
      </w:pPr>
      <w:r w:rsidRPr="00950C2B">
        <w:rPr>
          <w:b/>
        </w:rPr>
        <w:t>Stacionāro veselības aprūpes pakalpojumu izpildes prognoze 2011.gada 6 mēnešiem programmai "Sociālās drošības tīkla stratēģijas pasākumu īstenošana" pēc 4 mēnešu izpildes</w:t>
      </w:r>
    </w:p>
    <w:tbl>
      <w:tblPr>
        <w:tblW w:w="10080" w:type="dxa"/>
        <w:tblInd w:w="93" w:type="dxa"/>
        <w:tblLayout w:type="fixed"/>
        <w:tblLook w:val="04A0"/>
      </w:tblPr>
      <w:tblGrid>
        <w:gridCol w:w="3417"/>
        <w:gridCol w:w="1276"/>
        <w:gridCol w:w="1134"/>
        <w:gridCol w:w="992"/>
        <w:gridCol w:w="1134"/>
        <w:gridCol w:w="993"/>
        <w:gridCol w:w="1134"/>
      </w:tblGrid>
      <w:tr w:rsidR="00950C2B" w:rsidRPr="00950C2B" w:rsidTr="00950C2B">
        <w:trPr>
          <w:trHeight w:val="55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xml:space="preserve">Iestādes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Plānotais finansējums 2011.gadam</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Faktiskā izpilde 4 mēnešos</w:t>
            </w:r>
          </w:p>
        </w:tc>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xml:space="preserve">Izpildes prognoze </w:t>
            </w:r>
            <w:r w:rsidRPr="00950C2B">
              <w:rPr>
                <w:rFonts w:ascii="Times New Roman" w:eastAsia="Times New Roman" w:hAnsi="Times New Roman" w:cs="Times New Roman"/>
                <w:b/>
                <w:bCs/>
                <w:sz w:val="20"/>
                <w:szCs w:val="20"/>
                <w:lang w:val="lv-LV" w:eastAsia="lv-LV"/>
              </w:rPr>
              <w:br/>
              <w:t>6 mēnešiem</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950C2B" w:rsidRPr="00950C2B" w:rsidRDefault="00950C2B" w:rsidP="00950C2B">
            <w:pPr>
              <w:spacing w:after="0" w:line="240" w:lineRule="auto"/>
              <w:jc w:val="center"/>
              <w:rPr>
                <w:rFonts w:ascii="Times New Roman" w:eastAsia="Times New Roman" w:hAnsi="Times New Roman" w:cs="Times New Roman"/>
                <w:b/>
                <w:sz w:val="20"/>
                <w:szCs w:val="20"/>
                <w:lang w:val="lv-LV" w:eastAsia="lv-LV"/>
              </w:rPr>
            </w:pPr>
            <w:r w:rsidRPr="00950C2B">
              <w:rPr>
                <w:rFonts w:ascii="Times New Roman" w:eastAsia="Times New Roman" w:hAnsi="Times New Roman" w:cs="Times New Roman"/>
                <w:b/>
                <w:sz w:val="20"/>
                <w:szCs w:val="20"/>
                <w:lang w:val="lv-LV" w:eastAsia="lv-LV"/>
              </w:rPr>
              <w:t>I pusgada prognoze</w:t>
            </w:r>
            <w:r w:rsidRPr="00950C2B">
              <w:rPr>
                <w:rFonts w:ascii="Times New Roman" w:eastAsia="Times New Roman" w:hAnsi="Times New Roman" w:cs="Times New Roman"/>
                <w:b/>
                <w:sz w:val="20"/>
                <w:szCs w:val="20"/>
                <w:lang w:val="lv-LV" w:eastAsia="lv-LV"/>
              </w:rPr>
              <w:br/>
              <w:t>pārsniedz gada plānu</w:t>
            </w:r>
          </w:p>
        </w:tc>
      </w:tr>
      <w:tr w:rsidR="00950C2B" w:rsidRPr="00950C2B" w:rsidTr="00950C2B">
        <w:trPr>
          <w:trHeight w:val="54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C2B" w:rsidRPr="00950C2B" w:rsidRDefault="00950C2B" w:rsidP="00950C2B">
            <w:pPr>
              <w:spacing w:after="0" w:line="240" w:lineRule="auto"/>
              <w:jc w:val="center"/>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Ls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no plānotā gadam</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C2B" w:rsidRPr="00950C2B" w:rsidRDefault="00950C2B" w:rsidP="00950C2B">
            <w:pPr>
              <w:spacing w:after="0" w:line="240" w:lineRule="auto"/>
              <w:jc w:val="center"/>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Ls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no plānotā gadam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p>
        </w:tc>
      </w:tr>
      <w:tr w:rsidR="00950C2B" w:rsidRPr="00950C2B" w:rsidTr="00950C2B">
        <w:trPr>
          <w:trHeight w:val="27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p>
        </w:tc>
        <w:tc>
          <w:tcPr>
            <w:tcW w:w="992" w:type="dxa"/>
            <w:vMerge/>
            <w:tcBorders>
              <w:top w:val="nil"/>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p>
        </w:tc>
        <w:tc>
          <w:tcPr>
            <w:tcW w:w="993" w:type="dxa"/>
            <w:vMerge/>
            <w:tcBorders>
              <w:top w:val="nil"/>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p>
        </w:tc>
      </w:tr>
      <w:tr w:rsidR="00950C2B" w:rsidRPr="00950C2B" w:rsidTr="00950C2B">
        <w:trPr>
          <w:trHeight w:val="22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16"/>
                <w:szCs w:val="16"/>
                <w:lang w:val="lv-LV" w:eastAsia="lv-LV"/>
              </w:rPr>
            </w:pPr>
            <w:r w:rsidRPr="00950C2B">
              <w:rPr>
                <w:rFonts w:ascii="Times New Roman" w:eastAsia="Times New Roman" w:hAnsi="Times New Roman" w:cs="Times New Roman"/>
                <w:sz w:val="16"/>
                <w:szCs w:val="16"/>
                <w:lang w:val="lv-LV" w:eastAsia="lv-LV"/>
              </w:rPr>
              <w:t>1</w:t>
            </w:r>
          </w:p>
        </w:tc>
        <w:tc>
          <w:tcPr>
            <w:tcW w:w="1276" w:type="dxa"/>
            <w:tcBorders>
              <w:top w:val="nil"/>
              <w:left w:val="nil"/>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16"/>
                <w:szCs w:val="16"/>
                <w:lang w:val="lv-LV" w:eastAsia="lv-LV"/>
              </w:rPr>
            </w:pPr>
            <w:r w:rsidRPr="00950C2B">
              <w:rPr>
                <w:rFonts w:ascii="Times New Roman" w:eastAsia="Times New Roman" w:hAnsi="Times New Roman" w:cs="Times New Roman"/>
                <w:sz w:val="16"/>
                <w:szCs w:val="16"/>
                <w:lang w:val="lv-LV" w:eastAsia="lv-LV"/>
              </w:rPr>
              <w:t>2</w:t>
            </w:r>
          </w:p>
        </w:tc>
        <w:tc>
          <w:tcPr>
            <w:tcW w:w="1134" w:type="dxa"/>
            <w:tcBorders>
              <w:top w:val="nil"/>
              <w:left w:val="nil"/>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16"/>
                <w:szCs w:val="16"/>
                <w:lang w:val="lv-LV" w:eastAsia="lv-LV"/>
              </w:rPr>
            </w:pPr>
            <w:r w:rsidRPr="00950C2B">
              <w:rPr>
                <w:rFonts w:ascii="Times New Roman" w:eastAsia="Times New Roman" w:hAnsi="Times New Roman" w:cs="Times New Roman"/>
                <w:sz w:val="16"/>
                <w:szCs w:val="16"/>
                <w:lang w:val="lv-LV" w:eastAsia="lv-LV"/>
              </w:rPr>
              <w:t>3</w:t>
            </w:r>
          </w:p>
        </w:tc>
        <w:tc>
          <w:tcPr>
            <w:tcW w:w="992" w:type="dxa"/>
            <w:tcBorders>
              <w:top w:val="nil"/>
              <w:left w:val="nil"/>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16"/>
                <w:szCs w:val="16"/>
                <w:lang w:val="lv-LV" w:eastAsia="lv-LV"/>
              </w:rPr>
            </w:pPr>
            <w:r w:rsidRPr="00950C2B">
              <w:rPr>
                <w:rFonts w:ascii="Times New Roman" w:eastAsia="Times New Roman" w:hAnsi="Times New Roman" w:cs="Times New Roman"/>
                <w:sz w:val="16"/>
                <w:szCs w:val="16"/>
                <w:lang w:val="lv-LV" w:eastAsia="lv-LV"/>
              </w:rPr>
              <w:t>4</w:t>
            </w:r>
          </w:p>
        </w:tc>
        <w:tc>
          <w:tcPr>
            <w:tcW w:w="1134" w:type="dxa"/>
            <w:tcBorders>
              <w:top w:val="nil"/>
              <w:left w:val="nil"/>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16"/>
                <w:szCs w:val="16"/>
                <w:lang w:val="lv-LV" w:eastAsia="lv-LV"/>
              </w:rPr>
            </w:pPr>
            <w:r w:rsidRPr="00950C2B">
              <w:rPr>
                <w:rFonts w:ascii="Times New Roman" w:eastAsia="Times New Roman" w:hAnsi="Times New Roman" w:cs="Times New Roman"/>
                <w:sz w:val="16"/>
                <w:szCs w:val="16"/>
                <w:lang w:val="lv-LV" w:eastAsia="lv-LV"/>
              </w:rPr>
              <w:t>5</w:t>
            </w:r>
          </w:p>
        </w:tc>
        <w:tc>
          <w:tcPr>
            <w:tcW w:w="993" w:type="dxa"/>
            <w:tcBorders>
              <w:top w:val="nil"/>
              <w:left w:val="nil"/>
              <w:bottom w:val="single" w:sz="4" w:space="0" w:color="auto"/>
              <w:right w:val="single" w:sz="4" w:space="0" w:color="auto"/>
            </w:tcBorders>
            <w:shd w:val="clear" w:color="auto" w:fill="auto"/>
            <w:vAlign w:val="center"/>
            <w:hideMark/>
          </w:tcPr>
          <w:p w:rsidR="00950C2B" w:rsidRPr="00950C2B" w:rsidRDefault="00950C2B" w:rsidP="00950C2B">
            <w:pPr>
              <w:spacing w:after="0" w:line="240" w:lineRule="auto"/>
              <w:jc w:val="center"/>
              <w:rPr>
                <w:rFonts w:ascii="Times New Roman" w:eastAsia="Times New Roman" w:hAnsi="Times New Roman" w:cs="Times New Roman"/>
                <w:sz w:val="16"/>
                <w:szCs w:val="16"/>
                <w:lang w:val="lv-LV" w:eastAsia="lv-LV"/>
              </w:rPr>
            </w:pPr>
            <w:r w:rsidRPr="00950C2B">
              <w:rPr>
                <w:rFonts w:ascii="Times New Roman" w:eastAsia="Times New Roman" w:hAnsi="Times New Roman" w:cs="Times New Roman"/>
                <w:sz w:val="16"/>
                <w:szCs w:val="16"/>
                <w:lang w:val="lv-LV" w:eastAsia="lv-LV"/>
              </w:rPr>
              <w:t>6</w:t>
            </w:r>
          </w:p>
        </w:tc>
        <w:tc>
          <w:tcPr>
            <w:tcW w:w="1134" w:type="dxa"/>
            <w:tcBorders>
              <w:top w:val="nil"/>
              <w:left w:val="nil"/>
              <w:bottom w:val="single" w:sz="4" w:space="0" w:color="auto"/>
              <w:right w:val="single" w:sz="4" w:space="0" w:color="auto"/>
            </w:tcBorders>
            <w:shd w:val="clear" w:color="000000" w:fill="D8D8D8"/>
            <w:vAlign w:val="bottom"/>
            <w:hideMark/>
          </w:tcPr>
          <w:p w:rsidR="00950C2B" w:rsidRPr="00950C2B" w:rsidRDefault="00950C2B" w:rsidP="00950C2B">
            <w:pPr>
              <w:spacing w:after="0" w:line="240" w:lineRule="auto"/>
              <w:jc w:val="center"/>
              <w:rPr>
                <w:rFonts w:ascii="Times New Roman" w:eastAsia="Times New Roman" w:hAnsi="Times New Roman" w:cs="Times New Roman"/>
                <w:sz w:val="16"/>
                <w:szCs w:val="16"/>
                <w:lang w:val="lv-LV" w:eastAsia="lv-LV"/>
              </w:rPr>
            </w:pPr>
            <w:r w:rsidRPr="00950C2B">
              <w:rPr>
                <w:rFonts w:ascii="Times New Roman" w:eastAsia="Times New Roman" w:hAnsi="Times New Roman" w:cs="Times New Roman"/>
                <w:sz w:val="16"/>
                <w:szCs w:val="16"/>
                <w:lang w:val="lv-LV" w:eastAsia="lv-LV"/>
              </w:rPr>
              <w:t>7 = 5 - 2</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lastRenderedPageBreak/>
              <w:t>Bērnu klīniskā universitātes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145 701</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81 763</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56%</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122 645</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84%</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Paula Stradiņa klīniskā universitātes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1 984 342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1 373 147</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69%</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2 059 721</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104%</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75 379</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Rīgas Austrumu klīniskā universitātes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2 382 216</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1 831 573</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2 747 360</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115%</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365 144</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Jūrmalas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56 679</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27 540</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49%</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41 310</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73%</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Ogres rajona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85 467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53 015</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79 523</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93%</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Tukuma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184 479</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66 214</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36%</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99 321</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54%</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Liepājas reģionālā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517 603</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360 438</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540 657</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104%</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23 054</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proofErr w:type="spellStart"/>
            <w:r w:rsidRPr="00950C2B">
              <w:rPr>
                <w:rFonts w:ascii="Times New Roman" w:eastAsia="Times New Roman" w:hAnsi="Times New Roman" w:cs="Times New Roman"/>
                <w:sz w:val="20"/>
                <w:szCs w:val="20"/>
                <w:lang w:val="lv-LV" w:eastAsia="lv-LV"/>
              </w:rPr>
              <w:t>Ziemeļkurzemes</w:t>
            </w:r>
            <w:proofErr w:type="spellEnd"/>
            <w:r w:rsidRPr="00950C2B">
              <w:rPr>
                <w:rFonts w:ascii="Times New Roman" w:eastAsia="Times New Roman" w:hAnsi="Times New Roman" w:cs="Times New Roman"/>
                <w:sz w:val="20"/>
                <w:szCs w:val="20"/>
                <w:lang w:val="lv-LV" w:eastAsia="lv-LV"/>
              </w:rPr>
              <w:t xml:space="preserve"> reģionālā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172 215</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77 935</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45%</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116 903</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68%</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Kuldīgas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121 451</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69 168</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103 752</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85%</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Daugavpils reģionālā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762 440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364 174</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546 261</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72%</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Rēzeknes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658 497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240 500</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360 750</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55%</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Preiļu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16 682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4 431</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6 647</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40%</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Krāslavas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70 159</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21 894</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31%</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32 841</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47%</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Vidzemes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362 017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187 356</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281 034</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78%</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Madonas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238 478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171 843</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257 765</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108%</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19 287</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Balvu un Gulbenes slimnīcu apvienība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252 305</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97 023</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145 535</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58%</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Cēsu klīnika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122 980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73 618</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110 427</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90%</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Alūksnes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77 506</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49 596</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64%</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74 394</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96%</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Jelgavas pilsētas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419 223</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161 228</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241 842</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58%</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Jēkabpils reģionālā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510 081</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175 316</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34%</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262 974</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52%</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Dobeles un apkārtnes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86 650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40 886</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61 329</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71%</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15206A">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xml:space="preserve">Ainaži, bērnu psihoneiroloģiskā </w:t>
            </w:r>
            <w:proofErr w:type="spellStart"/>
            <w:r w:rsidRPr="00950C2B">
              <w:rPr>
                <w:rFonts w:ascii="Times New Roman" w:eastAsia="Times New Roman" w:hAnsi="Times New Roman" w:cs="Times New Roman"/>
                <w:sz w:val="20"/>
                <w:szCs w:val="20"/>
                <w:lang w:val="lv-LV" w:eastAsia="lv-LV"/>
              </w:rPr>
              <w:t>slimn</w:t>
            </w:r>
            <w:proofErr w:type="spellEnd"/>
            <w:r w:rsidR="0015206A">
              <w:rPr>
                <w:rFonts w:ascii="Times New Roman" w:eastAsia="Times New Roman" w:hAnsi="Times New Roman" w:cs="Times New Roman"/>
                <w:sz w:val="20"/>
                <w:szCs w:val="20"/>
                <w:lang w:val="lv-LV" w:eastAsia="lv-LV"/>
              </w:rPr>
              <w:t>.</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1 824</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2 736</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2 736</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Daugavpils psihoneiroloģiskā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412 184</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191 714</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287 571</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70%</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Piejūras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32 477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9 132</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13 698</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42%</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Rīgas  dzemdību nams</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19 151</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5 363</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8 045</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42%</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Rīgas 2.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92 046</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58 535</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64%</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87 803</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95%</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Rīgas psihiatrijas un narkoloģijas centrs</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93 854</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103 149</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110%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154 724</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165%</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60 870</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xml:space="preserve">Slimnīca </w:t>
            </w:r>
            <w:proofErr w:type="spellStart"/>
            <w:r w:rsidRPr="00950C2B">
              <w:rPr>
                <w:rFonts w:ascii="Times New Roman" w:eastAsia="Times New Roman" w:hAnsi="Times New Roman" w:cs="Times New Roman"/>
                <w:sz w:val="20"/>
                <w:szCs w:val="20"/>
                <w:lang w:val="lv-LV" w:eastAsia="lv-LV"/>
              </w:rPr>
              <w:t>Ģintermuiža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56 277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26 995</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40 493</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72%</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Straupes narkoloģiskā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11 688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7 945</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11 918</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102%</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230</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Strenču psihoneiroloģiskā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151 682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145 666</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96%</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218 499</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144%</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66 817</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Traumatoloģijas un ortopēdijas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446 268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229 822</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51%</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344 733</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77%</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Vaivari, nacionālais rehabilitācijas centrs</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73 943</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20 172</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30 258</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41%</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Aizkraukles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21 308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8 943</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13 415</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63%</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Bauskas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21 190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22 764</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107%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34 146</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F46EFB" w:rsidRDefault="00950C2B" w:rsidP="00950C2B">
            <w:pPr>
              <w:spacing w:after="0" w:line="240" w:lineRule="auto"/>
              <w:jc w:val="right"/>
              <w:rPr>
                <w:rFonts w:ascii="Times New Roman" w:eastAsia="Times New Roman" w:hAnsi="Times New Roman" w:cs="Times New Roman"/>
                <w:b/>
                <w:sz w:val="20"/>
                <w:szCs w:val="20"/>
                <w:lang w:val="lv-LV" w:eastAsia="lv-LV"/>
              </w:rPr>
            </w:pPr>
            <w:r w:rsidRPr="00F46EFB">
              <w:rPr>
                <w:rFonts w:ascii="Times New Roman" w:eastAsia="Times New Roman" w:hAnsi="Times New Roman" w:cs="Times New Roman"/>
                <w:b/>
                <w:sz w:val="20"/>
                <w:szCs w:val="20"/>
                <w:lang w:val="lv-LV" w:eastAsia="lv-LV"/>
              </w:rPr>
              <w:t>161%</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12 956</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Līvānu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17 105</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10 180</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60%</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15 270</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89%</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Ludzas rajona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50 187</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24 292</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48%</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36 438</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73%</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Rīgas rajona slimnīca</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19 254</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8 238</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43%</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12 357</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64%</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w:t>
            </w:r>
          </w:p>
        </w:tc>
      </w:tr>
      <w:tr w:rsidR="00950C2B" w:rsidRPr="00950C2B" w:rsidTr="00950C2B">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Saldus medicīnas centrs</w:t>
            </w:r>
          </w:p>
        </w:tc>
        <w:tc>
          <w:tcPr>
            <w:tcW w:w="1276"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14 215</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8 834</w:t>
            </w:r>
          </w:p>
        </w:tc>
        <w:tc>
          <w:tcPr>
            <w:tcW w:w="992"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62%</w:t>
            </w:r>
          </w:p>
        </w:tc>
        <w:tc>
          <w:tcPr>
            <w:tcW w:w="1134"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13 251</w:t>
            </w:r>
          </w:p>
        </w:tc>
        <w:tc>
          <w:tcPr>
            <w:tcW w:w="993" w:type="dxa"/>
            <w:tcBorders>
              <w:top w:val="nil"/>
              <w:left w:val="nil"/>
              <w:bottom w:val="single" w:sz="4" w:space="0" w:color="auto"/>
              <w:right w:val="single" w:sz="4" w:space="0" w:color="auto"/>
            </w:tcBorders>
            <w:shd w:val="clear" w:color="auto" w:fill="auto"/>
            <w:noWrap/>
            <w:vAlign w:val="bottom"/>
            <w:hideMark/>
          </w:tcPr>
          <w:p w:rsidR="00950C2B" w:rsidRPr="00950C2B" w:rsidRDefault="00950C2B" w:rsidP="00950C2B">
            <w:pPr>
              <w:spacing w:after="0" w:line="240" w:lineRule="auto"/>
              <w:jc w:val="right"/>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93%</w:t>
            </w:r>
          </w:p>
        </w:tc>
        <w:tc>
          <w:tcPr>
            <w:tcW w:w="1134" w:type="dxa"/>
            <w:tcBorders>
              <w:top w:val="nil"/>
              <w:left w:val="nil"/>
              <w:bottom w:val="single" w:sz="4" w:space="0" w:color="auto"/>
              <w:right w:val="single" w:sz="4" w:space="0" w:color="auto"/>
            </w:tcBorders>
            <w:shd w:val="clear" w:color="000000" w:fill="D8D8D8"/>
            <w:noWrap/>
            <w:vAlign w:val="bottom"/>
            <w:hideMark/>
          </w:tcPr>
          <w:p w:rsidR="00950C2B" w:rsidRPr="00950C2B" w:rsidRDefault="00950C2B" w:rsidP="00950C2B">
            <w:pPr>
              <w:spacing w:after="0" w:line="240" w:lineRule="auto"/>
              <w:rPr>
                <w:rFonts w:ascii="Times New Roman" w:eastAsia="Times New Roman" w:hAnsi="Times New Roman" w:cs="Times New Roman"/>
                <w:sz w:val="20"/>
                <w:szCs w:val="20"/>
                <w:lang w:val="lv-LV" w:eastAsia="lv-LV"/>
              </w:rPr>
            </w:pPr>
            <w:r w:rsidRPr="00950C2B">
              <w:rPr>
                <w:rFonts w:ascii="Times New Roman" w:eastAsia="Times New Roman" w:hAnsi="Times New Roman" w:cs="Times New Roman"/>
                <w:sz w:val="20"/>
                <w:szCs w:val="20"/>
                <w:lang w:val="lv-LV" w:eastAsia="lv-LV"/>
              </w:rPr>
              <w:t> </w:t>
            </w:r>
          </w:p>
        </w:tc>
      </w:tr>
      <w:tr w:rsidR="00950C2B" w:rsidRPr="00950C2B" w:rsidTr="00950C2B">
        <w:trPr>
          <w:trHeight w:val="345"/>
        </w:trPr>
        <w:tc>
          <w:tcPr>
            <w:tcW w:w="3417" w:type="dxa"/>
            <w:tcBorders>
              <w:top w:val="nil"/>
              <w:left w:val="single" w:sz="4" w:space="0" w:color="auto"/>
              <w:bottom w:val="single" w:sz="4" w:space="0" w:color="auto"/>
              <w:right w:val="single" w:sz="4" w:space="0" w:color="auto"/>
            </w:tcBorders>
            <w:shd w:val="clear" w:color="000000" w:fill="D8D8D8"/>
            <w:vAlign w:val="center"/>
            <w:hideMark/>
          </w:tcPr>
          <w:p w:rsidR="00950C2B" w:rsidRPr="00950C2B" w:rsidRDefault="00950C2B" w:rsidP="00950C2B">
            <w:pPr>
              <w:spacing w:after="0" w:line="240" w:lineRule="auto"/>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 xml:space="preserve">KOPĀ </w:t>
            </w:r>
          </w:p>
        </w:tc>
        <w:tc>
          <w:tcPr>
            <w:tcW w:w="1276" w:type="dxa"/>
            <w:tcBorders>
              <w:top w:val="nil"/>
              <w:left w:val="nil"/>
              <w:bottom w:val="single" w:sz="4" w:space="0" w:color="auto"/>
              <w:right w:val="single" w:sz="4" w:space="0" w:color="auto"/>
            </w:tcBorders>
            <w:shd w:val="clear" w:color="000000" w:fill="D8D8D8"/>
            <w:noWrap/>
            <w:vAlign w:val="center"/>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10 760 000</w:t>
            </w:r>
          </w:p>
        </w:tc>
        <w:tc>
          <w:tcPr>
            <w:tcW w:w="1134" w:type="dxa"/>
            <w:tcBorders>
              <w:top w:val="nil"/>
              <w:left w:val="nil"/>
              <w:bottom w:val="single" w:sz="4" w:space="0" w:color="auto"/>
              <w:right w:val="single" w:sz="4" w:space="0" w:color="auto"/>
            </w:tcBorders>
            <w:shd w:val="clear" w:color="000000" w:fill="D8D8D8"/>
            <w:noWrap/>
            <w:vAlign w:val="center"/>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6 412 226</w:t>
            </w:r>
          </w:p>
        </w:tc>
        <w:tc>
          <w:tcPr>
            <w:tcW w:w="992" w:type="dxa"/>
            <w:tcBorders>
              <w:top w:val="nil"/>
              <w:left w:val="nil"/>
              <w:bottom w:val="single" w:sz="4" w:space="0" w:color="auto"/>
              <w:right w:val="single" w:sz="4" w:space="0" w:color="auto"/>
            </w:tcBorders>
            <w:shd w:val="clear" w:color="000000" w:fill="D8D8D8"/>
            <w:noWrap/>
            <w:vAlign w:val="center"/>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60%</w:t>
            </w:r>
          </w:p>
        </w:tc>
        <w:tc>
          <w:tcPr>
            <w:tcW w:w="1134" w:type="dxa"/>
            <w:tcBorders>
              <w:top w:val="nil"/>
              <w:left w:val="nil"/>
              <w:bottom w:val="single" w:sz="4" w:space="0" w:color="auto"/>
              <w:right w:val="single" w:sz="4" w:space="0" w:color="auto"/>
            </w:tcBorders>
            <w:shd w:val="clear" w:color="000000" w:fill="D8D8D8"/>
            <w:noWrap/>
            <w:vAlign w:val="center"/>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9 618 346</w:t>
            </w:r>
          </w:p>
        </w:tc>
        <w:tc>
          <w:tcPr>
            <w:tcW w:w="993" w:type="dxa"/>
            <w:tcBorders>
              <w:top w:val="nil"/>
              <w:left w:val="nil"/>
              <w:bottom w:val="single" w:sz="4" w:space="0" w:color="auto"/>
              <w:right w:val="single" w:sz="4" w:space="0" w:color="auto"/>
            </w:tcBorders>
            <w:shd w:val="clear" w:color="000000" w:fill="D8D8D8"/>
            <w:noWrap/>
            <w:vAlign w:val="center"/>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89%</w:t>
            </w:r>
          </w:p>
        </w:tc>
        <w:tc>
          <w:tcPr>
            <w:tcW w:w="1134" w:type="dxa"/>
            <w:tcBorders>
              <w:top w:val="nil"/>
              <w:left w:val="nil"/>
              <w:bottom w:val="single" w:sz="4" w:space="0" w:color="auto"/>
              <w:right w:val="single" w:sz="4" w:space="0" w:color="auto"/>
            </w:tcBorders>
            <w:shd w:val="clear" w:color="000000" w:fill="D8D8D8"/>
            <w:noWrap/>
            <w:vAlign w:val="center"/>
            <w:hideMark/>
          </w:tcPr>
          <w:p w:rsidR="00950C2B" w:rsidRPr="00950C2B" w:rsidRDefault="00950C2B" w:rsidP="00950C2B">
            <w:pPr>
              <w:spacing w:after="0" w:line="240" w:lineRule="auto"/>
              <w:jc w:val="right"/>
              <w:rPr>
                <w:rFonts w:ascii="Times New Roman" w:eastAsia="Times New Roman" w:hAnsi="Times New Roman" w:cs="Times New Roman"/>
                <w:b/>
                <w:bCs/>
                <w:sz w:val="20"/>
                <w:szCs w:val="20"/>
                <w:lang w:val="lv-LV" w:eastAsia="lv-LV"/>
              </w:rPr>
            </w:pPr>
            <w:r w:rsidRPr="00950C2B">
              <w:rPr>
                <w:rFonts w:ascii="Times New Roman" w:eastAsia="Times New Roman" w:hAnsi="Times New Roman" w:cs="Times New Roman"/>
                <w:b/>
                <w:bCs/>
                <w:sz w:val="20"/>
                <w:szCs w:val="20"/>
                <w:lang w:val="lv-LV" w:eastAsia="lv-LV"/>
              </w:rPr>
              <w:t>626 473</w:t>
            </w:r>
          </w:p>
        </w:tc>
      </w:tr>
    </w:tbl>
    <w:p w:rsidR="00950C2B" w:rsidRPr="00950C2B" w:rsidRDefault="00950C2B" w:rsidP="00950C2B">
      <w:pPr>
        <w:pStyle w:val="NormalWeb"/>
        <w:snapToGrid w:val="0"/>
        <w:spacing w:before="120" w:after="120"/>
        <w:jc w:val="center"/>
        <w:rPr>
          <w:b/>
        </w:rPr>
      </w:pPr>
    </w:p>
    <w:p w:rsidR="00B56497" w:rsidRDefault="00B56497" w:rsidP="00F62954">
      <w:pPr>
        <w:pStyle w:val="NormalWeb"/>
        <w:snapToGrid w:val="0"/>
        <w:spacing w:before="0" w:after="0"/>
        <w:ind w:left="1077"/>
        <w:rPr>
          <w:b/>
          <w:lang w:val="en-US"/>
        </w:rPr>
      </w:pPr>
      <w:r>
        <w:rPr>
          <w:b/>
          <w:lang w:val="en-US"/>
        </w:rPr>
        <w:t>Secinājumi</w:t>
      </w:r>
    </w:p>
    <w:p w:rsidR="00B56497" w:rsidRDefault="00B56497" w:rsidP="00B56497">
      <w:pPr>
        <w:pStyle w:val="NormalWeb"/>
        <w:snapToGrid w:val="0"/>
        <w:spacing w:before="0" w:after="0"/>
        <w:ind w:firstLine="709"/>
        <w:jc w:val="center"/>
        <w:rPr>
          <w:lang w:val="en-US"/>
        </w:rPr>
      </w:pPr>
    </w:p>
    <w:p w:rsidR="00B56497" w:rsidRDefault="00B56497" w:rsidP="00F62954">
      <w:pPr>
        <w:pStyle w:val="NormalWeb"/>
        <w:numPr>
          <w:ilvl w:val="0"/>
          <w:numId w:val="9"/>
        </w:numPr>
        <w:suppressAutoHyphens w:val="0"/>
        <w:snapToGrid w:val="0"/>
        <w:spacing w:before="0" w:after="0"/>
        <w:ind w:left="357" w:hanging="357"/>
        <w:jc w:val="both"/>
      </w:pPr>
      <w:r>
        <w:t>Iepriekšējos gados ir ievērojami samazinājies hospitalizēto pacientu skaits un 2011.gadā hospitalizēto pacientu skaits varētu sasniegt 2010.gada apjomu (</w:t>
      </w:r>
      <w:r w:rsidRPr="00693600">
        <w:t>324</w:t>
      </w:r>
      <w:r>
        <w:t> </w:t>
      </w:r>
      <w:r w:rsidRPr="00693600">
        <w:t>520</w:t>
      </w:r>
      <w:r>
        <w:t xml:space="preserve"> pacienti), </w:t>
      </w:r>
      <w:r w:rsidRPr="00693600">
        <w:t>jo katrā populācijā ir noteikts daudzums iedzīvotāju, kuriem nepieciešama tieši stacionāra palīdzība</w:t>
      </w:r>
      <w:r>
        <w:t>.</w:t>
      </w:r>
    </w:p>
    <w:p w:rsidR="00B56497" w:rsidRDefault="00B56497" w:rsidP="0067699E">
      <w:pPr>
        <w:pStyle w:val="NormalWeb"/>
        <w:numPr>
          <w:ilvl w:val="0"/>
          <w:numId w:val="9"/>
        </w:numPr>
        <w:suppressAutoHyphens w:val="0"/>
        <w:snapToGrid w:val="0"/>
        <w:spacing w:before="120" w:after="0"/>
        <w:jc w:val="both"/>
      </w:pPr>
      <w:r>
        <w:t>Ir palielinājusies pacientu plūsma pie sekundārās ambulatorās veselības aprūpes speciālistiem un attiecīgi arī nepieciešamo diagnostisko un laboratorisko izmeklējumu skaits.</w:t>
      </w:r>
    </w:p>
    <w:p w:rsidR="00B56497" w:rsidRDefault="00B56497" w:rsidP="0067699E">
      <w:pPr>
        <w:pStyle w:val="NormalWeb"/>
        <w:numPr>
          <w:ilvl w:val="0"/>
          <w:numId w:val="9"/>
        </w:numPr>
        <w:suppressAutoHyphens w:val="0"/>
        <w:snapToGrid w:val="0"/>
        <w:spacing w:before="120" w:after="0"/>
        <w:jc w:val="both"/>
      </w:pPr>
      <w:r>
        <w:t xml:space="preserve">Veselības aprūpes pakalpojumu nodrošināšanai 2011.gadā, atbilstoši valsts garantētajam apjomam, un kompensējamo medikamentu un materiālu nodrošināšanai iedzīvotājiem nepieciešamajā apjomā papildus nepieciešami </w:t>
      </w:r>
      <w:r w:rsidR="00950C2B">
        <w:t>6 661 893</w:t>
      </w:r>
      <w:r>
        <w:t> lati, tajā skaitā:</w:t>
      </w:r>
    </w:p>
    <w:p w:rsidR="00B56497" w:rsidRPr="00874C68" w:rsidRDefault="00B56497" w:rsidP="00426275">
      <w:pPr>
        <w:pStyle w:val="NormalWeb"/>
        <w:numPr>
          <w:ilvl w:val="1"/>
          <w:numId w:val="9"/>
        </w:numPr>
        <w:suppressAutoHyphens w:val="0"/>
        <w:snapToGrid w:val="0"/>
        <w:spacing w:before="0" w:after="0"/>
        <w:ind w:left="1423" w:hanging="646"/>
        <w:jc w:val="both"/>
      </w:pPr>
      <w:r w:rsidRPr="00874C68">
        <w:t>samak</w:t>
      </w:r>
      <w:r>
        <w:t>sai par sekundārās ambulatorās</w:t>
      </w:r>
      <w:r w:rsidRPr="00874C68">
        <w:t xml:space="preserve"> veselības aprūpes pakalpojumiem – </w:t>
      </w:r>
      <w:r w:rsidR="00F40227">
        <w:t>2 709 389</w:t>
      </w:r>
      <w:r>
        <w:t xml:space="preserve"> lat</w:t>
      </w:r>
      <w:r w:rsidR="00F40227">
        <w:t>i</w:t>
      </w:r>
      <w:r w:rsidRPr="00874C68">
        <w:t>;</w:t>
      </w:r>
    </w:p>
    <w:p w:rsidR="00B56497" w:rsidRPr="00874C68" w:rsidRDefault="00B56497" w:rsidP="00426275">
      <w:pPr>
        <w:pStyle w:val="NormalWeb"/>
        <w:numPr>
          <w:ilvl w:val="1"/>
          <w:numId w:val="9"/>
        </w:numPr>
        <w:suppressAutoHyphens w:val="0"/>
        <w:snapToGrid w:val="0"/>
        <w:spacing w:before="0" w:after="0"/>
        <w:ind w:left="1423" w:hanging="646"/>
        <w:jc w:val="both"/>
      </w:pPr>
      <w:r w:rsidRPr="00874C68">
        <w:t xml:space="preserve">pacientu iemaksu kompensācijai </w:t>
      </w:r>
      <w:r>
        <w:t xml:space="preserve">par </w:t>
      </w:r>
      <w:r w:rsidRPr="00874C68">
        <w:t>atbrīvotajām iedzīvotāju kategorijām</w:t>
      </w:r>
      <w:r>
        <w:t xml:space="preserve"> par sekundārās ambulatorās veselības aprūpes pakalpojumiem –  </w:t>
      </w:r>
      <w:r w:rsidR="00F40227">
        <w:t>157</w:t>
      </w:r>
      <w:r>
        <w:t> </w:t>
      </w:r>
      <w:r w:rsidR="00F40227">
        <w:t>062</w:t>
      </w:r>
      <w:r w:rsidRPr="00874C68">
        <w:t xml:space="preserve"> lat</w:t>
      </w:r>
      <w:r w:rsidR="00F40227">
        <w:t>i</w:t>
      </w:r>
      <w:r w:rsidRPr="00874C68">
        <w:t>;</w:t>
      </w:r>
    </w:p>
    <w:p w:rsidR="00B56497" w:rsidRDefault="00B56497" w:rsidP="00426275">
      <w:pPr>
        <w:pStyle w:val="NormalWeb"/>
        <w:numPr>
          <w:ilvl w:val="1"/>
          <w:numId w:val="9"/>
        </w:numPr>
        <w:suppressAutoHyphens w:val="0"/>
        <w:snapToGrid w:val="0"/>
        <w:spacing w:before="0" w:after="0"/>
        <w:ind w:left="1423" w:hanging="646"/>
        <w:jc w:val="both"/>
      </w:pPr>
      <w:r w:rsidRPr="00874C68">
        <w:t>medikamentu iegādes</w:t>
      </w:r>
      <w:r>
        <w:t xml:space="preserve"> kompensācijai iedzīvotājiem – </w:t>
      </w:r>
      <w:r w:rsidR="00D16082">
        <w:t>3</w:t>
      </w:r>
      <w:r>
        <w:t> </w:t>
      </w:r>
      <w:r w:rsidR="00D16082">
        <w:t>168</w:t>
      </w:r>
      <w:r>
        <w:t> </w:t>
      </w:r>
      <w:r w:rsidR="00D16082">
        <w:t>969</w:t>
      </w:r>
      <w:r w:rsidRPr="00874C68">
        <w:t> lat</w:t>
      </w:r>
      <w:r w:rsidR="00F40227">
        <w:t>i;</w:t>
      </w:r>
    </w:p>
    <w:p w:rsidR="00F40227" w:rsidRPr="00874C68" w:rsidRDefault="00D16082" w:rsidP="00426275">
      <w:pPr>
        <w:pStyle w:val="NormalWeb"/>
        <w:numPr>
          <w:ilvl w:val="1"/>
          <w:numId w:val="9"/>
        </w:numPr>
        <w:suppressAutoHyphens w:val="0"/>
        <w:snapToGrid w:val="0"/>
        <w:spacing w:before="0" w:after="0"/>
        <w:ind w:left="1423" w:hanging="646"/>
        <w:jc w:val="both"/>
      </w:pPr>
      <w:r>
        <w:t xml:space="preserve">saistību </w:t>
      </w:r>
      <w:r w:rsidR="00950C2B">
        <w:t>segšanai</w:t>
      </w:r>
      <w:r>
        <w:t xml:space="preserve"> par Sociālās drošības tīkla stratēģijas ietvaros </w:t>
      </w:r>
      <w:r w:rsidR="00950C2B">
        <w:t xml:space="preserve">trūcīgām un maznodrošinātām personām </w:t>
      </w:r>
      <w:r w:rsidR="003455D5">
        <w:t xml:space="preserve">pirmajā pusgadā </w:t>
      </w:r>
      <w:r w:rsidR="00950C2B">
        <w:t xml:space="preserve">stacionāros </w:t>
      </w:r>
      <w:r w:rsidR="003455D5">
        <w:t xml:space="preserve">faktiski </w:t>
      </w:r>
      <w:r w:rsidR="00950C2B">
        <w:t>sniegtajiem pakalpojumiem</w:t>
      </w:r>
      <w:r w:rsidR="003455D5">
        <w:t xml:space="preserve"> virs līguma summas gadam</w:t>
      </w:r>
      <w:r>
        <w:t xml:space="preserve"> – </w:t>
      </w:r>
      <w:r w:rsidR="00950C2B">
        <w:t>626 473</w:t>
      </w:r>
      <w:r>
        <w:t xml:space="preserve">  lati.</w:t>
      </w:r>
    </w:p>
    <w:p w:rsidR="00B56497" w:rsidRDefault="00B56497" w:rsidP="00B56497">
      <w:pPr>
        <w:pStyle w:val="NormalWeb"/>
        <w:snapToGrid w:val="0"/>
        <w:spacing w:before="0" w:after="0"/>
        <w:ind w:firstLine="709"/>
        <w:jc w:val="center"/>
      </w:pPr>
    </w:p>
    <w:p w:rsidR="00F40227" w:rsidRDefault="0015206A" w:rsidP="00426275">
      <w:pPr>
        <w:pStyle w:val="NormalWeb"/>
        <w:snapToGrid w:val="0"/>
        <w:spacing w:before="0" w:after="0"/>
        <w:ind w:firstLine="709"/>
        <w:jc w:val="both"/>
      </w:pPr>
      <w:r>
        <w:t>Papildus līdzekļu pieprasījuma apmērs ir balstīts uz š.g. četru mēnešu izpildi sekundārās ambulatorās aprūpes programmās un medikamentu iegādes kompensācijai. Piešķirtie līdzekļi tiks novirzīti ārstniecības iestādēm, proporcionāli palielinot līgumu apjomu, lai nodrošinātu ambulatoro pakalpojumu pieejamību 2011.gadā. Līgumu apjoma palielināšana nodrošinās, ka pakalpojumu sniedzēji plāno pacientu plūsmu, veido rindas pakalpojumu saņemšanai un nodrošina finanšu disciplīnas ievērošanu</w:t>
      </w:r>
    </w:p>
    <w:p w:rsidR="00F40227" w:rsidRDefault="00F40227" w:rsidP="00426275">
      <w:pPr>
        <w:pStyle w:val="NormalWeb"/>
        <w:snapToGrid w:val="0"/>
        <w:spacing w:before="0" w:after="0"/>
        <w:ind w:firstLine="709"/>
        <w:jc w:val="both"/>
      </w:pPr>
    </w:p>
    <w:p w:rsidR="00F46EFB" w:rsidRDefault="00F46EFB" w:rsidP="00426275">
      <w:pPr>
        <w:pStyle w:val="NormalWeb"/>
        <w:snapToGrid w:val="0"/>
        <w:spacing w:before="0" w:after="0"/>
        <w:ind w:firstLine="709"/>
        <w:jc w:val="both"/>
      </w:pPr>
    </w:p>
    <w:p w:rsidR="0015206A" w:rsidRDefault="0015206A" w:rsidP="00426275">
      <w:pPr>
        <w:pStyle w:val="NormalWeb"/>
        <w:snapToGrid w:val="0"/>
        <w:spacing w:before="0" w:after="0"/>
        <w:ind w:firstLine="709"/>
        <w:jc w:val="both"/>
      </w:pPr>
    </w:p>
    <w:p w:rsidR="00CB43DD" w:rsidRPr="00CB43DD" w:rsidRDefault="00CB43DD" w:rsidP="00CB43DD">
      <w:pPr>
        <w:spacing w:after="0" w:line="240" w:lineRule="auto"/>
        <w:rPr>
          <w:rFonts w:ascii="Times New Roman" w:eastAsia="Times New Roman" w:hAnsi="Times New Roman" w:cs="Times New Roman"/>
          <w:sz w:val="24"/>
          <w:szCs w:val="24"/>
          <w:lang w:val="lv-LV" w:eastAsia="ar-SA"/>
        </w:rPr>
      </w:pPr>
      <w:r w:rsidRPr="00CB43DD">
        <w:rPr>
          <w:rFonts w:ascii="Times New Roman" w:eastAsia="Times New Roman" w:hAnsi="Times New Roman" w:cs="Times New Roman"/>
          <w:sz w:val="24"/>
          <w:szCs w:val="24"/>
          <w:lang w:val="lv-LV" w:eastAsia="ar-SA"/>
        </w:rPr>
        <w:t>Veselības ministra vietā</w:t>
      </w:r>
      <w:r w:rsidR="0096458B">
        <w:rPr>
          <w:rFonts w:ascii="Times New Roman" w:eastAsia="Times New Roman" w:hAnsi="Times New Roman" w:cs="Times New Roman"/>
          <w:sz w:val="24"/>
          <w:szCs w:val="24"/>
          <w:lang w:val="lv-LV" w:eastAsia="ar-SA"/>
        </w:rPr>
        <w:t xml:space="preserve"> -</w:t>
      </w:r>
    </w:p>
    <w:p w:rsidR="00F62954" w:rsidRDefault="0096458B" w:rsidP="00CB43DD">
      <w:pPr>
        <w:pStyle w:val="NormalWeb"/>
        <w:snapToGrid w:val="0"/>
        <w:spacing w:before="0" w:after="0"/>
        <w:jc w:val="both"/>
      </w:pPr>
      <w:r>
        <w:t>l</w:t>
      </w:r>
      <w:r w:rsidR="00CB43DD" w:rsidRPr="00CB43DD">
        <w:t xml:space="preserve">abklājības ministre </w:t>
      </w:r>
      <w:r w:rsidR="00CB43DD" w:rsidRPr="00CB43DD">
        <w:tab/>
      </w:r>
      <w:r w:rsidR="00CB43DD" w:rsidRPr="00CB43DD">
        <w:tab/>
      </w:r>
      <w:r w:rsidR="00CB43DD" w:rsidRPr="00CB43DD">
        <w:tab/>
      </w:r>
      <w:r w:rsidR="00CB43DD" w:rsidRPr="00CB43DD">
        <w:tab/>
      </w:r>
      <w:r w:rsidR="00CB43DD" w:rsidRPr="00CB43DD">
        <w:tab/>
      </w:r>
      <w:r w:rsidR="00CB43DD" w:rsidRPr="00CB43DD">
        <w:tab/>
      </w:r>
      <w:r w:rsidR="00CB43DD">
        <w:tab/>
      </w:r>
      <w:r w:rsidR="00CB43DD" w:rsidRPr="00CB43DD">
        <w:tab/>
      </w:r>
      <w:proofErr w:type="spellStart"/>
      <w:r w:rsidR="00CB43DD" w:rsidRPr="00CB43DD">
        <w:t>I.Jurševska</w:t>
      </w:r>
      <w:proofErr w:type="spellEnd"/>
    </w:p>
    <w:p w:rsidR="00F62954" w:rsidRDefault="00F62954" w:rsidP="00426275">
      <w:pPr>
        <w:pStyle w:val="NormalWeb"/>
        <w:snapToGrid w:val="0"/>
        <w:spacing w:before="0" w:after="0"/>
        <w:ind w:firstLine="709"/>
        <w:jc w:val="both"/>
      </w:pPr>
    </w:p>
    <w:p w:rsidR="00317AD5" w:rsidRDefault="00317AD5" w:rsidP="00426275">
      <w:pPr>
        <w:pStyle w:val="NormalWeb"/>
        <w:snapToGrid w:val="0"/>
        <w:spacing w:before="0" w:after="0"/>
        <w:ind w:firstLine="709"/>
        <w:jc w:val="both"/>
      </w:pPr>
    </w:p>
    <w:p w:rsidR="00317AD5" w:rsidRDefault="00317AD5" w:rsidP="00426275">
      <w:pPr>
        <w:pStyle w:val="NormalWeb"/>
        <w:snapToGrid w:val="0"/>
        <w:spacing w:before="0" w:after="0"/>
        <w:ind w:firstLine="709"/>
        <w:jc w:val="both"/>
      </w:pPr>
    </w:p>
    <w:p w:rsidR="00317AD5" w:rsidRDefault="00317AD5" w:rsidP="00426275">
      <w:pPr>
        <w:pStyle w:val="NormalWeb"/>
        <w:snapToGrid w:val="0"/>
        <w:spacing w:before="0" w:after="0"/>
        <w:ind w:firstLine="709"/>
        <w:jc w:val="both"/>
      </w:pPr>
    </w:p>
    <w:p w:rsidR="00317AD5" w:rsidRDefault="00317AD5" w:rsidP="00426275">
      <w:pPr>
        <w:pStyle w:val="NormalWeb"/>
        <w:snapToGrid w:val="0"/>
        <w:spacing w:before="0" w:after="0"/>
        <w:ind w:firstLine="709"/>
        <w:jc w:val="both"/>
      </w:pPr>
    </w:p>
    <w:p w:rsidR="00F62954" w:rsidRDefault="00F62954" w:rsidP="00426275">
      <w:pPr>
        <w:pStyle w:val="NormalWeb"/>
        <w:snapToGrid w:val="0"/>
        <w:spacing w:before="0" w:after="0"/>
        <w:ind w:firstLine="709"/>
        <w:jc w:val="both"/>
      </w:pPr>
    </w:p>
    <w:p w:rsidR="00B63444" w:rsidRDefault="00B63444" w:rsidP="00426275">
      <w:pPr>
        <w:pStyle w:val="NormalWeb"/>
        <w:snapToGrid w:val="0"/>
        <w:spacing w:before="0" w:after="0"/>
        <w:ind w:firstLine="709"/>
        <w:jc w:val="both"/>
        <w:rPr>
          <w:sz w:val="22"/>
          <w:szCs w:val="22"/>
        </w:rPr>
      </w:pPr>
      <w:r>
        <w:rPr>
          <w:sz w:val="22"/>
          <w:szCs w:val="22"/>
        </w:rPr>
        <w:t>13.07.2011 16:10</w:t>
      </w:r>
    </w:p>
    <w:p w:rsidR="00426275" w:rsidRDefault="00F46EFB" w:rsidP="00426275">
      <w:pPr>
        <w:pStyle w:val="NormalWeb"/>
        <w:snapToGrid w:val="0"/>
        <w:spacing w:before="0" w:after="0"/>
        <w:ind w:firstLine="709"/>
        <w:jc w:val="both"/>
        <w:rPr>
          <w:sz w:val="22"/>
          <w:szCs w:val="22"/>
        </w:rPr>
      </w:pPr>
      <w:r>
        <w:rPr>
          <w:sz w:val="22"/>
          <w:szCs w:val="22"/>
        </w:rPr>
        <w:t>46</w:t>
      </w:r>
      <w:r w:rsidR="00B63444">
        <w:rPr>
          <w:sz w:val="22"/>
          <w:szCs w:val="22"/>
        </w:rPr>
        <w:t>77</w:t>
      </w:r>
    </w:p>
    <w:p w:rsidR="00F644D4" w:rsidRDefault="00922C25" w:rsidP="00F644D4">
      <w:pPr>
        <w:pStyle w:val="NormalWeb"/>
        <w:snapToGrid w:val="0"/>
        <w:spacing w:before="120" w:after="0"/>
        <w:ind w:firstLine="709"/>
        <w:jc w:val="both"/>
        <w:rPr>
          <w:sz w:val="22"/>
          <w:szCs w:val="22"/>
        </w:rPr>
      </w:pPr>
      <w:r>
        <w:rPr>
          <w:sz w:val="22"/>
          <w:szCs w:val="22"/>
        </w:rPr>
        <w:t>V.</w:t>
      </w:r>
      <w:r w:rsidR="00F644D4">
        <w:rPr>
          <w:sz w:val="22"/>
          <w:szCs w:val="22"/>
        </w:rPr>
        <w:t>Skudra, 67876038</w:t>
      </w:r>
    </w:p>
    <w:p w:rsidR="00F644D4" w:rsidRDefault="00F644D4" w:rsidP="00426275">
      <w:pPr>
        <w:pStyle w:val="NormalWeb"/>
        <w:snapToGrid w:val="0"/>
        <w:spacing w:before="0" w:after="0"/>
        <w:ind w:firstLine="709"/>
        <w:jc w:val="both"/>
        <w:rPr>
          <w:sz w:val="22"/>
          <w:szCs w:val="22"/>
        </w:rPr>
      </w:pPr>
      <w:r w:rsidRPr="00F644D4">
        <w:rPr>
          <w:sz w:val="22"/>
          <w:szCs w:val="22"/>
        </w:rPr>
        <w:t>Vesma.Skudra@vm.gov.lv</w:t>
      </w:r>
    </w:p>
    <w:p w:rsidR="00F644D4" w:rsidRDefault="00F644D4" w:rsidP="00426275">
      <w:pPr>
        <w:pStyle w:val="NormalWeb"/>
        <w:snapToGrid w:val="0"/>
        <w:spacing w:before="0" w:after="0"/>
        <w:ind w:firstLine="709"/>
        <w:jc w:val="both"/>
        <w:rPr>
          <w:sz w:val="22"/>
          <w:szCs w:val="22"/>
        </w:rPr>
      </w:pPr>
    </w:p>
    <w:p w:rsidR="00922C25" w:rsidRDefault="00922C25" w:rsidP="00426275">
      <w:pPr>
        <w:pStyle w:val="NormalWeb"/>
        <w:snapToGrid w:val="0"/>
        <w:spacing w:before="0" w:after="0"/>
        <w:ind w:firstLine="709"/>
        <w:jc w:val="both"/>
        <w:rPr>
          <w:sz w:val="22"/>
          <w:szCs w:val="22"/>
        </w:rPr>
      </w:pPr>
      <w:r>
        <w:rPr>
          <w:sz w:val="22"/>
          <w:szCs w:val="22"/>
        </w:rPr>
        <w:t>I.Andersone, 67876187</w:t>
      </w:r>
    </w:p>
    <w:p w:rsidR="00922C25" w:rsidRPr="00426275" w:rsidRDefault="00922C25" w:rsidP="00426275">
      <w:pPr>
        <w:pStyle w:val="NormalWeb"/>
        <w:snapToGrid w:val="0"/>
        <w:spacing w:before="0" w:after="0"/>
        <w:ind w:firstLine="709"/>
        <w:jc w:val="both"/>
        <w:rPr>
          <w:sz w:val="22"/>
          <w:szCs w:val="22"/>
        </w:rPr>
      </w:pPr>
      <w:r>
        <w:rPr>
          <w:sz w:val="22"/>
          <w:szCs w:val="22"/>
        </w:rPr>
        <w:t>Inese.Andersone@vm.gov.lv</w:t>
      </w:r>
    </w:p>
    <w:sectPr w:rsidR="00922C25" w:rsidRPr="00426275" w:rsidSect="00E629AD">
      <w:headerReference w:type="default" r:id="rId8"/>
      <w:footerReference w:type="default" r:id="rId9"/>
      <w:footerReference w:type="first" r:id="rId10"/>
      <w:pgSz w:w="12240" w:h="15840"/>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47" w:rsidRDefault="00507947" w:rsidP="00AB3B1D">
      <w:pPr>
        <w:spacing w:after="0" w:line="240" w:lineRule="auto"/>
      </w:pPr>
      <w:r>
        <w:separator/>
      </w:r>
    </w:p>
  </w:endnote>
  <w:endnote w:type="continuationSeparator" w:id="0">
    <w:p w:rsidR="00507947" w:rsidRDefault="00507947" w:rsidP="00AB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7" w:rsidRPr="00E8416B" w:rsidRDefault="0096458B">
    <w:pPr>
      <w:pStyle w:val="Footer"/>
      <w:rPr>
        <w:rFonts w:ascii="Times New Roman" w:hAnsi="Times New Roman" w:cs="Times New Roman"/>
      </w:rPr>
    </w:pPr>
    <w:r>
      <w:rPr>
        <w:rFonts w:ascii="Times New Roman" w:hAnsi="Times New Roman" w:cs="Times New Roman"/>
      </w:rPr>
      <w:t>VMz</w:t>
    </w:r>
    <w:r w:rsidR="00507947" w:rsidRPr="00E8416B">
      <w:rPr>
        <w:rFonts w:ascii="Times New Roman" w:hAnsi="Times New Roman" w:cs="Times New Roman"/>
      </w:rPr>
      <w:t>ino_</w:t>
    </w:r>
    <w:r w:rsidR="00507947">
      <w:rPr>
        <w:rFonts w:ascii="Times New Roman" w:hAnsi="Times New Roman" w:cs="Times New Roman"/>
      </w:rPr>
      <w:t>1</w:t>
    </w:r>
    <w:r>
      <w:rPr>
        <w:rFonts w:ascii="Times New Roman" w:hAnsi="Times New Roman" w:cs="Times New Roman"/>
      </w:rPr>
      <w:t>3</w:t>
    </w:r>
    <w:r w:rsidR="00507947">
      <w:rPr>
        <w:rFonts w:ascii="Times New Roman" w:hAnsi="Times New Roman" w:cs="Times New Roman"/>
      </w:rPr>
      <w:t>07</w:t>
    </w:r>
    <w:r w:rsidR="00507947" w:rsidRPr="00E8416B">
      <w:rPr>
        <w:rFonts w:ascii="Times New Roman" w:hAnsi="Times New Roman" w:cs="Times New Roman"/>
      </w:rPr>
      <w:t>11; Informatīvais ziņojums “Finanšu situācija veselības aprūpes jomā”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7" w:rsidRPr="00922C25" w:rsidRDefault="0096458B">
    <w:pPr>
      <w:pStyle w:val="Footer"/>
    </w:pPr>
    <w:r>
      <w:rPr>
        <w:rFonts w:ascii="Times New Roman" w:hAnsi="Times New Roman" w:cs="Times New Roman"/>
      </w:rPr>
      <w:t>VMz</w:t>
    </w:r>
    <w:r w:rsidR="00507947" w:rsidRPr="00922C25">
      <w:rPr>
        <w:rFonts w:ascii="Times New Roman" w:hAnsi="Times New Roman" w:cs="Times New Roman"/>
      </w:rPr>
      <w:t>ino_1</w:t>
    </w:r>
    <w:r>
      <w:rPr>
        <w:rFonts w:ascii="Times New Roman" w:hAnsi="Times New Roman" w:cs="Times New Roman"/>
      </w:rPr>
      <w:t>3</w:t>
    </w:r>
    <w:r w:rsidR="00507947" w:rsidRPr="00922C25">
      <w:rPr>
        <w:rFonts w:ascii="Times New Roman" w:hAnsi="Times New Roman" w:cs="Times New Roman"/>
      </w:rPr>
      <w:t>0711; Informatīvais ziņojums “Finanšu situācija veselības aprūpes jomā”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47" w:rsidRDefault="00507947" w:rsidP="00AB3B1D">
      <w:pPr>
        <w:spacing w:after="0" w:line="240" w:lineRule="auto"/>
      </w:pPr>
      <w:r>
        <w:separator/>
      </w:r>
    </w:p>
  </w:footnote>
  <w:footnote w:type="continuationSeparator" w:id="0">
    <w:p w:rsidR="00507947" w:rsidRDefault="00507947" w:rsidP="00AB3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47" w:rsidRDefault="00A42DBE">
    <w:pPr>
      <w:pStyle w:val="Header"/>
      <w:jc w:val="center"/>
    </w:pPr>
    <w:sdt>
      <w:sdtPr>
        <w:id w:val="27761454"/>
        <w:docPartObj>
          <w:docPartGallery w:val="Page Numbers (Top of Page)"/>
          <w:docPartUnique/>
        </w:docPartObj>
      </w:sdtPr>
      <w:sdtContent>
        <w:r w:rsidRPr="00306F4E">
          <w:rPr>
            <w:rFonts w:ascii="Times New Roman" w:hAnsi="Times New Roman" w:cs="Times New Roman"/>
          </w:rPr>
          <w:fldChar w:fldCharType="begin"/>
        </w:r>
        <w:r w:rsidR="00507947" w:rsidRPr="00306F4E">
          <w:rPr>
            <w:rFonts w:ascii="Times New Roman" w:hAnsi="Times New Roman" w:cs="Times New Roman"/>
          </w:rPr>
          <w:instrText xml:space="preserve"> PAGE   \* MERGEFORMAT </w:instrText>
        </w:r>
        <w:r w:rsidRPr="00306F4E">
          <w:rPr>
            <w:rFonts w:ascii="Times New Roman" w:hAnsi="Times New Roman" w:cs="Times New Roman"/>
          </w:rPr>
          <w:fldChar w:fldCharType="separate"/>
        </w:r>
        <w:r w:rsidR="00B63444">
          <w:rPr>
            <w:rFonts w:ascii="Times New Roman" w:hAnsi="Times New Roman" w:cs="Times New Roman"/>
            <w:noProof/>
          </w:rPr>
          <w:t>12</w:t>
        </w:r>
        <w:r w:rsidRPr="00306F4E">
          <w:rPr>
            <w:rFonts w:ascii="Times New Roman" w:hAnsi="Times New Roman" w:cs="Times New Roman"/>
          </w:rPr>
          <w:fldChar w:fldCharType="end"/>
        </w:r>
      </w:sdtContent>
    </w:sdt>
  </w:p>
  <w:p w:rsidR="00507947" w:rsidRDefault="00507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64"/>
    <w:multiLevelType w:val="hybridMultilevel"/>
    <w:tmpl w:val="0EAADFBC"/>
    <w:lvl w:ilvl="0" w:tplc="0426000F">
      <w:start w:val="1"/>
      <w:numFmt w:val="decimal"/>
      <w:lvlText w:val="%1."/>
      <w:lvlJc w:val="left"/>
      <w:pPr>
        <w:ind w:left="360" w:hanging="360"/>
      </w:pPr>
    </w:lvl>
    <w:lvl w:ilvl="1" w:tplc="AF9C6E32">
      <w:start w:val="1"/>
      <w:numFmt w:val="decimal"/>
      <w:lvlText w:val="3.%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874A79"/>
    <w:multiLevelType w:val="multilevel"/>
    <w:tmpl w:val="A19C762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D7D29"/>
    <w:multiLevelType w:val="hybridMultilevel"/>
    <w:tmpl w:val="BCB87190"/>
    <w:lvl w:ilvl="0" w:tplc="0A1AE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1E1CAC"/>
    <w:multiLevelType w:val="hybridMultilevel"/>
    <w:tmpl w:val="B52E3A96"/>
    <w:lvl w:ilvl="0" w:tplc="E02A6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97D1276"/>
    <w:multiLevelType w:val="hybridMultilevel"/>
    <w:tmpl w:val="640ECCD2"/>
    <w:lvl w:ilvl="0" w:tplc="02C6DD8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C2037FC"/>
    <w:multiLevelType w:val="hybridMultilevel"/>
    <w:tmpl w:val="0F2C4F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6C0278"/>
    <w:multiLevelType w:val="hybridMultilevel"/>
    <w:tmpl w:val="640ECCD2"/>
    <w:lvl w:ilvl="0" w:tplc="02C6DD8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097713E"/>
    <w:multiLevelType w:val="hybridMultilevel"/>
    <w:tmpl w:val="0C5A5EFA"/>
    <w:lvl w:ilvl="0" w:tplc="0D306F94">
      <w:start w:val="5"/>
      <w:numFmt w:val="decimal"/>
      <w:lvlText w:val="%1"/>
      <w:lvlJc w:val="left"/>
      <w:pPr>
        <w:ind w:left="390" w:hanging="360"/>
      </w:pPr>
      <w:rPr>
        <w:rFonts w:eastAsiaTheme="minorHAnsi" w:cstheme="minorBidi"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9">
    <w:nsid w:val="67796BCC"/>
    <w:multiLevelType w:val="hybridMultilevel"/>
    <w:tmpl w:val="674C67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3"/>
  </w:num>
  <w:num w:numId="7">
    <w:abstractNumId w:val="9"/>
  </w:num>
  <w:num w:numId="8">
    <w:abstractNumId w:val="5"/>
  </w:num>
  <w:num w:numId="9">
    <w:abstractNumId w:val="0"/>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170F07"/>
    <w:rsid w:val="000018CC"/>
    <w:rsid w:val="00007B14"/>
    <w:rsid w:val="00020E91"/>
    <w:rsid w:val="00024A1B"/>
    <w:rsid w:val="0002568C"/>
    <w:rsid w:val="00031D86"/>
    <w:rsid w:val="00032C6C"/>
    <w:rsid w:val="0003514A"/>
    <w:rsid w:val="000353C1"/>
    <w:rsid w:val="00035772"/>
    <w:rsid w:val="00046BFA"/>
    <w:rsid w:val="0005518E"/>
    <w:rsid w:val="0005539A"/>
    <w:rsid w:val="000618E8"/>
    <w:rsid w:val="0006269A"/>
    <w:rsid w:val="000631FA"/>
    <w:rsid w:val="0006717D"/>
    <w:rsid w:val="00073F7E"/>
    <w:rsid w:val="00076FD4"/>
    <w:rsid w:val="00077F31"/>
    <w:rsid w:val="00082062"/>
    <w:rsid w:val="0008474C"/>
    <w:rsid w:val="00084B90"/>
    <w:rsid w:val="000855D0"/>
    <w:rsid w:val="00085B41"/>
    <w:rsid w:val="00087A98"/>
    <w:rsid w:val="00090541"/>
    <w:rsid w:val="00090EF0"/>
    <w:rsid w:val="00091779"/>
    <w:rsid w:val="000962EA"/>
    <w:rsid w:val="00097283"/>
    <w:rsid w:val="000A0076"/>
    <w:rsid w:val="000A1B3C"/>
    <w:rsid w:val="000A2668"/>
    <w:rsid w:val="000A3787"/>
    <w:rsid w:val="000A3804"/>
    <w:rsid w:val="000A5E67"/>
    <w:rsid w:val="000A6327"/>
    <w:rsid w:val="000A6362"/>
    <w:rsid w:val="000B070D"/>
    <w:rsid w:val="000B258A"/>
    <w:rsid w:val="000B5519"/>
    <w:rsid w:val="000B6893"/>
    <w:rsid w:val="000C5DAB"/>
    <w:rsid w:val="000D16C8"/>
    <w:rsid w:val="000D1F2A"/>
    <w:rsid w:val="000D35DD"/>
    <w:rsid w:val="000E1B49"/>
    <w:rsid w:val="000E2192"/>
    <w:rsid w:val="000E4D41"/>
    <w:rsid w:val="000E569B"/>
    <w:rsid w:val="000F6A49"/>
    <w:rsid w:val="000F724D"/>
    <w:rsid w:val="00100C55"/>
    <w:rsid w:val="0010155C"/>
    <w:rsid w:val="00102EA1"/>
    <w:rsid w:val="00106A42"/>
    <w:rsid w:val="00114E86"/>
    <w:rsid w:val="00120066"/>
    <w:rsid w:val="001205E7"/>
    <w:rsid w:val="00121FC4"/>
    <w:rsid w:val="00126CEA"/>
    <w:rsid w:val="0013048C"/>
    <w:rsid w:val="00140264"/>
    <w:rsid w:val="00141C94"/>
    <w:rsid w:val="001442BA"/>
    <w:rsid w:val="001442FB"/>
    <w:rsid w:val="00150044"/>
    <w:rsid w:val="00151533"/>
    <w:rsid w:val="0015206A"/>
    <w:rsid w:val="00153B88"/>
    <w:rsid w:val="001553D0"/>
    <w:rsid w:val="001610E0"/>
    <w:rsid w:val="00163A0F"/>
    <w:rsid w:val="00163F93"/>
    <w:rsid w:val="00164FF2"/>
    <w:rsid w:val="00165C27"/>
    <w:rsid w:val="0016689F"/>
    <w:rsid w:val="00170F07"/>
    <w:rsid w:val="001757F3"/>
    <w:rsid w:val="00177005"/>
    <w:rsid w:val="00181145"/>
    <w:rsid w:val="00183156"/>
    <w:rsid w:val="00183C57"/>
    <w:rsid w:val="00191380"/>
    <w:rsid w:val="001A188B"/>
    <w:rsid w:val="001A29D6"/>
    <w:rsid w:val="001A5823"/>
    <w:rsid w:val="001B001D"/>
    <w:rsid w:val="001B2983"/>
    <w:rsid w:val="001B2C2C"/>
    <w:rsid w:val="001B780D"/>
    <w:rsid w:val="001B78C6"/>
    <w:rsid w:val="001B7D49"/>
    <w:rsid w:val="001C07FB"/>
    <w:rsid w:val="001C11C5"/>
    <w:rsid w:val="001C25A6"/>
    <w:rsid w:val="001C2718"/>
    <w:rsid w:val="001C4433"/>
    <w:rsid w:val="001D1383"/>
    <w:rsid w:val="001D1CF5"/>
    <w:rsid w:val="001E2728"/>
    <w:rsid w:val="001E797C"/>
    <w:rsid w:val="001E7C1F"/>
    <w:rsid w:val="001F04A5"/>
    <w:rsid w:val="001F190C"/>
    <w:rsid w:val="001F37F2"/>
    <w:rsid w:val="001F4909"/>
    <w:rsid w:val="001F4BFE"/>
    <w:rsid w:val="001F5D16"/>
    <w:rsid w:val="001F7232"/>
    <w:rsid w:val="001F731C"/>
    <w:rsid w:val="00201A55"/>
    <w:rsid w:val="00204648"/>
    <w:rsid w:val="0020558E"/>
    <w:rsid w:val="00205C98"/>
    <w:rsid w:val="0020654F"/>
    <w:rsid w:val="00216DA5"/>
    <w:rsid w:val="0021716B"/>
    <w:rsid w:val="002176AA"/>
    <w:rsid w:val="002218AE"/>
    <w:rsid w:val="002225B4"/>
    <w:rsid w:val="00223669"/>
    <w:rsid w:val="00230515"/>
    <w:rsid w:val="0023104B"/>
    <w:rsid w:val="002374C7"/>
    <w:rsid w:val="00243EFD"/>
    <w:rsid w:val="00245604"/>
    <w:rsid w:val="002478A7"/>
    <w:rsid w:val="00262F48"/>
    <w:rsid w:val="00264B85"/>
    <w:rsid w:val="00267DF8"/>
    <w:rsid w:val="00275375"/>
    <w:rsid w:val="00276599"/>
    <w:rsid w:val="00277B98"/>
    <w:rsid w:val="00277F70"/>
    <w:rsid w:val="00282FF6"/>
    <w:rsid w:val="00297071"/>
    <w:rsid w:val="00297930"/>
    <w:rsid w:val="002A053B"/>
    <w:rsid w:val="002B052D"/>
    <w:rsid w:val="002B05D1"/>
    <w:rsid w:val="002B106E"/>
    <w:rsid w:val="002B177A"/>
    <w:rsid w:val="002B1ABC"/>
    <w:rsid w:val="002B3B39"/>
    <w:rsid w:val="002B4C79"/>
    <w:rsid w:val="002B4E36"/>
    <w:rsid w:val="002B563B"/>
    <w:rsid w:val="002C0DE0"/>
    <w:rsid w:val="002C20F1"/>
    <w:rsid w:val="002C2141"/>
    <w:rsid w:val="002C34BD"/>
    <w:rsid w:val="002C7C0A"/>
    <w:rsid w:val="002E191B"/>
    <w:rsid w:val="002E5B96"/>
    <w:rsid w:val="002E5D6A"/>
    <w:rsid w:val="002F07D7"/>
    <w:rsid w:val="002F5E26"/>
    <w:rsid w:val="002F5FE4"/>
    <w:rsid w:val="00306F4E"/>
    <w:rsid w:val="003132C1"/>
    <w:rsid w:val="003148D8"/>
    <w:rsid w:val="00317439"/>
    <w:rsid w:val="00317AD5"/>
    <w:rsid w:val="00320224"/>
    <w:rsid w:val="003220F7"/>
    <w:rsid w:val="0032255D"/>
    <w:rsid w:val="00327296"/>
    <w:rsid w:val="00330473"/>
    <w:rsid w:val="0033237C"/>
    <w:rsid w:val="00332F09"/>
    <w:rsid w:val="003335C8"/>
    <w:rsid w:val="003348D3"/>
    <w:rsid w:val="003362EC"/>
    <w:rsid w:val="00337B73"/>
    <w:rsid w:val="00343934"/>
    <w:rsid w:val="003455D5"/>
    <w:rsid w:val="00345D51"/>
    <w:rsid w:val="00345DCE"/>
    <w:rsid w:val="00354FE7"/>
    <w:rsid w:val="0035510E"/>
    <w:rsid w:val="00357AB3"/>
    <w:rsid w:val="00357CA4"/>
    <w:rsid w:val="00360656"/>
    <w:rsid w:val="00365155"/>
    <w:rsid w:val="003658B3"/>
    <w:rsid w:val="00372FC2"/>
    <w:rsid w:val="003736D3"/>
    <w:rsid w:val="0037421F"/>
    <w:rsid w:val="0038194A"/>
    <w:rsid w:val="00383F1E"/>
    <w:rsid w:val="00385276"/>
    <w:rsid w:val="003930D5"/>
    <w:rsid w:val="003962DF"/>
    <w:rsid w:val="003A0884"/>
    <w:rsid w:val="003A402B"/>
    <w:rsid w:val="003A5C56"/>
    <w:rsid w:val="003A6F4E"/>
    <w:rsid w:val="003A7980"/>
    <w:rsid w:val="003B15E8"/>
    <w:rsid w:val="003B3C36"/>
    <w:rsid w:val="003B63E0"/>
    <w:rsid w:val="003B695B"/>
    <w:rsid w:val="003B6D64"/>
    <w:rsid w:val="003C0B0A"/>
    <w:rsid w:val="003C284C"/>
    <w:rsid w:val="003C6D72"/>
    <w:rsid w:val="003D74DB"/>
    <w:rsid w:val="003E682A"/>
    <w:rsid w:val="003E722F"/>
    <w:rsid w:val="003F2422"/>
    <w:rsid w:val="003F438E"/>
    <w:rsid w:val="004000C6"/>
    <w:rsid w:val="004028D7"/>
    <w:rsid w:val="00403CA2"/>
    <w:rsid w:val="00415875"/>
    <w:rsid w:val="00420351"/>
    <w:rsid w:val="00420E35"/>
    <w:rsid w:val="00426275"/>
    <w:rsid w:val="0042667C"/>
    <w:rsid w:val="00430337"/>
    <w:rsid w:val="0044209E"/>
    <w:rsid w:val="004420D9"/>
    <w:rsid w:val="004430F7"/>
    <w:rsid w:val="004455CC"/>
    <w:rsid w:val="00445EF0"/>
    <w:rsid w:val="00455FDE"/>
    <w:rsid w:val="0046213E"/>
    <w:rsid w:val="004807C4"/>
    <w:rsid w:val="00481B20"/>
    <w:rsid w:val="00486A05"/>
    <w:rsid w:val="00487C47"/>
    <w:rsid w:val="00490E03"/>
    <w:rsid w:val="00494223"/>
    <w:rsid w:val="004A4E1C"/>
    <w:rsid w:val="004A5242"/>
    <w:rsid w:val="004A547A"/>
    <w:rsid w:val="004B036B"/>
    <w:rsid w:val="004B0CD0"/>
    <w:rsid w:val="004C1A19"/>
    <w:rsid w:val="004C1A6C"/>
    <w:rsid w:val="004C1DEF"/>
    <w:rsid w:val="004C2350"/>
    <w:rsid w:val="004C28BD"/>
    <w:rsid w:val="004C510F"/>
    <w:rsid w:val="004C5FF8"/>
    <w:rsid w:val="004D053B"/>
    <w:rsid w:val="004D3C7D"/>
    <w:rsid w:val="004D5EC4"/>
    <w:rsid w:val="004E4FA3"/>
    <w:rsid w:val="004F0756"/>
    <w:rsid w:val="004F497C"/>
    <w:rsid w:val="00500024"/>
    <w:rsid w:val="00502B80"/>
    <w:rsid w:val="0050712B"/>
    <w:rsid w:val="00507947"/>
    <w:rsid w:val="005172FB"/>
    <w:rsid w:val="00525A8E"/>
    <w:rsid w:val="00525F46"/>
    <w:rsid w:val="005265CB"/>
    <w:rsid w:val="005345F6"/>
    <w:rsid w:val="005353EE"/>
    <w:rsid w:val="00536783"/>
    <w:rsid w:val="005434BE"/>
    <w:rsid w:val="0054649F"/>
    <w:rsid w:val="00547708"/>
    <w:rsid w:val="00547FEF"/>
    <w:rsid w:val="00551852"/>
    <w:rsid w:val="00551DC5"/>
    <w:rsid w:val="00557FEB"/>
    <w:rsid w:val="005622BA"/>
    <w:rsid w:val="00564569"/>
    <w:rsid w:val="0056760B"/>
    <w:rsid w:val="005711A7"/>
    <w:rsid w:val="00571E1B"/>
    <w:rsid w:val="00574805"/>
    <w:rsid w:val="005763E1"/>
    <w:rsid w:val="00576D49"/>
    <w:rsid w:val="00577D90"/>
    <w:rsid w:val="00585DA0"/>
    <w:rsid w:val="005915A8"/>
    <w:rsid w:val="00592685"/>
    <w:rsid w:val="0059706E"/>
    <w:rsid w:val="005A1245"/>
    <w:rsid w:val="005A4C39"/>
    <w:rsid w:val="005A7465"/>
    <w:rsid w:val="005B0C5A"/>
    <w:rsid w:val="005B4A4F"/>
    <w:rsid w:val="005C04DC"/>
    <w:rsid w:val="005C3D15"/>
    <w:rsid w:val="005C3DE1"/>
    <w:rsid w:val="005C40BE"/>
    <w:rsid w:val="005C412D"/>
    <w:rsid w:val="005C52D8"/>
    <w:rsid w:val="005C58BF"/>
    <w:rsid w:val="005E019A"/>
    <w:rsid w:val="005E1958"/>
    <w:rsid w:val="005E23BA"/>
    <w:rsid w:val="005E6D14"/>
    <w:rsid w:val="005E7BD5"/>
    <w:rsid w:val="005F3C23"/>
    <w:rsid w:val="006123C3"/>
    <w:rsid w:val="00612CF2"/>
    <w:rsid w:val="00616F70"/>
    <w:rsid w:val="00617AF3"/>
    <w:rsid w:val="00621B4E"/>
    <w:rsid w:val="00623651"/>
    <w:rsid w:val="00624D63"/>
    <w:rsid w:val="00626DC7"/>
    <w:rsid w:val="0063019D"/>
    <w:rsid w:val="00630324"/>
    <w:rsid w:val="006313A2"/>
    <w:rsid w:val="006367B3"/>
    <w:rsid w:val="00640210"/>
    <w:rsid w:val="00642193"/>
    <w:rsid w:val="0064377D"/>
    <w:rsid w:val="00656421"/>
    <w:rsid w:val="00657C9E"/>
    <w:rsid w:val="00663B7F"/>
    <w:rsid w:val="00665B85"/>
    <w:rsid w:val="00674CFF"/>
    <w:rsid w:val="0067699E"/>
    <w:rsid w:val="00676B04"/>
    <w:rsid w:val="0068623F"/>
    <w:rsid w:val="00690AED"/>
    <w:rsid w:val="00693AE6"/>
    <w:rsid w:val="006A1552"/>
    <w:rsid w:val="006A258F"/>
    <w:rsid w:val="006B2915"/>
    <w:rsid w:val="006B2DF6"/>
    <w:rsid w:val="006B30E9"/>
    <w:rsid w:val="006B3A5A"/>
    <w:rsid w:val="006B4383"/>
    <w:rsid w:val="006C5596"/>
    <w:rsid w:val="006C6A21"/>
    <w:rsid w:val="006C78E1"/>
    <w:rsid w:val="006D5425"/>
    <w:rsid w:val="006D7414"/>
    <w:rsid w:val="006E3ACF"/>
    <w:rsid w:val="006E53F8"/>
    <w:rsid w:val="006F0B81"/>
    <w:rsid w:val="006F6A48"/>
    <w:rsid w:val="00701958"/>
    <w:rsid w:val="00701E09"/>
    <w:rsid w:val="007035D6"/>
    <w:rsid w:val="00710C06"/>
    <w:rsid w:val="007110FE"/>
    <w:rsid w:val="00711B4C"/>
    <w:rsid w:val="007124CF"/>
    <w:rsid w:val="00712513"/>
    <w:rsid w:val="00716546"/>
    <w:rsid w:val="00720930"/>
    <w:rsid w:val="0072284F"/>
    <w:rsid w:val="0072385F"/>
    <w:rsid w:val="00723B40"/>
    <w:rsid w:val="00724DA9"/>
    <w:rsid w:val="007263A5"/>
    <w:rsid w:val="00731B26"/>
    <w:rsid w:val="00734F36"/>
    <w:rsid w:val="00741C29"/>
    <w:rsid w:val="00746360"/>
    <w:rsid w:val="00747045"/>
    <w:rsid w:val="0075058F"/>
    <w:rsid w:val="00751636"/>
    <w:rsid w:val="0075220D"/>
    <w:rsid w:val="007538E4"/>
    <w:rsid w:val="00753FC8"/>
    <w:rsid w:val="00757458"/>
    <w:rsid w:val="00757843"/>
    <w:rsid w:val="00757F99"/>
    <w:rsid w:val="007618D5"/>
    <w:rsid w:val="00761E44"/>
    <w:rsid w:val="00764655"/>
    <w:rsid w:val="00766406"/>
    <w:rsid w:val="00767772"/>
    <w:rsid w:val="007742EE"/>
    <w:rsid w:val="0078424C"/>
    <w:rsid w:val="00790E30"/>
    <w:rsid w:val="0079151A"/>
    <w:rsid w:val="0079418A"/>
    <w:rsid w:val="00794CAB"/>
    <w:rsid w:val="00796121"/>
    <w:rsid w:val="007A58F5"/>
    <w:rsid w:val="007A7096"/>
    <w:rsid w:val="007A70AA"/>
    <w:rsid w:val="007B4D00"/>
    <w:rsid w:val="007B5751"/>
    <w:rsid w:val="007B73A0"/>
    <w:rsid w:val="007C22A4"/>
    <w:rsid w:val="007C2FB6"/>
    <w:rsid w:val="007C3D5D"/>
    <w:rsid w:val="007C4169"/>
    <w:rsid w:val="007C580B"/>
    <w:rsid w:val="007C719F"/>
    <w:rsid w:val="007D1A27"/>
    <w:rsid w:val="007D5B7F"/>
    <w:rsid w:val="007D64B0"/>
    <w:rsid w:val="007D6EAE"/>
    <w:rsid w:val="007E3407"/>
    <w:rsid w:val="007E622B"/>
    <w:rsid w:val="007E77CE"/>
    <w:rsid w:val="007F1A4F"/>
    <w:rsid w:val="007F276F"/>
    <w:rsid w:val="007F4112"/>
    <w:rsid w:val="007F51DF"/>
    <w:rsid w:val="0080286C"/>
    <w:rsid w:val="00803BF9"/>
    <w:rsid w:val="008069D8"/>
    <w:rsid w:val="00810091"/>
    <w:rsid w:val="008137F4"/>
    <w:rsid w:val="0081380E"/>
    <w:rsid w:val="008138CA"/>
    <w:rsid w:val="00820F90"/>
    <w:rsid w:val="008278E5"/>
    <w:rsid w:val="008339F8"/>
    <w:rsid w:val="008356A4"/>
    <w:rsid w:val="0083707B"/>
    <w:rsid w:val="008378FC"/>
    <w:rsid w:val="00840FD1"/>
    <w:rsid w:val="00842BA2"/>
    <w:rsid w:val="00843CC5"/>
    <w:rsid w:val="00845D22"/>
    <w:rsid w:val="00847784"/>
    <w:rsid w:val="008523C9"/>
    <w:rsid w:val="00854E7B"/>
    <w:rsid w:val="00862B6D"/>
    <w:rsid w:val="0086442F"/>
    <w:rsid w:val="00867BDE"/>
    <w:rsid w:val="0087031A"/>
    <w:rsid w:val="00870947"/>
    <w:rsid w:val="00871351"/>
    <w:rsid w:val="00873349"/>
    <w:rsid w:val="008769B6"/>
    <w:rsid w:val="00876F96"/>
    <w:rsid w:val="008858F0"/>
    <w:rsid w:val="00887406"/>
    <w:rsid w:val="0089378F"/>
    <w:rsid w:val="008B3B94"/>
    <w:rsid w:val="008C1E15"/>
    <w:rsid w:val="008C31DB"/>
    <w:rsid w:val="008C47BE"/>
    <w:rsid w:val="008C5CB7"/>
    <w:rsid w:val="008D557E"/>
    <w:rsid w:val="008E0286"/>
    <w:rsid w:val="008E20BF"/>
    <w:rsid w:val="008E23C2"/>
    <w:rsid w:val="008E5AFC"/>
    <w:rsid w:val="008E7C85"/>
    <w:rsid w:val="008F2DE3"/>
    <w:rsid w:val="008F4234"/>
    <w:rsid w:val="009025DA"/>
    <w:rsid w:val="009107F4"/>
    <w:rsid w:val="00911350"/>
    <w:rsid w:val="00911CE8"/>
    <w:rsid w:val="00914BD8"/>
    <w:rsid w:val="0091563E"/>
    <w:rsid w:val="00922C25"/>
    <w:rsid w:val="00924A95"/>
    <w:rsid w:val="00927569"/>
    <w:rsid w:val="00930BBA"/>
    <w:rsid w:val="00932561"/>
    <w:rsid w:val="009335D5"/>
    <w:rsid w:val="00933E3B"/>
    <w:rsid w:val="009363A3"/>
    <w:rsid w:val="00941984"/>
    <w:rsid w:val="009445A1"/>
    <w:rsid w:val="00947E2F"/>
    <w:rsid w:val="0095091D"/>
    <w:rsid w:val="00950C2B"/>
    <w:rsid w:val="009515B4"/>
    <w:rsid w:val="009533C8"/>
    <w:rsid w:val="009554D8"/>
    <w:rsid w:val="0096140D"/>
    <w:rsid w:val="009638C8"/>
    <w:rsid w:val="0096458B"/>
    <w:rsid w:val="009742DF"/>
    <w:rsid w:val="00974AD7"/>
    <w:rsid w:val="00976F80"/>
    <w:rsid w:val="00977EFF"/>
    <w:rsid w:val="009804D1"/>
    <w:rsid w:val="00980FCB"/>
    <w:rsid w:val="009810D0"/>
    <w:rsid w:val="00990A0D"/>
    <w:rsid w:val="009922DD"/>
    <w:rsid w:val="009A0D55"/>
    <w:rsid w:val="009A3F0F"/>
    <w:rsid w:val="009B2C01"/>
    <w:rsid w:val="009B3CE5"/>
    <w:rsid w:val="009B5930"/>
    <w:rsid w:val="009B6BBC"/>
    <w:rsid w:val="009C1DA0"/>
    <w:rsid w:val="009C26C5"/>
    <w:rsid w:val="009C6575"/>
    <w:rsid w:val="009C703E"/>
    <w:rsid w:val="009E0AB8"/>
    <w:rsid w:val="009E169B"/>
    <w:rsid w:val="009E3C44"/>
    <w:rsid w:val="009E3D81"/>
    <w:rsid w:val="009E578F"/>
    <w:rsid w:val="009E6662"/>
    <w:rsid w:val="009F0251"/>
    <w:rsid w:val="009F67C6"/>
    <w:rsid w:val="00A007B0"/>
    <w:rsid w:val="00A03ACF"/>
    <w:rsid w:val="00A03B40"/>
    <w:rsid w:val="00A10DD0"/>
    <w:rsid w:val="00A12D86"/>
    <w:rsid w:val="00A13707"/>
    <w:rsid w:val="00A16074"/>
    <w:rsid w:val="00A2368F"/>
    <w:rsid w:val="00A23896"/>
    <w:rsid w:val="00A2615B"/>
    <w:rsid w:val="00A27F6A"/>
    <w:rsid w:val="00A31D71"/>
    <w:rsid w:val="00A351E6"/>
    <w:rsid w:val="00A35C94"/>
    <w:rsid w:val="00A35F52"/>
    <w:rsid w:val="00A408EA"/>
    <w:rsid w:val="00A41DED"/>
    <w:rsid w:val="00A422D5"/>
    <w:rsid w:val="00A42DBE"/>
    <w:rsid w:val="00A43248"/>
    <w:rsid w:val="00A45344"/>
    <w:rsid w:val="00A51841"/>
    <w:rsid w:val="00A56721"/>
    <w:rsid w:val="00A60346"/>
    <w:rsid w:val="00A72695"/>
    <w:rsid w:val="00A729BB"/>
    <w:rsid w:val="00A736E8"/>
    <w:rsid w:val="00A7456B"/>
    <w:rsid w:val="00A76879"/>
    <w:rsid w:val="00A77B90"/>
    <w:rsid w:val="00A91C29"/>
    <w:rsid w:val="00A9543E"/>
    <w:rsid w:val="00A956DC"/>
    <w:rsid w:val="00AB337D"/>
    <w:rsid w:val="00AB3641"/>
    <w:rsid w:val="00AB3B1D"/>
    <w:rsid w:val="00AB521C"/>
    <w:rsid w:val="00AB5724"/>
    <w:rsid w:val="00AB68B7"/>
    <w:rsid w:val="00AC2411"/>
    <w:rsid w:val="00AC61F0"/>
    <w:rsid w:val="00AD24F6"/>
    <w:rsid w:val="00AD2717"/>
    <w:rsid w:val="00AE477F"/>
    <w:rsid w:val="00AE6337"/>
    <w:rsid w:val="00AE6642"/>
    <w:rsid w:val="00AF1D04"/>
    <w:rsid w:val="00AF26CE"/>
    <w:rsid w:val="00AF30AA"/>
    <w:rsid w:val="00AF5A3D"/>
    <w:rsid w:val="00AF5F17"/>
    <w:rsid w:val="00B02067"/>
    <w:rsid w:val="00B04934"/>
    <w:rsid w:val="00B06980"/>
    <w:rsid w:val="00B07E81"/>
    <w:rsid w:val="00B13C55"/>
    <w:rsid w:val="00B169B0"/>
    <w:rsid w:val="00B20889"/>
    <w:rsid w:val="00B21976"/>
    <w:rsid w:val="00B23085"/>
    <w:rsid w:val="00B24AF1"/>
    <w:rsid w:val="00B2560C"/>
    <w:rsid w:val="00B31347"/>
    <w:rsid w:val="00B358B9"/>
    <w:rsid w:val="00B4207B"/>
    <w:rsid w:val="00B422A9"/>
    <w:rsid w:val="00B44187"/>
    <w:rsid w:val="00B44970"/>
    <w:rsid w:val="00B46563"/>
    <w:rsid w:val="00B52906"/>
    <w:rsid w:val="00B56497"/>
    <w:rsid w:val="00B6208F"/>
    <w:rsid w:val="00B63444"/>
    <w:rsid w:val="00B67E4B"/>
    <w:rsid w:val="00B75C73"/>
    <w:rsid w:val="00B7636A"/>
    <w:rsid w:val="00B83809"/>
    <w:rsid w:val="00B85753"/>
    <w:rsid w:val="00B85DC2"/>
    <w:rsid w:val="00B86344"/>
    <w:rsid w:val="00B90C5F"/>
    <w:rsid w:val="00B90E79"/>
    <w:rsid w:val="00B92FB1"/>
    <w:rsid w:val="00BA0DA3"/>
    <w:rsid w:val="00BA3065"/>
    <w:rsid w:val="00BA6E91"/>
    <w:rsid w:val="00BA70A6"/>
    <w:rsid w:val="00BB230F"/>
    <w:rsid w:val="00BB6AFF"/>
    <w:rsid w:val="00BC34DF"/>
    <w:rsid w:val="00BC6691"/>
    <w:rsid w:val="00BC7E24"/>
    <w:rsid w:val="00BD4259"/>
    <w:rsid w:val="00BD666B"/>
    <w:rsid w:val="00BD7575"/>
    <w:rsid w:val="00BE0212"/>
    <w:rsid w:val="00C1056D"/>
    <w:rsid w:val="00C12049"/>
    <w:rsid w:val="00C12FC6"/>
    <w:rsid w:val="00C166EB"/>
    <w:rsid w:val="00C176E3"/>
    <w:rsid w:val="00C20ECE"/>
    <w:rsid w:val="00C2467C"/>
    <w:rsid w:val="00C43361"/>
    <w:rsid w:val="00C45C36"/>
    <w:rsid w:val="00C50AAA"/>
    <w:rsid w:val="00C531D6"/>
    <w:rsid w:val="00C56880"/>
    <w:rsid w:val="00C60914"/>
    <w:rsid w:val="00C62DE7"/>
    <w:rsid w:val="00C64978"/>
    <w:rsid w:val="00C66934"/>
    <w:rsid w:val="00C703CA"/>
    <w:rsid w:val="00C7109D"/>
    <w:rsid w:val="00C7344F"/>
    <w:rsid w:val="00C75586"/>
    <w:rsid w:val="00C76BA9"/>
    <w:rsid w:val="00C77D03"/>
    <w:rsid w:val="00C80341"/>
    <w:rsid w:val="00C83D11"/>
    <w:rsid w:val="00C8512F"/>
    <w:rsid w:val="00C851F3"/>
    <w:rsid w:val="00C924B8"/>
    <w:rsid w:val="00C94135"/>
    <w:rsid w:val="00C95F4E"/>
    <w:rsid w:val="00C9761B"/>
    <w:rsid w:val="00CA0FEC"/>
    <w:rsid w:val="00CA46F8"/>
    <w:rsid w:val="00CA50D4"/>
    <w:rsid w:val="00CB198C"/>
    <w:rsid w:val="00CB43DD"/>
    <w:rsid w:val="00CB4A69"/>
    <w:rsid w:val="00CC1C31"/>
    <w:rsid w:val="00CC4FEB"/>
    <w:rsid w:val="00CD2CC8"/>
    <w:rsid w:val="00CD39EC"/>
    <w:rsid w:val="00CD6621"/>
    <w:rsid w:val="00CE1393"/>
    <w:rsid w:val="00CE5CFA"/>
    <w:rsid w:val="00CE69A9"/>
    <w:rsid w:val="00CF2419"/>
    <w:rsid w:val="00D0490A"/>
    <w:rsid w:val="00D05D4A"/>
    <w:rsid w:val="00D1200F"/>
    <w:rsid w:val="00D15E90"/>
    <w:rsid w:val="00D16082"/>
    <w:rsid w:val="00D201E1"/>
    <w:rsid w:val="00D23A67"/>
    <w:rsid w:val="00D33AEE"/>
    <w:rsid w:val="00D367A8"/>
    <w:rsid w:val="00D373FA"/>
    <w:rsid w:val="00D406BA"/>
    <w:rsid w:val="00D41B4D"/>
    <w:rsid w:val="00D44A7A"/>
    <w:rsid w:val="00D454B5"/>
    <w:rsid w:val="00D46918"/>
    <w:rsid w:val="00D51FB5"/>
    <w:rsid w:val="00D55374"/>
    <w:rsid w:val="00D626F6"/>
    <w:rsid w:val="00D64A99"/>
    <w:rsid w:val="00D75BB1"/>
    <w:rsid w:val="00D77E3D"/>
    <w:rsid w:val="00D80D9C"/>
    <w:rsid w:val="00D80DBB"/>
    <w:rsid w:val="00D8645E"/>
    <w:rsid w:val="00D87A53"/>
    <w:rsid w:val="00D87CE4"/>
    <w:rsid w:val="00D900FB"/>
    <w:rsid w:val="00DA3671"/>
    <w:rsid w:val="00DA5904"/>
    <w:rsid w:val="00DA5DEB"/>
    <w:rsid w:val="00DB095B"/>
    <w:rsid w:val="00DB0F13"/>
    <w:rsid w:val="00DC6102"/>
    <w:rsid w:val="00DD02B3"/>
    <w:rsid w:val="00DD10F6"/>
    <w:rsid w:val="00DD2140"/>
    <w:rsid w:val="00DD3AEF"/>
    <w:rsid w:val="00DD3D3A"/>
    <w:rsid w:val="00DD5FA4"/>
    <w:rsid w:val="00DD7153"/>
    <w:rsid w:val="00DE29A1"/>
    <w:rsid w:val="00DE63CF"/>
    <w:rsid w:val="00DF03EA"/>
    <w:rsid w:val="00DF0ED6"/>
    <w:rsid w:val="00DF546E"/>
    <w:rsid w:val="00DF57D4"/>
    <w:rsid w:val="00DF6A12"/>
    <w:rsid w:val="00E0401B"/>
    <w:rsid w:val="00E07B1B"/>
    <w:rsid w:val="00E10E15"/>
    <w:rsid w:val="00E27573"/>
    <w:rsid w:val="00E37814"/>
    <w:rsid w:val="00E40947"/>
    <w:rsid w:val="00E45A81"/>
    <w:rsid w:val="00E46937"/>
    <w:rsid w:val="00E469A4"/>
    <w:rsid w:val="00E60952"/>
    <w:rsid w:val="00E629AD"/>
    <w:rsid w:val="00E64203"/>
    <w:rsid w:val="00E64C26"/>
    <w:rsid w:val="00E66DC4"/>
    <w:rsid w:val="00E6730E"/>
    <w:rsid w:val="00E709CE"/>
    <w:rsid w:val="00E712B4"/>
    <w:rsid w:val="00E730EF"/>
    <w:rsid w:val="00E7410A"/>
    <w:rsid w:val="00E74F57"/>
    <w:rsid w:val="00E76C1A"/>
    <w:rsid w:val="00E807D8"/>
    <w:rsid w:val="00E80E47"/>
    <w:rsid w:val="00E8416B"/>
    <w:rsid w:val="00E846BD"/>
    <w:rsid w:val="00E87947"/>
    <w:rsid w:val="00EA00D3"/>
    <w:rsid w:val="00EA050E"/>
    <w:rsid w:val="00EA2083"/>
    <w:rsid w:val="00EA327D"/>
    <w:rsid w:val="00EB4CA6"/>
    <w:rsid w:val="00EB5143"/>
    <w:rsid w:val="00EB6D78"/>
    <w:rsid w:val="00EC2771"/>
    <w:rsid w:val="00ED06CB"/>
    <w:rsid w:val="00ED25FD"/>
    <w:rsid w:val="00ED35A6"/>
    <w:rsid w:val="00EF06E0"/>
    <w:rsid w:val="00EF2B3C"/>
    <w:rsid w:val="00EF42F5"/>
    <w:rsid w:val="00F01948"/>
    <w:rsid w:val="00F033BA"/>
    <w:rsid w:val="00F071ED"/>
    <w:rsid w:val="00F12648"/>
    <w:rsid w:val="00F1578E"/>
    <w:rsid w:val="00F15F27"/>
    <w:rsid w:val="00F23C3C"/>
    <w:rsid w:val="00F304F1"/>
    <w:rsid w:val="00F30F9A"/>
    <w:rsid w:val="00F3212C"/>
    <w:rsid w:val="00F40227"/>
    <w:rsid w:val="00F43A17"/>
    <w:rsid w:val="00F46A7B"/>
    <w:rsid w:val="00F46EFB"/>
    <w:rsid w:val="00F52D7F"/>
    <w:rsid w:val="00F6099C"/>
    <w:rsid w:val="00F6170B"/>
    <w:rsid w:val="00F61BF2"/>
    <w:rsid w:val="00F62954"/>
    <w:rsid w:val="00F644D4"/>
    <w:rsid w:val="00F64EEE"/>
    <w:rsid w:val="00F65C94"/>
    <w:rsid w:val="00F75829"/>
    <w:rsid w:val="00F80471"/>
    <w:rsid w:val="00F86BF6"/>
    <w:rsid w:val="00F86CD0"/>
    <w:rsid w:val="00F92FA3"/>
    <w:rsid w:val="00F940CB"/>
    <w:rsid w:val="00F94D05"/>
    <w:rsid w:val="00F94F33"/>
    <w:rsid w:val="00F9592A"/>
    <w:rsid w:val="00F96B02"/>
    <w:rsid w:val="00FA4BA2"/>
    <w:rsid w:val="00FA5281"/>
    <w:rsid w:val="00FA65E4"/>
    <w:rsid w:val="00FA76E5"/>
    <w:rsid w:val="00FB0519"/>
    <w:rsid w:val="00FB2E4E"/>
    <w:rsid w:val="00FB46BF"/>
    <w:rsid w:val="00FB5470"/>
    <w:rsid w:val="00FB7A78"/>
    <w:rsid w:val="00FC60BD"/>
    <w:rsid w:val="00FC6DB9"/>
    <w:rsid w:val="00FE4C14"/>
    <w:rsid w:val="00FE5F62"/>
    <w:rsid w:val="00FE6805"/>
    <w:rsid w:val="00FF0304"/>
    <w:rsid w:val="00FF04B1"/>
    <w:rsid w:val="00FF0C1D"/>
    <w:rsid w:val="00FF1CCE"/>
    <w:rsid w:val="00FF320C"/>
    <w:rsid w:val="00FF41EA"/>
    <w:rsid w:val="00FF42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0F07"/>
    <w:pPr>
      <w:suppressAutoHyphens/>
      <w:spacing w:before="280" w:after="119" w:line="240" w:lineRule="auto"/>
    </w:pPr>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A27F6A"/>
    <w:pPr>
      <w:ind w:left="720"/>
      <w:contextualSpacing/>
    </w:pPr>
  </w:style>
  <w:style w:type="paragraph" w:customStyle="1" w:styleId="programmas">
    <w:name w:val="programmas"/>
    <w:basedOn w:val="Normal"/>
    <w:rsid w:val="009C26C5"/>
    <w:pPr>
      <w:widowControl w:val="0"/>
      <w:spacing w:before="120" w:after="120" w:line="240" w:lineRule="auto"/>
      <w:jc w:val="center"/>
    </w:pPr>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B3B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B1D"/>
  </w:style>
  <w:style w:type="paragraph" w:styleId="Footer">
    <w:name w:val="footer"/>
    <w:basedOn w:val="Normal"/>
    <w:link w:val="FooterChar"/>
    <w:uiPriority w:val="99"/>
    <w:unhideWhenUsed/>
    <w:rsid w:val="00AB3B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B1D"/>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table" w:styleId="TableGrid">
    <w:name w:val="Table Grid"/>
    <w:basedOn w:val="TableNormal"/>
    <w:uiPriority w:val="59"/>
    <w:rsid w:val="00D44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F6A12"/>
    <w:pPr>
      <w:spacing w:after="0" w:line="240" w:lineRule="auto"/>
    </w:pPr>
    <w:rPr>
      <w:rFonts w:ascii="Calibri" w:eastAsia="Calibri" w:hAnsi="Calibri" w:cs="Times New Roman"/>
      <w:lang w:val="lv-LV"/>
    </w:rPr>
  </w:style>
  <w:style w:type="character" w:customStyle="1" w:styleId="NoSpacingChar">
    <w:name w:val="No Spacing Char"/>
    <w:basedOn w:val="DefaultParagraphFont"/>
    <w:link w:val="NoSpacing"/>
    <w:uiPriority w:val="1"/>
    <w:rsid w:val="00DF6A12"/>
    <w:rPr>
      <w:rFonts w:ascii="Calibri" w:eastAsia="Calibri" w:hAnsi="Calibri" w:cs="Times New Roman"/>
      <w:lang w:val="lv-LV"/>
    </w:rPr>
  </w:style>
  <w:style w:type="character" w:styleId="CommentReference">
    <w:name w:val="annotation reference"/>
    <w:basedOn w:val="DefaultParagraphFont"/>
    <w:uiPriority w:val="99"/>
    <w:semiHidden/>
    <w:unhideWhenUsed/>
    <w:rsid w:val="000E569B"/>
    <w:rPr>
      <w:sz w:val="16"/>
      <w:szCs w:val="16"/>
    </w:rPr>
  </w:style>
  <w:style w:type="paragraph" w:styleId="CommentText">
    <w:name w:val="annotation text"/>
    <w:basedOn w:val="Normal"/>
    <w:link w:val="CommentTextChar"/>
    <w:unhideWhenUsed/>
    <w:rsid w:val="000E569B"/>
    <w:pPr>
      <w:spacing w:line="240" w:lineRule="auto"/>
    </w:pPr>
    <w:rPr>
      <w:sz w:val="20"/>
      <w:szCs w:val="20"/>
    </w:rPr>
  </w:style>
  <w:style w:type="character" w:customStyle="1" w:styleId="CommentTextChar">
    <w:name w:val="Comment Text Char"/>
    <w:basedOn w:val="DefaultParagraphFont"/>
    <w:link w:val="CommentText"/>
    <w:rsid w:val="000E569B"/>
    <w:rPr>
      <w:sz w:val="20"/>
      <w:szCs w:val="20"/>
    </w:rPr>
  </w:style>
  <w:style w:type="paragraph" w:styleId="CommentSubject">
    <w:name w:val="annotation subject"/>
    <w:basedOn w:val="CommentText"/>
    <w:next w:val="CommentText"/>
    <w:link w:val="CommentSubjectChar"/>
    <w:uiPriority w:val="99"/>
    <w:semiHidden/>
    <w:unhideWhenUsed/>
    <w:rsid w:val="000E569B"/>
    <w:rPr>
      <w:b/>
      <w:bCs/>
    </w:rPr>
  </w:style>
  <w:style w:type="character" w:customStyle="1" w:styleId="CommentSubjectChar">
    <w:name w:val="Comment Subject Char"/>
    <w:basedOn w:val="CommentTextChar"/>
    <w:link w:val="CommentSubject"/>
    <w:uiPriority w:val="99"/>
    <w:semiHidden/>
    <w:rsid w:val="000E569B"/>
    <w:rPr>
      <w:b/>
      <w:bCs/>
    </w:rPr>
  </w:style>
  <w:style w:type="paragraph" w:styleId="EndnoteText">
    <w:name w:val="endnote text"/>
    <w:basedOn w:val="Normal"/>
    <w:link w:val="EndnoteTextChar"/>
    <w:uiPriority w:val="99"/>
    <w:semiHidden/>
    <w:unhideWhenUsed/>
    <w:rsid w:val="001B7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8C6"/>
    <w:rPr>
      <w:sz w:val="20"/>
      <w:szCs w:val="20"/>
    </w:rPr>
  </w:style>
  <w:style w:type="character" w:styleId="EndnoteReference">
    <w:name w:val="endnote reference"/>
    <w:basedOn w:val="DefaultParagraphFont"/>
    <w:uiPriority w:val="99"/>
    <w:semiHidden/>
    <w:unhideWhenUsed/>
    <w:rsid w:val="001B78C6"/>
    <w:rPr>
      <w:vertAlign w:val="superscript"/>
    </w:rPr>
  </w:style>
  <w:style w:type="paragraph" w:styleId="FootnoteText">
    <w:name w:val="footnote text"/>
    <w:basedOn w:val="Normal"/>
    <w:link w:val="FootnoteTextChar"/>
    <w:uiPriority w:val="99"/>
    <w:semiHidden/>
    <w:unhideWhenUsed/>
    <w:rsid w:val="001B7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8C6"/>
    <w:rPr>
      <w:sz w:val="20"/>
      <w:szCs w:val="20"/>
    </w:rPr>
  </w:style>
  <w:style w:type="character" w:styleId="FootnoteReference">
    <w:name w:val="footnote reference"/>
    <w:basedOn w:val="DefaultParagraphFont"/>
    <w:uiPriority w:val="99"/>
    <w:semiHidden/>
    <w:unhideWhenUsed/>
    <w:rsid w:val="001B78C6"/>
    <w:rPr>
      <w:vertAlign w:val="superscript"/>
    </w:rPr>
  </w:style>
  <w:style w:type="character" w:styleId="Hyperlink">
    <w:name w:val="Hyperlink"/>
    <w:basedOn w:val="DefaultParagraphFont"/>
    <w:uiPriority w:val="99"/>
    <w:unhideWhenUsed/>
    <w:rsid w:val="008E20BF"/>
    <w:rPr>
      <w:color w:val="0000FF"/>
      <w:u w:val="single"/>
    </w:rPr>
  </w:style>
  <w:style w:type="character" w:styleId="FollowedHyperlink">
    <w:name w:val="FollowedHyperlink"/>
    <w:basedOn w:val="DefaultParagraphFont"/>
    <w:uiPriority w:val="99"/>
    <w:semiHidden/>
    <w:unhideWhenUsed/>
    <w:rsid w:val="00A72695"/>
    <w:rPr>
      <w:color w:val="800080"/>
      <w:u w:val="single"/>
    </w:rPr>
  </w:style>
  <w:style w:type="paragraph" w:customStyle="1" w:styleId="xl66">
    <w:name w:val="xl6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7">
    <w:name w:val="xl67"/>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8">
    <w:name w:val="xl68"/>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9">
    <w:name w:val="xl69"/>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70">
    <w:name w:val="xl70"/>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71">
    <w:name w:val="xl71"/>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2">
    <w:name w:val="xl72"/>
    <w:basedOn w:val="Normal"/>
    <w:rsid w:val="00A72695"/>
    <w:pPr>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3">
    <w:name w:val="xl73"/>
    <w:basedOn w:val="Normal"/>
    <w:rsid w:val="00A72695"/>
    <w:pPr>
      <w:pBdr>
        <w:top w:val="single" w:sz="4" w:space="0" w:color="auto"/>
        <w:left w:val="single" w:sz="4" w:space="0" w:color="auto"/>
        <w:bottom w:val="single" w:sz="4" w:space="0" w:color="auto"/>
        <w:right w:val="single" w:sz="4" w:space="0" w:color="auto"/>
      </w:pBdr>
      <w:shd w:val="clear" w:color="4F81BD"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4">
    <w:name w:val="xl74"/>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5">
    <w:name w:val="xl75"/>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6">
    <w:name w:val="xl76"/>
    <w:basedOn w:val="Normal"/>
    <w:rsid w:val="00A72695"/>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7">
    <w:name w:val="xl77"/>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8">
    <w:name w:val="xl78"/>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79">
    <w:name w:val="xl79"/>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0">
    <w:name w:val="xl80"/>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1">
    <w:name w:val="xl81"/>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2">
    <w:name w:val="xl82"/>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FF"/>
      <w:sz w:val="16"/>
      <w:szCs w:val="16"/>
      <w:lang w:val="lv-LV" w:eastAsia="lv-LV"/>
    </w:rPr>
  </w:style>
  <w:style w:type="paragraph" w:customStyle="1" w:styleId="xl83">
    <w:name w:val="xl83"/>
    <w:basedOn w:val="Normal"/>
    <w:rsid w:val="00A7269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4">
    <w:name w:val="xl84"/>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5">
    <w:name w:val="xl85"/>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6">
    <w:name w:val="xl8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7">
    <w:name w:val="xl87"/>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8">
    <w:name w:val="xl88"/>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9">
    <w:name w:val="xl89"/>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naisf">
    <w:name w:val="naisf"/>
    <w:basedOn w:val="Normal"/>
    <w:rsid w:val="00C80341"/>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22966614">
      <w:bodyDiv w:val="1"/>
      <w:marLeft w:val="0"/>
      <w:marRight w:val="0"/>
      <w:marTop w:val="0"/>
      <w:marBottom w:val="0"/>
      <w:divBdr>
        <w:top w:val="none" w:sz="0" w:space="0" w:color="auto"/>
        <w:left w:val="none" w:sz="0" w:space="0" w:color="auto"/>
        <w:bottom w:val="none" w:sz="0" w:space="0" w:color="auto"/>
        <w:right w:val="none" w:sz="0" w:space="0" w:color="auto"/>
      </w:divBdr>
    </w:div>
    <w:div w:id="156113557">
      <w:bodyDiv w:val="1"/>
      <w:marLeft w:val="0"/>
      <w:marRight w:val="0"/>
      <w:marTop w:val="0"/>
      <w:marBottom w:val="0"/>
      <w:divBdr>
        <w:top w:val="none" w:sz="0" w:space="0" w:color="auto"/>
        <w:left w:val="none" w:sz="0" w:space="0" w:color="auto"/>
        <w:bottom w:val="none" w:sz="0" w:space="0" w:color="auto"/>
        <w:right w:val="none" w:sz="0" w:space="0" w:color="auto"/>
      </w:divBdr>
    </w:div>
    <w:div w:id="160895660">
      <w:bodyDiv w:val="1"/>
      <w:marLeft w:val="0"/>
      <w:marRight w:val="0"/>
      <w:marTop w:val="0"/>
      <w:marBottom w:val="0"/>
      <w:divBdr>
        <w:top w:val="none" w:sz="0" w:space="0" w:color="auto"/>
        <w:left w:val="none" w:sz="0" w:space="0" w:color="auto"/>
        <w:bottom w:val="none" w:sz="0" w:space="0" w:color="auto"/>
        <w:right w:val="none" w:sz="0" w:space="0" w:color="auto"/>
      </w:divBdr>
      <w:divsChild>
        <w:div w:id="92015542">
          <w:marLeft w:val="950"/>
          <w:marRight w:val="0"/>
          <w:marTop w:val="160"/>
          <w:marBottom w:val="0"/>
          <w:divBdr>
            <w:top w:val="none" w:sz="0" w:space="0" w:color="auto"/>
            <w:left w:val="none" w:sz="0" w:space="0" w:color="auto"/>
            <w:bottom w:val="none" w:sz="0" w:space="0" w:color="auto"/>
            <w:right w:val="none" w:sz="0" w:space="0" w:color="auto"/>
          </w:divBdr>
        </w:div>
        <w:div w:id="1575554902">
          <w:marLeft w:val="950"/>
          <w:marRight w:val="0"/>
          <w:marTop w:val="160"/>
          <w:marBottom w:val="0"/>
          <w:divBdr>
            <w:top w:val="none" w:sz="0" w:space="0" w:color="auto"/>
            <w:left w:val="none" w:sz="0" w:space="0" w:color="auto"/>
            <w:bottom w:val="none" w:sz="0" w:space="0" w:color="auto"/>
            <w:right w:val="none" w:sz="0" w:space="0" w:color="auto"/>
          </w:divBdr>
        </w:div>
        <w:div w:id="1549950536">
          <w:marLeft w:val="950"/>
          <w:marRight w:val="0"/>
          <w:marTop w:val="160"/>
          <w:marBottom w:val="0"/>
          <w:divBdr>
            <w:top w:val="none" w:sz="0" w:space="0" w:color="auto"/>
            <w:left w:val="none" w:sz="0" w:space="0" w:color="auto"/>
            <w:bottom w:val="none" w:sz="0" w:space="0" w:color="auto"/>
            <w:right w:val="none" w:sz="0" w:space="0" w:color="auto"/>
          </w:divBdr>
        </w:div>
      </w:divsChild>
    </w:div>
    <w:div w:id="191379474">
      <w:bodyDiv w:val="1"/>
      <w:marLeft w:val="0"/>
      <w:marRight w:val="0"/>
      <w:marTop w:val="0"/>
      <w:marBottom w:val="0"/>
      <w:divBdr>
        <w:top w:val="none" w:sz="0" w:space="0" w:color="auto"/>
        <w:left w:val="none" w:sz="0" w:space="0" w:color="auto"/>
        <w:bottom w:val="none" w:sz="0" w:space="0" w:color="auto"/>
        <w:right w:val="none" w:sz="0" w:space="0" w:color="auto"/>
      </w:divBdr>
      <w:divsChild>
        <w:div w:id="863785990">
          <w:marLeft w:val="950"/>
          <w:marRight w:val="0"/>
          <w:marTop w:val="160"/>
          <w:marBottom w:val="0"/>
          <w:divBdr>
            <w:top w:val="none" w:sz="0" w:space="0" w:color="auto"/>
            <w:left w:val="none" w:sz="0" w:space="0" w:color="auto"/>
            <w:bottom w:val="none" w:sz="0" w:space="0" w:color="auto"/>
            <w:right w:val="none" w:sz="0" w:space="0" w:color="auto"/>
          </w:divBdr>
        </w:div>
      </w:divsChild>
    </w:div>
    <w:div w:id="192576096">
      <w:bodyDiv w:val="1"/>
      <w:marLeft w:val="0"/>
      <w:marRight w:val="0"/>
      <w:marTop w:val="0"/>
      <w:marBottom w:val="0"/>
      <w:divBdr>
        <w:top w:val="none" w:sz="0" w:space="0" w:color="auto"/>
        <w:left w:val="none" w:sz="0" w:space="0" w:color="auto"/>
        <w:bottom w:val="none" w:sz="0" w:space="0" w:color="auto"/>
        <w:right w:val="none" w:sz="0" w:space="0" w:color="auto"/>
      </w:divBdr>
    </w:div>
    <w:div w:id="689111605">
      <w:bodyDiv w:val="1"/>
      <w:marLeft w:val="0"/>
      <w:marRight w:val="0"/>
      <w:marTop w:val="0"/>
      <w:marBottom w:val="0"/>
      <w:divBdr>
        <w:top w:val="none" w:sz="0" w:space="0" w:color="auto"/>
        <w:left w:val="none" w:sz="0" w:space="0" w:color="auto"/>
        <w:bottom w:val="none" w:sz="0" w:space="0" w:color="auto"/>
        <w:right w:val="none" w:sz="0" w:space="0" w:color="auto"/>
      </w:divBdr>
    </w:div>
    <w:div w:id="761342268">
      <w:bodyDiv w:val="1"/>
      <w:marLeft w:val="0"/>
      <w:marRight w:val="0"/>
      <w:marTop w:val="0"/>
      <w:marBottom w:val="0"/>
      <w:divBdr>
        <w:top w:val="none" w:sz="0" w:space="0" w:color="auto"/>
        <w:left w:val="none" w:sz="0" w:space="0" w:color="auto"/>
        <w:bottom w:val="none" w:sz="0" w:space="0" w:color="auto"/>
        <w:right w:val="none" w:sz="0" w:space="0" w:color="auto"/>
      </w:divBdr>
    </w:div>
    <w:div w:id="797409208">
      <w:bodyDiv w:val="1"/>
      <w:marLeft w:val="0"/>
      <w:marRight w:val="0"/>
      <w:marTop w:val="0"/>
      <w:marBottom w:val="0"/>
      <w:divBdr>
        <w:top w:val="none" w:sz="0" w:space="0" w:color="auto"/>
        <w:left w:val="none" w:sz="0" w:space="0" w:color="auto"/>
        <w:bottom w:val="none" w:sz="0" w:space="0" w:color="auto"/>
        <w:right w:val="none" w:sz="0" w:space="0" w:color="auto"/>
      </w:divBdr>
    </w:div>
    <w:div w:id="940457071">
      <w:bodyDiv w:val="1"/>
      <w:marLeft w:val="0"/>
      <w:marRight w:val="0"/>
      <w:marTop w:val="0"/>
      <w:marBottom w:val="0"/>
      <w:divBdr>
        <w:top w:val="none" w:sz="0" w:space="0" w:color="auto"/>
        <w:left w:val="none" w:sz="0" w:space="0" w:color="auto"/>
        <w:bottom w:val="none" w:sz="0" w:space="0" w:color="auto"/>
        <w:right w:val="none" w:sz="0" w:space="0" w:color="auto"/>
      </w:divBdr>
    </w:div>
    <w:div w:id="960962669">
      <w:bodyDiv w:val="1"/>
      <w:marLeft w:val="0"/>
      <w:marRight w:val="0"/>
      <w:marTop w:val="0"/>
      <w:marBottom w:val="0"/>
      <w:divBdr>
        <w:top w:val="none" w:sz="0" w:space="0" w:color="auto"/>
        <w:left w:val="none" w:sz="0" w:space="0" w:color="auto"/>
        <w:bottom w:val="none" w:sz="0" w:space="0" w:color="auto"/>
        <w:right w:val="none" w:sz="0" w:space="0" w:color="auto"/>
      </w:divBdr>
    </w:div>
    <w:div w:id="1060714356">
      <w:bodyDiv w:val="1"/>
      <w:marLeft w:val="0"/>
      <w:marRight w:val="0"/>
      <w:marTop w:val="0"/>
      <w:marBottom w:val="0"/>
      <w:divBdr>
        <w:top w:val="none" w:sz="0" w:space="0" w:color="auto"/>
        <w:left w:val="none" w:sz="0" w:space="0" w:color="auto"/>
        <w:bottom w:val="none" w:sz="0" w:space="0" w:color="auto"/>
        <w:right w:val="none" w:sz="0" w:space="0" w:color="auto"/>
      </w:divBdr>
      <w:divsChild>
        <w:div w:id="33700846">
          <w:marLeft w:val="950"/>
          <w:marRight w:val="0"/>
          <w:marTop w:val="160"/>
          <w:marBottom w:val="0"/>
          <w:divBdr>
            <w:top w:val="none" w:sz="0" w:space="0" w:color="auto"/>
            <w:left w:val="none" w:sz="0" w:space="0" w:color="auto"/>
            <w:bottom w:val="none" w:sz="0" w:space="0" w:color="auto"/>
            <w:right w:val="none" w:sz="0" w:space="0" w:color="auto"/>
          </w:divBdr>
        </w:div>
      </w:divsChild>
    </w:div>
    <w:div w:id="1153061835">
      <w:bodyDiv w:val="1"/>
      <w:marLeft w:val="0"/>
      <w:marRight w:val="0"/>
      <w:marTop w:val="0"/>
      <w:marBottom w:val="0"/>
      <w:divBdr>
        <w:top w:val="none" w:sz="0" w:space="0" w:color="auto"/>
        <w:left w:val="none" w:sz="0" w:space="0" w:color="auto"/>
        <w:bottom w:val="none" w:sz="0" w:space="0" w:color="auto"/>
        <w:right w:val="none" w:sz="0" w:space="0" w:color="auto"/>
      </w:divBdr>
      <w:divsChild>
        <w:div w:id="1616788416">
          <w:marLeft w:val="950"/>
          <w:marRight w:val="0"/>
          <w:marTop w:val="160"/>
          <w:marBottom w:val="0"/>
          <w:divBdr>
            <w:top w:val="none" w:sz="0" w:space="0" w:color="auto"/>
            <w:left w:val="none" w:sz="0" w:space="0" w:color="auto"/>
            <w:bottom w:val="none" w:sz="0" w:space="0" w:color="auto"/>
            <w:right w:val="none" w:sz="0" w:space="0" w:color="auto"/>
          </w:divBdr>
        </w:div>
      </w:divsChild>
    </w:div>
    <w:div w:id="1221869105">
      <w:bodyDiv w:val="1"/>
      <w:marLeft w:val="0"/>
      <w:marRight w:val="0"/>
      <w:marTop w:val="0"/>
      <w:marBottom w:val="0"/>
      <w:divBdr>
        <w:top w:val="none" w:sz="0" w:space="0" w:color="auto"/>
        <w:left w:val="none" w:sz="0" w:space="0" w:color="auto"/>
        <w:bottom w:val="none" w:sz="0" w:space="0" w:color="auto"/>
        <w:right w:val="none" w:sz="0" w:space="0" w:color="auto"/>
      </w:divBdr>
    </w:div>
    <w:div w:id="1293251520">
      <w:bodyDiv w:val="1"/>
      <w:marLeft w:val="0"/>
      <w:marRight w:val="0"/>
      <w:marTop w:val="0"/>
      <w:marBottom w:val="0"/>
      <w:divBdr>
        <w:top w:val="none" w:sz="0" w:space="0" w:color="auto"/>
        <w:left w:val="none" w:sz="0" w:space="0" w:color="auto"/>
        <w:bottom w:val="none" w:sz="0" w:space="0" w:color="auto"/>
        <w:right w:val="none" w:sz="0" w:space="0" w:color="auto"/>
      </w:divBdr>
    </w:div>
    <w:div w:id="1303000259">
      <w:bodyDiv w:val="1"/>
      <w:marLeft w:val="0"/>
      <w:marRight w:val="0"/>
      <w:marTop w:val="0"/>
      <w:marBottom w:val="0"/>
      <w:divBdr>
        <w:top w:val="none" w:sz="0" w:space="0" w:color="auto"/>
        <w:left w:val="none" w:sz="0" w:space="0" w:color="auto"/>
        <w:bottom w:val="none" w:sz="0" w:space="0" w:color="auto"/>
        <w:right w:val="none" w:sz="0" w:space="0" w:color="auto"/>
      </w:divBdr>
    </w:div>
    <w:div w:id="1498765826">
      <w:bodyDiv w:val="1"/>
      <w:marLeft w:val="0"/>
      <w:marRight w:val="0"/>
      <w:marTop w:val="0"/>
      <w:marBottom w:val="0"/>
      <w:divBdr>
        <w:top w:val="none" w:sz="0" w:space="0" w:color="auto"/>
        <w:left w:val="none" w:sz="0" w:space="0" w:color="auto"/>
        <w:bottom w:val="none" w:sz="0" w:space="0" w:color="auto"/>
        <w:right w:val="none" w:sz="0" w:space="0" w:color="auto"/>
      </w:divBdr>
    </w:div>
    <w:div w:id="1591042824">
      <w:bodyDiv w:val="1"/>
      <w:marLeft w:val="0"/>
      <w:marRight w:val="0"/>
      <w:marTop w:val="0"/>
      <w:marBottom w:val="0"/>
      <w:divBdr>
        <w:top w:val="none" w:sz="0" w:space="0" w:color="auto"/>
        <w:left w:val="none" w:sz="0" w:space="0" w:color="auto"/>
        <w:bottom w:val="none" w:sz="0" w:space="0" w:color="auto"/>
        <w:right w:val="none" w:sz="0" w:space="0" w:color="auto"/>
      </w:divBdr>
      <w:divsChild>
        <w:div w:id="375273204">
          <w:marLeft w:val="950"/>
          <w:marRight w:val="0"/>
          <w:marTop w:val="160"/>
          <w:marBottom w:val="0"/>
          <w:divBdr>
            <w:top w:val="none" w:sz="0" w:space="0" w:color="auto"/>
            <w:left w:val="none" w:sz="0" w:space="0" w:color="auto"/>
            <w:bottom w:val="none" w:sz="0" w:space="0" w:color="auto"/>
            <w:right w:val="none" w:sz="0" w:space="0" w:color="auto"/>
          </w:divBdr>
        </w:div>
        <w:div w:id="1376394922">
          <w:marLeft w:val="950"/>
          <w:marRight w:val="0"/>
          <w:marTop w:val="160"/>
          <w:marBottom w:val="0"/>
          <w:divBdr>
            <w:top w:val="none" w:sz="0" w:space="0" w:color="auto"/>
            <w:left w:val="none" w:sz="0" w:space="0" w:color="auto"/>
            <w:bottom w:val="none" w:sz="0" w:space="0" w:color="auto"/>
            <w:right w:val="none" w:sz="0" w:space="0" w:color="auto"/>
          </w:divBdr>
        </w:div>
        <w:div w:id="2093968751">
          <w:marLeft w:val="950"/>
          <w:marRight w:val="0"/>
          <w:marTop w:val="160"/>
          <w:marBottom w:val="0"/>
          <w:divBdr>
            <w:top w:val="none" w:sz="0" w:space="0" w:color="auto"/>
            <w:left w:val="none" w:sz="0" w:space="0" w:color="auto"/>
            <w:bottom w:val="none" w:sz="0" w:space="0" w:color="auto"/>
            <w:right w:val="none" w:sz="0" w:space="0" w:color="auto"/>
          </w:divBdr>
        </w:div>
      </w:divsChild>
    </w:div>
    <w:div w:id="1731613610">
      <w:bodyDiv w:val="1"/>
      <w:marLeft w:val="0"/>
      <w:marRight w:val="0"/>
      <w:marTop w:val="0"/>
      <w:marBottom w:val="0"/>
      <w:divBdr>
        <w:top w:val="none" w:sz="0" w:space="0" w:color="auto"/>
        <w:left w:val="none" w:sz="0" w:space="0" w:color="auto"/>
        <w:bottom w:val="none" w:sz="0" w:space="0" w:color="auto"/>
        <w:right w:val="none" w:sz="0" w:space="0" w:color="auto"/>
      </w:divBdr>
    </w:div>
    <w:div w:id="19125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6CB4-FEF6-4E99-98E2-DACB1A4D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20917</Words>
  <Characters>11923</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Finanšu situācija veselības aprūpes jomā</vt:lpstr>
    </vt:vector>
  </TitlesOfParts>
  <Company>Veselības ministrija</Company>
  <LinksUpToDate>false</LinksUpToDate>
  <CharactersWithSpaces>32775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situācija veselības aprūpes jomā</dc:title>
  <dc:subject>Informatīvais ziņojums</dc:subject>
  <dc:creator>Vēsma Skudra</dc:creator>
  <dc:description>vesma.skudra@vm.gov.lv, tālr.67876038</dc:description>
  <cp:lastModifiedBy>VM</cp:lastModifiedBy>
  <cp:revision>15</cp:revision>
  <cp:lastPrinted>2011-06-28T07:12:00Z</cp:lastPrinted>
  <dcterms:created xsi:type="dcterms:W3CDTF">2011-07-11T05:30:00Z</dcterms:created>
  <dcterms:modified xsi:type="dcterms:W3CDTF">2011-07-13T13:10:00Z</dcterms:modified>
</cp:coreProperties>
</file>