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44" w:rsidRDefault="00150044" w:rsidP="00B63444">
      <w:pPr>
        <w:rPr>
          <w:rFonts w:ascii="Times New Roman" w:hAnsi="Times New Roman" w:cs="Times New Roman"/>
          <w:b/>
          <w:sz w:val="24"/>
          <w:szCs w:val="24"/>
          <w:lang w:val="lv-LV"/>
        </w:rPr>
      </w:pPr>
    </w:p>
    <w:p w:rsidR="00C75586" w:rsidRPr="008C47BE" w:rsidRDefault="00C75586" w:rsidP="00C75586">
      <w:pPr>
        <w:jc w:val="center"/>
        <w:rPr>
          <w:rFonts w:ascii="Times New Roman" w:hAnsi="Times New Roman" w:cs="Times New Roman"/>
          <w:b/>
          <w:sz w:val="24"/>
          <w:szCs w:val="24"/>
          <w:lang w:val="lv-LV"/>
        </w:rPr>
      </w:pPr>
      <w:r w:rsidRPr="008C47BE">
        <w:rPr>
          <w:rFonts w:ascii="Times New Roman" w:hAnsi="Times New Roman" w:cs="Times New Roman"/>
          <w:b/>
          <w:sz w:val="24"/>
          <w:szCs w:val="24"/>
          <w:lang w:val="lv-LV"/>
        </w:rPr>
        <w:t>INFORMATĪVAIS ZIŅOJUMS</w:t>
      </w:r>
    </w:p>
    <w:p w:rsidR="00C75586" w:rsidRDefault="00C75586" w:rsidP="00C75586">
      <w:pPr>
        <w:pStyle w:val="NormalWeb"/>
        <w:snapToGrid w:val="0"/>
        <w:spacing w:before="0" w:after="0"/>
        <w:jc w:val="center"/>
        <w:rPr>
          <w:b/>
        </w:rPr>
      </w:pPr>
      <w:r>
        <w:rPr>
          <w:b/>
        </w:rPr>
        <w:t>Finanšu situācija</w:t>
      </w:r>
      <w:r w:rsidRPr="001A29D6">
        <w:rPr>
          <w:b/>
        </w:rPr>
        <w:t xml:space="preserve"> veselības </w:t>
      </w:r>
      <w:r>
        <w:rPr>
          <w:b/>
        </w:rPr>
        <w:t>aprūpes jomā</w:t>
      </w:r>
    </w:p>
    <w:p w:rsidR="00876530" w:rsidRDefault="00876530" w:rsidP="00616F70">
      <w:pPr>
        <w:autoSpaceDE w:val="0"/>
        <w:autoSpaceDN w:val="0"/>
        <w:adjustRightInd w:val="0"/>
        <w:spacing w:after="120" w:line="240" w:lineRule="auto"/>
        <w:jc w:val="both"/>
        <w:rPr>
          <w:rFonts w:ascii="Times New Roman" w:hAnsi="Times New Roman" w:cs="Times New Roman"/>
          <w:color w:val="000000"/>
          <w:sz w:val="24"/>
          <w:szCs w:val="24"/>
          <w:lang w:val="lv-LV"/>
        </w:rPr>
      </w:pPr>
    </w:p>
    <w:p w:rsidR="004C4444" w:rsidRDefault="00871F8C" w:rsidP="00871F8C">
      <w:pPr>
        <w:pStyle w:val="NormalWeb"/>
        <w:suppressAutoHyphens w:val="0"/>
        <w:snapToGrid w:val="0"/>
        <w:spacing w:before="0" w:after="0"/>
        <w:ind w:firstLine="720"/>
        <w:jc w:val="both"/>
        <w:rPr>
          <w:color w:val="000000"/>
        </w:rPr>
      </w:pPr>
      <w:r>
        <w:t xml:space="preserve">Turpinot uzsāktās veselības aprūpes reformas, stiprinot </w:t>
      </w:r>
      <w:r>
        <w:rPr>
          <w:color w:val="000000"/>
        </w:rPr>
        <w:t xml:space="preserve">ambulatoro palīdzību, kā izmaksu efektīvāko veselības aprūpi, </w:t>
      </w:r>
      <w:r w:rsidR="00D8364D">
        <w:rPr>
          <w:color w:val="000000"/>
        </w:rPr>
        <w:t>mazinot stacionārās veselības aprūpes lomu, kā izmaksu dārgāko veselības aprūpes posmu, palielinās nepieciešamo pakalpojumu</w:t>
      </w:r>
      <w:r w:rsidR="004C4444">
        <w:rPr>
          <w:color w:val="000000"/>
        </w:rPr>
        <w:t>, izmeklējumu</w:t>
      </w:r>
      <w:r w:rsidR="00D8364D">
        <w:rPr>
          <w:color w:val="000000"/>
        </w:rPr>
        <w:t xml:space="preserve"> un finanšu līdzekļu īpatsvars ambulatorajā veselība</w:t>
      </w:r>
      <w:r w:rsidR="004C4444">
        <w:rPr>
          <w:color w:val="000000"/>
        </w:rPr>
        <w:t>s aprūpē.</w:t>
      </w:r>
    </w:p>
    <w:p w:rsidR="006E78D6" w:rsidRPr="006E78D6" w:rsidRDefault="006E78D6" w:rsidP="006E78D6">
      <w:pPr>
        <w:pStyle w:val="NormalWeb"/>
        <w:spacing w:before="0" w:after="0"/>
        <w:ind w:firstLine="720"/>
        <w:jc w:val="both"/>
      </w:pPr>
      <w:r w:rsidRPr="006E78D6">
        <w:rPr>
          <w:bCs/>
        </w:rPr>
        <w:t xml:space="preserve">Ar mērķi </w:t>
      </w:r>
      <w:r w:rsidRPr="006E78D6">
        <w:t xml:space="preserve">turpināt attīstīt un nostiprināt ambulatoro veselības aprūpes sistēmu, kas, salīdzinājumā ar dārgo stacionāro veselības aprūpi, nepatērē salīdzinoši lielus finanšu ieguldījumus, bet nodrošina lielāku efektivitāti iedzīvotāju veselības saglabāšanā  un tiek nodrošināti pēc iespējas lielākam iedzīvotāju </w:t>
      </w:r>
      <w:r>
        <w:t xml:space="preserve">skaitam, ir </w:t>
      </w:r>
      <w:r w:rsidRPr="006E78D6">
        <w:t>nepieciešams novirzīt ambulatorās sistēmas attīstībai lielāku finansējumu.</w:t>
      </w:r>
      <w:r w:rsidR="00551BCB">
        <w:t xml:space="preserve"> </w:t>
      </w:r>
      <w:r w:rsidR="00551BCB" w:rsidRPr="006509CC">
        <w:t>Ambulatorās veselības aprūpes pakalpojumu attīstība dot iespēju efektīvāk kontrolēt un vadīt stacionāro pakalpojumu izmaksas.</w:t>
      </w:r>
      <w:r w:rsidRPr="006E78D6">
        <w:t xml:space="preserve"> Tādēļ Veselības ministrija iesniegs Finanšu ministrijā pieprasījumu papildu finanšu līdzekļu iekļaušanai likumprojektā „Grozījumi likumā „Par valsts budžetu 2011.gadam””. </w:t>
      </w:r>
    </w:p>
    <w:p w:rsidR="006E78D6" w:rsidRDefault="006E78D6" w:rsidP="006E78D6">
      <w:pPr>
        <w:pStyle w:val="NormalWeb"/>
        <w:spacing w:before="0" w:after="0"/>
        <w:jc w:val="both"/>
      </w:pPr>
    </w:p>
    <w:p w:rsidR="0079151A" w:rsidRDefault="0079151A" w:rsidP="00E469A4">
      <w:pPr>
        <w:pStyle w:val="NoSpacing"/>
        <w:numPr>
          <w:ilvl w:val="0"/>
          <w:numId w:val="3"/>
        </w:numPr>
        <w:jc w:val="both"/>
        <w:rPr>
          <w:rFonts w:ascii="Times New Roman" w:hAnsi="Times New Roman"/>
          <w:b/>
          <w:sz w:val="24"/>
          <w:szCs w:val="24"/>
        </w:rPr>
      </w:pPr>
      <w:r>
        <w:rPr>
          <w:rFonts w:ascii="Times New Roman" w:hAnsi="Times New Roman"/>
          <w:b/>
          <w:sz w:val="24"/>
          <w:szCs w:val="24"/>
        </w:rPr>
        <w:t xml:space="preserve">Veselības aprūpes </w:t>
      </w:r>
      <w:r w:rsidR="00F62954">
        <w:rPr>
          <w:rFonts w:ascii="Times New Roman" w:hAnsi="Times New Roman"/>
          <w:b/>
          <w:sz w:val="24"/>
          <w:szCs w:val="24"/>
        </w:rPr>
        <w:t>finansējums</w:t>
      </w:r>
    </w:p>
    <w:p w:rsidR="00F62954" w:rsidRDefault="00F62954" w:rsidP="00F62954">
      <w:pPr>
        <w:pStyle w:val="NoSpacing"/>
        <w:ind w:left="720"/>
        <w:jc w:val="both"/>
        <w:rPr>
          <w:rFonts w:ascii="Times New Roman" w:hAnsi="Times New Roman"/>
          <w:b/>
          <w:sz w:val="24"/>
          <w:szCs w:val="24"/>
        </w:rPr>
      </w:pPr>
    </w:p>
    <w:p w:rsidR="00A56721" w:rsidRDefault="00AF1D04" w:rsidP="00D140CA">
      <w:pPr>
        <w:autoSpaceDE w:val="0"/>
        <w:autoSpaceDN w:val="0"/>
        <w:adjustRightInd w:val="0"/>
        <w:spacing w:after="0" w:line="240" w:lineRule="auto"/>
        <w:ind w:firstLine="720"/>
        <w:jc w:val="both"/>
        <w:rPr>
          <w:rFonts w:ascii="Times New Roman" w:hAnsi="Times New Roman" w:cs="Times New Roman"/>
          <w:sz w:val="24"/>
          <w:szCs w:val="24"/>
          <w:lang w:val="lv-LV"/>
        </w:rPr>
      </w:pPr>
      <w:r w:rsidRPr="00EA64B9">
        <w:rPr>
          <w:rFonts w:ascii="Times New Roman" w:hAnsi="Times New Roman" w:cs="Times New Roman"/>
          <w:sz w:val="24"/>
          <w:szCs w:val="24"/>
          <w:lang w:val="lv-LV"/>
        </w:rPr>
        <w:t>Veselības ministrijas budžeta izdevumi 201</w:t>
      </w:r>
      <w:r w:rsidR="007E77CE" w:rsidRPr="00EA64B9">
        <w:rPr>
          <w:rFonts w:ascii="Times New Roman" w:hAnsi="Times New Roman" w:cs="Times New Roman"/>
          <w:sz w:val="24"/>
          <w:szCs w:val="24"/>
          <w:lang w:val="lv-LV"/>
        </w:rPr>
        <w:t>1</w:t>
      </w:r>
      <w:r w:rsidRPr="00EA64B9">
        <w:rPr>
          <w:rFonts w:ascii="Times New Roman" w:hAnsi="Times New Roman" w:cs="Times New Roman"/>
          <w:sz w:val="24"/>
          <w:szCs w:val="24"/>
          <w:lang w:val="lv-LV"/>
        </w:rPr>
        <w:t xml:space="preserve">.gadā atbilstoši </w:t>
      </w:r>
      <w:r w:rsidR="00EA64B9" w:rsidRPr="00EA64B9">
        <w:rPr>
          <w:rFonts w:ascii="Times New Roman" w:hAnsi="Times New Roman" w:cs="Times New Roman"/>
          <w:sz w:val="24"/>
          <w:szCs w:val="24"/>
          <w:lang w:val="lv-LV"/>
        </w:rPr>
        <w:t>likumam „Par valsts budžetu 2011</w:t>
      </w:r>
      <w:r w:rsidRPr="00EA64B9">
        <w:rPr>
          <w:rFonts w:ascii="Times New Roman" w:hAnsi="Times New Roman" w:cs="Times New Roman"/>
          <w:sz w:val="24"/>
          <w:szCs w:val="24"/>
          <w:lang w:val="lv-LV"/>
        </w:rPr>
        <w:t xml:space="preserve">.gadam” </w:t>
      </w:r>
      <w:r w:rsidR="00EA64B9" w:rsidRPr="00EA64B9">
        <w:rPr>
          <w:rFonts w:ascii="Times New Roman" w:hAnsi="Times New Roman" w:cs="Times New Roman"/>
          <w:sz w:val="24"/>
          <w:szCs w:val="24"/>
          <w:lang w:val="lv-LV"/>
        </w:rPr>
        <w:t>ar grozījumiem, kas stājās spēkā 2011.gada 30.aprīlī, un ņemot vērā Finanšu ministrijas un Ministru kabineta rīkojumus līdz 2011.gada 1.augustam, tai skaitā, Ministru kabineta 2011.gada 19.jūlija rīkojumu Nr.323 „Par finanšu līdzekļu piešķiršanu no „Līdzekļiem neparedzētiem gadījumiem””</w:t>
      </w:r>
      <w:r w:rsidR="00871F8C">
        <w:rPr>
          <w:rFonts w:ascii="Times New Roman" w:hAnsi="Times New Roman" w:cs="Times New Roman"/>
          <w:sz w:val="24"/>
          <w:szCs w:val="24"/>
          <w:lang w:val="lv-LV"/>
        </w:rPr>
        <w:t xml:space="preserve"> (turpmāk – rīkojums Nr.323)</w:t>
      </w:r>
      <w:r w:rsidR="00EA64B9" w:rsidRPr="00EA64B9">
        <w:rPr>
          <w:rFonts w:ascii="Times New Roman" w:hAnsi="Times New Roman" w:cs="Times New Roman"/>
          <w:sz w:val="24"/>
          <w:szCs w:val="24"/>
          <w:lang w:val="lv-LV"/>
        </w:rPr>
        <w:t xml:space="preserve">, </w:t>
      </w:r>
      <w:r w:rsidRPr="00EA64B9">
        <w:rPr>
          <w:rFonts w:ascii="Times New Roman" w:hAnsi="Times New Roman" w:cs="Times New Roman"/>
          <w:sz w:val="24"/>
          <w:szCs w:val="24"/>
          <w:lang w:val="lv-LV"/>
        </w:rPr>
        <w:t xml:space="preserve">ir </w:t>
      </w:r>
      <w:r w:rsidR="00B23085" w:rsidRPr="00EA64B9">
        <w:rPr>
          <w:rFonts w:ascii="Times New Roman" w:hAnsi="Times New Roman" w:cs="Times New Roman"/>
          <w:sz w:val="24"/>
          <w:szCs w:val="24"/>
          <w:lang w:val="lv-LV"/>
        </w:rPr>
        <w:t>4</w:t>
      </w:r>
      <w:r w:rsidR="00EA64B9" w:rsidRPr="00EA64B9">
        <w:rPr>
          <w:rFonts w:ascii="Times New Roman" w:hAnsi="Times New Roman" w:cs="Times New Roman"/>
          <w:sz w:val="24"/>
          <w:szCs w:val="24"/>
          <w:lang w:val="lv-LV"/>
        </w:rPr>
        <w:t xml:space="preserve">99 083 066 </w:t>
      </w:r>
      <w:r w:rsidRPr="00EA64B9">
        <w:rPr>
          <w:rFonts w:ascii="Times New Roman" w:hAnsi="Times New Roman" w:cs="Times New Roman"/>
          <w:sz w:val="24"/>
          <w:szCs w:val="24"/>
          <w:lang w:val="lv-LV"/>
        </w:rPr>
        <w:t>lati</w:t>
      </w:r>
      <w:r w:rsidR="007E77CE" w:rsidRPr="00EA64B9">
        <w:rPr>
          <w:rFonts w:ascii="Times New Roman" w:hAnsi="Times New Roman" w:cs="Times New Roman"/>
          <w:sz w:val="24"/>
          <w:szCs w:val="24"/>
          <w:lang w:val="lv-LV"/>
        </w:rPr>
        <w:t>, tai skaitā 4</w:t>
      </w:r>
      <w:r w:rsidR="00EA64B9" w:rsidRPr="00EA64B9">
        <w:rPr>
          <w:rFonts w:ascii="Times New Roman" w:hAnsi="Times New Roman" w:cs="Times New Roman"/>
          <w:sz w:val="24"/>
          <w:szCs w:val="24"/>
          <w:lang w:val="lv-LV"/>
        </w:rPr>
        <w:t xml:space="preserve">56 581 294 </w:t>
      </w:r>
      <w:r w:rsidR="007E77CE" w:rsidRPr="00EA64B9">
        <w:rPr>
          <w:rFonts w:ascii="Times New Roman" w:hAnsi="Times New Roman" w:cs="Times New Roman"/>
          <w:sz w:val="24"/>
          <w:szCs w:val="24"/>
          <w:lang w:val="lv-LV"/>
        </w:rPr>
        <w:t>lati valsts budžeta pamatfunkciju izpildei, 4</w:t>
      </w:r>
      <w:r w:rsidR="00EA64B9" w:rsidRPr="00EA64B9">
        <w:rPr>
          <w:rFonts w:ascii="Times New Roman" w:hAnsi="Times New Roman" w:cs="Times New Roman"/>
          <w:sz w:val="24"/>
          <w:szCs w:val="24"/>
          <w:lang w:val="lv-LV"/>
        </w:rPr>
        <w:t xml:space="preserve">2 501 772 </w:t>
      </w:r>
      <w:r w:rsidR="007E77CE" w:rsidRPr="00EA64B9">
        <w:rPr>
          <w:rFonts w:ascii="Times New Roman" w:hAnsi="Times New Roman" w:cs="Times New Roman"/>
          <w:sz w:val="24"/>
          <w:szCs w:val="24"/>
          <w:lang w:val="lv-LV"/>
        </w:rPr>
        <w:t>lati ES fondu un ārvalstu līdzfinansējums.</w:t>
      </w:r>
      <w:r w:rsidR="007E77CE" w:rsidRPr="007E5DC8">
        <w:rPr>
          <w:rFonts w:ascii="Times New Roman" w:hAnsi="Times New Roman" w:cs="Times New Roman"/>
          <w:color w:val="FF0000"/>
          <w:sz w:val="24"/>
          <w:szCs w:val="24"/>
          <w:lang w:val="lv-LV"/>
        </w:rPr>
        <w:t xml:space="preserve"> </w:t>
      </w:r>
      <w:r w:rsidR="007E77CE" w:rsidRPr="00911AC3">
        <w:rPr>
          <w:rFonts w:ascii="Times New Roman" w:hAnsi="Times New Roman" w:cs="Times New Roman"/>
          <w:sz w:val="24"/>
          <w:szCs w:val="24"/>
          <w:lang w:val="lv-LV"/>
        </w:rPr>
        <w:t>Kopējais finansējums ir par</w:t>
      </w:r>
      <w:r w:rsidRPr="00911AC3">
        <w:rPr>
          <w:rFonts w:ascii="Times New Roman" w:hAnsi="Times New Roman" w:cs="Times New Roman"/>
          <w:sz w:val="24"/>
          <w:szCs w:val="24"/>
          <w:lang w:val="lv-LV"/>
        </w:rPr>
        <w:t xml:space="preserve"> </w:t>
      </w:r>
      <w:r w:rsidR="00911AC3" w:rsidRPr="00911AC3">
        <w:rPr>
          <w:rFonts w:ascii="Times New Roman" w:hAnsi="Times New Roman" w:cs="Times New Roman"/>
          <w:sz w:val="24"/>
          <w:szCs w:val="24"/>
          <w:lang w:val="lv-LV"/>
        </w:rPr>
        <w:t>3 030 147</w:t>
      </w:r>
      <w:r w:rsidR="007E77CE" w:rsidRPr="00911AC3">
        <w:rPr>
          <w:rFonts w:ascii="Times New Roman" w:hAnsi="Times New Roman" w:cs="Times New Roman"/>
          <w:sz w:val="24"/>
          <w:szCs w:val="24"/>
          <w:lang w:val="lv-LV"/>
        </w:rPr>
        <w:t xml:space="preserve"> latiem </w:t>
      </w:r>
      <w:r w:rsidR="00911AC3" w:rsidRPr="00911AC3">
        <w:rPr>
          <w:rFonts w:ascii="Times New Roman" w:hAnsi="Times New Roman" w:cs="Times New Roman"/>
          <w:sz w:val="24"/>
          <w:szCs w:val="24"/>
          <w:lang w:val="lv-LV"/>
        </w:rPr>
        <w:t>lielāks</w:t>
      </w:r>
      <w:r w:rsidRPr="00911AC3">
        <w:rPr>
          <w:rFonts w:ascii="Times New Roman" w:hAnsi="Times New Roman" w:cs="Times New Roman"/>
          <w:sz w:val="24"/>
          <w:szCs w:val="24"/>
          <w:lang w:val="lv-LV"/>
        </w:rPr>
        <w:t xml:space="preserve"> salīdzinājumā ar 20</w:t>
      </w:r>
      <w:r w:rsidR="007E77CE" w:rsidRPr="00911AC3">
        <w:rPr>
          <w:rFonts w:ascii="Times New Roman" w:hAnsi="Times New Roman" w:cs="Times New Roman"/>
          <w:sz w:val="24"/>
          <w:szCs w:val="24"/>
          <w:lang w:val="lv-LV"/>
        </w:rPr>
        <w:t>10</w:t>
      </w:r>
      <w:r w:rsidRPr="00911AC3">
        <w:rPr>
          <w:rFonts w:ascii="Times New Roman" w:hAnsi="Times New Roman" w:cs="Times New Roman"/>
          <w:sz w:val="24"/>
          <w:szCs w:val="24"/>
          <w:lang w:val="lv-LV"/>
        </w:rPr>
        <w:t>.gad</w:t>
      </w:r>
      <w:r w:rsidR="007E77CE" w:rsidRPr="00911AC3">
        <w:rPr>
          <w:rFonts w:ascii="Times New Roman" w:hAnsi="Times New Roman" w:cs="Times New Roman"/>
          <w:sz w:val="24"/>
          <w:szCs w:val="24"/>
          <w:lang w:val="lv-LV"/>
        </w:rPr>
        <w:t>a</w:t>
      </w:r>
      <w:r w:rsidRPr="00911AC3">
        <w:rPr>
          <w:rFonts w:ascii="Times New Roman" w:hAnsi="Times New Roman" w:cs="Times New Roman"/>
          <w:sz w:val="24"/>
          <w:szCs w:val="24"/>
          <w:lang w:val="lv-LV"/>
        </w:rPr>
        <w:t xml:space="preserve"> </w:t>
      </w:r>
      <w:r w:rsidR="007E77CE" w:rsidRPr="00911AC3">
        <w:rPr>
          <w:rFonts w:ascii="Times New Roman" w:hAnsi="Times New Roman" w:cs="Times New Roman"/>
          <w:sz w:val="24"/>
          <w:szCs w:val="24"/>
          <w:lang w:val="lv-LV"/>
        </w:rPr>
        <w:t>noslēgumu</w:t>
      </w:r>
      <w:r w:rsidR="000A3787" w:rsidRPr="00911AC3">
        <w:rPr>
          <w:rFonts w:ascii="Times New Roman" w:hAnsi="Times New Roman" w:cs="Times New Roman"/>
          <w:sz w:val="24"/>
          <w:szCs w:val="24"/>
          <w:lang w:val="lv-LV"/>
        </w:rPr>
        <w:t xml:space="preserve">, tai skaitā </w:t>
      </w:r>
      <w:r w:rsidR="00EB5143" w:rsidRPr="00911AC3">
        <w:rPr>
          <w:rFonts w:ascii="Times New Roman" w:hAnsi="Times New Roman" w:cs="Times New Roman"/>
          <w:sz w:val="24"/>
          <w:szCs w:val="24"/>
          <w:lang w:val="lv-LV"/>
        </w:rPr>
        <w:t xml:space="preserve">finansējums </w:t>
      </w:r>
      <w:r w:rsidR="000A3787" w:rsidRPr="00911AC3">
        <w:rPr>
          <w:rFonts w:ascii="Times New Roman" w:hAnsi="Times New Roman" w:cs="Times New Roman"/>
          <w:sz w:val="24"/>
          <w:szCs w:val="24"/>
          <w:lang w:val="lv-LV"/>
        </w:rPr>
        <w:t xml:space="preserve">pamatfunkciju izpildei </w:t>
      </w:r>
      <w:r w:rsidR="00EB5143" w:rsidRPr="00911AC3">
        <w:rPr>
          <w:rFonts w:ascii="Times New Roman" w:hAnsi="Times New Roman" w:cs="Times New Roman"/>
          <w:sz w:val="24"/>
          <w:szCs w:val="24"/>
          <w:lang w:val="lv-LV"/>
        </w:rPr>
        <w:t xml:space="preserve">ir </w:t>
      </w:r>
      <w:r w:rsidR="000A3787" w:rsidRPr="00911AC3">
        <w:rPr>
          <w:rFonts w:ascii="Times New Roman" w:hAnsi="Times New Roman" w:cs="Times New Roman"/>
          <w:sz w:val="24"/>
          <w:szCs w:val="24"/>
          <w:lang w:val="lv-LV"/>
        </w:rPr>
        <w:t xml:space="preserve">par </w:t>
      </w:r>
      <w:r w:rsidR="00911AC3" w:rsidRPr="00911AC3">
        <w:rPr>
          <w:rFonts w:ascii="Times New Roman" w:hAnsi="Times New Roman" w:cs="Times New Roman"/>
          <w:sz w:val="24"/>
          <w:szCs w:val="24"/>
          <w:lang w:val="lv-LV"/>
        </w:rPr>
        <w:t>9 371 920</w:t>
      </w:r>
      <w:r w:rsidR="000A3787" w:rsidRPr="00911AC3">
        <w:rPr>
          <w:rFonts w:ascii="Times New Roman" w:hAnsi="Times New Roman" w:cs="Times New Roman"/>
          <w:sz w:val="24"/>
          <w:szCs w:val="24"/>
          <w:lang w:val="lv-LV"/>
        </w:rPr>
        <w:t xml:space="preserve"> latiem mazāks, ES fondu un ārvalstu līdzfinansējums ir par </w:t>
      </w:r>
      <w:r w:rsidR="00911AC3" w:rsidRPr="00911AC3">
        <w:rPr>
          <w:rFonts w:ascii="Times New Roman" w:hAnsi="Times New Roman" w:cs="Times New Roman"/>
          <w:sz w:val="24"/>
          <w:szCs w:val="24"/>
          <w:lang w:val="lv-LV"/>
        </w:rPr>
        <w:t>12 402 067</w:t>
      </w:r>
      <w:r w:rsidR="000A3787" w:rsidRPr="00911AC3">
        <w:rPr>
          <w:rFonts w:ascii="Times New Roman" w:hAnsi="Times New Roman" w:cs="Times New Roman"/>
          <w:sz w:val="24"/>
          <w:szCs w:val="24"/>
          <w:lang w:val="lv-LV"/>
        </w:rPr>
        <w:t> latiem lielāks</w:t>
      </w:r>
      <w:r w:rsidR="00C85B62">
        <w:rPr>
          <w:rFonts w:ascii="Times New Roman" w:hAnsi="Times New Roman" w:cs="Times New Roman"/>
          <w:sz w:val="24"/>
          <w:szCs w:val="24"/>
          <w:lang w:val="lv-LV"/>
        </w:rPr>
        <w:t>.</w:t>
      </w:r>
    </w:p>
    <w:p w:rsidR="00C85B62" w:rsidRPr="00C85B62" w:rsidRDefault="00C85B62" w:rsidP="00C85B62">
      <w:pPr>
        <w:autoSpaceDE w:val="0"/>
        <w:autoSpaceDN w:val="0"/>
        <w:adjustRightInd w:val="0"/>
        <w:spacing w:before="120" w:after="0" w:line="240" w:lineRule="auto"/>
        <w:ind w:firstLine="720"/>
        <w:jc w:val="both"/>
        <w:rPr>
          <w:rFonts w:ascii="Times New Roman" w:hAnsi="Times New Roman" w:cs="Times New Roman"/>
          <w:sz w:val="24"/>
          <w:szCs w:val="24"/>
          <w:lang w:val="lv-LV"/>
        </w:rPr>
      </w:pPr>
      <w:r w:rsidRPr="00C85B62">
        <w:rPr>
          <w:rFonts w:ascii="Times New Roman" w:hAnsi="Times New Roman" w:cs="Times New Roman"/>
          <w:color w:val="000000"/>
          <w:sz w:val="24"/>
          <w:szCs w:val="24"/>
          <w:lang w:val="lv-LV"/>
        </w:rPr>
        <w:t>No kopējā 2011.gada finansējuma (atbilstoši budžetam ar grozījumiem un ņemot vērā veiktā izmaiņas ar Ministru kabineta un Finanšu ministrijas rīkojumiem līdz 1.08.2011</w:t>
      </w:r>
      <w:r w:rsidR="00871F8C">
        <w:rPr>
          <w:rFonts w:ascii="Times New Roman" w:hAnsi="Times New Roman" w:cs="Times New Roman"/>
          <w:color w:val="000000"/>
          <w:sz w:val="24"/>
          <w:szCs w:val="24"/>
          <w:lang w:val="lv-LV"/>
        </w:rPr>
        <w:t>.</w:t>
      </w:r>
      <w:r w:rsidRPr="00C85B62">
        <w:rPr>
          <w:rFonts w:ascii="Times New Roman" w:hAnsi="Times New Roman" w:cs="Times New Roman"/>
          <w:color w:val="000000"/>
          <w:sz w:val="24"/>
          <w:szCs w:val="24"/>
          <w:lang w:val="lv-LV"/>
        </w:rPr>
        <w:t xml:space="preserve">) tieši veselības aprūpes pakalpojumu nodrošināšanai novirzīti 426 680 332 lati, kas ir 85,5% no kopējā nozares budžeta vai 93,5% no finansējuma budžeta pamatfunkciju izpildei. No kopējā veselības aprūpes pakalpojumu finansējuma Veselības norēķinu centra administrējamā daļa ir 375 187 </w:t>
      </w:r>
      <w:proofErr w:type="spellStart"/>
      <w:r w:rsidRPr="00C85B62">
        <w:rPr>
          <w:rFonts w:ascii="Times New Roman" w:hAnsi="Times New Roman" w:cs="Times New Roman"/>
          <w:color w:val="000000"/>
          <w:sz w:val="24"/>
          <w:szCs w:val="24"/>
          <w:lang w:val="lv-LV"/>
        </w:rPr>
        <w:t>187</w:t>
      </w:r>
      <w:proofErr w:type="spellEnd"/>
      <w:r w:rsidRPr="00C85B62">
        <w:rPr>
          <w:rFonts w:ascii="Times New Roman" w:hAnsi="Times New Roman" w:cs="Times New Roman"/>
          <w:color w:val="000000"/>
          <w:sz w:val="24"/>
          <w:szCs w:val="24"/>
          <w:lang w:val="lv-LV"/>
        </w:rPr>
        <w:t xml:space="preserve"> lati (tai skaitā 341 518 072 lati ir valsts budžeta finansējums ārstniecībai un medikamentu iegādei, 30 937 184 lati - finansējums Sociālās drošības tīkla stratēģijas ietvaros, 2 731 931 lats - Krievijas Federācijas pārskaitītais finansējums militāro pensionāru veselības aprūpei), bet 51 493 145 lati ir budžeta iestāžu, kas sniedz veselības aprūpes pakalpojumus, finansējums.</w:t>
      </w:r>
    </w:p>
    <w:p w:rsidR="007E5DC8" w:rsidRPr="007E5DC8" w:rsidRDefault="007E5DC8" w:rsidP="00C85B62">
      <w:pPr>
        <w:autoSpaceDE w:val="0"/>
        <w:autoSpaceDN w:val="0"/>
        <w:adjustRightInd w:val="0"/>
        <w:spacing w:before="120" w:after="0" w:line="240" w:lineRule="auto"/>
        <w:ind w:firstLine="720"/>
        <w:jc w:val="both"/>
        <w:rPr>
          <w:rFonts w:ascii="Times New Roman" w:hAnsi="Times New Roman" w:cs="Times New Roman"/>
          <w:sz w:val="24"/>
          <w:szCs w:val="24"/>
          <w:lang w:val="lv-LV"/>
        </w:rPr>
      </w:pPr>
      <w:r w:rsidRPr="007E5DC8">
        <w:rPr>
          <w:rFonts w:ascii="Times New Roman" w:hAnsi="Times New Roman" w:cs="Times New Roman"/>
          <w:sz w:val="24"/>
          <w:szCs w:val="24"/>
          <w:lang w:val="lv-LV"/>
        </w:rPr>
        <w:t>No Veselības norēķinu centra kopējās administrējamās budžeta daļas 144 168 879 lati ir novirzīti ambulatorās veselības aprūpes pakalpojumu sniegšanai, 139 401 035 lati - stacionārās veselības aprūpes pakalpojumu sniegšanai, 3 500 000 latu - starptautiskiem norēķiniem par Latvijas iedzīvotājiem sniegtajiem pakalpojumiem Eiropas Ekonomiskās zonas valstīs, 76 181 242 lati - kompensējamo medikamentu iegādei, 6 385 360 lati - centralizēti iepērkamo medikamentu iegādei un 560 184 lati - reto slimību medikamentozajai ārstēšanai bērniem.</w:t>
      </w:r>
    </w:p>
    <w:p w:rsidR="00C85B62" w:rsidRDefault="00C85B62" w:rsidP="00C85B62">
      <w:pPr>
        <w:pStyle w:val="NormalWeb"/>
        <w:snapToGrid w:val="0"/>
        <w:spacing w:before="0" w:after="0"/>
        <w:ind w:firstLine="709"/>
        <w:jc w:val="both"/>
      </w:pPr>
    </w:p>
    <w:p w:rsidR="00562F4B" w:rsidRDefault="00AC61F0" w:rsidP="009339B1">
      <w:pPr>
        <w:pStyle w:val="NormalWeb"/>
        <w:snapToGrid w:val="0"/>
        <w:spacing w:before="0" w:after="0"/>
        <w:ind w:firstLine="709"/>
        <w:jc w:val="both"/>
      </w:pPr>
      <w:r w:rsidRPr="00AC61F0">
        <w:lastRenderedPageBreak/>
        <w:t>Kopēj</w:t>
      </w:r>
      <w:r w:rsidR="00B20889">
        <w:t>ie</w:t>
      </w:r>
      <w:r w:rsidRPr="00AC61F0">
        <w:t xml:space="preserve"> </w:t>
      </w:r>
      <w:r w:rsidRPr="006C6A21">
        <w:rPr>
          <w:u w:val="single"/>
        </w:rPr>
        <w:t>resurs</w:t>
      </w:r>
      <w:r w:rsidR="00B20889">
        <w:rPr>
          <w:u w:val="single"/>
        </w:rPr>
        <w:t>i</w:t>
      </w:r>
      <w:r w:rsidRPr="006C6A21">
        <w:rPr>
          <w:u w:val="single"/>
        </w:rPr>
        <w:t xml:space="preserve"> ambulatoro un stacionāro veselības aprūpes pakalpojumu nodrošināšanai</w:t>
      </w:r>
      <w:r w:rsidR="00871F8C">
        <w:rPr>
          <w:u w:val="single"/>
        </w:rPr>
        <w:t>,</w:t>
      </w:r>
      <w:r>
        <w:t xml:space="preserve"> neiet</w:t>
      </w:r>
      <w:r w:rsidR="00871F8C">
        <w:t>verot finansējumu medikamentiem,</w:t>
      </w:r>
      <w:r>
        <w:t xml:space="preserve"> 2011.gadā salīdzinājumā</w:t>
      </w:r>
      <w:r w:rsidR="006C6A21">
        <w:t xml:space="preserve"> ar 2010.gada noslēgumu </w:t>
      </w:r>
      <w:r w:rsidR="00B20889">
        <w:t xml:space="preserve">sadalījumā pa resursu veidiem </w:t>
      </w:r>
      <w:r w:rsidR="006C6A21">
        <w:t>ir šād</w:t>
      </w:r>
      <w:r w:rsidR="00B20889">
        <w:t>i</w:t>
      </w:r>
      <w:r w:rsidR="006C6A21">
        <w:t xml:space="preserve"> (1.tabul</w:t>
      </w:r>
      <w:r w:rsidR="00871F8C">
        <w:t>a</w:t>
      </w:r>
      <w:r w:rsidR="006C6A21">
        <w:t>):</w:t>
      </w:r>
    </w:p>
    <w:p w:rsidR="009339B1" w:rsidRDefault="009339B1" w:rsidP="009339B1">
      <w:pPr>
        <w:pStyle w:val="NormalWeb"/>
        <w:snapToGrid w:val="0"/>
        <w:spacing w:before="0" w:after="0"/>
        <w:ind w:firstLine="709"/>
        <w:jc w:val="both"/>
      </w:pPr>
    </w:p>
    <w:p w:rsidR="006C6A21" w:rsidRPr="007F68EA" w:rsidRDefault="006C6A21" w:rsidP="00562F4B">
      <w:pPr>
        <w:pStyle w:val="NormalWeb"/>
        <w:snapToGrid w:val="0"/>
        <w:spacing w:before="120" w:after="0"/>
        <w:jc w:val="right"/>
      </w:pPr>
      <w:r>
        <w:t>1.tabula</w:t>
      </w:r>
    </w:p>
    <w:p w:rsidR="006C6A21" w:rsidRDefault="006C6A21" w:rsidP="00F62954">
      <w:pPr>
        <w:pStyle w:val="NormalWeb"/>
        <w:snapToGrid w:val="0"/>
        <w:spacing w:before="120" w:after="0"/>
        <w:ind w:firstLine="709"/>
        <w:jc w:val="center"/>
        <w:rPr>
          <w:b/>
        </w:rPr>
      </w:pPr>
      <w:r w:rsidRPr="006C6A21">
        <w:rPr>
          <w:b/>
        </w:rPr>
        <w:t>Resursi veselības aprūpes pakalpojumu apmaksai 2010.-2011.gadam</w:t>
      </w:r>
    </w:p>
    <w:p w:rsidR="00C85B62" w:rsidRPr="00F62954" w:rsidRDefault="00C85B62" w:rsidP="00F62954">
      <w:pPr>
        <w:pStyle w:val="NormalWeb"/>
        <w:snapToGrid w:val="0"/>
        <w:spacing w:before="120" w:after="0"/>
        <w:ind w:firstLine="709"/>
        <w:jc w:val="center"/>
        <w:rPr>
          <w:b/>
        </w:rPr>
      </w:pPr>
    </w:p>
    <w:tbl>
      <w:tblPr>
        <w:tblW w:w="9503" w:type="dxa"/>
        <w:jc w:val="center"/>
        <w:tblInd w:w="103" w:type="dxa"/>
        <w:tblLayout w:type="fixed"/>
        <w:tblLook w:val="04A0"/>
      </w:tblPr>
      <w:tblGrid>
        <w:gridCol w:w="4116"/>
        <w:gridCol w:w="1418"/>
        <w:gridCol w:w="1417"/>
        <w:gridCol w:w="1418"/>
        <w:gridCol w:w="1134"/>
      </w:tblGrid>
      <w:tr w:rsidR="007E5DC8" w:rsidRPr="007E5DC8" w:rsidTr="007E5DC8">
        <w:trPr>
          <w:trHeight w:val="795"/>
          <w:jc w:val="cent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2010.gads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2011.gads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Starpība,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center"/>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Īpatsvars, %</w:t>
            </w:r>
          </w:p>
        </w:tc>
      </w:tr>
      <w:tr w:rsidR="007E5DC8" w:rsidRPr="007E5DC8" w:rsidTr="007E5DC8">
        <w:trPr>
          <w:trHeight w:val="37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 xml:space="preserve">FINANŠU RESURSI KOPĀ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287 031 441</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287 069 914</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38 473</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100.01</w:t>
            </w: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r>
      <w:tr w:rsidR="007E5DC8" w:rsidRPr="007E5DC8" w:rsidTr="007E5DC8">
        <w:trPr>
          <w:trHeight w:val="3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DF6DF0">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I.Ārstniecība ( pakalpojumu apmaksa)</w:t>
            </w:r>
            <w:r w:rsidR="00346DE7" w:rsidRPr="007E5DC8">
              <w:rPr>
                <w:rFonts w:ascii="Times New Roman" w:eastAsia="Times New Roman" w:hAnsi="Times New Roman" w:cs="Times New Roman"/>
                <w:lang w:val="lv-LV" w:eastAsia="lv-LV"/>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263 476 099</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258 147 154</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-5 328 945</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97.98</w:t>
            </w:r>
          </w:p>
        </w:tc>
      </w:tr>
      <w:tr w:rsidR="007E5DC8" w:rsidRPr="007E5DC8" w:rsidTr="007E5DC8">
        <w:trPr>
          <w:trHeight w:val="61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346DE7">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Apakšprogrammas "Ārstniecība" dotācija no valsts budžeta pakalpojumu apmaksai </w:t>
            </w:r>
            <w:r w:rsidR="00DF6DF0" w:rsidRPr="007E5DC8">
              <w:rPr>
                <w:rFonts w:ascii="Times New Roman" w:eastAsia="Times New Roman" w:hAnsi="Times New Roman" w:cs="Times New Roman"/>
                <w:lang w:val="lv-LV"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233 248 770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254 417 995</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21 169 225</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0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xml:space="preserve">Pašu ieņēmumu līdzekļu atlikumu pārdale </w:t>
            </w:r>
          </w:p>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(ar MK un FM rīkojumiem)</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3 244 983</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0 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-3 244 983</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programmas 99.00.00. ''Līdzekļu neparedzētiem gadījumiem izlietojums''</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26 218 346</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2 866 451 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-23 351 895</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40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Maksas pakalpojumi un citi pašu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764 000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764 000</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 </w:t>
            </w:r>
          </w:p>
        </w:tc>
      </w:tr>
      <w:tr w:rsidR="007E5DC8" w:rsidRPr="007E5DC8" w:rsidTr="007E5DC8">
        <w:trPr>
          <w:trHeight w:val="40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Maksas pakalpojumi un citi pašu ieņēmumi par 2010.gadu</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98 708</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98 708</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sz w:val="10"/>
                <w:szCs w:val="10"/>
                <w:lang w:val="lv-LV" w:eastAsia="lv-LV"/>
              </w:rPr>
            </w:pPr>
            <w:r w:rsidRPr="007E5DC8">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r>
      <w:tr w:rsidR="007E5DC8" w:rsidRPr="007E5DC8" w:rsidTr="007E5DC8">
        <w:trPr>
          <w:trHeight w:val="57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proofErr w:type="spellStart"/>
            <w:r w:rsidRPr="007E5DC8">
              <w:rPr>
                <w:rFonts w:ascii="Times New Roman" w:eastAsia="Times New Roman" w:hAnsi="Times New Roman" w:cs="Times New Roman"/>
                <w:b/>
                <w:bCs/>
                <w:lang w:val="lv-LV" w:eastAsia="lv-LV"/>
              </w:rPr>
              <w:t>II.Sociālās</w:t>
            </w:r>
            <w:proofErr w:type="spellEnd"/>
            <w:r w:rsidRPr="007E5DC8">
              <w:rPr>
                <w:rFonts w:ascii="Times New Roman" w:eastAsia="Times New Roman" w:hAnsi="Times New Roman" w:cs="Times New Roman"/>
                <w:b/>
                <w:bCs/>
                <w:lang w:val="lv-LV" w:eastAsia="lv-LV"/>
              </w:rPr>
              <w:t xml:space="preserve"> drošības tīkla stratēģijas pasākumu līdzekļi</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26 750 692</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5 426 180</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125.45</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roofErr w:type="spellStart"/>
            <w:r w:rsidRPr="007E5DC8">
              <w:rPr>
                <w:rFonts w:ascii="Times New Roman" w:eastAsia="Times New Roman" w:hAnsi="Times New Roman" w:cs="Times New Roman"/>
                <w:lang w:val="lv-LV" w:eastAsia="lv-LV"/>
              </w:rPr>
              <w:t>Apakšprogrogramma</w:t>
            </w:r>
            <w:proofErr w:type="spellEnd"/>
            <w:r w:rsidRPr="007E5DC8">
              <w:rPr>
                <w:rFonts w:ascii="Times New Roman" w:eastAsia="Times New Roman" w:hAnsi="Times New Roman" w:cs="Times New Roman"/>
                <w:lang w:val="lv-LV" w:eastAsia="lv-LV"/>
              </w:rPr>
              <w:t xml:space="preserve"> "Sociālās drošības tīkla stratēģijas pasākumu īstenošana"</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26 124 219</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4 799 707</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645"/>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programmas 99.00.00. ''Līdzekļu neparedzētiem gadījumiem izlietojums''</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626 473</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626 473</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
        </w:tc>
      </w:tr>
      <w:tr w:rsidR="007E5DC8" w:rsidRPr="007E5DC8" w:rsidTr="007E5DC8">
        <w:trPr>
          <w:trHeight w:val="15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sz w:val="10"/>
                <w:szCs w:val="10"/>
                <w:lang w:val="lv-LV" w:eastAsia="lv-LV"/>
              </w:rPr>
            </w:pPr>
            <w:r w:rsidRPr="007E5DC8">
              <w:rPr>
                <w:rFonts w:ascii="Times New Roman" w:eastAsia="Times New Roman" w:hAnsi="Times New Roman" w:cs="Times New Roman"/>
                <w:sz w:val="10"/>
                <w:szCs w:val="10"/>
                <w:lang w:val="lv-LV" w:eastAsia="lv-LV"/>
              </w:rPr>
              <w:t> </w:t>
            </w:r>
          </w:p>
        </w:tc>
      </w:tr>
      <w:tr w:rsidR="007E5DC8" w:rsidRPr="007E5DC8" w:rsidTr="007E5DC8">
        <w:trPr>
          <w:trHeight w:val="57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III. Krievijas  Federācijas militāro pensionāru veselības aprūpe</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2 230 830</w:t>
            </w:r>
          </w:p>
        </w:tc>
        <w:tc>
          <w:tcPr>
            <w:tcW w:w="1417"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2 172 068</w:t>
            </w:r>
          </w:p>
        </w:tc>
        <w:tc>
          <w:tcPr>
            <w:tcW w:w="1418"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-58 762</w:t>
            </w:r>
          </w:p>
        </w:tc>
        <w:tc>
          <w:tcPr>
            <w:tcW w:w="1134" w:type="dxa"/>
            <w:tcBorders>
              <w:top w:val="nil"/>
              <w:left w:val="nil"/>
              <w:bottom w:val="single" w:sz="4" w:space="0" w:color="auto"/>
              <w:right w:val="single" w:sz="4" w:space="0" w:color="auto"/>
            </w:tcBorders>
            <w:shd w:val="clear" w:color="auto" w:fill="auto"/>
            <w:noWrap/>
            <w:vAlign w:val="center"/>
            <w:hideMark/>
          </w:tcPr>
          <w:p w:rsidR="007E5DC8" w:rsidRPr="007E5DC8" w:rsidRDefault="007E5DC8" w:rsidP="007E5DC8">
            <w:pPr>
              <w:spacing w:after="0" w:line="240" w:lineRule="auto"/>
              <w:jc w:val="right"/>
              <w:rPr>
                <w:rFonts w:ascii="Times New Roman" w:eastAsia="Times New Roman" w:hAnsi="Times New Roman" w:cs="Times New Roman"/>
                <w:b/>
                <w:bCs/>
                <w:lang w:val="lv-LV" w:eastAsia="lv-LV"/>
              </w:rPr>
            </w:pPr>
            <w:r w:rsidRPr="007E5DC8">
              <w:rPr>
                <w:rFonts w:ascii="Times New Roman" w:eastAsia="Times New Roman" w:hAnsi="Times New Roman" w:cs="Times New Roman"/>
                <w:b/>
                <w:bCs/>
                <w:lang w:val="lv-LV" w:eastAsia="lv-LV"/>
              </w:rPr>
              <w:t>97.37</w:t>
            </w:r>
          </w:p>
        </w:tc>
      </w:tr>
      <w:tr w:rsidR="007E5DC8" w:rsidRPr="007E5DC8" w:rsidTr="007E5DC8">
        <w:trPr>
          <w:trHeight w:val="900"/>
          <w:jc w:val="center"/>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Līdzekļi no apakšprogrammas "Krievijas Federācijas militāro pensionāru veselības aprūpe" **</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2 230 830</w:t>
            </w:r>
          </w:p>
        </w:tc>
        <w:tc>
          <w:tcPr>
            <w:tcW w:w="1417"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2 172 068</w:t>
            </w:r>
          </w:p>
        </w:tc>
        <w:tc>
          <w:tcPr>
            <w:tcW w:w="1418"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jc w:val="right"/>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-58 762</w:t>
            </w:r>
          </w:p>
        </w:tc>
        <w:tc>
          <w:tcPr>
            <w:tcW w:w="1134" w:type="dxa"/>
            <w:tcBorders>
              <w:top w:val="nil"/>
              <w:left w:val="nil"/>
              <w:bottom w:val="single" w:sz="4" w:space="0" w:color="auto"/>
              <w:right w:val="single" w:sz="4" w:space="0" w:color="auto"/>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r w:rsidRPr="007E5DC8">
              <w:rPr>
                <w:rFonts w:ascii="Times New Roman" w:eastAsia="Times New Roman" w:hAnsi="Times New Roman" w:cs="Times New Roman"/>
                <w:lang w:val="lv-LV" w:eastAsia="lv-LV"/>
              </w:rPr>
              <w:t> </w:t>
            </w:r>
          </w:p>
        </w:tc>
      </w:tr>
      <w:tr w:rsidR="007E5DC8" w:rsidRPr="007E5DC8" w:rsidTr="007E5DC8">
        <w:trPr>
          <w:trHeight w:val="209"/>
          <w:jc w:val="center"/>
        </w:trPr>
        <w:tc>
          <w:tcPr>
            <w:tcW w:w="9503" w:type="dxa"/>
            <w:gridSpan w:val="5"/>
            <w:tcBorders>
              <w:top w:val="nil"/>
              <w:left w:val="nil"/>
              <w:bottom w:val="nil"/>
              <w:right w:val="nil"/>
            </w:tcBorders>
            <w:shd w:val="clear" w:color="auto" w:fill="auto"/>
            <w:vAlign w:val="center"/>
            <w:hideMark/>
          </w:tcPr>
          <w:p w:rsidR="007E5DC8" w:rsidRPr="007E5DC8" w:rsidRDefault="007E5DC8" w:rsidP="007E5DC8">
            <w:pPr>
              <w:spacing w:after="0" w:line="240" w:lineRule="auto"/>
              <w:rPr>
                <w:rFonts w:ascii="Times New Roman" w:eastAsia="Times New Roman" w:hAnsi="Times New Roman" w:cs="Times New Roman"/>
                <w:lang w:val="lv-LV" w:eastAsia="lv-LV"/>
              </w:rPr>
            </w:pPr>
          </w:p>
        </w:tc>
      </w:tr>
      <w:tr w:rsidR="007E5DC8" w:rsidRPr="00ED2803" w:rsidTr="007E5DC8">
        <w:trPr>
          <w:trHeight w:val="1922"/>
          <w:jc w:val="center"/>
        </w:trPr>
        <w:tc>
          <w:tcPr>
            <w:tcW w:w="9503" w:type="dxa"/>
            <w:gridSpan w:val="5"/>
            <w:tcBorders>
              <w:top w:val="nil"/>
              <w:left w:val="nil"/>
              <w:bottom w:val="nil"/>
              <w:right w:val="nil"/>
            </w:tcBorders>
            <w:shd w:val="clear" w:color="auto" w:fill="auto"/>
            <w:vAlign w:val="center"/>
            <w:hideMark/>
          </w:tcPr>
          <w:p w:rsidR="007E5DC8" w:rsidRPr="00346DE7" w:rsidRDefault="007E5DC8" w:rsidP="007E5DC8">
            <w:pPr>
              <w:spacing w:after="0" w:line="240" w:lineRule="auto"/>
              <w:jc w:val="both"/>
              <w:rPr>
                <w:rFonts w:ascii="Times New Roman" w:eastAsia="Times New Roman" w:hAnsi="Times New Roman" w:cs="Times New Roman"/>
                <w:sz w:val="20"/>
                <w:szCs w:val="20"/>
                <w:lang w:val="lv-LV" w:eastAsia="lv-LV"/>
              </w:rPr>
            </w:pPr>
            <w:r w:rsidRPr="00346DE7">
              <w:rPr>
                <w:rFonts w:ascii="Times New Roman" w:eastAsia="Times New Roman" w:hAnsi="Times New Roman" w:cs="Times New Roman"/>
                <w:sz w:val="20"/>
                <w:szCs w:val="20"/>
                <w:lang w:val="lv-LV" w:eastAsia="lv-LV"/>
              </w:rPr>
              <w:t>* 2010.gada finansējums no valsts budžeta dotācijas gada noslēgumā, atskaitot papildus piešķirtos līdzekļus ar 20.12.2010</w:t>
            </w:r>
            <w:r w:rsidR="00871F8C">
              <w:rPr>
                <w:rFonts w:ascii="Times New Roman" w:eastAsia="Times New Roman" w:hAnsi="Times New Roman" w:cs="Times New Roman"/>
                <w:sz w:val="20"/>
                <w:szCs w:val="20"/>
                <w:lang w:val="lv-LV" w:eastAsia="lv-LV"/>
              </w:rPr>
              <w:t>.</w:t>
            </w:r>
            <w:r w:rsidRPr="00346DE7">
              <w:rPr>
                <w:rFonts w:ascii="Times New Roman" w:eastAsia="Times New Roman" w:hAnsi="Times New Roman" w:cs="Times New Roman"/>
                <w:sz w:val="20"/>
                <w:szCs w:val="20"/>
                <w:lang w:val="lv-LV" w:eastAsia="lv-LV"/>
              </w:rPr>
              <w:t xml:space="preserve"> FM rīkojumu Nr.705 (11 643 704 Ls - vienreizējs pasākums slimnīcu parādsaistību apmaksai), kā arī papildus piešķirtos līdzekļus valsts galvoto aizdevumu atmaksai Ludzas un Kuldīgas slimnīcām (322 939 Ls) un NMP brigāžu finansējuma daļu (2 056 284 Ls), kas 2010.gadā vēl bija iekļauta pakalpojumu apmaksā līdz Neatliekamās medicīniskās palīdzības dienesta galīgajai izveidei 01.07.2010. Atbilstoši tam arī 2011.gada finansējumā nav ietverti budžeta grozījumos iestrādātie līdzekļi no 2010.gada pašu ieņēmumu atlikuma valsts galvoto aizdevumu atmaksai Ludzas un Kuldīgas slimnīcām (342 840 Ls).</w:t>
            </w:r>
            <w:r w:rsidR="00346DE7" w:rsidRPr="00346DE7">
              <w:rPr>
                <w:rFonts w:ascii="Times New Roman" w:eastAsia="Times New Roman" w:hAnsi="Times New Roman" w:cs="Times New Roman"/>
                <w:sz w:val="20"/>
                <w:szCs w:val="20"/>
                <w:lang w:val="lv-LV" w:eastAsia="lv-LV"/>
              </w:rPr>
              <w:t xml:space="preserve"> 2011.gada finansējums no valsts budžeta dotācijas, atskaitot papildus</w:t>
            </w:r>
            <w:r w:rsidR="00871F8C">
              <w:rPr>
                <w:rFonts w:ascii="Times New Roman" w:eastAsia="Times New Roman" w:hAnsi="Times New Roman" w:cs="Times New Roman"/>
                <w:sz w:val="20"/>
                <w:szCs w:val="20"/>
                <w:lang w:val="lv-LV" w:eastAsia="lv-LV"/>
              </w:rPr>
              <w:t xml:space="preserve"> piešķirtos līdzekļus ar MK 5.04</w:t>
            </w:r>
            <w:r w:rsidR="00346DE7" w:rsidRPr="00346DE7">
              <w:rPr>
                <w:rFonts w:ascii="Times New Roman" w:eastAsia="Times New Roman" w:hAnsi="Times New Roman" w:cs="Times New Roman"/>
                <w:sz w:val="20"/>
                <w:szCs w:val="20"/>
                <w:lang w:val="lv-LV" w:eastAsia="lv-LV"/>
              </w:rPr>
              <w:t>.2011</w:t>
            </w:r>
            <w:r w:rsidR="00871F8C">
              <w:rPr>
                <w:rFonts w:ascii="Times New Roman" w:eastAsia="Times New Roman" w:hAnsi="Times New Roman" w:cs="Times New Roman"/>
                <w:sz w:val="20"/>
                <w:szCs w:val="20"/>
                <w:lang w:val="lv-LV" w:eastAsia="lv-LV"/>
              </w:rPr>
              <w:t>.</w:t>
            </w:r>
            <w:r w:rsidR="00346DE7" w:rsidRPr="00346DE7">
              <w:rPr>
                <w:rFonts w:ascii="Times New Roman" w:eastAsia="Times New Roman" w:hAnsi="Times New Roman" w:cs="Times New Roman"/>
                <w:sz w:val="20"/>
                <w:szCs w:val="20"/>
                <w:lang w:val="lv-LV" w:eastAsia="lv-LV"/>
              </w:rPr>
              <w:t xml:space="preserve"> sēdes protokolu nr.22 43§  valsts galvotā aizdevuma segšanai par 2011.gadu Ludzas un Kuldīgas slimnīcām Ls 244 132</w:t>
            </w:r>
          </w:p>
        </w:tc>
      </w:tr>
      <w:tr w:rsidR="007E5DC8" w:rsidRPr="00ED2803" w:rsidTr="007E5DC8">
        <w:trPr>
          <w:trHeight w:val="561"/>
          <w:jc w:val="center"/>
        </w:trPr>
        <w:tc>
          <w:tcPr>
            <w:tcW w:w="9503" w:type="dxa"/>
            <w:gridSpan w:val="5"/>
            <w:tcBorders>
              <w:top w:val="nil"/>
              <w:left w:val="nil"/>
              <w:bottom w:val="nil"/>
              <w:right w:val="nil"/>
            </w:tcBorders>
            <w:shd w:val="clear" w:color="auto" w:fill="auto"/>
            <w:vAlign w:val="center"/>
            <w:hideMark/>
          </w:tcPr>
          <w:p w:rsidR="007E5DC8" w:rsidRPr="00346DE7" w:rsidRDefault="007E5DC8" w:rsidP="00346DE7">
            <w:pPr>
              <w:spacing w:after="0" w:line="240" w:lineRule="auto"/>
              <w:jc w:val="both"/>
              <w:rPr>
                <w:rFonts w:ascii="Times New Roman" w:eastAsia="Times New Roman" w:hAnsi="Times New Roman" w:cs="Times New Roman"/>
                <w:sz w:val="20"/>
                <w:szCs w:val="20"/>
                <w:lang w:val="lv-LV" w:eastAsia="lv-LV"/>
              </w:rPr>
            </w:pPr>
            <w:r w:rsidRPr="00346DE7">
              <w:rPr>
                <w:rFonts w:ascii="Times New Roman" w:eastAsia="Times New Roman" w:hAnsi="Times New Roman" w:cs="Times New Roman"/>
                <w:sz w:val="20"/>
                <w:szCs w:val="20"/>
                <w:lang w:val="lv-LV" w:eastAsia="lv-LV"/>
              </w:rPr>
              <w:lastRenderedPageBreak/>
              <w:t xml:space="preserve">** Finansējums no apakšprogrammas 37.03.00 "Krievijas Federācijas militāro pensionāru veselības aprūpe", kuru plānots izlietot veselības aprūpes pakalpojumu sniegšanai </w:t>
            </w:r>
            <w:r w:rsidR="00346DE7" w:rsidRPr="00346DE7">
              <w:rPr>
                <w:rFonts w:ascii="Times New Roman" w:eastAsia="Times New Roman" w:hAnsi="Times New Roman" w:cs="Times New Roman"/>
                <w:sz w:val="20"/>
                <w:szCs w:val="20"/>
                <w:lang w:val="lv-LV" w:eastAsia="lv-LV"/>
              </w:rPr>
              <w:t xml:space="preserve">Krievijas Federācijas </w:t>
            </w:r>
            <w:r w:rsidRPr="00346DE7">
              <w:rPr>
                <w:rFonts w:ascii="Times New Roman" w:eastAsia="Times New Roman" w:hAnsi="Times New Roman" w:cs="Times New Roman"/>
                <w:sz w:val="20"/>
                <w:szCs w:val="20"/>
                <w:lang w:val="lv-LV" w:eastAsia="lv-LV"/>
              </w:rPr>
              <w:t>militārajiem pensionāriem.</w:t>
            </w:r>
          </w:p>
          <w:p w:rsidR="00346DE7" w:rsidRPr="00346DE7" w:rsidRDefault="00346DE7" w:rsidP="00346DE7">
            <w:pPr>
              <w:spacing w:after="0" w:line="240" w:lineRule="auto"/>
              <w:jc w:val="both"/>
              <w:rPr>
                <w:rFonts w:ascii="Times New Roman" w:eastAsia="Times New Roman" w:hAnsi="Times New Roman" w:cs="Times New Roman"/>
                <w:sz w:val="20"/>
                <w:szCs w:val="20"/>
                <w:lang w:val="lv-LV" w:eastAsia="lv-LV"/>
              </w:rPr>
            </w:pPr>
          </w:p>
        </w:tc>
      </w:tr>
    </w:tbl>
    <w:p w:rsidR="007F68EA" w:rsidRDefault="00B20889" w:rsidP="007E5DC8">
      <w:pPr>
        <w:pStyle w:val="NormalWeb"/>
        <w:snapToGrid w:val="0"/>
        <w:spacing w:before="120" w:after="0"/>
        <w:ind w:firstLine="720"/>
        <w:jc w:val="both"/>
      </w:pPr>
      <w:r w:rsidRPr="00AC61F0">
        <w:t>Kopējais</w:t>
      </w:r>
      <w:r>
        <w:t xml:space="preserve"> piešķirtā</w:t>
      </w:r>
      <w:r w:rsidRPr="00AC61F0">
        <w:t xml:space="preserve"> </w:t>
      </w:r>
      <w:r>
        <w:rPr>
          <w:u w:val="single"/>
        </w:rPr>
        <w:t>finansējuma sadalījums</w:t>
      </w:r>
      <w:r w:rsidRPr="006C6A21">
        <w:rPr>
          <w:u w:val="single"/>
        </w:rPr>
        <w:t xml:space="preserve"> </w:t>
      </w:r>
      <w:r>
        <w:rPr>
          <w:u w:val="single"/>
        </w:rPr>
        <w:t xml:space="preserve">izdevumiem </w:t>
      </w:r>
      <w:r w:rsidRPr="006C6A21">
        <w:rPr>
          <w:u w:val="single"/>
        </w:rPr>
        <w:t>ambulatoro un stacionāro veselības aprūpes pakalpojumu nodrošināšanai</w:t>
      </w:r>
      <w:r>
        <w:t xml:space="preserve"> 2011.gadā salīdzinājumā ar 2010.gada n</w:t>
      </w:r>
      <w:r w:rsidR="00871F8C">
        <w:t>oslēgumu ir šāds (2.tabula</w:t>
      </w:r>
      <w:r>
        <w:t>):</w:t>
      </w:r>
    </w:p>
    <w:p w:rsidR="00A2615B" w:rsidRPr="007F68EA" w:rsidRDefault="00B85753" w:rsidP="00562F4B">
      <w:pPr>
        <w:pStyle w:val="NormalWeb"/>
        <w:snapToGrid w:val="0"/>
        <w:spacing w:before="120" w:after="0"/>
        <w:jc w:val="right"/>
      </w:pPr>
      <w:r w:rsidRPr="00B85753">
        <w:t>2.tabula</w:t>
      </w:r>
    </w:p>
    <w:p w:rsidR="00C85B62" w:rsidRDefault="00C85B62" w:rsidP="007E5DC8">
      <w:pPr>
        <w:pStyle w:val="NormalWeb"/>
        <w:snapToGrid w:val="0"/>
        <w:spacing w:before="0" w:after="120"/>
        <w:jc w:val="center"/>
        <w:rPr>
          <w:b/>
        </w:rPr>
      </w:pPr>
    </w:p>
    <w:p w:rsidR="00C85B62" w:rsidRPr="00D140CA" w:rsidRDefault="007E5DC8" w:rsidP="00C85B62">
      <w:pPr>
        <w:pStyle w:val="NormalWeb"/>
        <w:snapToGrid w:val="0"/>
        <w:spacing w:before="0" w:after="120"/>
        <w:jc w:val="center"/>
        <w:rPr>
          <w:b/>
        </w:rPr>
      </w:pPr>
      <w:r w:rsidRPr="00D140CA">
        <w:rPr>
          <w:b/>
        </w:rPr>
        <w:t>Finansējuma sadalījums veselības aprūpes pakalpojumu apmaksai 2010.- 2011.gadam</w:t>
      </w:r>
    </w:p>
    <w:tbl>
      <w:tblPr>
        <w:tblW w:w="9487" w:type="dxa"/>
        <w:jc w:val="center"/>
        <w:tblInd w:w="108" w:type="dxa"/>
        <w:tblLook w:val="04A0"/>
      </w:tblPr>
      <w:tblGrid>
        <w:gridCol w:w="3800"/>
        <w:gridCol w:w="1560"/>
        <w:gridCol w:w="1593"/>
        <w:gridCol w:w="1536"/>
        <w:gridCol w:w="998"/>
      </w:tblGrid>
      <w:tr w:rsidR="007E5DC8" w:rsidRPr="00D140CA" w:rsidTr="007E5DC8">
        <w:trPr>
          <w:trHeight w:val="66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KOPĀ VISI RESURSI</w:t>
            </w:r>
            <w:r w:rsidRPr="00D140CA">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KOPĀ VISI RESURSI</w:t>
            </w:r>
            <w:r w:rsidRPr="00D140CA">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253"/>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132 448 315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144 168 879</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11 720 564</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8.8</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1 948 485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558 317</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21 754 406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-273 726</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151 991 604</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139 401 035</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-12 590 569</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-8.3</w:t>
            </w:r>
          </w:p>
        </w:tc>
      </w:tr>
      <w:tr w:rsidR="007E5DC8" w:rsidRPr="00D140CA" w:rsidTr="007E5DC8">
        <w:trPr>
          <w:trHeight w:val="900"/>
          <w:jc w:val="center"/>
        </w:trPr>
        <w:tc>
          <w:tcPr>
            <w:tcW w:w="3800" w:type="dxa"/>
            <w:tcBorders>
              <w:top w:val="nil"/>
              <w:left w:val="single" w:sz="4" w:space="0" w:color="auto"/>
              <w:bottom w:val="nil"/>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xml:space="preserve">Norēķini </w:t>
            </w:r>
            <w:r w:rsidRPr="00D140CA">
              <w:rPr>
                <w:rFonts w:ascii="Times New Roman" w:eastAsia="Times New Roman" w:hAnsi="Times New Roman" w:cs="Times New Roman"/>
                <w:lang w:val="lv-LV" w:eastAsia="lv-LV"/>
              </w:rPr>
              <w:t>ar ES</w:t>
            </w:r>
            <w:r w:rsidRPr="00D140CA">
              <w:rPr>
                <w:rFonts w:ascii="Times New Roman" w:eastAsia="Times New Roman" w:hAnsi="Times New Roman" w:cs="Times New Roman"/>
                <w:b/>
                <w:bCs/>
                <w:lang w:val="lv-LV" w:eastAsia="lv-LV"/>
              </w:rPr>
              <w:t xml:space="preserve"> </w:t>
            </w:r>
            <w:r w:rsidRPr="00D140CA">
              <w:rPr>
                <w:rFonts w:ascii="Times New Roman" w:eastAsia="Times New Roman" w:hAnsi="Times New Roman" w:cs="Times New Roman"/>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908 478</w:t>
            </w:r>
          </w:p>
        </w:tc>
        <w:tc>
          <w:tcPr>
            <w:tcW w:w="998" w:type="dxa"/>
            <w:tcBorders>
              <w:top w:val="nil"/>
              <w:left w:val="single" w:sz="4" w:space="0" w:color="auto"/>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35.1</w:t>
            </w:r>
          </w:p>
        </w:tc>
      </w:tr>
      <w:tr w:rsidR="007E5DC8" w:rsidRPr="00D140CA" w:rsidTr="007E5DC8">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287 031 441</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287 069 914</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38 473</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0.0</w:t>
            </w:r>
          </w:p>
        </w:tc>
      </w:tr>
      <w:tr w:rsidR="007E5DC8" w:rsidRPr="00D140CA" w:rsidTr="007E5DC8">
        <w:trPr>
          <w:trHeight w:val="7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sz w:val="8"/>
                <w:szCs w:val="8"/>
                <w:lang w:val="lv-LV" w:eastAsia="lv-LV"/>
              </w:rPr>
            </w:pPr>
          </w:p>
        </w:tc>
        <w:tc>
          <w:tcPr>
            <w:tcW w:w="1560" w:type="dxa"/>
            <w:tcBorders>
              <w:top w:val="nil"/>
              <w:left w:val="nil"/>
              <w:bottom w:val="nil"/>
              <w:right w:val="nil"/>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8"/>
                <w:szCs w:val="8"/>
                <w:lang w:val="lv-LV" w:eastAsia="lv-LV"/>
              </w:rPr>
            </w:pPr>
          </w:p>
        </w:tc>
      </w:tr>
      <w:tr w:rsidR="007E5DC8" w:rsidRPr="00D140CA" w:rsidTr="007E5DC8">
        <w:trPr>
          <w:trHeight w:val="347"/>
          <w:jc w:val="center"/>
        </w:trPr>
        <w:tc>
          <w:tcPr>
            <w:tcW w:w="9487" w:type="dxa"/>
            <w:gridSpan w:val="5"/>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i/>
                <w:sz w:val="24"/>
                <w:szCs w:val="24"/>
                <w:lang w:val="lv-LV" w:eastAsia="lv-LV"/>
              </w:rPr>
            </w:pPr>
            <w:r w:rsidRPr="00D140CA">
              <w:rPr>
                <w:rFonts w:ascii="Times New Roman" w:eastAsia="Times New Roman" w:hAnsi="Times New Roman" w:cs="Times New Roman"/>
                <w:b/>
                <w:bCs/>
                <w:sz w:val="24"/>
                <w:szCs w:val="24"/>
                <w:lang w:val="lv-LV" w:eastAsia="lv-LV"/>
              </w:rPr>
              <w:t xml:space="preserve">                     </w:t>
            </w:r>
            <w:r w:rsidRPr="00D140CA">
              <w:rPr>
                <w:rFonts w:ascii="Times New Roman" w:eastAsia="Times New Roman" w:hAnsi="Times New Roman" w:cs="Times New Roman"/>
                <w:b/>
                <w:bCs/>
                <w:i/>
                <w:sz w:val="24"/>
                <w:szCs w:val="24"/>
                <w:lang w:val="lv-LV" w:eastAsia="lv-LV"/>
              </w:rPr>
              <w:t>tai skaitā:</w:t>
            </w:r>
          </w:p>
        </w:tc>
      </w:tr>
      <w:tr w:rsidR="007E5DC8" w:rsidRPr="00D140CA" w:rsidTr="007E5DC8">
        <w:trPr>
          <w:trHeight w:val="315"/>
          <w:jc w:val="center"/>
        </w:trPr>
        <w:tc>
          <w:tcPr>
            <w:tcW w:w="9487" w:type="dxa"/>
            <w:gridSpan w:val="5"/>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r w:rsidRPr="00D140CA">
              <w:rPr>
                <w:rFonts w:ascii="Times New Roman" w:eastAsia="Times New Roman" w:hAnsi="Times New Roman" w:cs="Times New Roman"/>
                <w:b/>
                <w:bCs/>
                <w:sz w:val="24"/>
                <w:szCs w:val="24"/>
                <w:lang w:val="lv-LV" w:eastAsia="lv-LV"/>
              </w:rPr>
              <w:t>I. Ārstniecība (pakalpojumu apmaksa) + KF militāro pensionāru veselības aprūpe</w:t>
            </w:r>
          </w:p>
        </w:tc>
      </w:tr>
      <w:tr w:rsidR="007E5DC8" w:rsidRPr="00D140CA" w:rsidTr="007E5DC8">
        <w:trPr>
          <w:trHeight w:val="8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6"/>
                <w:szCs w:val="6"/>
                <w:lang w:val="lv-LV" w:eastAsia="lv-LV"/>
              </w:rPr>
            </w:pPr>
          </w:p>
        </w:tc>
        <w:tc>
          <w:tcPr>
            <w:tcW w:w="1560" w:type="dxa"/>
            <w:tcBorders>
              <w:top w:val="nil"/>
              <w:left w:val="nil"/>
              <w:bottom w:val="nil"/>
              <w:right w:val="nil"/>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72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Plānotie līdzekļi</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Plānotie līdzekļi</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253"/>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118 160 892</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127 188 137</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9 027 245</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7.6</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1 067 776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-1 067 776</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12 737 790</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8 742 890</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144 954 515</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129 631 085</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-15 323 430</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-10.6</w:t>
            </w:r>
          </w:p>
        </w:tc>
      </w:tr>
      <w:tr w:rsidR="007E5DC8" w:rsidRPr="00D140CA" w:rsidTr="007E5DC8">
        <w:trPr>
          <w:trHeight w:val="900"/>
          <w:jc w:val="center"/>
        </w:trPr>
        <w:tc>
          <w:tcPr>
            <w:tcW w:w="3800" w:type="dxa"/>
            <w:tcBorders>
              <w:top w:val="nil"/>
              <w:left w:val="single" w:sz="4" w:space="0" w:color="auto"/>
              <w:bottom w:val="nil"/>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 xml:space="preserve">Norēķini </w:t>
            </w:r>
            <w:r w:rsidRPr="00D140CA">
              <w:rPr>
                <w:rFonts w:ascii="Times New Roman" w:eastAsia="Times New Roman" w:hAnsi="Times New Roman" w:cs="Times New Roman"/>
                <w:lang w:val="lv-LV" w:eastAsia="lv-LV"/>
              </w:rPr>
              <w:t>ar ES</w:t>
            </w:r>
            <w:r w:rsidRPr="00D140CA">
              <w:rPr>
                <w:rFonts w:ascii="Times New Roman" w:eastAsia="Times New Roman" w:hAnsi="Times New Roman" w:cs="Times New Roman"/>
                <w:b/>
                <w:bCs/>
                <w:lang w:val="lv-LV" w:eastAsia="lv-LV"/>
              </w:rPr>
              <w:t xml:space="preserve"> </w:t>
            </w:r>
            <w:r w:rsidRPr="00D140CA">
              <w:rPr>
                <w:rFonts w:ascii="Times New Roman" w:eastAsia="Times New Roman" w:hAnsi="Times New Roman" w:cs="Times New Roman"/>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908 478</w:t>
            </w:r>
          </w:p>
        </w:tc>
        <w:tc>
          <w:tcPr>
            <w:tcW w:w="998" w:type="dxa"/>
            <w:tcBorders>
              <w:top w:val="nil"/>
              <w:left w:val="nil"/>
              <w:bottom w:val="nil"/>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35.1</w:t>
            </w:r>
          </w:p>
        </w:tc>
      </w:tr>
      <w:tr w:rsidR="007E5DC8" w:rsidRPr="00D140CA" w:rsidTr="007E5DC8">
        <w:trPr>
          <w:trHeight w:val="36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265 706 929</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260 319 222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-5 387 707</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-2.0</w:t>
            </w:r>
          </w:p>
        </w:tc>
      </w:tr>
      <w:tr w:rsidR="007E5DC8" w:rsidRPr="00D140CA" w:rsidTr="007E5DC8">
        <w:trPr>
          <w:trHeight w:val="225"/>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6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315"/>
          <w:jc w:val="center"/>
        </w:trPr>
        <w:tc>
          <w:tcPr>
            <w:tcW w:w="5360" w:type="dxa"/>
            <w:gridSpan w:val="2"/>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b/>
                <w:bCs/>
                <w:sz w:val="24"/>
                <w:szCs w:val="24"/>
                <w:lang w:val="lv-LV" w:eastAsia="lv-LV"/>
              </w:rPr>
            </w:pPr>
            <w:r w:rsidRPr="00D140CA">
              <w:rPr>
                <w:rFonts w:ascii="Times New Roman" w:eastAsia="Times New Roman" w:hAnsi="Times New Roman" w:cs="Times New Roman"/>
                <w:b/>
                <w:bCs/>
                <w:sz w:val="24"/>
                <w:szCs w:val="24"/>
                <w:lang w:val="lv-LV" w:eastAsia="lv-LV"/>
              </w:rPr>
              <w:t>II. Sociālās drošības tīkla stratēģijas līdzekļi</w:t>
            </w: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24"/>
                <w:szCs w:val="24"/>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24"/>
                <w:szCs w:val="24"/>
                <w:lang w:val="lv-LV" w:eastAsia="lv-LV"/>
              </w:rPr>
            </w:pPr>
          </w:p>
        </w:tc>
      </w:tr>
      <w:tr w:rsidR="007E5DC8" w:rsidRPr="00D140CA" w:rsidTr="007E5DC8">
        <w:trPr>
          <w:trHeight w:val="80"/>
          <w:jc w:val="center"/>
        </w:trPr>
        <w:tc>
          <w:tcPr>
            <w:tcW w:w="380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c>
          <w:tcPr>
            <w:tcW w:w="1560"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1593"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1536"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sz w:val="6"/>
                <w:szCs w:val="6"/>
                <w:lang w:val="lv-LV" w:eastAsia="lv-LV"/>
              </w:rPr>
            </w:pPr>
          </w:p>
        </w:tc>
        <w:tc>
          <w:tcPr>
            <w:tcW w:w="998" w:type="dxa"/>
            <w:tcBorders>
              <w:top w:val="nil"/>
              <w:left w:val="nil"/>
              <w:bottom w:val="nil"/>
              <w:right w:val="nil"/>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sz w:val="6"/>
                <w:szCs w:val="6"/>
                <w:lang w:val="lv-LV" w:eastAsia="lv-LV"/>
              </w:rPr>
            </w:pPr>
          </w:p>
        </w:tc>
      </w:tr>
      <w:tr w:rsidR="007E5DC8" w:rsidRPr="00D140CA" w:rsidTr="007E5DC8">
        <w:trPr>
          <w:trHeight w:val="600"/>
          <w:jc w:val="center"/>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sociālās drošības tīkla stratēģija</w:t>
            </w:r>
            <w:r w:rsidRPr="00D140CA">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sociālās drošības tīkla stratēģija</w:t>
            </w:r>
            <w:r w:rsidRPr="00D140CA">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sz w:val="20"/>
                <w:szCs w:val="20"/>
                <w:lang w:val="lv-LV" w:eastAsia="lv-LV"/>
              </w:rPr>
            </w:pPr>
            <w:r w:rsidRPr="00D140CA">
              <w:rPr>
                <w:rFonts w:ascii="Times New Roman" w:eastAsia="Times New Roman" w:hAnsi="Times New Roman" w:cs="Times New Roman"/>
                <w:sz w:val="20"/>
                <w:szCs w:val="20"/>
                <w:lang w:val="lv-LV" w:eastAsia="lv-LV"/>
              </w:rPr>
              <w:t xml:space="preserve">starpība </w:t>
            </w:r>
            <w:r w:rsidRPr="00D140CA">
              <w:rPr>
                <w:rFonts w:ascii="Times New Roman" w:eastAsia="Times New Roman" w:hAnsi="Times New Roman" w:cs="Times New Roman"/>
                <w:sz w:val="20"/>
                <w:szCs w:val="20"/>
                <w:lang w:val="lv-LV" w:eastAsia="lv-LV"/>
              </w:rPr>
              <w:br/>
              <w:t xml:space="preserve">(+ pieaugums </w:t>
            </w:r>
            <w:r w:rsidRPr="00D140CA">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DC8" w:rsidRPr="00D140CA" w:rsidRDefault="007E5DC8" w:rsidP="007E5DC8">
            <w:pPr>
              <w:spacing w:after="0" w:line="240" w:lineRule="auto"/>
              <w:jc w:val="center"/>
              <w:rPr>
                <w:rFonts w:ascii="Times New Roman" w:eastAsia="Times New Roman" w:hAnsi="Times New Roman" w:cs="Times New Roman"/>
                <w:lang w:val="lv-LV" w:eastAsia="lv-LV"/>
              </w:rPr>
            </w:pPr>
            <w:r w:rsidRPr="00D140CA">
              <w:rPr>
                <w:rFonts w:ascii="Times New Roman" w:eastAsia="Times New Roman" w:hAnsi="Times New Roman" w:cs="Times New Roman"/>
                <w:lang w:val="lv-LV" w:eastAsia="lv-LV"/>
              </w:rPr>
              <w:t>izmaiņas %</w:t>
            </w:r>
          </w:p>
        </w:tc>
      </w:tr>
      <w:tr w:rsidR="007E5DC8" w:rsidRPr="00D140CA" w:rsidTr="007E5DC8">
        <w:trPr>
          <w:trHeight w:val="472"/>
          <w:jc w:val="center"/>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lang w:val="lv-LV" w:eastAsia="lv-LV"/>
              </w:rPr>
            </w:pPr>
            <w:r w:rsidRPr="00D140CA">
              <w:rPr>
                <w:rFonts w:ascii="Times New Roman" w:eastAsia="Times New Roman" w:hAnsi="Times New Roman" w:cs="Times New Roman"/>
                <w:b/>
                <w:bCs/>
                <w:lang w:val="lv-LV" w:eastAsia="lv-LV"/>
              </w:rPr>
              <w:t>Ambulatorā palīdzība</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i/>
                <w:iCs/>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14 287 423</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16 980 742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2 693 319</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18.9</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880 709</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1 626 093</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30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9 016 616</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-9 016 616</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rPr>
                <w:rFonts w:ascii="Times New Roman" w:eastAsia="Times New Roman" w:hAnsi="Times New Roman" w:cs="Times New Roman"/>
                <w:i/>
                <w:iCs/>
                <w:lang w:val="lv-LV" w:eastAsia="lv-LV"/>
              </w:rPr>
            </w:pPr>
            <w:r w:rsidRPr="00D140CA">
              <w:rPr>
                <w:rFonts w:ascii="Times New Roman" w:eastAsia="Times New Roman" w:hAnsi="Times New Roman" w:cs="Times New Roman"/>
                <w:i/>
                <w:iCs/>
                <w:lang w:val="lv-LV" w:eastAsia="lv-LV"/>
              </w:rPr>
              <w:t> </w:t>
            </w:r>
          </w:p>
        </w:tc>
      </w:tr>
      <w:tr w:rsidR="007E5DC8" w:rsidRPr="00D140CA" w:rsidTr="007E5DC8">
        <w:trPr>
          <w:trHeight w:val="28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E5DC8" w:rsidRPr="00D140CA" w:rsidRDefault="007E5DC8" w:rsidP="007E5DC8">
            <w:pPr>
              <w:spacing w:after="0" w:line="240" w:lineRule="auto"/>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lastRenderedPageBreak/>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7 037 089</w:t>
            </w:r>
          </w:p>
        </w:tc>
        <w:tc>
          <w:tcPr>
            <w:tcW w:w="1593"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9 769 950</w:t>
            </w:r>
          </w:p>
        </w:tc>
        <w:tc>
          <w:tcPr>
            <w:tcW w:w="1536"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2 732 861</w:t>
            </w:r>
          </w:p>
        </w:tc>
        <w:tc>
          <w:tcPr>
            <w:tcW w:w="998" w:type="dxa"/>
            <w:tcBorders>
              <w:top w:val="nil"/>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38.8</w:t>
            </w:r>
          </w:p>
        </w:tc>
      </w:tr>
      <w:tr w:rsidR="007E5DC8" w:rsidRPr="00D140CA" w:rsidTr="007E5DC8">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center"/>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21 324 512</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26 750 692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5 426 180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7E5DC8" w:rsidRPr="00D140CA" w:rsidRDefault="007E5DC8" w:rsidP="007E5DC8">
            <w:pPr>
              <w:spacing w:after="0" w:line="240" w:lineRule="auto"/>
              <w:jc w:val="right"/>
              <w:rPr>
                <w:rFonts w:ascii="Times New Roman" w:eastAsia="Times New Roman" w:hAnsi="Times New Roman" w:cs="Times New Roman"/>
                <w:b/>
                <w:bCs/>
                <w:lang w:val="lv-LV" w:eastAsia="lv-LV"/>
              </w:rPr>
            </w:pPr>
            <w:r w:rsidRPr="00D140CA">
              <w:rPr>
                <w:rFonts w:ascii="Times New Roman" w:eastAsia="Times New Roman" w:hAnsi="Times New Roman" w:cs="Times New Roman"/>
                <w:b/>
                <w:bCs/>
                <w:lang w:val="lv-LV" w:eastAsia="lv-LV"/>
              </w:rPr>
              <w:t>25.4</w:t>
            </w:r>
          </w:p>
        </w:tc>
      </w:tr>
      <w:tr w:rsidR="007E5DC8" w:rsidRPr="00ED2803" w:rsidTr="007E5DC8">
        <w:trPr>
          <w:trHeight w:val="1402"/>
          <w:jc w:val="center"/>
        </w:trPr>
        <w:tc>
          <w:tcPr>
            <w:tcW w:w="9487" w:type="dxa"/>
            <w:gridSpan w:val="5"/>
            <w:tcBorders>
              <w:top w:val="nil"/>
              <w:left w:val="nil"/>
              <w:bottom w:val="nil"/>
              <w:right w:val="nil"/>
            </w:tcBorders>
            <w:shd w:val="clear" w:color="auto" w:fill="auto"/>
            <w:vAlign w:val="center"/>
            <w:hideMark/>
          </w:tcPr>
          <w:p w:rsidR="007E5DC8" w:rsidRPr="00D140CA" w:rsidRDefault="007E5DC8" w:rsidP="007E5DC8">
            <w:pPr>
              <w:spacing w:after="0" w:line="240" w:lineRule="auto"/>
              <w:jc w:val="both"/>
              <w:rPr>
                <w:rFonts w:ascii="Times New Roman" w:eastAsia="Times New Roman" w:hAnsi="Times New Roman" w:cs="Times New Roman"/>
                <w:lang w:val="lv-LV" w:eastAsia="lv-LV"/>
              </w:rPr>
            </w:pPr>
            <w:r w:rsidRPr="00D140CA">
              <w:rPr>
                <w:rFonts w:ascii="Times New Roman" w:eastAsia="Times New Roman" w:hAnsi="Times New Roman" w:cs="Times New Roman"/>
                <w:i/>
                <w:lang w:val="lv-LV" w:eastAsia="lv-LV"/>
              </w:rPr>
              <w:t>Piezīme:</w:t>
            </w:r>
            <w:r w:rsidRPr="00D140CA">
              <w:rPr>
                <w:rFonts w:ascii="Times New Roman" w:eastAsia="Times New Roman" w:hAnsi="Times New Roman" w:cs="Times New Roman"/>
                <w:lang w:val="lv-LV" w:eastAsia="lv-LV"/>
              </w:rPr>
              <w:t xml:space="preserve"> </w:t>
            </w:r>
            <w:r w:rsidRPr="00D140CA">
              <w:rPr>
                <w:rFonts w:ascii="Times New Roman" w:eastAsia="Times New Roman" w:hAnsi="Times New Roman" w:cs="Times New Roman"/>
                <w:lang w:val="lv-LV" w:eastAsia="lv-LV"/>
              </w:rPr>
              <w:br/>
              <w:t>Sociālās drošības tīkla stratēģijas līdzekļu ambulatorās un stacionārās palīdzības plānotais finansējums 2011.gadam prognozēts pēc 2010.gada decembra  izpildes īpatsvara šiem veidiem.</w:t>
            </w:r>
            <w:r w:rsidRPr="00D140CA">
              <w:rPr>
                <w:rFonts w:ascii="Times New Roman" w:eastAsia="Times New Roman" w:hAnsi="Times New Roman" w:cs="Times New Roman"/>
                <w:lang w:val="lv-LV" w:eastAsia="lv-LV"/>
              </w:rPr>
              <w:br/>
              <w:t>2010.gadam stacionārās un ambulatorās palīdzības īpatsvars noteikts, pamatojoties uz  šo pakalpojumu veidu procentuālo īpatsvaru atskaitē par 2010.gadu, par pamatu ņemot faktiski veikto darbu.</w:t>
            </w:r>
          </w:p>
        </w:tc>
      </w:tr>
    </w:tbl>
    <w:p w:rsidR="00C85B62" w:rsidRDefault="00C85B62" w:rsidP="00C85B62">
      <w:pPr>
        <w:pStyle w:val="NormalWeb"/>
        <w:snapToGrid w:val="0"/>
        <w:spacing w:before="120" w:after="0"/>
        <w:ind w:firstLine="720"/>
        <w:jc w:val="both"/>
      </w:pPr>
    </w:p>
    <w:p w:rsidR="00C85B62" w:rsidRPr="00C85B62" w:rsidRDefault="007E5DC8" w:rsidP="00C85B62">
      <w:pPr>
        <w:pStyle w:val="NormalWeb"/>
        <w:snapToGrid w:val="0"/>
        <w:spacing w:before="120" w:after="0"/>
        <w:ind w:firstLine="720"/>
        <w:jc w:val="both"/>
      </w:pPr>
      <w:r w:rsidRPr="00D23A67">
        <w:t>Jāatzīmē, ka arī Latvijas Stratēģiskās attīstības plānā 2010.-2013.gadam (apstiprināts ar Ministru kabineta 2010.gada 9.aprīļa rīkojumu Nr.203 „Par Latvijas Stratēģiskās attīstības plānu 2010.–2013.gadam”) kā viens no galvenajiem rīcības virzieniem sociālās drošības jomā ir noteikts ambulatorās veselības aprūpes pieejamības nodrošināšana, palielinot ambulatorajai veselības aprūpei paredzētos līdzekļus no kopējiem veselības nozares līdzekļiem.</w:t>
      </w:r>
    </w:p>
    <w:p w:rsidR="00DF6DF0" w:rsidRPr="002C7C0A" w:rsidRDefault="00DF6DF0" w:rsidP="007F68EA">
      <w:pPr>
        <w:pStyle w:val="NormalWeb"/>
        <w:snapToGrid w:val="0"/>
        <w:spacing w:before="0" w:after="0"/>
        <w:jc w:val="both"/>
      </w:pPr>
    </w:p>
    <w:p w:rsidR="004028D7" w:rsidRPr="00B56497" w:rsidRDefault="00B56497" w:rsidP="00F62954">
      <w:pPr>
        <w:pStyle w:val="NormalWeb"/>
        <w:numPr>
          <w:ilvl w:val="0"/>
          <w:numId w:val="3"/>
        </w:numPr>
        <w:snapToGrid w:val="0"/>
        <w:spacing w:before="0" w:after="0"/>
        <w:ind w:left="1077" w:hanging="357"/>
        <w:rPr>
          <w:b/>
        </w:rPr>
      </w:pPr>
      <w:r>
        <w:rPr>
          <w:b/>
        </w:rPr>
        <w:t>Sekundārā ambulatorā veselības aprūpe</w:t>
      </w:r>
    </w:p>
    <w:p w:rsidR="00C75586" w:rsidRDefault="00C75586" w:rsidP="00C75586">
      <w:pPr>
        <w:pStyle w:val="NormalWeb"/>
        <w:snapToGrid w:val="0"/>
        <w:spacing w:before="0" w:after="0"/>
        <w:ind w:firstLine="720"/>
        <w:jc w:val="both"/>
      </w:pPr>
    </w:p>
    <w:p w:rsidR="00AC47E3" w:rsidRPr="002C6E8B" w:rsidRDefault="00071C0F" w:rsidP="00071C0F">
      <w:pPr>
        <w:pStyle w:val="NormalWeb"/>
        <w:snapToGrid w:val="0"/>
        <w:spacing w:before="0" w:after="0"/>
        <w:ind w:firstLine="709"/>
        <w:jc w:val="both"/>
      </w:pPr>
      <w:r w:rsidRPr="002C6E8B">
        <w:t xml:space="preserve">Atbilstoši 2011.gada 19.jūlija Ministru kabineta sēdē pieņemtajam informatīvajam ziņojumam "Par finanšu situāciju veselības aprūpes jomā" (Ministru kabineta sēdes protokols Nr.44, TA-1755, 32.§) un rīkojumam Nr.323, </w:t>
      </w:r>
      <w:r w:rsidR="00AC47E3" w:rsidRPr="002C6E8B">
        <w:t>Veselības ministrijai tika piešķirti finanšu līdzekļi:</w:t>
      </w:r>
    </w:p>
    <w:p w:rsidR="00AC47E3" w:rsidRPr="002C6E8B" w:rsidRDefault="00AC47E3" w:rsidP="00AC47E3">
      <w:pPr>
        <w:pStyle w:val="NormalWeb"/>
        <w:numPr>
          <w:ilvl w:val="0"/>
          <w:numId w:val="11"/>
        </w:numPr>
        <w:snapToGrid w:val="0"/>
        <w:spacing w:before="0" w:after="0"/>
        <w:jc w:val="both"/>
      </w:pPr>
      <w:r w:rsidRPr="002C6E8B">
        <w:t xml:space="preserve">2 709 389 lati, </w:t>
      </w:r>
      <w:r w:rsidR="00071C0F" w:rsidRPr="002C6E8B">
        <w:t xml:space="preserve">lai nodrošinātu ārstniecības iestādēm samaksu par sniegtajiem  sekundāriem ambulatoriem veselības aprūpes </w:t>
      </w:r>
      <w:r w:rsidR="00871F8C">
        <w:t xml:space="preserve">(turpmāk – SAVA) </w:t>
      </w:r>
      <w:r w:rsidR="00071C0F" w:rsidRPr="002C6E8B">
        <w:t>pakalpojumiem</w:t>
      </w:r>
      <w:r w:rsidR="00871F8C">
        <w:t>,</w:t>
      </w:r>
      <w:r w:rsidRPr="002C6E8B">
        <w:t xml:space="preserve"> izņemot dienas stacionāros sniegtos pakalpojumus;</w:t>
      </w:r>
    </w:p>
    <w:p w:rsidR="00AC47E3" w:rsidRPr="002C6E8B" w:rsidRDefault="00AC47E3" w:rsidP="00AC47E3">
      <w:pPr>
        <w:pStyle w:val="NormalWeb"/>
        <w:numPr>
          <w:ilvl w:val="0"/>
          <w:numId w:val="11"/>
        </w:numPr>
        <w:snapToGrid w:val="0"/>
        <w:spacing w:before="0" w:after="0"/>
        <w:jc w:val="both"/>
      </w:pPr>
      <w:r w:rsidRPr="002C6E8B">
        <w:t>157 062 lati pacientu iemaksas kompensācijai par no pacienta iemaksas atbrīvotajām iedzīvotāju kategorijām;</w:t>
      </w:r>
    </w:p>
    <w:p w:rsidR="00B30A61" w:rsidRPr="002C6E8B" w:rsidRDefault="00AC47E3" w:rsidP="00AC47E3">
      <w:pPr>
        <w:pStyle w:val="NormalWeb"/>
        <w:numPr>
          <w:ilvl w:val="0"/>
          <w:numId w:val="11"/>
        </w:numPr>
        <w:snapToGrid w:val="0"/>
        <w:spacing w:before="0" w:after="0"/>
        <w:jc w:val="both"/>
      </w:pPr>
      <w:r w:rsidRPr="002C6E8B">
        <w:t xml:space="preserve">3 168 969 lati, lai nodrošinātu iedzīvotājiem ambulatorajai ārstniecībai paredzēto zāļu un medicīnisko ierīču iegādes izdevumus.  </w:t>
      </w:r>
    </w:p>
    <w:p w:rsidR="00B30A61" w:rsidRDefault="00B30A61" w:rsidP="00B30A61">
      <w:pPr>
        <w:pStyle w:val="NormalWeb"/>
        <w:snapToGrid w:val="0"/>
        <w:spacing w:before="0" w:after="0"/>
        <w:jc w:val="both"/>
        <w:rPr>
          <w:color w:val="FF0000"/>
        </w:rPr>
      </w:pPr>
    </w:p>
    <w:p w:rsidR="00876530" w:rsidRDefault="00871F8C" w:rsidP="00C85B62">
      <w:pPr>
        <w:pStyle w:val="NormalWeb"/>
        <w:snapToGrid w:val="0"/>
        <w:spacing w:before="120" w:after="0"/>
        <w:ind w:firstLine="709"/>
        <w:jc w:val="both"/>
      </w:pPr>
      <w:r>
        <w:t>SAVA</w:t>
      </w:r>
      <w:r w:rsidR="00AD2F72">
        <w:t xml:space="preserve"> 2011.gada pirmā pusgada izpildes rādītāji lielākajā daļā pakalpojumu programmu pār</w:t>
      </w:r>
      <w:r w:rsidR="00A72C81">
        <w:t xml:space="preserve">sniedz atbilstošā perioda plānu, jo palielinājies neatliekamās palīdzības </w:t>
      </w:r>
      <w:r w:rsidR="004C1827">
        <w:t xml:space="preserve">ambulatori </w:t>
      </w:r>
      <w:r w:rsidR="00A72C81">
        <w:t>sniegto pakalpojumu apjoms dienas stacionāros.</w:t>
      </w:r>
      <w:r w:rsidR="00AD2F72">
        <w:t xml:space="preserve"> Fa</w:t>
      </w:r>
      <w:r w:rsidR="00F053B2">
        <w:t xml:space="preserve">ktiski 2011.gada pirmajā pusgadā noslēgto līgumu apjoms ir pārsniegts par </w:t>
      </w:r>
      <w:r w:rsidR="00F053B2" w:rsidRPr="00F053B2">
        <w:t xml:space="preserve">summu </w:t>
      </w:r>
      <w:r w:rsidR="00F053B2" w:rsidRPr="00F053B2">
        <w:rPr>
          <w:bCs/>
        </w:rPr>
        <w:t>5 817 377</w:t>
      </w:r>
      <w:r w:rsidR="00F053B2" w:rsidRPr="00F053B2">
        <w:t xml:space="preserve"> lati jeb 17</w:t>
      </w:r>
      <w:r w:rsidR="00F053B2">
        <w:t xml:space="preserve">% attiecībā pret plānoto pārskata periodā </w:t>
      </w:r>
      <w:r>
        <w:t>(3.tabula</w:t>
      </w:r>
      <w:r w:rsidR="00AD2F72">
        <w:t>):</w:t>
      </w:r>
    </w:p>
    <w:p w:rsidR="009339B1" w:rsidRDefault="009339B1" w:rsidP="00B30A61">
      <w:pPr>
        <w:pStyle w:val="NormalWeb"/>
        <w:snapToGrid w:val="0"/>
        <w:spacing w:before="120" w:after="0"/>
        <w:ind w:firstLine="709"/>
        <w:jc w:val="right"/>
      </w:pPr>
    </w:p>
    <w:p w:rsidR="00B30A61" w:rsidRDefault="00B30A61" w:rsidP="00B30A61">
      <w:pPr>
        <w:pStyle w:val="NormalWeb"/>
        <w:snapToGrid w:val="0"/>
        <w:spacing w:before="120" w:after="0"/>
        <w:ind w:firstLine="709"/>
        <w:jc w:val="right"/>
      </w:pPr>
      <w:r>
        <w:t>3.tabula</w:t>
      </w:r>
    </w:p>
    <w:p w:rsidR="00B30A61" w:rsidRDefault="00B30A61" w:rsidP="00B30A61">
      <w:pPr>
        <w:pStyle w:val="NormalWeb"/>
        <w:snapToGrid w:val="0"/>
        <w:spacing w:before="0" w:after="0"/>
        <w:jc w:val="both"/>
        <w:rPr>
          <w:color w:val="FF0000"/>
        </w:rPr>
      </w:pPr>
    </w:p>
    <w:p w:rsidR="00B30A61" w:rsidRPr="002C6E8B" w:rsidRDefault="00B30A61" w:rsidP="00B30A61">
      <w:pPr>
        <w:pStyle w:val="NormalWeb"/>
        <w:snapToGrid w:val="0"/>
        <w:spacing w:before="0" w:after="0"/>
        <w:jc w:val="center"/>
        <w:rPr>
          <w:b/>
        </w:rPr>
      </w:pPr>
      <w:r w:rsidRPr="002C6E8B">
        <w:rPr>
          <w:b/>
        </w:rPr>
        <w:t>SAVA pakalpojumu izpilde 2011 gada 6 mēnešos programmu griezumā</w:t>
      </w:r>
    </w:p>
    <w:p w:rsidR="00B30A61" w:rsidRDefault="00B30A61" w:rsidP="00B30A61">
      <w:pPr>
        <w:pStyle w:val="NormalWeb"/>
        <w:snapToGrid w:val="0"/>
        <w:spacing w:before="0" w:after="0"/>
        <w:jc w:val="both"/>
        <w:rPr>
          <w:color w:val="FF0000"/>
        </w:rPr>
      </w:pPr>
    </w:p>
    <w:tbl>
      <w:tblPr>
        <w:tblW w:w="992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1276"/>
        <w:gridCol w:w="1134"/>
        <w:gridCol w:w="1134"/>
        <w:gridCol w:w="1134"/>
        <w:gridCol w:w="992"/>
      </w:tblGrid>
      <w:tr w:rsidR="00B30A61" w:rsidRPr="00B30A61" w:rsidTr="00AD2F72">
        <w:trPr>
          <w:trHeight w:val="705"/>
          <w:jc w:val="center"/>
        </w:trPr>
        <w:tc>
          <w:tcPr>
            <w:tcW w:w="4258" w:type="dxa"/>
            <w:vMerge w:val="restart"/>
            <w:shd w:val="clear" w:color="auto" w:fill="auto"/>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Pakalpojuma programma</w:t>
            </w:r>
          </w:p>
        </w:tc>
        <w:tc>
          <w:tcPr>
            <w:tcW w:w="1276" w:type="dxa"/>
            <w:vMerge w:val="restart"/>
            <w:shd w:val="clear" w:color="auto" w:fill="auto"/>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Līgumu summa 2011.gadam</w:t>
            </w:r>
            <w:r>
              <w:rPr>
                <w:rFonts w:ascii="Times New Roman" w:eastAsia="Times New Roman" w:hAnsi="Times New Roman" w:cs="Times New Roman"/>
                <w:b/>
                <w:bCs/>
                <w:sz w:val="20"/>
                <w:szCs w:val="20"/>
                <w:lang w:val="lv-LV"/>
              </w:rPr>
              <w:t xml:space="preserve"> (Ls)</w:t>
            </w:r>
          </w:p>
        </w:tc>
        <w:tc>
          <w:tcPr>
            <w:tcW w:w="4394" w:type="dxa"/>
            <w:gridSpan w:val="4"/>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Pakalpojumu izpilde pārskata periodā</w:t>
            </w:r>
          </w:p>
        </w:tc>
      </w:tr>
      <w:tr w:rsidR="00B30A61" w:rsidRPr="00B30A61" w:rsidTr="00AD2F72">
        <w:trPr>
          <w:trHeight w:val="1140"/>
          <w:jc w:val="center"/>
        </w:trPr>
        <w:tc>
          <w:tcPr>
            <w:tcW w:w="4258" w:type="dxa"/>
            <w:vMerge/>
            <w:vAlign w:val="center"/>
            <w:hideMark/>
          </w:tcPr>
          <w:p w:rsidR="00B30A61" w:rsidRPr="00B30A61" w:rsidRDefault="00B30A61" w:rsidP="00B30A61">
            <w:pPr>
              <w:spacing w:after="0" w:line="240" w:lineRule="auto"/>
              <w:rPr>
                <w:rFonts w:ascii="Times New Roman" w:eastAsia="Times New Roman" w:hAnsi="Times New Roman" w:cs="Times New Roman"/>
                <w:b/>
                <w:bCs/>
                <w:sz w:val="20"/>
                <w:szCs w:val="20"/>
                <w:lang w:val="lv-LV"/>
              </w:rPr>
            </w:pPr>
          </w:p>
        </w:tc>
        <w:tc>
          <w:tcPr>
            <w:tcW w:w="1276" w:type="dxa"/>
            <w:vMerge/>
            <w:vAlign w:val="center"/>
            <w:hideMark/>
          </w:tcPr>
          <w:p w:rsidR="00B30A61" w:rsidRPr="00B30A61" w:rsidRDefault="00B30A61" w:rsidP="00B30A61">
            <w:pPr>
              <w:spacing w:after="0" w:line="240" w:lineRule="auto"/>
              <w:rPr>
                <w:rFonts w:ascii="Times New Roman" w:eastAsia="Times New Roman" w:hAnsi="Times New Roman" w:cs="Times New Roman"/>
                <w:b/>
                <w:bCs/>
                <w:sz w:val="20"/>
                <w:szCs w:val="20"/>
                <w:lang w:val="lv-LV"/>
              </w:rPr>
            </w:pPr>
          </w:p>
        </w:tc>
        <w:tc>
          <w:tcPr>
            <w:tcW w:w="1134" w:type="dxa"/>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Līguma apjoms 6 mēnešiem</w:t>
            </w:r>
            <w:r>
              <w:rPr>
                <w:rFonts w:ascii="Times New Roman" w:eastAsia="Times New Roman" w:hAnsi="Times New Roman" w:cs="Times New Roman"/>
                <w:b/>
                <w:bCs/>
                <w:sz w:val="20"/>
                <w:szCs w:val="20"/>
                <w:lang w:val="lv-LV"/>
              </w:rPr>
              <w:t xml:space="preserve"> (Ls)</w:t>
            </w:r>
          </w:p>
        </w:tc>
        <w:tc>
          <w:tcPr>
            <w:tcW w:w="1134" w:type="dxa"/>
            <w:shd w:val="clear" w:color="000000" w:fill="FFFFFF"/>
            <w:vAlign w:val="center"/>
            <w:hideMark/>
          </w:tcPr>
          <w:p w:rsidR="00B30A61" w:rsidRPr="00B30A61" w:rsidRDefault="00B30A61" w:rsidP="00B30A61">
            <w:pPr>
              <w:spacing w:after="0" w:line="240" w:lineRule="auto"/>
              <w:jc w:val="center"/>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6 mēnešu veiktais darbs</w:t>
            </w:r>
            <w:r>
              <w:rPr>
                <w:rFonts w:ascii="Times New Roman" w:eastAsia="Times New Roman" w:hAnsi="Times New Roman" w:cs="Times New Roman"/>
                <w:b/>
                <w:bCs/>
                <w:sz w:val="20"/>
                <w:szCs w:val="20"/>
                <w:lang w:val="lv-LV"/>
              </w:rPr>
              <w:t xml:space="preserve"> (Ls)</w:t>
            </w:r>
          </w:p>
        </w:tc>
        <w:tc>
          <w:tcPr>
            <w:tcW w:w="1134" w:type="dxa"/>
            <w:shd w:val="clear" w:color="000000" w:fill="FFFFFF"/>
            <w:vAlign w:val="center"/>
            <w:hideMark/>
          </w:tcPr>
          <w:p w:rsidR="00B30A61" w:rsidRPr="00B30A61" w:rsidRDefault="00562F4B" w:rsidP="00B30A61">
            <w:pPr>
              <w:spacing w:after="0" w:line="240" w:lineRule="auto"/>
              <w:jc w:val="center"/>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Izpilde virs līguma apjoma</w:t>
            </w:r>
            <w:r w:rsidR="00B30A61" w:rsidRPr="00B30A61">
              <w:rPr>
                <w:rFonts w:ascii="Times New Roman" w:eastAsia="Times New Roman" w:hAnsi="Times New Roman" w:cs="Times New Roman"/>
                <w:b/>
                <w:bCs/>
                <w:sz w:val="20"/>
                <w:szCs w:val="20"/>
                <w:lang w:val="lv-LV"/>
              </w:rPr>
              <w:t xml:space="preserve"> (-) /neizpilde (+)</w:t>
            </w:r>
          </w:p>
        </w:tc>
        <w:tc>
          <w:tcPr>
            <w:tcW w:w="992" w:type="dxa"/>
            <w:shd w:val="clear" w:color="000000" w:fill="FFFFFF"/>
            <w:vAlign w:val="center"/>
            <w:hideMark/>
          </w:tcPr>
          <w:p w:rsidR="00B30A61" w:rsidRPr="00B30A61" w:rsidRDefault="00F053B2" w:rsidP="00B30A61">
            <w:pPr>
              <w:spacing w:after="0" w:line="240" w:lineRule="auto"/>
              <w:jc w:val="center"/>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Novirze %</w:t>
            </w:r>
          </w:p>
        </w:tc>
      </w:tr>
      <w:tr w:rsidR="00AD2F72" w:rsidRPr="00AD2F72" w:rsidTr="00AD2F72">
        <w:trPr>
          <w:trHeight w:val="273"/>
          <w:jc w:val="center"/>
        </w:trPr>
        <w:tc>
          <w:tcPr>
            <w:tcW w:w="4258" w:type="dxa"/>
            <w:shd w:val="clear" w:color="auto" w:fill="auto"/>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1</w:t>
            </w:r>
          </w:p>
        </w:tc>
        <w:tc>
          <w:tcPr>
            <w:tcW w:w="1276"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2</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3</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4</w:t>
            </w:r>
          </w:p>
        </w:tc>
        <w:tc>
          <w:tcPr>
            <w:tcW w:w="1134"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bCs/>
                <w:i/>
                <w:sz w:val="18"/>
                <w:szCs w:val="18"/>
                <w:lang w:val="lv-LV"/>
              </w:rPr>
            </w:pPr>
            <w:r w:rsidRPr="00AD2F72">
              <w:rPr>
                <w:rFonts w:ascii="Times New Roman" w:eastAsia="Times New Roman" w:hAnsi="Times New Roman" w:cs="Times New Roman"/>
                <w:bCs/>
                <w:i/>
                <w:sz w:val="18"/>
                <w:szCs w:val="18"/>
                <w:lang w:val="lv-LV"/>
              </w:rPr>
              <w:t>5</w:t>
            </w:r>
            <w:r>
              <w:rPr>
                <w:rFonts w:ascii="Times New Roman" w:eastAsia="Times New Roman" w:hAnsi="Times New Roman" w:cs="Times New Roman"/>
                <w:bCs/>
                <w:i/>
                <w:sz w:val="18"/>
                <w:szCs w:val="18"/>
                <w:lang w:val="lv-LV"/>
              </w:rPr>
              <w:t>=3-4</w:t>
            </w:r>
          </w:p>
        </w:tc>
        <w:tc>
          <w:tcPr>
            <w:tcW w:w="992" w:type="dxa"/>
            <w:shd w:val="clear" w:color="auto" w:fill="auto"/>
            <w:noWrap/>
            <w:vAlign w:val="bottom"/>
            <w:hideMark/>
          </w:tcPr>
          <w:p w:rsidR="00AD2F72" w:rsidRPr="00AD2F72" w:rsidRDefault="00AD2F72" w:rsidP="00AD2F72">
            <w:pPr>
              <w:spacing w:after="0" w:line="240" w:lineRule="auto"/>
              <w:jc w:val="center"/>
              <w:rPr>
                <w:rFonts w:ascii="Times New Roman" w:eastAsia="Times New Roman" w:hAnsi="Times New Roman" w:cs="Times New Roman"/>
                <w:sz w:val="18"/>
                <w:szCs w:val="18"/>
                <w:lang w:val="lv-LV"/>
              </w:rPr>
            </w:pPr>
            <w:r w:rsidRPr="00AD2F72">
              <w:rPr>
                <w:rFonts w:ascii="Times New Roman" w:eastAsia="Times New Roman" w:hAnsi="Times New Roman" w:cs="Times New Roman"/>
                <w:sz w:val="18"/>
                <w:szCs w:val="18"/>
                <w:lang w:val="lv-LV"/>
              </w:rPr>
              <w:t>6</w:t>
            </w:r>
          </w:p>
        </w:tc>
      </w:tr>
      <w:tr w:rsidR="00AD2F72" w:rsidRPr="00B30A61" w:rsidTr="00AD2F72">
        <w:trPr>
          <w:trHeight w:val="510"/>
          <w:jc w:val="center"/>
        </w:trPr>
        <w:tc>
          <w:tcPr>
            <w:tcW w:w="4258" w:type="dxa"/>
            <w:shd w:val="clear" w:color="auto" w:fill="auto"/>
            <w:vAlign w:val="bottom"/>
            <w:hideMark/>
          </w:tcPr>
          <w:p w:rsidR="00AD2F72" w:rsidRPr="00B30A61" w:rsidRDefault="00AD2F72"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lastRenderedPageBreak/>
              <w:t>Pārējie ambulatorie sekundārās veselības aprūpes pasākumi</w:t>
            </w:r>
          </w:p>
        </w:tc>
        <w:tc>
          <w:tcPr>
            <w:tcW w:w="1276" w:type="dxa"/>
            <w:shd w:val="clear" w:color="auto" w:fill="auto"/>
            <w:noWrap/>
            <w:vAlign w:val="bottom"/>
            <w:hideMark/>
          </w:tcPr>
          <w:p w:rsidR="00AD2F72" w:rsidRPr="00B30A61" w:rsidRDefault="00AD2F72"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441 750</w:t>
            </w:r>
          </w:p>
        </w:tc>
        <w:tc>
          <w:tcPr>
            <w:tcW w:w="1134" w:type="dxa"/>
            <w:shd w:val="clear" w:color="auto" w:fill="auto"/>
            <w:noWrap/>
            <w:vAlign w:val="bottom"/>
            <w:hideMark/>
          </w:tcPr>
          <w:p w:rsidR="00AD2F72" w:rsidRPr="00B30A61" w:rsidRDefault="00AD2F72"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219 322</w:t>
            </w:r>
          </w:p>
        </w:tc>
        <w:tc>
          <w:tcPr>
            <w:tcW w:w="1134" w:type="dxa"/>
            <w:shd w:val="clear" w:color="auto" w:fill="auto"/>
            <w:noWrap/>
            <w:vAlign w:val="bottom"/>
            <w:hideMark/>
          </w:tcPr>
          <w:p w:rsidR="00AD2F72" w:rsidRPr="00B30A61" w:rsidRDefault="00AD2F72"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215 497</w:t>
            </w:r>
          </w:p>
        </w:tc>
        <w:tc>
          <w:tcPr>
            <w:tcW w:w="1134" w:type="dxa"/>
            <w:shd w:val="clear" w:color="auto" w:fill="auto"/>
            <w:noWrap/>
            <w:vAlign w:val="bottom"/>
            <w:hideMark/>
          </w:tcPr>
          <w:p w:rsidR="00AD2F72" w:rsidRPr="00B30A61" w:rsidRDefault="00AD2F72"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3 825</w:t>
            </w:r>
          </w:p>
        </w:tc>
        <w:tc>
          <w:tcPr>
            <w:tcW w:w="992" w:type="dxa"/>
            <w:shd w:val="clear" w:color="auto" w:fill="auto"/>
            <w:noWrap/>
            <w:vAlign w:val="bottom"/>
            <w:hideMark/>
          </w:tcPr>
          <w:p w:rsidR="00AD2F72" w:rsidRPr="00AD2F72" w:rsidRDefault="00AD2F72"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w:t>
            </w:r>
          </w:p>
        </w:tc>
      </w:tr>
      <w:tr w:rsidR="00B77880" w:rsidRPr="00B30A61" w:rsidTr="00F053B2">
        <w:trPr>
          <w:trHeight w:val="300"/>
          <w:jc w:val="center"/>
        </w:trPr>
        <w:tc>
          <w:tcPr>
            <w:tcW w:w="4258" w:type="dxa"/>
            <w:shd w:val="clear" w:color="auto" w:fill="auto"/>
            <w:noWrap/>
            <w:vAlign w:val="bottom"/>
            <w:hideMark/>
          </w:tcPr>
          <w:p w:rsidR="00B77880"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Izmeklējumi un terapija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19 094 876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9 539 113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11 557 602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Pr>
                <w:rFonts w:ascii="Times New Roman" w:eastAsia="Times New Roman" w:hAnsi="Times New Roman" w:cs="Times New Roman"/>
                <w:bCs/>
                <w:i/>
                <w:sz w:val="20"/>
                <w:szCs w:val="20"/>
                <w:lang w:val="lv-LV"/>
              </w:rPr>
              <w:t>-2 018 488</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Pr>
                <w:rFonts w:ascii="Times New Roman" w:hAnsi="Times New Roman" w:cs="Times New Roman"/>
                <w:b/>
                <w:bCs/>
                <w:sz w:val="20"/>
                <w:szCs w:val="20"/>
              </w:rPr>
              <w:t>-21%</w:t>
            </w:r>
          </w:p>
        </w:tc>
      </w:tr>
      <w:tr w:rsidR="00B77880" w:rsidRPr="00B30A61" w:rsidTr="00F053B2">
        <w:trPr>
          <w:trHeight w:val="300"/>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Rentgenoloģija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3121230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1 558 501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1 820 158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-261 657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-17%</w:t>
            </w:r>
          </w:p>
        </w:tc>
      </w:tr>
      <w:tr w:rsidR="00B77880" w:rsidRPr="00B30A61" w:rsidTr="00F053B2">
        <w:trPr>
          <w:trHeight w:val="236"/>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Magnētiskā rezonanse</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1 542 802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771 404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937 639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-166 235</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-22%</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Kompjūtertomogrāfija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5182527</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2 587 117</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3 343 205</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-756 087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Ultrasonogrāfija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2080061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1 039 209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1 233 034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-193 825</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Radionuklīdā diagnostika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239 848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119 922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168 269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-48 347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-40%</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Osteodensitometrija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316 197</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158 095</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171 311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-13 217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-8%</w:t>
            </w:r>
          </w:p>
        </w:tc>
      </w:tr>
      <w:tr w:rsidR="00B77880" w:rsidRPr="00B30A61" w:rsidTr="00AD2F72">
        <w:trPr>
          <w:trHeight w:val="510"/>
          <w:jc w:val="center"/>
        </w:trPr>
        <w:tc>
          <w:tcPr>
            <w:tcW w:w="4258" w:type="dxa"/>
            <w:shd w:val="clear" w:color="auto" w:fill="auto"/>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Sirds asinsvadu sistēmas funkcionālie izmeklējumi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1639234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819 595</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934 392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-114 797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-14%</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Endoskopija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1 807 240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903 638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1 022 895</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-119 258</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-13%</w:t>
            </w:r>
          </w:p>
        </w:tc>
      </w:tr>
      <w:tr w:rsidR="00B77880" w:rsidRPr="00B30A61" w:rsidTr="00AD2F72">
        <w:trPr>
          <w:trHeight w:val="510"/>
          <w:jc w:val="center"/>
        </w:trPr>
        <w:tc>
          <w:tcPr>
            <w:tcW w:w="4258" w:type="dxa"/>
            <w:shd w:val="clear" w:color="auto" w:fill="auto"/>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Neiroelektrofizioloģiskie</w:t>
            </w:r>
            <w:proofErr w:type="spellEnd"/>
            <w:r w:rsidRPr="00B30A61">
              <w:rPr>
                <w:rFonts w:ascii="Times New Roman" w:eastAsia="Times New Roman" w:hAnsi="Times New Roman" w:cs="Times New Roman"/>
                <w:sz w:val="20"/>
                <w:szCs w:val="20"/>
                <w:lang w:val="lv-LV"/>
              </w:rPr>
              <w:t xml:space="preserve"> funkcionālie izmeklējumi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328 582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164 316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165 246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-930</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Doplerogrāfija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1149732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573 606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682 280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-108 674</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Mammogrāfija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220 112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110 054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94 900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15 155</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14%</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F053B2">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Staru terapija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1 467 311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733 656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984 273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-250 617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-34%</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Pārējie dienas stacionārā sniegtie pakalpojumi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3053427</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1 509 448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2 124 609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-615 161</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-41%</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Hemodialīze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3 218 271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1 609 134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1 696 703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-87 569</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-5%</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proofErr w:type="spellStart"/>
            <w:r w:rsidRPr="00B30A61">
              <w:rPr>
                <w:rFonts w:ascii="Times New Roman" w:eastAsia="Times New Roman" w:hAnsi="Times New Roman" w:cs="Times New Roman"/>
                <w:sz w:val="20"/>
                <w:szCs w:val="20"/>
                <w:lang w:val="lv-LV"/>
              </w:rPr>
              <w:t>Koronarogrāfija</w:t>
            </w:r>
            <w:proofErr w:type="spellEnd"/>
            <w:r w:rsidRPr="00B30A61">
              <w:rPr>
                <w:rFonts w:ascii="Times New Roman" w:eastAsia="Times New Roman" w:hAnsi="Times New Roman" w:cs="Times New Roman"/>
                <w:sz w:val="20"/>
                <w:szCs w:val="20"/>
                <w:lang w:val="lv-LV"/>
              </w:rPr>
              <w:t xml:space="preserve">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2 621 069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1 310 568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1 809 268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-498 700</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-38%</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proofErr w:type="spellStart"/>
            <w:r w:rsidRPr="00B30A61">
              <w:rPr>
                <w:rFonts w:ascii="Times New Roman" w:eastAsia="Times New Roman" w:hAnsi="Times New Roman" w:cs="Times New Roman"/>
                <w:sz w:val="20"/>
                <w:szCs w:val="20"/>
                <w:lang w:val="lv-LV"/>
              </w:rPr>
              <w:t>Koronaroangioplastija</w:t>
            </w:r>
            <w:proofErr w:type="spellEnd"/>
            <w:r w:rsidRPr="00B30A61">
              <w:rPr>
                <w:rFonts w:ascii="Times New Roman" w:eastAsia="Times New Roman" w:hAnsi="Times New Roman" w:cs="Times New Roman"/>
                <w:sz w:val="20"/>
                <w:szCs w:val="20"/>
                <w:lang w:val="lv-LV"/>
              </w:rPr>
              <w:t xml:space="preserve">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6 041 186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3 020 598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3 396 962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-376 364</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-12%</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Rehabilitācija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916 312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458 100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503 985</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-45 885</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-10%</w:t>
            </w:r>
          </w:p>
        </w:tc>
      </w:tr>
      <w:tr w:rsidR="00B77880" w:rsidRPr="00B30A61" w:rsidTr="00AD2F72">
        <w:trPr>
          <w:trHeight w:val="510"/>
          <w:jc w:val="center"/>
        </w:trPr>
        <w:tc>
          <w:tcPr>
            <w:tcW w:w="4258" w:type="dxa"/>
            <w:shd w:val="clear" w:color="auto" w:fill="auto"/>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Ķirurģiskie pakalpojumi oftalmoloģijas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1523379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750 681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908 074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-157 394</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-21%</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Citi ķirurģiskie pakalpojumi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3972263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1 951 560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2 737 482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-785 922</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-40%</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Ķīmijterapija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140 572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70 284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104 613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-34 329</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Staru terapija dienas stacionārā</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117 893</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58 964</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6 236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52 728</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89%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Rehabilitācijas pakalpojumi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1 892 849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946 396</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1 078 861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-132 465</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-14%</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Fizikālās medicīnas pakalpojumi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442 981</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221 268</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238 007</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-16 739</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-8%</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Ģenētisko slimnieku konsultēšana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17 310</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8 652</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10 059</w:t>
            </w:r>
          </w:p>
        </w:tc>
        <w:tc>
          <w:tcPr>
            <w:tcW w:w="1134"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-1 407</w:t>
            </w:r>
          </w:p>
        </w:tc>
        <w:tc>
          <w:tcPr>
            <w:tcW w:w="992" w:type="dxa"/>
            <w:shd w:val="clear" w:color="auto" w:fill="auto"/>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-16%</w:t>
            </w:r>
          </w:p>
        </w:tc>
      </w:tr>
      <w:tr w:rsidR="00B77880" w:rsidRPr="00B30A61" w:rsidTr="00AD2F72">
        <w:trPr>
          <w:trHeight w:val="510"/>
          <w:jc w:val="center"/>
        </w:trPr>
        <w:tc>
          <w:tcPr>
            <w:tcW w:w="4258" w:type="dxa"/>
            <w:shd w:val="clear" w:color="auto" w:fill="auto"/>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Multiplās sklerozes slimnieku konsultēšana un izmeklēšana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24 735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12 366</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17 585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-5 219</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-42%</w:t>
            </w:r>
          </w:p>
        </w:tc>
      </w:tr>
      <w:tr w:rsidR="00B77880" w:rsidRPr="00B30A61" w:rsidTr="00AD2F72">
        <w:trPr>
          <w:trHeight w:val="510"/>
          <w:jc w:val="center"/>
        </w:trPr>
        <w:tc>
          <w:tcPr>
            <w:tcW w:w="4258" w:type="dxa"/>
            <w:shd w:val="clear" w:color="auto" w:fill="auto"/>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lastRenderedPageBreak/>
              <w:t>Ambulatori konsultatīvā palīdzība pie nieru transplantācijas</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62 239</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31 122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3 429</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27 693</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89%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Tiesu psihiatriskā un psiholoģiskā ekspertīze</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128 175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64 092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68 690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-4 598</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-7%</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 xml:space="preserve">Ambulatorā palīdzība </w:t>
            </w:r>
            <w:proofErr w:type="spellStart"/>
            <w:r w:rsidRPr="00B30A61">
              <w:rPr>
                <w:rFonts w:ascii="Times New Roman" w:eastAsia="Times New Roman" w:hAnsi="Times New Roman" w:cs="Times New Roman"/>
                <w:sz w:val="20"/>
                <w:szCs w:val="20"/>
                <w:lang w:val="lv-LV"/>
              </w:rPr>
              <w:t>surdoloģijā</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432 805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216 404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254 983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-38 579</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-18%</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Speciālistu pakalpojumi</w:t>
            </w:r>
          </w:p>
        </w:tc>
        <w:tc>
          <w:tcPr>
            <w:tcW w:w="1276" w:type="dxa"/>
            <w:shd w:val="clear" w:color="auto" w:fill="auto"/>
            <w:noWrap/>
            <w:vAlign w:val="bottom"/>
            <w:hideMark/>
          </w:tcPr>
          <w:p w:rsidR="00B77880" w:rsidRPr="006564F5" w:rsidRDefault="00B77880" w:rsidP="00B30A61">
            <w:pPr>
              <w:spacing w:after="0" w:line="240" w:lineRule="auto"/>
              <w:jc w:val="right"/>
              <w:rPr>
                <w:rFonts w:ascii="Times New Roman" w:eastAsia="Times New Roman" w:hAnsi="Times New Roman" w:cs="Times New Roman"/>
                <w:sz w:val="20"/>
                <w:szCs w:val="20"/>
                <w:lang w:val="lv-LV"/>
              </w:rPr>
            </w:pPr>
            <w:r w:rsidRPr="006564F5">
              <w:rPr>
                <w:rFonts w:ascii="Times New Roman" w:eastAsia="Times New Roman" w:hAnsi="Times New Roman" w:cs="Times New Roman"/>
                <w:bCs/>
                <w:sz w:val="20"/>
                <w:szCs w:val="20"/>
              </w:rPr>
              <w:t>12 873 082</w:t>
            </w:r>
          </w:p>
        </w:tc>
        <w:tc>
          <w:tcPr>
            <w:tcW w:w="1134" w:type="dxa"/>
            <w:shd w:val="clear" w:color="000000" w:fill="FFFFFF"/>
            <w:noWrap/>
            <w:vAlign w:val="bottom"/>
            <w:hideMark/>
          </w:tcPr>
          <w:p w:rsidR="00B77880" w:rsidRPr="006564F5" w:rsidRDefault="00B77880" w:rsidP="00B30A61">
            <w:pPr>
              <w:spacing w:after="0" w:line="240" w:lineRule="auto"/>
              <w:jc w:val="right"/>
              <w:rPr>
                <w:rFonts w:ascii="Times New Roman" w:eastAsia="Times New Roman" w:hAnsi="Times New Roman" w:cs="Times New Roman"/>
                <w:sz w:val="20"/>
                <w:szCs w:val="20"/>
                <w:lang w:val="lv-LV"/>
              </w:rPr>
            </w:pPr>
            <w:r w:rsidRPr="006564F5">
              <w:rPr>
                <w:rFonts w:ascii="Times New Roman" w:eastAsia="Times New Roman" w:hAnsi="Times New Roman" w:cs="Times New Roman"/>
                <w:bCs/>
                <w:sz w:val="20"/>
                <w:szCs w:val="20"/>
              </w:rPr>
              <w:t>6 438 981</w:t>
            </w:r>
          </w:p>
        </w:tc>
        <w:tc>
          <w:tcPr>
            <w:tcW w:w="1134" w:type="dxa"/>
            <w:shd w:val="clear" w:color="000000" w:fill="FFFFFF"/>
            <w:noWrap/>
            <w:vAlign w:val="bottom"/>
            <w:hideMark/>
          </w:tcPr>
          <w:p w:rsidR="00B77880" w:rsidRPr="006564F5" w:rsidRDefault="00B77880" w:rsidP="00B30A61">
            <w:pPr>
              <w:spacing w:after="0" w:line="240" w:lineRule="auto"/>
              <w:jc w:val="right"/>
              <w:rPr>
                <w:rFonts w:ascii="Times New Roman" w:eastAsia="Times New Roman" w:hAnsi="Times New Roman" w:cs="Times New Roman"/>
                <w:sz w:val="20"/>
                <w:szCs w:val="20"/>
                <w:lang w:val="lv-LV"/>
              </w:rPr>
            </w:pPr>
            <w:r w:rsidRPr="006564F5">
              <w:rPr>
                <w:rFonts w:ascii="Times New Roman" w:eastAsia="Times New Roman" w:hAnsi="Times New Roman" w:cs="Times New Roman"/>
                <w:bCs/>
                <w:sz w:val="20"/>
                <w:szCs w:val="20"/>
              </w:rPr>
              <w:t>7 267 773</w:t>
            </w:r>
          </w:p>
        </w:tc>
        <w:tc>
          <w:tcPr>
            <w:tcW w:w="1134" w:type="dxa"/>
            <w:shd w:val="clear" w:color="000000" w:fill="FFFFFF"/>
            <w:noWrap/>
            <w:vAlign w:val="bottom"/>
            <w:hideMark/>
          </w:tcPr>
          <w:p w:rsidR="00B77880" w:rsidRPr="006564F5" w:rsidRDefault="00B77880" w:rsidP="00B30A61">
            <w:pPr>
              <w:spacing w:after="0" w:line="240" w:lineRule="auto"/>
              <w:jc w:val="right"/>
              <w:rPr>
                <w:rFonts w:ascii="Times New Roman" w:eastAsia="Times New Roman" w:hAnsi="Times New Roman" w:cs="Times New Roman"/>
                <w:bCs/>
                <w:i/>
                <w:sz w:val="20"/>
                <w:szCs w:val="20"/>
                <w:lang w:val="lv-LV"/>
              </w:rPr>
            </w:pPr>
            <w:r w:rsidRPr="006564F5">
              <w:rPr>
                <w:rFonts w:ascii="Times New Roman" w:eastAsia="Times New Roman" w:hAnsi="Times New Roman" w:cs="Times New Roman"/>
                <w:bCs/>
                <w:sz w:val="20"/>
                <w:szCs w:val="20"/>
              </w:rPr>
              <w:t>-828 792</w:t>
            </w:r>
          </w:p>
        </w:tc>
        <w:tc>
          <w:tcPr>
            <w:tcW w:w="992" w:type="dxa"/>
            <w:shd w:val="clear" w:color="000000" w:fill="FFFFFF"/>
            <w:noWrap/>
            <w:vAlign w:val="bottom"/>
            <w:hideMark/>
          </w:tcPr>
          <w:p w:rsidR="00B77880" w:rsidRPr="00AD2F72" w:rsidRDefault="00B77880" w:rsidP="006564F5">
            <w:pPr>
              <w:jc w:val="center"/>
              <w:rPr>
                <w:rFonts w:ascii="Times New Roman" w:hAnsi="Times New Roman" w:cs="Times New Roman"/>
                <w:b/>
                <w:bCs/>
                <w:sz w:val="20"/>
                <w:szCs w:val="20"/>
              </w:rPr>
            </w:pPr>
            <w:r>
              <w:rPr>
                <w:rFonts w:ascii="Times New Roman" w:hAnsi="Times New Roman" w:cs="Times New Roman"/>
                <w:b/>
                <w:bCs/>
                <w:sz w:val="20"/>
                <w:szCs w:val="20"/>
              </w:rPr>
              <w:t>-13%</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Kardioloģija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315 743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157 887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172 497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-14 610</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Oftalmoloģija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2 070 489</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1 035 256</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1 353 371</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-318 115</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-31%</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Otolaringoloģija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1 810 391</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905 211</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1 035 785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-130 574</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-14%</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Dermatoveneroloģija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557465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278 147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311 070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-32 924</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-12%</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Psihiatrija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30 303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15 154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11 037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4 116</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27%</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Narkoloģija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35 150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17 593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16 182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1 411</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8%</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Anestezioloģija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301424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150 527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209 495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-58 968</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proofErr w:type="spellStart"/>
            <w:r w:rsidRPr="00B30A61">
              <w:rPr>
                <w:rFonts w:ascii="Times New Roman" w:eastAsia="Times New Roman" w:hAnsi="Times New Roman" w:cs="Times New Roman"/>
                <w:sz w:val="20"/>
                <w:szCs w:val="20"/>
                <w:lang w:val="lv-LV"/>
              </w:rPr>
              <w:t>Pneimonoloģija</w:t>
            </w:r>
            <w:proofErr w:type="spellEnd"/>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201 686</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100 737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122 778</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-22 041</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-22%</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Endokrinoloģija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697 482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349 037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366 457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-17 419</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-5%</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Ķirurģija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1896177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948 483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973 570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-25 087</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Uroloģija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429682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214 444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280 158</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-65 715</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-31%</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Traumatoloģija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749552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375 014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398 672</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-23 658</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-6%</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Ginekoloģija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1605356</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803 461</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876 804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-73 343</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-9%</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Onkoloģija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390 235</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195 118</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195 120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0%</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Neiroloģija</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991 956</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495 987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546 644</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-50 657</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-10%</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B30A61">
              <w:rPr>
                <w:rFonts w:ascii="Times New Roman" w:eastAsia="Times New Roman" w:hAnsi="Times New Roman" w:cs="Times New Roman"/>
                <w:sz w:val="20"/>
                <w:szCs w:val="20"/>
                <w:lang w:val="lv-LV"/>
              </w:rPr>
              <w:t>Pārējie speciālisti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789 991</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396 927</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398 133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-1 206</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0%</w:t>
            </w:r>
          </w:p>
        </w:tc>
      </w:tr>
      <w:tr w:rsidR="00B77880" w:rsidRPr="00B30A61" w:rsidTr="00AD2F72">
        <w:trPr>
          <w:trHeight w:val="255"/>
          <w:jc w:val="center"/>
        </w:trPr>
        <w:tc>
          <w:tcPr>
            <w:tcW w:w="4258" w:type="dxa"/>
            <w:shd w:val="clear" w:color="auto" w:fill="auto"/>
            <w:noWrap/>
            <w:vAlign w:val="bottom"/>
            <w:hideMark/>
          </w:tcPr>
          <w:p w:rsidR="00B77880" w:rsidRPr="00B30A61" w:rsidRDefault="00B77880" w:rsidP="00B30A61">
            <w:pPr>
              <w:spacing w:after="0" w:line="240" w:lineRule="auto"/>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Laboratoriskie izmeklējumi</w:t>
            </w:r>
          </w:p>
        </w:tc>
        <w:tc>
          <w:tcPr>
            <w:tcW w:w="1276" w:type="dxa"/>
            <w:shd w:val="clear" w:color="auto" w:fill="auto"/>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11 956 600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5 978 300</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sz w:val="20"/>
                <w:szCs w:val="20"/>
                <w:lang w:val="lv-LV"/>
              </w:rPr>
            </w:pPr>
            <w:r w:rsidRPr="00B30A61">
              <w:rPr>
                <w:rFonts w:ascii="Times New Roman" w:eastAsia="Times New Roman" w:hAnsi="Times New Roman" w:cs="Times New Roman"/>
                <w:sz w:val="20"/>
                <w:szCs w:val="20"/>
                <w:lang w:val="lv-LV"/>
              </w:rPr>
              <w:t>6 232 313</w:t>
            </w:r>
          </w:p>
        </w:tc>
        <w:tc>
          <w:tcPr>
            <w:tcW w:w="1134" w:type="dxa"/>
            <w:shd w:val="clear" w:color="000000" w:fill="FFFFFF"/>
            <w:noWrap/>
            <w:vAlign w:val="bottom"/>
            <w:hideMark/>
          </w:tcPr>
          <w:p w:rsidR="00B77880" w:rsidRPr="00B30A61" w:rsidRDefault="00B77880" w:rsidP="00B30A61">
            <w:pPr>
              <w:spacing w:after="0" w:line="240" w:lineRule="auto"/>
              <w:jc w:val="right"/>
              <w:rPr>
                <w:rFonts w:ascii="Times New Roman" w:eastAsia="Times New Roman" w:hAnsi="Times New Roman" w:cs="Times New Roman"/>
                <w:bCs/>
                <w:i/>
                <w:sz w:val="20"/>
                <w:szCs w:val="20"/>
                <w:lang w:val="lv-LV"/>
              </w:rPr>
            </w:pPr>
            <w:r w:rsidRPr="00B30A61">
              <w:rPr>
                <w:rFonts w:ascii="Times New Roman" w:eastAsia="Times New Roman" w:hAnsi="Times New Roman" w:cs="Times New Roman"/>
                <w:bCs/>
                <w:i/>
                <w:sz w:val="20"/>
                <w:szCs w:val="20"/>
                <w:lang w:val="lv-LV"/>
              </w:rPr>
              <w:t>-254 013</w:t>
            </w:r>
          </w:p>
        </w:tc>
        <w:tc>
          <w:tcPr>
            <w:tcW w:w="992" w:type="dxa"/>
            <w:shd w:val="clear" w:color="000000" w:fill="FFFFFF"/>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-4%</w:t>
            </w:r>
          </w:p>
        </w:tc>
      </w:tr>
      <w:tr w:rsidR="00B77880" w:rsidRPr="00B30A61" w:rsidTr="00AD2F72">
        <w:trPr>
          <w:trHeight w:val="255"/>
          <w:jc w:val="center"/>
        </w:trPr>
        <w:tc>
          <w:tcPr>
            <w:tcW w:w="4258" w:type="dxa"/>
            <w:shd w:val="clear" w:color="000000" w:fill="FFFF99"/>
            <w:noWrap/>
            <w:vAlign w:val="bottom"/>
            <w:hideMark/>
          </w:tcPr>
          <w:p w:rsidR="00B77880" w:rsidRPr="00B30A61" w:rsidRDefault="00B77880" w:rsidP="00AD2F72">
            <w:pPr>
              <w:spacing w:after="0" w:line="240" w:lineRule="auto"/>
              <w:jc w:val="right"/>
              <w:rPr>
                <w:rFonts w:ascii="Times New Roman" w:eastAsia="Times New Roman" w:hAnsi="Times New Roman" w:cs="Times New Roman"/>
                <w:b/>
                <w:bCs/>
                <w:sz w:val="20"/>
                <w:szCs w:val="20"/>
                <w:lang w:val="lv-LV"/>
              </w:rPr>
            </w:pPr>
            <w:r w:rsidRPr="00BE54EF">
              <w:rPr>
                <w:rFonts w:ascii="Times New Roman" w:eastAsia="Times New Roman" w:hAnsi="Times New Roman" w:cs="Times New Roman"/>
                <w:b/>
                <w:i/>
                <w:sz w:val="20"/>
                <w:szCs w:val="20"/>
                <w:lang w:val="lv-LV"/>
              </w:rPr>
              <w:t>KOPĀ:</w:t>
            </w:r>
          </w:p>
        </w:tc>
        <w:tc>
          <w:tcPr>
            <w:tcW w:w="1276" w:type="dxa"/>
            <w:shd w:val="clear" w:color="000000" w:fill="FFFF99"/>
            <w:noWrap/>
            <w:vAlign w:val="bottom"/>
            <w:hideMark/>
          </w:tcPr>
          <w:p w:rsidR="00B77880" w:rsidRPr="00B30A61" w:rsidRDefault="00B77880" w:rsidP="00B30A61">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68 971 774</w:t>
            </w:r>
          </w:p>
        </w:tc>
        <w:tc>
          <w:tcPr>
            <w:tcW w:w="1134" w:type="dxa"/>
            <w:shd w:val="clear" w:color="000000" w:fill="FFFF99"/>
            <w:noWrap/>
            <w:vAlign w:val="bottom"/>
            <w:hideMark/>
          </w:tcPr>
          <w:p w:rsidR="00B77880" w:rsidRPr="00B30A61" w:rsidRDefault="00B77880" w:rsidP="00B30A61">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34 415 351</w:t>
            </w:r>
          </w:p>
        </w:tc>
        <w:tc>
          <w:tcPr>
            <w:tcW w:w="1134" w:type="dxa"/>
            <w:shd w:val="clear" w:color="000000" w:fill="FFFF99"/>
            <w:noWrap/>
            <w:vAlign w:val="bottom"/>
            <w:hideMark/>
          </w:tcPr>
          <w:p w:rsidR="00B77880" w:rsidRPr="00B30A61" w:rsidRDefault="00B77880" w:rsidP="00B30A61">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40 232 728</w:t>
            </w:r>
          </w:p>
        </w:tc>
        <w:tc>
          <w:tcPr>
            <w:tcW w:w="1134" w:type="dxa"/>
            <w:shd w:val="clear" w:color="000000" w:fill="FFFF99"/>
            <w:noWrap/>
            <w:vAlign w:val="bottom"/>
            <w:hideMark/>
          </w:tcPr>
          <w:p w:rsidR="00B77880" w:rsidRPr="00B30A61" w:rsidRDefault="00B77880" w:rsidP="00B30A61">
            <w:pPr>
              <w:spacing w:after="0" w:line="240" w:lineRule="auto"/>
              <w:jc w:val="right"/>
              <w:rPr>
                <w:rFonts w:ascii="Times New Roman" w:eastAsia="Times New Roman" w:hAnsi="Times New Roman" w:cs="Times New Roman"/>
                <w:b/>
                <w:bCs/>
                <w:sz w:val="20"/>
                <w:szCs w:val="20"/>
                <w:lang w:val="lv-LV"/>
              </w:rPr>
            </w:pPr>
            <w:r w:rsidRPr="00B30A61">
              <w:rPr>
                <w:rFonts w:ascii="Times New Roman" w:eastAsia="Times New Roman" w:hAnsi="Times New Roman" w:cs="Times New Roman"/>
                <w:b/>
                <w:bCs/>
                <w:sz w:val="20"/>
                <w:szCs w:val="20"/>
                <w:lang w:val="lv-LV"/>
              </w:rPr>
              <w:t>-5 817 377</w:t>
            </w:r>
          </w:p>
        </w:tc>
        <w:tc>
          <w:tcPr>
            <w:tcW w:w="992" w:type="dxa"/>
            <w:shd w:val="clear" w:color="000000" w:fill="FFFF99"/>
            <w:noWrap/>
            <w:vAlign w:val="bottom"/>
            <w:hideMark/>
          </w:tcPr>
          <w:p w:rsidR="00B77880" w:rsidRPr="00AD2F72" w:rsidRDefault="00B77880" w:rsidP="00AD2F72">
            <w:pPr>
              <w:jc w:val="center"/>
              <w:rPr>
                <w:rFonts w:ascii="Times New Roman" w:hAnsi="Times New Roman" w:cs="Times New Roman"/>
                <w:b/>
                <w:bCs/>
                <w:sz w:val="20"/>
                <w:szCs w:val="20"/>
              </w:rPr>
            </w:pPr>
            <w:r w:rsidRPr="00AD2F72">
              <w:rPr>
                <w:rFonts w:ascii="Times New Roman" w:hAnsi="Times New Roman" w:cs="Times New Roman"/>
                <w:b/>
                <w:bCs/>
                <w:sz w:val="20"/>
                <w:szCs w:val="20"/>
              </w:rPr>
              <w:t>-17%</w:t>
            </w:r>
          </w:p>
        </w:tc>
      </w:tr>
    </w:tbl>
    <w:p w:rsidR="00071C0F" w:rsidRPr="00AC47E3" w:rsidRDefault="00071C0F" w:rsidP="00B30A61">
      <w:pPr>
        <w:pStyle w:val="NormalWeb"/>
        <w:snapToGrid w:val="0"/>
        <w:spacing w:before="0" w:after="0"/>
        <w:jc w:val="both"/>
        <w:rPr>
          <w:color w:val="FF0000"/>
        </w:rPr>
      </w:pPr>
    </w:p>
    <w:p w:rsidR="00222A3E" w:rsidRDefault="00222A3E" w:rsidP="00683399">
      <w:pPr>
        <w:pStyle w:val="NormalWeb"/>
        <w:snapToGrid w:val="0"/>
        <w:spacing w:before="0" w:after="0"/>
        <w:ind w:firstLine="709"/>
        <w:jc w:val="both"/>
      </w:pPr>
      <w:r>
        <w:t xml:space="preserve">Veikto reformu procesā ārstniecības iestādes </w:t>
      </w:r>
      <w:r w:rsidR="00683399">
        <w:t>attīsta dienas stacionārus.</w:t>
      </w:r>
      <w:r>
        <w:t xml:space="preserve"> </w:t>
      </w:r>
      <w:r w:rsidRPr="00222A3E">
        <w:t xml:space="preserve">Rezultātā palielinās veselības aprūpes pakalpojumu </w:t>
      </w:r>
      <w:r w:rsidRPr="00222A3E">
        <w:rPr>
          <w:color w:val="000000"/>
        </w:rPr>
        <w:t>pieejamība iedzīvotājiem, samazinās pieprasī</w:t>
      </w:r>
      <w:r>
        <w:rPr>
          <w:color w:val="000000"/>
        </w:rPr>
        <w:t>jum</w:t>
      </w:r>
      <w:r w:rsidRPr="00222A3E">
        <w:rPr>
          <w:color w:val="000000"/>
        </w:rPr>
        <w:t>s pē</w:t>
      </w:r>
      <w:r>
        <w:rPr>
          <w:color w:val="000000"/>
        </w:rPr>
        <w:t>c</w:t>
      </w:r>
      <w:r w:rsidRPr="00222A3E">
        <w:rPr>
          <w:color w:val="000000"/>
        </w:rPr>
        <w:t xml:space="preserve"> stacionārajiem pakalpojumiem, tiek nodrošināts izmaksu efektīvs pieejamo finanšu resursu izlietojums. Sevišķi svarīgi veicināt dienas stacionāru pakalpojumus daudzpro</w:t>
      </w:r>
      <w:r w:rsidR="00683399">
        <w:rPr>
          <w:color w:val="000000"/>
        </w:rPr>
        <w:t>filu</w:t>
      </w:r>
      <w:r w:rsidRPr="00222A3E">
        <w:rPr>
          <w:color w:val="000000"/>
        </w:rPr>
        <w:t xml:space="preserve"> neatliekamās palīdzības slimnīcā</w:t>
      </w:r>
      <w:r>
        <w:rPr>
          <w:color w:val="000000"/>
        </w:rPr>
        <w:t>s</w:t>
      </w:r>
      <w:r w:rsidRPr="00222A3E">
        <w:rPr>
          <w:color w:val="000000"/>
        </w:rPr>
        <w:t>, īpaši lokālajās, jo pašreiz šajās slimnīcās   tiek realizēta</w:t>
      </w:r>
      <w:r w:rsidR="00683399">
        <w:rPr>
          <w:color w:val="000000"/>
        </w:rPr>
        <w:t xml:space="preserve"> veselības aprūpes pakalpojumu   </w:t>
      </w:r>
      <w:r w:rsidRPr="00222A3E">
        <w:rPr>
          <w:color w:val="000000"/>
        </w:rPr>
        <w:t xml:space="preserve">restrukturizācija. </w:t>
      </w:r>
      <w:r w:rsidR="00683399">
        <w:rPr>
          <w:color w:val="000000"/>
        </w:rPr>
        <w:t>Palielinātais dienas stacionāros ārstēto pacientu  apjoms nodrošinātu agrāk stacionāros</w:t>
      </w:r>
      <w:r w:rsidRPr="00222A3E">
        <w:rPr>
          <w:color w:val="000000"/>
        </w:rPr>
        <w:t xml:space="preserve"> veikto pakalpojumu pie</w:t>
      </w:r>
      <w:r>
        <w:rPr>
          <w:color w:val="000000"/>
        </w:rPr>
        <w:t>e</w:t>
      </w:r>
      <w:r w:rsidRPr="00222A3E">
        <w:rPr>
          <w:color w:val="000000"/>
        </w:rPr>
        <w:t>jamību iedzīvotājiem</w:t>
      </w:r>
      <w:r w:rsidR="00683399">
        <w:rPr>
          <w:color w:val="000000"/>
        </w:rPr>
        <w:t>.</w:t>
      </w:r>
    </w:p>
    <w:p w:rsidR="00222A3E" w:rsidRDefault="00222A3E" w:rsidP="002C6E8B">
      <w:pPr>
        <w:pStyle w:val="NormalWeb"/>
        <w:snapToGrid w:val="0"/>
        <w:spacing w:before="0" w:after="0"/>
        <w:ind w:firstLine="709"/>
        <w:jc w:val="both"/>
      </w:pPr>
    </w:p>
    <w:p w:rsidR="006509CC" w:rsidRPr="006509CC" w:rsidRDefault="006509CC" w:rsidP="006509CC">
      <w:pPr>
        <w:pStyle w:val="NormalWeb"/>
        <w:snapToGrid w:val="0"/>
        <w:spacing w:before="0" w:after="0"/>
        <w:ind w:firstLine="709"/>
        <w:jc w:val="both"/>
      </w:pPr>
      <w:r w:rsidRPr="006509CC">
        <w:lastRenderedPageBreak/>
        <w:t xml:space="preserve">Pamatojoties uz iepriekš minēto un ņemot vērā plānoto finanšu apjomu SAVA pakalpojumu sniegšanai dienas stacionāros 2011.gada pirmajam pusgadam un faktiski veikto darba apjomu 2011.gada pirmajā pusgadā, izveidojies līdzekļu deficīts </w:t>
      </w:r>
      <w:r w:rsidRPr="006509CC">
        <w:rPr>
          <w:b/>
          <w:u w:val="single"/>
        </w:rPr>
        <w:t>2 548 594 latu</w:t>
      </w:r>
      <w:r w:rsidRPr="006509CC">
        <w:t xml:space="preserve"> apmērā jeb pārsniegts pakalpojumu plāns dienas stacionāros par 24% (līgumu summa 2011.gadam dienas stacionāriem veido 21 604 372 latus, plānotais līgumu apjoms 2011.gada pirmajam pusgadam ir 10 739 336 lati, taču faktiskā izpilde 2011.gada 6 mēnešos ir 13 287 930 lati, tātad līdzekļu deficīts 2 548 594 lati). Ar finansējuma deficītu par ambulatori sniegtajiem pakalpojumiem dienas stacionāros 2011.gada pirmajā pusgadā ir pārsniegts arī valsts apmaksāto pacientu iemaksu par no pacienta iemaksas atbrīvotajām iedzīvotāju kategorijām plāns par </w:t>
      </w:r>
      <w:r w:rsidRPr="006509CC">
        <w:rPr>
          <w:b/>
          <w:u w:val="single"/>
        </w:rPr>
        <w:t>25 328 latiem</w:t>
      </w:r>
      <w:r w:rsidRPr="006509CC">
        <w:t xml:space="preserve"> jeb 9% attiecībā pret pārskata perioda plānoto (4.tabula):  </w:t>
      </w:r>
    </w:p>
    <w:p w:rsidR="00C85B62" w:rsidRDefault="003F5353" w:rsidP="006509CC">
      <w:pPr>
        <w:pStyle w:val="NormalWeb"/>
        <w:snapToGrid w:val="0"/>
        <w:spacing w:before="120" w:after="0"/>
        <w:ind w:firstLine="709"/>
        <w:jc w:val="right"/>
      </w:pPr>
      <w:r>
        <w:t>4.tabula</w:t>
      </w:r>
    </w:p>
    <w:p w:rsidR="00685DF3" w:rsidRDefault="00685DF3" w:rsidP="00685DF3">
      <w:pPr>
        <w:pStyle w:val="NormalWeb"/>
        <w:snapToGrid w:val="0"/>
        <w:spacing w:before="0" w:after="0"/>
        <w:ind w:firstLine="709"/>
        <w:jc w:val="center"/>
        <w:rPr>
          <w:b/>
          <w:color w:val="FF0000"/>
        </w:rPr>
      </w:pPr>
    </w:p>
    <w:p w:rsidR="006509CC" w:rsidRPr="006509CC" w:rsidRDefault="006509CC" w:rsidP="006509CC">
      <w:pPr>
        <w:pStyle w:val="NormalWeb"/>
        <w:snapToGrid w:val="0"/>
        <w:spacing w:before="0" w:after="0"/>
        <w:ind w:firstLine="709"/>
        <w:jc w:val="center"/>
        <w:rPr>
          <w:b/>
        </w:rPr>
      </w:pPr>
      <w:r w:rsidRPr="006509CC">
        <w:rPr>
          <w:b/>
        </w:rPr>
        <w:t>Diena stacionārā sniegto pakalpojumu un pacientu iemaksas izpilde 2011.gada 6 mēnešos</w:t>
      </w:r>
    </w:p>
    <w:p w:rsidR="006509CC" w:rsidRPr="006509CC" w:rsidRDefault="006509CC" w:rsidP="006509CC">
      <w:pPr>
        <w:pStyle w:val="NormalWeb"/>
        <w:snapToGrid w:val="0"/>
        <w:spacing w:before="0" w:after="0"/>
        <w:ind w:firstLine="709"/>
        <w:jc w:val="both"/>
      </w:pPr>
    </w:p>
    <w:tbl>
      <w:tblPr>
        <w:tblW w:w="9857"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1319"/>
        <w:gridCol w:w="1162"/>
        <w:gridCol w:w="1221"/>
        <w:gridCol w:w="1398"/>
        <w:gridCol w:w="1125"/>
      </w:tblGrid>
      <w:tr w:rsidR="006509CC" w:rsidRPr="006509CC" w:rsidTr="006509CC">
        <w:trPr>
          <w:trHeight w:val="497"/>
          <w:jc w:val="center"/>
        </w:trPr>
        <w:tc>
          <w:tcPr>
            <w:tcW w:w="3632" w:type="dxa"/>
            <w:vMerge w:val="restart"/>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sz w:val="20"/>
                <w:szCs w:val="20"/>
                <w:lang w:val="lv-LV"/>
              </w:rPr>
            </w:pPr>
            <w:r w:rsidRPr="006509CC">
              <w:rPr>
                <w:rFonts w:ascii="Times New Roman" w:eastAsia="Times New Roman" w:hAnsi="Times New Roman" w:cs="Times New Roman"/>
                <w:b/>
                <w:bCs/>
                <w:sz w:val="20"/>
                <w:szCs w:val="20"/>
                <w:lang w:val="lv-LV"/>
              </w:rPr>
              <w:t>Dienas stacionārā sniegtie pakalpojumi</w:t>
            </w:r>
          </w:p>
        </w:tc>
        <w:tc>
          <w:tcPr>
            <w:tcW w:w="1319" w:type="dxa"/>
            <w:vMerge w:val="restart"/>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Līgumu summa 2011.gadam (Ls)</w:t>
            </w:r>
          </w:p>
        </w:tc>
        <w:tc>
          <w:tcPr>
            <w:tcW w:w="4906" w:type="dxa"/>
            <w:gridSpan w:val="4"/>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Pakalpojumu izpilde pārskata periodā</w:t>
            </w:r>
          </w:p>
        </w:tc>
      </w:tr>
      <w:tr w:rsidR="006509CC" w:rsidRPr="006509CC" w:rsidTr="006509CC">
        <w:trPr>
          <w:trHeight w:val="1020"/>
          <w:jc w:val="center"/>
        </w:trPr>
        <w:tc>
          <w:tcPr>
            <w:tcW w:w="3632" w:type="dxa"/>
            <w:vMerge/>
            <w:vAlign w:val="center"/>
            <w:hideMark/>
          </w:tcPr>
          <w:p w:rsidR="006509CC" w:rsidRPr="006509CC" w:rsidRDefault="006509CC" w:rsidP="006509CC">
            <w:pPr>
              <w:spacing w:after="0" w:line="240" w:lineRule="auto"/>
              <w:rPr>
                <w:rFonts w:ascii="Times New Roman" w:eastAsia="Times New Roman" w:hAnsi="Times New Roman" w:cs="Times New Roman"/>
                <w:sz w:val="20"/>
                <w:szCs w:val="20"/>
                <w:lang w:val="lv-LV"/>
              </w:rPr>
            </w:pPr>
          </w:p>
        </w:tc>
        <w:tc>
          <w:tcPr>
            <w:tcW w:w="1319" w:type="dxa"/>
            <w:vMerge/>
            <w:vAlign w:val="center"/>
            <w:hideMark/>
          </w:tcPr>
          <w:p w:rsidR="006509CC" w:rsidRPr="006509CC" w:rsidRDefault="006509CC" w:rsidP="006509CC">
            <w:pPr>
              <w:spacing w:after="0" w:line="240" w:lineRule="auto"/>
              <w:rPr>
                <w:rFonts w:ascii="Times New Roman" w:eastAsia="Times New Roman" w:hAnsi="Times New Roman" w:cs="Times New Roman"/>
                <w:b/>
                <w:bCs/>
                <w:sz w:val="20"/>
                <w:szCs w:val="20"/>
                <w:lang w:val="lv-LV"/>
              </w:rPr>
            </w:pPr>
          </w:p>
        </w:tc>
        <w:tc>
          <w:tcPr>
            <w:tcW w:w="1162"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Līguma apjoms 6 mēnešiem (Ls)</w:t>
            </w:r>
          </w:p>
        </w:tc>
        <w:tc>
          <w:tcPr>
            <w:tcW w:w="1221"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6 mēnešu veiktais darbs (Ls)</w:t>
            </w:r>
          </w:p>
        </w:tc>
        <w:tc>
          <w:tcPr>
            <w:tcW w:w="1398"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Izpilde virs līguma apjoma (-) /neizpilde (+)</w:t>
            </w:r>
          </w:p>
        </w:tc>
        <w:tc>
          <w:tcPr>
            <w:tcW w:w="1125" w:type="dxa"/>
            <w:shd w:val="clear" w:color="000000" w:fill="FFFFFF"/>
            <w:vAlign w:val="center"/>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Novirze %</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1</w:t>
            </w:r>
          </w:p>
        </w:tc>
        <w:tc>
          <w:tcPr>
            <w:tcW w:w="1319" w:type="dxa"/>
            <w:shd w:val="clear" w:color="auto" w:fill="auto"/>
            <w:vAlign w:val="center"/>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3</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4</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5=3-4</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Cs/>
                <w:sz w:val="18"/>
                <w:szCs w:val="18"/>
                <w:lang w:val="lv-LV"/>
              </w:rPr>
            </w:pPr>
            <w:r w:rsidRPr="006509CC">
              <w:rPr>
                <w:rFonts w:ascii="Times New Roman" w:eastAsia="Times New Roman" w:hAnsi="Times New Roman" w:cs="Times New Roman"/>
                <w:bCs/>
                <w:sz w:val="18"/>
                <w:szCs w:val="18"/>
                <w:lang w:val="lv-LV"/>
              </w:rPr>
              <w:t>6=5/3*100</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right"/>
              <w:rPr>
                <w:rFonts w:ascii="Times New Roman" w:eastAsia="Times New Roman" w:hAnsi="Times New Roman" w:cs="Times New Roman"/>
                <w:b/>
                <w:i/>
                <w:sz w:val="18"/>
                <w:szCs w:val="18"/>
                <w:lang w:val="lv-LV"/>
              </w:rPr>
            </w:pPr>
            <w:r w:rsidRPr="006509CC">
              <w:rPr>
                <w:rFonts w:ascii="Times New Roman" w:eastAsia="Times New Roman" w:hAnsi="Times New Roman" w:cs="Times New Roman"/>
                <w:b/>
                <w:i/>
                <w:sz w:val="18"/>
                <w:szCs w:val="18"/>
                <w:lang w:val="lv-LV"/>
              </w:rPr>
              <w:t>Pakalpojumi</w:t>
            </w:r>
          </w:p>
        </w:tc>
        <w:tc>
          <w:tcPr>
            <w:tcW w:w="1319" w:type="dxa"/>
            <w:shd w:val="clear" w:color="auto" w:fill="auto"/>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21 604 372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10 739 336</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13 287 930</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-2 548 594</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-24%</w:t>
            </w:r>
          </w:p>
        </w:tc>
      </w:tr>
      <w:tr w:rsidR="006509CC" w:rsidRPr="006509CC" w:rsidTr="006509CC">
        <w:trPr>
          <w:trHeight w:val="255"/>
          <w:jc w:val="center"/>
        </w:trPr>
        <w:tc>
          <w:tcPr>
            <w:tcW w:w="3632" w:type="dxa"/>
            <w:shd w:val="clear" w:color="auto" w:fill="auto"/>
            <w:noWrap/>
            <w:vAlign w:val="bottom"/>
            <w:hideMark/>
          </w:tcPr>
          <w:p w:rsidR="006509CC" w:rsidRPr="006509CC" w:rsidRDefault="006509CC" w:rsidP="006509CC">
            <w:pPr>
              <w:spacing w:after="0" w:line="240" w:lineRule="auto"/>
              <w:jc w:val="right"/>
              <w:rPr>
                <w:rFonts w:ascii="Times New Roman" w:eastAsia="Times New Roman" w:hAnsi="Times New Roman" w:cs="Times New Roman"/>
                <w:b/>
                <w:i/>
                <w:sz w:val="18"/>
                <w:szCs w:val="18"/>
                <w:lang w:val="lv-LV"/>
              </w:rPr>
            </w:pPr>
            <w:r w:rsidRPr="006509CC">
              <w:rPr>
                <w:rFonts w:ascii="Times New Roman" w:eastAsia="Times New Roman" w:hAnsi="Times New Roman" w:cs="Times New Roman"/>
                <w:b/>
                <w:i/>
                <w:sz w:val="18"/>
                <w:szCs w:val="18"/>
                <w:lang w:val="lv-LV"/>
              </w:rPr>
              <w:t>Pacientu iemaksa</w:t>
            </w:r>
          </w:p>
        </w:tc>
        <w:tc>
          <w:tcPr>
            <w:tcW w:w="1319" w:type="dxa"/>
            <w:shd w:val="clear" w:color="auto" w:fill="auto"/>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610 972</w:t>
            </w:r>
          </w:p>
        </w:tc>
        <w:tc>
          <w:tcPr>
            <w:tcW w:w="1162"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297 725</w:t>
            </w:r>
          </w:p>
        </w:tc>
        <w:tc>
          <w:tcPr>
            <w:tcW w:w="1221"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323 053</w:t>
            </w:r>
          </w:p>
        </w:tc>
        <w:tc>
          <w:tcPr>
            <w:tcW w:w="1398"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-25 328</w:t>
            </w:r>
          </w:p>
        </w:tc>
        <w:tc>
          <w:tcPr>
            <w:tcW w:w="1125" w:type="dxa"/>
            <w:shd w:val="clear" w:color="auto" w:fill="auto"/>
            <w:noWrap/>
            <w:vAlign w:val="bottom"/>
            <w:hideMark/>
          </w:tcPr>
          <w:p w:rsidR="006509CC" w:rsidRPr="006509CC" w:rsidRDefault="006509CC" w:rsidP="006509CC">
            <w:pPr>
              <w:spacing w:after="0" w:line="240" w:lineRule="auto"/>
              <w:jc w:val="center"/>
              <w:rPr>
                <w:rFonts w:ascii="Times New Roman" w:eastAsia="Times New Roman" w:hAnsi="Times New Roman" w:cs="Times New Roman"/>
                <w:b/>
                <w:bCs/>
                <w:sz w:val="20"/>
                <w:szCs w:val="20"/>
                <w:lang w:val="lv-LV"/>
              </w:rPr>
            </w:pPr>
            <w:r w:rsidRPr="006509CC">
              <w:rPr>
                <w:rFonts w:ascii="Times New Roman" w:eastAsia="Times New Roman" w:hAnsi="Times New Roman" w:cs="Times New Roman"/>
                <w:b/>
                <w:bCs/>
                <w:sz w:val="20"/>
                <w:szCs w:val="20"/>
                <w:lang w:val="lv-LV"/>
              </w:rPr>
              <w:t>-9%</w:t>
            </w:r>
          </w:p>
        </w:tc>
      </w:tr>
    </w:tbl>
    <w:p w:rsidR="00AC47E3" w:rsidRDefault="00AC47E3" w:rsidP="003F5353">
      <w:pPr>
        <w:pStyle w:val="NormalWeb"/>
        <w:snapToGrid w:val="0"/>
        <w:spacing w:before="0" w:after="0"/>
        <w:jc w:val="both"/>
      </w:pPr>
    </w:p>
    <w:p w:rsidR="006509CC" w:rsidRPr="006509CC" w:rsidRDefault="006509CC" w:rsidP="003F5353">
      <w:pPr>
        <w:pStyle w:val="NormalWeb"/>
        <w:snapToGrid w:val="0"/>
        <w:spacing w:before="0" w:after="0"/>
        <w:jc w:val="both"/>
      </w:pPr>
    </w:p>
    <w:p w:rsidR="00B56497" w:rsidRPr="00616F70" w:rsidRDefault="00683399" w:rsidP="00F62954">
      <w:pPr>
        <w:pStyle w:val="NormalWeb"/>
        <w:numPr>
          <w:ilvl w:val="0"/>
          <w:numId w:val="3"/>
        </w:numPr>
        <w:snapToGrid w:val="0"/>
        <w:spacing w:before="0" w:after="0"/>
        <w:ind w:left="1077" w:hanging="357"/>
        <w:rPr>
          <w:b/>
        </w:rPr>
      </w:pPr>
      <w:r>
        <w:rPr>
          <w:b/>
        </w:rPr>
        <w:t>Ambulatorās veselības aprūpes nodrošināšanai nepieciešamo k</w:t>
      </w:r>
      <w:r w:rsidR="00B56497" w:rsidRPr="00616F70">
        <w:rPr>
          <w:b/>
        </w:rPr>
        <w:t>ompensējamo medi</w:t>
      </w:r>
      <w:r>
        <w:rPr>
          <w:b/>
        </w:rPr>
        <w:t>kamentu un materiālu apjoma pieaugums.</w:t>
      </w:r>
    </w:p>
    <w:p w:rsidR="00C26E32" w:rsidRDefault="00C26E32" w:rsidP="00CF429A">
      <w:pPr>
        <w:pStyle w:val="NormalWeb"/>
        <w:spacing w:before="0" w:after="0"/>
        <w:ind w:firstLine="709"/>
        <w:jc w:val="both"/>
      </w:pPr>
    </w:p>
    <w:p w:rsidR="004D077F" w:rsidRPr="004D077F" w:rsidRDefault="004D077F" w:rsidP="004D077F">
      <w:pPr>
        <w:pStyle w:val="NormalWeb"/>
        <w:snapToGrid w:val="0"/>
        <w:spacing w:before="0" w:after="0"/>
        <w:jc w:val="both"/>
      </w:pPr>
      <w:r>
        <w:t xml:space="preserve">           </w:t>
      </w:r>
      <w:r w:rsidR="00683399">
        <w:t xml:space="preserve">Ambulatori sniegto veselības aprūpes pakalpojumu attīstība ir integrēts process. Tas ietver </w:t>
      </w:r>
      <w:r>
        <w:t xml:space="preserve">primāro un sekundāro veselības aprūpi, tāpat šo pakalpojumu nodrošināšanai nepieciešamo </w:t>
      </w:r>
      <w:r w:rsidRPr="004D077F">
        <w:t xml:space="preserve">kompensējamo medikamentu un materiālu </w:t>
      </w:r>
      <w:r>
        <w:t>sistēmas attīstību</w:t>
      </w:r>
      <w:r w:rsidRPr="004D077F">
        <w:t>.</w:t>
      </w:r>
    </w:p>
    <w:p w:rsidR="00CF429A" w:rsidRPr="008A2BB8" w:rsidRDefault="00CF429A" w:rsidP="00CF429A">
      <w:pPr>
        <w:pStyle w:val="NormalWeb"/>
        <w:spacing w:before="120" w:after="0"/>
        <w:ind w:firstLine="709"/>
        <w:jc w:val="both"/>
      </w:pPr>
      <w:r w:rsidRPr="008A2BB8">
        <w:t>Lai nodrošinātu pilnvērtīgu pacientu ārstēšanu ambulatorās veselības aprūpes līmenī, un mazinātu nepieciešamību pacientiem ārstēties slimnīcā, ir jānodrošina pietiekams atbalsts kompensējamo zāļu saņemšanā no valsts puses. Jāatzīmē, ka 2011.gadā palielinās pieprasījums pēc ambulatori lietojamiem medikamentiem un materiāliem, kuru iegādi atbilstoši Ministru kabineta 2006.gada 31.oktobra noteikumiem Nr.899 „Ambulatorajai ārstēšanai paredzēto zāļu un medicīnisko ierīču iegādes izdevumu kompensācijas kārtība” noteiktā apmērā kompensē valsts.</w:t>
      </w:r>
    </w:p>
    <w:p w:rsidR="00CF429A" w:rsidRPr="008A2BB8" w:rsidRDefault="00CF429A" w:rsidP="00C26E32">
      <w:pPr>
        <w:pStyle w:val="NormalWeb"/>
        <w:spacing w:before="120" w:after="0"/>
        <w:ind w:firstLine="709"/>
        <w:jc w:val="both"/>
      </w:pPr>
      <w:r w:rsidRPr="008A2BB8">
        <w:t xml:space="preserve">Budžeta apakšprogrammā 33.03.00 „Kompensējamo medikamentu un materiālu apmaksāšana” plānotos līdzekļus izlieto, lai nodrošinātu ambulatorajai ārstēšanai paredzēto zāļu un medicīnisko ierīču iegādes izdevumu kompensāciju, atbilstoši pacienta slimības diagnozei, raksturam un smaguma pakāpei. Plānotie līdzekļi 2011.gadā pēc budžeta grozījumiem ir 73 012 273 lati (tai skaitā 1 390 510 lati ir budžeta iestāžu 2010.gada pašu ieņēmumu līdzekļu atlikums, kas ar Ministru kabineta š.g. 5.aprīļa sēdes lēmumu (protokols Nr.22, 43.§) tika iestrādāti izdevumos, 4 000 000 lati ir pašu ieņēmumu līdzekļu palielinājums, ko plānots iegūt no zāļu ražotājiem un izplatītājiem atbilstoši līgumiem par pacientiem kompensētajiem medikamentiem virs plānotā). Bez tam ar rīkojumu Nr.323 ambulatorajai ārstniecībai paredzēto zāļu un medicīnas preču izdevumu kompensācijai no valsts </w:t>
      </w:r>
      <w:r w:rsidRPr="008A2BB8">
        <w:lastRenderedPageBreak/>
        <w:t>budžeta programmas „Līdzekļi neparedzētiem gadījumiem” papildus piešķirti 3 168 969 lati. Tādējādi plānotie līdzekļi kopā veido 76 181 242 latu.</w:t>
      </w:r>
    </w:p>
    <w:p w:rsidR="00CF429A" w:rsidRPr="008A2BB8" w:rsidRDefault="00CF429A" w:rsidP="00CF429A">
      <w:pPr>
        <w:pStyle w:val="NormalWeb"/>
        <w:spacing w:before="120" w:after="0"/>
        <w:ind w:firstLine="709"/>
        <w:jc w:val="both"/>
      </w:pPr>
      <w:r w:rsidRPr="008A2BB8">
        <w:t>Faktiski 2011.gada 7 mēnešos ambulatorajai ārstēšanai paredzēto zāļu un medicīnisko ierīču iegādes izdevumu kompensācijai tika izlietoti līdzekļi 44 254 502</w:t>
      </w:r>
      <w:r w:rsidRPr="008A2BB8">
        <w:rPr>
          <w:rFonts w:ascii="Arial" w:hAnsi="Arial" w:cs="Arial"/>
        </w:rPr>
        <w:t xml:space="preserve"> </w:t>
      </w:r>
      <w:r w:rsidRPr="008A2BB8">
        <w:t>latu apmērā, kas ir 10,8% pieaugums attiecībā pret 2010.gada 7 mēnešu izpildi. 2011.gada 7 mēnešos ir izrakstītas 2</w:t>
      </w:r>
      <w:r w:rsidR="004C1827">
        <w:t> 921 332 receptes, kas ir par 2,</w:t>
      </w:r>
      <w:r w:rsidRPr="008A2BB8">
        <w:t xml:space="preserve">05% vairāk kā 2010.gada 7 mēnešos. </w:t>
      </w:r>
    </w:p>
    <w:p w:rsidR="00562F4B" w:rsidRDefault="00CF429A" w:rsidP="00562F4B">
      <w:pPr>
        <w:pStyle w:val="NormalWeb"/>
        <w:spacing w:before="120" w:after="0"/>
        <w:ind w:firstLine="709"/>
        <w:jc w:val="both"/>
      </w:pPr>
      <w:r w:rsidRPr="008A2BB8">
        <w:t>Septiņos mēnešos ambulatorajai ārstēšanai paredzēto zāļu un medicīnisko ierīču iegādes izdevumu kompensācijai izlietoto līdzekļu apjoms un procentuālais sadalījums pa dia</w:t>
      </w:r>
      <w:r w:rsidR="00871F8C">
        <w:t>gnožu grupām ir šāds (</w:t>
      </w:r>
      <w:r w:rsidR="006509CC">
        <w:t>5</w:t>
      </w:r>
      <w:r w:rsidR="00871F8C">
        <w:t>.tabula</w:t>
      </w:r>
      <w:r w:rsidRPr="008A2BB8">
        <w:t>):</w:t>
      </w:r>
    </w:p>
    <w:p w:rsidR="00562F4B" w:rsidRPr="00C85B62" w:rsidRDefault="006509CC" w:rsidP="00562F4B">
      <w:pPr>
        <w:pStyle w:val="NormalWeb"/>
        <w:spacing w:before="120" w:after="0"/>
        <w:ind w:firstLine="709"/>
        <w:jc w:val="right"/>
      </w:pPr>
      <w:r>
        <w:t>5</w:t>
      </w:r>
      <w:r w:rsidR="00CF429A" w:rsidRPr="008A2BB8">
        <w:t>.tabula</w:t>
      </w:r>
    </w:p>
    <w:p w:rsidR="009339B1" w:rsidRDefault="009339B1" w:rsidP="00CF429A">
      <w:pPr>
        <w:pStyle w:val="NormalWeb"/>
        <w:spacing w:before="0" w:after="120"/>
        <w:ind w:left="318"/>
        <w:jc w:val="center"/>
        <w:rPr>
          <w:b/>
        </w:rPr>
      </w:pPr>
    </w:p>
    <w:p w:rsidR="00CF429A" w:rsidRPr="008A2BB8" w:rsidRDefault="00CF429A" w:rsidP="00CF429A">
      <w:pPr>
        <w:pStyle w:val="NormalWeb"/>
        <w:spacing w:before="0" w:after="120"/>
        <w:ind w:left="318"/>
        <w:jc w:val="center"/>
        <w:rPr>
          <w:b/>
        </w:rPr>
      </w:pPr>
      <w:r w:rsidRPr="008A2BB8">
        <w:rPr>
          <w:b/>
        </w:rPr>
        <w:t>Ambulatorajai ārstēšanai paredzēto zāļu un medicīnisko ierīču iegādes izdevumu kompensācijai izlietoto līdzekļu apjoms un procentuālais sadalījums pa diagnožu grupām</w:t>
      </w:r>
    </w:p>
    <w:p w:rsidR="00CF429A" w:rsidRPr="008A2BB8" w:rsidRDefault="00CF429A" w:rsidP="00CF429A">
      <w:pPr>
        <w:pStyle w:val="NormalWeb"/>
        <w:spacing w:before="0" w:after="0"/>
        <w:ind w:left="317"/>
        <w:jc w:val="right"/>
      </w:pPr>
    </w:p>
    <w:tbl>
      <w:tblPr>
        <w:tblW w:w="9371" w:type="dxa"/>
        <w:jc w:val="center"/>
        <w:tblInd w:w="93" w:type="dxa"/>
        <w:tblLook w:val="00A0"/>
      </w:tblPr>
      <w:tblGrid>
        <w:gridCol w:w="6394"/>
        <w:gridCol w:w="1276"/>
        <w:gridCol w:w="1701"/>
      </w:tblGrid>
      <w:tr w:rsidR="00CF429A" w:rsidRPr="00C26E32" w:rsidTr="00C26E32">
        <w:trPr>
          <w:trHeight w:val="416"/>
          <w:jc w:val="center"/>
        </w:trPr>
        <w:tc>
          <w:tcPr>
            <w:tcW w:w="6394" w:type="dxa"/>
            <w:tcBorders>
              <w:top w:val="single" w:sz="4" w:space="0" w:color="000000"/>
              <w:left w:val="single" w:sz="4" w:space="0" w:color="000000"/>
              <w:bottom w:val="single" w:sz="4" w:space="0" w:color="000000"/>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Diagnožu grupas</w:t>
            </w:r>
          </w:p>
        </w:tc>
        <w:tc>
          <w:tcPr>
            <w:tcW w:w="1276" w:type="dxa"/>
            <w:tcBorders>
              <w:top w:val="single" w:sz="4" w:space="0" w:color="auto"/>
              <w:left w:val="nil"/>
              <w:bottom w:val="single" w:sz="4" w:space="0" w:color="auto"/>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w:t>
            </w:r>
          </w:p>
        </w:tc>
        <w:tc>
          <w:tcPr>
            <w:tcW w:w="1701" w:type="dxa"/>
            <w:tcBorders>
              <w:top w:val="single" w:sz="4" w:space="0" w:color="auto"/>
              <w:left w:val="nil"/>
              <w:bottom w:val="single" w:sz="4" w:space="0" w:color="auto"/>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sz w:val="24"/>
                <w:szCs w:val="24"/>
                <w:lang w:val="lv-LV" w:eastAsia="lv-LV"/>
              </w:rPr>
            </w:pPr>
            <w:r w:rsidRPr="00C26E32">
              <w:rPr>
                <w:rFonts w:ascii="Times New Roman" w:hAnsi="Times New Roman" w:cs="Times New Roman"/>
                <w:sz w:val="24"/>
                <w:szCs w:val="24"/>
                <w:lang w:val="lv-LV" w:eastAsia="lv-LV"/>
              </w:rPr>
              <w:t>7 mēnešos izlietots, Ls</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000000"/>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1. Acu un to </w:t>
            </w:r>
            <w:proofErr w:type="spellStart"/>
            <w:r w:rsidRPr="00C26E32">
              <w:rPr>
                <w:rFonts w:ascii="Times New Roman" w:hAnsi="Times New Roman" w:cs="Times New Roman"/>
                <w:color w:val="000000"/>
                <w:sz w:val="24"/>
                <w:szCs w:val="24"/>
                <w:lang w:val="lv-LV" w:eastAsia="lv-LV"/>
              </w:rPr>
              <w:t>palīgorgānu</w:t>
            </w:r>
            <w:proofErr w:type="spellEnd"/>
            <w:r w:rsidRPr="00C26E32">
              <w:rPr>
                <w:rFonts w:ascii="Times New Roman" w:hAnsi="Times New Roman" w:cs="Times New Roman"/>
                <w:color w:val="000000"/>
                <w:sz w:val="24"/>
                <w:szCs w:val="24"/>
                <w:lang w:val="lv-LV" w:eastAsia="lv-LV"/>
              </w:rPr>
              <w:t xml:space="preserve">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4.49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972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306</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2. Ausu un aizauss paugura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780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3. Asins un </w:t>
            </w:r>
            <w:proofErr w:type="spellStart"/>
            <w:r w:rsidRPr="00C26E32">
              <w:rPr>
                <w:rFonts w:ascii="Times New Roman" w:hAnsi="Times New Roman" w:cs="Times New Roman"/>
                <w:color w:val="000000"/>
                <w:sz w:val="24"/>
                <w:szCs w:val="24"/>
                <w:lang w:val="lv-LV" w:eastAsia="lv-LV"/>
              </w:rPr>
              <w:t>asinsrades</w:t>
            </w:r>
            <w:proofErr w:type="spellEnd"/>
            <w:r w:rsidRPr="00C26E32">
              <w:rPr>
                <w:rFonts w:ascii="Times New Roman" w:hAnsi="Times New Roman" w:cs="Times New Roman"/>
                <w:color w:val="000000"/>
                <w:sz w:val="24"/>
                <w:szCs w:val="24"/>
                <w:lang w:val="lv-LV" w:eastAsia="lv-LV"/>
              </w:rPr>
              <w:t xml:space="preserve"> orgānu slimības un imūnsistēmas traucējumi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1.70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746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637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4. Asinsrites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22.35</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754</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134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5. Audzēji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15.04</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603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985</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6. Ādas un zemādas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0.20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87</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230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7. Elpošanas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4.99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192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207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8. Endokrīnās, </w:t>
            </w:r>
            <w:proofErr w:type="spellStart"/>
            <w:r w:rsidRPr="00C26E32">
              <w:rPr>
                <w:rFonts w:ascii="Times New Roman" w:hAnsi="Times New Roman" w:cs="Times New Roman"/>
                <w:color w:val="000000"/>
                <w:sz w:val="24"/>
                <w:szCs w:val="24"/>
                <w:lang w:val="lv-LV" w:eastAsia="lv-LV"/>
              </w:rPr>
              <w:t>uztures</w:t>
            </w:r>
            <w:proofErr w:type="spellEnd"/>
            <w:r w:rsidRPr="00C26E32">
              <w:rPr>
                <w:rFonts w:ascii="Times New Roman" w:hAnsi="Times New Roman" w:cs="Times New Roman"/>
                <w:color w:val="000000"/>
                <w:sz w:val="24"/>
                <w:szCs w:val="24"/>
                <w:lang w:val="lv-LV" w:eastAsia="lv-LV"/>
              </w:rPr>
              <w:t xml:space="preserve"> un vielmaiņas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21.05</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194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9. Gremošanas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0.29</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125</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980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10. Infekcijas un parazitārās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4.33</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899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509</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11. Muskuļu, skeleta un saistaudu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2.84</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245</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618</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14. Nervu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7.52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329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9657</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15. Psihiski un uzvedības traucējumi</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5.50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416</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626</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16. Faktori, kas ietekmē veselību un saskari ar veselības aprūpes darbiniekiem</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1</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898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200</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 xml:space="preserve">17. </w:t>
            </w:r>
            <w:proofErr w:type="spellStart"/>
            <w:r w:rsidRPr="00C26E32">
              <w:rPr>
                <w:rFonts w:ascii="Times New Roman" w:hAnsi="Times New Roman" w:cs="Times New Roman"/>
                <w:color w:val="000000"/>
                <w:sz w:val="24"/>
                <w:szCs w:val="24"/>
                <w:lang w:val="lv-LV" w:eastAsia="lv-LV"/>
              </w:rPr>
              <w:t>Uroģentālās</w:t>
            </w:r>
            <w:proofErr w:type="spellEnd"/>
            <w:r w:rsidRPr="00C26E32">
              <w:rPr>
                <w:rFonts w:ascii="Times New Roman" w:hAnsi="Times New Roman" w:cs="Times New Roman"/>
                <w:color w:val="000000"/>
                <w:sz w:val="24"/>
                <w:szCs w:val="24"/>
                <w:lang w:val="lv-LV" w:eastAsia="lv-LV"/>
              </w:rPr>
              <w:t xml:space="preserve"> sistēmas slimības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5.12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2</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248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555</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lastRenderedPageBreak/>
              <w:t>18. Ievainojumi, saindēšanās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0.10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43</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058</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13. Iedzimtas kroplības, deformācijas un hromosomu anomālijas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0.13</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58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184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19. Grūtniecība, dzemdības un pēcdzemdību periods</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0.02</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9</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774</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auto"/>
            </w:tcBorders>
            <w:noWrap/>
            <w:vAlign w:val="center"/>
          </w:tcPr>
          <w:p w:rsidR="00CF429A" w:rsidRPr="00C26E32" w:rsidRDefault="00CF429A" w:rsidP="00CF429A">
            <w:pPr>
              <w:spacing w:after="0" w:line="240" w:lineRule="auto"/>
              <w:jc w:val="center"/>
              <w:rPr>
                <w:rFonts w:ascii="Times New Roman" w:hAnsi="Times New Roman" w:cs="Times New Roman"/>
                <w:b/>
                <w:color w:val="000000"/>
                <w:sz w:val="24"/>
                <w:szCs w:val="24"/>
                <w:lang w:val="lv-LV" w:eastAsia="lv-LV"/>
              </w:rPr>
            </w:pPr>
            <w:r w:rsidRPr="00C26E32">
              <w:rPr>
                <w:rFonts w:ascii="Times New Roman" w:hAnsi="Times New Roman" w:cs="Times New Roman"/>
                <w:b/>
                <w:color w:val="000000"/>
                <w:sz w:val="24"/>
                <w:szCs w:val="24"/>
                <w:lang w:val="lv-LV" w:eastAsia="lv-LV"/>
              </w:rPr>
              <w:t>KOPĀ</w:t>
            </w:r>
          </w:p>
        </w:tc>
        <w:tc>
          <w:tcPr>
            <w:tcW w:w="1276" w:type="dxa"/>
            <w:tcBorders>
              <w:top w:val="nil"/>
              <w:left w:val="nil"/>
              <w:bottom w:val="single" w:sz="4" w:space="0" w:color="auto"/>
              <w:right w:val="single" w:sz="4" w:space="0" w:color="auto"/>
            </w:tcBorders>
            <w:noWrap/>
            <w:vAlign w:val="bottom"/>
          </w:tcPr>
          <w:p w:rsidR="00CF429A" w:rsidRPr="00C26E32" w:rsidRDefault="00CF429A" w:rsidP="00CF429A">
            <w:pPr>
              <w:spacing w:after="0" w:line="240" w:lineRule="auto"/>
              <w:jc w:val="center"/>
              <w:rPr>
                <w:rFonts w:ascii="Times New Roman" w:hAnsi="Times New Roman" w:cs="Times New Roman"/>
                <w:b/>
                <w:bCs/>
                <w:sz w:val="24"/>
                <w:szCs w:val="24"/>
                <w:lang w:val="lv-LV"/>
              </w:rPr>
            </w:pPr>
            <w:r w:rsidRPr="00C26E32">
              <w:rPr>
                <w:rFonts w:ascii="Times New Roman" w:hAnsi="Times New Roman" w:cs="Times New Roman"/>
                <w:b/>
                <w:bCs/>
                <w:sz w:val="24"/>
                <w:szCs w:val="24"/>
                <w:lang w:val="lv-LV"/>
              </w:rPr>
              <w:t>100.0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b/>
                <w:sz w:val="24"/>
                <w:szCs w:val="24"/>
                <w:lang w:val="lv-LV"/>
              </w:rPr>
            </w:pPr>
            <w:r w:rsidRPr="00C26E32">
              <w:rPr>
                <w:rFonts w:ascii="Times New Roman" w:hAnsi="Times New Roman" w:cs="Times New Roman"/>
                <w:b/>
                <w:sz w:val="24"/>
                <w:szCs w:val="24"/>
                <w:lang w:val="lv-LV"/>
              </w:rPr>
              <w:t>43</w:t>
            </w:r>
            <w:r w:rsidR="00D369EF">
              <w:rPr>
                <w:rFonts w:ascii="Times New Roman" w:hAnsi="Times New Roman" w:cs="Times New Roman"/>
                <w:b/>
                <w:sz w:val="24"/>
                <w:szCs w:val="24"/>
                <w:lang w:val="lv-LV"/>
              </w:rPr>
              <w:t> </w:t>
            </w:r>
            <w:r w:rsidRPr="00C26E32">
              <w:rPr>
                <w:rFonts w:ascii="Times New Roman" w:hAnsi="Times New Roman" w:cs="Times New Roman"/>
                <w:b/>
                <w:sz w:val="24"/>
                <w:szCs w:val="24"/>
                <w:lang w:val="lv-LV"/>
              </w:rPr>
              <w:t>845</w:t>
            </w:r>
            <w:r w:rsidR="00D369EF">
              <w:rPr>
                <w:rFonts w:ascii="Times New Roman" w:hAnsi="Times New Roman" w:cs="Times New Roman"/>
                <w:b/>
                <w:sz w:val="24"/>
                <w:szCs w:val="24"/>
                <w:lang w:val="lv-LV"/>
              </w:rPr>
              <w:t xml:space="preserve"> </w:t>
            </w:r>
            <w:r w:rsidRPr="00C26E32">
              <w:rPr>
                <w:rFonts w:ascii="Times New Roman" w:hAnsi="Times New Roman" w:cs="Times New Roman"/>
                <w:b/>
                <w:sz w:val="24"/>
                <w:szCs w:val="24"/>
                <w:lang w:val="lv-LV"/>
              </w:rPr>
              <w:t>634</w:t>
            </w:r>
          </w:p>
        </w:tc>
      </w:tr>
      <w:tr w:rsidR="00CF429A" w:rsidRPr="00C26E32" w:rsidTr="00C26E32">
        <w:trPr>
          <w:trHeight w:val="255"/>
          <w:jc w:val="center"/>
        </w:trPr>
        <w:tc>
          <w:tcPr>
            <w:tcW w:w="6394" w:type="dxa"/>
            <w:tcBorders>
              <w:top w:val="nil"/>
              <w:left w:val="single" w:sz="4" w:space="0" w:color="000000"/>
              <w:bottom w:val="single" w:sz="4" w:space="0" w:color="000000"/>
              <w:right w:val="nil"/>
            </w:tcBorders>
            <w:noWrap/>
            <w:vAlign w:val="center"/>
          </w:tcPr>
          <w:p w:rsidR="00CF429A" w:rsidRPr="00C26E32" w:rsidRDefault="00CF429A" w:rsidP="00CF429A">
            <w:pPr>
              <w:spacing w:after="0" w:line="240" w:lineRule="auto"/>
              <w:rPr>
                <w:rFonts w:ascii="Times New Roman" w:hAnsi="Times New Roman" w:cs="Times New Roman"/>
                <w:color w:val="000000"/>
                <w:sz w:val="24"/>
                <w:szCs w:val="24"/>
                <w:lang w:val="lv-LV" w:eastAsia="lv-LV"/>
              </w:rPr>
            </w:pPr>
            <w:r w:rsidRPr="00C26E32">
              <w:rPr>
                <w:rFonts w:ascii="Times New Roman" w:hAnsi="Times New Roman" w:cs="Times New Roman"/>
                <w:color w:val="000000"/>
                <w:sz w:val="24"/>
                <w:szCs w:val="24"/>
                <w:lang w:val="lv-LV" w:eastAsia="lv-LV"/>
              </w:rPr>
              <w:t>Līdzekļi izdevumu kompensācijai individuāliem pacientiem</w:t>
            </w:r>
          </w:p>
        </w:tc>
        <w:tc>
          <w:tcPr>
            <w:tcW w:w="1276" w:type="dxa"/>
            <w:tcBorders>
              <w:top w:val="nil"/>
              <w:left w:val="single" w:sz="4" w:space="0" w:color="auto"/>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sz w:val="24"/>
                <w:szCs w:val="24"/>
                <w:lang w:val="lv-LV"/>
              </w:rPr>
            </w:pPr>
            <w:r w:rsidRPr="00C26E32">
              <w:rPr>
                <w:rFonts w:ascii="Times New Roman" w:hAnsi="Times New Roman" w:cs="Times New Roman"/>
                <w:sz w:val="24"/>
                <w:szCs w:val="24"/>
                <w:lang w:val="lv-LV"/>
              </w:rPr>
              <w:t>408</w:t>
            </w:r>
            <w:r w:rsidR="00D369EF">
              <w:rPr>
                <w:rFonts w:ascii="Times New Roman" w:hAnsi="Times New Roman" w:cs="Times New Roman"/>
                <w:sz w:val="24"/>
                <w:szCs w:val="24"/>
                <w:lang w:val="lv-LV"/>
              </w:rPr>
              <w:t xml:space="preserve"> </w:t>
            </w:r>
            <w:r w:rsidRPr="00C26E32">
              <w:rPr>
                <w:rFonts w:ascii="Times New Roman" w:hAnsi="Times New Roman" w:cs="Times New Roman"/>
                <w:sz w:val="24"/>
                <w:szCs w:val="24"/>
                <w:lang w:val="lv-LV"/>
              </w:rPr>
              <w:t>868</w:t>
            </w:r>
          </w:p>
        </w:tc>
      </w:tr>
      <w:tr w:rsidR="00CF429A" w:rsidRPr="00C26E32" w:rsidTr="00C26E32">
        <w:trPr>
          <w:trHeight w:val="255"/>
          <w:jc w:val="center"/>
        </w:trPr>
        <w:tc>
          <w:tcPr>
            <w:tcW w:w="6394" w:type="dxa"/>
            <w:tcBorders>
              <w:top w:val="nil"/>
              <w:left w:val="single" w:sz="4" w:space="0" w:color="000000"/>
              <w:bottom w:val="single" w:sz="4" w:space="0" w:color="000000"/>
              <w:right w:val="single" w:sz="4" w:space="0" w:color="auto"/>
            </w:tcBorders>
            <w:noWrap/>
            <w:vAlign w:val="center"/>
          </w:tcPr>
          <w:p w:rsidR="00CF429A" w:rsidRPr="00C26E32" w:rsidRDefault="00CF429A" w:rsidP="00D369EF">
            <w:pPr>
              <w:spacing w:after="0" w:line="240" w:lineRule="auto"/>
              <w:jc w:val="right"/>
              <w:rPr>
                <w:rFonts w:ascii="Times New Roman" w:hAnsi="Times New Roman" w:cs="Times New Roman"/>
                <w:b/>
                <w:color w:val="000000"/>
                <w:sz w:val="24"/>
                <w:szCs w:val="24"/>
                <w:lang w:val="lv-LV" w:eastAsia="lv-LV"/>
              </w:rPr>
            </w:pPr>
            <w:r w:rsidRPr="00C26E32">
              <w:rPr>
                <w:rFonts w:ascii="Times New Roman" w:hAnsi="Times New Roman" w:cs="Times New Roman"/>
                <w:b/>
                <w:color w:val="000000"/>
                <w:sz w:val="24"/>
                <w:szCs w:val="24"/>
                <w:lang w:val="lv-LV" w:eastAsia="lv-LV"/>
              </w:rPr>
              <w:t>KOPĀ</w:t>
            </w:r>
          </w:p>
        </w:tc>
        <w:tc>
          <w:tcPr>
            <w:tcW w:w="1276" w:type="dxa"/>
            <w:tcBorders>
              <w:top w:val="nil"/>
              <w:left w:val="nil"/>
              <w:bottom w:val="single" w:sz="4" w:space="0" w:color="auto"/>
              <w:right w:val="single" w:sz="4" w:space="0" w:color="auto"/>
            </w:tcBorders>
            <w:noWrap/>
            <w:vAlign w:val="bottom"/>
          </w:tcPr>
          <w:p w:rsidR="00CF429A" w:rsidRPr="00C26E32" w:rsidRDefault="00CF429A" w:rsidP="00CF429A">
            <w:pPr>
              <w:spacing w:after="0" w:line="240" w:lineRule="auto"/>
              <w:jc w:val="center"/>
              <w:rPr>
                <w:rFonts w:ascii="Times New Roman" w:hAnsi="Times New Roman" w:cs="Times New Roman"/>
                <w:b/>
                <w:bCs/>
                <w:sz w:val="24"/>
                <w:szCs w:val="24"/>
                <w:lang w:val="lv-LV"/>
              </w:rPr>
            </w:pPr>
            <w:r w:rsidRPr="00C26E32">
              <w:rPr>
                <w:rFonts w:ascii="Times New Roman" w:hAnsi="Times New Roman" w:cs="Times New Roman"/>
                <w:b/>
                <w:bCs/>
                <w:sz w:val="24"/>
                <w:szCs w:val="24"/>
                <w:lang w:val="lv-LV"/>
              </w:rPr>
              <w:t>100.0</w:t>
            </w:r>
          </w:p>
        </w:tc>
        <w:tc>
          <w:tcPr>
            <w:tcW w:w="1701" w:type="dxa"/>
            <w:tcBorders>
              <w:top w:val="nil"/>
              <w:left w:val="nil"/>
              <w:bottom w:val="single" w:sz="4" w:space="0" w:color="auto"/>
              <w:right w:val="single" w:sz="4" w:space="0" w:color="auto"/>
            </w:tcBorders>
            <w:noWrap/>
            <w:vAlign w:val="bottom"/>
          </w:tcPr>
          <w:p w:rsidR="00CF429A" w:rsidRPr="00C26E32" w:rsidRDefault="00CF429A" w:rsidP="00CF429A">
            <w:pPr>
              <w:jc w:val="center"/>
              <w:rPr>
                <w:rFonts w:ascii="Times New Roman" w:hAnsi="Times New Roman" w:cs="Times New Roman"/>
                <w:b/>
                <w:sz w:val="24"/>
                <w:szCs w:val="24"/>
                <w:lang w:val="lv-LV"/>
              </w:rPr>
            </w:pPr>
            <w:r w:rsidRPr="00C26E32">
              <w:rPr>
                <w:rFonts w:ascii="Times New Roman" w:hAnsi="Times New Roman" w:cs="Times New Roman"/>
                <w:b/>
                <w:sz w:val="24"/>
                <w:szCs w:val="24"/>
                <w:lang w:val="lv-LV"/>
              </w:rPr>
              <w:t>44 254 502</w:t>
            </w:r>
          </w:p>
        </w:tc>
      </w:tr>
    </w:tbl>
    <w:p w:rsidR="004C1827" w:rsidRDefault="004C1827" w:rsidP="00C85B62">
      <w:pPr>
        <w:spacing w:after="120" w:line="240" w:lineRule="auto"/>
        <w:ind w:firstLine="720"/>
        <w:jc w:val="both"/>
        <w:rPr>
          <w:rFonts w:ascii="Times New Roman" w:hAnsi="Times New Roman" w:cs="Times New Roman"/>
          <w:sz w:val="24"/>
          <w:szCs w:val="24"/>
          <w:lang w:val="lv-LV"/>
        </w:rPr>
      </w:pPr>
    </w:p>
    <w:p w:rsidR="00D140CA" w:rsidRPr="003D7F19" w:rsidRDefault="00D140CA" w:rsidP="00C85B62">
      <w:pPr>
        <w:spacing w:after="120" w:line="240" w:lineRule="auto"/>
        <w:ind w:firstLine="720"/>
        <w:jc w:val="both"/>
        <w:rPr>
          <w:rFonts w:ascii="Times New Roman" w:hAnsi="Times New Roman" w:cs="Times New Roman"/>
          <w:sz w:val="24"/>
          <w:szCs w:val="24"/>
          <w:lang w:val="lv-LV"/>
        </w:rPr>
      </w:pPr>
      <w:r w:rsidRPr="003D7F19">
        <w:rPr>
          <w:rFonts w:ascii="Times New Roman" w:hAnsi="Times New Roman" w:cs="Times New Roman"/>
          <w:sz w:val="24"/>
          <w:szCs w:val="24"/>
          <w:lang w:val="lv-LV"/>
        </w:rPr>
        <w:t>Analizējot pa diagnožu grupām, pēc faktiskajiem skaitļiem vislielākais pieaugums ir diagnožu grupā „Asinsrites sistēmas slimības” (pieaugums par 42 413 receptēm jeb 2.5%), diagnožu grupā „Faktori, kas ietekmē veselību” (pieaugums par 6</w:t>
      </w:r>
      <w:r w:rsidR="00E4656E">
        <w:rPr>
          <w:rFonts w:ascii="Times New Roman" w:hAnsi="Times New Roman" w:cs="Times New Roman"/>
          <w:sz w:val="24"/>
          <w:szCs w:val="24"/>
          <w:lang w:val="lv-LV"/>
        </w:rPr>
        <w:t xml:space="preserve"> </w:t>
      </w:r>
      <w:r w:rsidRPr="003D7F19">
        <w:rPr>
          <w:rFonts w:ascii="Times New Roman" w:hAnsi="Times New Roman" w:cs="Times New Roman"/>
          <w:sz w:val="24"/>
          <w:szCs w:val="24"/>
          <w:lang w:val="lv-LV"/>
        </w:rPr>
        <w:t xml:space="preserve">942 receptēm jeb 13%), diagnožu grupā „Audzēji” (pieaugums par 2 567 receptēm jeb 5%).  </w:t>
      </w:r>
    </w:p>
    <w:p w:rsidR="00D140CA" w:rsidRPr="009C6494" w:rsidRDefault="00D140CA" w:rsidP="00D140CA">
      <w:pPr>
        <w:pStyle w:val="NormalWeb"/>
        <w:snapToGrid w:val="0"/>
        <w:spacing w:before="120" w:after="0"/>
        <w:ind w:firstLine="709"/>
        <w:jc w:val="both"/>
      </w:pPr>
      <w:r w:rsidRPr="009C6494">
        <w:t xml:space="preserve">Budžeta apakšprogrammā 33.03.00 “Kompensējamo medikamentu un materiālu apmaksāšana” paredzētais finansējums atbilstoši finansēšanas plānam 2011.gada septiņiem mēnešiem bija 42 836 758  lati un apakšprogrammā 37.03.00 „ Krievijas Federācijas militāro pensionāru veselības aprūpes” 223 589 lati , bet faktiskais pieprasījums atbilstoši rēķiniem septiņos mēnešos bija 44 254 502 lati, kas par   1 194 156 latiem pārsniedz finansēšanas plānā noteikto. Jāatzīmē, ka finansēšanas plānā dotācijas no vispārējiem ieņēmumiem sadalījums septiņos mēnešos neveido 7/12 no gada finansējuma. Lai norēķini ar aptiekām iekļautos termiņos finansēšanas plānā bija veiktas izmaiņas par 2 miljoniem latu no gada pēdējiem mēnešiem pārceļot ieņēmumus no dotācijas no vispārējiem ieņēmumiem. Bez šīm izmaiņām līdzekļu deficīts pret finansēšanas plānu </w:t>
      </w:r>
      <w:r w:rsidR="00E4656E">
        <w:t xml:space="preserve">jau </w:t>
      </w:r>
      <w:r w:rsidRPr="009C6494">
        <w:t>veidotu 3 194 156  latus.</w:t>
      </w:r>
    </w:p>
    <w:p w:rsidR="00D140CA" w:rsidRPr="00EB15BF" w:rsidRDefault="00D140CA" w:rsidP="00D140CA">
      <w:pPr>
        <w:spacing w:after="0" w:line="240" w:lineRule="auto"/>
        <w:jc w:val="both"/>
        <w:rPr>
          <w:rFonts w:ascii="Times New Roman" w:eastAsia="Times New Roman" w:hAnsi="Times New Roman" w:cs="Times New Roman"/>
          <w:sz w:val="24"/>
          <w:szCs w:val="24"/>
          <w:lang w:val="lv-LV" w:eastAsia="ar-SA"/>
        </w:rPr>
      </w:pPr>
      <w:r w:rsidRPr="003D7F19">
        <w:rPr>
          <w:rFonts w:ascii="Times New Roman" w:eastAsia="Times New Roman" w:hAnsi="Times New Roman" w:cs="Times New Roman"/>
          <w:sz w:val="24"/>
          <w:szCs w:val="24"/>
          <w:lang w:val="lv-LV" w:eastAsia="ar-SA"/>
        </w:rPr>
        <w:t xml:space="preserve">Gada </w:t>
      </w:r>
      <w:smartTag w:uri="schemas-tilde-lv/tildestengine" w:element="veidnes">
        <w:smartTagPr>
          <w:attr w:name="text" w:val="plāns"/>
          <w:attr w:name="baseform" w:val="plāns"/>
          <w:attr w:name="id" w:val="-1"/>
        </w:smartTagPr>
        <w:r w:rsidRPr="003D7F19">
          <w:rPr>
            <w:rFonts w:ascii="Times New Roman" w:eastAsia="Times New Roman" w:hAnsi="Times New Roman" w:cs="Times New Roman"/>
            <w:sz w:val="24"/>
            <w:szCs w:val="24"/>
            <w:lang w:val="lv-LV" w:eastAsia="ar-SA"/>
          </w:rPr>
          <w:t>plāns</w:t>
        </w:r>
      </w:smartTag>
      <w:r w:rsidR="00871F8C">
        <w:rPr>
          <w:rFonts w:ascii="Times New Roman" w:eastAsia="Times New Roman" w:hAnsi="Times New Roman" w:cs="Times New Roman"/>
          <w:sz w:val="24"/>
          <w:szCs w:val="24"/>
          <w:lang w:val="lv-LV" w:eastAsia="ar-SA"/>
        </w:rPr>
        <w:t xml:space="preserve"> apakšprogrammai „</w:t>
      </w:r>
      <w:r w:rsidRPr="003D7F19">
        <w:rPr>
          <w:rFonts w:ascii="Times New Roman" w:eastAsia="Times New Roman" w:hAnsi="Times New Roman" w:cs="Times New Roman"/>
          <w:sz w:val="24"/>
          <w:szCs w:val="24"/>
          <w:lang w:val="lv-LV" w:eastAsia="ar-SA"/>
        </w:rPr>
        <w:t>Kompensējamo medikamentu un materiālu apmaksāšana” atbilstoši likuma</w:t>
      </w:r>
      <w:r w:rsidR="00871F8C">
        <w:rPr>
          <w:rFonts w:ascii="Times New Roman" w:eastAsia="Times New Roman" w:hAnsi="Times New Roman" w:cs="Times New Roman"/>
          <w:sz w:val="24"/>
          <w:szCs w:val="24"/>
          <w:lang w:val="lv-LV" w:eastAsia="ar-SA"/>
        </w:rPr>
        <w:t>m</w:t>
      </w:r>
      <w:r w:rsidRPr="003D7F19">
        <w:rPr>
          <w:rFonts w:ascii="Times New Roman" w:eastAsia="Times New Roman" w:hAnsi="Times New Roman" w:cs="Times New Roman"/>
          <w:sz w:val="24"/>
          <w:szCs w:val="24"/>
          <w:lang w:val="lv-LV" w:eastAsia="ar-SA"/>
        </w:rPr>
        <w:t xml:space="preserve"> "Par valsts budžetu 2011.gadam" ir Ls 76 256 670, t.sk., dotācija no vispārējiem ieņēmumiem Ls 67 616 763; ieņēmumi no maksas pakalpojumiem un citi pašu ieņēmumi (</w:t>
      </w:r>
      <w:smartTag w:uri="schemas-tilde-lv/tildestengine" w:element="veidnes">
        <w:smartTagPr>
          <w:attr w:name="text" w:val="plāns"/>
          <w:attr w:name="baseform" w:val="plāns"/>
          <w:attr w:name="id" w:val="-1"/>
        </w:smartTagPr>
        <w:r w:rsidRPr="003D7F19">
          <w:rPr>
            <w:rFonts w:ascii="Times New Roman" w:eastAsia="Times New Roman" w:hAnsi="Times New Roman" w:cs="Times New Roman"/>
            <w:sz w:val="24"/>
            <w:szCs w:val="24"/>
            <w:lang w:val="lv-LV" w:eastAsia="ar-SA"/>
          </w:rPr>
          <w:t>plāns</w:t>
        </w:r>
      </w:smartTag>
      <w:r w:rsidRPr="003D7F19">
        <w:rPr>
          <w:rFonts w:ascii="Times New Roman" w:eastAsia="Times New Roman" w:hAnsi="Times New Roman" w:cs="Times New Roman"/>
          <w:sz w:val="24"/>
          <w:szCs w:val="24"/>
          <w:lang w:val="lv-LV" w:eastAsia="ar-SA"/>
        </w:rPr>
        <w:t>) Ls 4 005 000; saskaņā ar Ministru kabineta 2011.gada 5.aprīļa sēdes protokolu Nr.22  43</w:t>
      </w:r>
      <w:r w:rsidR="00871F8C">
        <w:rPr>
          <w:rFonts w:ascii="Times New Roman" w:eastAsia="Times New Roman" w:hAnsi="Times New Roman" w:cs="Times New Roman"/>
          <w:sz w:val="24"/>
          <w:szCs w:val="24"/>
          <w:lang w:val="lv-LV" w:eastAsia="ar-SA"/>
        </w:rPr>
        <w:t>.</w:t>
      </w:r>
      <w:r w:rsidRPr="003D7F19">
        <w:rPr>
          <w:rFonts w:ascii="Times New Roman" w:eastAsia="Times New Roman" w:hAnsi="Times New Roman" w:cs="Times New Roman"/>
          <w:sz w:val="24"/>
          <w:szCs w:val="24"/>
          <w:lang w:val="lv-LV" w:eastAsia="ar-SA"/>
        </w:rPr>
        <w:t>§   1.3.</w:t>
      </w:r>
      <w:r w:rsidR="00871F8C">
        <w:rPr>
          <w:rFonts w:ascii="Times New Roman" w:eastAsia="Times New Roman" w:hAnsi="Times New Roman" w:cs="Times New Roman"/>
          <w:sz w:val="24"/>
          <w:szCs w:val="24"/>
          <w:lang w:val="lv-LV" w:eastAsia="ar-SA"/>
        </w:rPr>
        <w:t>apakš</w:t>
      </w:r>
      <w:r w:rsidRPr="003D7F19">
        <w:rPr>
          <w:rFonts w:ascii="Times New Roman" w:eastAsia="Times New Roman" w:hAnsi="Times New Roman" w:cs="Times New Roman"/>
          <w:sz w:val="24"/>
          <w:szCs w:val="24"/>
          <w:lang w:val="lv-LV" w:eastAsia="ar-SA"/>
        </w:rPr>
        <w:t>punktu ar grozījumiem likumā "Par valsts budžetu 2011.gadam" Ls 1 390 510 novirzīti, lai daļēji segtu līdzekļu deficītu kompensējamo medikamentu apmaksai, ņemot vērā 2010.</w:t>
      </w:r>
      <w:r w:rsidR="00871F8C">
        <w:rPr>
          <w:rFonts w:ascii="Times New Roman" w:eastAsia="Times New Roman" w:hAnsi="Times New Roman" w:cs="Times New Roman"/>
          <w:sz w:val="24"/>
          <w:szCs w:val="24"/>
          <w:lang w:val="lv-LV" w:eastAsia="ar-SA"/>
        </w:rPr>
        <w:t xml:space="preserve">gada </w:t>
      </w:r>
      <w:r w:rsidRPr="003D7F19">
        <w:rPr>
          <w:rFonts w:ascii="Times New Roman" w:eastAsia="Times New Roman" w:hAnsi="Times New Roman" w:cs="Times New Roman"/>
          <w:sz w:val="24"/>
          <w:szCs w:val="24"/>
          <w:lang w:val="lv-LV" w:eastAsia="ar-SA"/>
        </w:rPr>
        <w:t>decembra mēnesī faktiski iztērēto līdzekļu pārsn</w:t>
      </w:r>
      <w:r w:rsidR="00D44ACD">
        <w:rPr>
          <w:rFonts w:ascii="Times New Roman" w:eastAsia="Times New Roman" w:hAnsi="Times New Roman" w:cs="Times New Roman"/>
          <w:sz w:val="24"/>
          <w:szCs w:val="24"/>
          <w:lang w:val="lv-LV" w:eastAsia="ar-SA"/>
        </w:rPr>
        <w:t xml:space="preserve">iegumu virs plānotā; saskaņā ar </w:t>
      </w:r>
      <w:r w:rsidRPr="003D7F19">
        <w:rPr>
          <w:rFonts w:ascii="Times New Roman" w:eastAsia="Times New Roman" w:hAnsi="Times New Roman" w:cs="Times New Roman"/>
          <w:sz w:val="24"/>
          <w:szCs w:val="24"/>
          <w:lang w:val="lv-LV" w:eastAsia="ar-SA"/>
        </w:rPr>
        <w:t xml:space="preserve">rīkojumu Nr.323 "Par finanšu līdzekļu piešķiršanu no valsts budžeta programmas "Līdzekļi neparedzētiem gadījumiem" piešķirti Ls 3 168 969 iedzīvotāju ambulatorajai ārstniecībai paredzēto zāļu un medicīnas preču iegādes izdevumu kompensācijai; līdzekļi no apakšprogrammas "Krievijas Federācijas militāro pensionāru veselības aprūpe" Ls 75 428. Jāņem vērā, ka </w:t>
      </w:r>
      <w:r w:rsidR="00E4656E">
        <w:rPr>
          <w:rFonts w:ascii="Times New Roman" w:eastAsia="Times New Roman" w:hAnsi="Times New Roman" w:cs="Times New Roman"/>
          <w:sz w:val="24"/>
          <w:szCs w:val="24"/>
          <w:lang w:val="lv-LV" w:eastAsia="ar-SA"/>
        </w:rPr>
        <w:t xml:space="preserve">2011.gadā </w:t>
      </w:r>
      <w:r w:rsidRPr="003D7F19">
        <w:rPr>
          <w:rFonts w:ascii="Times New Roman" w:hAnsi="Times New Roman" w:cs="Times New Roman"/>
          <w:sz w:val="24"/>
          <w:szCs w:val="24"/>
          <w:lang w:val="lv-LV"/>
        </w:rPr>
        <w:t>s</w:t>
      </w:r>
      <w:r>
        <w:rPr>
          <w:rFonts w:ascii="Times New Roman" w:hAnsi="Times New Roman" w:cs="Times New Roman"/>
          <w:sz w:val="24"/>
          <w:szCs w:val="24"/>
          <w:lang w:val="lv-LV"/>
        </w:rPr>
        <w:t>aņemtie līdzekļi atšķir</w:t>
      </w:r>
      <w:r w:rsidRPr="003D7F19">
        <w:rPr>
          <w:rFonts w:ascii="Times New Roman" w:hAnsi="Times New Roman" w:cs="Times New Roman"/>
          <w:sz w:val="24"/>
          <w:szCs w:val="24"/>
          <w:lang w:val="lv-LV"/>
        </w:rPr>
        <w:t>s</w:t>
      </w:r>
      <w:r>
        <w:rPr>
          <w:rFonts w:ascii="Times New Roman" w:hAnsi="Times New Roman" w:cs="Times New Roman"/>
          <w:sz w:val="24"/>
          <w:szCs w:val="24"/>
          <w:lang w:val="lv-LV"/>
        </w:rPr>
        <w:t>ies</w:t>
      </w:r>
      <w:r w:rsidRPr="003D7F19">
        <w:rPr>
          <w:rFonts w:ascii="Times New Roman" w:hAnsi="Times New Roman" w:cs="Times New Roman"/>
          <w:sz w:val="24"/>
          <w:szCs w:val="24"/>
          <w:lang w:val="lv-LV"/>
        </w:rPr>
        <w:t xml:space="preserve"> no gada plāna par </w:t>
      </w:r>
      <w:r w:rsidR="00E4656E">
        <w:rPr>
          <w:rFonts w:ascii="Times New Roman" w:hAnsi="Times New Roman" w:cs="Times New Roman"/>
          <w:sz w:val="24"/>
          <w:szCs w:val="24"/>
          <w:lang w:val="lv-LV"/>
        </w:rPr>
        <w:t xml:space="preserve">  2 000 </w:t>
      </w:r>
      <w:proofErr w:type="spellStart"/>
      <w:r w:rsidRPr="003D7F19">
        <w:rPr>
          <w:rFonts w:ascii="Times New Roman" w:hAnsi="Times New Roman" w:cs="Times New Roman"/>
          <w:sz w:val="24"/>
          <w:szCs w:val="24"/>
          <w:lang w:val="lv-LV"/>
        </w:rPr>
        <w:t>000</w:t>
      </w:r>
      <w:proofErr w:type="spellEnd"/>
      <w:r w:rsidRPr="003D7F19">
        <w:rPr>
          <w:rFonts w:ascii="Times New Roman" w:hAnsi="Times New Roman" w:cs="Times New Roman"/>
          <w:sz w:val="24"/>
          <w:szCs w:val="24"/>
          <w:lang w:val="lv-LV"/>
        </w:rPr>
        <w:t xml:space="preserve"> latu, jo </w:t>
      </w:r>
      <w:r>
        <w:rPr>
          <w:rFonts w:ascii="Times New Roman" w:hAnsi="Times New Roman" w:cs="Times New Roman"/>
          <w:sz w:val="24"/>
          <w:szCs w:val="24"/>
          <w:lang w:val="lv-LV"/>
        </w:rPr>
        <w:t>zāļu ražotāju un izplatītāju</w:t>
      </w:r>
      <w:r w:rsidRPr="003D7F19">
        <w:rPr>
          <w:rFonts w:ascii="Times New Roman" w:hAnsi="Times New Roman" w:cs="Times New Roman"/>
          <w:sz w:val="24"/>
          <w:szCs w:val="24"/>
          <w:lang w:val="lv-LV"/>
        </w:rPr>
        <w:t xml:space="preserve">   maksājumus par </w:t>
      </w:r>
      <w:r>
        <w:rPr>
          <w:rFonts w:ascii="Times New Roman" w:hAnsi="Times New Roman" w:cs="Times New Roman"/>
          <w:sz w:val="24"/>
          <w:szCs w:val="24"/>
          <w:lang w:val="lv-LV"/>
        </w:rPr>
        <w:t xml:space="preserve">2011.gada </w:t>
      </w:r>
      <w:r w:rsidRPr="003D7F19">
        <w:rPr>
          <w:rFonts w:ascii="Times New Roman" w:hAnsi="Times New Roman" w:cs="Times New Roman"/>
          <w:sz w:val="24"/>
          <w:szCs w:val="24"/>
          <w:lang w:val="lv-LV"/>
        </w:rPr>
        <w:t>III un IV ceturksni Veselības norēķinu centrs saņem</w:t>
      </w:r>
      <w:r>
        <w:rPr>
          <w:rFonts w:ascii="Times New Roman" w:hAnsi="Times New Roman" w:cs="Times New Roman"/>
          <w:sz w:val="24"/>
          <w:szCs w:val="24"/>
          <w:lang w:val="lv-LV"/>
        </w:rPr>
        <w:t>s</w:t>
      </w:r>
      <w:r w:rsidRPr="003D7F19">
        <w:rPr>
          <w:rFonts w:ascii="Times New Roman" w:hAnsi="Times New Roman" w:cs="Times New Roman"/>
          <w:sz w:val="24"/>
          <w:szCs w:val="24"/>
          <w:lang w:val="lv-LV"/>
        </w:rPr>
        <w:t xml:space="preserve"> ne ātrāk kā 2012.gada  sākumā. </w:t>
      </w:r>
      <w:r>
        <w:rPr>
          <w:rFonts w:ascii="Times New Roman" w:hAnsi="Times New Roman" w:cs="Times New Roman"/>
          <w:sz w:val="24"/>
          <w:szCs w:val="24"/>
          <w:lang w:val="lv-LV"/>
        </w:rPr>
        <w:t xml:space="preserve">Neskatoties uz </w:t>
      </w:r>
      <w:r w:rsidRPr="003D7F19">
        <w:rPr>
          <w:rFonts w:ascii="Times New Roman" w:hAnsi="Times New Roman" w:cs="Times New Roman"/>
          <w:sz w:val="24"/>
          <w:szCs w:val="24"/>
          <w:lang w:val="lv-LV"/>
        </w:rPr>
        <w:t>plānot</w:t>
      </w:r>
      <w:r>
        <w:rPr>
          <w:rFonts w:ascii="Times New Roman" w:hAnsi="Times New Roman" w:cs="Times New Roman"/>
          <w:sz w:val="24"/>
          <w:szCs w:val="24"/>
          <w:lang w:val="lv-LV"/>
        </w:rPr>
        <w:t>o</w:t>
      </w:r>
      <w:r w:rsidRPr="003D7F19">
        <w:rPr>
          <w:rFonts w:ascii="Times New Roman" w:hAnsi="Times New Roman" w:cs="Times New Roman"/>
          <w:sz w:val="24"/>
          <w:szCs w:val="24"/>
          <w:lang w:val="lv-LV"/>
        </w:rPr>
        <w:t xml:space="preserve"> finansējum</w:t>
      </w:r>
      <w:r>
        <w:rPr>
          <w:rFonts w:ascii="Times New Roman" w:hAnsi="Times New Roman" w:cs="Times New Roman"/>
          <w:sz w:val="24"/>
          <w:szCs w:val="24"/>
          <w:lang w:val="lv-LV"/>
        </w:rPr>
        <w:t>u</w:t>
      </w:r>
      <w:r w:rsidRPr="003D7F19">
        <w:rPr>
          <w:rFonts w:ascii="Times New Roman" w:hAnsi="Times New Roman" w:cs="Times New Roman"/>
          <w:sz w:val="24"/>
          <w:szCs w:val="24"/>
          <w:lang w:val="lv-LV"/>
        </w:rPr>
        <w:t xml:space="preserve"> 201</w:t>
      </w:r>
      <w:r>
        <w:rPr>
          <w:rFonts w:ascii="Times New Roman" w:hAnsi="Times New Roman" w:cs="Times New Roman"/>
          <w:sz w:val="24"/>
          <w:szCs w:val="24"/>
          <w:lang w:val="lv-LV"/>
        </w:rPr>
        <w:t>1</w:t>
      </w:r>
      <w:r w:rsidRPr="003D7F19">
        <w:rPr>
          <w:rFonts w:ascii="Times New Roman" w:hAnsi="Times New Roman" w:cs="Times New Roman"/>
          <w:sz w:val="24"/>
          <w:szCs w:val="24"/>
          <w:lang w:val="lv-LV"/>
        </w:rPr>
        <w:t xml:space="preserve">.gadam kompensējamo medikamentu apmaksāšanai </w:t>
      </w:r>
      <w:r>
        <w:rPr>
          <w:rFonts w:ascii="Times New Roman" w:hAnsi="Times New Roman" w:cs="Times New Roman"/>
          <w:sz w:val="24"/>
          <w:szCs w:val="24"/>
          <w:lang w:val="lv-LV"/>
        </w:rPr>
        <w:t xml:space="preserve">- 76 256 670 latu apmērā, reāli apmaksai varēs izlietot tikai 74 256 670 latus. </w:t>
      </w:r>
    </w:p>
    <w:p w:rsidR="00D140CA" w:rsidRPr="003D7F19" w:rsidRDefault="00D140CA" w:rsidP="00D140CA">
      <w:pPr>
        <w:pStyle w:val="NormalWeb"/>
        <w:snapToGrid w:val="0"/>
        <w:spacing w:before="0" w:after="0"/>
        <w:ind w:firstLine="709"/>
        <w:jc w:val="both"/>
      </w:pPr>
      <w:r w:rsidRPr="003D7F19">
        <w:t xml:space="preserve">Faktiskie izdevumi par 2011.gada 7 mēnešiem ir Ls 44 254 502. Ņemot vērā faktisko izpildi </w:t>
      </w:r>
      <w:r w:rsidR="00346DE7" w:rsidRPr="003D7F19">
        <w:t xml:space="preserve">par 2011.gada 7 mēnešiem </w:t>
      </w:r>
      <w:r w:rsidRPr="003D7F19">
        <w:t xml:space="preserve">un plānojamo pacientu skaita pieaugumu C sarakstā iekļauto zāļu un medicīnisko ierīču iegādes izdevumu kompensācijai, tiek prognozēta </w:t>
      </w:r>
      <w:r w:rsidR="00346DE7">
        <w:t>2011.</w:t>
      </w:r>
      <w:r w:rsidRPr="003D7F19">
        <w:t>gada izpilde 76 562 915 lati, tādējādi veidojas līdzekļu deficīts </w:t>
      </w:r>
      <w:r w:rsidRPr="00CC0B21">
        <w:rPr>
          <w:b/>
          <w:u w:val="single"/>
        </w:rPr>
        <w:t>2 306 245 lati</w:t>
      </w:r>
      <w:r w:rsidRPr="003D7F19">
        <w:t xml:space="preserve"> = (74 256 670 lati - 76 562 915 lati).</w:t>
      </w:r>
    </w:p>
    <w:p w:rsidR="009339B1" w:rsidRPr="00F55FB8" w:rsidRDefault="009339B1" w:rsidP="003D7F19">
      <w:pPr>
        <w:pStyle w:val="NormalWeb"/>
        <w:snapToGrid w:val="0"/>
        <w:spacing w:before="120" w:after="0"/>
        <w:jc w:val="both"/>
      </w:pPr>
    </w:p>
    <w:p w:rsidR="006509CC" w:rsidRPr="006509CC" w:rsidRDefault="006509CC" w:rsidP="006509CC">
      <w:pPr>
        <w:pStyle w:val="NormalWeb"/>
        <w:numPr>
          <w:ilvl w:val="0"/>
          <w:numId w:val="3"/>
        </w:numPr>
        <w:snapToGrid w:val="0"/>
        <w:spacing w:before="120" w:after="0"/>
        <w:jc w:val="both"/>
        <w:rPr>
          <w:b/>
        </w:rPr>
      </w:pPr>
      <w:r w:rsidRPr="006509CC">
        <w:rPr>
          <w:b/>
        </w:rPr>
        <w:lastRenderedPageBreak/>
        <w:t xml:space="preserve">Bērnu vakcinācijas un </w:t>
      </w:r>
      <w:proofErr w:type="spellStart"/>
      <w:r w:rsidRPr="006509CC">
        <w:rPr>
          <w:b/>
        </w:rPr>
        <w:t>peritoneālās</w:t>
      </w:r>
      <w:proofErr w:type="spellEnd"/>
      <w:r w:rsidRPr="006509CC">
        <w:rPr>
          <w:b/>
        </w:rPr>
        <w:t xml:space="preserve"> dialīzes līdzekļu izdevumu apmaksāšana</w:t>
      </w:r>
    </w:p>
    <w:p w:rsidR="00D140CA" w:rsidRDefault="00D140CA" w:rsidP="00804672">
      <w:pPr>
        <w:spacing w:after="0" w:line="240" w:lineRule="auto"/>
        <w:ind w:firstLine="720"/>
        <w:jc w:val="both"/>
        <w:rPr>
          <w:rFonts w:ascii="Times New Roman" w:hAnsi="Times New Roman" w:cs="Times New Roman"/>
          <w:sz w:val="24"/>
          <w:szCs w:val="24"/>
          <w:lang w:val="lv-LV"/>
        </w:rPr>
      </w:pPr>
    </w:p>
    <w:p w:rsidR="005A6067" w:rsidRPr="006509CC" w:rsidRDefault="008364A8" w:rsidP="00804672">
      <w:pPr>
        <w:spacing w:after="0" w:line="240" w:lineRule="auto"/>
        <w:ind w:firstLine="720"/>
        <w:jc w:val="both"/>
        <w:rPr>
          <w:rFonts w:ascii="Times New Roman" w:hAnsi="Times New Roman" w:cs="Times New Roman"/>
          <w:sz w:val="24"/>
          <w:szCs w:val="24"/>
          <w:lang w:val="lv-LV"/>
        </w:rPr>
      </w:pPr>
      <w:r w:rsidRPr="00B815FA">
        <w:rPr>
          <w:rFonts w:ascii="Times New Roman" w:hAnsi="Times New Roman" w:cs="Times New Roman"/>
          <w:sz w:val="24"/>
          <w:szCs w:val="24"/>
          <w:lang w:val="lv-LV"/>
        </w:rPr>
        <w:t xml:space="preserve">Atbilstoši likumam „Par valsts budžetu 2011.gadam” ar 2011.gada 29.aprīlī izsludinātajiem grozījumiem valsts budžeta programmas 33.00.00 „Veselības aprūpes nodrošināšana” apakšprogrammā </w:t>
      </w:r>
      <w:r w:rsidR="000727C6" w:rsidRPr="00B815FA">
        <w:rPr>
          <w:rFonts w:ascii="Times New Roman" w:hAnsi="Times New Roman" w:cs="Times New Roman"/>
          <w:sz w:val="24"/>
          <w:szCs w:val="24"/>
          <w:lang w:val="lv-LV"/>
        </w:rPr>
        <w:t>33.04.00 „Centralizēta medikamentu un materiālu iegāde”</w:t>
      </w:r>
      <w:r w:rsidRPr="00B815FA">
        <w:rPr>
          <w:rFonts w:ascii="Times New Roman" w:hAnsi="Times New Roman" w:cs="Times New Roman"/>
          <w:sz w:val="24"/>
          <w:szCs w:val="24"/>
          <w:lang w:val="lv-LV"/>
        </w:rPr>
        <w:t xml:space="preserve"> resursi izdevumu segšanai 6 384 656 lati, tai skaitā dotācija no vispārējiem ieņēmumiem 6 379 656 lati un ieņēmumi no maksas pakalpojumiem un citi pašu ieņēmumi 5 000 lati</w:t>
      </w:r>
      <w:r w:rsidR="00B815FA" w:rsidRPr="00B815FA">
        <w:rPr>
          <w:rFonts w:ascii="Times New Roman" w:hAnsi="Times New Roman" w:cs="Times New Roman"/>
          <w:sz w:val="24"/>
          <w:szCs w:val="24"/>
          <w:lang w:val="lv-LV"/>
        </w:rPr>
        <w:t>.</w:t>
      </w:r>
      <w:r w:rsidRPr="00B815FA">
        <w:rPr>
          <w:rFonts w:ascii="Times New Roman" w:hAnsi="Times New Roman" w:cs="Times New Roman"/>
          <w:sz w:val="24"/>
          <w:szCs w:val="24"/>
          <w:lang w:val="lv-LV"/>
        </w:rPr>
        <w:t xml:space="preserve"> </w:t>
      </w:r>
      <w:r w:rsidR="005A6067">
        <w:rPr>
          <w:rFonts w:ascii="Times New Roman" w:hAnsi="Times New Roman" w:cs="Times New Roman"/>
          <w:sz w:val="24"/>
          <w:szCs w:val="24"/>
          <w:lang w:val="lv-LV"/>
        </w:rPr>
        <w:t>Izdevumi 6 385 360 lati, ņemot vērā m</w:t>
      </w:r>
      <w:r w:rsidR="005A6067" w:rsidRPr="005A6067">
        <w:rPr>
          <w:rFonts w:ascii="Times New Roman" w:hAnsi="Times New Roman" w:cs="Times New Roman"/>
          <w:sz w:val="24"/>
          <w:szCs w:val="24"/>
          <w:lang w:val="lv-LV"/>
        </w:rPr>
        <w:t>aksas pakalp</w:t>
      </w:r>
      <w:r w:rsidR="005A6067">
        <w:rPr>
          <w:rFonts w:ascii="Times New Roman" w:hAnsi="Times New Roman" w:cs="Times New Roman"/>
          <w:sz w:val="24"/>
          <w:szCs w:val="24"/>
          <w:lang w:val="lv-LV"/>
        </w:rPr>
        <w:t>ojumu un citu</w:t>
      </w:r>
      <w:r w:rsidR="005A6067" w:rsidRPr="005A6067">
        <w:rPr>
          <w:rFonts w:ascii="Times New Roman" w:hAnsi="Times New Roman" w:cs="Times New Roman"/>
          <w:sz w:val="24"/>
          <w:szCs w:val="24"/>
          <w:lang w:val="lv-LV"/>
        </w:rPr>
        <w:t xml:space="preserve"> pašu </w:t>
      </w:r>
      <w:r w:rsidR="005A6067" w:rsidRPr="006509CC">
        <w:rPr>
          <w:rFonts w:ascii="Times New Roman" w:hAnsi="Times New Roman" w:cs="Times New Roman"/>
          <w:sz w:val="24"/>
          <w:szCs w:val="24"/>
          <w:lang w:val="lv-LV"/>
        </w:rPr>
        <w:t>ieņēmumu naudas līdzekļu atlikumu 704 lati.</w:t>
      </w:r>
    </w:p>
    <w:p w:rsidR="004A4B82" w:rsidRPr="006509CC" w:rsidRDefault="006509CC" w:rsidP="006509CC">
      <w:pPr>
        <w:spacing w:after="0" w:line="240" w:lineRule="auto"/>
        <w:ind w:firstLine="720"/>
        <w:jc w:val="both"/>
        <w:rPr>
          <w:rFonts w:ascii="Times New Roman" w:hAnsi="Times New Roman"/>
          <w:sz w:val="24"/>
          <w:szCs w:val="24"/>
          <w:lang w:val="lv-LV"/>
        </w:rPr>
      </w:pPr>
      <w:r w:rsidRPr="006509CC">
        <w:rPr>
          <w:rFonts w:ascii="Times New Roman" w:hAnsi="Times New Roman"/>
          <w:sz w:val="24"/>
          <w:szCs w:val="24"/>
          <w:lang w:val="lv-LV"/>
        </w:rPr>
        <w:t>2011.gada budžetā plānotais finansējums ir par 445 274 latiem mazāks nekā 2010.gadā, ņemot vērā vakcinācijas reālo aptveri (t.sk., vecāku atteikumus veikt bērnu vakcināciju).</w:t>
      </w:r>
    </w:p>
    <w:p w:rsidR="00251E65" w:rsidRPr="00B815FA" w:rsidRDefault="00251E65" w:rsidP="00251E6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Piešķirtais finansējums tiek izlietots, lai</w:t>
      </w:r>
      <w:r w:rsidRPr="00B815F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samazinātu </w:t>
      </w:r>
      <w:r w:rsidRPr="00B815FA">
        <w:rPr>
          <w:rFonts w:ascii="Times New Roman" w:hAnsi="Times New Roman" w:cs="Times New Roman"/>
          <w:sz w:val="24"/>
          <w:szCs w:val="24"/>
          <w:lang w:val="lv-LV"/>
        </w:rPr>
        <w:t xml:space="preserve">iedzīvotāju saslimstību ar </w:t>
      </w:r>
      <w:proofErr w:type="spellStart"/>
      <w:r w:rsidRPr="00B815FA">
        <w:rPr>
          <w:rFonts w:ascii="Times New Roman" w:hAnsi="Times New Roman" w:cs="Times New Roman"/>
          <w:sz w:val="24"/>
          <w:szCs w:val="24"/>
          <w:lang w:val="lv-LV"/>
        </w:rPr>
        <w:t>vakcīnregulējamām</w:t>
      </w:r>
      <w:proofErr w:type="spellEnd"/>
      <w:r w:rsidRPr="00B815FA">
        <w:rPr>
          <w:rFonts w:ascii="Times New Roman" w:hAnsi="Times New Roman" w:cs="Times New Roman"/>
          <w:sz w:val="24"/>
          <w:szCs w:val="24"/>
          <w:lang w:val="lv-LV"/>
        </w:rPr>
        <w:t xml:space="preserve"> infekcijas slimībām, veicot mērķtiecīgu un plānveida vakcināciju pret difteriju, epidēmisko parotītu, garo klepu, B hepatītu, b tipa </w:t>
      </w:r>
      <w:proofErr w:type="spellStart"/>
      <w:r w:rsidRPr="00B815FA">
        <w:rPr>
          <w:rFonts w:ascii="Times New Roman" w:hAnsi="Times New Roman" w:cs="Times New Roman"/>
          <w:i/>
          <w:iCs/>
          <w:sz w:val="24"/>
          <w:szCs w:val="24"/>
          <w:lang w:val="lv-LV"/>
        </w:rPr>
        <w:t>Haemophilus</w:t>
      </w:r>
      <w:proofErr w:type="spellEnd"/>
      <w:r w:rsidRPr="00B815FA">
        <w:rPr>
          <w:rFonts w:ascii="Times New Roman" w:hAnsi="Times New Roman" w:cs="Times New Roman"/>
          <w:i/>
          <w:iCs/>
          <w:sz w:val="24"/>
          <w:szCs w:val="24"/>
          <w:lang w:val="lv-LV"/>
        </w:rPr>
        <w:t xml:space="preserve"> </w:t>
      </w:r>
      <w:proofErr w:type="spellStart"/>
      <w:r w:rsidRPr="00B815FA">
        <w:rPr>
          <w:rFonts w:ascii="Times New Roman" w:hAnsi="Times New Roman" w:cs="Times New Roman"/>
          <w:i/>
          <w:iCs/>
          <w:sz w:val="24"/>
          <w:szCs w:val="24"/>
          <w:lang w:val="lv-LV"/>
        </w:rPr>
        <w:t>influenzae</w:t>
      </w:r>
      <w:proofErr w:type="spellEnd"/>
      <w:r w:rsidRPr="00B815FA">
        <w:rPr>
          <w:rFonts w:ascii="Times New Roman" w:hAnsi="Times New Roman" w:cs="Times New Roman"/>
          <w:i/>
          <w:iCs/>
          <w:sz w:val="24"/>
          <w:szCs w:val="24"/>
          <w:lang w:val="lv-LV"/>
        </w:rPr>
        <w:t xml:space="preserve"> </w:t>
      </w:r>
      <w:r w:rsidRPr="00B815FA">
        <w:rPr>
          <w:rFonts w:ascii="Times New Roman" w:hAnsi="Times New Roman" w:cs="Times New Roman"/>
          <w:sz w:val="24"/>
          <w:szCs w:val="24"/>
          <w:lang w:val="lv-LV"/>
        </w:rPr>
        <w:t>infekciju, masalām, masaliņām, poliomielītu, stinguma krampjiem, tuberkulozi, vējbakām, gripu (personām augsta riska grupās) un ērču encefalītu bērniem augsti endēmiskajās ērču encefalīta teritorijās ar drošām un augsti efektīvām vakcīnām</w:t>
      </w:r>
      <w:r>
        <w:rPr>
          <w:rFonts w:ascii="Times New Roman" w:hAnsi="Times New Roman" w:cs="Times New Roman"/>
          <w:sz w:val="24"/>
          <w:szCs w:val="24"/>
          <w:lang w:val="lv-LV"/>
        </w:rPr>
        <w:t xml:space="preserve">, </w:t>
      </w:r>
      <w:r w:rsidRPr="00B815FA">
        <w:rPr>
          <w:rFonts w:ascii="Times New Roman" w:hAnsi="Times New Roman" w:cs="Times New Roman"/>
          <w:sz w:val="24"/>
          <w:szCs w:val="24"/>
          <w:lang w:val="lv-LV"/>
        </w:rPr>
        <w:t>nodrošināt</w:t>
      </w:r>
      <w:r>
        <w:rPr>
          <w:rFonts w:ascii="Times New Roman" w:hAnsi="Times New Roman" w:cs="Times New Roman"/>
          <w:sz w:val="24"/>
          <w:szCs w:val="24"/>
          <w:lang w:val="lv-LV"/>
        </w:rPr>
        <w:t>u</w:t>
      </w:r>
      <w:r w:rsidRPr="00B815FA">
        <w:rPr>
          <w:rFonts w:ascii="Times New Roman" w:hAnsi="Times New Roman" w:cs="Times New Roman"/>
          <w:sz w:val="24"/>
          <w:szCs w:val="24"/>
          <w:lang w:val="lv-LV"/>
        </w:rPr>
        <w:t xml:space="preserve"> </w:t>
      </w:r>
      <w:proofErr w:type="spellStart"/>
      <w:r w:rsidRPr="00B815FA">
        <w:rPr>
          <w:rFonts w:ascii="Times New Roman" w:hAnsi="Times New Roman" w:cs="Times New Roman"/>
          <w:sz w:val="24"/>
          <w:szCs w:val="24"/>
          <w:lang w:val="lv-LV"/>
        </w:rPr>
        <w:t>peritoneālās</w:t>
      </w:r>
      <w:proofErr w:type="spellEnd"/>
      <w:r w:rsidRPr="00B815FA">
        <w:rPr>
          <w:rFonts w:ascii="Times New Roman" w:hAnsi="Times New Roman" w:cs="Times New Roman"/>
          <w:sz w:val="24"/>
          <w:szCs w:val="24"/>
          <w:lang w:val="lv-LV"/>
        </w:rPr>
        <w:t xml:space="preserve"> dialīzes nodrošinājuma ārstniecības līdzekļu, </w:t>
      </w:r>
      <w:proofErr w:type="spellStart"/>
      <w:r w:rsidRPr="00B815FA">
        <w:rPr>
          <w:rFonts w:ascii="Times New Roman" w:hAnsi="Times New Roman" w:cs="Times New Roman"/>
          <w:sz w:val="24"/>
          <w:szCs w:val="24"/>
          <w:lang w:val="lv-LV"/>
        </w:rPr>
        <w:t>fenilketonūrijas</w:t>
      </w:r>
      <w:proofErr w:type="spellEnd"/>
      <w:r w:rsidRPr="00B815FA">
        <w:rPr>
          <w:rFonts w:ascii="Times New Roman" w:hAnsi="Times New Roman" w:cs="Times New Roman"/>
          <w:sz w:val="24"/>
          <w:szCs w:val="24"/>
          <w:lang w:val="lv-LV"/>
        </w:rPr>
        <w:t xml:space="preserve"> korekcijas preparātu un ārstnieciskā uztura produktu centralizētu iepirkumu.</w:t>
      </w:r>
    </w:p>
    <w:p w:rsidR="00251E65" w:rsidRPr="00251E65" w:rsidRDefault="00251E65" w:rsidP="00251E65">
      <w:pPr>
        <w:pStyle w:val="NormalWeb"/>
        <w:snapToGrid w:val="0"/>
        <w:spacing w:before="0" w:after="0"/>
        <w:ind w:firstLine="720"/>
        <w:jc w:val="both"/>
      </w:pPr>
      <w:r w:rsidRPr="00787DDB">
        <w:t xml:space="preserve">Salīdzinājumā ar 2010.gada </w:t>
      </w:r>
      <w:r>
        <w:t>pirmo</w:t>
      </w:r>
      <w:r w:rsidRPr="00787DDB">
        <w:t xml:space="preserve"> pusgadu, </w:t>
      </w:r>
      <w:r>
        <w:t xml:space="preserve">2011.gadā </w:t>
      </w:r>
      <w:r w:rsidRPr="00787DDB">
        <w:t xml:space="preserve">ievērojami (par 33,8%) uzlabojās imunizācijas aptvere pret pneimokoku infekciju 2 mēnešu vecumā un aptvere ar otro </w:t>
      </w:r>
      <w:proofErr w:type="spellStart"/>
      <w:r w:rsidRPr="00787DDB">
        <w:t>balstvakcināciju</w:t>
      </w:r>
      <w:proofErr w:type="spellEnd"/>
      <w:r w:rsidRPr="00787DDB">
        <w:t xml:space="preserve"> pret garo klepu bērniem 7 gadu vecumā (par 18,6%). Būtiskas pozitīvas izmaiņas (vairāk kā +5%), salīdzinājumā ar 2010.gada </w:t>
      </w:r>
      <w:r>
        <w:t>pirmo</w:t>
      </w:r>
      <w:r w:rsidRPr="00787DDB">
        <w:t xml:space="preserve"> pusgadu, konstatētas arī attiecībā uz bērnu pirmo </w:t>
      </w:r>
      <w:proofErr w:type="spellStart"/>
      <w:r w:rsidRPr="00787DDB">
        <w:t>balstvakcināciju</w:t>
      </w:r>
      <w:proofErr w:type="spellEnd"/>
      <w:r w:rsidRPr="00787DDB">
        <w:t xml:space="preserve"> pret difteriju, stingumkrampjiem, garo klepu un poliomielītu.</w:t>
      </w:r>
      <w:r w:rsidRPr="00960C6E">
        <w:t xml:space="preserve"> </w:t>
      </w:r>
      <w:r w:rsidRPr="00251E65">
        <w:t>Deficīta pieaugumu ietekmējis, galvenokārt,  vakcīnu pasūtītā apjoma pieaugums. Aptvere pieaugusi arī tādēļ, ka bērniem ar medicīniskām indikācijām vai blakņu risku ir radīta iespēja saņemt pirmo poti dienas stacionāra apstākļos, bērnam pēc vakcinācijas atrodoties ārstu uzraudzībā, tādejādi novēršot pēc vakcinācijas komplikāciju risku. Arī tiem bērniem, kuru vecāki 2010. gadā atteicās no vakcinācijas, 2011. gadā griežoties pie ģimenes ārsta ir tiesības saņemt  vakcinācijas kalendārā  paredzētās potes. Ar vien vairāk  ģimenes ārstu praksēs tiek nodarbinātas "otrās māsas" kas strādā ar pacientu riska grupām (</w:t>
      </w:r>
      <w:proofErr w:type="spellStart"/>
      <w:r w:rsidRPr="00251E65">
        <w:t>t.sk.,jaundzimušajiem</w:t>
      </w:r>
      <w:proofErr w:type="spellEnd"/>
      <w:r w:rsidRPr="00251E65">
        <w:t>), praksēs uzlabojas izskaidrojošais darbs arī ar jaundzimušo bērnu vecākiem un secīgi samazinās to vecāku skaits, kas atsakās no vakcinācijas.</w:t>
      </w:r>
    </w:p>
    <w:p w:rsidR="00251E65" w:rsidRDefault="00251E65" w:rsidP="00251E65">
      <w:pPr>
        <w:pStyle w:val="NormalWeb"/>
        <w:snapToGrid w:val="0"/>
        <w:spacing w:before="0" w:after="0"/>
        <w:ind w:firstLine="720"/>
        <w:jc w:val="both"/>
      </w:pPr>
      <w:r w:rsidRPr="002F133D">
        <w:t>Pamatojoties uz vakcīnu piegāžu līgumu izpildi pusgadā, prognožu aprēķini norāda, ka finanšu līdzekļi vakcīnu piegādēm nepietiks gada pēdējiem 2,</w:t>
      </w:r>
      <w:r>
        <w:t>4 mēnešiem (līdzekļu deficīts 907 378 lati).</w:t>
      </w:r>
      <w:r w:rsidRPr="002F133D">
        <w:t xml:space="preserve"> </w:t>
      </w:r>
    </w:p>
    <w:p w:rsidR="00251E65" w:rsidRDefault="00251E65" w:rsidP="00251E65">
      <w:pPr>
        <w:pStyle w:val="NormalWeb"/>
        <w:snapToGrid w:val="0"/>
        <w:spacing w:before="0" w:after="0"/>
        <w:ind w:firstLine="720"/>
        <w:jc w:val="both"/>
      </w:pPr>
      <w:r w:rsidRPr="000727C6">
        <w:t xml:space="preserve"> </w:t>
      </w:r>
      <w:proofErr w:type="spellStart"/>
      <w:r>
        <w:t>Peritoneālās</w:t>
      </w:r>
      <w:proofErr w:type="spellEnd"/>
      <w:r>
        <w:t xml:space="preserve"> dialīzes (nieru </w:t>
      </w:r>
      <w:proofErr w:type="spellStart"/>
      <w:r>
        <w:t>aizstājējterapija</w:t>
      </w:r>
      <w:proofErr w:type="spellEnd"/>
      <w:r>
        <w:t xml:space="preserve">) programma tiek realizēta vidēji mēnesī 99-102 pacientiem. Uzsākot pacientam šo ārstēšanas programmu </w:t>
      </w:r>
      <w:proofErr w:type="spellStart"/>
      <w:r>
        <w:t>peritoneālās</w:t>
      </w:r>
      <w:proofErr w:type="spellEnd"/>
      <w:r>
        <w:t xml:space="preserve"> dialīzes procedūru ir nepieciešams veikt katru dienu. Uzsākto nieru </w:t>
      </w:r>
      <w:proofErr w:type="spellStart"/>
      <w:r>
        <w:t>aizstājējterapiju</w:t>
      </w:r>
      <w:proofErr w:type="spellEnd"/>
      <w:r>
        <w:t xml:space="preserve"> nedrīkst pārtraukt, jo tā pacientiem  ir vitāli svarīga dzīvību uzturoša ārstēšana. </w:t>
      </w:r>
    </w:p>
    <w:p w:rsidR="00251E65" w:rsidRDefault="00251E65" w:rsidP="00251E65">
      <w:pPr>
        <w:pStyle w:val="NormalWeb"/>
        <w:snapToGrid w:val="0"/>
        <w:spacing w:before="0" w:after="0"/>
        <w:ind w:firstLine="720"/>
        <w:jc w:val="both"/>
      </w:pPr>
      <w:r>
        <w:t xml:space="preserve">Ņemot vērā </w:t>
      </w:r>
      <w:proofErr w:type="spellStart"/>
      <w:r>
        <w:t>peritoneālās</w:t>
      </w:r>
      <w:proofErr w:type="spellEnd"/>
      <w:r>
        <w:t xml:space="preserve"> dialīzes ārstniecības līdzekļu piegāžu līgumu pusgada izpildi, tiek prognozēts, ka </w:t>
      </w:r>
      <w:proofErr w:type="spellStart"/>
      <w:r>
        <w:t>peritoneālās</w:t>
      </w:r>
      <w:proofErr w:type="spellEnd"/>
      <w:r>
        <w:t xml:space="preserve"> dialīzes ārstniecības līdzekļu apmaksai pietrūkst finanšu līdzekļi vairāk nekā viena mēneša piegādēm (līdzekļu deficīts 146 285 lati).</w:t>
      </w:r>
    </w:p>
    <w:p w:rsidR="00251E65" w:rsidRDefault="00251E65" w:rsidP="00251E65">
      <w:pPr>
        <w:pStyle w:val="NormalWeb"/>
        <w:snapToGrid w:val="0"/>
        <w:spacing w:before="0" w:after="0"/>
        <w:ind w:firstLine="720"/>
        <w:jc w:val="both"/>
      </w:pPr>
      <w:r>
        <w:t xml:space="preserve">Analizējot 2011.gada plānotās līgumu summas un faktisko izpildi 2011.gada 6 mēnešos, un prognozējot līdzekļu izpildi 2011.gada otrajam pusgadam, veidojas līdzekļu deficīts </w:t>
      </w:r>
      <w:r w:rsidRPr="004C1827">
        <w:t xml:space="preserve">vakcīnu  un </w:t>
      </w:r>
      <w:proofErr w:type="spellStart"/>
      <w:r w:rsidRPr="004C1827">
        <w:t>peritoneālās</w:t>
      </w:r>
      <w:proofErr w:type="spellEnd"/>
      <w:r w:rsidRPr="004C1827">
        <w:t xml:space="preserve"> dialīzes ārstniecības līdzekļu iegāde</w:t>
      </w:r>
      <w:r>
        <w:t>s kompensācijai</w:t>
      </w:r>
      <w:r>
        <w:rPr>
          <w:sz w:val="20"/>
          <w:szCs w:val="20"/>
        </w:rPr>
        <w:t xml:space="preserve"> </w:t>
      </w:r>
      <w:r w:rsidRPr="005A6067">
        <w:rPr>
          <w:b/>
          <w:u w:val="single"/>
        </w:rPr>
        <w:t>1 053 663 lati</w:t>
      </w:r>
      <w:r>
        <w:t xml:space="preserve"> jeb par 15,5% pārsniegts gada plāns (7.tabula):</w:t>
      </w:r>
    </w:p>
    <w:p w:rsidR="009339B1" w:rsidRDefault="009339B1" w:rsidP="00026C15">
      <w:pPr>
        <w:pStyle w:val="NormalWeb"/>
        <w:spacing w:before="120" w:after="120"/>
        <w:ind w:left="318"/>
        <w:jc w:val="right"/>
      </w:pPr>
    </w:p>
    <w:p w:rsidR="009339B1" w:rsidRDefault="009339B1" w:rsidP="00026C15">
      <w:pPr>
        <w:pStyle w:val="NormalWeb"/>
        <w:spacing w:before="120" w:after="120"/>
        <w:ind w:left="318"/>
        <w:jc w:val="right"/>
      </w:pPr>
    </w:p>
    <w:p w:rsidR="00026C15" w:rsidRPr="002C6E8B" w:rsidRDefault="006509CC" w:rsidP="00026C15">
      <w:pPr>
        <w:pStyle w:val="NormalWeb"/>
        <w:spacing w:before="120" w:after="120"/>
        <w:ind w:left="318"/>
        <w:jc w:val="right"/>
      </w:pPr>
      <w:r>
        <w:t>6</w:t>
      </w:r>
      <w:r w:rsidR="00026C15" w:rsidRPr="002C6E8B">
        <w:t>.tabula</w:t>
      </w:r>
    </w:p>
    <w:p w:rsidR="00251E65" w:rsidRDefault="00026C15" w:rsidP="00251E65">
      <w:pPr>
        <w:pStyle w:val="NormalWeb"/>
        <w:spacing w:before="0" w:after="0"/>
        <w:ind w:left="318"/>
        <w:jc w:val="center"/>
        <w:rPr>
          <w:b/>
        </w:rPr>
      </w:pPr>
      <w:r>
        <w:rPr>
          <w:b/>
        </w:rPr>
        <w:lastRenderedPageBreak/>
        <w:t>Centralizēt</w:t>
      </w:r>
      <w:r w:rsidR="00251E65">
        <w:rPr>
          <w:b/>
        </w:rPr>
        <w:t xml:space="preserve">i iepērkamo vakcīnu un </w:t>
      </w:r>
      <w:r>
        <w:rPr>
          <w:b/>
        </w:rPr>
        <w:t xml:space="preserve"> </w:t>
      </w:r>
      <w:proofErr w:type="spellStart"/>
      <w:r w:rsidR="00251E65" w:rsidRPr="00251E65">
        <w:rPr>
          <w:b/>
        </w:rPr>
        <w:t>peritoneālā</w:t>
      </w:r>
      <w:r w:rsidR="00251E65">
        <w:rPr>
          <w:b/>
        </w:rPr>
        <w:t>s</w:t>
      </w:r>
      <w:proofErr w:type="spellEnd"/>
      <w:r w:rsidR="00251E65">
        <w:rPr>
          <w:b/>
        </w:rPr>
        <w:t xml:space="preserve"> dialīzes ārstniecības līdzekļu</w:t>
      </w:r>
    </w:p>
    <w:p w:rsidR="00026C15" w:rsidRDefault="00251E65" w:rsidP="00251E65">
      <w:pPr>
        <w:pStyle w:val="NormalWeb"/>
        <w:spacing w:before="0" w:after="0"/>
        <w:ind w:left="318"/>
        <w:jc w:val="center"/>
        <w:rPr>
          <w:b/>
        </w:rPr>
      </w:pPr>
      <w:r>
        <w:rPr>
          <w:b/>
        </w:rPr>
        <w:t>izpilde 2011.gada 6 mēnešos</w:t>
      </w:r>
    </w:p>
    <w:p w:rsidR="00251E65" w:rsidRPr="005C52D8" w:rsidRDefault="00251E65" w:rsidP="00251E65">
      <w:pPr>
        <w:pStyle w:val="NormalWeb"/>
        <w:spacing w:before="0" w:after="0"/>
        <w:ind w:left="318"/>
        <w:jc w:val="center"/>
        <w:rPr>
          <w:b/>
        </w:rPr>
      </w:pPr>
    </w:p>
    <w:tbl>
      <w:tblPr>
        <w:tblW w:w="998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134"/>
        <w:gridCol w:w="1275"/>
        <w:gridCol w:w="998"/>
        <w:gridCol w:w="1275"/>
        <w:gridCol w:w="1134"/>
        <w:gridCol w:w="1471"/>
      </w:tblGrid>
      <w:tr w:rsidR="00804672" w:rsidRPr="005A6067" w:rsidTr="006509CC">
        <w:trPr>
          <w:trHeight w:val="582"/>
          <w:jc w:val="center"/>
        </w:trPr>
        <w:tc>
          <w:tcPr>
            <w:tcW w:w="2699"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Rādītāji</w:t>
            </w:r>
          </w:p>
        </w:tc>
        <w:tc>
          <w:tcPr>
            <w:tcW w:w="1134"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Līgumu summa (bāze), Ls</w:t>
            </w:r>
          </w:p>
        </w:tc>
        <w:tc>
          <w:tcPr>
            <w:tcW w:w="2268" w:type="dxa"/>
            <w:gridSpan w:val="2"/>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Faktiskā 6 mēnešu izpilde</w:t>
            </w:r>
          </w:p>
        </w:tc>
        <w:tc>
          <w:tcPr>
            <w:tcW w:w="2409" w:type="dxa"/>
            <w:gridSpan w:val="2"/>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Izpildes prognoze 2011.gadam</w:t>
            </w:r>
          </w:p>
        </w:tc>
        <w:tc>
          <w:tcPr>
            <w:tcW w:w="1471" w:type="dxa"/>
            <w:vMerge w:val="restart"/>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Deficīts, Ls</w:t>
            </w:r>
          </w:p>
        </w:tc>
      </w:tr>
      <w:tr w:rsidR="00804672" w:rsidRPr="005A6067" w:rsidTr="006509CC">
        <w:trPr>
          <w:trHeight w:val="1858"/>
          <w:jc w:val="center"/>
        </w:trPr>
        <w:tc>
          <w:tcPr>
            <w:tcW w:w="2699"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c>
          <w:tcPr>
            <w:tcW w:w="1134"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c>
          <w:tcPr>
            <w:tcW w:w="1275"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Summa Ls</w:t>
            </w:r>
          </w:p>
        </w:tc>
        <w:tc>
          <w:tcPr>
            <w:tcW w:w="993"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 no plānotā gadam</w:t>
            </w:r>
          </w:p>
        </w:tc>
        <w:tc>
          <w:tcPr>
            <w:tcW w:w="1275"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Summa Ls</w:t>
            </w:r>
          </w:p>
        </w:tc>
        <w:tc>
          <w:tcPr>
            <w:tcW w:w="1134" w:type="dxa"/>
            <w:shd w:val="clear" w:color="auto" w:fill="auto"/>
            <w:vAlign w:val="center"/>
            <w:hideMark/>
          </w:tcPr>
          <w:p w:rsidR="00026C15" w:rsidRPr="005A6067" w:rsidRDefault="00026C15" w:rsidP="00026C15">
            <w:pPr>
              <w:spacing w:after="0" w:line="240" w:lineRule="auto"/>
              <w:jc w:val="center"/>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2011.gada izpildes prognoze pārsniedz gada plānu, %</w:t>
            </w:r>
          </w:p>
        </w:tc>
        <w:tc>
          <w:tcPr>
            <w:tcW w:w="1471" w:type="dxa"/>
            <w:vMerge/>
            <w:vAlign w:val="center"/>
            <w:hideMark/>
          </w:tcPr>
          <w:p w:rsidR="00026C15" w:rsidRPr="005A6067" w:rsidRDefault="00026C15" w:rsidP="00026C15">
            <w:pPr>
              <w:spacing w:after="0" w:line="240" w:lineRule="auto"/>
              <w:rPr>
                <w:rFonts w:ascii="Times New Roman" w:eastAsia="Times New Roman" w:hAnsi="Times New Roman" w:cs="Times New Roman"/>
                <w:b/>
                <w:bCs/>
                <w:sz w:val="20"/>
                <w:szCs w:val="20"/>
                <w:lang w:val="lv-LV"/>
              </w:rPr>
            </w:pPr>
          </w:p>
        </w:tc>
      </w:tr>
      <w:tr w:rsidR="00804672" w:rsidRPr="005A6067" w:rsidTr="006509CC">
        <w:trPr>
          <w:trHeight w:val="261"/>
          <w:jc w:val="center"/>
        </w:trPr>
        <w:tc>
          <w:tcPr>
            <w:tcW w:w="2699" w:type="dxa"/>
            <w:shd w:val="clear" w:color="auto" w:fill="auto"/>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1</w:t>
            </w:r>
          </w:p>
        </w:tc>
        <w:tc>
          <w:tcPr>
            <w:tcW w:w="1134"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2</w:t>
            </w:r>
          </w:p>
        </w:tc>
        <w:tc>
          <w:tcPr>
            <w:tcW w:w="1275"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3</w:t>
            </w:r>
          </w:p>
        </w:tc>
        <w:tc>
          <w:tcPr>
            <w:tcW w:w="993" w:type="dxa"/>
            <w:shd w:val="clear" w:color="auto" w:fill="auto"/>
            <w:noWrap/>
            <w:vAlign w:val="center"/>
            <w:hideMark/>
          </w:tcPr>
          <w:p w:rsidR="00804672"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4=3/2*100</w:t>
            </w:r>
          </w:p>
        </w:tc>
        <w:tc>
          <w:tcPr>
            <w:tcW w:w="1275"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5</w:t>
            </w:r>
          </w:p>
        </w:tc>
        <w:tc>
          <w:tcPr>
            <w:tcW w:w="1134"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6=5/2*100</w:t>
            </w:r>
          </w:p>
        </w:tc>
        <w:tc>
          <w:tcPr>
            <w:tcW w:w="1471" w:type="dxa"/>
            <w:shd w:val="clear" w:color="auto" w:fill="auto"/>
            <w:noWrap/>
            <w:vAlign w:val="center"/>
            <w:hideMark/>
          </w:tcPr>
          <w:p w:rsidR="00026C15" w:rsidRPr="005A6067" w:rsidRDefault="00804672" w:rsidP="00804672">
            <w:pPr>
              <w:spacing w:after="0" w:line="240" w:lineRule="auto"/>
              <w:jc w:val="center"/>
              <w:rPr>
                <w:rFonts w:ascii="Times New Roman" w:eastAsia="Times New Roman" w:hAnsi="Times New Roman" w:cs="Times New Roman"/>
                <w:bCs/>
                <w:sz w:val="18"/>
                <w:szCs w:val="18"/>
                <w:lang w:val="lv-LV"/>
              </w:rPr>
            </w:pPr>
            <w:r w:rsidRPr="005A6067">
              <w:rPr>
                <w:rFonts w:ascii="Times New Roman" w:eastAsia="Times New Roman" w:hAnsi="Times New Roman" w:cs="Times New Roman"/>
                <w:bCs/>
                <w:sz w:val="18"/>
                <w:szCs w:val="18"/>
                <w:lang w:val="lv-LV"/>
              </w:rPr>
              <w:t>7=2-5</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Vakcīnas, šļirces</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4 570 976</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2 843 914</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62.2%</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5 478 354</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119.9%</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-907 378</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2. Standarta </w:t>
            </w:r>
            <w:proofErr w:type="spellStart"/>
            <w:r w:rsidRPr="005A6067">
              <w:rPr>
                <w:rFonts w:ascii="Times New Roman" w:eastAsia="Times New Roman" w:hAnsi="Times New Roman" w:cs="Times New Roman"/>
                <w:sz w:val="20"/>
                <w:szCs w:val="20"/>
                <w:lang w:val="lv-LV"/>
              </w:rPr>
              <w:t>tuberkulīns</w:t>
            </w:r>
            <w:proofErr w:type="spellEnd"/>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33 869</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13 725</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40.5%</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27 450</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81.0%</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652"/>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3. </w:t>
            </w:r>
            <w:proofErr w:type="spellStart"/>
            <w:r w:rsidRPr="005A6067">
              <w:rPr>
                <w:rFonts w:ascii="Times New Roman" w:eastAsia="Times New Roman" w:hAnsi="Times New Roman" w:cs="Times New Roman"/>
                <w:sz w:val="20"/>
                <w:szCs w:val="20"/>
                <w:lang w:val="lv-LV"/>
              </w:rPr>
              <w:t>Peritoneālās</w:t>
            </w:r>
            <w:proofErr w:type="spellEnd"/>
            <w:r w:rsidRPr="005A6067">
              <w:rPr>
                <w:rFonts w:ascii="Times New Roman" w:eastAsia="Times New Roman" w:hAnsi="Times New Roman" w:cs="Times New Roman"/>
                <w:sz w:val="20"/>
                <w:szCs w:val="20"/>
                <w:lang w:val="lv-LV"/>
              </w:rPr>
              <w:t xml:space="preserve"> dialīzes ārstniecības līdzekļi</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1 475 322</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835 465</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56.6%</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1 621 607</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109.9%</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-146 285</w:t>
            </w:r>
          </w:p>
        </w:tc>
      </w:tr>
      <w:tr w:rsidR="00804672" w:rsidRPr="005A6067" w:rsidTr="006509CC">
        <w:trPr>
          <w:trHeight w:val="874"/>
          <w:jc w:val="center"/>
        </w:trPr>
        <w:tc>
          <w:tcPr>
            <w:tcW w:w="2699" w:type="dxa"/>
            <w:shd w:val="clear" w:color="auto" w:fill="auto"/>
            <w:vAlign w:val="center"/>
            <w:hideMark/>
          </w:tcPr>
          <w:p w:rsidR="00026C15" w:rsidRPr="005A6067" w:rsidRDefault="00026C15" w:rsidP="00026C15">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4. </w:t>
            </w:r>
            <w:proofErr w:type="spellStart"/>
            <w:r w:rsidRPr="005A6067">
              <w:rPr>
                <w:rFonts w:ascii="Times New Roman" w:eastAsia="Times New Roman" w:hAnsi="Times New Roman" w:cs="Times New Roman"/>
                <w:sz w:val="20"/>
                <w:szCs w:val="20"/>
                <w:lang w:val="lv-LV"/>
              </w:rPr>
              <w:t>Fenilketonūrijas</w:t>
            </w:r>
            <w:proofErr w:type="spellEnd"/>
            <w:r w:rsidRPr="005A6067">
              <w:rPr>
                <w:rFonts w:ascii="Times New Roman" w:eastAsia="Times New Roman" w:hAnsi="Times New Roman" w:cs="Times New Roman"/>
                <w:sz w:val="20"/>
                <w:szCs w:val="20"/>
                <w:lang w:val="lv-LV"/>
              </w:rPr>
              <w:t xml:space="preserve"> korekcijas preparāti un ārstnieciskā uztura produkti</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299 585</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126 027</w:t>
            </w:r>
          </w:p>
        </w:tc>
        <w:tc>
          <w:tcPr>
            <w:tcW w:w="993"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42.1%</w:t>
            </w:r>
          </w:p>
        </w:tc>
        <w:tc>
          <w:tcPr>
            <w:tcW w:w="1275"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252 054</w:t>
            </w:r>
          </w:p>
        </w:tc>
        <w:tc>
          <w:tcPr>
            <w:tcW w:w="1134" w:type="dxa"/>
            <w:shd w:val="clear" w:color="auto" w:fill="auto"/>
            <w:noWrap/>
            <w:vAlign w:val="center"/>
            <w:hideMark/>
          </w:tcPr>
          <w:p w:rsidR="00026C15" w:rsidRPr="005A6067" w:rsidRDefault="00026C15"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84.1%</w:t>
            </w:r>
          </w:p>
        </w:tc>
        <w:tc>
          <w:tcPr>
            <w:tcW w:w="1471" w:type="dxa"/>
            <w:shd w:val="clear" w:color="auto" w:fill="auto"/>
            <w:noWrap/>
            <w:vAlign w:val="center"/>
            <w:hideMark/>
          </w:tcPr>
          <w:p w:rsidR="00026C15" w:rsidRPr="005A6067" w:rsidRDefault="00804672" w:rsidP="00026C15">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652"/>
          <w:jc w:val="center"/>
        </w:trPr>
        <w:tc>
          <w:tcPr>
            <w:tcW w:w="2699" w:type="dxa"/>
            <w:shd w:val="clear" w:color="auto" w:fill="auto"/>
            <w:vAlign w:val="center"/>
            <w:hideMark/>
          </w:tcPr>
          <w:p w:rsidR="00804672" w:rsidRPr="005A6067" w:rsidRDefault="00804672" w:rsidP="00804672">
            <w:pPr>
              <w:spacing w:after="0" w:line="240" w:lineRule="auto"/>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 xml:space="preserve">5. Redzes korekcijas līdzekļi bērniem </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41 585</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17 330</w:t>
            </w:r>
          </w:p>
        </w:tc>
        <w:tc>
          <w:tcPr>
            <w:tcW w:w="993"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41.7%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34 660</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83.3%</w:t>
            </w:r>
          </w:p>
        </w:tc>
        <w:tc>
          <w:tcPr>
            <w:tcW w:w="1471"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0</w:t>
            </w:r>
          </w:p>
        </w:tc>
      </w:tr>
      <w:tr w:rsidR="00804672" w:rsidRPr="005A6067" w:rsidTr="006509CC">
        <w:trPr>
          <w:trHeight w:val="371"/>
          <w:jc w:val="center"/>
        </w:trPr>
        <w:tc>
          <w:tcPr>
            <w:tcW w:w="2699" w:type="dxa"/>
            <w:shd w:val="clear" w:color="auto" w:fill="auto"/>
            <w:vAlign w:val="center"/>
            <w:hideMark/>
          </w:tcPr>
          <w:p w:rsidR="00804672" w:rsidRPr="005A6067" w:rsidRDefault="00804672" w:rsidP="00804672">
            <w:pPr>
              <w:spacing w:after="0" w:line="240" w:lineRule="auto"/>
              <w:jc w:val="right"/>
              <w:rPr>
                <w:rFonts w:ascii="Times New Roman" w:eastAsia="Times New Roman" w:hAnsi="Times New Roman" w:cs="Times New Roman"/>
                <w:sz w:val="20"/>
                <w:szCs w:val="20"/>
                <w:lang w:val="lv-LV"/>
              </w:rPr>
            </w:pPr>
            <w:r w:rsidRPr="005A6067">
              <w:rPr>
                <w:rFonts w:ascii="Times New Roman" w:eastAsia="Times New Roman" w:hAnsi="Times New Roman" w:cs="Times New Roman"/>
                <w:sz w:val="20"/>
                <w:szCs w:val="20"/>
                <w:lang w:val="lv-LV"/>
              </w:rPr>
              <w:t>Kopā:</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6 421 337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3 836 461</w:t>
            </w:r>
          </w:p>
        </w:tc>
        <w:tc>
          <w:tcPr>
            <w:tcW w:w="993"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59.7%</w:t>
            </w:r>
          </w:p>
        </w:tc>
        <w:tc>
          <w:tcPr>
            <w:tcW w:w="1275"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7 414 126</w:t>
            </w:r>
          </w:p>
        </w:tc>
        <w:tc>
          <w:tcPr>
            <w:tcW w:w="1134"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115.5%</w:t>
            </w:r>
          </w:p>
        </w:tc>
        <w:tc>
          <w:tcPr>
            <w:tcW w:w="1471" w:type="dxa"/>
            <w:shd w:val="clear" w:color="auto" w:fill="auto"/>
            <w:noWrap/>
            <w:vAlign w:val="center"/>
            <w:hideMark/>
          </w:tcPr>
          <w:p w:rsidR="00804672" w:rsidRPr="005A6067" w:rsidRDefault="00804672" w:rsidP="00804672">
            <w:pPr>
              <w:spacing w:after="0" w:line="240" w:lineRule="auto"/>
              <w:jc w:val="right"/>
              <w:rPr>
                <w:rFonts w:ascii="Times New Roman" w:eastAsia="Times New Roman" w:hAnsi="Times New Roman" w:cs="Times New Roman"/>
                <w:b/>
                <w:bCs/>
                <w:sz w:val="20"/>
                <w:szCs w:val="20"/>
                <w:lang w:val="lv-LV"/>
              </w:rPr>
            </w:pPr>
            <w:r w:rsidRPr="005A6067">
              <w:rPr>
                <w:rFonts w:ascii="Times New Roman" w:eastAsia="Times New Roman" w:hAnsi="Times New Roman" w:cs="Times New Roman"/>
                <w:b/>
                <w:bCs/>
                <w:sz w:val="20"/>
                <w:szCs w:val="20"/>
                <w:lang w:val="lv-LV"/>
              </w:rPr>
              <w:t>-1 053 663</w:t>
            </w:r>
          </w:p>
        </w:tc>
      </w:tr>
    </w:tbl>
    <w:p w:rsidR="005A6067" w:rsidRDefault="005A6067" w:rsidP="0015206A">
      <w:pPr>
        <w:pStyle w:val="NormalWeb"/>
        <w:snapToGrid w:val="0"/>
        <w:spacing w:before="120" w:after="0"/>
        <w:ind w:firstLine="709"/>
        <w:jc w:val="both"/>
      </w:pPr>
    </w:p>
    <w:p w:rsidR="00026C15" w:rsidRPr="004C1827" w:rsidRDefault="00EB15BF" w:rsidP="004C1827">
      <w:pPr>
        <w:pStyle w:val="NormalWeb"/>
        <w:snapToGrid w:val="0"/>
        <w:spacing w:before="120" w:after="0"/>
        <w:ind w:firstLine="709"/>
        <w:jc w:val="both"/>
        <w:rPr>
          <w:b/>
          <w:u w:val="single"/>
        </w:rPr>
      </w:pPr>
      <w:r>
        <w:t xml:space="preserve">No minētā </w:t>
      </w:r>
      <w:r w:rsidR="005A6067">
        <w:t>līdzekļu deficīt</w:t>
      </w:r>
      <w:r>
        <w:t xml:space="preserve">a 1 053 663 latiem </w:t>
      </w:r>
      <w:r w:rsidR="005A6067">
        <w:t xml:space="preserve">Veselības ministrija </w:t>
      </w:r>
      <w:r>
        <w:t>plāno uz va</w:t>
      </w:r>
      <w:r w:rsidR="00190B1A">
        <w:t xml:space="preserve">lsts pārvaldes iestāžu rēķina </w:t>
      </w:r>
      <w:r>
        <w:t xml:space="preserve">kompensēt 100 000 latus un līdz ar to nepieciešams papildus finansējums </w:t>
      </w:r>
      <w:r w:rsidR="004C1827" w:rsidRPr="004C1827">
        <w:t xml:space="preserve">vakcīnu  un </w:t>
      </w:r>
      <w:proofErr w:type="spellStart"/>
      <w:r w:rsidR="004C1827" w:rsidRPr="004C1827">
        <w:t>peritoneālās</w:t>
      </w:r>
      <w:proofErr w:type="spellEnd"/>
      <w:r w:rsidR="004C1827" w:rsidRPr="004C1827">
        <w:t xml:space="preserve"> dialīzes ārstniecības līdzekļu iegāde</w:t>
      </w:r>
      <w:r w:rsidR="004C1827">
        <w:t>s kompensācijai</w:t>
      </w:r>
      <w:r w:rsidR="004C1827" w:rsidRPr="004C1827">
        <w:t xml:space="preserve"> </w:t>
      </w:r>
      <w:r w:rsidR="002A1B6B" w:rsidRPr="00CC0B21">
        <w:rPr>
          <w:b/>
          <w:u w:val="single"/>
        </w:rPr>
        <w:t xml:space="preserve">953 663 </w:t>
      </w:r>
      <w:r w:rsidR="004C1827">
        <w:rPr>
          <w:b/>
          <w:u w:val="single"/>
        </w:rPr>
        <w:t xml:space="preserve">latu </w:t>
      </w:r>
      <w:r w:rsidR="004C1827" w:rsidRPr="004C1827">
        <w:t>apmērā</w:t>
      </w:r>
      <w:r w:rsidR="004C1827">
        <w:t>.</w:t>
      </w:r>
      <w:r w:rsidR="004C1827" w:rsidRPr="004C1827">
        <w:t xml:space="preserve"> </w:t>
      </w:r>
      <w:r w:rsidRPr="00EB15BF">
        <w:t>Veselības ministrija iesniegs Finanšu ministrijā</w:t>
      </w:r>
      <w:r>
        <w:t xml:space="preserve"> </w:t>
      </w:r>
      <w:r w:rsidR="00EC2FBF">
        <w:t xml:space="preserve">priekšlikumus par līdzekļu pārdali </w:t>
      </w:r>
      <w:r w:rsidR="00EC2FBF" w:rsidRPr="00EC2FBF">
        <w:rPr>
          <w:bCs/>
        </w:rPr>
        <w:t>starp valsts budžeta programmām, apakšprogrammām un izdevumu ekonomiskās klasifikācijas kodiem</w:t>
      </w:r>
      <w:r w:rsidR="00EC2FBF" w:rsidRPr="00EC2FBF">
        <w:t xml:space="preserve"> atbilstoši Ministru kabineta </w:t>
      </w:r>
      <w:r w:rsidRPr="00EC2FBF">
        <w:t>2010.gada 16.ma</w:t>
      </w:r>
      <w:r w:rsidR="00D44ACD">
        <w:t>r</w:t>
      </w:r>
      <w:r w:rsidRPr="00EC2FBF">
        <w:t>ta noteikum</w:t>
      </w:r>
      <w:r w:rsidR="00EC2FBF" w:rsidRPr="00EC2FBF">
        <w:t>u</w:t>
      </w:r>
      <w:r w:rsidRPr="00EC2FBF">
        <w:t xml:space="preserve"> Nr.256 „</w:t>
      </w:r>
      <w:r w:rsidRPr="00EC2FBF">
        <w:rPr>
          <w:bCs/>
        </w:rPr>
        <w:t>Noteikumi par kārtību, kādā ministrijām un citām centrālajām valsts iestādēm tiek veikta apropriācijas pārdale starp programmām, apakšprogrammām un izdevumu ekonomiskās klasifikācijas kodiem”</w:t>
      </w:r>
      <w:r w:rsidR="00EC2FBF" w:rsidRPr="00EC2FBF">
        <w:rPr>
          <w:bCs/>
        </w:rPr>
        <w:t xml:space="preserve"> prasībām.</w:t>
      </w:r>
      <w:r w:rsidRPr="00EB15BF">
        <w:t xml:space="preserve"> </w:t>
      </w:r>
    </w:p>
    <w:p w:rsidR="002A1B6B" w:rsidRPr="000727C6" w:rsidRDefault="002A1B6B" w:rsidP="002A1B6B">
      <w:pPr>
        <w:pStyle w:val="NormalWeb"/>
        <w:snapToGrid w:val="0"/>
        <w:spacing w:before="120" w:after="0"/>
        <w:jc w:val="both"/>
      </w:pPr>
    </w:p>
    <w:p w:rsidR="00C75586" w:rsidRPr="00CF429A" w:rsidRDefault="00CF429A" w:rsidP="006509CC">
      <w:pPr>
        <w:pStyle w:val="NormalWeb"/>
        <w:numPr>
          <w:ilvl w:val="0"/>
          <w:numId w:val="3"/>
        </w:numPr>
        <w:snapToGrid w:val="0"/>
        <w:spacing w:before="0" w:after="0"/>
        <w:ind w:left="1077" w:hanging="357"/>
        <w:jc w:val="both"/>
        <w:rPr>
          <w:b/>
          <w:lang w:val="en-US"/>
        </w:rPr>
      </w:pPr>
      <w:r>
        <w:rPr>
          <w:b/>
        </w:rPr>
        <w:t>Asins un asins komponentu nodrošināšana</w:t>
      </w:r>
    </w:p>
    <w:p w:rsidR="00A8457A" w:rsidRDefault="00A8457A" w:rsidP="007324F9">
      <w:pPr>
        <w:pStyle w:val="programmas"/>
        <w:spacing w:before="0" w:after="0"/>
        <w:ind w:firstLine="720"/>
        <w:jc w:val="both"/>
        <w:rPr>
          <w:szCs w:val="24"/>
          <w:u w:val="none"/>
          <w:lang w:val="lv-LV"/>
        </w:rPr>
      </w:pPr>
    </w:p>
    <w:p w:rsidR="00A8457A" w:rsidRPr="001B1446" w:rsidRDefault="002A1B6B" w:rsidP="001B1446">
      <w:pPr>
        <w:pStyle w:val="programmas"/>
        <w:spacing w:before="0" w:after="0"/>
        <w:ind w:firstLine="720"/>
        <w:jc w:val="both"/>
        <w:rPr>
          <w:u w:val="none"/>
          <w:lang w:val="lv-LV"/>
        </w:rPr>
      </w:pPr>
      <w:r w:rsidRPr="002A1B6B">
        <w:rPr>
          <w:szCs w:val="24"/>
          <w:u w:val="none"/>
          <w:lang w:val="lv-LV"/>
        </w:rPr>
        <w:t>Atbilstoši likumam „Par valsts budžetu 2011.gadam” valsts budžeta programmas 33.00.00 „Veselības aprūpes nodrošināšana” apakšprogrammā</w:t>
      </w:r>
      <w:r>
        <w:rPr>
          <w:u w:val="none"/>
          <w:lang w:val="lv-LV"/>
        </w:rPr>
        <w:t xml:space="preserve"> „</w:t>
      </w:r>
      <w:r w:rsidR="00CF429A" w:rsidRPr="002A1B6B">
        <w:rPr>
          <w:u w:val="none"/>
          <w:lang w:val="lv-LV"/>
        </w:rPr>
        <w:t>39.03.00 Asins un asins komponentu nodrošināšana</w:t>
      </w:r>
      <w:r>
        <w:rPr>
          <w:u w:val="none"/>
          <w:lang w:val="lv-LV"/>
        </w:rPr>
        <w:t>” resursi izdevu</w:t>
      </w:r>
      <w:r w:rsidR="00A8457A">
        <w:rPr>
          <w:u w:val="none"/>
          <w:lang w:val="lv-LV"/>
        </w:rPr>
        <w:t>mu segšanai 5 094 769 lati, tai</w:t>
      </w:r>
      <w:r>
        <w:rPr>
          <w:u w:val="none"/>
          <w:lang w:val="lv-LV"/>
        </w:rPr>
        <w:t xml:space="preserve"> skaitā dotācija no vispārējiem ieņēmumiem 4 865 884 lati, ieņēmumi no maksas pakalpojumiem un citi pašu ieņēmumi 228 885 lati. Izdevumi 5 094 848 lati,</w:t>
      </w:r>
      <w:r w:rsidR="00CF429A" w:rsidRPr="002A1B6B">
        <w:rPr>
          <w:u w:val="none"/>
          <w:lang w:val="lv-LV"/>
        </w:rPr>
        <w:t xml:space="preserve"> </w:t>
      </w:r>
      <w:r>
        <w:rPr>
          <w:u w:val="none"/>
          <w:lang w:val="lv-LV"/>
        </w:rPr>
        <w:t>ņemot vērā maksas pakalpojumu un citu pašu ieņēmumu naudas līdzekļu atlikumu 79 lati</w:t>
      </w:r>
      <w:r w:rsidRPr="002A1B6B">
        <w:rPr>
          <w:u w:val="none"/>
          <w:lang w:val="lv-LV"/>
        </w:rPr>
        <w:t xml:space="preserve">. Budžeta apakšprogrammā „39.03.00 Asins un asins komponentu nodrošināšana” paredzētais finansējums atbilstoši finansēšanas plānam 2011.gada septiņiem mēnešiem bija </w:t>
      </w:r>
      <w:r>
        <w:rPr>
          <w:u w:val="none"/>
          <w:lang w:val="lv-LV"/>
        </w:rPr>
        <w:t xml:space="preserve">3 244 </w:t>
      </w:r>
      <w:r>
        <w:rPr>
          <w:u w:val="none"/>
          <w:lang w:val="lv-LV"/>
        </w:rPr>
        <w:lastRenderedPageBreak/>
        <w:t>483</w:t>
      </w:r>
      <w:r w:rsidRPr="002A1B6B">
        <w:rPr>
          <w:u w:val="none"/>
          <w:lang w:val="lv-LV"/>
        </w:rPr>
        <w:t> lati</w:t>
      </w:r>
      <w:r>
        <w:rPr>
          <w:u w:val="none"/>
          <w:lang w:val="lv-LV"/>
        </w:rPr>
        <w:t xml:space="preserve">. </w:t>
      </w:r>
      <w:r w:rsidR="007324F9">
        <w:rPr>
          <w:u w:val="none"/>
          <w:lang w:val="lv-LV"/>
        </w:rPr>
        <w:t xml:space="preserve">2011.gada pirmajā pusgadā faktiskie izdevumi bija 2 896 650 lati (99,94% no plānotā), Valsts asinsdonoru centram asins, asins komponentu sagatavošanai un plazmas preparātu (intravenozais imūnglobulīns, 20% albumīna šķīdums) iepirkuma nodrošināšanai 2011.gada otrajā pusgadā ir </w:t>
      </w:r>
      <w:r w:rsidR="007324F9" w:rsidRPr="001B1446">
        <w:rPr>
          <w:u w:val="none"/>
          <w:lang w:val="lv-LV"/>
        </w:rPr>
        <w:t xml:space="preserve">nepieciešams finansējums iepriekš minētajā apmērā, t.i., 2 896 650 lati. Tātad 2011.gada kopējais finansējums būtu 5 793 300 lati, kas ir par 698 452 latiem lielāks kā </w:t>
      </w:r>
      <w:r w:rsidR="001B1446" w:rsidRPr="001B1446">
        <w:rPr>
          <w:u w:val="none"/>
          <w:lang w:val="lv-LV"/>
        </w:rPr>
        <w:t xml:space="preserve">2011.gada </w:t>
      </w:r>
      <w:r w:rsidR="007324F9" w:rsidRPr="001B1446">
        <w:rPr>
          <w:u w:val="none"/>
          <w:lang w:val="lv-LV"/>
        </w:rPr>
        <w:t xml:space="preserve">budžetā piešķirtais.  </w:t>
      </w:r>
    </w:p>
    <w:p w:rsidR="00C75586" w:rsidRPr="001B1446" w:rsidRDefault="00D44ACD" w:rsidP="001B1446">
      <w:pPr>
        <w:pStyle w:val="programmas"/>
        <w:spacing w:before="0" w:after="0"/>
        <w:ind w:firstLine="720"/>
        <w:jc w:val="both"/>
        <w:rPr>
          <w:u w:val="none"/>
          <w:lang w:val="lv-LV"/>
        </w:rPr>
      </w:pPr>
      <w:r>
        <w:rPr>
          <w:bCs/>
          <w:szCs w:val="24"/>
          <w:u w:val="none"/>
          <w:lang w:val="lv-LV"/>
        </w:rPr>
        <w:t>Latvijas</w:t>
      </w:r>
      <w:r w:rsidR="00A8457A" w:rsidRPr="001B1446">
        <w:rPr>
          <w:bCs/>
          <w:szCs w:val="24"/>
          <w:u w:val="none"/>
          <w:lang w:val="lv-LV"/>
        </w:rPr>
        <w:t xml:space="preserve"> asins dienests (V</w:t>
      </w:r>
      <w:r w:rsidR="001B1446" w:rsidRPr="001B1446">
        <w:rPr>
          <w:bCs/>
          <w:szCs w:val="24"/>
          <w:u w:val="none"/>
          <w:lang w:val="lv-LV"/>
        </w:rPr>
        <w:t>alsts asinsdonoru centrs</w:t>
      </w:r>
      <w:r w:rsidR="00A8457A" w:rsidRPr="001B1446">
        <w:rPr>
          <w:bCs/>
          <w:szCs w:val="24"/>
          <w:u w:val="none"/>
          <w:lang w:val="lv-LV"/>
        </w:rPr>
        <w:t xml:space="preserve"> </w:t>
      </w:r>
      <w:r w:rsidR="001B1446">
        <w:rPr>
          <w:bCs/>
          <w:szCs w:val="24"/>
          <w:u w:val="none"/>
          <w:lang w:val="lv-LV"/>
        </w:rPr>
        <w:t xml:space="preserve">(turpmāk – VADC) </w:t>
      </w:r>
      <w:r w:rsidR="00A8457A" w:rsidRPr="001B1446">
        <w:rPr>
          <w:bCs/>
          <w:szCs w:val="24"/>
          <w:u w:val="none"/>
          <w:lang w:val="lv-LV"/>
        </w:rPr>
        <w:t>un asins sagatavošanas nodaļas</w:t>
      </w:r>
      <w:r w:rsidR="001B1446" w:rsidRPr="001B1446">
        <w:rPr>
          <w:bCs/>
          <w:szCs w:val="24"/>
          <w:u w:val="none"/>
          <w:lang w:val="lv-LV"/>
        </w:rPr>
        <w:t>)</w:t>
      </w:r>
      <w:r w:rsidR="00A8457A" w:rsidRPr="001B1446">
        <w:rPr>
          <w:bCs/>
          <w:szCs w:val="24"/>
          <w:u w:val="none"/>
          <w:lang w:val="lv-LV"/>
        </w:rPr>
        <w:t xml:space="preserve"> 2011.gada </w:t>
      </w:r>
      <w:r w:rsidR="001B1446">
        <w:rPr>
          <w:bCs/>
          <w:szCs w:val="24"/>
          <w:u w:val="none"/>
          <w:lang w:val="lv-LV"/>
        </w:rPr>
        <w:t>pirmajā</w:t>
      </w:r>
      <w:r w:rsidR="00A8457A" w:rsidRPr="001B1446">
        <w:rPr>
          <w:bCs/>
          <w:szCs w:val="24"/>
          <w:u w:val="none"/>
          <w:lang w:val="lv-LV"/>
        </w:rPr>
        <w:t xml:space="preserve"> pusgadā ir sagatavojis par 17,5% vairāk asiņu kā periodam tika plānots (VADC plānu izpildījis par 135%, bet ASN – par 96%), bet tajā pašā laikā ir spējis nodrošināt tikai 90% no ārstniecības iestāžu pieprasījuma.</w:t>
      </w:r>
      <w:r w:rsidR="007324F9" w:rsidRPr="001B1446">
        <w:rPr>
          <w:u w:val="none"/>
          <w:lang w:val="lv-LV"/>
        </w:rPr>
        <w:t xml:space="preserve"> </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w:t>
      </w:r>
      <w:r w:rsidR="001B1446">
        <w:rPr>
          <w:rFonts w:ascii="Times New Roman" w:eastAsia="Calibri" w:hAnsi="Times New Roman" w:cs="Times New Roman"/>
          <w:sz w:val="24"/>
          <w:szCs w:val="24"/>
          <w:lang w:val="lv-LV"/>
        </w:rPr>
        <w:t>gada</w:t>
      </w:r>
      <w:r w:rsidRPr="001B1446">
        <w:rPr>
          <w:rFonts w:ascii="Times New Roman" w:eastAsia="Calibri" w:hAnsi="Times New Roman" w:cs="Times New Roman"/>
          <w:sz w:val="24"/>
          <w:szCs w:val="24"/>
          <w:lang w:val="lv-LV"/>
        </w:rPr>
        <w:t xml:space="preserve"> 6 mēnešos, salīdzinājumā  ar  2010</w:t>
      </w:r>
      <w:r w:rsidR="001B1446">
        <w:rPr>
          <w:rFonts w:ascii="Times New Roman" w:eastAsia="Calibri" w:hAnsi="Times New Roman" w:cs="Times New Roman"/>
          <w:sz w:val="24"/>
          <w:szCs w:val="24"/>
          <w:lang w:val="lv-LV"/>
        </w:rPr>
        <w:t>.gada</w:t>
      </w:r>
      <w:r w:rsidRPr="001B1446">
        <w:rPr>
          <w:rFonts w:ascii="Times New Roman" w:eastAsia="Calibri" w:hAnsi="Times New Roman" w:cs="Times New Roman"/>
          <w:sz w:val="24"/>
          <w:szCs w:val="24"/>
          <w:lang w:val="lv-LV"/>
        </w:rPr>
        <w:t xml:space="preserve"> šo pašu </w:t>
      </w:r>
      <w:r w:rsidR="001B1446">
        <w:rPr>
          <w:rFonts w:ascii="Times New Roman" w:eastAsia="Calibri" w:hAnsi="Times New Roman" w:cs="Times New Roman"/>
          <w:sz w:val="24"/>
          <w:szCs w:val="24"/>
          <w:lang w:val="lv-LV"/>
        </w:rPr>
        <w:t>pārskata</w:t>
      </w:r>
      <w:r w:rsidRPr="001B1446">
        <w:rPr>
          <w:rFonts w:ascii="Times New Roman" w:eastAsia="Calibri" w:hAnsi="Times New Roman" w:cs="Times New Roman"/>
          <w:sz w:val="24"/>
          <w:szCs w:val="24"/>
          <w:lang w:val="lv-LV"/>
        </w:rPr>
        <w:t xml:space="preserve"> periodu, ir  izsniegta: </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eritrocītu masa (EM) - 112,8%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trombocītu masa (</w:t>
      </w:r>
      <w:r w:rsidR="00D44ACD">
        <w:rPr>
          <w:rFonts w:ascii="Times New Roman" w:eastAsia="Calibri" w:hAnsi="Times New Roman" w:cs="Times New Roman"/>
          <w:sz w:val="24"/>
          <w:szCs w:val="24"/>
          <w:lang w:val="lv-LV"/>
        </w:rPr>
        <w:t xml:space="preserve">turpmāk - </w:t>
      </w:r>
      <w:r w:rsidRPr="001B1446">
        <w:rPr>
          <w:rFonts w:ascii="Times New Roman" w:eastAsia="Calibri" w:hAnsi="Times New Roman" w:cs="Times New Roman"/>
          <w:sz w:val="24"/>
          <w:szCs w:val="24"/>
          <w:lang w:val="lv-LV"/>
        </w:rPr>
        <w:t>TM), sagatavota no leikocītu- trombocītu slāņa -118,2%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TM sagatavota </w:t>
      </w:r>
      <w:proofErr w:type="spellStart"/>
      <w:r w:rsidRPr="001B1446">
        <w:rPr>
          <w:rFonts w:ascii="Times New Roman" w:eastAsia="Calibri" w:hAnsi="Times New Roman" w:cs="Times New Roman"/>
          <w:sz w:val="24"/>
          <w:szCs w:val="24"/>
          <w:lang w:val="lv-LV"/>
        </w:rPr>
        <w:t>aferēzes</w:t>
      </w:r>
      <w:proofErr w:type="spellEnd"/>
      <w:r w:rsidRPr="001B1446">
        <w:rPr>
          <w:rFonts w:ascii="Times New Roman" w:eastAsia="Calibri" w:hAnsi="Times New Roman" w:cs="Times New Roman"/>
          <w:sz w:val="24"/>
          <w:szCs w:val="24"/>
          <w:lang w:val="lv-LV"/>
        </w:rPr>
        <w:t xml:space="preserve"> procedūrā- 105,8% apmērā;</w:t>
      </w:r>
    </w:p>
    <w:p w:rsidR="00A8457A" w:rsidRPr="001B1446" w:rsidRDefault="00A8457A" w:rsidP="00A8457A">
      <w:pPr>
        <w:numPr>
          <w:ilvl w:val="0"/>
          <w:numId w:val="12"/>
        </w:numPr>
        <w:spacing w:after="0" w:line="240" w:lineRule="auto"/>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krioprecipitāts</w:t>
      </w:r>
      <w:proofErr w:type="spellEnd"/>
      <w:r w:rsidRPr="001B1446">
        <w:rPr>
          <w:rFonts w:ascii="Times New Roman" w:eastAsia="Calibri" w:hAnsi="Times New Roman" w:cs="Times New Roman"/>
          <w:sz w:val="24"/>
          <w:szCs w:val="24"/>
          <w:lang w:val="lv-LV"/>
        </w:rPr>
        <w:t xml:space="preserve"> -134,6% apmērā. Tā sagatavošanai papildus iztērēti līdzekļi - 17 041,2 LVL .</w:t>
      </w:r>
    </w:p>
    <w:p w:rsidR="001B1446" w:rsidRDefault="001B1446" w:rsidP="00A8457A">
      <w:pPr>
        <w:jc w:val="both"/>
        <w:rPr>
          <w:rFonts w:ascii="Times New Roman" w:eastAsia="Calibri" w:hAnsi="Times New Roman" w:cs="Times New Roman"/>
          <w:sz w:val="24"/>
          <w:szCs w:val="24"/>
          <w:lang w:val="lv-LV"/>
        </w:rPr>
      </w:pPr>
    </w:p>
    <w:p w:rsidR="00A8457A" w:rsidRPr="001B1446" w:rsidRDefault="001B1446"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VADC</w:t>
      </w:r>
      <w:r w:rsidR="00A8457A" w:rsidRPr="001B1446">
        <w:rPr>
          <w:rFonts w:ascii="Times New Roman" w:eastAsia="Calibri" w:hAnsi="Times New Roman" w:cs="Times New Roman"/>
          <w:sz w:val="24"/>
          <w:szCs w:val="24"/>
          <w:lang w:val="lv-LV"/>
        </w:rPr>
        <w:t xml:space="preserve"> ir vienīgā institūcija valstī, kurā sagatavo </w:t>
      </w:r>
      <w:r w:rsidR="00D44ACD">
        <w:rPr>
          <w:rFonts w:ascii="Times New Roman" w:eastAsia="Calibri" w:hAnsi="Times New Roman" w:cs="Times New Roman"/>
          <w:sz w:val="24"/>
          <w:szCs w:val="24"/>
          <w:lang w:val="lv-LV"/>
        </w:rPr>
        <w:t>TM</w:t>
      </w:r>
      <w:r w:rsidR="00A8457A" w:rsidRPr="001B1446">
        <w:rPr>
          <w:rFonts w:ascii="Times New Roman" w:eastAsia="Calibri" w:hAnsi="Times New Roman" w:cs="Times New Roman"/>
          <w:sz w:val="24"/>
          <w:szCs w:val="24"/>
          <w:lang w:val="lv-LV"/>
        </w:rPr>
        <w:t xml:space="preserve">. Tā nepieciešama galvenokārt akūtu asiņošanu gadījumā, kā arī </w:t>
      </w:r>
      <w:proofErr w:type="spellStart"/>
      <w:r w:rsidR="00A8457A" w:rsidRPr="001B1446">
        <w:rPr>
          <w:rFonts w:ascii="Times New Roman" w:eastAsia="Calibri" w:hAnsi="Times New Roman" w:cs="Times New Roman"/>
          <w:sz w:val="24"/>
          <w:szCs w:val="24"/>
          <w:lang w:val="lv-LV"/>
        </w:rPr>
        <w:t>onkohematoloģisko</w:t>
      </w:r>
      <w:proofErr w:type="spellEnd"/>
      <w:r w:rsidR="00A8457A" w:rsidRPr="001B1446">
        <w:rPr>
          <w:rFonts w:ascii="Times New Roman" w:eastAsia="Calibri" w:hAnsi="Times New Roman" w:cs="Times New Roman"/>
          <w:sz w:val="24"/>
          <w:szCs w:val="24"/>
          <w:lang w:val="lv-LV"/>
        </w:rPr>
        <w:t xml:space="preserve"> slimnieku ārstēšanai. Šis asins kompone</w:t>
      </w:r>
      <w:r w:rsidR="00AB0ACB">
        <w:rPr>
          <w:rFonts w:ascii="Times New Roman" w:eastAsia="Calibri" w:hAnsi="Times New Roman" w:cs="Times New Roman"/>
          <w:sz w:val="24"/>
          <w:szCs w:val="24"/>
          <w:lang w:val="lv-LV"/>
        </w:rPr>
        <w:t>nts ķīmij</w:t>
      </w:r>
      <w:r w:rsidR="00A8457A" w:rsidRPr="001B1446">
        <w:rPr>
          <w:rFonts w:ascii="Times New Roman" w:eastAsia="Calibri" w:hAnsi="Times New Roman" w:cs="Times New Roman"/>
          <w:sz w:val="24"/>
          <w:szCs w:val="24"/>
          <w:lang w:val="lv-LV"/>
        </w:rPr>
        <w:t>terapijas kursu laikā ir vienīgais izdzīvošanas avots kā bērniem, tā pieaugušajiem.</w:t>
      </w:r>
    </w:p>
    <w:p w:rsidR="002A1B6B" w:rsidRDefault="007324F9" w:rsidP="007324F9">
      <w:pPr>
        <w:spacing w:after="0" w:line="240" w:lineRule="auto"/>
        <w:ind w:firstLine="720"/>
        <w:jc w:val="both"/>
        <w:rPr>
          <w:rFonts w:ascii="Times New Roman" w:hAnsi="Times New Roman" w:cs="Times New Roman"/>
          <w:sz w:val="24"/>
          <w:szCs w:val="24"/>
          <w:lang w:val="lv-LV"/>
        </w:rPr>
      </w:pPr>
      <w:r w:rsidRPr="007324F9">
        <w:rPr>
          <w:rFonts w:ascii="Times New Roman" w:hAnsi="Times New Roman" w:cs="Times New Roman"/>
          <w:sz w:val="24"/>
          <w:szCs w:val="24"/>
          <w:lang w:val="lv-LV"/>
        </w:rPr>
        <w:t xml:space="preserve">Analizējot nepieciešamību </w:t>
      </w:r>
      <w:r>
        <w:rPr>
          <w:rFonts w:ascii="Times New Roman" w:hAnsi="Times New Roman" w:cs="Times New Roman"/>
          <w:sz w:val="24"/>
          <w:szCs w:val="24"/>
          <w:lang w:val="lv-LV"/>
        </w:rPr>
        <w:t xml:space="preserve">valstī pēc asins komponentiem, plazmas preparātiem, optimizējot izdevumus pamatfunkciju izpildei, </w:t>
      </w:r>
      <w:r w:rsidR="00D44ACD">
        <w:rPr>
          <w:rFonts w:ascii="Times New Roman" w:hAnsi="Times New Roman" w:cs="Times New Roman"/>
          <w:sz w:val="24"/>
          <w:szCs w:val="24"/>
          <w:lang w:val="lv-LV"/>
        </w:rPr>
        <w:t>VADC</w:t>
      </w:r>
      <w:r>
        <w:rPr>
          <w:rFonts w:ascii="Times New Roman" w:hAnsi="Times New Roman" w:cs="Times New Roman"/>
          <w:sz w:val="24"/>
          <w:szCs w:val="24"/>
          <w:lang w:val="lv-LV"/>
        </w:rPr>
        <w:t xml:space="preserve"> vienalga ir nepieciešams papildus finansējums 2011.gadā </w:t>
      </w:r>
      <w:r w:rsidR="00A8457A" w:rsidRPr="00CC0B21">
        <w:rPr>
          <w:rFonts w:ascii="Times New Roman" w:hAnsi="Times New Roman" w:cs="Times New Roman"/>
          <w:b/>
          <w:sz w:val="24"/>
          <w:szCs w:val="24"/>
          <w:u w:val="single"/>
          <w:lang w:val="lv-LV"/>
        </w:rPr>
        <w:t>320 000 latu</w:t>
      </w:r>
      <w:r w:rsidR="00A8457A" w:rsidRPr="00CC0B21">
        <w:rPr>
          <w:rFonts w:ascii="Times New Roman" w:hAnsi="Times New Roman" w:cs="Times New Roman"/>
          <w:sz w:val="24"/>
          <w:szCs w:val="24"/>
          <w:u w:val="single"/>
          <w:lang w:val="lv-LV"/>
        </w:rPr>
        <w:t xml:space="preserve"> </w:t>
      </w:r>
      <w:r w:rsidR="00A8457A">
        <w:rPr>
          <w:rFonts w:ascii="Times New Roman" w:hAnsi="Times New Roman" w:cs="Times New Roman"/>
          <w:sz w:val="24"/>
          <w:szCs w:val="24"/>
          <w:lang w:val="lv-LV"/>
        </w:rPr>
        <w:t>apmērā, lai nodrošinātu asins dienesta darbību 2011.gadā otraj</w:t>
      </w:r>
      <w:r w:rsidR="00AB0ACB">
        <w:rPr>
          <w:rFonts w:ascii="Times New Roman" w:hAnsi="Times New Roman" w:cs="Times New Roman"/>
          <w:sz w:val="24"/>
          <w:szCs w:val="24"/>
          <w:lang w:val="lv-LV"/>
        </w:rPr>
        <w:t>ā pusgadā. Ņemot vērā 2</w:t>
      </w:r>
      <w:r w:rsidR="00A8457A">
        <w:rPr>
          <w:rFonts w:ascii="Times New Roman" w:hAnsi="Times New Roman" w:cs="Times New Roman"/>
          <w:sz w:val="24"/>
          <w:szCs w:val="24"/>
          <w:lang w:val="lv-LV"/>
        </w:rPr>
        <w:t>011.gada pirmajā pusgadā palielināto pieprasījumu pēc asins komponentiem, prognozējams līdzekļu deficīts asins sagatavošanai 225 820 latu apmērā</w:t>
      </w:r>
      <w:r w:rsidR="00D44ACD">
        <w:rPr>
          <w:rFonts w:ascii="Times New Roman" w:hAnsi="Times New Roman" w:cs="Times New Roman"/>
          <w:sz w:val="24"/>
          <w:szCs w:val="24"/>
          <w:lang w:val="lv-LV"/>
        </w:rPr>
        <w:t xml:space="preserve"> (</w:t>
      </w:r>
      <w:r w:rsidR="006509CC">
        <w:rPr>
          <w:rFonts w:ascii="Times New Roman" w:hAnsi="Times New Roman" w:cs="Times New Roman"/>
          <w:sz w:val="24"/>
          <w:szCs w:val="24"/>
          <w:lang w:val="lv-LV"/>
        </w:rPr>
        <w:t>7</w:t>
      </w:r>
      <w:r w:rsidR="002C6E8B">
        <w:rPr>
          <w:rFonts w:ascii="Times New Roman" w:hAnsi="Times New Roman" w:cs="Times New Roman"/>
          <w:sz w:val="24"/>
          <w:szCs w:val="24"/>
          <w:lang w:val="lv-LV"/>
        </w:rPr>
        <w:t>.</w:t>
      </w:r>
      <w:r w:rsidR="001B1446">
        <w:rPr>
          <w:rFonts w:ascii="Times New Roman" w:hAnsi="Times New Roman" w:cs="Times New Roman"/>
          <w:sz w:val="24"/>
          <w:szCs w:val="24"/>
          <w:lang w:val="lv-LV"/>
        </w:rPr>
        <w:t>tabul</w:t>
      </w:r>
      <w:r w:rsidR="00D44ACD">
        <w:rPr>
          <w:rFonts w:ascii="Times New Roman" w:hAnsi="Times New Roman" w:cs="Times New Roman"/>
          <w:sz w:val="24"/>
          <w:szCs w:val="24"/>
          <w:lang w:val="lv-LV"/>
        </w:rPr>
        <w:t>a</w:t>
      </w:r>
      <w:r w:rsidR="001B1446">
        <w:rPr>
          <w:rFonts w:ascii="Times New Roman" w:hAnsi="Times New Roman" w:cs="Times New Roman"/>
          <w:sz w:val="24"/>
          <w:szCs w:val="24"/>
          <w:lang w:val="lv-LV"/>
        </w:rPr>
        <w:t>)</w:t>
      </w:r>
      <w:r w:rsidR="00A8457A">
        <w:rPr>
          <w:rFonts w:ascii="Times New Roman" w:hAnsi="Times New Roman" w:cs="Times New Roman"/>
          <w:sz w:val="24"/>
          <w:szCs w:val="24"/>
          <w:lang w:val="lv-LV"/>
        </w:rPr>
        <w:t>:</w:t>
      </w:r>
    </w:p>
    <w:p w:rsidR="001B1446" w:rsidRDefault="001B1446" w:rsidP="001B1446">
      <w:pPr>
        <w:spacing w:after="0" w:line="240" w:lineRule="auto"/>
        <w:jc w:val="both"/>
        <w:rPr>
          <w:rFonts w:ascii="Times New Roman" w:hAnsi="Times New Roman" w:cs="Times New Roman"/>
          <w:sz w:val="24"/>
          <w:szCs w:val="24"/>
          <w:lang w:val="lv-LV"/>
        </w:rPr>
      </w:pPr>
    </w:p>
    <w:p w:rsidR="001B1446" w:rsidRPr="00C85B62" w:rsidRDefault="006509CC" w:rsidP="001B1446">
      <w:pPr>
        <w:pStyle w:val="NormalWeb"/>
        <w:spacing w:before="120" w:after="120"/>
        <w:ind w:left="318"/>
        <w:jc w:val="right"/>
      </w:pPr>
      <w:r>
        <w:t>7</w:t>
      </w:r>
      <w:r w:rsidR="001B1446" w:rsidRPr="00C85B62">
        <w:t>.tabula</w:t>
      </w:r>
    </w:p>
    <w:p w:rsidR="001B1446" w:rsidRPr="005C52D8" w:rsidRDefault="001B1446" w:rsidP="001B1446">
      <w:pPr>
        <w:pStyle w:val="NormalWeb"/>
        <w:spacing w:before="0" w:after="120"/>
        <w:ind w:left="318"/>
        <w:jc w:val="center"/>
        <w:rPr>
          <w:b/>
        </w:rPr>
      </w:pPr>
      <w:r>
        <w:rPr>
          <w:rFonts w:eastAsia="Calibri"/>
          <w:b/>
        </w:rPr>
        <w:t xml:space="preserve">Asins sagatavošanas </w:t>
      </w:r>
      <w:r>
        <w:rPr>
          <w:b/>
        </w:rPr>
        <w:t xml:space="preserve">izpilde 2011.gada 6 mēnešos </w:t>
      </w:r>
    </w:p>
    <w:p w:rsidR="00A8457A" w:rsidRDefault="00A8457A" w:rsidP="001B1446">
      <w:pPr>
        <w:spacing w:after="0" w:line="240" w:lineRule="auto"/>
        <w:jc w:val="both"/>
        <w:rPr>
          <w:rFonts w:ascii="Times New Roman" w:hAnsi="Times New Roman" w:cs="Times New Roman"/>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996"/>
        <w:gridCol w:w="996"/>
        <w:gridCol w:w="1116"/>
        <w:gridCol w:w="996"/>
        <w:gridCol w:w="950"/>
        <w:gridCol w:w="1236"/>
        <w:gridCol w:w="1393"/>
        <w:gridCol w:w="1151"/>
      </w:tblGrid>
      <w:tr w:rsidR="00A8457A" w:rsidRPr="001B1446" w:rsidTr="001B1446">
        <w:trPr>
          <w:jc w:val="center"/>
        </w:trPr>
        <w:tc>
          <w:tcPr>
            <w:tcW w:w="5242" w:type="dxa"/>
            <w:gridSpan w:val="5"/>
          </w:tcPr>
          <w:p w:rsidR="00A8457A" w:rsidRPr="001B1446" w:rsidRDefault="00A8457A" w:rsidP="00A8457A">
            <w:pPr>
              <w:jc w:val="both"/>
              <w:rPr>
                <w:rFonts w:ascii="Times New Roman" w:eastAsia="Calibri" w:hAnsi="Times New Roman" w:cs="Times New Roman"/>
                <w:b/>
                <w:sz w:val="24"/>
                <w:szCs w:val="24"/>
                <w:lang w:val="lv-LV"/>
              </w:rPr>
            </w:pPr>
            <w:r w:rsidRPr="001B1446">
              <w:rPr>
                <w:rFonts w:ascii="Times New Roman" w:eastAsia="Calibri" w:hAnsi="Times New Roman" w:cs="Times New Roman"/>
                <w:b/>
                <w:sz w:val="24"/>
                <w:szCs w:val="24"/>
                <w:lang w:val="lv-LV"/>
              </w:rPr>
              <w:t>Asins sagatavošana komponentu iegūšanai</w:t>
            </w:r>
          </w:p>
        </w:tc>
        <w:tc>
          <w:tcPr>
            <w:tcW w:w="4727" w:type="dxa"/>
            <w:gridSpan w:val="4"/>
          </w:tcPr>
          <w:p w:rsidR="00A8457A" w:rsidRPr="001B1446" w:rsidRDefault="001B1446" w:rsidP="00A8457A">
            <w:pPr>
              <w:jc w:val="both"/>
              <w:rPr>
                <w:rFonts w:ascii="Times New Roman" w:eastAsia="Calibri" w:hAnsi="Times New Roman" w:cs="Times New Roman"/>
                <w:b/>
                <w:sz w:val="24"/>
                <w:szCs w:val="24"/>
                <w:lang w:val="lv-LV"/>
              </w:rPr>
            </w:pPr>
            <w:r w:rsidRPr="001B1446">
              <w:rPr>
                <w:rFonts w:ascii="Times New Roman" w:eastAsia="Calibri" w:hAnsi="Times New Roman" w:cs="Times New Roman"/>
                <w:b/>
                <w:sz w:val="24"/>
                <w:szCs w:val="24"/>
                <w:lang w:val="lv-LV"/>
              </w:rPr>
              <w:t>Materiālās izmaksas (Ls</w:t>
            </w:r>
            <w:r w:rsidR="00A8457A" w:rsidRPr="001B1446">
              <w:rPr>
                <w:rFonts w:ascii="Times New Roman" w:eastAsia="Calibri" w:hAnsi="Times New Roman" w:cs="Times New Roman"/>
                <w:b/>
                <w:sz w:val="24"/>
                <w:szCs w:val="24"/>
                <w:lang w:val="lv-LV"/>
              </w:rPr>
              <w:t>)</w:t>
            </w:r>
          </w:p>
        </w:tc>
      </w:tr>
      <w:tr w:rsidR="00A8457A" w:rsidRPr="001B1446" w:rsidTr="001B1446">
        <w:trPr>
          <w:jc w:val="center"/>
        </w:trPr>
        <w:tc>
          <w:tcPr>
            <w:tcW w:w="1138"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w:t>
            </w:r>
          </w:p>
          <w:p w:rsidR="00A8457A" w:rsidRPr="001B1446" w:rsidRDefault="001B1446"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gada</w:t>
            </w:r>
          </w:p>
          <w:p w:rsidR="00A8457A" w:rsidRPr="001B1446" w:rsidRDefault="00A8457A" w:rsidP="00A8457A">
            <w:pPr>
              <w:jc w:val="both"/>
              <w:rPr>
                <w:rFonts w:ascii="Times New Roman" w:eastAsia="Calibri" w:hAnsi="Times New Roman" w:cs="Times New Roman"/>
                <w:sz w:val="24"/>
                <w:szCs w:val="24"/>
                <w:lang w:val="lv-LV"/>
              </w:rPr>
            </w:pPr>
            <w:smartTag w:uri="schemas-tilde-lv/tildestengine" w:element="veidnes">
              <w:smartTagPr>
                <w:attr w:name="text" w:val="plāns&#10;"/>
                <w:attr w:name="baseform" w:val="plāns"/>
                <w:attr w:name="id" w:val="-1"/>
              </w:smartTagPr>
              <w:r w:rsidRPr="001B1446">
                <w:rPr>
                  <w:rFonts w:ascii="Times New Roman" w:eastAsia="Calibri" w:hAnsi="Times New Roman" w:cs="Times New Roman"/>
                  <w:sz w:val="24"/>
                  <w:szCs w:val="24"/>
                  <w:lang w:val="lv-LV"/>
                </w:rPr>
                <w:t>plāns</w:t>
              </w:r>
            </w:smartTag>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2011.g.</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izpilde 6 </w:t>
            </w:r>
            <w:proofErr w:type="spellStart"/>
            <w:r w:rsidRPr="001B1446">
              <w:rPr>
                <w:rFonts w:ascii="Times New Roman" w:eastAsia="Calibri" w:hAnsi="Times New Roman" w:cs="Times New Roman"/>
                <w:sz w:val="24"/>
                <w:szCs w:val="24"/>
                <w:lang w:val="lv-LV"/>
              </w:rPr>
              <w:t>mēn</w:t>
            </w:r>
            <w:proofErr w:type="spellEnd"/>
            <w:r w:rsidRPr="001B1446">
              <w:rPr>
                <w:rFonts w:ascii="Times New Roman" w:eastAsia="Calibri" w:hAnsi="Times New Roman" w:cs="Times New Roman"/>
                <w:sz w:val="24"/>
                <w:szCs w:val="24"/>
                <w:lang w:val="lv-LV"/>
              </w:rPr>
              <w:t>.</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Vidēji</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mēn</w:t>
            </w:r>
            <w:proofErr w:type="spellEnd"/>
          </w:p>
        </w:tc>
        <w:tc>
          <w:tcPr>
            <w:tcW w:w="1116" w:type="dxa"/>
          </w:tcPr>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Nepiec</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daudz. gadā</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9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Asins </w:t>
            </w:r>
            <w:proofErr w:type="spellStart"/>
            <w:r w:rsidRPr="001B1446">
              <w:rPr>
                <w:rFonts w:ascii="Times New Roman" w:eastAsia="Calibri" w:hAnsi="Times New Roman" w:cs="Times New Roman"/>
                <w:sz w:val="24"/>
                <w:szCs w:val="24"/>
                <w:lang w:val="lv-LV"/>
              </w:rPr>
              <w:t>sagat</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virs plāna</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(litri)</w:t>
            </w:r>
          </w:p>
        </w:tc>
        <w:tc>
          <w:tcPr>
            <w:tcW w:w="950"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1litra </w:t>
            </w:r>
            <w:proofErr w:type="spellStart"/>
            <w:r w:rsidRPr="001B1446">
              <w:rPr>
                <w:rFonts w:ascii="Times New Roman" w:eastAsia="Calibri" w:hAnsi="Times New Roman" w:cs="Times New Roman"/>
                <w:sz w:val="24"/>
                <w:szCs w:val="24"/>
                <w:lang w:val="lv-LV"/>
              </w:rPr>
              <w:t>sagata-</w:t>
            </w:r>
            <w:proofErr w:type="spellEnd"/>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vošanai</w:t>
            </w:r>
            <w:proofErr w:type="spellEnd"/>
          </w:p>
        </w:tc>
        <w:tc>
          <w:tcPr>
            <w:tcW w:w="1236"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Plānotā daudz. </w:t>
            </w:r>
            <w:proofErr w:type="spellStart"/>
            <w:r w:rsidRPr="001B1446">
              <w:rPr>
                <w:rFonts w:ascii="Times New Roman" w:eastAsia="Calibri" w:hAnsi="Times New Roman" w:cs="Times New Roman"/>
                <w:sz w:val="24"/>
                <w:szCs w:val="24"/>
                <w:lang w:val="lv-LV"/>
              </w:rPr>
              <w:t>sagatav</w:t>
            </w:r>
            <w:proofErr w:type="spellEnd"/>
            <w:r w:rsidRPr="001B1446">
              <w:rPr>
                <w:rFonts w:ascii="Times New Roman" w:eastAsia="Calibri" w:hAnsi="Times New Roman" w:cs="Times New Roman"/>
                <w:sz w:val="24"/>
                <w:szCs w:val="24"/>
                <w:lang w:val="lv-LV"/>
              </w:rPr>
              <w:t>. izmaksas</w:t>
            </w:r>
          </w:p>
        </w:tc>
        <w:tc>
          <w:tcPr>
            <w:tcW w:w="1393" w:type="dxa"/>
          </w:tcPr>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Nepiec</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daudz.</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sagatav</w:t>
            </w:r>
            <w:proofErr w:type="spellEnd"/>
            <w:r w:rsidRPr="001B1446">
              <w:rPr>
                <w:rFonts w:ascii="Times New Roman" w:eastAsia="Calibri" w:hAnsi="Times New Roman" w:cs="Times New Roman"/>
                <w:sz w:val="24"/>
                <w:szCs w:val="24"/>
                <w:lang w:val="lv-LV"/>
              </w:rPr>
              <w:t>.</w:t>
            </w:r>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izmak-</w:t>
            </w:r>
            <w:proofErr w:type="spellEnd"/>
          </w:p>
          <w:p w:rsidR="00A8457A" w:rsidRPr="001B1446" w:rsidRDefault="00A8457A" w:rsidP="00A8457A">
            <w:pPr>
              <w:jc w:val="both"/>
              <w:rPr>
                <w:rFonts w:ascii="Times New Roman" w:eastAsia="Calibri" w:hAnsi="Times New Roman" w:cs="Times New Roman"/>
                <w:sz w:val="24"/>
                <w:szCs w:val="24"/>
                <w:lang w:val="lv-LV"/>
              </w:rPr>
            </w:pPr>
            <w:proofErr w:type="spellStart"/>
            <w:r w:rsidRPr="001B1446">
              <w:rPr>
                <w:rFonts w:ascii="Times New Roman" w:eastAsia="Calibri" w:hAnsi="Times New Roman" w:cs="Times New Roman"/>
                <w:sz w:val="24"/>
                <w:szCs w:val="24"/>
                <w:lang w:val="lv-LV"/>
              </w:rPr>
              <w:t>sas</w:t>
            </w:r>
            <w:proofErr w:type="spellEnd"/>
          </w:p>
        </w:tc>
        <w:tc>
          <w:tcPr>
            <w:tcW w:w="1148" w:type="dxa"/>
          </w:tcPr>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2011.g.</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līdzekļu</w:t>
            </w:r>
          </w:p>
          <w:p w:rsidR="00A8457A" w:rsidRPr="001B1446" w:rsidRDefault="00A8457A" w:rsidP="00A8457A">
            <w:pPr>
              <w:jc w:val="both"/>
              <w:rPr>
                <w:rFonts w:ascii="Times New Roman" w:eastAsia="Calibri" w:hAnsi="Times New Roman" w:cs="Times New Roman"/>
                <w:sz w:val="24"/>
                <w:szCs w:val="24"/>
                <w:lang w:val="lv-LV"/>
              </w:rPr>
            </w:pPr>
            <w:r w:rsidRPr="001B1446">
              <w:rPr>
                <w:rFonts w:ascii="Times New Roman" w:eastAsia="Calibri" w:hAnsi="Times New Roman" w:cs="Times New Roman"/>
                <w:sz w:val="24"/>
                <w:szCs w:val="24"/>
                <w:lang w:val="lv-LV"/>
              </w:rPr>
              <w:t xml:space="preserve">deficīts </w:t>
            </w:r>
          </w:p>
        </w:tc>
      </w:tr>
      <w:tr w:rsidR="00A8457A" w:rsidRPr="001B1446" w:rsidTr="001B1446">
        <w:trPr>
          <w:jc w:val="center"/>
        </w:trPr>
        <w:tc>
          <w:tcPr>
            <w:tcW w:w="1138"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13 625</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9177.11</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1529.52</w:t>
            </w:r>
          </w:p>
        </w:tc>
        <w:tc>
          <w:tcPr>
            <w:tcW w:w="111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18354.22</w:t>
            </w:r>
          </w:p>
        </w:tc>
        <w:tc>
          <w:tcPr>
            <w:tcW w:w="99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4729.22</w:t>
            </w:r>
          </w:p>
        </w:tc>
        <w:tc>
          <w:tcPr>
            <w:tcW w:w="950"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47.75</w:t>
            </w:r>
          </w:p>
        </w:tc>
        <w:tc>
          <w:tcPr>
            <w:tcW w:w="1236"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650593.75</w:t>
            </w:r>
          </w:p>
        </w:tc>
        <w:tc>
          <w:tcPr>
            <w:tcW w:w="1393" w:type="dxa"/>
          </w:tcPr>
          <w:p w:rsidR="00A8457A" w:rsidRPr="001B1446" w:rsidRDefault="00A8457A" w:rsidP="00A8457A">
            <w:pPr>
              <w:jc w:val="both"/>
              <w:rPr>
                <w:rFonts w:ascii="Times New Roman" w:eastAsia="Calibri" w:hAnsi="Times New Roman" w:cs="Times New Roman"/>
                <w:lang w:val="lv-LV"/>
              </w:rPr>
            </w:pPr>
            <w:r w:rsidRPr="001B1446">
              <w:rPr>
                <w:rFonts w:ascii="Times New Roman" w:eastAsia="Calibri" w:hAnsi="Times New Roman" w:cs="Times New Roman"/>
                <w:lang w:val="lv-LV"/>
              </w:rPr>
              <w:t>876414.0</w:t>
            </w:r>
            <w:r w:rsidR="00591023">
              <w:rPr>
                <w:rFonts w:ascii="Times New Roman" w:eastAsia="Calibri" w:hAnsi="Times New Roman" w:cs="Times New Roman"/>
                <w:lang w:val="lv-LV"/>
              </w:rPr>
              <w:t>0</w:t>
            </w:r>
          </w:p>
        </w:tc>
        <w:tc>
          <w:tcPr>
            <w:tcW w:w="1148" w:type="dxa"/>
          </w:tcPr>
          <w:p w:rsidR="00A8457A" w:rsidRPr="00591023" w:rsidRDefault="00A8457A" w:rsidP="00591023">
            <w:pPr>
              <w:jc w:val="both"/>
              <w:rPr>
                <w:rFonts w:ascii="Times New Roman" w:eastAsia="Calibri" w:hAnsi="Times New Roman" w:cs="Times New Roman"/>
                <w:b/>
                <w:lang w:val="lv-LV"/>
              </w:rPr>
            </w:pPr>
            <w:r w:rsidRPr="00591023">
              <w:rPr>
                <w:rFonts w:ascii="Times New Roman" w:eastAsia="Calibri" w:hAnsi="Times New Roman" w:cs="Times New Roman"/>
                <w:b/>
                <w:lang w:val="lv-LV"/>
              </w:rPr>
              <w:t>225820.2</w:t>
            </w:r>
            <w:r w:rsidR="00591023">
              <w:rPr>
                <w:rFonts w:ascii="Times New Roman" w:eastAsia="Calibri" w:hAnsi="Times New Roman" w:cs="Times New Roman"/>
                <w:b/>
                <w:lang w:val="lv-LV"/>
              </w:rPr>
              <w:t>5</w:t>
            </w:r>
          </w:p>
        </w:tc>
      </w:tr>
    </w:tbl>
    <w:p w:rsidR="00A8457A" w:rsidRDefault="00A8457A" w:rsidP="007324F9">
      <w:pPr>
        <w:spacing w:after="0" w:line="240" w:lineRule="auto"/>
        <w:ind w:firstLine="720"/>
        <w:jc w:val="both"/>
        <w:rPr>
          <w:rFonts w:ascii="Times New Roman" w:hAnsi="Times New Roman" w:cs="Times New Roman"/>
          <w:sz w:val="24"/>
          <w:szCs w:val="24"/>
          <w:lang w:val="lv-LV"/>
        </w:rPr>
      </w:pPr>
    </w:p>
    <w:p w:rsidR="00A8457A" w:rsidRPr="00591023" w:rsidRDefault="00591023"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lastRenderedPageBreak/>
        <w:t>Tāpat kā 2010.gadā ir saglabājies, taču jau samazinātā 2011.gada finansējuma ietvaros, ārstniecības iestāžu piepras</w:t>
      </w:r>
      <w:r w:rsidR="004C4444">
        <w:rPr>
          <w:rFonts w:ascii="Times New Roman" w:eastAsia="Calibri" w:hAnsi="Times New Roman" w:cs="Times New Roman"/>
          <w:sz w:val="24"/>
          <w:szCs w:val="24"/>
          <w:lang w:val="lv-LV"/>
        </w:rPr>
        <w:t xml:space="preserve">ījums pēc plazmas preparātiem. </w:t>
      </w:r>
      <w:r w:rsidR="00A8457A" w:rsidRPr="00591023">
        <w:rPr>
          <w:rFonts w:ascii="Times New Roman" w:eastAsia="Calibri" w:hAnsi="Times New Roman" w:cs="Times New Roman"/>
          <w:sz w:val="24"/>
          <w:szCs w:val="24"/>
          <w:lang w:val="lv-LV"/>
        </w:rPr>
        <w:t>Tādējādi prognozējam</w:t>
      </w:r>
      <w:r w:rsidRPr="00591023">
        <w:rPr>
          <w:rFonts w:ascii="Times New Roman" w:eastAsia="Calibri" w:hAnsi="Times New Roman" w:cs="Times New Roman"/>
          <w:sz w:val="24"/>
          <w:szCs w:val="24"/>
          <w:lang w:val="lv-LV"/>
        </w:rPr>
        <w:t>s</w:t>
      </w:r>
      <w:r w:rsidR="00A8457A" w:rsidRPr="00591023">
        <w:rPr>
          <w:rFonts w:ascii="Times New Roman" w:eastAsia="Calibri" w:hAnsi="Times New Roman" w:cs="Times New Roman"/>
          <w:sz w:val="24"/>
          <w:szCs w:val="24"/>
          <w:lang w:val="lv-LV"/>
        </w:rPr>
        <w:t xml:space="preserve">, ka </w:t>
      </w:r>
      <w:r w:rsidRPr="00591023">
        <w:rPr>
          <w:rFonts w:ascii="Times New Roman" w:eastAsia="Calibri" w:hAnsi="Times New Roman" w:cs="Times New Roman"/>
          <w:sz w:val="24"/>
          <w:szCs w:val="24"/>
          <w:lang w:val="lv-LV"/>
        </w:rPr>
        <w:t xml:space="preserve">papildus </w:t>
      </w:r>
      <w:r w:rsidR="00D44ACD">
        <w:rPr>
          <w:rFonts w:ascii="Times New Roman" w:eastAsia="Calibri" w:hAnsi="Times New Roman" w:cs="Times New Roman"/>
          <w:sz w:val="24"/>
          <w:szCs w:val="24"/>
          <w:lang w:val="lv-LV"/>
        </w:rPr>
        <w:t>nepieciešami 94 180 lati (</w:t>
      </w:r>
      <w:r w:rsidR="006509CC">
        <w:rPr>
          <w:rFonts w:ascii="Times New Roman" w:eastAsia="Calibri" w:hAnsi="Times New Roman" w:cs="Times New Roman"/>
          <w:sz w:val="24"/>
          <w:szCs w:val="24"/>
          <w:lang w:val="lv-LV"/>
        </w:rPr>
        <w:t>8</w:t>
      </w:r>
      <w:r w:rsidR="002C6E8B">
        <w:rPr>
          <w:rFonts w:ascii="Times New Roman" w:eastAsia="Calibri" w:hAnsi="Times New Roman" w:cs="Times New Roman"/>
          <w:sz w:val="24"/>
          <w:szCs w:val="24"/>
          <w:lang w:val="lv-LV"/>
        </w:rPr>
        <w:t>.</w:t>
      </w:r>
      <w:r w:rsidRPr="00591023">
        <w:rPr>
          <w:rFonts w:ascii="Times New Roman" w:eastAsia="Calibri" w:hAnsi="Times New Roman" w:cs="Times New Roman"/>
          <w:sz w:val="24"/>
          <w:szCs w:val="24"/>
          <w:lang w:val="lv-LV"/>
        </w:rPr>
        <w:t>tabul</w:t>
      </w:r>
      <w:r w:rsidR="00D44ACD">
        <w:rPr>
          <w:rFonts w:ascii="Times New Roman" w:eastAsia="Calibri" w:hAnsi="Times New Roman" w:cs="Times New Roman"/>
          <w:sz w:val="24"/>
          <w:szCs w:val="24"/>
          <w:lang w:val="lv-LV"/>
        </w:rPr>
        <w:t>a</w:t>
      </w:r>
      <w:r w:rsidRPr="00591023">
        <w:rPr>
          <w:rFonts w:ascii="Times New Roman" w:eastAsia="Calibri" w:hAnsi="Times New Roman" w:cs="Times New Roman"/>
          <w:sz w:val="24"/>
          <w:szCs w:val="24"/>
          <w:lang w:val="lv-LV"/>
        </w:rPr>
        <w:t>)</w:t>
      </w:r>
      <w:r w:rsidR="00A8457A" w:rsidRPr="00591023">
        <w:rPr>
          <w:rFonts w:ascii="Times New Roman" w:eastAsia="Calibri" w:hAnsi="Times New Roman" w:cs="Times New Roman"/>
          <w:sz w:val="24"/>
          <w:szCs w:val="24"/>
          <w:lang w:val="lv-LV"/>
        </w:rPr>
        <w:t>:</w:t>
      </w:r>
    </w:p>
    <w:p w:rsidR="00591023" w:rsidRPr="00C85B62" w:rsidRDefault="006509CC" w:rsidP="00591023">
      <w:pPr>
        <w:pStyle w:val="NormalWeb"/>
        <w:spacing w:before="120" w:after="120"/>
        <w:ind w:left="318"/>
        <w:jc w:val="right"/>
      </w:pPr>
      <w:r>
        <w:t>8</w:t>
      </w:r>
      <w:r w:rsidR="00591023" w:rsidRPr="00C85B62">
        <w:t>.tabula</w:t>
      </w:r>
    </w:p>
    <w:p w:rsidR="00A8457A" w:rsidRPr="00591023" w:rsidRDefault="00591023" w:rsidP="00591023">
      <w:pPr>
        <w:pStyle w:val="NormalWeb"/>
        <w:spacing w:before="0" w:after="120"/>
        <w:ind w:left="318"/>
        <w:jc w:val="center"/>
        <w:rPr>
          <w:b/>
        </w:rPr>
      </w:pPr>
      <w:r>
        <w:rPr>
          <w:rFonts w:eastAsia="Calibri"/>
          <w:b/>
        </w:rPr>
        <w:t xml:space="preserve">Asins sagatavošanas </w:t>
      </w:r>
      <w:r>
        <w:rPr>
          <w:b/>
        </w:rPr>
        <w:t xml:space="preserve">izpilde 2011.gada 6 mēnešos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Preparāts</w:t>
            </w:r>
          </w:p>
        </w:tc>
        <w:tc>
          <w:tcPr>
            <w:tcW w:w="2130" w:type="dxa"/>
          </w:tcPr>
          <w:p w:rsidR="00A8457A" w:rsidRPr="00591023" w:rsidRDefault="00A8457A" w:rsidP="004C4444">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nepieciešamais daudzums</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Preparāta cena par 1 litru</w:t>
            </w:r>
            <w:r w:rsidR="004C4444">
              <w:rPr>
                <w:rFonts w:ascii="Times New Roman" w:eastAsia="Calibri" w:hAnsi="Times New Roman" w:cs="Times New Roman"/>
                <w:sz w:val="24"/>
                <w:szCs w:val="24"/>
                <w:lang w:val="lv-LV"/>
              </w:rPr>
              <w:t xml:space="preserve"> (Ls)</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Kopējās izmaksas</w:t>
            </w:r>
            <w:r w:rsidR="004C4444">
              <w:rPr>
                <w:rFonts w:ascii="Times New Roman" w:eastAsia="Calibri" w:hAnsi="Times New Roman" w:cs="Times New Roman"/>
                <w:sz w:val="24"/>
                <w:szCs w:val="24"/>
                <w:lang w:val="lv-LV"/>
              </w:rPr>
              <w:t xml:space="preserve"> (Ls)</w:t>
            </w:r>
          </w:p>
        </w:tc>
      </w:tr>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Intravenozais imūnglobulīns</w:t>
            </w:r>
          </w:p>
        </w:tc>
        <w:tc>
          <w:tcPr>
            <w:tcW w:w="2130" w:type="dxa"/>
          </w:tcPr>
          <w:p w:rsidR="00A8457A" w:rsidRPr="00591023" w:rsidRDefault="004C4444"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70</w:t>
            </w:r>
            <w:r w:rsidR="00A8457A" w:rsidRPr="00591023">
              <w:rPr>
                <w:rFonts w:ascii="Times New Roman" w:eastAsia="Calibri" w:hAnsi="Times New Roman" w:cs="Times New Roman"/>
                <w:sz w:val="24"/>
                <w:szCs w:val="24"/>
                <w:lang w:val="lv-LV"/>
              </w:rPr>
              <w:t xml:space="preserve"> litri</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smartTag w:uri="schemas-tilde-lv/tildestengine" w:element="currency2">
              <w:smartTagPr>
                <w:attr w:name="currency_text" w:val="LVL"/>
                <w:attr w:name="currency_value" w:val="709.9665"/>
                <w:attr w:name="currency_key" w:val="LVL"/>
                <w:attr w:name="currency_id" w:val="48"/>
              </w:smartTagPr>
              <w:r w:rsidRPr="00591023">
                <w:rPr>
                  <w:rFonts w:ascii="Times New Roman" w:eastAsia="Calibri" w:hAnsi="Times New Roman" w:cs="Times New Roman"/>
                  <w:sz w:val="24"/>
                  <w:szCs w:val="24"/>
                  <w:lang w:val="lv-LV"/>
                </w:rPr>
                <w:t>709,9665 LVL</w:t>
              </w:r>
            </w:smartTag>
          </w:p>
        </w:tc>
        <w:tc>
          <w:tcPr>
            <w:tcW w:w="2131" w:type="dxa"/>
          </w:tcPr>
          <w:p w:rsidR="00A8457A" w:rsidRPr="00591023" w:rsidRDefault="004C4444" w:rsidP="004C4444">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49 697,66</w:t>
            </w:r>
            <w:r w:rsidR="00A8457A" w:rsidRPr="00591023">
              <w:rPr>
                <w:rFonts w:ascii="Times New Roman" w:eastAsia="Calibri" w:hAnsi="Times New Roman" w:cs="Times New Roman"/>
                <w:sz w:val="24"/>
                <w:szCs w:val="24"/>
                <w:lang w:val="lv-LV"/>
              </w:rPr>
              <w:t xml:space="preserve"> L</w:t>
            </w:r>
            <w:r>
              <w:rPr>
                <w:rFonts w:ascii="Times New Roman" w:eastAsia="Calibri" w:hAnsi="Times New Roman" w:cs="Times New Roman"/>
                <w:sz w:val="24"/>
                <w:szCs w:val="24"/>
                <w:lang w:val="lv-LV"/>
              </w:rPr>
              <w:t>s</w:t>
            </w:r>
          </w:p>
        </w:tc>
      </w:tr>
      <w:tr w:rsidR="00A8457A" w:rsidRPr="00591023" w:rsidTr="00591023">
        <w:trPr>
          <w:jc w:val="center"/>
        </w:trPr>
        <w:tc>
          <w:tcPr>
            <w:tcW w:w="2130" w:type="dxa"/>
          </w:tcPr>
          <w:p w:rsidR="00A8457A" w:rsidRPr="00591023" w:rsidRDefault="00A8457A" w:rsidP="00A8457A">
            <w:pPr>
              <w:jc w:val="both"/>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20% albumīna šķīdums</w:t>
            </w:r>
          </w:p>
        </w:tc>
        <w:tc>
          <w:tcPr>
            <w:tcW w:w="2130" w:type="dxa"/>
          </w:tcPr>
          <w:p w:rsidR="00A8457A" w:rsidRPr="00591023" w:rsidRDefault="004C4444" w:rsidP="00A8457A">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58,53</w:t>
            </w:r>
            <w:r w:rsidR="00A8457A" w:rsidRPr="00591023">
              <w:rPr>
                <w:rFonts w:ascii="Times New Roman" w:eastAsia="Calibri" w:hAnsi="Times New Roman" w:cs="Times New Roman"/>
                <w:sz w:val="24"/>
                <w:szCs w:val="24"/>
                <w:lang w:val="lv-LV"/>
              </w:rPr>
              <w:t xml:space="preserve"> litri</w:t>
            </w:r>
          </w:p>
        </w:tc>
        <w:tc>
          <w:tcPr>
            <w:tcW w:w="2131" w:type="dxa"/>
          </w:tcPr>
          <w:p w:rsidR="00A8457A" w:rsidRPr="00591023" w:rsidRDefault="00A8457A" w:rsidP="00A8457A">
            <w:pPr>
              <w:jc w:val="both"/>
              <w:rPr>
                <w:rFonts w:ascii="Times New Roman" w:eastAsia="Calibri" w:hAnsi="Times New Roman" w:cs="Times New Roman"/>
                <w:sz w:val="24"/>
                <w:szCs w:val="24"/>
                <w:lang w:val="lv-LV"/>
              </w:rPr>
            </w:pPr>
            <w:smartTag w:uri="schemas-tilde-lv/tildestengine" w:element="currency2">
              <w:smartTagPr>
                <w:attr w:name="currency_text" w:val="LVL"/>
                <w:attr w:name="currency_value" w:val="760"/>
                <w:attr w:name="currency_key" w:val="LVL"/>
                <w:attr w:name="currency_id" w:val="48"/>
              </w:smartTagPr>
              <w:r w:rsidRPr="00591023">
                <w:rPr>
                  <w:rFonts w:ascii="Times New Roman" w:eastAsia="Calibri" w:hAnsi="Times New Roman" w:cs="Times New Roman"/>
                  <w:sz w:val="24"/>
                  <w:szCs w:val="24"/>
                  <w:lang w:val="lv-LV"/>
                </w:rPr>
                <w:t>760 LVL</w:t>
              </w:r>
            </w:smartTag>
          </w:p>
        </w:tc>
        <w:tc>
          <w:tcPr>
            <w:tcW w:w="2131" w:type="dxa"/>
          </w:tcPr>
          <w:p w:rsidR="00A8457A" w:rsidRPr="00591023" w:rsidRDefault="004C4444" w:rsidP="004C4444">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44 482,80</w:t>
            </w:r>
            <w:r w:rsidR="00A8457A" w:rsidRPr="00591023">
              <w:rPr>
                <w:rFonts w:ascii="Times New Roman" w:eastAsia="Calibri" w:hAnsi="Times New Roman" w:cs="Times New Roman"/>
                <w:sz w:val="24"/>
                <w:szCs w:val="24"/>
                <w:lang w:val="lv-LV"/>
              </w:rPr>
              <w:t xml:space="preserve"> L</w:t>
            </w:r>
            <w:r>
              <w:rPr>
                <w:rFonts w:ascii="Times New Roman" w:eastAsia="Calibri" w:hAnsi="Times New Roman" w:cs="Times New Roman"/>
                <w:sz w:val="24"/>
                <w:szCs w:val="24"/>
                <w:lang w:val="lv-LV"/>
              </w:rPr>
              <w:t>s</w:t>
            </w:r>
          </w:p>
        </w:tc>
      </w:tr>
      <w:tr w:rsidR="00A8457A" w:rsidRPr="00591023" w:rsidTr="004C4444">
        <w:trPr>
          <w:trHeight w:val="291"/>
          <w:jc w:val="center"/>
        </w:trPr>
        <w:tc>
          <w:tcPr>
            <w:tcW w:w="2130" w:type="dxa"/>
          </w:tcPr>
          <w:p w:rsidR="00A8457A" w:rsidRPr="00591023" w:rsidRDefault="00A8457A" w:rsidP="004C4444">
            <w:pPr>
              <w:jc w:val="right"/>
              <w:rPr>
                <w:rFonts w:ascii="Times New Roman" w:eastAsia="Calibri" w:hAnsi="Times New Roman" w:cs="Times New Roman"/>
                <w:sz w:val="24"/>
                <w:szCs w:val="24"/>
                <w:lang w:val="lv-LV"/>
              </w:rPr>
            </w:pPr>
            <w:r w:rsidRPr="00591023">
              <w:rPr>
                <w:rFonts w:ascii="Times New Roman" w:eastAsia="Calibri" w:hAnsi="Times New Roman" w:cs="Times New Roman"/>
                <w:sz w:val="24"/>
                <w:szCs w:val="24"/>
                <w:lang w:val="lv-LV"/>
              </w:rPr>
              <w:t>Kopā:</w:t>
            </w:r>
          </w:p>
        </w:tc>
        <w:tc>
          <w:tcPr>
            <w:tcW w:w="2130" w:type="dxa"/>
          </w:tcPr>
          <w:p w:rsidR="00A8457A" w:rsidRPr="00591023" w:rsidRDefault="00A8457A" w:rsidP="00A8457A">
            <w:pPr>
              <w:jc w:val="both"/>
              <w:rPr>
                <w:rFonts w:ascii="Times New Roman" w:eastAsia="Calibri" w:hAnsi="Times New Roman" w:cs="Times New Roman"/>
                <w:sz w:val="24"/>
                <w:szCs w:val="24"/>
                <w:lang w:val="lv-LV"/>
              </w:rPr>
            </w:pPr>
          </w:p>
        </w:tc>
        <w:tc>
          <w:tcPr>
            <w:tcW w:w="2131" w:type="dxa"/>
          </w:tcPr>
          <w:p w:rsidR="00A8457A" w:rsidRPr="00591023" w:rsidRDefault="00A8457A" w:rsidP="00A8457A">
            <w:pPr>
              <w:jc w:val="both"/>
              <w:rPr>
                <w:rFonts w:ascii="Times New Roman" w:eastAsia="Calibri" w:hAnsi="Times New Roman" w:cs="Times New Roman"/>
                <w:sz w:val="24"/>
                <w:szCs w:val="24"/>
                <w:lang w:val="lv-LV"/>
              </w:rPr>
            </w:pPr>
          </w:p>
        </w:tc>
        <w:tc>
          <w:tcPr>
            <w:tcW w:w="2131" w:type="dxa"/>
          </w:tcPr>
          <w:p w:rsidR="00A8457A" w:rsidRPr="009C6494" w:rsidRDefault="004C4444" w:rsidP="009C6494">
            <w:pPr>
              <w:pStyle w:val="ListParagraph"/>
              <w:numPr>
                <w:ilvl w:val="0"/>
                <w:numId w:val="13"/>
              </w:numPr>
              <w:jc w:val="both"/>
              <w:rPr>
                <w:rFonts w:ascii="Times New Roman" w:eastAsia="Calibri" w:hAnsi="Times New Roman" w:cs="Times New Roman"/>
                <w:sz w:val="24"/>
                <w:szCs w:val="24"/>
                <w:lang w:val="lv-LV"/>
              </w:rPr>
            </w:pPr>
            <w:r w:rsidRPr="009C6494">
              <w:rPr>
                <w:rFonts w:ascii="Times New Roman" w:eastAsia="Calibri" w:hAnsi="Times New Roman" w:cs="Times New Roman"/>
                <w:sz w:val="24"/>
                <w:szCs w:val="24"/>
                <w:lang w:val="lv-LV"/>
              </w:rPr>
              <w:t>180,46</w:t>
            </w:r>
            <w:r w:rsidR="00A8457A" w:rsidRPr="009C6494">
              <w:rPr>
                <w:rFonts w:ascii="Times New Roman" w:eastAsia="Calibri" w:hAnsi="Times New Roman" w:cs="Times New Roman"/>
                <w:sz w:val="24"/>
                <w:szCs w:val="24"/>
                <w:lang w:val="lv-LV"/>
              </w:rPr>
              <w:t xml:space="preserve"> L</w:t>
            </w:r>
            <w:r w:rsidRPr="009C6494">
              <w:rPr>
                <w:rFonts w:ascii="Times New Roman" w:eastAsia="Calibri" w:hAnsi="Times New Roman" w:cs="Times New Roman"/>
                <w:sz w:val="24"/>
                <w:szCs w:val="24"/>
                <w:lang w:val="lv-LV"/>
              </w:rPr>
              <w:t>s</w:t>
            </w:r>
          </w:p>
        </w:tc>
      </w:tr>
    </w:tbl>
    <w:p w:rsidR="002A1B6B" w:rsidRPr="002A1B6B" w:rsidRDefault="002A1B6B" w:rsidP="009C6494">
      <w:pPr>
        <w:spacing w:after="0" w:line="240" w:lineRule="auto"/>
        <w:rPr>
          <w:rFonts w:ascii="Times New Roman" w:hAnsi="Times New Roman" w:cs="Times New Roman"/>
          <w:b/>
          <w:sz w:val="24"/>
          <w:szCs w:val="24"/>
          <w:lang w:val="lv-LV"/>
        </w:rPr>
      </w:pPr>
    </w:p>
    <w:p w:rsidR="00035EF1" w:rsidRPr="00B10941" w:rsidRDefault="000E71E2" w:rsidP="006509CC">
      <w:pPr>
        <w:pStyle w:val="ListParagraph"/>
        <w:numPr>
          <w:ilvl w:val="0"/>
          <w:numId w:val="3"/>
        </w:numPr>
        <w:spacing w:after="0" w:line="240" w:lineRule="auto"/>
        <w:jc w:val="both"/>
        <w:rPr>
          <w:rFonts w:ascii="Times New Roman" w:hAnsi="Times New Roman"/>
          <w:b/>
          <w:bCs/>
          <w:color w:val="FF0000"/>
          <w:sz w:val="24"/>
          <w:szCs w:val="24"/>
          <w:lang w:val="lv-LV"/>
        </w:rPr>
      </w:pPr>
      <w:r w:rsidRPr="006509CC">
        <w:rPr>
          <w:rFonts w:ascii="Times New Roman" w:hAnsi="Times New Roman"/>
          <w:b/>
          <w:bCs/>
          <w:sz w:val="24"/>
          <w:szCs w:val="24"/>
          <w:lang w:val="lv-LV"/>
        </w:rPr>
        <w:t xml:space="preserve">Pacientu </w:t>
      </w:r>
      <w:proofErr w:type="spellStart"/>
      <w:r w:rsidRPr="006509CC">
        <w:rPr>
          <w:rFonts w:ascii="Times New Roman" w:hAnsi="Times New Roman"/>
          <w:b/>
          <w:bCs/>
          <w:sz w:val="24"/>
          <w:szCs w:val="24"/>
          <w:lang w:val="lv-LV"/>
        </w:rPr>
        <w:t>līdzmaksājumu</w:t>
      </w:r>
      <w:proofErr w:type="spellEnd"/>
      <w:r w:rsidRPr="006509CC">
        <w:rPr>
          <w:rFonts w:ascii="Times New Roman" w:hAnsi="Times New Roman"/>
          <w:b/>
          <w:bCs/>
          <w:sz w:val="24"/>
          <w:szCs w:val="24"/>
          <w:lang w:val="lv-LV"/>
        </w:rPr>
        <w:t xml:space="preserve"> samazinājuma nepieciešamība  valsts apmaksāto veselības</w:t>
      </w:r>
      <w:r w:rsidRPr="000E71E2">
        <w:rPr>
          <w:rFonts w:ascii="Times New Roman" w:hAnsi="Times New Roman"/>
          <w:b/>
          <w:bCs/>
          <w:sz w:val="24"/>
          <w:szCs w:val="24"/>
          <w:lang w:val="lv-LV"/>
        </w:rPr>
        <w:t xml:space="preserve">  </w:t>
      </w:r>
      <w:r w:rsidR="00035EF1" w:rsidRPr="000E71E2">
        <w:rPr>
          <w:rFonts w:ascii="Times New Roman" w:hAnsi="Times New Roman"/>
          <w:b/>
          <w:bCs/>
          <w:sz w:val="24"/>
          <w:szCs w:val="24"/>
          <w:lang w:val="lv-LV"/>
        </w:rPr>
        <w:t xml:space="preserve"> </w:t>
      </w:r>
      <w:r w:rsidRPr="000E71E2">
        <w:rPr>
          <w:rFonts w:ascii="Times New Roman" w:hAnsi="Times New Roman"/>
          <w:b/>
          <w:bCs/>
          <w:sz w:val="24"/>
          <w:szCs w:val="24"/>
          <w:lang w:val="lv-LV"/>
        </w:rPr>
        <w:t>aprūpes pakalpojumu struktūrā.</w:t>
      </w:r>
      <w:r w:rsidRPr="000E71E2">
        <w:rPr>
          <w:rFonts w:ascii="Times New Roman" w:hAnsi="Times New Roman"/>
          <w:b/>
          <w:bCs/>
          <w:color w:val="FF0000"/>
          <w:sz w:val="24"/>
          <w:szCs w:val="24"/>
          <w:lang w:val="lv-LV"/>
        </w:rPr>
        <w:t xml:space="preserve"> </w:t>
      </w:r>
    </w:p>
    <w:p w:rsidR="000E71E2" w:rsidRDefault="000E71E2" w:rsidP="00222A3E">
      <w:pPr>
        <w:spacing w:after="0" w:line="240" w:lineRule="auto"/>
        <w:ind w:firstLine="720"/>
        <w:jc w:val="both"/>
        <w:rPr>
          <w:rFonts w:ascii="Times New Roman" w:hAnsi="Times New Roman" w:cs="Times New Roman"/>
          <w:sz w:val="24"/>
          <w:szCs w:val="24"/>
          <w:lang w:val="lv-LV"/>
        </w:rPr>
      </w:pPr>
    </w:p>
    <w:p w:rsidR="000E71E2" w:rsidRDefault="000E71E2" w:rsidP="00222A3E">
      <w:pPr>
        <w:spacing w:after="0" w:line="240" w:lineRule="auto"/>
        <w:ind w:firstLine="720"/>
        <w:jc w:val="both"/>
        <w:rPr>
          <w:rFonts w:ascii="Times New Roman" w:hAnsi="Times New Roman" w:cs="Times New Roman"/>
          <w:color w:val="000000"/>
          <w:sz w:val="24"/>
          <w:szCs w:val="24"/>
          <w:lang w:val="lv-LV"/>
        </w:rPr>
      </w:pPr>
      <w:r w:rsidRPr="00222A3E">
        <w:rPr>
          <w:rFonts w:ascii="Times New Roman" w:hAnsi="Times New Roman" w:cs="Times New Roman"/>
          <w:sz w:val="24"/>
          <w:szCs w:val="24"/>
          <w:lang w:val="lv-LV"/>
        </w:rPr>
        <w:t>Pacienta iemaksa ir valsts noteiktais maksājums par valsts apmaksāto veselības aprūpes</w:t>
      </w:r>
      <w:r w:rsidRPr="00035EF1">
        <w:rPr>
          <w:rFonts w:ascii="Times New Roman" w:hAnsi="Times New Roman" w:cs="Times New Roman"/>
          <w:sz w:val="24"/>
          <w:szCs w:val="24"/>
          <w:lang w:val="lv-LV"/>
        </w:rPr>
        <w:t xml:space="preserve"> pakalpojumu saņemšanu, kuru sedz pats pacients</w:t>
      </w:r>
      <w:r>
        <w:rPr>
          <w:rFonts w:ascii="Times New Roman" w:hAnsi="Times New Roman" w:cs="Times New Roman"/>
          <w:sz w:val="24"/>
          <w:szCs w:val="24"/>
          <w:lang w:val="lv-LV"/>
        </w:rPr>
        <w:t>.</w:t>
      </w:r>
      <w:r w:rsidRPr="000E71E2">
        <w:rPr>
          <w:rFonts w:ascii="Times New Roman" w:hAnsi="Times New Roman" w:cs="Times New Roman"/>
          <w:color w:val="000000"/>
          <w:sz w:val="24"/>
          <w:szCs w:val="24"/>
          <w:lang w:val="lv-LV"/>
        </w:rPr>
        <w:t xml:space="preserve"> </w:t>
      </w:r>
      <w:r w:rsidRPr="00A72C81">
        <w:rPr>
          <w:rFonts w:ascii="Times New Roman" w:hAnsi="Times New Roman" w:cs="Times New Roman"/>
          <w:color w:val="000000"/>
          <w:sz w:val="24"/>
          <w:szCs w:val="24"/>
          <w:lang w:val="lv-LV"/>
        </w:rPr>
        <w:t>Pašreiz valstī noteikto pacientu iemaksu apjoms ir tāds, kas nodrošina bū</w:t>
      </w:r>
      <w:r>
        <w:rPr>
          <w:rFonts w:ascii="Times New Roman" w:hAnsi="Times New Roman" w:cs="Times New Roman"/>
          <w:color w:val="000000"/>
          <w:sz w:val="24"/>
          <w:szCs w:val="24"/>
          <w:lang w:val="lv-LV"/>
        </w:rPr>
        <w:t>tis</w:t>
      </w:r>
      <w:r w:rsidRPr="00A72C81">
        <w:rPr>
          <w:rFonts w:ascii="Times New Roman" w:hAnsi="Times New Roman" w:cs="Times New Roman"/>
          <w:color w:val="000000"/>
          <w:sz w:val="24"/>
          <w:szCs w:val="24"/>
          <w:lang w:val="lv-LV"/>
        </w:rPr>
        <w:t>ku</w:t>
      </w:r>
      <w:r>
        <w:rPr>
          <w:rFonts w:ascii="Times New Roman" w:hAnsi="Times New Roman" w:cs="Times New Roman"/>
          <w:color w:val="000000"/>
          <w:sz w:val="24"/>
          <w:szCs w:val="24"/>
          <w:lang w:val="lv-LV"/>
        </w:rPr>
        <w:t xml:space="preserve">s papildus </w:t>
      </w:r>
      <w:r w:rsidRPr="00A72C81">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ienākumus ārstniecības iestādēm, kuras sniedz valsts apmaksātos veselības aprūpes pakalpojumus. Pacientu maksājumu apjoms atspoguļo veselības aprūpei pieejamo finanšu līdzekļu deficītu, kurš tiek segts no iedzīvotāju līdzekļiem.</w:t>
      </w:r>
    </w:p>
    <w:p w:rsidR="000E71E2" w:rsidRDefault="000E71E2" w:rsidP="000E71E2">
      <w:pPr>
        <w:spacing w:after="0" w:line="240" w:lineRule="auto"/>
        <w:ind w:firstLine="720"/>
        <w:jc w:val="both"/>
        <w:rPr>
          <w:rFonts w:ascii="Times New Roman" w:hAnsi="Times New Roman" w:cs="Times New Roman"/>
          <w:color w:val="000000"/>
          <w:sz w:val="24"/>
          <w:szCs w:val="24"/>
          <w:lang w:val="lv-LV"/>
        </w:rPr>
      </w:pPr>
      <w:r w:rsidRPr="009C6494">
        <w:rPr>
          <w:rFonts w:ascii="Times New Roman" w:hAnsi="Times New Roman" w:cs="Times New Roman"/>
          <w:sz w:val="24"/>
          <w:szCs w:val="24"/>
          <w:lang w:val="lv-LV"/>
        </w:rPr>
        <w:t xml:space="preserve">Pašreizējā ekonomiskajā situācijā, kad iedzīvotājiem ir zemas algas un pensijas, saglabājas augsts bezdarba līmenis, bet dzīves dārdzība pieaug, spēkā esošo pacienta iemaksu apjoms lielai iedzīvotāju daļai ir kļuvis par  reālu šķērsli savlaicīgai veselības aprūpes pakalpojumu saņemšanai. </w:t>
      </w:r>
      <w:r>
        <w:rPr>
          <w:rFonts w:ascii="Times New Roman" w:hAnsi="Times New Roman" w:cs="Times New Roman"/>
          <w:color w:val="000000"/>
          <w:sz w:val="24"/>
          <w:szCs w:val="24"/>
          <w:lang w:val="lv-LV"/>
        </w:rPr>
        <w:t>N</w:t>
      </w:r>
      <w:r w:rsidRPr="00A72C81">
        <w:rPr>
          <w:rFonts w:ascii="Times New Roman" w:hAnsi="Times New Roman" w:cs="Times New Roman"/>
          <w:color w:val="000000"/>
          <w:sz w:val="24"/>
          <w:szCs w:val="24"/>
          <w:lang w:val="lv-LV"/>
        </w:rPr>
        <w:t>eskatoties uz soc</w:t>
      </w:r>
      <w:r>
        <w:rPr>
          <w:rFonts w:ascii="Times New Roman" w:hAnsi="Times New Roman" w:cs="Times New Roman"/>
          <w:color w:val="000000"/>
          <w:sz w:val="24"/>
          <w:szCs w:val="24"/>
          <w:lang w:val="lv-LV"/>
        </w:rPr>
        <w:t>iālās</w:t>
      </w:r>
      <w:r w:rsidRPr="00A72C81">
        <w:rPr>
          <w:rFonts w:ascii="Times New Roman" w:hAnsi="Times New Roman" w:cs="Times New Roman"/>
          <w:color w:val="000000"/>
          <w:sz w:val="24"/>
          <w:szCs w:val="24"/>
          <w:lang w:val="lv-LV"/>
        </w:rPr>
        <w:t xml:space="preserve"> droš</w:t>
      </w:r>
      <w:r>
        <w:rPr>
          <w:rFonts w:ascii="Times New Roman" w:hAnsi="Times New Roman" w:cs="Times New Roman"/>
          <w:color w:val="000000"/>
          <w:sz w:val="24"/>
          <w:szCs w:val="24"/>
          <w:lang w:val="lv-LV"/>
        </w:rPr>
        <w:t>ī</w:t>
      </w:r>
      <w:r w:rsidRPr="00A72C81">
        <w:rPr>
          <w:rFonts w:ascii="Times New Roman" w:hAnsi="Times New Roman" w:cs="Times New Roman"/>
          <w:color w:val="000000"/>
          <w:sz w:val="24"/>
          <w:szCs w:val="24"/>
          <w:lang w:val="lv-LV"/>
        </w:rPr>
        <w:t xml:space="preserve">bas tīklā pieejamiem resursiem, </w:t>
      </w:r>
      <w:r>
        <w:rPr>
          <w:rFonts w:ascii="Times New Roman" w:hAnsi="Times New Roman" w:cs="Times New Roman"/>
          <w:color w:val="000000"/>
          <w:sz w:val="24"/>
          <w:szCs w:val="24"/>
          <w:lang w:val="lv-LV"/>
        </w:rPr>
        <w:t xml:space="preserve">pacientiem </w:t>
      </w:r>
      <w:r w:rsidRPr="00A72C81">
        <w:rPr>
          <w:rFonts w:ascii="Times New Roman" w:hAnsi="Times New Roman" w:cs="Times New Roman"/>
          <w:color w:val="000000"/>
          <w:sz w:val="24"/>
          <w:szCs w:val="24"/>
          <w:lang w:val="lv-LV"/>
        </w:rPr>
        <w:t xml:space="preserve">arvien grūtāk apmaksāt ārstniecības iestāžu rēķinus. </w:t>
      </w:r>
      <w:r w:rsidRPr="009C6494">
        <w:rPr>
          <w:rFonts w:ascii="Times New Roman" w:hAnsi="Times New Roman" w:cs="Times New Roman"/>
          <w:sz w:val="24"/>
          <w:szCs w:val="24"/>
          <w:lang w:val="lv-LV"/>
        </w:rPr>
        <w:t>Tas nenovēršami noved pie slimību ielaistības, dažādu komplikāciju rašanās, neatliekamās ārstēšanās izmaksu palielināšanās, darbaspēka zuduma, invaliditātes pieauguma un citām nelabvēlīgām sekām.</w:t>
      </w:r>
    </w:p>
    <w:p w:rsidR="000E71E2" w:rsidRDefault="000E71E2" w:rsidP="000E71E2">
      <w:pPr>
        <w:spacing w:after="0" w:line="240" w:lineRule="auto"/>
        <w:ind w:firstLine="720"/>
        <w:jc w:val="both"/>
        <w:rPr>
          <w:rFonts w:ascii="Times New Roman" w:hAnsi="Times New Roman" w:cs="Times New Roman"/>
          <w:color w:val="000000"/>
          <w:sz w:val="24"/>
          <w:szCs w:val="24"/>
          <w:lang w:val="lv-LV"/>
        </w:rPr>
      </w:pPr>
      <w:r w:rsidRPr="00222A3E">
        <w:rPr>
          <w:rFonts w:ascii="Times New Roman" w:hAnsi="Times New Roman" w:cs="Times New Roman"/>
          <w:color w:val="000000"/>
          <w:sz w:val="24"/>
          <w:szCs w:val="24"/>
          <w:lang w:val="lv-LV"/>
        </w:rPr>
        <w:t>Latvijas Cilvēku ar īpašām vajadzībām sadarbības organizācijas „SUSTENTO”</w:t>
      </w:r>
      <w:r>
        <w:rPr>
          <w:rFonts w:ascii="Times New Roman" w:hAnsi="Times New Roman" w:cs="Times New Roman"/>
          <w:color w:val="000000"/>
          <w:sz w:val="24"/>
          <w:szCs w:val="24"/>
          <w:lang w:val="lv-LV"/>
        </w:rPr>
        <w:t xml:space="preserve"> veiktās pacientu aptaujas dati liecina, ka pēdējā gada laikā Latvijā vērojama ļoti satraucoša tendence – pieaug hroniski slimo iedzīvotāju skaits, kuriem trūkst naudas ārstēšanās izdevumu segšanai.</w:t>
      </w:r>
      <w:r w:rsidRPr="00222A3E">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Ja pirms gada savus ģimenes ienākumus par nepietiekamiem ārstēšanas vajadzībām aptaujā atzina 55% respondentu, šogad tādu jau ir 72%.  </w:t>
      </w:r>
      <w:r w:rsidR="009152A8">
        <w:rPr>
          <w:rFonts w:ascii="Times New Roman" w:hAnsi="Times New Roman" w:cs="Times New Roman"/>
          <w:color w:val="000000"/>
          <w:sz w:val="24"/>
          <w:szCs w:val="24"/>
          <w:lang w:val="lv-LV"/>
        </w:rPr>
        <w:t>Ir jāatzīmē, ka saskaņā ar Veselības un darbspēju ekspertīzes ārstu valsts komisijas datiem ir iezīmējusies stabila tendence pieaugt pirmreizēji noteiktai pirmās grupas  invaliditātes proporcijai (2011. gada pirmais pusgads 19.9%, 2011. pirmais pusgads 22.4%). Tas liecina, ka savlaicīgi nesaņemot veselības aprūpes pakalpojumus, iedzīvotāju veselības problēmas kļūst arvien smagākas.</w:t>
      </w:r>
    </w:p>
    <w:p w:rsidR="009C6494" w:rsidRPr="00D41B27" w:rsidRDefault="009152A8" w:rsidP="009152A8">
      <w:pPr>
        <w:spacing w:after="0" w:line="240" w:lineRule="auto"/>
        <w:jc w:val="both"/>
        <w:rPr>
          <w:rFonts w:ascii="Times New Roman" w:hAnsi="Times New Roman"/>
          <w:b/>
          <w:bCs/>
          <w:color w:val="FF0000"/>
          <w:sz w:val="24"/>
          <w:szCs w:val="24"/>
          <w:lang w:val="lv-LV"/>
        </w:rPr>
      </w:pPr>
      <w:r>
        <w:rPr>
          <w:rFonts w:ascii="Times New Roman" w:hAnsi="Times New Roman" w:cs="Times New Roman"/>
          <w:color w:val="000000"/>
          <w:sz w:val="24"/>
          <w:szCs w:val="24"/>
          <w:lang w:val="lv-LV"/>
        </w:rPr>
        <w:t xml:space="preserve">        </w:t>
      </w:r>
      <w:r w:rsidR="00A72C81">
        <w:rPr>
          <w:rFonts w:ascii="Times New Roman" w:hAnsi="Times New Roman" w:cs="Times New Roman"/>
          <w:color w:val="000000"/>
          <w:sz w:val="24"/>
          <w:szCs w:val="24"/>
          <w:lang w:val="lv-LV"/>
        </w:rPr>
        <w:t>Veselības ministrija ierosina</w:t>
      </w:r>
      <w:r w:rsidR="00A72C81" w:rsidRPr="00A72C81">
        <w:rPr>
          <w:rFonts w:ascii="Times New Roman" w:hAnsi="Times New Roman" w:cs="Times New Roman"/>
          <w:color w:val="000000"/>
          <w:sz w:val="24"/>
          <w:szCs w:val="24"/>
          <w:lang w:val="lv-LV"/>
        </w:rPr>
        <w:t xml:space="preserve"> atgriezties  pie pacientu iemaksas</w:t>
      </w:r>
      <w:r w:rsidR="00A91713">
        <w:rPr>
          <w:rFonts w:ascii="Times New Roman" w:hAnsi="Times New Roman" w:cs="Times New Roman"/>
          <w:color w:val="000000"/>
          <w:sz w:val="24"/>
          <w:szCs w:val="24"/>
          <w:lang w:val="lv-LV"/>
        </w:rPr>
        <w:t xml:space="preserve"> ieviešanas pamatmērķa un tā </w:t>
      </w:r>
      <w:r w:rsidR="00A72C81" w:rsidRPr="00A72C81">
        <w:rPr>
          <w:rFonts w:ascii="Times New Roman" w:hAnsi="Times New Roman" w:cs="Times New Roman"/>
          <w:color w:val="000000"/>
          <w:sz w:val="24"/>
          <w:szCs w:val="24"/>
          <w:lang w:val="lv-LV"/>
        </w:rPr>
        <w:t>teorētiskā pamatojuma -</w:t>
      </w:r>
      <w:r w:rsidR="00A72C81">
        <w:rPr>
          <w:rFonts w:ascii="Times New Roman" w:hAnsi="Times New Roman" w:cs="Times New Roman"/>
          <w:color w:val="000000"/>
          <w:sz w:val="24"/>
          <w:szCs w:val="24"/>
          <w:lang w:val="lv-LV"/>
        </w:rPr>
        <w:t xml:space="preserve"> </w:t>
      </w:r>
      <w:r w:rsidR="00A72C81" w:rsidRPr="00A72C81">
        <w:rPr>
          <w:rFonts w:ascii="Times New Roman" w:hAnsi="Times New Roman" w:cs="Times New Roman"/>
          <w:color w:val="000000"/>
          <w:sz w:val="24"/>
          <w:szCs w:val="24"/>
          <w:lang w:val="lv-LV"/>
        </w:rPr>
        <w:t>tām jākalpo kā sistēmas regulējošam mehānismam, samazinot medicīniski  nepamatotu pieprasījumu pēc veselības aprūpes pakal</w:t>
      </w:r>
      <w:r w:rsidR="00A72C81">
        <w:rPr>
          <w:rFonts w:ascii="Times New Roman" w:hAnsi="Times New Roman" w:cs="Times New Roman"/>
          <w:color w:val="000000"/>
          <w:sz w:val="24"/>
          <w:szCs w:val="24"/>
          <w:lang w:val="lv-LV"/>
        </w:rPr>
        <w:t>p</w:t>
      </w:r>
      <w:r w:rsidR="00A72C81" w:rsidRPr="00A72C81">
        <w:rPr>
          <w:rFonts w:ascii="Times New Roman" w:hAnsi="Times New Roman" w:cs="Times New Roman"/>
          <w:color w:val="000000"/>
          <w:sz w:val="24"/>
          <w:szCs w:val="24"/>
          <w:lang w:val="lv-LV"/>
        </w:rPr>
        <w:t>ojumiem.</w:t>
      </w:r>
      <w:r w:rsidR="00A72C81">
        <w:rPr>
          <w:rFonts w:ascii="Times New Roman" w:hAnsi="Times New Roman" w:cs="Times New Roman"/>
          <w:color w:val="000000"/>
          <w:sz w:val="24"/>
          <w:szCs w:val="24"/>
          <w:lang w:val="lv-LV"/>
        </w:rPr>
        <w:t xml:space="preserve"> </w:t>
      </w:r>
      <w:r w:rsidR="00A72C81">
        <w:rPr>
          <w:rFonts w:ascii="Times New Roman" w:hAnsi="Times New Roman" w:cs="Times New Roman"/>
          <w:sz w:val="24"/>
          <w:szCs w:val="24"/>
          <w:lang w:val="lv-LV"/>
        </w:rPr>
        <w:t>N</w:t>
      </w:r>
      <w:r w:rsidR="009C6494" w:rsidRPr="009C6494">
        <w:rPr>
          <w:rFonts w:ascii="Times New Roman" w:hAnsi="Times New Roman" w:cs="Times New Roman"/>
          <w:sz w:val="24"/>
          <w:szCs w:val="24"/>
          <w:lang w:val="lv-LV"/>
        </w:rPr>
        <w:t xml:space="preserve">epieciešams samazināt pacienta iemaksu apjomu, tomēr saglabājot </w:t>
      </w:r>
      <w:r w:rsidR="003A2C07">
        <w:rPr>
          <w:rFonts w:ascii="Times New Roman" w:hAnsi="Times New Roman" w:cs="Times New Roman"/>
          <w:sz w:val="24"/>
          <w:szCs w:val="24"/>
          <w:lang w:val="lv-LV"/>
        </w:rPr>
        <w:t>sistēmas regulējošo funkciju. T</w:t>
      </w:r>
      <w:r w:rsidR="009C6494" w:rsidRPr="009C6494">
        <w:rPr>
          <w:rFonts w:ascii="Times New Roman" w:hAnsi="Times New Roman" w:cs="Times New Roman"/>
          <w:sz w:val="24"/>
          <w:szCs w:val="24"/>
          <w:lang w:val="lv-LV"/>
        </w:rPr>
        <w:t xml:space="preserve">āpēc tiek piedāvāts to samazināt  </w:t>
      </w:r>
      <w:r w:rsidR="00A72C81" w:rsidRPr="009C6494">
        <w:rPr>
          <w:rFonts w:ascii="Times New Roman" w:hAnsi="Times New Roman" w:cs="Times New Roman"/>
          <w:sz w:val="24"/>
          <w:szCs w:val="24"/>
          <w:lang w:val="lv-LV"/>
        </w:rPr>
        <w:t xml:space="preserve">par </w:t>
      </w:r>
      <w:r w:rsidR="00A72C81" w:rsidRPr="009C6494">
        <w:rPr>
          <w:rFonts w:ascii="Times New Roman" w:hAnsi="Times New Roman" w:cs="Times New Roman"/>
          <w:sz w:val="24"/>
          <w:szCs w:val="24"/>
          <w:lang w:val="lv-LV"/>
        </w:rPr>
        <w:lastRenderedPageBreak/>
        <w:t xml:space="preserve">50% </w:t>
      </w:r>
      <w:r w:rsidR="009C6494" w:rsidRPr="009C6494">
        <w:rPr>
          <w:rFonts w:ascii="Times New Roman" w:hAnsi="Times New Roman" w:cs="Times New Roman"/>
          <w:sz w:val="24"/>
          <w:szCs w:val="24"/>
          <w:lang w:val="lv-LV"/>
        </w:rPr>
        <w:t>(izņemot pacienta iemaksu par  ģimenes ārsta apmeklējumu</w:t>
      </w:r>
      <w:r w:rsidR="00D41B27">
        <w:rPr>
          <w:rFonts w:ascii="Times New Roman" w:hAnsi="Times New Roman" w:cs="Times New Roman"/>
          <w:sz w:val="24"/>
          <w:szCs w:val="24"/>
          <w:lang w:val="lv-LV"/>
        </w:rPr>
        <w:t xml:space="preserve"> Ls 1,00</w:t>
      </w:r>
      <w:r w:rsidR="009C6494" w:rsidRPr="009C6494">
        <w:rPr>
          <w:rFonts w:ascii="Times New Roman" w:hAnsi="Times New Roman" w:cs="Times New Roman"/>
          <w:sz w:val="24"/>
          <w:szCs w:val="24"/>
          <w:lang w:val="lv-LV"/>
        </w:rPr>
        <w:t xml:space="preserve"> un ģimenes ārsta mājas vizīti</w:t>
      </w:r>
      <w:r w:rsidR="00D41B27">
        <w:rPr>
          <w:rFonts w:ascii="Times New Roman" w:hAnsi="Times New Roman" w:cs="Times New Roman"/>
          <w:sz w:val="24"/>
          <w:szCs w:val="24"/>
          <w:lang w:val="lv-LV"/>
        </w:rPr>
        <w:t xml:space="preserve"> Ls 2,00</w:t>
      </w:r>
      <w:r w:rsidR="009C6494" w:rsidRPr="009C6494">
        <w:rPr>
          <w:rFonts w:ascii="Times New Roman" w:hAnsi="Times New Roman" w:cs="Times New Roman"/>
          <w:sz w:val="24"/>
          <w:szCs w:val="24"/>
          <w:lang w:val="lv-LV"/>
        </w:rPr>
        <w:t xml:space="preserve">). Atbilstoši 2010.gada datiem, pacienta maksājamās pacienta iemaksas apjoms   gadā par </w:t>
      </w:r>
      <w:r w:rsidR="009C6494">
        <w:rPr>
          <w:rFonts w:ascii="Times New Roman" w:hAnsi="Times New Roman" w:cs="Times New Roman"/>
          <w:sz w:val="24"/>
          <w:szCs w:val="24"/>
          <w:lang w:val="lv-LV"/>
        </w:rPr>
        <w:t xml:space="preserve">SAVA </w:t>
      </w:r>
      <w:r w:rsidR="009C6494" w:rsidRPr="009C6494">
        <w:rPr>
          <w:rFonts w:ascii="Times New Roman" w:hAnsi="Times New Roman" w:cs="Times New Roman"/>
          <w:sz w:val="24"/>
          <w:szCs w:val="24"/>
          <w:lang w:val="lv-LV"/>
        </w:rPr>
        <w:t>pakal</w:t>
      </w:r>
      <w:r w:rsidR="009C6494">
        <w:rPr>
          <w:rFonts w:ascii="Times New Roman" w:hAnsi="Times New Roman" w:cs="Times New Roman"/>
          <w:sz w:val="24"/>
          <w:szCs w:val="24"/>
          <w:lang w:val="lv-LV"/>
        </w:rPr>
        <w:t>pojumiem sastādīja 10 759 049 latus</w:t>
      </w:r>
      <w:r w:rsidR="00D41B27">
        <w:rPr>
          <w:rFonts w:ascii="Times New Roman" w:hAnsi="Times New Roman" w:cs="Times New Roman"/>
          <w:sz w:val="24"/>
          <w:szCs w:val="24"/>
          <w:lang w:val="lv-LV"/>
        </w:rPr>
        <w:t xml:space="preserve">, </w:t>
      </w:r>
      <w:r w:rsidR="009C6494" w:rsidRPr="009C6494">
        <w:rPr>
          <w:rFonts w:ascii="Times New Roman" w:hAnsi="Times New Roman" w:cs="Times New Roman"/>
          <w:sz w:val="24"/>
          <w:szCs w:val="24"/>
          <w:lang w:val="lv-LV"/>
        </w:rPr>
        <w:t xml:space="preserve"> par ā</w:t>
      </w:r>
      <w:r w:rsidR="00D41B27">
        <w:rPr>
          <w:rFonts w:ascii="Times New Roman" w:hAnsi="Times New Roman" w:cs="Times New Roman"/>
          <w:sz w:val="24"/>
          <w:szCs w:val="24"/>
          <w:lang w:val="lv-LV"/>
        </w:rPr>
        <w:t>rstēšanos diennakts stacionārā</w:t>
      </w:r>
      <w:r w:rsidR="009C6494" w:rsidRPr="009C6494">
        <w:rPr>
          <w:rFonts w:ascii="Times New Roman" w:hAnsi="Times New Roman" w:cs="Times New Roman"/>
          <w:sz w:val="24"/>
          <w:szCs w:val="24"/>
          <w:lang w:val="lv-LV"/>
        </w:rPr>
        <w:t xml:space="preserve"> 10 209 478 </w:t>
      </w:r>
      <w:r w:rsidR="009C6494">
        <w:rPr>
          <w:rFonts w:ascii="Times New Roman" w:hAnsi="Times New Roman" w:cs="Times New Roman"/>
          <w:sz w:val="24"/>
          <w:szCs w:val="24"/>
          <w:lang w:val="lv-LV"/>
        </w:rPr>
        <w:t xml:space="preserve">latus, </w:t>
      </w:r>
      <w:r w:rsidR="00D41B27">
        <w:rPr>
          <w:rFonts w:ascii="Times New Roman" w:hAnsi="Times New Roman" w:cs="Times New Roman"/>
          <w:sz w:val="24"/>
          <w:szCs w:val="24"/>
          <w:lang w:val="lv-LV"/>
        </w:rPr>
        <w:t xml:space="preserve">zāļu kompensācijas sistēmas ietvaros pacientu segtā valsts nekompensējamā daļa 15 051 847 lati, </w:t>
      </w:r>
      <w:r w:rsidR="009C6494">
        <w:rPr>
          <w:rFonts w:ascii="Times New Roman" w:hAnsi="Times New Roman" w:cs="Times New Roman"/>
          <w:sz w:val="24"/>
          <w:szCs w:val="24"/>
          <w:lang w:val="lv-LV"/>
        </w:rPr>
        <w:t xml:space="preserve">tātad kopā </w:t>
      </w:r>
      <w:r w:rsidR="00D41B27">
        <w:rPr>
          <w:rFonts w:ascii="Times New Roman" w:hAnsi="Times New Roman" w:cs="Times New Roman"/>
          <w:sz w:val="24"/>
          <w:szCs w:val="24"/>
          <w:lang w:val="lv-LV"/>
        </w:rPr>
        <w:t>36 020 374 lati</w:t>
      </w:r>
      <w:r w:rsidR="009C6494">
        <w:rPr>
          <w:rFonts w:ascii="Times New Roman" w:hAnsi="Times New Roman" w:cs="Times New Roman"/>
          <w:sz w:val="24"/>
          <w:szCs w:val="24"/>
          <w:lang w:val="lv-LV"/>
        </w:rPr>
        <w:t xml:space="preserve">. </w:t>
      </w:r>
      <w:r w:rsidR="009C6494" w:rsidRPr="009C6494">
        <w:rPr>
          <w:rFonts w:ascii="Times New Roman" w:hAnsi="Times New Roman" w:cs="Times New Roman"/>
          <w:sz w:val="24"/>
          <w:szCs w:val="24"/>
          <w:lang w:val="lv-LV"/>
        </w:rPr>
        <w:t xml:space="preserve">50% no </w:t>
      </w:r>
      <w:r w:rsidR="009C6494">
        <w:rPr>
          <w:rFonts w:ascii="Times New Roman" w:hAnsi="Times New Roman" w:cs="Times New Roman"/>
          <w:sz w:val="24"/>
          <w:szCs w:val="24"/>
          <w:lang w:val="lv-LV"/>
        </w:rPr>
        <w:t>summas</w:t>
      </w:r>
      <w:r w:rsidR="009C6494" w:rsidRPr="009C6494">
        <w:rPr>
          <w:rFonts w:ascii="Times New Roman" w:hAnsi="Times New Roman" w:cs="Times New Roman"/>
          <w:sz w:val="24"/>
          <w:szCs w:val="24"/>
          <w:lang w:val="lv-LV"/>
        </w:rPr>
        <w:t xml:space="preserve"> sastādīs attiecīgi </w:t>
      </w:r>
      <w:r w:rsidR="00D41B27">
        <w:rPr>
          <w:rFonts w:ascii="Times New Roman" w:hAnsi="Times New Roman" w:cs="Times New Roman"/>
          <w:sz w:val="24"/>
          <w:szCs w:val="24"/>
          <w:lang w:val="lv-LV"/>
        </w:rPr>
        <w:t>gadā</w:t>
      </w:r>
      <w:r w:rsidR="009C6494">
        <w:rPr>
          <w:rFonts w:ascii="Times New Roman" w:hAnsi="Times New Roman" w:cs="Times New Roman"/>
          <w:sz w:val="24"/>
          <w:szCs w:val="24"/>
          <w:lang w:val="lv-LV"/>
        </w:rPr>
        <w:t xml:space="preserve"> </w:t>
      </w:r>
      <w:r w:rsidR="00D41B27">
        <w:rPr>
          <w:rFonts w:ascii="Times New Roman" w:hAnsi="Times New Roman" w:cs="Times New Roman"/>
          <w:sz w:val="24"/>
          <w:szCs w:val="24"/>
          <w:lang w:val="lv-LV"/>
        </w:rPr>
        <w:t>18 010 187</w:t>
      </w:r>
      <w:r w:rsidR="009C6494" w:rsidRPr="00035EF1">
        <w:rPr>
          <w:rFonts w:ascii="Times New Roman" w:hAnsi="Times New Roman" w:cs="Times New Roman"/>
          <w:sz w:val="24"/>
          <w:szCs w:val="24"/>
          <w:lang w:val="lv-LV"/>
        </w:rPr>
        <w:t xml:space="preserve"> latus</w:t>
      </w:r>
      <w:r w:rsidR="00035EF1" w:rsidRPr="00035EF1">
        <w:rPr>
          <w:rFonts w:ascii="Times New Roman" w:hAnsi="Times New Roman" w:cs="Times New Roman"/>
          <w:sz w:val="24"/>
          <w:szCs w:val="24"/>
          <w:lang w:val="lv-LV"/>
        </w:rPr>
        <w:t>.</w:t>
      </w:r>
    </w:p>
    <w:p w:rsidR="00E4656E" w:rsidRDefault="00035EF1" w:rsidP="00E4656E">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Ņemot vērā pašreiz valstī esošo grūto ekonomisko situāciju un lai mazinātu slimību ielaistību,</w:t>
      </w:r>
      <w:r w:rsidR="00D41B27">
        <w:rPr>
          <w:rFonts w:ascii="Times New Roman" w:hAnsi="Times New Roman" w:cs="Times New Roman"/>
          <w:sz w:val="24"/>
          <w:szCs w:val="24"/>
          <w:lang w:val="lv-LV"/>
        </w:rPr>
        <w:t xml:space="preserve"> dažādu komplikāciju rašanos,</w:t>
      </w:r>
      <w:r>
        <w:rPr>
          <w:rFonts w:ascii="Times New Roman" w:hAnsi="Times New Roman" w:cs="Times New Roman"/>
          <w:sz w:val="24"/>
          <w:szCs w:val="24"/>
          <w:lang w:val="lv-LV"/>
        </w:rPr>
        <w:t xml:space="preserve"> neatliekamās ārstēšanās izmaksas un pacientu plūsmu slimnīcās, Veselības ministrijai nepieciešami papildus līdzekļi </w:t>
      </w:r>
      <w:r w:rsidR="00D41B27">
        <w:rPr>
          <w:rFonts w:ascii="Times New Roman" w:hAnsi="Times New Roman" w:cs="Times New Roman"/>
          <w:sz w:val="24"/>
          <w:szCs w:val="24"/>
          <w:lang w:val="lv-LV"/>
        </w:rPr>
        <w:t>2011.</w:t>
      </w:r>
      <w:r>
        <w:rPr>
          <w:rFonts w:ascii="Times New Roman" w:hAnsi="Times New Roman" w:cs="Times New Roman"/>
          <w:sz w:val="24"/>
          <w:szCs w:val="24"/>
          <w:lang w:val="lv-LV"/>
        </w:rPr>
        <w:t>gadā</w:t>
      </w:r>
      <w:r w:rsidR="00D41B27">
        <w:rPr>
          <w:rFonts w:ascii="Times New Roman" w:hAnsi="Times New Roman" w:cs="Times New Roman"/>
          <w:sz w:val="24"/>
          <w:szCs w:val="24"/>
          <w:lang w:val="lv-LV"/>
        </w:rPr>
        <w:t xml:space="preserve"> </w:t>
      </w:r>
      <w:r w:rsidR="00D41B27" w:rsidRPr="00D41B27">
        <w:rPr>
          <w:rFonts w:ascii="Times New Roman" w:hAnsi="Times New Roman" w:cs="Times New Roman"/>
          <w:b/>
          <w:sz w:val="24"/>
          <w:szCs w:val="24"/>
          <w:lang w:val="lv-LV"/>
        </w:rPr>
        <w:t>vienā ceturksnī</w:t>
      </w:r>
      <w:r w:rsidR="00D41B27">
        <w:rPr>
          <w:rFonts w:ascii="Times New Roman" w:hAnsi="Times New Roman" w:cs="Times New Roman"/>
          <w:sz w:val="24"/>
          <w:szCs w:val="24"/>
          <w:lang w:val="lv-LV"/>
        </w:rPr>
        <w:t xml:space="preserve"> </w:t>
      </w:r>
      <w:r w:rsidR="00D41B27" w:rsidRPr="00D41B27">
        <w:rPr>
          <w:rFonts w:ascii="Times New Roman" w:hAnsi="Times New Roman" w:cs="Times New Roman"/>
          <w:b/>
          <w:sz w:val="24"/>
          <w:szCs w:val="24"/>
          <w:lang w:val="lv-LV"/>
        </w:rPr>
        <w:t>9 005 094 lati</w:t>
      </w:r>
      <w:r w:rsidR="003A2C07">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rsidR="00C85B62" w:rsidRDefault="00C85B62" w:rsidP="00346DE7">
      <w:pPr>
        <w:pStyle w:val="NormalWeb"/>
        <w:snapToGrid w:val="0"/>
        <w:spacing w:before="0" w:after="0"/>
        <w:rPr>
          <w:rFonts w:eastAsiaTheme="minorHAnsi"/>
          <w:lang w:eastAsia="en-US"/>
        </w:rPr>
      </w:pPr>
    </w:p>
    <w:p w:rsidR="00C85B62" w:rsidRDefault="00C85B62" w:rsidP="00346DE7">
      <w:pPr>
        <w:pStyle w:val="NormalWeb"/>
        <w:snapToGrid w:val="0"/>
        <w:spacing w:before="0" w:after="0"/>
        <w:rPr>
          <w:rFonts w:eastAsiaTheme="minorHAnsi"/>
          <w:lang w:eastAsia="en-US"/>
        </w:rPr>
      </w:pPr>
    </w:p>
    <w:p w:rsidR="00C85B62" w:rsidRDefault="00C85B62" w:rsidP="00346DE7">
      <w:pPr>
        <w:pStyle w:val="NormalWeb"/>
        <w:snapToGrid w:val="0"/>
        <w:spacing w:before="0" w:after="0"/>
        <w:rPr>
          <w:rFonts w:eastAsiaTheme="minorHAnsi"/>
          <w:lang w:eastAsia="en-US"/>
        </w:rPr>
      </w:pPr>
    </w:p>
    <w:p w:rsidR="00C85B62" w:rsidRDefault="00C85B62" w:rsidP="00346DE7">
      <w:pPr>
        <w:pStyle w:val="NormalWeb"/>
        <w:snapToGrid w:val="0"/>
        <w:spacing w:before="0" w:after="0"/>
        <w:rPr>
          <w:rFonts w:eastAsiaTheme="minorHAnsi"/>
          <w:lang w:eastAsia="en-US"/>
        </w:rPr>
      </w:pPr>
    </w:p>
    <w:p w:rsidR="00C85B62" w:rsidRDefault="00C85B62"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9339B1" w:rsidRDefault="009339B1" w:rsidP="00C85B62">
      <w:pPr>
        <w:pStyle w:val="NormalWeb"/>
        <w:snapToGrid w:val="0"/>
        <w:spacing w:before="0" w:after="0"/>
        <w:jc w:val="both"/>
        <w:rPr>
          <w:rFonts w:eastAsiaTheme="minorHAnsi"/>
          <w:lang w:eastAsia="en-US"/>
        </w:rPr>
      </w:pPr>
    </w:p>
    <w:p w:rsidR="00C85B62" w:rsidRDefault="00C85B62" w:rsidP="00C85B62">
      <w:pPr>
        <w:pStyle w:val="NormalWeb"/>
        <w:snapToGrid w:val="0"/>
        <w:spacing w:before="0" w:after="0"/>
        <w:jc w:val="both"/>
        <w:rPr>
          <w:rFonts w:eastAsiaTheme="minorHAnsi"/>
          <w:lang w:eastAsia="en-US"/>
        </w:rPr>
      </w:pPr>
    </w:p>
    <w:p w:rsidR="00B56497" w:rsidRPr="00035EF1" w:rsidRDefault="00B56497" w:rsidP="00C85B62">
      <w:pPr>
        <w:pStyle w:val="NormalWeb"/>
        <w:snapToGrid w:val="0"/>
        <w:spacing w:before="0" w:after="0"/>
        <w:ind w:firstLine="720"/>
        <w:jc w:val="both"/>
        <w:rPr>
          <w:b/>
        </w:rPr>
      </w:pPr>
      <w:r w:rsidRPr="00035EF1">
        <w:rPr>
          <w:b/>
        </w:rPr>
        <w:lastRenderedPageBreak/>
        <w:t>Secinājumi</w:t>
      </w:r>
    </w:p>
    <w:p w:rsidR="00B56497" w:rsidRDefault="00B56497" w:rsidP="00B56497">
      <w:pPr>
        <w:pStyle w:val="NormalWeb"/>
        <w:snapToGrid w:val="0"/>
        <w:spacing w:before="0" w:after="0"/>
        <w:ind w:firstLine="709"/>
        <w:jc w:val="center"/>
        <w:rPr>
          <w:lang w:val="en-US"/>
        </w:rPr>
      </w:pPr>
    </w:p>
    <w:p w:rsidR="00222A3E" w:rsidRDefault="00F55FB8" w:rsidP="00A72C81">
      <w:pPr>
        <w:pStyle w:val="NormalWeb"/>
        <w:numPr>
          <w:ilvl w:val="0"/>
          <w:numId w:val="9"/>
        </w:numPr>
        <w:suppressAutoHyphens w:val="0"/>
        <w:snapToGrid w:val="0"/>
        <w:spacing w:before="0" w:after="0"/>
        <w:ind w:left="357" w:hanging="357"/>
        <w:jc w:val="both"/>
      </w:pPr>
      <w:r>
        <w:t xml:space="preserve">Turpinot uzsāktās veselības aprūpes reformas, stiprinot </w:t>
      </w:r>
      <w:r>
        <w:rPr>
          <w:color w:val="000000"/>
        </w:rPr>
        <w:t>ambulatoro palīdzību, kā izmaksu efektīvāko veselības aprūpi, palielinās nepieciešamo pakalpojumu pie speciālistiem un finanšu līdzekļu īpatsvars ambulatorajā veselības aprūpē.</w:t>
      </w:r>
      <w:r w:rsidR="00222A3E">
        <w:rPr>
          <w:color w:val="000000"/>
        </w:rPr>
        <w:t xml:space="preserve"> </w:t>
      </w:r>
      <w:r w:rsidR="00222A3E" w:rsidRPr="00222A3E">
        <w:rPr>
          <w:color w:val="000000"/>
        </w:rPr>
        <w:t xml:space="preserve">Sevišķi svarīgi veicināt dienas stacionāru pakalpojumus </w:t>
      </w:r>
      <w:proofErr w:type="spellStart"/>
      <w:r w:rsidR="00222A3E" w:rsidRPr="00222A3E">
        <w:rPr>
          <w:color w:val="000000"/>
        </w:rPr>
        <w:t>daudzprofila</w:t>
      </w:r>
      <w:proofErr w:type="spellEnd"/>
      <w:r w:rsidR="00222A3E" w:rsidRPr="00222A3E">
        <w:rPr>
          <w:color w:val="000000"/>
        </w:rPr>
        <w:t xml:space="preserve"> neatliekamās palīdzības slimnīcās, īpaši lokālajās, jo pašreiz šajās slimnīcās   tiek realizēta  pakalpojumu restrukturizācija. Dienas stacionāri nodrošinātu agrāk stacionārā veikto pakalpojumu pieejamību iedzīvotājiem.</w:t>
      </w:r>
    </w:p>
    <w:p w:rsidR="00A72C81" w:rsidRDefault="00A72C81" w:rsidP="00A72C81">
      <w:pPr>
        <w:pStyle w:val="NormalWeb"/>
        <w:numPr>
          <w:ilvl w:val="0"/>
          <w:numId w:val="9"/>
        </w:numPr>
        <w:suppressAutoHyphens w:val="0"/>
        <w:snapToGrid w:val="0"/>
        <w:spacing w:before="120" w:after="0"/>
        <w:jc w:val="both"/>
      </w:pPr>
      <w:r>
        <w:t xml:space="preserve">Veselības aprūpes pakalpojumu nodrošināšanai 2011.gadā, atbilstoši valsts garantētajam apjomam, kompensējamo medikamentu un materiālu nodrošināšanai, centralizēto medikamentu un materiālu nodrošināšanai, iedzīvotājiem nepieciešamajā apjomā papildus nepieciešami </w:t>
      </w:r>
      <w:r w:rsidRPr="00CC0B21">
        <w:rPr>
          <w:b/>
          <w:u w:val="single"/>
        </w:rPr>
        <w:t>6 153 830 lati</w:t>
      </w:r>
      <w:r>
        <w:t>, tajā skaitā:</w:t>
      </w:r>
    </w:p>
    <w:p w:rsidR="00A72C81" w:rsidRPr="003D7F19" w:rsidRDefault="00A72C81" w:rsidP="00A72C81">
      <w:pPr>
        <w:pStyle w:val="NormalWeb"/>
        <w:suppressAutoHyphens w:val="0"/>
        <w:snapToGrid w:val="0"/>
        <w:spacing w:before="120" w:after="0"/>
        <w:ind w:left="360"/>
        <w:jc w:val="both"/>
      </w:pPr>
      <w:r>
        <w:rPr>
          <w:color w:val="2A2A2A"/>
        </w:rPr>
        <w:t xml:space="preserve">- </w:t>
      </w:r>
      <w:r w:rsidRPr="003D7F19">
        <w:t>samaksai par dienas stacionāros sniegtajiem pakalpojumiem –  2 548 594 lati;</w:t>
      </w:r>
    </w:p>
    <w:p w:rsidR="00A72C81" w:rsidRDefault="00A72C81" w:rsidP="00A72C81">
      <w:pPr>
        <w:pStyle w:val="NormalWeb"/>
        <w:snapToGrid w:val="0"/>
        <w:spacing w:before="120" w:after="0"/>
        <w:jc w:val="both"/>
      </w:pPr>
      <w:r w:rsidRPr="003D7F19">
        <w:rPr>
          <w:color w:val="2A2A2A"/>
        </w:rPr>
        <w:t xml:space="preserve">     </w:t>
      </w:r>
      <w:r>
        <w:rPr>
          <w:color w:val="2A2A2A"/>
        </w:rPr>
        <w:t xml:space="preserve"> - ambulatorajai ārstēšanai paredzēto </w:t>
      </w:r>
      <w:r w:rsidRPr="003D7F19">
        <w:t xml:space="preserve">medikamentu un materiālu iegādes kompensācijai – </w:t>
      </w:r>
    </w:p>
    <w:p w:rsidR="00A72C81" w:rsidRPr="003D7F19" w:rsidRDefault="00A72C81" w:rsidP="00A72C81">
      <w:pPr>
        <w:pStyle w:val="NormalWeb"/>
        <w:snapToGrid w:val="0"/>
        <w:spacing w:before="120" w:after="0"/>
        <w:jc w:val="both"/>
        <w:rPr>
          <w:color w:val="2A2A2A"/>
        </w:rPr>
      </w:pPr>
      <w:r>
        <w:t xml:space="preserve">      </w:t>
      </w:r>
      <w:r w:rsidRPr="003D7F19">
        <w:t>2 306 245 lati;</w:t>
      </w:r>
    </w:p>
    <w:p w:rsidR="00A72C81" w:rsidRPr="003D7F19" w:rsidRDefault="00A72C81" w:rsidP="00A72C81">
      <w:pPr>
        <w:pStyle w:val="NormalWeb"/>
        <w:snapToGrid w:val="0"/>
        <w:spacing w:before="120" w:after="0"/>
        <w:ind w:left="360"/>
        <w:jc w:val="both"/>
      </w:pPr>
      <w:r>
        <w:rPr>
          <w:color w:val="2A2A2A"/>
        </w:rPr>
        <w:t xml:space="preserve">- </w:t>
      </w:r>
      <w:r w:rsidRPr="003D7F19">
        <w:t>pacientu iemaksas kompensācijai par atbrīvotajām iedzīvotāju kategorijām – 25  328  lati;</w:t>
      </w:r>
    </w:p>
    <w:p w:rsidR="00A72C81" w:rsidRPr="004C1827" w:rsidRDefault="00A72C81" w:rsidP="004C1827">
      <w:pPr>
        <w:pStyle w:val="NormalWeb"/>
        <w:snapToGrid w:val="0"/>
        <w:spacing w:before="120" w:after="0"/>
        <w:ind w:left="357"/>
        <w:jc w:val="both"/>
      </w:pPr>
      <w:r w:rsidRPr="004C1827">
        <w:rPr>
          <w:color w:val="2A2A2A"/>
        </w:rPr>
        <w:t>-</w:t>
      </w:r>
      <w:r w:rsidR="00B10941">
        <w:rPr>
          <w:color w:val="2A2A2A"/>
        </w:rPr>
        <w:t xml:space="preserve"> </w:t>
      </w:r>
      <w:r w:rsidRPr="004C1827">
        <w:t xml:space="preserve">centralizēti iepērkamo </w:t>
      </w:r>
      <w:r w:rsidR="004C1827" w:rsidRPr="004C1827">
        <w:t xml:space="preserve">vakcīnu un </w:t>
      </w:r>
      <w:proofErr w:type="spellStart"/>
      <w:r w:rsidR="004C1827" w:rsidRPr="004C1827">
        <w:t>peritoneālās</w:t>
      </w:r>
      <w:proofErr w:type="spellEnd"/>
      <w:r w:rsidR="004C1827" w:rsidRPr="004C1827">
        <w:t xml:space="preserve"> dialīzes ārstniecības līdzekļu iegādes kompensācijai </w:t>
      </w:r>
      <w:r w:rsidRPr="004C1827">
        <w:t xml:space="preserve">– </w:t>
      </w:r>
      <w:r w:rsidR="004C1827">
        <w:t xml:space="preserve"> </w:t>
      </w:r>
      <w:r w:rsidRPr="004C1827">
        <w:t>953 663 lati;</w:t>
      </w:r>
    </w:p>
    <w:p w:rsidR="00A72C81" w:rsidRDefault="00A72C81" w:rsidP="00A72C81">
      <w:pPr>
        <w:pStyle w:val="NormalWeb"/>
        <w:snapToGrid w:val="0"/>
        <w:spacing w:before="120" w:after="0"/>
        <w:ind w:left="360"/>
        <w:jc w:val="both"/>
      </w:pPr>
      <w:r>
        <w:rPr>
          <w:color w:val="2A2A2A"/>
        </w:rPr>
        <w:t xml:space="preserve">- </w:t>
      </w:r>
      <w:r>
        <w:t>VADC</w:t>
      </w:r>
      <w:r w:rsidRPr="003D7F19">
        <w:t>, lai nodrošinātu asins, asins komponentu sagatavošanu un plazmas preparātu iepirkumu – 320 000 lati.</w:t>
      </w:r>
    </w:p>
    <w:p w:rsidR="00346DE7" w:rsidRPr="00E4656E" w:rsidRDefault="00A72C81" w:rsidP="00A72C81">
      <w:pPr>
        <w:pStyle w:val="NormalWeb"/>
        <w:numPr>
          <w:ilvl w:val="0"/>
          <w:numId w:val="9"/>
        </w:numPr>
        <w:suppressAutoHyphens w:val="0"/>
        <w:snapToGrid w:val="0"/>
        <w:spacing w:before="120" w:after="0"/>
        <w:jc w:val="both"/>
      </w:pPr>
      <w:r>
        <w:t>Papildus 2.punktā minētajam un</w:t>
      </w:r>
      <w:r w:rsidR="00E4656E">
        <w:t xml:space="preserve"> </w:t>
      </w:r>
      <w:r>
        <w:t xml:space="preserve">ņemot vērā, ka </w:t>
      </w:r>
      <w:r w:rsidRPr="00A72C81">
        <w:rPr>
          <w:color w:val="000000"/>
        </w:rPr>
        <w:t>neskatoties uz sociālās drošības tīklā pieejamiem resursiem, pacientiem arvien grūtāk apmaksāt ārstniecības iestāžu rēķinus,</w:t>
      </w:r>
      <w:r>
        <w:t xml:space="preserve"> </w:t>
      </w:r>
      <w:r w:rsidR="00E4656E">
        <w:t>l</w:t>
      </w:r>
      <w:r w:rsidR="00346DE7">
        <w:t xml:space="preserve">ai mazinātu slimību ielaistību, dažādu komplikāciju rašanos, neatliekamās ārstēšanās izmaksas un pacientu plūsmu slimnīcās, Veselības ministrijai nepieciešami papildus līdzekļi 2011.gadā </w:t>
      </w:r>
      <w:r w:rsidR="00346DE7" w:rsidRPr="00A72C81">
        <w:rPr>
          <w:b/>
        </w:rPr>
        <w:t>vienā ceturksnī</w:t>
      </w:r>
      <w:r w:rsidR="00346DE7">
        <w:t xml:space="preserve"> </w:t>
      </w:r>
      <w:r w:rsidR="00346DE7" w:rsidRPr="00A72C81">
        <w:rPr>
          <w:b/>
        </w:rPr>
        <w:t>9 005 094 lati</w:t>
      </w:r>
      <w:r w:rsidR="00346DE7">
        <w:t xml:space="preserve">, lai mazinātu pacientu iemaksu </w:t>
      </w:r>
      <w:r w:rsidR="003A2C07">
        <w:t>apmēru</w:t>
      </w:r>
      <w:r w:rsidR="00346DE7">
        <w:t xml:space="preserve"> par 50%</w:t>
      </w:r>
      <w:r w:rsidR="003A2C07">
        <w:t>,</w:t>
      </w:r>
      <w:r w:rsidR="00B10941">
        <w:t xml:space="preserve"> </w:t>
      </w:r>
      <w:r w:rsidR="003A2C07" w:rsidRPr="009C6494">
        <w:t>izņemot pacienta iemaksu par  ģimenes ārsta apmeklējumu</w:t>
      </w:r>
      <w:r w:rsidR="003A2C07">
        <w:t xml:space="preserve"> Ls 1,00</w:t>
      </w:r>
      <w:r w:rsidR="003A2C07" w:rsidRPr="009C6494">
        <w:t xml:space="preserve"> un ģimenes ārsta mājas vizīti</w:t>
      </w:r>
      <w:r w:rsidR="003A2C07">
        <w:t xml:space="preserve"> Ls 2,00</w:t>
      </w:r>
      <w:r w:rsidR="00346DE7">
        <w:t xml:space="preserve"> (gadā nepieciešamais finansējums – 36 020 374 lati).</w:t>
      </w:r>
    </w:p>
    <w:p w:rsidR="001B2226" w:rsidRDefault="001B2226" w:rsidP="003D7F19">
      <w:pPr>
        <w:pStyle w:val="NormalWeb"/>
        <w:snapToGrid w:val="0"/>
        <w:spacing w:before="0" w:after="0"/>
      </w:pPr>
    </w:p>
    <w:p w:rsidR="00F40227" w:rsidRPr="00A91713" w:rsidRDefault="0015206A" w:rsidP="009339B1">
      <w:pPr>
        <w:pStyle w:val="NormalWeb"/>
        <w:snapToGrid w:val="0"/>
        <w:spacing w:before="0" w:after="0"/>
        <w:ind w:firstLine="720"/>
        <w:jc w:val="both"/>
      </w:pPr>
      <w:r w:rsidRPr="00CC0B21">
        <w:t xml:space="preserve">Papildus līdzekļu pieprasījuma apmērs ir balstīts uz </w:t>
      </w:r>
      <w:r w:rsidR="00876530" w:rsidRPr="00CC0B21">
        <w:t>2011.gada</w:t>
      </w:r>
      <w:r w:rsidRPr="00CC0B21">
        <w:t xml:space="preserve"> </w:t>
      </w:r>
      <w:r w:rsidR="00876530" w:rsidRPr="00CC0B21">
        <w:t>sešu</w:t>
      </w:r>
      <w:r w:rsidRPr="00CC0B21">
        <w:t xml:space="preserve"> mēnešu izpildi </w:t>
      </w:r>
      <w:r w:rsidR="003D7F19" w:rsidRPr="00CC0B21">
        <w:t>SAVA</w:t>
      </w:r>
      <w:r w:rsidRPr="00CC0B21">
        <w:t xml:space="preserve"> programmās</w:t>
      </w:r>
      <w:r w:rsidR="00CC0B21">
        <w:t>, centralizētiem medikamentiem,</w:t>
      </w:r>
      <w:r w:rsidR="003D7F19" w:rsidRPr="00CC0B21">
        <w:t xml:space="preserve"> un 2011.gada septiņu mēnešu izpildi </w:t>
      </w:r>
      <w:r w:rsidR="00CC0B21">
        <w:t xml:space="preserve">ambulatorajai </w:t>
      </w:r>
      <w:r w:rsidR="00CC0B21" w:rsidRPr="008A2BB8">
        <w:t>ārstēšanai paredzēto zāļu un medicīnisko ierīču iegādes izdevumu kompensācija</w:t>
      </w:r>
      <w:r w:rsidR="00CC0B21">
        <w:t>s</w:t>
      </w:r>
      <w:r w:rsidR="00CC0B21" w:rsidRPr="00CC0B21">
        <w:t xml:space="preserve"> </w:t>
      </w:r>
      <w:r w:rsidR="003D7F19" w:rsidRPr="00CC0B21">
        <w:t>izpildes prognozi gadam</w:t>
      </w:r>
      <w:r w:rsidR="00E4656E">
        <w:t>, kā arī uz 2010.gada faktisko pacientu iemaksu izpildes apjomu.</w:t>
      </w:r>
      <w:r w:rsidR="009339B1">
        <w:t xml:space="preserve"> </w:t>
      </w:r>
      <w:r w:rsidRPr="00A91713">
        <w:t xml:space="preserve">Piešķirtie </w:t>
      </w:r>
      <w:r w:rsidR="00E4656E" w:rsidRPr="00A91713">
        <w:t xml:space="preserve">finanšu </w:t>
      </w:r>
      <w:r w:rsidRPr="00A91713">
        <w:t xml:space="preserve">līdzekļi tiks </w:t>
      </w:r>
      <w:r w:rsidR="00EC2FBF" w:rsidRPr="00A91713">
        <w:t>novirzīti ārstniecības iestādēm</w:t>
      </w:r>
      <w:r w:rsidRPr="00A91713">
        <w:t xml:space="preserve"> </w:t>
      </w:r>
      <w:r w:rsidR="004A4B82" w:rsidRPr="00A91713">
        <w:t>saskaņā ar</w:t>
      </w:r>
      <w:r w:rsidR="00EC2FBF" w:rsidRPr="00A91713">
        <w:t xml:space="preserve"> Ministru kabineta 2006.gada 19.decembra noteikum</w:t>
      </w:r>
      <w:r w:rsidR="004A4B82" w:rsidRPr="00A91713">
        <w:t>iem</w:t>
      </w:r>
      <w:r w:rsidR="00EC2FBF" w:rsidRPr="00A91713">
        <w:t xml:space="preserve"> Nr.1046 „Veselības aprūpes organizēšanas un </w:t>
      </w:r>
      <w:r w:rsidR="00E4656E" w:rsidRPr="00A91713">
        <w:t>finansēšan</w:t>
      </w:r>
      <w:r w:rsidR="00B10941" w:rsidRPr="00A91713">
        <w:t>as kārtība”</w:t>
      </w:r>
      <w:r w:rsidR="00A91713" w:rsidRPr="00A91713">
        <w:t xml:space="preserve"> un </w:t>
      </w:r>
      <w:r w:rsidR="00A91713">
        <w:t>Ministru kabineta 2006.gada 31.oktobra noteikumiem Nr. 899 „</w:t>
      </w:r>
      <w:r w:rsidR="00A91713" w:rsidRPr="009339B1">
        <w:rPr>
          <w:bCs/>
        </w:rPr>
        <w:t>Ambulatorajai ārstēšanai paredzēto zāļu un medicīnisko ierīču iegādes izdevumu kompensācijas kārtība”</w:t>
      </w:r>
      <w:r w:rsidR="00A91713">
        <w:rPr>
          <w:b/>
          <w:bCs/>
        </w:rPr>
        <w:t xml:space="preserve"> </w:t>
      </w:r>
      <w:r w:rsidR="004A4B82" w:rsidRPr="00A91713">
        <w:t>veicot tajos atbilstīgas izmai</w:t>
      </w:r>
      <w:r w:rsidR="00843FDF" w:rsidRPr="00A91713">
        <w:t>ņas.</w:t>
      </w:r>
    </w:p>
    <w:p w:rsidR="0015206A" w:rsidRDefault="0015206A" w:rsidP="00A72C81">
      <w:pPr>
        <w:pStyle w:val="NormalWeb"/>
        <w:snapToGrid w:val="0"/>
        <w:spacing w:before="0" w:after="0"/>
        <w:jc w:val="both"/>
      </w:pPr>
    </w:p>
    <w:p w:rsidR="00C85B62" w:rsidRPr="009339B1" w:rsidRDefault="00071C0F" w:rsidP="009339B1">
      <w:pPr>
        <w:jc w:val="center"/>
        <w:rPr>
          <w:rFonts w:ascii="Times New Roman" w:hAnsi="Times New Roman" w:cs="Times New Roman"/>
          <w:color w:val="FF0000"/>
          <w:sz w:val="24"/>
          <w:szCs w:val="24"/>
          <w:lang w:val="lv-LV"/>
        </w:rPr>
      </w:pPr>
      <w:r w:rsidRPr="00035EF1">
        <w:rPr>
          <w:rFonts w:ascii="Times New Roman" w:hAnsi="Times New Roman" w:cs="Times New Roman"/>
          <w:sz w:val="24"/>
          <w:szCs w:val="24"/>
          <w:lang w:val="lv-LV"/>
        </w:rPr>
        <w:t xml:space="preserve">Veselības ministrs </w:t>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r>
      <w:r w:rsidRPr="00035EF1">
        <w:rPr>
          <w:rFonts w:ascii="Times New Roman" w:hAnsi="Times New Roman" w:cs="Times New Roman"/>
          <w:sz w:val="24"/>
          <w:szCs w:val="24"/>
          <w:lang w:val="lv-LV"/>
        </w:rPr>
        <w:tab/>
        <w:t xml:space="preserve">                                            </w:t>
      </w:r>
      <w:r w:rsidR="009339B1">
        <w:rPr>
          <w:rFonts w:ascii="Times New Roman" w:hAnsi="Times New Roman" w:cs="Times New Roman"/>
          <w:sz w:val="24"/>
          <w:szCs w:val="24"/>
          <w:lang w:val="lv-LV"/>
        </w:rPr>
        <w:t xml:space="preserve">      </w:t>
      </w:r>
      <w:r w:rsidRPr="00035EF1">
        <w:rPr>
          <w:rFonts w:ascii="Times New Roman" w:hAnsi="Times New Roman" w:cs="Times New Roman"/>
          <w:sz w:val="24"/>
          <w:szCs w:val="24"/>
          <w:lang w:val="lv-LV"/>
        </w:rPr>
        <w:t xml:space="preserve">       </w:t>
      </w:r>
      <w:proofErr w:type="spellStart"/>
      <w:r w:rsidRPr="00035EF1">
        <w:rPr>
          <w:rFonts w:ascii="Times New Roman" w:hAnsi="Times New Roman" w:cs="Times New Roman"/>
          <w:sz w:val="24"/>
          <w:szCs w:val="24"/>
          <w:lang w:val="lv-LV"/>
        </w:rPr>
        <w:t>J.Bārzdiņš</w:t>
      </w:r>
      <w:proofErr w:type="spellEnd"/>
      <w:r w:rsidR="00CB43DD" w:rsidRPr="00E85227">
        <w:rPr>
          <w:lang w:val="lv-LV"/>
        </w:rPr>
        <w:tab/>
      </w:r>
      <w:r w:rsidR="00CB43DD" w:rsidRPr="00E85227">
        <w:rPr>
          <w:lang w:val="lv-LV"/>
        </w:rPr>
        <w:tab/>
      </w:r>
      <w:r w:rsidR="00CB43DD" w:rsidRPr="00E85227">
        <w:rPr>
          <w:lang w:val="lv-LV"/>
        </w:rPr>
        <w:tab/>
      </w:r>
      <w:r w:rsidR="00CB43DD" w:rsidRPr="00E85227">
        <w:rPr>
          <w:lang w:val="lv-LV"/>
        </w:rPr>
        <w:tab/>
      </w:r>
      <w:r w:rsidR="00CB43DD" w:rsidRPr="00E85227">
        <w:rPr>
          <w:lang w:val="lv-LV"/>
        </w:rPr>
        <w:tab/>
      </w:r>
      <w:r w:rsidR="00CB43DD" w:rsidRPr="00E85227">
        <w:rPr>
          <w:lang w:val="lv-LV"/>
        </w:rPr>
        <w:tab/>
      </w:r>
      <w:r w:rsidR="00CB43DD" w:rsidRPr="00E85227">
        <w:rPr>
          <w:lang w:val="lv-LV"/>
        </w:rPr>
        <w:tab/>
      </w:r>
    </w:p>
    <w:p w:rsidR="00251E65" w:rsidRDefault="00A72C81" w:rsidP="00346DE7">
      <w:pPr>
        <w:pStyle w:val="NormalWeb"/>
        <w:snapToGrid w:val="0"/>
        <w:spacing w:before="0" w:after="0"/>
        <w:jc w:val="both"/>
        <w:rPr>
          <w:sz w:val="20"/>
          <w:szCs w:val="20"/>
        </w:rPr>
      </w:pPr>
      <w:r>
        <w:rPr>
          <w:sz w:val="20"/>
          <w:szCs w:val="20"/>
        </w:rPr>
        <w:t>19.08.2011</w:t>
      </w:r>
      <w:r w:rsidR="009339B1">
        <w:rPr>
          <w:sz w:val="20"/>
          <w:szCs w:val="20"/>
        </w:rPr>
        <w:t xml:space="preserve">       </w:t>
      </w:r>
      <w:r w:rsidR="00251E65">
        <w:rPr>
          <w:sz w:val="20"/>
          <w:szCs w:val="20"/>
        </w:rPr>
        <w:t>12:44</w:t>
      </w:r>
    </w:p>
    <w:p w:rsidR="00426275" w:rsidRPr="00035EF1" w:rsidRDefault="00ED2803" w:rsidP="00346DE7">
      <w:pPr>
        <w:pStyle w:val="NormalWeb"/>
        <w:snapToGrid w:val="0"/>
        <w:spacing w:before="0" w:after="0"/>
        <w:jc w:val="both"/>
        <w:rPr>
          <w:sz w:val="20"/>
          <w:szCs w:val="20"/>
        </w:rPr>
      </w:pPr>
      <w:r>
        <w:rPr>
          <w:sz w:val="20"/>
          <w:szCs w:val="20"/>
        </w:rPr>
        <w:t>4985</w:t>
      </w:r>
    </w:p>
    <w:p w:rsidR="00F644D4" w:rsidRPr="00035EF1" w:rsidRDefault="00FD210C" w:rsidP="00346DE7">
      <w:pPr>
        <w:pStyle w:val="NormalWeb"/>
        <w:snapToGrid w:val="0"/>
        <w:spacing w:before="0" w:after="0"/>
        <w:jc w:val="both"/>
        <w:rPr>
          <w:sz w:val="20"/>
          <w:szCs w:val="20"/>
        </w:rPr>
      </w:pPr>
      <w:r w:rsidRPr="00035EF1">
        <w:rPr>
          <w:sz w:val="20"/>
          <w:szCs w:val="20"/>
        </w:rPr>
        <w:t>Ž.Zvaigzne</w:t>
      </w:r>
      <w:r w:rsidR="00071C0F" w:rsidRPr="00035EF1">
        <w:rPr>
          <w:sz w:val="20"/>
          <w:szCs w:val="20"/>
        </w:rPr>
        <w:t>, 67876041</w:t>
      </w:r>
    </w:p>
    <w:p w:rsidR="00F644D4" w:rsidRPr="00035EF1" w:rsidRDefault="00071C0F" w:rsidP="00346DE7">
      <w:pPr>
        <w:pStyle w:val="NormalWeb"/>
        <w:snapToGrid w:val="0"/>
        <w:spacing w:before="0" w:after="0"/>
        <w:jc w:val="both"/>
        <w:rPr>
          <w:sz w:val="20"/>
          <w:szCs w:val="20"/>
        </w:rPr>
      </w:pPr>
      <w:r w:rsidRPr="00035EF1">
        <w:rPr>
          <w:sz w:val="20"/>
          <w:szCs w:val="20"/>
        </w:rPr>
        <w:t>Zanete.Zvaigzne</w:t>
      </w:r>
      <w:r w:rsidR="00F644D4" w:rsidRPr="00035EF1">
        <w:rPr>
          <w:sz w:val="20"/>
          <w:szCs w:val="20"/>
        </w:rPr>
        <w:t>@vm.gov.lv</w:t>
      </w:r>
    </w:p>
    <w:p w:rsidR="00F644D4" w:rsidRPr="00035EF1" w:rsidRDefault="00F644D4" w:rsidP="00071C0F">
      <w:pPr>
        <w:pStyle w:val="NormalWeb"/>
        <w:snapToGrid w:val="0"/>
        <w:spacing w:before="0" w:after="0"/>
        <w:jc w:val="both"/>
        <w:rPr>
          <w:sz w:val="20"/>
          <w:szCs w:val="20"/>
        </w:rPr>
      </w:pPr>
    </w:p>
    <w:sectPr w:rsidR="00F644D4" w:rsidRPr="00035EF1" w:rsidSect="00026C15">
      <w:headerReference w:type="default" r:id="rId8"/>
      <w:footerReference w:type="default" r:id="rId9"/>
      <w:footerReference w:type="first" r:id="rId10"/>
      <w:pgSz w:w="12240" w:h="15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CC" w:rsidRDefault="006509CC" w:rsidP="00AB3B1D">
      <w:pPr>
        <w:spacing w:after="0" w:line="240" w:lineRule="auto"/>
      </w:pPr>
      <w:r>
        <w:separator/>
      </w:r>
    </w:p>
  </w:endnote>
  <w:endnote w:type="continuationSeparator" w:id="0">
    <w:p w:rsidR="006509CC" w:rsidRDefault="006509CC" w:rsidP="00AB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CC" w:rsidRPr="00E8416B" w:rsidRDefault="006509CC">
    <w:pPr>
      <w:pStyle w:val="Footer"/>
      <w:rPr>
        <w:rFonts w:ascii="Times New Roman" w:hAnsi="Times New Roman" w:cs="Times New Roman"/>
      </w:rPr>
    </w:pPr>
    <w:r>
      <w:rPr>
        <w:rFonts w:ascii="Times New Roman" w:hAnsi="Times New Roman" w:cs="Times New Roman"/>
      </w:rPr>
      <w:t>VMz</w:t>
    </w:r>
    <w:r w:rsidRPr="00E8416B">
      <w:rPr>
        <w:rFonts w:ascii="Times New Roman" w:hAnsi="Times New Roman" w:cs="Times New Roman"/>
      </w:rPr>
      <w:t>ino_</w:t>
    </w:r>
    <w:r>
      <w:rPr>
        <w:rFonts w:ascii="Times New Roman" w:hAnsi="Times New Roman" w:cs="Times New Roman"/>
      </w:rPr>
      <w:t>1908</w:t>
    </w:r>
    <w:r w:rsidRPr="00E8416B">
      <w:rPr>
        <w:rFonts w:ascii="Times New Roman" w:hAnsi="Times New Roman" w:cs="Times New Roman"/>
      </w:rPr>
      <w:t>11; Informatīvais ziņojums “Finanšu situācija veselības aprūpes jomā”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CC" w:rsidRPr="00922C25" w:rsidRDefault="006509CC">
    <w:pPr>
      <w:pStyle w:val="Footer"/>
    </w:pPr>
    <w:r>
      <w:rPr>
        <w:rFonts w:ascii="Times New Roman" w:hAnsi="Times New Roman" w:cs="Times New Roman"/>
      </w:rPr>
      <w:t>VMzino_1908</w:t>
    </w:r>
    <w:r w:rsidRPr="00922C25">
      <w:rPr>
        <w:rFonts w:ascii="Times New Roman" w:hAnsi="Times New Roman" w:cs="Times New Roman"/>
      </w:rPr>
      <w:t>11; Informatīvais ziņojums “Finanšu situācija veselības aprūpes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CC" w:rsidRDefault="006509CC" w:rsidP="00AB3B1D">
      <w:pPr>
        <w:spacing w:after="0" w:line="240" w:lineRule="auto"/>
      </w:pPr>
      <w:r>
        <w:separator/>
      </w:r>
    </w:p>
  </w:footnote>
  <w:footnote w:type="continuationSeparator" w:id="0">
    <w:p w:rsidR="006509CC" w:rsidRDefault="006509CC" w:rsidP="00AB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CC" w:rsidRDefault="00D444E1">
    <w:pPr>
      <w:pStyle w:val="Header"/>
      <w:jc w:val="center"/>
    </w:pPr>
    <w:sdt>
      <w:sdtPr>
        <w:id w:val="27761454"/>
        <w:docPartObj>
          <w:docPartGallery w:val="Page Numbers (Top of Page)"/>
          <w:docPartUnique/>
        </w:docPartObj>
      </w:sdtPr>
      <w:sdtContent>
        <w:r w:rsidRPr="00306F4E">
          <w:rPr>
            <w:rFonts w:ascii="Times New Roman" w:hAnsi="Times New Roman" w:cs="Times New Roman"/>
          </w:rPr>
          <w:fldChar w:fldCharType="begin"/>
        </w:r>
        <w:r w:rsidR="006509CC" w:rsidRPr="00306F4E">
          <w:rPr>
            <w:rFonts w:ascii="Times New Roman" w:hAnsi="Times New Roman" w:cs="Times New Roman"/>
          </w:rPr>
          <w:instrText xml:space="preserve"> PAGE   \* MERGEFORMAT </w:instrText>
        </w:r>
        <w:r w:rsidRPr="00306F4E">
          <w:rPr>
            <w:rFonts w:ascii="Times New Roman" w:hAnsi="Times New Roman" w:cs="Times New Roman"/>
          </w:rPr>
          <w:fldChar w:fldCharType="separate"/>
        </w:r>
        <w:r w:rsidR="00ED2803">
          <w:rPr>
            <w:rFonts w:ascii="Times New Roman" w:hAnsi="Times New Roman" w:cs="Times New Roman"/>
            <w:noProof/>
          </w:rPr>
          <w:t>15</w:t>
        </w:r>
        <w:r w:rsidRPr="00306F4E">
          <w:rPr>
            <w:rFonts w:ascii="Times New Roman" w:hAnsi="Times New Roman" w:cs="Times New Roman"/>
          </w:rPr>
          <w:fldChar w:fldCharType="end"/>
        </w:r>
      </w:sdtContent>
    </w:sdt>
  </w:p>
  <w:p w:rsidR="006509CC" w:rsidRDefault="00650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64"/>
    <w:multiLevelType w:val="hybridMultilevel"/>
    <w:tmpl w:val="0EAADFBC"/>
    <w:lvl w:ilvl="0" w:tplc="0426000F">
      <w:start w:val="1"/>
      <w:numFmt w:val="decimal"/>
      <w:lvlText w:val="%1."/>
      <w:lvlJc w:val="left"/>
      <w:pPr>
        <w:ind w:left="360" w:hanging="360"/>
      </w:pPr>
    </w:lvl>
    <w:lvl w:ilvl="1" w:tplc="AF9C6E32">
      <w:start w:val="1"/>
      <w:numFmt w:val="decimal"/>
      <w:lvlText w:val="3.%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874A79"/>
    <w:multiLevelType w:val="multilevel"/>
    <w:tmpl w:val="A19C76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D7D29"/>
    <w:multiLevelType w:val="hybridMultilevel"/>
    <w:tmpl w:val="BCB87190"/>
    <w:lvl w:ilvl="0" w:tplc="0A1AE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1E1CAC"/>
    <w:multiLevelType w:val="hybridMultilevel"/>
    <w:tmpl w:val="B52E3A96"/>
    <w:lvl w:ilvl="0" w:tplc="E02A6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97D1276"/>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C2037FC"/>
    <w:multiLevelType w:val="hybridMultilevel"/>
    <w:tmpl w:val="0F2C4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D033624"/>
    <w:multiLevelType w:val="hybridMultilevel"/>
    <w:tmpl w:val="64B62900"/>
    <w:lvl w:ilvl="0" w:tplc="F0A48DA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E67B2E"/>
    <w:multiLevelType w:val="hybridMultilevel"/>
    <w:tmpl w:val="E1F62D1C"/>
    <w:lvl w:ilvl="0" w:tplc="6E622EF0">
      <w:start w:val="1"/>
      <w:numFmt w:val="bullet"/>
      <w:lvlText w:val=""/>
      <w:lvlJc w:val="left"/>
      <w:pPr>
        <w:tabs>
          <w:tab w:val="num" w:pos="720"/>
        </w:tabs>
        <w:ind w:left="720" w:hanging="360"/>
      </w:pPr>
      <w:rPr>
        <w:rFonts w:ascii="Wingdings" w:hAnsi="Wingdings"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EAD242A"/>
    <w:multiLevelType w:val="hybridMultilevel"/>
    <w:tmpl w:val="9410CB7E"/>
    <w:lvl w:ilvl="0" w:tplc="7A5A39EC">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C0278"/>
    <w:multiLevelType w:val="hybridMultilevel"/>
    <w:tmpl w:val="9B4C2E94"/>
    <w:lvl w:ilvl="0" w:tplc="4EF8DA08">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097713E"/>
    <w:multiLevelType w:val="hybridMultilevel"/>
    <w:tmpl w:val="0C5A5EFA"/>
    <w:lvl w:ilvl="0" w:tplc="0D306F94">
      <w:start w:val="5"/>
      <w:numFmt w:val="decimal"/>
      <w:lvlText w:val="%1"/>
      <w:lvlJc w:val="left"/>
      <w:pPr>
        <w:ind w:left="390" w:hanging="360"/>
      </w:pPr>
      <w:rPr>
        <w:rFonts w:eastAsiaTheme="minorHAnsi" w:cstheme="minorBid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2">
    <w:nsid w:val="67796BCC"/>
    <w:multiLevelType w:val="hybridMultilevel"/>
    <w:tmpl w:val="674C67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C3B5143"/>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1"/>
  </w:num>
  <w:num w:numId="3">
    <w:abstractNumId w:val="10"/>
  </w:num>
  <w:num w:numId="4">
    <w:abstractNumId w:val="1"/>
  </w:num>
  <w:num w:numId="5">
    <w:abstractNumId w:val="2"/>
  </w:num>
  <w:num w:numId="6">
    <w:abstractNumId w:val="3"/>
  </w:num>
  <w:num w:numId="7">
    <w:abstractNumId w:val="12"/>
  </w:num>
  <w:num w:numId="8">
    <w:abstractNumId w:val="5"/>
  </w:num>
  <w:num w:numId="9">
    <w:abstractNumId w:val="0"/>
  </w:num>
  <w:num w:numId="10">
    <w:abstractNumId w:val="4"/>
  </w:num>
  <w:num w:numId="11">
    <w:abstractNumId w:val="6"/>
  </w:num>
  <w:num w:numId="12">
    <w:abstractNumId w:val="8"/>
  </w:num>
  <w:num w:numId="13">
    <w:abstractNumId w:val="9"/>
  </w:num>
  <w:num w:numId="1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170F07"/>
    <w:rsid w:val="000018CC"/>
    <w:rsid w:val="000073FB"/>
    <w:rsid w:val="00007B14"/>
    <w:rsid w:val="00020E91"/>
    <w:rsid w:val="00024A1B"/>
    <w:rsid w:val="0002568C"/>
    <w:rsid w:val="00026C15"/>
    <w:rsid w:val="00031D86"/>
    <w:rsid w:val="00032C6C"/>
    <w:rsid w:val="0003514A"/>
    <w:rsid w:val="000353C1"/>
    <w:rsid w:val="00035772"/>
    <w:rsid w:val="00035EF1"/>
    <w:rsid w:val="00041EBA"/>
    <w:rsid w:val="00046BFA"/>
    <w:rsid w:val="0005518E"/>
    <w:rsid w:val="0005539A"/>
    <w:rsid w:val="000618E8"/>
    <w:rsid w:val="0006269A"/>
    <w:rsid w:val="000631FA"/>
    <w:rsid w:val="0006717D"/>
    <w:rsid w:val="00071C0F"/>
    <w:rsid w:val="000727C6"/>
    <w:rsid w:val="00073F7E"/>
    <w:rsid w:val="00076FD4"/>
    <w:rsid w:val="00077F31"/>
    <w:rsid w:val="00082062"/>
    <w:rsid w:val="0008474C"/>
    <w:rsid w:val="00084B90"/>
    <w:rsid w:val="000855D0"/>
    <w:rsid w:val="00085B41"/>
    <w:rsid w:val="00087A98"/>
    <w:rsid w:val="00090541"/>
    <w:rsid w:val="00090EF0"/>
    <w:rsid w:val="00091779"/>
    <w:rsid w:val="000962EA"/>
    <w:rsid w:val="00097283"/>
    <w:rsid w:val="000A0076"/>
    <w:rsid w:val="000A1B3C"/>
    <w:rsid w:val="000A2668"/>
    <w:rsid w:val="000A3787"/>
    <w:rsid w:val="000A3804"/>
    <w:rsid w:val="000A5E67"/>
    <w:rsid w:val="000A6327"/>
    <w:rsid w:val="000A6362"/>
    <w:rsid w:val="000B070D"/>
    <w:rsid w:val="000B258A"/>
    <w:rsid w:val="000B5519"/>
    <w:rsid w:val="000B5D81"/>
    <w:rsid w:val="000B5D98"/>
    <w:rsid w:val="000B6893"/>
    <w:rsid w:val="000C5DAB"/>
    <w:rsid w:val="000D16C8"/>
    <w:rsid w:val="000D1F2A"/>
    <w:rsid w:val="000D35DD"/>
    <w:rsid w:val="000E1B49"/>
    <w:rsid w:val="000E2192"/>
    <w:rsid w:val="000E4D41"/>
    <w:rsid w:val="000E569B"/>
    <w:rsid w:val="000E71E2"/>
    <w:rsid w:val="000F6A49"/>
    <w:rsid w:val="000F724D"/>
    <w:rsid w:val="00100C55"/>
    <w:rsid w:val="0010155C"/>
    <w:rsid w:val="00102EA1"/>
    <w:rsid w:val="00106A42"/>
    <w:rsid w:val="00112943"/>
    <w:rsid w:val="00114E86"/>
    <w:rsid w:val="00120066"/>
    <w:rsid w:val="001205E7"/>
    <w:rsid w:val="00121FC4"/>
    <w:rsid w:val="00126CEA"/>
    <w:rsid w:val="0013048C"/>
    <w:rsid w:val="00140264"/>
    <w:rsid w:val="00141C94"/>
    <w:rsid w:val="001442BA"/>
    <w:rsid w:val="001442FB"/>
    <w:rsid w:val="00150044"/>
    <w:rsid w:val="00151533"/>
    <w:rsid w:val="0015206A"/>
    <w:rsid w:val="00153B88"/>
    <w:rsid w:val="001553D0"/>
    <w:rsid w:val="001610E0"/>
    <w:rsid w:val="00163A0F"/>
    <w:rsid w:val="00163F93"/>
    <w:rsid w:val="00164FF2"/>
    <w:rsid w:val="00165C27"/>
    <w:rsid w:val="0016689F"/>
    <w:rsid w:val="00170F07"/>
    <w:rsid w:val="001757F3"/>
    <w:rsid w:val="00177005"/>
    <w:rsid w:val="00181145"/>
    <w:rsid w:val="00183156"/>
    <w:rsid w:val="00183C57"/>
    <w:rsid w:val="00190B1A"/>
    <w:rsid w:val="00191380"/>
    <w:rsid w:val="001A188B"/>
    <w:rsid w:val="001A29D6"/>
    <w:rsid w:val="001A5823"/>
    <w:rsid w:val="001B001D"/>
    <w:rsid w:val="001B1446"/>
    <w:rsid w:val="001B2226"/>
    <w:rsid w:val="001B2983"/>
    <w:rsid w:val="001B2C2C"/>
    <w:rsid w:val="001B780D"/>
    <w:rsid w:val="001B78C6"/>
    <w:rsid w:val="001B7D49"/>
    <w:rsid w:val="001C07FB"/>
    <w:rsid w:val="001C11C5"/>
    <w:rsid w:val="001C25A6"/>
    <w:rsid w:val="001C2718"/>
    <w:rsid w:val="001C4433"/>
    <w:rsid w:val="001D1383"/>
    <w:rsid w:val="001D1CF5"/>
    <w:rsid w:val="001E2728"/>
    <w:rsid w:val="001E797C"/>
    <w:rsid w:val="001E7C1F"/>
    <w:rsid w:val="001F04A5"/>
    <w:rsid w:val="001F190C"/>
    <w:rsid w:val="001F37F2"/>
    <w:rsid w:val="001F4909"/>
    <w:rsid w:val="001F4BFE"/>
    <w:rsid w:val="001F5D16"/>
    <w:rsid w:val="001F7232"/>
    <w:rsid w:val="001F731C"/>
    <w:rsid w:val="00201A55"/>
    <w:rsid w:val="00204648"/>
    <w:rsid w:val="0020558E"/>
    <w:rsid w:val="00205C98"/>
    <w:rsid w:val="0020654F"/>
    <w:rsid w:val="00216DA5"/>
    <w:rsid w:val="0021716B"/>
    <w:rsid w:val="002176AA"/>
    <w:rsid w:val="002218AE"/>
    <w:rsid w:val="002225B4"/>
    <w:rsid w:val="00222A3E"/>
    <w:rsid w:val="00223669"/>
    <w:rsid w:val="00224715"/>
    <w:rsid w:val="00230515"/>
    <w:rsid w:val="0023104B"/>
    <w:rsid w:val="002374C7"/>
    <w:rsid w:val="00243EFD"/>
    <w:rsid w:val="00245604"/>
    <w:rsid w:val="002478A7"/>
    <w:rsid w:val="00251E65"/>
    <w:rsid w:val="00262F48"/>
    <w:rsid w:val="00264B85"/>
    <w:rsid w:val="00267DF8"/>
    <w:rsid w:val="00275375"/>
    <w:rsid w:val="00276599"/>
    <w:rsid w:val="00277B98"/>
    <w:rsid w:val="00277F70"/>
    <w:rsid w:val="00282FF6"/>
    <w:rsid w:val="00297071"/>
    <w:rsid w:val="00297930"/>
    <w:rsid w:val="002A053B"/>
    <w:rsid w:val="002A1B6B"/>
    <w:rsid w:val="002B052D"/>
    <w:rsid w:val="002B05D1"/>
    <w:rsid w:val="002B106E"/>
    <w:rsid w:val="002B177A"/>
    <w:rsid w:val="002B1ABC"/>
    <w:rsid w:val="002B3B39"/>
    <w:rsid w:val="002B4C79"/>
    <w:rsid w:val="002B4E36"/>
    <w:rsid w:val="002B563B"/>
    <w:rsid w:val="002C0DE0"/>
    <w:rsid w:val="002C20F1"/>
    <w:rsid w:val="002C2141"/>
    <w:rsid w:val="002C34BD"/>
    <w:rsid w:val="002C6E8B"/>
    <w:rsid w:val="002C7C0A"/>
    <w:rsid w:val="002E191B"/>
    <w:rsid w:val="002E5B96"/>
    <w:rsid w:val="002E5D6A"/>
    <w:rsid w:val="002F07D7"/>
    <w:rsid w:val="002F133D"/>
    <w:rsid w:val="002F5E26"/>
    <w:rsid w:val="002F5FE4"/>
    <w:rsid w:val="00306F4E"/>
    <w:rsid w:val="003132C1"/>
    <w:rsid w:val="003148D8"/>
    <w:rsid w:val="00317439"/>
    <w:rsid w:val="00317AD5"/>
    <w:rsid w:val="00320224"/>
    <w:rsid w:val="003220F7"/>
    <w:rsid w:val="0032255D"/>
    <w:rsid w:val="00327296"/>
    <w:rsid w:val="00327982"/>
    <w:rsid w:val="00330473"/>
    <w:rsid w:val="0033237C"/>
    <w:rsid w:val="00332F09"/>
    <w:rsid w:val="003335C8"/>
    <w:rsid w:val="003348D3"/>
    <w:rsid w:val="003362EC"/>
    <w:rsid w:val="00337B73"/>
    <w:rsid w:val="00343934"/>
    <w:rsid w:val="003455D5"/>
    <w:rsid w:val="00345D51"/>
    <w:rsid w:val="00345DCE"/>
    <w:rsid w:val="00346DE7"/>
    <w:rsid w:val="00354FE7"/>
    <w:rsid w:val="0035510E"/>
    <w:rsid w:val="00357AB3"/>
    <w:rsid w:val="00357CA4"/>
    <w:rsid w:val="00360656"/>
    <w:rsid w:val="00365155"/>
    <w:rsid w:val="003658B3"/>
    <w:rsid w:val="00371E6B"/>
    <w:rsid w:val="00372FC2"/>
    <w:rsid w:val="003736D3"/>
    <w:rsid w:val="0037421F"/>
    <w:rsid w:val="00380F53"/>
    <w:rsid w:val="0038194A"/>
    <w:rsid w:val="00383F1E"/>
    <w:rsid w:val="003846CF"/>
    <w:rsid w:val="00385276"/>
    <w:rsid w:val="003930D5"/>
    <w:rsid w:val="003962DF"/>
    <w:rsid w:val="003A0884"/>
    <w:rsid w:val="003A2C07"/>
    <w:rsid w:val="003A402B"/>
    <w:rsid w:val="003A5C56"/>
    <w:rsid w:val="003A6F4E"/>
    <w:rsid w:val="003A7980"/>
    <w:rsid w:val="003B15E8"/>
    <w:rsid w:val="003B3C36"/>
    <w:rsid w:val="003B63E0"/>
    <w:rsid w:val="003B695B"/>
    <w:rsid w:val="003B6D64"/>
    <w:rsid w:val="003C0B0A"/>
    <w:rsid w:val="003C284C"/>
    <w:rsid w:val="003C6D72"/>
    <w:rsid w:val="003D74DB"/>
    <w:rsid w:val="003D7F19"/>
    <w:rsid w:val="003E60EC"/>
    <w:rsid w:val="003E682A"/>
    <w:rsid w:val="003E722F"/>
    <w:rsid w:val="003F2422"/>
    <w:rsid w:val="003F438E"/>
    <w:rsid w:val="003F5353"/>
    <w:rsid w:val="004000C6"/>
    <w:rsid w:val="004028D7"/>
    <w:rsid w:val="00403315"/>
    <w:rsid w:val="00403CA2"/>
    <w:rsid w:val="00415875"/>
    <w:rsid w:val="00420351"/>
    <w:rsid w:val="00420E35"/>
    <w:rsid w:val="00426275"/>
    <w:rsid w:val="0042667C"/>
    <w:rsid w:val="00430337"/>
    <w:rsid w:val="0044209E"/>
    <w:rsid w:val="004420D9"/>
    <w:rsid w:val="004430F7"/>
    <w:rsid w:val="004455CC"/>
    <w:rsid w:val="00445EF0"/>
    <w:rsid w:val="00455FDE"/>
    <w:rsid w:val="0046213E"/>
    <w:rsid w:val="004807C4"/>
    <w:rsid w:val="00481B20"/>
    <w:rsid w:val="00486A05"/>
    <w:rsid w:val="00487C47"/>
    <w:rsid w:val="00490E03"/>
    <w:rsid w:val="00494223"/>
    <w:rsid w:val="004A4B82"/>
    <w:rsid w:val="004A4E1C"/>
    <w:rsid w:val="004A519F"/>
    <w:rsid w:val="004A5242"/>
    <w:rsid w:val="004A547A"/>
    <w:rsid w:val="004B036B"/>
    <w:rsid w:val="004B0CD0"/>
    <w:rsid w:val="004C1827"/>
    <w:rsid w:val="004C1A19"/>
    <w:rsid w:val="004C1A6C"/>
    <w:rsid w:val="004C1DEF"/>
    <w:rsid w:val="004C2350"/>
    <w:rsid w:val="004C28BD"/>
    <w:rsid w:val="004C4444"/>
    <w:rsid w:val="004C510F"/>
    <w:rsid w:val="004C523F"/>
    <w:rsid w:val="004C5FF8"/>
    <w:rsid w:val="004D053B"/>
    <w:rsid w:val="004D077F"/>
    <w:rsid w:val="004D3C7D"/>
    <w:rsid w:val="004D5EC4"/>
    <w:rsid w:val="004E4FA3"/>
    <w:rsid w:val="004E52CE"/>
    <w:rsid w:val="004F0756"/>
    <w:rsid w:val="004F497C"/>
    <w:rsid w:val="00500024"/>
    <w:rsid w:val="00502B80"/>
    <w:rsid w:val="0050712B"/>
    <w:rsid w:val="00507947"/>
    <w:rsid w:val="005172FB"/>
    <w:rsid w:val="00525A8E"/>
    <w:rsid w:val="00525F46"/>
    <w:rsid w:val="005265CB"/>
    <w:rsid w:val="005345F6"/>
    <w:rsid w:val="005353EE"/>
    <w:rsid w:val="00536783"/>
    <w:rsid w:val="00542BA5"/>
    <w:rsid w:val="005434BE"/>
    <w:rsid w:val="0054649F"/>
    <w:rsid w:val="00547708"/>
    <w:rsid w:val="00547FEF"/>
    <w:rsid w:val="00551852"/>
    <w:rsid w:val="00551BCB"/>
    <w:rsid w:val="00551DC5"/>
    <w:rsid w:val="00557FEB"/>
    <w:rsid w:val="005622BA"/>
    <w:rsid w:val="00562F4B"/>
    <w:rsid w:val="00564569"/>
    <w:rsid w:val="0056760B"/>
    <w:rsid w:val="005711A7"/>
    <w:rsid w:val="00571E1B"/>
    <w:rsid w:val="00574805"/>
    <w:rsid w:val="005763E1"/>
    <w:rsid w:val="00576D49"/>
    <w:rsid w:val="00577D90"/>
    <w:rsid w:val="00585DA0"/>
    <w:rsid w:val="005871F9"/>
    <w:rsid w:val="00591023"/>
    <w:rsid w:val="005915A8"/>
    <w:rsid w:val="00592685"/>
    <w:rsid w:val="0059706E"/>
    <w:rsid w:val="005A1245"/>
    <w:rsid w:val="005A4C39"/>
    <w:rsid w:val="005A6067"/>
    <w:rsid w:val="005A7465"/>
    <w:rsid w:val="005B0C5A"/>
    <w:rsid w:val="005B4A4F"/>
    <w:rsid w:val="005C04DC"/>
    <w:rsid w:val="005C3D15"/>
    <w:rsid w:val="005C3DE1"/>
    <w:rsid w:val="005C40BE"/>
    <w:rsid w:val="005C412D"/>
    <w:rsid w:val="005C52D8"/>
    <w:rsid w:val="005C58BF"/>
    <w:rsid w:val="005E019A"/>
    <w:rsid w:val="005E1958"/>
    <w:rsid w:val="005E23BA"/>
    <w:rsid w:val="005E3FDC"/>
    <w:rsid w:val="005E6D14"/>
    <w:rsid w:val="005E7BD5"/>
    <w:rsid w:val="005F3C23"/>
    <w:rsid w:val="006123C3"/>
    <w:rsid w:val="00612CF2"/>
    <w:rsid w:val="00616F70"/>
    <w:rsid w:val="00617AF3"/>
    <w:rsid w:val="00621B4E"/>
    <w:rsid w:val="00623651"/>
    <w:rsid w:val="00624D63"/>
    <w:rsid w:val="00626DC7"/>
    <w:rsid w:val="0063019D"/>
    <w:rsid w:val="00630324"/>
    <w:rsid w:val="006313A2"/>
    <w:rsid w:val="006367B3"/>
    <w:rsid w:val="00640210"/>
    <w:rsid w:val="00642193"/>
    <w:rsid w:val="0064377D"/>
    <w:rsid w:val="006509CC"/>
    <w:rsid w:val="00656421"/>
    <w:rsid w:val="006564F5"/>
    <w:rsid w:val="00657C9E"/>
    <w:rsid w:val="00663B7F"/>
    <w:rsid w:val="00665B85"/>
    <w:rsid w:val="00672DDA"/>
    <w:rsid w:val="00674CFF"/>
    <w:rsid w:val="0067699E"/>
    <w:rsid w:val="00676B04"/>
    <w:rsid w:val="00683399"/>
    <w:rsid w:val="00685DF3"/>
    <w:rsid w:val="0068623F"/>
    <w:rsid w:val="00690AED"/>
    <w:rsid w:val="00693AE6"/>
    <w:rsid w:val="006A1552"/>
    <w:rsid w:val="006A258F"/>
    <w:rsid w:val="006B2915"/>
    <w:rsid w:val="006B2DF6"/>
    <w:rsid w:val="006B30E9"/>
    <w:rsid w:val="006B3A5A"/>
    <w:rsid w:val="006B4383"/>
    <w:rsid w:val="006C5596"/>
    <w:rsid w:val="006C6A21"/>
    <w:rsid w:val="006C78E1"/>
    <w:rsid w:val="006D5425"/>
    <w:rsid w:val="006D7414"/>
    <w:rsid w:val="006E3ACF"/>
    <w:rsid w:val="006E53F8"/>
    <w:rsid w:val="006E78D6"/>
    <w:rsid w:val="006F0B81"/>
    <w:rsid w:val="006F3C28"/>
    <w:rsid w:val="006F6A48"/>
    <w:rsid w:val="00701958"/>
    <w:rsid w:val="00701E09"/>
    <w:rsid w:val="007035D6"/>
    <w:rsid w:val="00710C06"/>
    <w:rsid w:val="007110FE"/>
    <w:rsid w:val="00711B4C"/>
    <w:rsid w:val="007124CF"/>
    <w:rsid w:val="00712513"/>
    <w:rsid w:val="00716546"/>
    <w:rsid w:val="00720930"/>
    <w:rsid w:val="0072284F"/>
    <w:rsid w:val="0072385F"/>
    <w:rsid w:val="00723B40"/>
    <w:rsid w:val="00724DA9"/>
    <w:rsid w:val="007263A5"/>
    <w:rsid w:val="00731B26"/>
    <w:rsid w:val="007324F9"/>
    <w:rsid w:val="00734F36"/>
    <w:rsid w:val="00741C29"/>
    <w:rsid w:val="00746360"/>
    <w:rsid w:val="00746A42"/>
    <w:rsid w:val="00747045"/>
    <w:rsid w:val="0075058F"/>
    <w:rsid w:val="00751636"/>
    <w:rsid w:val="0075220D"/>
    <w:rsid w:val="007538E4"/>
    <w:rsid w:val="00753FC8"/>
    <w:rsid w:val="00757458"/>
    <w:rsid w:val="00757843"/>
    <w:rsid w:val="00757F99"/>
    <w:rsid w:val="007618D5"/>
    <w:rsid w:val="00761E44"/>
    <w:rsid w:val="00764655"/>
    <w:rsid w:val="00766406"/>
    <w:rsid w:val="00767772"/>
    <w:rsid w:val="007742EE"/>
    <w:rsid w:val="0078424C"/>
    <w:rsid w:val="00790E30"/>
    <w:rsid w:val="0079151A"/>
    <w:rsid w:val="0079418A"/>
    <w:rsid w:val="00794CAB"/>
    <w:rsid w:val="00796121"/>
    <w:rsid w:val="007A58F5"/>
    <w:rsid w:val="007A7096"/>
    <w:rsid w:val="007A70AA"/>
    <w:rsid w:val="007B4D00"/>
    <w:rsid w:val="007B5751"/>
    <w:rsid w:val="007B73A0"/>
    <w:rsid w:val="007C22A4"/>
    <w:rsid w:val="007C2FB6"/>
    <w:rsid w:val="007C3D5D"/>
    <w:rsid w:val="007C4169"/>
    <w:rsid w:val="007C580B"/>
    <w:rsid w:val="007C719F"/>
    <w:rsid w:val="007D1A27"/>
    <w:rsid w:val="007D5B7F"/>
    <w:rsid w:val="007D64B0"/>
    <w:rsid w:val="007D6EAE"/>
    <w:rsid w:val="007E3407"/>
    <w:rsid w:val="007E5DC8"/>
    <w:rsid w:val="007E622B"/>
    <w:rsid w:val="007E77CE"/>
    <w:rsid w:val="007F1A4F"/>
    <w:rsid w:val="007F276F"/>
    <w:rsid w:val="007F4112"/>
    <w:rsid w:val="007F51DF"/>
    <w:rsid w:val="007F68EA"/>
    <w:rsid w:val="0080286C"/>
    <w:rsid w:val="00803BF9"/>
    <w:rsid w:val="00804672"/>
    <w:rsid w:val="008069D8"/>
    <w:rsid w:val="00810091"/>
    <w:rsid w:val="008137F4"/>
    <w:rsid w:val="0081380E"/>
    <w:rsid w:val="008138CA"/>
    <w:rsid w:val="00820F90"/>
    <w:rsid w:val="008236C9"/>
    <w:rsid w:val="008278E5"/>
    <w:rsid w:val="008339F8"/>
    <w:rsid w:val="008356A4"/>
    <w:rsid w:val="008364A8"/>
    <w:rsid w:val="0083707B"/>
    <w:rsid w:val="008378FC"/>
    <w:rsid w:val="00840FD1"/>
    <w:rsid w:val="00842BA2"/>
    <w:rsid w:val="00843CC5"/>
    <w:rsid w:val="00843FDF"/>
    <w:rsid w:val="00845D22"/>
    <w:rsid w:val="00847784"/>
    <w:rsid w:val="008523C9"/>
    <w:rsid w:val="00854E7B"/>
    <w:rsid w:val="00862B6D"/>
    <w:rsid w:val="008631F2"/>
    <w:rsid w:val="0086442F"/>
    <w:rsid w:val="00867BDE"/>
    <w:rsid w:val="0087031A"/>
    <w:rsid w:val="00870947"/>
    <w:rsid w:val="00871351"/>
    <w:rsid w:val="00871F8C"/>
    <w:rsid w:val="00873349"/>
    <w:rsid w:val="00876530"/>
    <w:rsid w:val="008769B6"/>
    <w:rsid w:val="00876F96"/>
    <w:rsid w:val="008858F0"/>
    <w:rsid w:val="00887406"/>
    <w:rsid w:val="0089378F"/>
    <w:rsid w:val="008B3B94"/>
    <w:rsid w:val="008C1E15"/>
    <w:rsid w:val="008C2065"/>
    <w:rsid w:val="008C31DB"/>
    <w:rsid w:val="008C47BE"/>
    <w:rsid w:val="008C5CB7"/>
    <w:rsid w:val="008D557E"/>
    <w:rsid w:val="008E0286"/>
    <w:rsid w:val="008E20BF"/>
    <w:rsid w:val="008E23C2"/>
    <w:rsid w:val="008E4FC2"/>
    <w:rsid w:val="008E5AFC"/>
    <w:rsid w:val="008E7C85"/>
    <w:rsid w:val="008F2DE3"/>
    <w:rsid w:val="008F4234"/>
    <w:rsid w:val="009025DA"/>
    <w:rsid w:val="009107F4"/>
    <w:rsid w:val="00911350"/>
    <w:rsid w:val="00911AC3"/>
    <w:rsid w:val="00911CE8"/>
    <w:rsid w:val="00914BD8"/>
    <w:rsid w:val="009152A8"/>
    <w:rsid w:val="0091563E"/>
    <w:rsid w:val="00922C25"/>
    <w:rsid w:val="009243AB"/>
    <w:rsid w:val="00924A95"/>
    <w:rsid w:val="00927569"/>
    <w:rsid w:val="00930BBA"/>
    <w:rsid w:val="00932561"/>
    <w:rsid w:val="009335D5"/>
    <w:rsid w:val="009339B1"/>
    <w:rsid w:val="00933E3B"/>
    <w:rsid w:val="009363A3"/>
    <w:rsid w:val="00941984"/>
    <w:rsid w:val="009445A1"/>
    <w:rsid w:val="00947E2F"/>
    <w:rsid w:val="0095091D"/>
    <w:rsid w:val="00950C2B"/>
    <w:rsid w:val="009515B4"/>
    <w:rsid w:val="009533C8"/>
    <w:rsid w:val="009554D8"/>
    <w:rsid w:val="0096140D"/>
    <w:rsid w:val="009638C8"/>
    <w:rsid w:val="0096458B"/>
    <w:rsid w:val="009676F2"/>
    <w:rsid w:val="009742DF"/>
    <w:rsid w:val="00974AD7"/>
    <w:rsid w:val="00976F80"/>
    <w:rsid w:val="00977EFF"/>
    <w:rsid w:val="009804D1"/>
    <w:rsid w:val="00980FCB"/>
    <w:rsid w:val="009810D0"/>
    <w:rsid w:val="00990A0D"/>
    <w:rsid w:val="009922DD"/>
    <w:rsid w:val="009A0D55"/>
    <w:rsid w:val="009A3F0F"/>
    <w:rsid w:val="009B2C01"/>
    <w:rsid w:val="009B3CE5"/>
    <w:rsid w:val="009B5930"/>
    <w:rsid w:val="009B6BBC"/>
    <w:rsid w:val="009C1DA0"/>
    <w:rsid w:val="009C26C5"/>
    <w:rsid w:val="009C6494"/>
    <w:rsid w:val="009C6575"/>
    <w:rsid w:val="009C703E"/>
    <w:rsid w:val="009E0AB8"/>
    <w:rsid w:val="009E169B"/>
    <w:rsid w:val="009E3C44"/>
    <w:rsid w:val="009E3D81"/>
    <w:rsid w:val="009E578F"/>
    <w:rsid w:val="009E6662"/>
    <w:rsid w:val="009F0251"/>
    <w:rsid w:val="009F67C6"/>
    <w:rsid w:val="00A007B0"/>
    <w:rsid w:val="00A03ACF"/>
    <w:rsid w:val="00A03B40"/>
    <w:rsid w:val="00A10DD0"/>
    <w:rsid w:val="00A12D86"/>
    <w:rsid w:val="00A13707"/>
    <w:rsid w:val="00A13EA2"/>
    <w:rsid w:val="00A16074"/>
    <w:rsid w:val="00A2368F"/>
    <w:rsid w:val="00A23896"/>
    <w:rsid w:val="00A2615B"/>
    <w:rsid w:val="00A27F6A"/>
    <w:rsid w:val="00A31D71"/>
    <w:rsid w:val="00A351E6"/>
    <w:rsid w:val="00A35C94"/>
    <w:rsid w:val="00A35F52"/>
    <w:rsid w:val="00A408EA"/>
    <w:rsid w:val="00A41DED"/>
    <w:rsid w:val="00A422D5"/>
    <w:rsid w:val="00A42802"/>
    <w:rsid w:val="00A42DBE"/>
    <w:rsid w:val="00A43248"/>
    <w:rsid w:val="00A45344"/>
    <w:rsid w:val="00A51841"/>
    <w:rsid w:val="00A52C0A"/>
    <w:rsid w:val="00A56721"/>
    <w:rsid w:val="00A60346"/>
    <w:rsid w:val="00A6698D"/>
    <w:rsid w:val="00A7105F"/>
    <w:rsid w:val="00A72695"/>
    <w:rsid w:val="00A729BB"/>
    <w:rsid w:val="00A72C81"/>
    <w:rsid w:val="00A736E8"/>
    <w:rsid w:val="00A7456B"/>
    <w:rsid w:val="00A76879"/>
    <w:rsid w:val="00A77B90"/>
    <w:rsid w:val="00A8457A"/>
    <w:rsid w:val="00A91713"/>
    <w:rsid w:val="00A91C29"/>
    <w:rsid w:val="00A9543E"/>
    <w:rsid w:val="00A956DC"/>
    <w:rsid w:val="00AB0ACB"/>
    <w:rsid w:val="00AB232D"/>
    <w:rsid w:val="00AB337D"/>
    <w:rsid w:val="00AB3641"/>
    <w:rsid w:val="00AB3B1D"/>
    <w:rsid w:val="00AB521C"/>
    <w:rsid w:val="00AB5724"/>
    <w:rsid w:val="00AB64AC"/>
    <w:rsid w:val="00AB68B7"/>
    <w:rsid w:val="00AC2411"/>
    <w:rsid w:val="00AC3BF5"/>
    <w:rsid w:val="00AC47E3"/>
    <w:rsid w:val="00AC61F0"/>
    <w:rsid w:val="00AD24F6"/>
    <w:rsid w:val="00AD2717"/>
    <w:rsid w:val="00AD2F72"/>
    <w:rsid w:val="00AE477F"/>
    <w:rsid w:val="00AE6337"/>
    <w:rsid w:val="00AE6642"/>
    <w:rsid w:val="00AF1D04"/>
    <w:rsid w:val="00AF26CE"/>
    <w:rsid w:val="00AF30AA"/>
    <w:rsid w:val="00AF5A3D"/>
    <w:rsid w:val="00AF5F17"/>
    <w:rsid w:val="00B02067"/>
    <w:rsid w:val="00B04934"/>
    <w:rsid w:val="00B06980"/>
    <w:rsid w:val="00B07E81"/>
    <w:rsid w:val="00B10941"/>
    <w:rsid w:val="00B13C55"/>
    <w:rsid w:val="00B169B0"/>
    <w:rsid w:val="00B20889"/>
    <w:rsid w:val="00B21976"/>
    <w:rsid w:val="00B23085"/>
    <w:rsid w:val="00B24AF1"/>
    <w:rsid w:val="00B2560C"/>
    <w:rsid w:val="00B30A61"/>
    <w:rsid w:val="00B31347"/>
    <w:rsid w:val="00B358B9"/>
    <w:rsid w:val="00B4207B"/>
    <w:rsid w:val="00B422A9"/>
    <w:rsid w:val="00B44187"/>
    <w:rsid w:val="00B44970"/>
    <w:rsid w:val="00B46563"/>
    <w:rsid w:val="00B52906"/>
    <w:rsid w:val="00B56497"/>
    <w:rsid w:val="00B6208F"/>
    <w:rsid w:val="00B62A5B"/>
    <w:rsid w:val="00B63444"/>
    <w:rsid w:val="00B64305"/>
    <w:rsid w:val="00B67E4B"/>
    <w:rsid w:val="00B75C73"/>
    <w:rsid w:val="00B7636A"/>
    <w:rsid w:val="00B77880"/>
    <w:rsid w:val="00B815FA"/>
    <w:rsid w:val="00B83809"/>
    <w:rsid w:val="00B85753"/>
    <w:rsid w:val="00B85DC2"/>
    <w:rsid w:val="00B86344"/>
    <w:rsid w:val="00B90C5F"/>
    <w:rsid w:val="00B90E79"/>
    <w:rsid w:val="00B92FB1"/>
    <w:rsid w:val="00BA0DA3"/>
    <w:rsid w:val="00BA3065"/>
    <w:rsid w:val="00BA6E91"/>
    <w:rsid w:val="00BA70A6"/>
    <w:rsid w:val="00BB230F"/>
    <w:rsid w:val="00BB6AFF"/>
    <w:rsid w:val="00BC34DF"/>
    <w:rsid w:val="00BC5BDB"/>
    <w:rsid w:val="00BC6691"/>
    <w:rsid w:val="00BC7E24"/>
    <w:rsid w:val="00BD4259"/>
    <w:rsid w:val="00BD666B"/>
    <w:rsid w:val="00BD7575"/>
    <w:rsid w:val="00BE0212"/>
    <w:rsid w:val="00BE54EF"/>
    <w:rsid w:val="00BE7211"/>
    <w:rsid w:val="00C1056D"/>
    <w:rsid w:val="00C12049"/>
    <w:rsid w:val="00C12FC6"/>
    <w:rsid w:val="00C166EB"/>
    <w:rsid w:val="00C176E3"/>
    <w:rsid w:val="00C20ECE"/>
    <w:rsid w:val="00C2467C"/>
    <w:rsid w:val="00C26E32"/>
    <w:rsid w:val="00C43361"/>
    <w:rsid w:val="00C45C36"/>
    <w:rsid w:val="00C50AAA"/>
    <w:rsid w:val="00C51D8D"/>
    <w:rsid w:val="00C531D6"/>
    <w:rsid w:val="00C56880"/>
    <w:rsid w:val="00C60914"/>
    <w:rsid w:val="00C62DE7"/>
    <w:rsid w:val="00C64978"/>
    <w:rsid w:val="00C66934"/>
    <w:rsid w:val="00C703CA"/>
    <w:rsid w:val="00C7109D"/>
    <w:rsid w:val="00C7344F"/>
    <w:rsid w:val="00C75586"/>
    <w:rsid w:val="00C76BA9"/>
    <w:rsid w:val="00C77D03"/>
    <w:rsid w:val="00C80341"/>
    <w:rsid w:val="00C82721"/>
    <w:rsid w:val="00C83D11"/>
    <w:rsid w:val="00C8512F"/>
    <w:rsid w:val="00C851F3"/>
    <w:rsid w:val="00C85B62"/>
    <w:rsid w:val="00C924B8"/>
    <w:rsid w:val="00C94135"/>
    <w:rsid w:val="00C95F4E"/>
    <w:rsid w:val="00C9761B"/>
    <w:rsid w:val="00CA0FEC"/>
    <w:rsid w:val="00CA46F8"/>
    <w:rsid w:val="00CA50D4"/>
    <w:rsid w:val="00CB198C"/>
    <w:rsid w:val="00CB43DD"/>
    <w:rsid w:val="00CB4A69"/>
    <w:rsid w:val="00CC0B21"/>
    <w:rsid w:val="00CC1C31"/>
    <w:rsid w:val="00CC4FEB"/>
    <w:rsid w:val="00CD2CC8"/>
    <w:rsid w:val="00CD39EC"/>
    <w:rsid w:val="00CD6621"/>
    <w:rsid w:val="00CE1393"/>
    <w:rsid w:val="00CE5CFA"/>
    <w:rsid w:val="00CE69A9"/>
    <w:rsid w:val="00CF2419"/>
    <w:rsid w:val="00CF429A"/>
    <w:rsid w:val="00CF6805"/>
    <w:rsid w:val="00D0490A"/>
    <w:rsid w:val="00D05D4A"/>
    <w:rsid w:val="00D1200F"/>
    <w:rsid w:val="00D140CA"/>
    <w:rsid w:val="00D15E90"/>
    <w:rsid w:val="00D16082"/>
    <w:rsid w:val="00D201E1"/>
    <w:rsid w:val="00D23A67"/>
    <w:rsid w:val="00D23AE0"/>
    <w:rsid w:val="00D33AEE"/>
    <w:rsid w:val="00D367A8"/>
    <w:rsid w:val="00D369EF"/>
    <w:rsid w:val="00D373FA"/>
    <w:rsid w:val="00D406BA"/>
    <w:rsid w:val="00D41B27"/>
    <w:rsid w:val="00D41B4D"/>
    <w:rsid w:val="00D444E1"/>
    <w:rsid w:val="00D44A7A"/>
    <w:rsid w:val="00D44ACD"/>
    <w:rsid w:val="00D454B5"/>
    <w:rsid w:val="00D46918"/>
    <w:rsid w:val="00D51FB5"/>
    <w:rsid w:val="00D55374"/>
    <w:rsid w:val="00D626F6"/>
    <w:rsid w:val="00D64A99"/>
    <w:rsid w:val="00D67F7F"/>
    <w:rsid w:val="00D75BB1"/>
    <w:rsid w:val="00D77E3D"/>
    <w:rsid w:val="00D80D9C"/>
    <w:rsid w:val="00D80DBB"/>
    <w:rsid w:val="00D8364D"/>
    <w:rsid w:val="00D8645E"/>
    <w:rsid w:val="00D87A53"/>
    <w:rsid w:val="00D87CE4"/>
    <w:rsid w:val="00D900FB"/>
    <w:rsid w:val="00DA3671"/>
    <w:rsid w:val="00DA5904"/>
    <w:rsid w:val="00DA5DEB"/>
    <w:rsid w:val="00DB095B"/>
    <w:rsid w:val="00DB0F13"/>
    <w:rsid w:val="00DB340A"/>
    <w:rsid w:val="00DC3F1D"/>
    <w:rsid w:val="00DC6102"/>
    <w:rsid w:val="00DD02B3"/>
    <w:rsid w:val="00DD10F6"/>
    <w:rsid w:val="00DD2140"/>
    <w:rsid w:val="00DD3AEF"/>
    <w:rsid w:val="00DD3D3A"/>
    <w:rsid w:val="00DD5FA4"/>
    <w:rsid w:val="00DD7153"/>
    <w:rsid w:val="00DE29A1"/>
    <w:rsid w:val="00DE63CF"/>
    <w:rsid w:val="00DF03EA"/>
    <w:rsid w:val="00DF0ED6"/>
    <w:rsid w:val="00DF546E"/>
    <w:rsid w:val="00DF57D4"/>
    <w:rsid w:val="00DF6A12"/>
    <w:rsid w:val="00DF6DF0"/>
    <w:rsid w:val="00E0401B"/>
    <w:rsid w:val="00E07B1B"/>
    <w:rsid w:val="00E10E15"/>
    <w:rsid w:val="00E15563"/>
    <w:rsid w:val="00E27573"/>
    <w:rsid w:val="00E37814"/>
    <w:rsid w:val="00E40947"/>
    <w:rsid w:val="00E45A81"/>
    <w:rsid w:val="00E4656E"/>
    <w:rsid w:val="00E46937"/>
    <w:rsid w:val="00E469A4"/>
    <w:rsid w:val="00E60952"/>
    <w:rsid w:val="00E629AD"/>
    <w:rsid w:val="00E64203"/>
    <w:rsid w:val="00E64C26"/>
    <w:rsid w:val="00E66DC4"/>
    <w:rsid w:val="00E6730E"/>
    <w:rsid w:val="00E709CE"/>
    <w:rsid w:val="00E712B4"/>
    <w:rsid w:val="00E730EF"/>
    <w:rsid w:val="00E7410A"/>
    <w:rsid w:val="00E74F57"/>
    <w:rsid w:val="00E76C1A"/>
    <w:rsid w:val="00E807D8"/>
    <w:rsid w:val="00E80E47"/>
    <w:rsid w:val="00E8416B"/>
    <w:rsid w:val="00E846BD"/>
    <w:rsid w:val="00E85227"/>
    <w:rsid w:val="00E85B67"/>
    <w:rsid w:val="00E87947"/>
    <w:rsid w:val="00EA00D3"/>
    <w:rsid w:val="00EA050E"/>
    <w:rsid w:val="00EA2083"/>
    <w:rsid w:val="00EA327D"/>
    <w:rsid w:val="00EA4B3C"/>
    <w:rsid w:val="00EA64B9"/>
    <w:rsid w:val="00EB15BF"/>
    <w:rsid w:val="00EB4CA6"/>
    <w:rsid w:val="00EB5143"/>
    <w:rsid w:val="00EB6D78"/>
    <w:rsid w:val="00EC2771"/>
    <w:rsid w:val="00EC2FBF"/>
    <w:rsid w:val="00ED06CB"/>
    <w:rsid w:val="00ED25FD"/>
    <w:rsid w:val="00ED2803"/>
    <w:rsid w:val="00ED31D2"/>
    <w:rsid w:val="00ED35A6"/>
    <w:rsid w:val="00ED4B9A"/>
    <w:rsid w:val="00EF06E0"/>
    <w:rsid w:val="00EF2B3C"/>
    <w:rsid w:val="00EF3D48"/>
    <w:rsid w:val="00EF42F5"/>
    <w:rsid w:val="00F01948"/>
    <w:rsid w:val="00F033BA"/>
    <w:rsid w:val="00F053B2"/>
    <w:rsid w:val="00F071ED"/>
    <w:rsid w:val="00F12648"/>
    <w:rsid w:val="00F1578E"/>
    <w:rsid w:val="00F15F27"/>
    <w:rsid w:val="00F23C3C"/>
    <w:rsid w:val="00F304F1"/>
    <w:rsid w:val="00F30F9A"/>
    <w:rsid w:val="00F3212C"/>
    <w:rsid w:val="00F40227"/>
    <w:rsid w:val="00F43A17"/>
    <w:rsid w:val="00F46A7B"/>
    <w:rsid w:val="00F46EFB"/>
    <w:rsid w:val="00F52D7F"/>
    <w:rsid w:val="00F55FB8"/>
    <w:rsid w:val="00F6099C"/>
    <w:rsid w:val="00F6170B"/>
    <w:rsid w:val="00F61BF2"/>
    <w:rsid w:val="00F62954"/>
    <w:rsid w:val="00F644D4"/>
    <w:rsid w:val="00F64EEE"/>
    <w:rsid w:val="00F65C94"/>
    <w:rsid w:val="00F75829"/>
    <w:rsid w:val="00F80471"/>
    <w:rsid w:val="00F86BF6"/>
    <w:rsid w:val="00F86CD0"/>
    <w:rsid w:val="00F92FA3"/>
    <w:rsid w:val="00F940CB"/>
    <w:rsid w:val="00F9476A"/>
    <w:rsid w:val="00F94D05"/>
    <w:rsid w:val="00F94F33"/>
    <w:rsid w:val="00F9592A"/>
    <w:rsid w:val="00F96B02"/>
    <w:rsid w:val="00FA4BA2"/>
    <w:rsid w:val="00FA5281"/>
    <w:rsid w:val="00FA65E4"/>
    <w:rsid w:val="00FA76E5"/>
    <w:rsid w:val="00FB0519"/>
    <w:rsid w:val="00FB2E4E"/>
    <w:rsid w:val="00FB46BF"/>
    <w:rsid w:val="00FB5470"/>
    <w:rsid w:val="00FB7A78"/>
    <w:rsid w:val="00FC60BD"/>
    <w:rsid w:val="00FC6DB9"/>
    <w:rsid w:val="00FD210C"/>
    <w:rsid w:val="00FD5E34"/>
    <w:rsid w:val="00FE4C14"/>
    <w:rsid w:val="00FE5F62"/>
    <w:rsid w:val="00FE6805"/>
    <w:rsid w:val="00FF0304"/>
    <w:rsid w:val="00FF04B1"/>
    <w:rsid w:val="00FF0C1D"/>
    <w:rsid w:val="00FF1CCE"/>
    <w:rsid w:val="00FF320C"/>
    <w:rsid w:val="00FF41EA"/>
    <w:rsid w:val="00FF42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0F07"/>
    <w:pPr>
      <w:suppressAutoHyphens/>
      <w:spacing w:before="280" w:after="119" w:line="240" w:lineRule="auto"/>
    </w:pPr>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iPriority w:val="99"/>
    <w:unhideWhenUsed/>
    <w:rsid w:val="000E569B"/>
    <w:pPr>
      <w:spacing w:line="240" w:lineRule="auto"/>
    </w:pPr>
    <w:rPr>
      <w:sz w:val="20"/>
      <w:szCs w:val="20"/>
    </w:rPr>
  </w:style>
  <w:style w:type="character" w:customStyle="1" w:styleId="CommentTextChar">
    <w:name w:val="Comment Text Char"/>
    <w:basedOn w:val="DefaultParagraphFont"/>
    <w:link w:val="CommentText"/>
    <w:uiPriority w:val="99"/>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basedOn w:val="Normal"/>
    <w:link w:val="FootnoteTextChar"/>
    <w:uiPriority w:val="99"/>
    <w:semiHidden/>
    <w:unhideWhenUsed/>
    <w:rsid w:val="001B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8C6"/>
    <w:rPr>
      <w:sz w:val="20"/>
      <w:szCs w:val="20"/>
    </w:rPr>
  </w:style>
  <w:style w:type="character" w:styleId="FootnoteReference">
    <w:name w:val="footnote reference"/>
    <w:basedOn w:val="DefaultParagraphFont"/>
    <w:uiPriority w:val="99"/>
    <w:semiHidden/>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lang w:val="lv-LV" w:eastAsia="lv-LV"/>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naisf">
    <w:name w:val="naisf"/>
    <w:basedOn w:val="Normal"/>
    <w:rsid w:val="00C80341"/>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2966614">
      <w:bodyDiv w:val="1"/>
      <w:marLeft w:val="0"/>
      <w:marRight w:val="0"/>
      <w:marTop w:val="0"/>
      <w:marBottom w:val="0"/>
      <w:divBdr>
        <w:top w:val="none" w:sz="0" w:space="0" w:color="auto"/>
        <w:left w:val="none" w:sz="0" w:space="0" w:color="auto"/>
        <w:bottom w:val="none" w:sz="0" w:space="0" w:color="auto"/>
        <w:right w:val="none" w:sz="0" w:space="0" w:color="auto"/>
      </w:divBdr>
    </w:div>
    <w:div w:id="156113557">
      <w:bodyDiv w:val="1"/>
      <w:marLeft w:val="0"/>
      <w:marRight w:val="0"/>
      <w:marTop w:val="0"/>
      <w:marBottom w:val="0"/>
      <w:divBdr>
        <w:top w:val="none" w:sz="0" w:space="0" w:color="auto"/>
        <w:left w:val="none" w:sz="0" w:space="0" w:color="auto"/>
        <w:bottom w:val="none" w:sz="0" w:space="0" w:color="auto"/>
        <w:right w:val="none" w:sz="0" w:space="0" w:color="auto"/>
      </w:divBdr>
    </w:div>
    <w:div w:id="160895660">
      <w:bodyDiv w:val="1"/>
      <w:marLeft w:val="0"/>
      <w:marRight w:val="0"/>
      <w:marTop w:val="0"/>
      <w:marBottom w:val="0"/>
      <w:divBdr>
        <w:top w:val="none" w:sz="0" w:space="0" w:color="auto"/>
        <w:left w:val="none" w:sz="0" w:space="0" w:color="auto"/>
        <w:bottom w:val="none" w:sz="0" w:space="0" w:color="auto"/>
        <w:right w:val="none" w:sz="0" w:space="0" w:color="auto"/>
      </w:divBdr>
      <w:divsChild>
        <w:div w:id="92015542">
          <w:marLeft w:val="950"/>
          <w:marRight w:val="0"/>
          <w:marTop w:val="160"/>
          <w:marBottom w:val="0"/>
          <w:divBdr>
            <w:top w:val="none" w:sz="0" w:space="0" w:color="auto"/>
            <w:left w:val="none" w:sz="0" w:space="0" w:color="auto"/>
            <w:bottom w:val="none" w:sz="0" w:space="0" w:color="auto"/>
            <w:right w:val="none" w:sz="0" w:space="0" w:color="auto"/>
          </w:divBdr>
        </w:div>
        <w:div w:id="1575554902">
          <w:marLeft w:val="950"/>
          <w:marRight w:val="0"/>
          <w:marTop w:val="160"/>
          <w:marBottom w:val="0"/>
          <w:divBdr>
            <w:top w:val="none" w:sz="0" w:space="0" w:color="auto"/>
            <w:left w:val="none" w:sz="0" w:space="0" w:color="auto"/>
            <w:bottom w:val="none" w:sz="0" w:space="0" w:color="auto"/>
            <w:right w:val="none" w:sz="0" w:space="0" w:color="auto"/>
          </w:divBdr>
        </w:div>
        <w:div w:id="1549950536">
          <w:marLeft w:val="950"/>
          <w:marRight w:val="0"/>
          <w:marTop w:val="160"/>
          <w:marBottom w:val="0"/>
          <w:divBdr>
            <w:top w:val="none" w:sz="0" w:space="0" w:color="auto"/>
            <w:left w:val="none" w:sz="0" w:space="0" w:color="auto"/>
            <w:bottom w:val="none" w:sz="0" w:space="0" w:color="auto"/>
            <w:right w:val="none" w:sz="0" w:space="0" w:color="auto"/>
          </w:divBdr>
        </w:div>
      </w:divsChild>
    </w:div>
    <w:div w:id="191379474">
      <w:bodyDiv w:val="1"/>
      <w:marLeft w:val="0"/>
      <w:marRight w:val="0"/>
      <w:marTop w:val="0"/>
      <w:marBottom w:val="0"/>
      <w:divBdr>
        <w:top w:val="none" w:sz="0" w:space="0" w:color="auto"/>
        <w:left w:val="none" w:sz="0" w:space="0" w:color="auto"/>
        <w:bottom w:val="none" w:sz="0" w:space="0" w:color="auto"/>
        <w:right w:val="none" w:sz="0" w:space="0" w:color="auto"/>
      </w:divBdr>
      <w:divsChild>
        <w:div w:id="863785990">
          <w:marLeft w:val="950"/>
          <w:marRight w:val="0"/>
          <w:marTop w:val="160"/>
          <w:marBottom w:val="0"/>
          <w:divBdr>
            <w:top w:val="none" w:sz="0" w:space="0" w:color="auto"/>
            <w:left w:val="none" w:sz="0" w:space="0" w:color="auto"/>
            <w:bottom w:val="none" w:sz="0" w:space="0" w:color="auto"/>
            <w:right w:val="none" w:sz="0" w:space="0" w:color="auto"/>
          </w:divBdr>
        </w:div>
      </w:divsChild>
    </w:div>
    <w:div w:id="192576096">
      <w:bodyDiv w:val="1"/>
      <w:marLeft w:val="0"/>
      <w:marRight w:val="0"/>
      <w:marTop w:val="0"/>
      <w:marBottom w:val="0"/>
      <w:divBdr>
        <w:top w:val="none" w:sz="0" w:space="0" w:color="auto"/>
        <w:left w:val="none" w:sz="0" w:space="0" w:color="auto"/>
        <w:bottom w:val="none" w:sz="0" w:space="0" w:color="auto"/>
        <w:right w:val="none" w:sz="0" w:space="0" w:color="auto"/>
      </w:divBdr>
    </w:div>
    <w:div w:id="327951156">
      <w:bodyDiv w:val="1"/>
      <w:marLeft w:val="0"/>
      <w:marRight w:val="0"/>
      <w:marTop w:val="0"/>
      <w:marBottom w:val="0"/>
      <w:divBdr>
        <w:top w:val="none" w:sz="0" w:space="0" w:color="auto"/>
        <w:left w:val="none" w:sz="0" w:space="0" w:color="auto"/>
        <w:bottom w:val="none" w:sz="0" w:space="0" w:color="auto"/>
        <w:right w:val="none" w:sz="0" w:space="0" w:color="auto"/>
      </w:divBdr>
    </w:div>
    <w:div w:id="564603844">
      <w:bodyDiv w:val="1"/>
      <w:marLeft w:val="0"/>
      <w:marRight w:val="0"/>
      <w:marTop w:val="0"/>
      <w:marBottom w:val="0"/>
      <w:divBdr>
        <w:top w:val="none" w:sz="0" w:space="0" w:color="auto"/>
        <w:left w:val="none" w:sz="0" w:space="0" w:color="auto"/>
        <w:bottom w:val="none" w:sz="0" w:space="0" w:color="auto"/>
        <w:right w:val="none" w:sz="0" w:space="0" w:color="auto"/>
      </w:divBdr>
    </w:div>
    <w:div w:id="612636421">
      <w:bodyDiv w:val="1"/>
      <w:marLeft w:val="0"/>
      <w:marRight w:val="0"/>
      <w:marTop w:val="0"/>
      <w:marBottom w:val="0"/>
      <w:divBdr>
        <w:top w:val="none" w:sz="0" w:space="0" w:color="auto"/>
        <w:left w:val="none" w:sz="0" w:space="0" w:color="auto"/>
        <w:bottom w:val="none" w:sz="0" w:space="0" w:color="auto"/>
        <w:right w:val="none" w:sz="0" w:space="0" w:color="auto"/>
      </w:divBdr>
    </w:div>
    <w:div w:id="689111605">
      <w:bodyDiv w:val="1"/>
      <w:marLeft w:val="0"/>
      <w:marRight w:val="0"/>
      <w:marTop w:val="0"/>
      <w:marBottom w:val="0"/>
      <w:divBdr>
        <w:top w:val="none" w:sz="0" w:space="0" w:color="auto"/>
        <w:left w:val="none" w:sz="0" w:space="0" w:color="auto"/>
        <w:bottom w:val="none" w:sz="0" w:space="0" w:color="auto"/>
        <w:right w:val="none" w:sz="0" w:space="0" w:color="auto"/>
      </w:divBdr>
    </w:div>
    <w:div w:id="727848198">
      <w:bodyDiv w:val="1"/>
      <w:marLeft w:val="0"/>
      <w:marRight w:val="0"/>
      <w:marTop w:val="0"/>
      <w:marBottom w:val="0"/>
      <w:divBdr>
        <w:top w:val="none" w:sz="0" w:space="0" w:color="auto"/>
        <w:left w:val="none" w:sz="0" w:space="0" w:color="auto"/>
        <w:bottom w:val="none" w:sz="0" w:space="0" w:color="auto"/>
        <w:right w:val="none" w:sz="0" w:space="0" w:color="auto"/>
      </w:divBdr>
    </w:div>
    <w:div w:id="761342268">
      <w:bodyDiv w:val="1"/>
      <w:marLeft w:val="0"/>
      <w:marRight w:val="0"/>
      <w:marTop w:val="0"/>
      <w:marBottom w:val="0"/>
      <w:divBdr>
        <w:top w:val="none" w:sz="0" w:space="0" w:color="auto"/>
        <w:left w:val="none" w:sz="0" w:space="0" w:color="auto"/>
        <w:bottom w:val="none" w:sz="0" w:space="0" w:color="auto"/>
        <w:right w:val="none" w:sz="0" w:space="0" w:color="auto"/>
      </w:divBdr>
    </w:div>
    <w:div w:id="787506330">
      <w:bodyDiv w:val="1"/>
      <w:marLeft w:val="0"/>
      <w:marRight w:val="0"/>
      <w:marTop w:val="0"/>
      <w:marBottom w:val="0"/>
      <w:divBdr>
        <w:top w:val="none" w:sz="0" w:space="0" w:color="auto"/>
        <w:left w:val="none" w:sz="0" w:space="0" w:color="auto"/>
        <w:bottom w:val="none" w:sz="0" w:space="0" w:color="auto"/>
        <w:right w:val="none" w:sz="0" w:space="0" w:color="auto"/>
      </w:divBdr>
    </w:div>
    <w:div w:id="797409208">
      <w:bodyDiv w:val="1"/>
      <w:marLeft w:val="0"/>
      <w:marRight w:val="0"/>
      <w:marTop w:val="0"/>
      <w:marBottom w:val="0"/>
      <w:divBdr>
        <w:top w:val="none" w:sz="0" w:space="0" w:color="auto"/>
        <w:left w:val="none" w:sz="0" w:space="0" w:color="auto"/>
        <w:bottom w:val="none" w:sz="0" w:space="0" w:color="auto"/>
        <w:right w:val="none" w:sz="0" w:space="0" w:color="auto"/>
      </w:divBdr>
    </w:div>
    <w:div w:id="934674756">
      <w:bodyDiv w:val="1"/>
      <w:marLeft w:val="0"/>
      <w:marRight w:val="0"/>
      <w:marTop w:val="0"/>
      <w:marBottom w:val="0"/>
      <w:divBdr>
        <w:top w:val="none" w:sz="0" w:space="0" w:color="auto"/>
        <w:left w:val="none" w:sz="0" w:space="0" w:color="auto"/>
        <w:bottom w:val="none" w:sz="0" w:space="0" w:color="auto"/>
        <w:right w:val="none" w:sz="0" w:space="0" w:color="auto"/>
      </w:divBdr>
    </w:div>
    <w:div w:id="940457071">
      <w:bodyDiv w:val="1"/>
      <w:marLeft w:val="0"/>
      <w:marRight w:val="0"/>
      <w:marTop w:val="0"/>
      <w:marBottom w:val="0"/>
      <w:divBdr>
        <w:top w:val="none" w:sz="0" w:space="0" w:color="auto"/>
        <w:left w:val="none" w:sz="0" w:space="0" w:color="auto"/>
        <w:bottom w:val="none" w:sz="0" w:space="0" w:color="auto"/>
        <w:right w:val="none" w:sz="0" w:space="0" w:color="auto"/>
      </w:divBdr>
    </w:div>
    <w:div w:id="960962669">
      <w:bodyDiv w:val="1"/>
      <w:marLeft w:val="0"/>
      <w:marRight w:val="0"/>
      <w:marTop w:val="0"/>
      <w:marBottom w:val="0"/>
      <w:divBdr>
        <w:top w:val="none" w:sz="0" w:space="0" w:color="auto"/>
        <w:left w:val="none" w:sz="0" w:space="0" w:color="auto"/>
        <w:bottom w:val="none" w:sz="0" w:space="0" w:color="auto"/>
        <w:right w:val="none" w:sz="0" w:space="0" w:color="auto"/>
      </w:divBdr>
    </w:div>
    <w:div w:id="1060714356">
      <w:bodyDiv w:val="1"/>
      <w:marLeft w:val="0"/>
      <w:marRight w:val="0"/>
      <w:marTop w:val="0"/>
      <w:marBottom w:val="0"/>
      <w:divBdr>
        <w:top w:val="none" w:sz="0" w:space="0" w:color="auto"/>
        <w:left w:val="none" w:sz="0" w:space="0" w:color="auto"/>
        <w:bottom w:val="none" w:sz="0" w:space="0" w:color="auto"/>
        <w:right w:val="none" w:sz="0" w:space="0" w:color="auto"/>
      </w:divBdr>
      <w:divsChild>
        <w:div w:id="33700846">
          <w:marLeft w:val="950"/>
          <w:marRight w:val="0"/>
          <w:marTop w:val="160"/>
          <w:marBottom w:val="0"/>
          <w:divBdr>
            <w:top w:val="none" w:sz="0" w:space="0" w:color="auto"/>
            <w:left w:val="none" w:sz="0" w:space="0" w:color="auto"/>
            <w:bottom w:val="none" w:sz="0" w:space="0" w:color="auto"/>
            <w:right w:val="none" w:sz="0" w:space="0" w:color="auto"/>
          </w:divBdr>
        </w:div>
      </w:divsChild>
    </w:div>
    <w:div w:id="1153061835">
      <w:bodyDiv w:val="1"/>
      <w:marLeft w:val="0"/>
      <w:marRight w:val="0"/>
      <w:marTop w:val="0"/>
      <w:marBottom w:val="0"/>
      <w:divBdr>
        <w:top w:val="none" w:sz="0" w:space="0" w:color="auto"/>
        <w:left w:val="none" w:sz="0" w:space="0" w:color="auto"/>
        <w:bottom w:val="none" w:sz="0" w:space="0" w:color="auto"/>
        <w:right w:val="none" w:sz="0" w:space="0" w:color="auto"/>
      </w:divBdr>
      <w:divsChild>
        <w:div w:id="1616788416">
          <w:marLeft w:val="950"/>
          <w:marRight w:val="0"/>
          <w:marTop w:val="160"/>
          <w:marBottom w:val="0"/>
          <w:divBdr>
            <w:top w:val="none" w:sz="0" w:space="0" w:color="auto"/>
            <w:left w:val="none" w:sz="0" w:space="0" w:color="auto"/>
            <w:bottom w:val="none" w:sz="0" w:space="0" w:color="auto"/>
            <w:right w:val="none" w:sz="0" w:space="0" w:color="auto"/>
          </w:divBdr>
        </w:div>
      </w:divsChild>
    </w:div>
    <w:div w:id="1221869105">
      <w:bodyDiv w:val="1"/>
      <w:marLeft w:val="0"/>
      <w:marRight w:val="0"/>
      <w:marTop w:val="0"/>
      <w:marBottom w:val="0"/>
      <w:divBdr>
        <w:top w:val="none" w:sz="0" w:space="0" w:color="auto"/>
        <w:left w:val="none" w:sz="0" w:space="0" w:color="auto"/>
        <w:bottom w:val="none" w:sz="0" w:space="0" w:color="auto"/>
        <w:right w:val="none" w:sz="0" w:space="0" w:color="auto"/>
      </w:divBdr>
    </w:div>
    <w:div w:id="1293251520">
      <w:bodyDiv w:val="1"/>
      <w:marLeft w:val="0"/>
      <w:marRight w:val="0"/>
      <w:marTop w:val="0"/>
      <w:marBottom w:val="0"/>
      <w:divBdr>
        <w:top w:val="none" w:sz="0" w:space="0" w:color="auto"/>
        <w:left w:val="none" w:sz="0" w:space="0" w:color="auto"/>
        <w:bottom w:val="none" w:sz="0" w:space="0" w:color="auto"/>
        <w:right w:val="none" w:sz="0" w:space="0" w:color="auto"/>
      </w:divBdr>
    </w:div>
    <w:div w:id="1303000259">
      <w:bodyDiv w:val="1"/>
      <w:marLeft w:val="0"/>
      <w:marRight w:val="0"/>
      <w:marTop w:val="0"/>
      <w:marBottom w:val="0"/>
      <w:divBdr>
        <w:top w:val="none" w:sz="0" w:space="0" w:color="auto"/>
        <w:left w:val="none" w:sz="0" w:space="0" w:color="auto"/>
        <w:bottom w:val="none" w:sz="0" w:space="0" w:color="auto"/>
        <w:right w:val="none" w:sz="0" w:space="0" w:color="auto"/>
      </w:divBdr>
    </w:div>
    <w:div w:id="1487042326">
      <w:bodyDiv w:val="1"/>
      <w:marLeft w:val="0"/>
      <w:marRight w:val="0"/>
      <w:marTop w:val="0"/>
      <w:marBottom w:val="0"/>
      <w:divBdr>
        <w:top w:val="none" w:sz="0" w:space="0" w:color="auto"/>
        <w:left w:val="none" w:sz="0" w:space="0" w:color="auto"/>
        <w:bottom w:val="none" w:sz="0" w:space="0" w:color="auto"/>
        <w:right w:val="none" w:sz="0" w:space="0" w:color="auto"/>
      </w:divBdr>
    </w:div>
    <w:div w:id="1498765826">
      <w:bodyDiv w:val="1"/>
      <w:marLeft w:val="0"/>
      <w:marRight w:val="0"/>
      <w:marTop w:val="0"/>
      <w:marBottom w:val="0"/>
      <w:divBdr>
        <w:top w:val="none" w:sz="0" w:space="0" w:color="auto"/>
        <w:left w:val="none" w:sz="0" w:space="0" w:color="auto"/>
        <w:bottom w:val="none" w:sz="0" w:space="0" w:color="auto"/>
        <w:right w:val="none" w:sz="0" w:space="0" w:color="auto"/>
      </w:divBdr>
    </w:div>
    <w:div w:id="1591042824">
      <w:bodyDiv w:val="1"/>
      <w:marLeft w:val="0"/>
      <w:marRight w:val="0"/>
      <w:marTop w:val="0"/>
      <w:marBottom w:val="0"/>
      <w:divBdr>
        <w:top w:val="none" w:sz="0" w:space="0" w:color="auto"/>
        <w:left w:val="none" w:sz="0" w:space="0" w:color="auto"/>
        <w:bottom w:val="none" w:sz="0" w:space="0" w:color="auto"/>
        <w:right w:val="none" w:sz="0" w:space="0" w:color="auto"/>
      </w:divBdr>
      <w:divsChild>
        <w:div w:id="375273204">
          <w:marLeft w:val="950"/>
          <w:marRight w:val="0"/>
          <w:marTop w:val="160"/>
          <w:marBottom w:val="0"/>
          <w:divBdr>
            <w:top w:val="none" w:sz="0" w:space="0" w:color="auto"/>
            <w:left w:val="none" w:sz="0" w:space="0" w:color="auto"/>
            <w:bottom w:val="none" w:sz="0" w:space="0" w:color="auto"/>
            <w:right w:val="none" w:sz="0" w:space="0" w:color="auto"/>
          </w:divBdr>
        </w:div>
        <w:div w:id="1376394922">
          <w:marLeft w:val="950"/>
          <w:marRight w:val="0"/>
          <w:marTop w:val="160"/>
          <w:marBottom w:val="0"/>
          <w:divBdr>
            <w:top w:val="none" w:sz="0" w:space="0" w:color="auto"/>
            <w:left w:val="none" w:sz="0" w:space="0" w:color="auto"/>
            <w:bottom w:val="none" w:sz="0" w:space="0" w:color="auto"/>
            <w:right w:val="none" w:sz="0" w:space="0" w:color="auto"/>
          </w:divBdr>
        </w:div>
        <w:div w:id="2093968751">
          <w:marLeft w:val="950"/>
          <w:marRight w:val="0"/>
          <w:marTop w:val="160"/>
          <w:marBottom w:val="0"/>
          <w:divBdr>
            <w:top w:val="none" w:sz="0" w:space="0" w:color="auto"/>
            <w:left w:val="none" w:sz="0" w:space="0" w:color="auto"/>
            <w:bottom w:val="none" w:sz="0" w:space="0" w:color="auto"/>
            <w:right w:val="none" w:sz="0" w:space="0" w:color="auto"/>
          </w:divBdr>
        </w:div>
      </w:divsChild>
    </w:div>
    <w:div w:id="1731613610">
      <w:bodyDiv w:val="1"/>
      <w:marLeft w:val="0"/>
      <w:marRight w:val="0"/>
      <w:marTop w:val="0"/>
      <w:marBottom w:val="0"/>
      <w:divBdr>
        <w:top w:val="none" w:sz="0" w:space="0" w:color="auto"/>
        <w:left w:val="none" w:sz="0" w:space="0" w:color="auto"/>
        <w:bottom w:val="none" w:sz="0" w:space="0" w:color="auto"/>
        <w:right w:val="none" w:sz="0" w:space="0" w:color="auto"/>
      </w:divBdr>
    </w:div>
    <w:div w:id="1836416224">
      <w:bodyDiv w:val="1"/>
      <w:marLeft w:val="0"/>
      <w:marRight w:val="0"/>
      <w:marTop w:val="0"/>
      <w:marBottom w:val="0"/>
      <w:divBdr>
        <w:top w:val="none" w:sz="0" w:space="0" w:color="auto"/>
        <w:left w:val="none" w:sz="0" w:space="0" w:color="auto"/>
        <w:bottom w:val="none" w:sz="0" w:space="0" w:color="auto"/>
        <w:right w:val="none" w:sz="0" w:space="0" w:color="auto"/>
      </w:divBdr>
    </w:div>
    <w:div w:id="1912537506">
      <w:bodyDiv w:val="1"/>
      <w:marLeft w:val="0"/>
      <w:marRight w:val="0"/>
      <w:marTop w:val="0"/>
      <w:marBottom w:val="0"/>
      <w:divBdr>
        <w:top w:val="none" w:sz="0" w:space="0" w:color="auto"/>
        <w:left w:val="none" w:sz="0" w:space="0" w:color="auto"/>
        <w:bottom w:val="none" w:sz="0" w:space="0" w:color="auto"/>
        <w:right w:val="none" w:sz="0" w:space="0" w:color="auto"/>
      </w:divBdr>
    </w:div>
    <w:div w:id="20596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D30-D56C-43AA-A0F5-E7BA5147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5070</Words>
  <Characters>31842</Characters>
  <Application>Microsoft Office Word</Application>
  <DocSecurity>0</DocSecurity>
  <Lines>1326</Lines>
  <Paragraphs>878</Paragraphs>
  <ScaleCrop>false</ScaleCrop>
  <HeadingPairs>
    <vt:vector size="2" baseType="variant">
      <vt:variant>
        <vt:lpstr>Title</vt:lpstr>
      </vt:variant>
      <vt:variant>
        <vt:i4>1</vt:i4>
      </vt:variant>
    </vt:vector>
  </HeadingPairs>
  <TitlesOfParts>
    <vt:vector size="1" baseType="lpstr">
      <vt:lpstr>Finanšu situācija veselības aprūpes jomā</vt:lpstr>
    </vt:vector>
  </TitlesOfParts>
  <Company>Veselības ministrija</Company>
  <LinksUpToDate>false</LinksUpToDate>
  <CharactersWithSpaces>36034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situācija veselības aprūpes jomā</dc:title>
  <dc:subject>Informatīvais ziņojums</dc:subject>
  <dc:creator>Žanete Zvaigzne</dc:creator>
  <dc:description>zanete.zvaigzne@vm.gov.lv, tālr.67876041</dc:description>
  <cp:lastModifiedBy>zzvaigzne</cp:lastModifiedBy>
  <cp:revision>6</cp:revision>
  <cp:lastPrinted>2011-08-19T06:43:00Z</cp:lastPrinted>
  <dcterms:created xsi:type="dcterms:W3CDTF">2011-08-19T08:35:00Z</dcterms:created>
  <dcterms:modified xsi:type="dcterms:W3CDTF">2011-08-19T09:44:00Z</dcterms:modified>
</cp:coreProperties>
</file>