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5D" w:rsidRDefault="00D35EEC" w:rsidP="00257A5D">
      <w:pPr>
        <w:spacing w:after="0" w:line="240" w:lineRule="auto"/>
        <w:jc w:val="center"/>
        <w:rPr>
          <w:rFonts w:ascii="Times New Roman" w:hAnsi="Times New Roman"/>
          <w:b/>
          <w:sz w:val="24"/>
          <w:szCs w:val="24"/>
        </w:rPr>
      </w:pPr>
      <w:r w:rsidRPr="008C47BE">
        <w:rPr>
          <w:rFonts w:ascii="Times New Roman" w:hAnsi="Times New Roman"/>
          <w:b/>
          <w:sz w:val="24"/>
          <w:szCs w:val="24"/>
        </w:rPr>
        <w:t>INFORMATĪVAIS ZIŅOJUMS</w:t>
      </w:r>
    </w:p>
    <w:p w:rsidR="00AB6C1B" w:rsidRDefault="00AB6C1B" w:rsidP="00257A5D">
      <w:pPr>
        <w:spacing w:after="0" w:line="240" w:lineRule="auto"/>
        <w:jc w:val="center"/>
        <w:rPr>
          <w:rFonts w:ascii="Times New Roman" w:hAnsi="Times New Roman" w:cs="Times New Roman"/>
          <w:sz w:val="24"/>
          <w:szCs w:val="24"/>
        </w:rPr>
      </w:pPr>
    </w:p>
    <w:p w:rsidR="00AB6C1B" w:rsidRPr="009644A0" w:rsidRDefault="00D35EEC" w:rsidP="00AB6C1B">
      <w:pPr>
        <w:autoSpaceDE w:val="0"/>
        <w:autoSpaceDN w:val="0"/>
        <w:adjustRightInd w:val="0"/>
        <w:spacing w:after="0" w:line="240" w:lineRule="auto"/>
        <w:jc w:val="center"/>
        <w:rPr>
          <w:rFonts w:ascii="Times New Roman" w:hAnsi="Times New Roman" w:cs="Times New Roman"/>
          <w:b/>
          <w:color w:val="000000"/>
          <w:sz w:val="28"/>
          <w:szCs w:val="28"/>
        </w:rPr>
      </w:pPr>
      <w:bookmarkStart w:id="0" w:name="OLE_LINK3"/>
      <w:bookmarkStart w:id="1" w:name="OLE_LINK4"/>
      <w:r w:rsidRPr="009644A0">
        <w:rPr>
          <w:rFonts w:ascii="Times New Roman" w:hAnsi="Times New Roman" w:cs="Times New Roman"/>
          <w:b/>
          <w:sz w:val="28"/>
          <w:szCs w:val="28"/>
        </w:rPr>
        <w:t>P</w:t>
      </w:r>
      <w:r w:rsidR="00F1382E" w:rsidRPr="009644A0">
        <w:rPr>
          <w:rFonts w:ascii="Times New Roman" w:hAnsi="Times New Roman" w:cs="Times New Roman"/>
          <w:b/>
          <w:color w:val="000000"/>
          <w:sz w:val="28"/>
          <w:szCs w:val="28"/>
        </w:rPr>
        <w:t>ar līgumu noslēgšanas gaitu starp Nacionālo veselības dienestu un ārstniecības iestādēm</w:t>
      </w:r>
      <w:bookmarkEnd w:id="0"/>
      <w:bookmarkEnd w:id="1"/>
    </w:p>
    <w:p w:rsidR="0038630C" w:rsidRDefault="0038630C" w:rsidP="0038630C">
      <w:pPr>
        <w:spacing w:after="0" w:line="240" w:lineRule="auto"/>
        <w:jc w:val="both"/>
        <w:rPr>
          <w:rFonts w:ascii="Times New Roman" w:hAnsi="Times New Roman" w:cs="Times New Roman"/>
          <w:i/>
          <w:sz w:val="24"/>
          <w:szCs w:val="24"/>
        </w:rPr>
      </w:pPr>
    </w:p>
    <w:p w:rsidR="009511A4" w:rsidRDefault="008014F4" w:rsidP="004722CA">
      <w:pPr>
        <w:autoSpaceDE w:val="0"/>
        <w:autoSpaceDN w:val="0"/>
        <w:adjustRightInd w:val="0"/>
        <w:ind w:firstLine="720"/>
        <w:jc w:val="both"/>
        <w:rPr>
          <w:rFonts w:ascii="Times New Roman" w:hAnsi="Times New Roman" w:cs="Times New Roman"/>
          <w:sz w:val="24"/>
          <w:szCs w:val="24"/>
        </w:rPr>
      </w:pPr>
      <w:r w:rsidRPr="006A6421">
        <w:rPr>
          <w:rFonts w:ascii="Times New Roman" w:hAnsi="Times New Roman" w:cs="Times New Roman"/>
          <w:sz w:val="24"/>
          <w:szCs w:val="24"/>
        </w:rPr>
        <w:t xml:space="preserve">Veselības ministrijas budžeta izdevumi 2012.gadā atbilstoši likumam „Par valsts budžetu 2012.gadam” ir </w:t>
      </w:r>
      <w:r w:rsidR="004722CA" w:rsidRPr="006A6421">
        <w:rPr>
          <w:rFonts w:ascii="Times New Roman" w:hAnsi="Times New Roman" w:cs="Times New Roman"/>
          <w:bCs/>
        </w:rPr>
        <w:t>457</w:t>
      </w:r>
      <w:r w:rsidR="006044CC" w:rsidRPr="006A6421">
        <w:rPr>
          <w:rFonts w:ascii="Times New Roman" w:hAnsi="Times New Roman" w:cs="Times New Roman"/>
          <w:bCs/>
        </w:rPr>
        <w:t> </w:t>
      </w:r>
      <w:r w:rsidR="00755D6A" w:rsidRPr="006A6421">
        <w:rPr>
          <w:rFonts w:ascii="Times New Roman" w:hAnsi="Times New Roman" w:cs="Times New Roman"/>
          <w:bCs/>
        </w:rPr>
        <w:t>491</w:t>
      </w:r>
      <w:r w:rsidR="004722CA" w:rsidRPr="006A6421">
        <w:rPr>
          <w:rFonts w:ascii="Times New Roman" w:hAnsi="Times New Roman" w:cs="Times New Roman"/>
          <w:bCs/>
        </w:rPr>
        <w:t> </w:t>
      </w:r>
      <w:r w:rsidR="00755D6A" w:rsidRPr="006A6421">
        <w:rPr>
          <w:rFonts w:ascii="Times New Roman" w:hAnsi="Times New Roman" w:cs="Times New Roman"/>
          <w:bCs/>
        </w:rPr>
        <w:t>514</w:t>
      </w:r>
      <w:r w:rsidR="004722CA" w:rsidRPr="006A6421">
        <w:rPr>
          <w:rFonts w:ascii="Times New Roman" w:hAnsi="Times New Roman" w:cs="Times New Roman"/>
        </w:rPr>
        <w:t xml:space="preserve"> </w:t>
      </w:r>
      <w:r w:rsidRPr="006A6421">
        <w:rPr>
          <w:rFonts w:ascii="Times New Roman" w:hAnsi="Times New Roman" w:cs="Times New Roman"/>
          <w:sz w:val="24"/>
          <w:szCs w:val="24"/>
        </w:rPr>
        <w:t xml:space="preserve">lati, tai skaitā </w:t>
      </w:r>
      <w:r w:rsidR="004722CA" w:rsidRPr="006A6421">
        <w:rPr>
          <w:rFonts w:ascii="Times New Roman" w:hAnsi="Times New Roman" w:cs="Times New Roman"/>
          <w:bCs/>
        </w:rPr>
        <w:t>446</w:t>
      </w:r>
      <w:r w:rsidR="006044CC" w:rsidRPr="006A6421">
        <w:rPr>
          <w:rFonts w:ascii="Times New Roman" w:hAnsi="Times New Roman" w:cs="Times New Roman"/>
          <w:bCs/>
        </w:rPr>
        <w:t> </w:t>
      </w:r>
      <w:r w:rsidR="004722CA" w:rsidRPr="006A6421">
        <w:rPr>
          <w:rFonts w:ascii="Times New Roman" w:hAnsi="Times New Roman" w:cs="Times New Roman"/>
          <w:bCs/>
        </w:rPr>
        <w:t>121 868</w:t>
      </w:r>
      <w:r w:rsidR="004722CA" w:rsidRPr="006A6421">
        <w:rPr>
          <w:rFonts w:ascii="Times New Roman" w:hAnsi="Times New Roman" w:cs="Times New Roman"/>
        </w:rPr>
        <w:t xml:space="preserve"> </w:t>
      </w:r>
      <w:r w:rsidRPr="006A6421">
        <w:rPr>
          <w:rFonts w:ascii="Times New Roman" w:hAnsi="Times New Roman" w:cs="Times New Roman"/>
          <w:sz w:val="24"/>
          <w:szCs w:val="24"/>
        </w:rPr>
        <w:t>lati valsts</w:t>
      </w:r>
      <w:r w:rsidR="004722CA" w:rsidRPr="006A6421">
        <w:rPr>
          <w:rFonts w:ascii="Times New Roman" w:hAnsi="Times New Roman" w:cs="Times New Roman"/>
          <w:sz w:val="24"/>
          <w:szCs w:val="24"/>
        </w:rPr>
        <w:t xml:space="preserve"> budžeta pamatfunkciju izpildei.</w:t>
      </w:r>
      <w:r w:rsidRPr="006A6421">
        <w:rPr>
          <w:rFonts w:ascii="Times New Roman" w:hAnsi="Times New Roman" w:cs="Times New Roman"/>
          <w:sz w:val="24"/>
          <w:szCs w:val="24"/>
        </w:rPr>
        <w:t xml:space="preserve"> </w:t>
      </w:r>
      <w:r w:rsidR="009511A4" w:rsidRPr="006A6421">
        <w:rPr>
          <w:rFonts w:ascii="Times New Roman" w:hAnsi="Times New Roman" w:cs="Times New Roman"/>
          <w:sz w:val="24"/>
          <w:szCs w:val="24"/>
        </w:rPr>
        <w:t>Lai gan ārstniecība</w:t>
      </w:r>
      <w:r w:rsidR="00E4140E" w:rsidRPr="006A6421">
        <w:rPr>
          <w:rFonts w:ascii="Times New Roman" w:hAnsi="Times New Roman" w:cs="Times New Roman"/>
          <w:sz w:val="24"/>
          <w:szCs w:val="24"/>
        </w:rPr>
        <w:t>s</w:t>
      </w:r>
      <w:r w:rsidR="009511A4" w:rsidRPr="006A6421">
        <w:rPr>
          <w:rFonts w:ascii="Times New Roman" w:hAnsi="Times New Roman" w:cs="Times New Roman"/>
          <w:sz w:val="24"/>
          <w:szCs w:val="24"/>
        </w:rPr>
        <w:t xml:space="preserve"> </w:t>
      </w:r>
      <w:r w:rsidR="00E4140E" w:rsidRPr="006A6421">
        <w:rPr>
          <w:rFonts w:ascii="Times New Roman" w:hAnsi="Times New Roman" w:cs="Times New Roman"/>
          <w:sz w:val="24"/>
          <w:szCs w:val="24"/>
        </w:rPr>
        <w:t>apakšprogrammā</w:t>
      </w:r>
      <w:r w:rsidR="00E4140E">
        <w:rPr>
          <w:rFonts w:ascii="Times New Roman" w:hAnsi="Times New Roman" w:cs="Times New Roman"/>
          <w:sz w:val="24"/>
          <w:szCs w:val="24"/>
        </w:rPr>
        <w:t xml:space="preserve"> </w:t>
      </w:r>
      <w:r w:rsidR="009511A4">
        <w:rPr>
          <w:rFonts w:ascii="Times New Roman" w:hAnsi="Times New Roman" w:cs="Times New Roman"/>
          <w:sz w:val="24"/>
          <w:szCs w:val="24"/>
        </w:rPr>
        <w:t>finansējums salīdzinājumā ar 2011.gadu ir palielinājies, tomēr finansējums ir samazinājies sociālās drošības tīkla stratēģijas apakšprogrammā</w:t>
      </w:r>
      <w:r w:rsidR="00D73B39">
        <w:rPr>
          <w:rFonts w:ascii="Times New Roman" w:hAnsi="Times New Roman" w:cs="Times New Roman"/>
          <w:sz w:val="24"/>
          <w:szCs w:val="24"/>
        </w:rPr>
        <w:t xml:space="preserve"> par 10,4 milj. latu</w:t>
      </w:r>
      <w:r w:rsidR="009511A4">
        <w:rPr>
          <w:rFonts w:ascii="Times New Roman" w:hAnsi="Times New Roman" w:cs="Times New Roman"/>
          <w:sz w:val="24"/>
          <w:szCs w:val="24"/>
        </w:rPr>
        <w:t>, un šis finansējuma samazinājums skar ārstniecības iestādes.</w:t>
      </w:r>
    </w:p>
    <w:p w:rsidR="00CA5177" w:rsidRPr="009644A0" w:rsidRDefault="00CA5177" w:rsidP="00CA5177">
      <w:pPr>
        <w:spacing w:after="0" w:line="240" w:lineRule="auto"/>
        <w:rPr>
          <w:rFonts w:ascii="Times New Roman" w:hAnsi="Times New Roman" w:cs="Times New Roman"/>
          <w:b/>
          <w:i/>
          <w:sz w:val="24"/>
          <w:szCs w:val="24"/>
        </w:rPr>
      </w:pPr>
      <w:r w:rsidRPr="009644A0">
        <w:rPr>
          <w:rFonts w:ascii="Times New Roman" w:hAnsi="Times New Roman" w:cs="Times New Roman"/>
          <w:b/>
          <w:i/>
          <w:sz w:val="24"/>
          <w:szCs w:val="24"/>
        </w:rPr>
        <w:t>Stacionāro veselības aprūpes pakalpojumu sniedzēji</w:t>
      </w:r>
    </w:p>
    <w:p w:rsidR="008014F4" w:rsidRDefault="008014F4" w:rsidP="003863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Būtiski ir tas, ka pēdējo</w:t>
      </w:r>
      <w:r w:rsidR="00206004">
        <w:rPr>
          <w:rFonts w:ascii="Times New Roman" w:hAnsi="Times New Roman" w:cs="Times New Roman"/>
          <w:sz w:val="24"/>
          <w:szCs w:val="24"/>
        </w:rPr>
        <w:t xml:space="preserve"> trīs gadu laikā, nepietiekama finansējuma apstākļos</w:t>
      </w:r>
      <w:r>
        <w:rPr>
          <w:rFonts w:ascii="Times New Roman" w:hAnsi="Times New Roman" w:cs="Times New Roman"/>
          <w:sz w:val="24"/>
          <w:szCs w:val="24"/>
        </w:rPr>
        <w:t xml:space="preserve"> ir mazinājies finansējums </w:t>
      </w:r>
      <w:r w:rsidR="00206004">
        <w:rPr>
          <w:rFonts w:ascii="Times New Roman" w:hAnsi="Times New Roman" w:cs="Times New Roman"/>
          <w:sz w:val="24"/>
          <w:szCs w:val="24"/>
        </w:rPr>
        <w:t xml:space="preserve">tieši </w:t>
      </w:r>
      <w:r>
        <w:rPr>
          <w:rFonts w:ascii="Times New Roman" w:hAnsi="Times New Roman" w:cs="Times New Roman"/>
          <w:sz w:val="24"/>
          <w:szCs w:val="24"/>
        </w:rPr>
        <w:t>stacionārai veselības aprūpei (skatīt 1.attēlu).</w:t>
      </w:r>
    </w:p>
    <w:p w:rsidR="00323CD0" w:rsidRDefault="00323CD0" w:rsidP="0038630C">
      <w:pPr>
        <w:spacing w:after="0" w:line="240" w:lineRule="auto"/>
        <w:ind w:firstLine="720"/>
        <w:jc w:val="both"/>
        <w:rPr>
          <w:rFonts w:ascii="Times New Roman" w:hAnsi="Times New Roman" w:cs="Times New Roman"/>
          <w:sz w:val="24"/>
          <w:szCs w:val="24"/>
        </w:rPr>
      </w:pPr>
    </w:p>
    <w:p w:rsidR="00323CD0" w:rsidRDefault="00206004" w:rsidP="00323CD0">
      <w:pPr>
        <w:spacing w:after="0" w:line="240" w:lineRule="auto"/>
        <w:jc w:val="right"/>
        <w:rPr>
          <w:rFonts w:ascii="Times New Roman" w:hAnsi="Times New Roman" w:cs="Times New Roman"/>
          <w:i/>
          <w:sz w:val="24"/>
          <w:szCs w:val="24"/>
        </w:rPr>
      </w:pPr>
      <w:r w:rsidRPr="00206004">
        <w:rPr>
          <w:rFonts w:ascii="Times New Roman" w:hAnsi="Times New Roman" w:cs="Times New Roman"/>
          <w:i/>
          <w:sz w:val="24"/>
          <w:szCs w:val="24"/>
        </w:rPr>
        <w:t xml:space="preserve">1.attēls. </w:t>
      </w:r>
    </w:p>
    <w:p w:rsidR="00206004" w:rsidRPr="00323CD0" w:rsidRDefault="00206004" w:rsidP="00323CD0">
      <w:pPr>
        <w:spacing w:after="0" w:line="240" w:lineRule="auto"/>
        <w:jc w:val="center"/>
        <w:rPr>
          <w:rFonts w:ascii="Times New Roman" w:hAnsi="Times New Roman" w:cs="Times New Roman"/>
          <w:b/>
          <w:i/>
          <w:sz w:val="24"/>
          <w:szCs w:val="24"/>
        </w:rPr>
      </w:pPr>
      <w:r w:rsidRPr="00323CD0">
        <w:rPr>
          <w:rFonts w:ascii="Times New Roman" w:hAnsi="Times New Roman" w:cs="Times New Roman"/>
          <w:b/>
          <w:bCs/>
          <w:i/>
          <w:sz w:val="24"/>
          <w:szCs w:val="24"/>
        </w:rPr>
        <w:t>Finansējuma  sadalījums pa pakalpoju</w:t>
      </w:r>
      <w:r w:rsidR="00323CD0">
        <w:rPr>
          <w:rFonts w:ascii="Times New Roman" w:hAnsi="Times New Roman" w:cs="Times New Roman"/>
          <w:b/>
          <w:bCs/>
          <w:i/>
          <w:sz w:val="24"/>
          <w:szCs w:val="24"/>
        </w:rPr>
        <w:t xml:space="preserve">mu veidiem 2010-2012.gadā, miljonos </w:t>
      </w:r>
      <w:r w:rsidRPr="00323CD0">
        <w:rPr>
          <w:rFonts w:ascii="Times New Roman" w:hAnsi="Times New Roman" w:cs="Times New Roman"/>
          <w:b/>
          <w:bCs/>
          <w:i/>
          <w:sz w:val="24"/>
          <w:szCs w:val="24"/>
        </w:rPr>
        <w:t>latu</w:t>
      </w:r>
      <w:r w:rsidR="00164112" w:rsidRPr="00323CD0">
        <w:rPr>
          <w:rFonts w:ascii="Times New Roman" w:hAnsi="Times New Roman" w:cs="Times New Roman"/>
          <w:b/>
          <w:bCs/>
          <w:i/>
          <w:sz w:val="24"/>
          <w:szCs w:val="24"/>
        </w:rPr>
        <w:t>.</w:t>
      </w:r>
    </w:p>
    <w:p w:rsidR="008014F4" w:rsidRDefault="008014F4" w:rsidP="0038630C">
      <w:pPr>
        <w:spacing w:after="0" w:line="240" w:lineRule="auto"/>
        <w:ind w:firstLine="720"/>
        <w:jc w:val="both"/>
        <w:rPr>
          <w:rFonts w:ascii="Times New Roman" w:hAnsi="Times New Roman" w:cs="Times New Roman"/>
          <w:sz w:val="24"/>
          <w:szCs w:val="24"/>
        </w:rPr>
      </w:pPr>
    </w:p>
    <w:p w:rsidR="003B4796" w:rsidRDefault="00CD33E7" w:rsidP="0038630C">
      <w:pPr>
        <w:spacing w:after="0" w:line="240" w:lineRule="auto"/>
        <w:ind w:firstLine="720"/>
        <w:jc w:val="both"/>
        <w:rPr>
          <w:rFonts w:ascii="Times New Roman" w:hAnsi="Times New Roman" w:cs="Times New Roman"/>
          <w:sz w:val="24"/>
          <w:szCs w:val="24"/>
        </w:rPr>
      </w:pPr>
      <w:r w:rsidRPr="00CD33E7">
        <w:rPr>
          <w:rFonts w:ascii="Times New Roman" w:hAnsi="Times New Roman" w:cs="Times New Roman"/>
          <w:noProof/>
          <w:sz w:val="24"/>
          <w:szCs w:val="24"/>
          <w:lang w:eastAsia="lv-LV"/>
        </w:rPr>
        <w:drawing>
          <wp:inline distT="0" distB="0" distL="0" distR="0">
            <wp:extent cx="5486400" cy="4032250"/>
            <wp:effectExtent l="19050" t="0" r="19050" b="635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33E7" w:rsidRDefault="00CD33E7" w:rsidP="0038630C">
      <w:pPr>
        <w:spacing w:after="0" w:line="240" w:lineRule="auto"/>
        <w:ind w:firstLine="720"/>
        <w:jc w:val="both"/>
        <w:rPr>
          <w:rFonts w:ascii="Times New Roman" w:hAnsi="Times New Roman" w:cs="Times New Roman"/>
          <w:sz w:val="24"/>
          <w:szCs w:val="24"/>
        </w:rPr>
      </w:pPr>
    </w:p>
    <w:p w:rsidR="00B12006" w:rsidRDefault="000C3E1D" w:rsidP="00206004">
      <w:pPr>
        <w:spacing w:after="0" w:line="240" w:lineRule="auto"/>
        <w:ind w:firstLine="720"/>
        <w:jc w:val="both"/>
        <w:rPr>
          <w:rFonts w:ascii="Times New Roman" w:hAnsi="Times New Roman"/>
          <w:sz w:val="24"/>
          <w:szCs w:val="24"/>
        </w:rPr>
      </w:pPr>
      <w:r>
        <w:rPr>
          <w:rFonts w:ascii="Times New Roman" w:hAnsi="Times New Roman"/>
          <w:sz w:val="24"/>
          <w:szCs w:val="24"/>
        </w:rPr>
        <w:t xml:space="preserve">Finansējuma mazināšana slimnīcām ir atbilstoša </w:t>
      </w:r>
      <w:r w:rsidR="00B12006">
        <w:rPr>
          <w:rFonts w:ascii="Times New Roman" w:hAnsi="Times New Roman"/>
          <w:sz w:val="24"/>
          <w:szCs w:val="24"/>
        </w:rPr>
        <w:t>izmaiņām veselības nozares politikā un sistēmas attīstībā. Veselības ministrija gan 2010.gadā, gan 2011.gadā informēja valdību par veiktajām un iecerētajām izmaiņām veselības sistēmā, vienlaikus vēršot uzmanību uz to, ka izmaiņu ietekme būs vērtējama tikai ilgtermiņā.</w:t>
      </w:r>
    </w:p>
    <w:p w:rsidR="0002204A" w:rsidRPr="0002204A" w:rsidRDefault="000C3E1D" w:rsidP="0002204A">
      <w:pPr>
        <w:spacing w:after="0" w:line="100" w:lineRule="atLeast"/>
        <w:ind w:firstLine="720"/>
        <w:jc w:val="both"/>
        <w:rPr>
          <w:rFonts w:ascii="Times New Roman" w:hAnsi="Times New Roman" w:cs="Times New Roman"/>
          <w:sz w:val="24"/>
          <w:szCs w:val="24"/>
        </w:rPr>
      </w:pPr>
      <w:r>
        <w:rPr>
          <w:rFonts w:ascii="Times New Roman" w:hAnsi="Times New Roman"/>
          <w:sz w:val="24"/>
          <w:szCs w:val="24"/>
        </w:rPr>
        <w:t xml:space="preserve"> </w:t>
      </w:r>
      <w:r w:rsidR="00206004" w:rsidRPr="00206004">
        <w:rPr>
          <w:rFonts w:ascii="Times New Roman" w:hAnsi="Times New Roman"/>
          <w:sz w:val="24"/>
          <w:szCs w:val="24"/>
        </w:rPr>
        <w:t xml:space="preserve">Kopējie veselības aprūpes sistēmas attīstības principi Latvijā balstās uz ģimenes ārstu institūcijas stiprināšanu un ambulatorās aprūpes attīstību, mazinot stacionārās aprūpes lomu. Nacionālais veselības dienests šobrīd sekmīgi turpina līgumu slēgšanas procesu ar ģimenes </w:t>
      </w:r>
      <w:r w:rsidR="00206004" w:rsidRPr="00206004">
        <w:rPr>
          <w:rFonts w:ascii="Times New Roman" w:hAnsi="Times New Roman"/>
          <w:sz w:val="24"/>
          <w:szCs w:val="24"/>
        </w:rPr>
        <w:lastRenderedPageBreak/>
        <w:t>ārstiem, ambulatorās aprūpes, mājas aprūpes pakalpojumu sniedzējiem. Stacionārās veselības aprūpes pakalpojumu finansēšanas jomā 2011. gadā turpinājās pakalpojumu apmaksas optimizācijas, skaidrāku un saprotamāku finansēšanas principu izstrāde. Ministru kabineta 2006.gada 19. decembra noteikumos Nr.1046 „Veselības aprūpes pakalpojumu organizēšanas</w:t>
      </w:r>
      <w:r w:rsidR="00B12006">
        <w:rPr>
          <w:rFonts w:ascii="Times New Roman" w:hAnsi="Times New Roman"/>
          <w:sz w:val="24"/>
          <w:szCs w:val="24"/>
        </w:rPr>
        <w:t xml:space="preserve"> un finansēšanas kārtība” 2011.</w:t>
      </w:r>
      <w:r w:rsidR="00206004" w:rsidRPr="00206004">
        <w:rPr>
          <w:rFonts w:ascii="Times New Roman" w:hAnsi="Times New Roman"/>
          <w:sz w:val="24"/>
          <w:szCs w:val="24"/>
        </w:rPr>
        <w:t xml:space="preserve">gadā tika noteikts terapeitisku pacientu tarifs 115,60 lati, kas tika aprēķināts, balstoties uz </w:t>
      </w:r>
      <w:r w:rsidR="00B12006">
        <w:rPr>
          <w:rFonts w:ascii="Times New Roman" w:hAnsi="Times New Roman"/>
          <w:sz w:val="24"/>
          <w:szCs w:val="24"/>
        </w:rPr>
        <w:t xml:space="preserve">Nacionālā veselības dienesta </w:t>
      </w:r>
      <w:r w:rsidR="00206004" w:rsidRPr="00206004">
        <w:rPr>
          <w:rFonts w:ascii="Times New Roman" w:hAnsi="Times New Roman"/>
          <w:sz w:val="24"/>
          <w:szCs w:val="24"/>
        </w:rPr>
        <w:t xml:space="preserve">Vadības informācijas sistēmā apkopoto informāciju par lokālo </w:t>
      </w:r>
      <w:proofErr w:type="spellStart"/>
      <w:r w:rsidR="00206004" w:rsidRPr="00206004">
        <w:rPr>
          <w:rFonts w:ascii="Times New Roman" w:hAnsi="Times New Roman"/>
          <w:sz w:val="24"/>
          <w:szCs w:val="24"/>
        </w:rPr>
        <w:t>daudzprofila</w:t>
      </w:r>
      <w:proofErr w:type="spellEnd"/>
      <w:r w:rsidR="00206004" w:rsidRPr="00206004">
        <w:rPr>
          <w:rFonts w:ascii="Times New Roman" w:hAnsi="Times New Roman"/>
          <w:sz w:val="24"/>
          <w:szCs w:val="24"/>
        </w:rPr>
        <w:t xml:space="preserve"> slimnīcu veiktajām manipulā</w:t>
      </w:r>
      <w:r w:rsidR="00B12006">
        <w:rPr>
          <w:rFonts w:ascii="Times New Roman" w:hAnsi="Times New Roman"/>
          <w:sz w:val="24"/>
          <w:szCs w:val="24"/>
        </w:rPr>
        <w:t xml:space="preserve">cijām un </w:t>
      </w:r>
      <w:proofErr w:type="spellStart"/>
      <w:r w:rsidR="00B12006">
        <w:rPr>
          <w:rFonts w:ascii="Times New Roman" w:hAnsi="Times New Roman"/>
          <w:sz w:val="24"/>
          <w:szCs w:val="24"/>
        </w:rPr>
        <w:t>gult</w:t>
      </w:r>
      <w:r w:rsidR="0002204A">
        <w:rPr>
          <w:rFonts w:ascii="Times New Roman" w:hAnsi="Times New Roman"/>
          <w:sz w:val="24"/>
          <w:szCs w:val="24"/>
        </w:rPr>
        <w:t>as</w:t>
      </w:r>
      <w:r w:rsidR="00B12006">
        <w:rPr>
          <w:rFonts w:ascii="Times New Roman" w:hAnsi="Times New Roman"/>
          <w:sz w:val="24"/>
          <w:szCs w:val="24"/>
        </w:rPr>
        <w:t>dienu</w:t>
      </w:r>
      <w:proofErr w:type="spellEnd"/>
      <w:r w:rsidR="00B12006">
        <w:rPr>
          <w:rFonts w:ascii="Times New Roman" w:hAnsi="Times New Roman"/>
          <w:sz w:val="24"/>
          <w:szCs w:val="24"/>
        </w:rPr>
        <w:t xml:space="preserve"> skaitu 2010.</w:t>
      </w:r>
      <w:r w:rsidR="00206004" w:rsidRPr="00206004">
        <w:rPr>
          <w:rFonts w:ascii="Times New Roman" w:hAnsi="Times New Roman"/>
          <w:sz w:val="24"/>
          <w:szCs w:val="24"/>
        </w:rPr>
        <w:t xml:space="preserve">gadā. Tāpat tika ņemts vērā princips, ka vienādas patoloģijas būtu jāārstē par vienādu </w:t>
      </w:r>
      <w:r w:rsidR="00206004" w:rsidRPr="0002204A">
        <w:rPr>
          <w:rFonts w:ascii="Times New Roman" w:hAnsi="Times New Roman" w:cs="Times New Roman"/>
          <w:sz w:val="24"/>
          <w:szCs w:val="24"/>
        </w:rPr>
        <w:t>samaksu pēc iespējas lētāk dažāda līmeņa slimnīcās. Šāda zema tarifa noteikšana stimulētu slimnīcas vairāk novirzī</w:t>
      </w:r>
      <w:r w:rsidR="0002204A" w:rsidRPr="0002204A">
        <w:rPr>
          <w:rFonts w:ascii="Times New Roman" w:hAnsi="Times New Roman" w:cs="Times New Roman"/>
          <w:sz w:val="24"/>
          <w:szCs w:val="24"/>
        </w:rPr>
        <w:t xml:space="preserve">t pacientus ambulatorajā aprūpē, </w:t>
      </w:r>
      <w:r w:rsidR="0002204A" w:rsidRPr="0002204A">
        <w:rPr>
          <w:rFonts w:ascii="Times New Roman" w:eastAsia="Calibri" w:hAnsi="Times New Roman" w:cs="Times New Roman"/>
          <w:sz w:val="24"/>
          <w:szCs w:val="24"/>
        </w:rPr>
        <w:t xml:space="preserve">jo ārstēšana slimnīcā būtu ekonomiski neizdevīgāka. </w:t>
      </w:r>
    </w:p>
    <w:p w:rsidR="00515DF0" w:rsidRDefault="00206004" w:rsidP="00206004">
      <w:pPr>
        <w:spacing w:after="0" w:line="240" w:lineRule="auto"/>
        <w:ind w:firstLine="720"/>
        <w:jc w:val="both"/>
        <w:rPr>
          <w:rFonts w:ascii="Times New Roman" w:hAnsi="Times New Roman"/>
          <w:sz w:val="24"/>
          <w:szCs w:val="24"/>
        </w:rPr>
      </w:pPr>
      <w:r w:rsidRPr="00206004">
        <w:rPr>
          <w:rFonts w:ascii="Times New Roman" w:hAnsi="Times New Roman"/>
          <w:sz w:val="24"/>
          <w:szCs w:val="24"/>
        </w:rPr>
        <w:t xml:space="preserve"> Skaidra un saprotama līgumos piedāvāto naudas līdzekļu definēšana Veselības ministrijas un Nacionālā veselības dienesta skatījumā ir uzskatāma par pareizāku pieeju, piedāvājot </w:t>
      </w:r>
      <w:r w:rsidRPr="00A75C83">
        <w:rPr>
          <w:rFonts w:ascii="Times New Roman" w:hAnsi="Times New Roman" w:cs="Times New Roman"/>
          <w:sz w:val="24"/>
          <w:szCs w:val="24"/>
        </w:rPr>
        <w:t>slimnīcām sniegt palīdzību visiem pacientiem (reālam pacientu skaitam) par zemā</w:t>
      </w:r>
      <w:r w:rsidR="00A75C83" w:rsidRPr="00A75C83">
        <w:rPr>
          <w:rFonts w:ascii="Times New Roman" w:hAnsi="Times New Roman" w:cs="Times New Roman"/>
          <w:sz w:val="24"/>
          <w:szCs w:val="24"/>
        </w:rPr>
        <w:t xml:space="preserve">ku samaksu, </w:t>
      </w:r>
      <w:r w:rsidR="00A75C83" w:rsidRPr="00A75C83">
        <w:rPr>
          <w:rFonts w:ascii="Times New Roman" w:eastAsia="Calibri" w:hAnsi="Times New Roman" w:cs="Times New Roman"/>
          <w:sz w:val="24"/>
          <w:szCs w:val="24"/>
        </w:rPr>
        <w:t>nevis lielāka samaksa par vienu pacientu, bet optimistiski samazināta  pacientu skaita prognoze.</w:t>
      </w:r>
      <w:r w:rsidR="00A75C83">
        <w:rPr>
          <w:rFonts w:ascii="Calibri" w:eastAsia="Calibri" w:hAnsi="Calibri" w:cs="Times New Roman"/>
          <w:sz w:val="24"/>
          <w:szCs w:val="24"/>
        </w:rPr>
        <w:t xml:space="preserve">  </w:t>
      </w:r>
      <w:r w:rsidRPr="00206004">
        <w:rPr>
          <w:rFonts w:ascii="Times New Roman" w:hAnsi="Times New Roman"/>
          <w:sz w:val="24"/>
          <w:szCs w:val="24"/>
        </w:rPr>
        <w:t xml:space="preserve">Tomēr līgumu slēgšanas gaitā, diskusijās ar slimnīcām individuāli un ar </w:t>
      </w:r>
      <w:r w:rsidR="00DA6749">
        <w:rPr>
          <w:rFonts w:ascii="Times New Roman" w:hAnsi="Times New Roman"/>
          <w:sz w:val="24"/>
          <w:szCs w:val="24"/>
        </w:rPr>
        <w:t>biedrības “Latvijas slimnīcu biedrība</w:t>
      </w:r>
      <w:r w:rsidRPr="00206004">
        <w:rPr>
          <w:rFonts w:ascii="Times New Roman" w:hAnsi="Times New Roman"/>
          <w:sz w:val="24"/>
          <w:szCs w:val="24"/>
        </w:rPr>
        <w:t>” pārstāvjiem, iezīmējās galvenā un faktiski vienīgā problēma, ka tieši šis tarifs nea</w:t>
      </w:r>
      <w:r w:rsidR="004D2992">
        <w:rPr>
          <w:rFonts w:ascii="Times New Roman" w:hAnsi="Times New Roman"/>
          <w:sz w:val="24"/>
          <w:szCs w:val="24"/>
        </w:rPr>
        <w:t>t</w:t>
      </w:r>
      <w:r w:rsidRPr="00206004">
        <w:rPr>
          <w:rFonts w:ascii="Times New Roman" w:hAnsi="Times New Roman"/>
          <w:sz w:val="24"/>
          <w:szCs w:val="24"/>
        </w:rPr>
        <w:t>bilst reālajā</w:t>
      </w:r>
      <w:r w:rsidR="00DA6749">
        <w:rPr>
          <w:rFonts w:ascii="Times New Roman" w:hAnsi="Times New Roman"/>
          <w:sz w:val="24"/>
          <w:szCs w:val="24"/>
        </w:rPr>
        <w:t>m slimnīcu izmaksām. Slimnīcu sn</w:t>
      </w:r>
      <w:r w:rsidRPr="00206004">
        <w:rPr>
          <w:rFonts w:ascii="Times New Roman" w:hAnsi="Times New Roman"/>
          <w:sz w:val="24"/>
          <w:szCs w:val="24"/>
        </w:rPr>
        <w:t>iegtā informācija liecina, ka tarifam būtu jābūt ap 230 latiem. Slimnīcu viedokli, ka Nacionālā veselības dienesta piedāvātais tarifs neatbilst slimnīcu izmaksām, netieši apstiprina fakts, ka</w:t>
      </w:r>
      <w:r w:rsidR="004D2992">
        <w:rPr>
          <w:rFonts w:ascii="Times New Roman" w:hAnsi="Times New Roman"/>
          <w:sz w:val="24"/>
          <w:szCs w:val="24"/>
        </w:rPr>
        <w:t xml:space="preserve"> stacionārajai palīdzībai 2010.</w:t>
      </w:r>
      <w:r w:rsidRPr="00206004">
        <w:rPr>
          <w:rFonts w:ascii="Times New Roman" w:hAnsi="Times New Roman"/>
          <w:sz w:val="24"/>
          <w:szCs w:val="24"/>
        </w:rPr>
        <w:t xml:space="preserve">gada beigās slimnīcām bija pieejami 164,39 miljoni latu, 2011. gada beigās – 142,11 miljoni latu, bet 2012. gada līgumos tiek piedāvāti 132,12 miljoni latu, tajā pašā laikā </w:t>
      </w:r>
      <w:proofErr w:type="spellStart"/>
      <w:r w:rsidRPr="00206004">
        <w:rPr>
          <w:rFonts w:ascii="Times New Roman" w:hAnsi="Times New Roman"/>
          <w:sz w:val="24"/>
          <w:szCs w:val="24"/>
        </w:rPr>
        <w:t>stacionēto</w:t>
      </w:r>
      <w:proofErr w:type="spellEnd"/>
      <w:r w:rsidRPr="00206004">
        <w:rPr>
          <w:rFonts w:ascii="Times New Roman" w:hAnsi="Times New Roman"/>
          <w:sz w:val="24"/>
          <w:szCs w:val="24"/>
        </w:rPr>
        <w:t xml:space="preserve"> pacientu skaits</w:t>
      </w:r>
      <w:r w:rsidR="004D2992">
        <w:rPr>
          <w:rFonts w:ascii="Times New Roman" w:hAnsi="Times New Roman"/>
          <w:sz w:val="24"/>
          <w:szCs w:val="24"/>
        </w:rPr>
        <w:t>,</w:t>
      </w:r>
      <w:r w:rsidRPr="00206004">
        <w:rPr>
          <w:rFonts w:ascii="Times New Roman" w:hAnsi="Times New Roman"/>
          <w:sz w:val="24"/>
          <w:szCs w:val="24"/>
        </w:rPr>
        <w:t xml:space="preserve"> </w:t>
      </w:r>
      <w:r w:rsidR="00515DF0">
        <w:rPr>
          <w:rFonts w:ascii="Times New Roman" w:hAnsi="Times New Roman"/>
          <w:sz w:val="24"/>
          <w:szCs w:val="24"/>
        </w:rPr>
        <w:t>kopš krituma 2009.gadā</w:t>
      </w:r>
      <w:r w:rsidR="004D2992">
        <w:rPr>
          <w:rFonts w:ascii="Times New Roman" w:hAnsi="Times New Roman"/>
          <w:sz w:val="24"/>
          <w:szCs w:val="24"/>
        </w:rPr>
        <w:t>, 2010.gadā ir apstājies un tam</w:t>
      </w:r>
      <w:r w:rsidR="00515DF0">
        <w:rPr>
          <w:rFonts w:ascii="Times New Roman" w:hAnsi="Times New Roman"/>
          <w:sz w:val="24"/>
          <w:szCs w:val="24"/>
        </w:rPr>
        <w:t xml:space="preserve"> ir tendence </w:t>
      </w:r>
      <w:r w:rsidR="004D2992">
        <w:rPr>
          <w:rFonts w:ascii="Times New Roman" w:hAnsi="Times New Roman"/>
          <w:sz w:val="24"/>
          <w:szCs w:val="24"/>
        </w:rPr>
        <w:t xml:space="preserve">nedaudz </w:t>
      </w:r>
      <w:r w:rsidR="00515DF0">
        <w:rPr>
          <w:rFonts w:ascii="Times New Roman" w:hAnsi="Times New Roman"/>
          <w:sz w:val="24"/>
          <w:szCs w:val="24"/>
        </w:rPr>
        <w:t>palielināties (skatīt 2.attēlu).</w:t>
      </w:r>
    </w:p>
    <w:p w:rsidR="00323CD0" w:rsidRDefault="00323CD0" w:rsidP="00206004">
      <w:pPr>
        <w:spacing w:after="0" w:line="240" w:lineRule="auto"/>
        <w:ind w:firstLine="720"/>
        <w:jc w:val="both"/>
        <w:rPr>
          <w:rFonts w:ascii="Times New Roman" w:hAnsi="Times New Roman"/>
          <w:sz w:val="24"/>
          <w:szCs w:val="24"/>
        </w:rPr>
      </w:pPr>
    </w:p>
    <w:p w:rsidR="00323CD0" w:rsidRDefault="001971F8" w:rsidP="00323CD0">
      <w:pPr>
        <w:spacing w:after="0" w:line="240" w:lineRule="auto"/>
        <w:jc w:val="right"/>
        <w:rPr>
          <w:rFonts w:ascii="Times New Roman" w:hAnsi="Times New Roman"/>
          <w:i/>
          <w:sz w:val="24"/>
          <w:szCs w:val="24"/>
        </w:rPr>
      </w:pPr>
      <w:r w:rsidRPr="001971F8">
        <w:rPr>
          <w:rFonts w:ascii="Times New Roman" w:hAnsi="Times New Roman"/>
          <w:i/>
          <w:sz w:val="24"/>
          <w:szCs w:val="24"/>
        </w:rPr>
        <w:t xml:space="preserve">2.attēls. </w:t>
      </w:r>
    </w:p>
    <w:p w:rsidR="001971F8" w:rsidRPr="00323CD0" w:rsidRDefault="001971F8" w:rsidP="00323CD0">
      <w:pPr>
        <w:spacing w:after="0" w:line="240" w:lineRule="auto"/>
        <w:jc w:val="center"/>
        <w:rPr>
          <w:rFonts w:ascii="Times New Roman" w:hAnsi="Times New Roman"/>
          <w:b/>
          <w:i/>
          <w:sz w:val="24"/>
          <w:szCs w:val="24"/>
        </w:rPr>
      </w:pPr>
      <w:r w:rsidRPr="00323CD0">
        <w:rPr>
          <w:rFonts w:ascii="Times New Roman" w:hAnsi="Times New Roman"/>
          <w:b/>
          <w:i/>
          <w:sz w:val="24"/>
          <w:szCs w:val="24"/>
        </w:rPr>
        <w:t>Hospitalizācijas skaita un finansējuma izmaiņas stacionārajai palīdzībai 2010.-2012.gadā</w:t>
      </w:r>
    </w:p>
    <w:p w:rsidR="00515DF0" w:rsidRDefault="00515DF0" w:rsidP="00206004">
      <w:pPr>
        <w:spacing w:after="0" w:line="240" w:lineRule="auto"/>
        <w:ind w:firstLine="720"/>
        <w:jc w:val="both"/>
        <w:rPr>
          <w:rFonts w:ascii="Times New Roman" w:hAnsi="Times New Roman"/>
          <w:sz w:val="24"/>
          <w:szCs w:val="24"/>
        </w:rPr>
      </w:pPr>
    </w:p>
    <w:p w:rsidR="003B4796" w:rsidRDefault="003B4796" w:rsidP="00206004">
      <w:pPr>
        <w:spacing w:after="0" w:line="240" w:lineRule="auto"/>
        <w:ind w:firstLine="720"/>
        <w:jc w:val="both"/>
        <w:rPr>
          <w:rFonts w:ascii="Times New Roman" w:hAnsi="Times New Roman"/>
          <w:sz w:val="24"/>
          <w:szCs w:val="24"/>
        </w:rPr>
      </w:pPr>
      <w:r w:rsidRPr="003B4796">
        <w:rPr>
          <w:rFonts w:ascii="Times New Roman" w:hAnsi="Times New Roman"/>
          <w:noProof/>
          <w:sz w:val="24"/>
          <w:szCs w:val="24"/>
          <w:lang w:eastAsia="lv-LV"/>
        </w:rPr>
        <w:drawing>
          <wp:inline distT="0" distB="0" distL="0" distR="0">
            <wp:extent cx="5486400" cy="3632200"/>
            <wp:effectExtent l="19050" t="0" r="190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4796" w:rsidRDefault="003B4796" w:rsidP="00206004">
      <w:pPr>
        <w:spacing w:after="0" w:line="240" w:lineRule="auto"/>
        <w:ind w:firstLine="720"/>
        <w:jc w:val="both"/>
        <w:rPr>
          <w:rFonts w:ascii="Times New Roman" w:hAnsi="Times New Roman"/>
          <w:sz w:val="24"/>
          <w:szCs w:val="24"/>
        </w:rPr>
      </w:pPr>
    </w:p>
    <w:p w:rsidR="00206004" w:rsidRPr="00AE39B2" w:rsidRDefault="00583B0A" w:rsidP="00206004">
      <w:pPr>
        <w:spacing w:after="0" w:line="240" w:lineRule="auto"/>
        <w:ind w:firstLine="720"/>
        <w:jc w:val="both"/>
        <w:rPr>
          <w:rFonts w:ascii="Times New Roman" w:hAnsi="Times New Roman" w:cs="Times New Roman"/>
          <w:sz w:val="24"/>
          <w:szCs w:val="24"/>
        </w:rPr>
      </w:pPr>
      <w:r w:rsidRPr="00AE39B2">
        <w:rPr>
          <w:rFonts w:ascii="Times New Roman" w:hAnsi="Times New Roman" w:cs="Times New Roman"/>
          <w:sz w:val="24"/>
          <w:szCs w:val="24"/>
        </w:rPr>
        <w:lastRenderedPageBreak/>
        <w:t>B</w:t>
      </w:r>
      <w:r w:rsidR="00206004" w:rsidRPr="00AE39B2">
        <w:rPr>
          <w:rFonts w:ascii="Times New Roman" w:hAnsi="Times New Roman" w:cs="Times New Roman"/>
          <w:sz w:val="24"/>
          <w:szCs w:val="24"/>
        </w:rPr>
        <w:t>ūtiski samazināto pieejamo finanšu līdzekļu apstākļos, slim</w:t>
      </w:r>
      <w:r w:rsidRPr="00AE39B2">
        <w:rPr>
          <w:rFonts w:ascii="Times New Roman" w:hAnsi="Times New Roman" w:cs="Times New Roman"/>
          <w:sz w:val="24"/>
          <w:szCs w:val="24"/>
        </w:rPr>
        <w:t>n</w:t>
      </w:r>
      <w:r w:rsidR="00206004" w:rsidRPr="00AE39B2">
        <w:rPr>
          <w:rFonts w:ascii="Times New Roman" w:hAnsi="Times New Roman" w:cs="Times New Roman"/>
          <w:sz w:val="24"/>
          <w:szCs w:val="24"/>
        </w:rPr>
        <w:t xml:space="preserve">īcām rodas būtiskas problēmas nodrošināt uzņēmumu darbību, ko līgumu slēgšanas laikā akcentē slimnīcu īpašnieki –, galvenokārt, pašvaldības. </w:t>
      </w:r>
      <w:r w:rsidR="00AE39B2" w:rsidRPr="00AE39B2">
        <w:rPr>
          <w:rFonts w:ascii="Times New Roman" w:eastAsia="Calibri" w:hAnsi="Times New Roman" w:cs="Times New Roman"/>
          <w:sz w:val="24"/>
          <w:szCs w:val="24"/>
        </w:rPr>
        <w:t>Tajā pašā laikā arvien pieaug spiediens no pacientiem pēc modernāku ārstēšanas metožu izmantošanas un kvalitatīvāka servisa, kas prasa lielākas izmaksas.</w:t>
      </w:r>
    </w:p>
    <w:p w:rsidR="00257A5D" w:rsidRDefault="00257A5D" w:rsidP="0038630C">
      <w:pPr>
        <w:spacing w:after="0" w:line="240" w:lineRule="auto"/>
        <w:ind w:firstLine="720"/>
        <w:jc w:val="both"/>
        <w:rPr>
          <w:rFonts w:ascii="Times New Roman" w:hAnsi="Times New Roman" w:cs="Times New Roman"/>
          <w:sz w:val="24"/>
          <w:szCs w:val="24"/>
        </w:rPr>
      </w:pPr>
      <w:r w:rsidRPr="00257A5D">
        <w:rPr>
          <w:rFonts w:ascii="Times New Roman" w:hAnsi="Times New Roman" w:cs="Times New Roman"/>
          <w:sz w:val="24"/>
          <w:szCs w:val="24"/>
        </w:rPr>
        <w:t xml:space="preserve">Nacionālais veselības dienests </w:t>
      </w:r>
      <w:r>
        <w:rPr>
          <w:rFonts w:ascii="Times New Roman" w:hAnsi="Times New Roman" w:cs="Times New Roman"/>
          <w:sz w:val="24"/>
          <w:szCs w:val="24"/>
        </w:rPr>
        <w:t xml:space="preserve">2012.gada 27.janvārī </w:t>
      </w:r>
      <w:r w:rsidRPr="00257A5D">
        <w:rPr>
          <w:rFonts w:ascii="Times New Roman" w:hAnsi="Times New Roman" w:cs="Times New Roman"/>
          <w:sz w:val="24"/>
          <w:szCs w:val="24"/>
        </w:rPr>
        <w:t xml:space="preserve">ir </w:t>
      </w:r>
      <w:r>
        <w:rPr>
          <w:rFonts w:ascii="Times New Roman" w:hAnsi="Times New Roman" w:cs="Times New Roman"/>
          <w:sz w:val="24"/>
          <w:szCs w:val="24"/>
        </w:rPr>
        <w:t xml:space="preserve">nosūtījis </w:t>
      </w:r>
      <w:r w:rsidR="0038630C">
        <w:rPr>
          <w:rFonts w:ascii="Times New Roman" w:hAnsi="Times New Roman" w:cs="Times New Roman"/>
          <w:sz w:val="24"/>
          <w:szCs w:val="24"/>
        </w:rPr>
        <w:t xml:space="preserve">Ministru kabineta 2006.gada 19.decembra noteikumu „Veselības aprūpes pakalpojumu organizēšanas un finansēšanas kārtība” Nr.1046 24.pielikumā minētajiem 39 stacionāro </w:t>
      </w:r>
      <w:r>
        <w:rPr>
          <w:rFonts w:ascii="Times New Roman" w:hAnsi="Times New Roman" w:cs="Times New Roman"/>
          <w:sz w:val="24"/>
          <w:szCs w:val="24"/>
        </w:rPr>
        <w:t xml:space="preserve">veselības aprūpes pakalpojumu sniedzējiem līguma projektus par </w:t>
      </w:r>
      <w:r w:rsidR="0038630C" w:rsidRPr="0038630C">
        <w:rPr>
          <w:rFonts w:ascii="Times New Roman" w:hAnsi="Times New Roman" w:cs="Times New Roman"/>
          <w:sz w:val="24"/>
          <w:szCs w:val="24"/>
        </w:rPr>
        <w:t>stacionāro un sekundāro ambulatoro veselības aprūpes pakalpojumu</w:t>
      </w:r>
      <w:r w:rsidR="0038630C">
        <w:rPr>
          <w:rFonts w:ascii="Times New Roman" w:hAnsi="Times New Roman" w:cs="Times New Roman"/>
          <w:sz w:val="24"/>
          <w:szCs w:val="24"/>
        </w:rPr>
        <w:t xml:space="preserve"> </w:t>
      </w:r>
      <w:r w:rsidR="0038630C" w:rsidRPr="0038630C">
        <w:rPr>
          <w:rFonts w:ascii="Times New Roman" w:hAnsi="Times New Roman" w:cs="Times New Roman"/>
          <w:sz w:val="24"/>
          <w:szCs w:val="24"/>
        </w:rPr>
        <w:t>sniegšanu un apmaksu</w:t>
      </w:r>
      <w:r w:rsidR="0038630C">
        <w:rPr>
          <w:rFonts w:ascii="Times New Roman" w:hAnsi="Times New Roman" w:cs="Times New Roman"/>
          <w:sz w:val="24"/>
          <w:szCs w:val="24"/>
        </w:rPr>
        <w:t>.</w:t>
      </w:r>
    </w:p>
    <w:p w:rsidR="00B97168" w:rsidRPr="00D051A6" w:rsidRDefault="0038630C" w:rsidP="0038630C">
      <w:pPr>
        <w:spacing w:after="0" w:line="240" w:lineRule="auto"/>
        <w:ind w:firstLine="720"/>
        <w:jc w:val="both"/>
        <w:rPr>
          <w:rFonts w:ascii="Times New Roman" w:hAnsi="Times New Roman" w:cs="Times New Roman"/>
          <w:sz w:val="24"/>
          <w:szCs w:val="24"/>
        </w:rPr>
      </w:pPr>
      <w:r w:rsidRPr="00D051A6">
        <w:rPr>
          <w:rFonts w:ascii="Times New Roman" w:hAnsi="Times New Roman" w:cs="Times New Roman"/>
          <w:sz w:val="24"/>
          <w:szCs w:val="24"/>
        </w:rPr>
        <w:t xml:space="preserve">Uz 2012.gada 17.februāri Nacionālais veselības dienests ir saņēmis 20 no veselības aprūpes pakalpojumu sniedzēju puses parakstītus līgumus, kas ir 51 % no kopējā nosūtīto līgumu apjoma. No minētajiem līgumiem - 18 līguma projekti ir jau parakstīti no Nacionālā veselības dienesta puses un nosūtīti veselības aprūpes pakalpojumu sniedzējiem. </w:t>
      </w:r>
    </w:p>
    <w:p w:rsidR="0038630C" w:rsidRPr="00EC03D4" w:rsidRDefault="00EC03D4" w:rsidP="0038630C">
      <w:pPr>
        <w:spacing w:after="0" w:line="240" w:lineRule="auto"/>
        <w:ind w:firstLine="720"/>
        <w:jc w:val="both"/>
        <w:rPr>
          <w:rFonts w:ascii="Times New Roman" w:hAnsi="Times New Roman" w:cs="Times New Roman"/>
          <w:sz w:val="24"/>
          <w:szCs w:val="24"/>
        </w:rPr>
      </w:pPr>
      <w:r w:rsidRPr="00EE72C4">
        <w:rPr>
          <w:rFonts w:ascii="Times New Roman" w:hAnsi="Times New Roman" w:cs="Times New Roman"/>
          <w:sz w:val="24"/>
          <w:szCs w:val="24"/>
        </w:rPr>
        <w:t xml:space="preserve">Veselības aprūpes pakalpojumu sniedzēji norāda, ka </w:t>
      </w:r>
      <w:r w:rsidRPr="00EE72C4">
        <w:rPr>
          <w:rFonts w:ascii="Times New Roman" w:eastAsia="Calibri" w:hAnsi="Times New Roman" w:cs="Times New Roman"/>
          <w:sz w:val="24"/>
          <w:szCs w:val="24"/>
        </w:rPr>
        <w:t xml:space="preserve">finanšu piedāvājuma </w:t>
      </w:r>
      <w:r w:rsidRPr="00EE72C4">
        <w:rPr>
          <w:rFonts w:ascii="Times New Roman" w:hAnsi="Times New Roman" w:cs="Times New Roman"/>
          <w:sz w:val="24"/>
          <w:szCs w:val="24"/>
        </w:rPr>
        <w:t>projektu 2012.gadam neparakstīs, jo tajā samazināts terapeitisko pacientu vidējās ārstēšanas izmaksu tarifs un līdz ar to līgumā palielināts plānotais pacientu skaits, bet tā kā arī vairs nav piešķirti finanšu līdzekļi sociālās drošības tīkla stratēģijas ietvaros  trūcīgo pacientu  pakalpojumu apmaksai  , tad ir samazinājies kopējais līguma finanšu līdzekļu ap</w:t>
      </w:r>
      <w:bookmarkStart w:id="2" w:name="_GoBack"/>
      <w:bookmarkEnd w:id="2"/>
      <w:r w:rsidRPr="00EE72C4">
        <w:rPr>
          <w:rFonts w:ascii="Times New Roman" w:hAnsi="Times New Roman" w:cs="Times New Roman"/>
          <w:sz w:val="24"/>
          <w:szCs w:val="24"/>
        </w:rPr>
        <w:t>joms.</w:t>
      </w:r>
      <w:r w:rsidR="00B97168" w:rsidRPr="00EC03D4">
        <w:rPr>
          <w:rFonts w:ascii="Times New Roman" w:hAnsi="Times New Roman" w:cs="Times New Roman"/>
          <w:sz w:val="24"/>
          <w:szCs w:val="24"/>
        </w:rPr>
        <w:t xml:space="preserve"> </w:t>
      </w:r>
    </w:p>
    <w:p w:rsidR="0038630C" w:rsidRDefault="0038630C" w:rsidP="003863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Seši no veselības aprūpes pakalpojumu sniedzējiem (</w:t>
      </w:r>
      <w:r w:rsidRPr="0038630C">
        <w:rPr>
          <w:rFonts w:ascii="Times New Roman" w:hAnsi="Times New Roman" w:cs="Times New Roman"/>
          <w:sz w:val="24"/>
          <w:szCs w:val="24"/>
        </w:rPr>
        <w:t>SIA "</w:t>
      </w:r>
      <w:proofErr w:type="spellStart"/>
      <w:r w:rsidRPr="0038630C">
        <w:rPr>
          <w:rFonts w:ascii="Times New Roman" w:hAnsi="Times New Roman" w:cs="Times New Roman"/>
          <w:sz w:val="24"/>
          <w:szCs w:val="24"/>
        </w:rPr>
        <w:t>Ziemeļkurzemes</w:t>
      </w:r>
      <w:proofErr w:type="spellEnd"/>
      <w:r w:rsidRPr="0038630C">
        <w:rPr>
          <w:rFonts w:ascii="Times New Roman" w:hAnsi="Times New Roman" w:cs="Times New Roman"/>
          <w:sz w:val="24"/>
          <w:szCs w:val="24"/>
        </w:rPr>
        <w:t xml:space="preserve"> reģionālā slimnīca"</w:t>
      </w:r>
      <w:r>
        <w:rPr>
          <w:rFonts w:ascii="Times New Roman" w:hAnsi="Times New Roman" w:cs="Times New Roman"/>
          <w:sz w:val="24"/>
          <w:szCs w:val="24"/>
        </w:rPr>
        <w:t xml:space="preserve">, </w:t>
      </w:r>
      <w:r w:rsidRPr="0038630C">
        <w:rPr>
          <w:rFonts w:ascii="Times New Roman" w:hAnsi="Times New Roman" w:cs="Times New Roman"/>
          <w:sz w:val="24"/>
          <w:szCs w:val="24"/>
        </w:rPr>
        <w:t>SIA "Jēkabpils reģionālā slimnīca"</w:t>
      </w:r>
      <w:r>
        <w:rPr>
          <w:rFonts w:ascii="Times New Roman" w:hAnsi="Times New Roman" w:cs="Times New Roman"/>
          <w:sz w:val="24"/>
          <w:szCs w:val="24"/>
        </w:rPr>
        <w:t xml:space="preserve">, </w:t>
      </w:r>
      <w:r w:rsidRPr="0038630C">
        <w:rPr>
          <w:rFonts w:ascii="Times New Roman" w:hAnsi="Times New Roman" w:cs="Times New Roman"/>
          <w:sz w:val="24"/>
          <w:szCs w:val="24"/>
        </w:rPr>
        <w:t>SIA "Daugavpils reģionālā slimnīca"</w:t>
      </w:r>
      <w:r>
        <w:rPr>
          <w:rFonts w:ascii="Times New Roman" w:hAnsi="Times New Roman" w:cs="Times New Roman"/>
          <w:sz w:val="24"/>
          <w:szCs w:val="24"/>
        </w:rPr>
        <w:t xml:space="preserve">, </w:t>
      </w:r>
      <w:r w:rsidRPr="0038630C">
        <w:rPr>
          <w:rFonts w:ascii="Times New Roman" w:hAnsi="Times New Roman" w:cs="Times New Roman"/>
          <w:sz w:val="24"/>
          <w:szCs w:val="24"/>
        </w:rPr>
        <w:t>SIA "Liepājas reģionālā slimnīca"</w:t>
      </w:r>
      <w:r>
        <w:rPr>
          <w:rFonts w:ascii="Times New Roman" w:hAnsi="Times New Roman" w:cs="Times New Roman"/>
          <w:sz w:val="24"/>
          <w:szCs w:val="24"/>
        </w:rPr>
        <w:t xml:space="preserve">, </w:t>
      </w:r>
      <w:r w:rsidRPr="0038630C">
        <w:rPr>
          <w:rFonts w:ascii="Times New Roman" w:hAnsi="Times New Roman" w:cs="Times New Roman"/>
          <w:sz w:val="24"/>
          <w:szCs w:val="24"/>
        </w:rPr>
        <w:t>SIA "Jelgavas pilsētas slimnīca"</w:t>
      </w:r>
      <w:r>
        <w:rPr>
          <w:rFonts w:ascii="Times New Roman" w:hAnsi="Times New Roman" w:cs="Times New Roman"/>
          <w:sz w:val="24"/>
          <w:szCs w:val="24"/>
        </w:rPr>
        <w:t>, S</w:t>
      </w:r>
      <w:r w:rsidRPr="0038630C">
        <w:rPr>
          <w:rFonts w:ascii="Times New Roman" w:hAnsi="Times New Roman" w:cs="Times New Roman"/>
          <w:sz w:val="24"/>
          <w:szCs w:val="24"/>
        </w:rPr>
        <w:t>IA "Kuldīgas slimnīca"</w:t>
      </w:r>
      <w:r>
        <w:rPr>
          <w:rFonts w:ascii="Times New Roman" w:hAnsi="Times New Roman" w:cs="Times New Roman"/>
          <w:sz w:val="24"/>
          <w:szCs w:val="24"/>
        </w:rPr>
        <w:t xml:space="preserve">) nav </w:t>
      </w:r>
      <w:r w:rsidRPr="00050E07">
        <w:rPr>
          <w:rFonts w:ascii="Times New Roman" w:hAnsi="Times New Roman" w:cs="Times New Roman"/>
          <w:sz w:val="24"/>
          <w:szCs w:val="24"/>
        </w:rPr>
        <w:t xml:space="preserve">parakstījuši </w:t>
      </w:r>
      <w:r w:rsidR="00050E07" w:rsidRPr="00050E07">
        <w:rPr>
          <w:rFonts w:ascii="Times New Roman" w:eastAsia="Calibri" w:hAnsi="Times New Roman" w:cs="Times New Roman"/>
          <w:sz w:val="24"/>
          <w:szCs w:val="24"/>
        </w:rPr>
        <w:t>finanšu piedāvājuma un līguma</w:t>
      </w:r>
      <w:r w:rsidRPr="00050E07">
        <w:rPr>
          <w:rFonts w:ascii="Times New Roman" w:hAnsi="Times New Roman" w:cs="Times New Roman"/>
          <w:sz w:val="24"/>
          <w:szCs w:val="24"/>
        </w:rPr>
        <w:t xml:space="preserve"> projektus, bet ir norādījuši, ka vēlas slēgt divus</w:t>
      </w:r>
      <w:r>
        <w:rPr>
          <w:rFonts w:ascii="Times New Roman" w:hAnsi="Times New Roman" w:cs="Times New Roman"/>
          <w:sz w:val="24"/>
          <w:szCs w:val="24"/>
        </w:rPr>
        <w:t xml:space="preserve"> līgumus, nodalot līgumu par stacionāro veselības aprūpes pakalpojumu sniegšanu un apmaksu no līguma par sekundāro ambulatoro veselības aprūpes pakalpojumu sniegšanu un apmaksu. </w:t>
      </w:r>
    </w:p>
    <w:p w:rsidR="0038630C" w:rsidRDefault="002A7F98" w:rsidP="00977C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2A7F98">
        <w:rPr>
          <w:rFonts w:ascii="Times New Roman" w:hAnsi="Times New Roman" w:cs="Times New Roman"/>
          <w:sz w:val="24"/>
          <w:szCs w:val="24"/>
        </w:rPr>
        <w:t>īguma projektus par  stacionāro un sekundāro ambulatoro veselības aprūpes pakalpojumu sniegšanu un apmaksu</w:t>
      </w:r>
      <w:r>
        <w:rPr>
          <w:rFonts w:ascii="Times New Roman" w:hAnsi="Times New Roman" w:cs="Times New Roman"/>
          <w:sz w:val="24"/>
          <w:szCs w:val="24"/>
        </w:rPr>
        <w:t xml:space="preserve"> uz 2012.gada 17.februāri nav parakstījuš</w:t>
      </w:r>
      <w:r w:rsidR="00B72BFD">
        <w:rPr>
          <w:rFonts w:ascii="Times New Roman" w:hAnsi="Times New Roman" w:cs="Times New Roman"/>
          <w:sz w:val="24"/>
          <w:szCs w:val="24"/>
        </w:rPr>
        <w:t>i</w:t>
      </w:r>
      <w:r>
        <w:rPr>
          <w:rFonts w:ascii="Times New Roman" w:hAnsi="Times New Roman" w:cs="Times New Roman"/>
          <w:sz w:val="24"/>
          <w:szCs w:val="24"/>
        </w:rPr>
        <w:t xml:space="preserve"> sekojoši veselības aprūpes pakalpojumu sniedzēji </w:t>
      </w:r>
      <w:r w:rsidR="00977C66">
        <w:rPr>
          <w:rFonts w:ascii="Times New Roman" w:hAnsi="Times New Roman" w:cs="Times New Roman"/>
          <w:sz w:val="24"/>
          <w:szCs w:val="24"/>
        </w:rPr>
        <w:t>(tajā skaitā seši augstāk minētie, kas vēlas nodalīt līgumus)</w:t>
      </w:r>
      <w:r w:rsidR="009511A4">
        <w:rPr>
          <w:rFonts w:ascii="Times New Roman" w:hAnsi="Times New Roman" w:cs="Times New Roman"/>
          <w:sz w:val="24"/>
          <w:szCs w:val="24"/>
        </w:rPr>
        <w:t xml:space="preserve"> – </w:t>
      </w:r>
      <w:r w:rsidR="00977C66">
        <w:rPr>
          <w:rFonts w:ascii="Times New Roman" w:hAnsi="Times New Roman" w:cs="Times New Roman"/>
          <w:sz w:val="24"/>
          <w:szCs w:val="24"/>
        </w:rPr>
        <w:t xml:space="preserve">VSIA </w:t>
      </w:r>
      <w:r w:rsidR="00977C66" w:rsidRPr="00977C66">
        <w:rPr>
          <w:rFonts w:ascii="Times New Roman" w:hAnsi="Times New Roman" w:cs="Times New Roman"/>
          <w:sz w:val="24"/>
          <w:szCs w:val="24"/>
        </w:rPr>
        <w:t>"Bērnu klīniskā universitātes slimnīca"</w:t>
      </w:r>
      <w:r w:rsidR="00977C66">
        <w:rPr>
          <w:rFonts w:ascii="Times New Roman" w:hAnsi="Times New Roman" w:cs="Times New Roman"/>
          <w:sz w:val="24"/>
          <w:szCs w:val="24"/>
        </w:rPr>
        <w:t>, VSIA</w:t>
      </w:r>
      <w:r w:rsidR="00977C66" w:rsidRPr="00977C66">
        <w:rPr>
          <w:rFonts w:ascii="Times New Roman" w:hAnsi="Times New Roman" w:cs="Times New Roman"/>
          <w:sz w:val="24"/>
          <w:szCs w:val="24"/>
        </w:rPr>
        <w:t xml:space="preserve"> "Paula Stradiņa klīniskā universitātes slimnīca"</w:t>
      </w:r>
      <w:r w:rsidR="00977C66">
        <w:rPr>
          <w:rFonts w:ascii="Times New Roman" w:hAnsi="Times New Roman" w:cs="Times New Roman"/>
          <w:sz w:val="24"/>
          <w:szCs w:val="24"/>
        </w:rPr>
        <w:t xml:space="preserve">, SIA </w:t>
      </w:r>
      <w:r w:rsidR="00977C66" w:rsidRPr="00977C66">
        <w:rPr>
          <w:rFonts w:ascii="Times New Roman" w:hAnsi="Times New Roman" w:cs="Times New Roman"/>
          <w:sz w:val="24"/>
          <w:szCs w:val="24"/>
        </w:rPr>
        <w:t>"Ogres rajona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"Kuldīgas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"Liepājas reģionālā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w:t>
      </w:r>
      <w:proofErr w:type="spellStart"/>
      <w:r w:rsidR="00977C66" w:rsidRPr="00977C66">
        <w:rPr>
          <w:rFonts w:ascii="Times New Roman" w:hAnsi="Times New Roman" w:cs="Times New Roman"/>
          <w:sz w:val="24"/>
          <w:szCs w:val="24"/>
        </w:rPr>
        <w:t>Ziemeļkurzemes</w:t>
      </w:r>
      <w:proofErr w:type="spellEnd"/>
      <w:r w:rsidR="00977C66" w:rsidRPr="00977C66">
        <w:rPr>
          <w:rFonts w:ascii="Times New Roman" w:hAnsi="Times New Roman" w:cs="Times New Roman"/>
          <w:sz w:val="24"/>
          <w:szCs w:val="24"/>
        </w:rPr>
        <w:t xml:space="preserve"> reģionālā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"Daugavpils reģionālā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"Krāslavas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"Balvu un Gulbenes slimnīcu apvienība"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 "Cēsu klīnika"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Madonas novada pašvaldības sabiedrība ar ierobežotu atbildību "Madonas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"Vidzemes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"Dobeles un apkārtnes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"Jelgavas pilsētas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"Jēkabpils reģionālā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"Aizkraukles slimnīca"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"Ludzas rajona slimnīca"</w:t>
      </w:r>
      <w:r w:rsidR="00977C66">
        <w:rPr>
          <w:rFonts w:ascii="Times New Roman" w:hAnsi="Times New Roman" w:cs="Times New Roman"/>
          <w:sz w:val="24"/>
          <w:szCs w:val="24"/>
        </w:rPr>
        <w:t>, V</w:t>
      </w:r>
      <w:r w:rsidR="00977C66" w:rsidRPr="00977C66">
        <w:rPr>
          <w:rFonts w:ascii="Times New Roman" w:hAnsi="Times New Roman" w:cs="Times New Roman"/>
          <w:sz w:val="24"/>
          <w:szCs w:val="24"/>
        </w:rPr>
        <w:t>SIA</w:t>
      </w:r>
      <w:r w:rsidR="00977C66">
        <w:rPr>
          <w:rFonts w:ascii="Times New Roman" w:hAnsi="Times New Roman" w:cs="Times New Roman"/>
          <w:sz w:val="24"/>
          <w:szCs w:val="24"/>
        </w:rPr>
        <w:t xml:space="preserve"> </w:t>
      </w:r>
      <w:r w:rsidR="00977C66" w:rsidRPr="00977C66">
        <w:rPr>
          <w:rFonts w:ascii="Times New Roman" w:hAnsi="Times New Roman" w:cs="Times New Roman"/>
          <w:sz w:val="24"/>
          <w:szCs w:val="24"/>
        </w:rPr>
        <w:t>"Bērnu psihon</w:t>
      </w:r>
      <w:r w:rsidR="00977C66">
        <w:rPr>
          <w:rFonts w:ascii="Times New Roman" w:hAnsi="Times New Roman" w:cs="Times New Roman"/>
          <w:sz w:val="24"/>
          <w:szCs w:val="24"/>
        </w:rPr>
        <w:t xml:space="preserve">eiroloģiskā slimnīca "Ainaži"", </w:t>
      </w:r>
      <w:r w:rsidR="00977C66" w:rsidRPr="00977C66">
        <w:rPr>
          <w:rFonts w:ascii="Times New Roman" w:hAnsi="Times New Roman" w:cs="Times New Roman"/>
          <w:sz w:val="24"/>
          <w:szCs w:val="24"/>
        </w:rPr>
        <w:t>Rīgas pašvaldības sabiedrība ar ierobežotu atbildību "Rīgas Dzemdību nams".</w:t>
      </w:r>
    </w:p>
    <w:p w:rsidR="007D0AF2" w:rsidRPr="00206004" w:rsidRDefault="007D0AF2" w:rsidP="007D0AF2">
      <w:pPr>
        <w:spacing w:after="0" w:line="240" w:lineRule="auto"/>
        <w:ind w:firstLine="720"/>
        <w:jc w:val="both"/>
        <w:rPr>
          <w:rFonts w:ascii="Times New Roman" w:hAnsi="Times New Roman"/>
          <w:sz w:val="24"/>
          <w:szCs w:val="24"/>
        </w:rPr>
      </w:pPr>
      <w:r w:rsidRPr="00050E07">
        <w:rPr>
          <w:rFonts w:ascii="Times New Roman" w:hAnsi="Times New Roman" w:cs="Times New Roman"/>
          <w:sz w:val="24"/>
          <w:szCs w:val="24"/>
        </w:rPr>
        <w:t>Skaidri definēta apjoma un skaidram mērķim – terapeitiskā tarifa sabalansēšanai – papildus līdzekļu novirzīšana būtu risinājums konkrētajai problē</w:t>
      </w:r>
      <w:r w:rsidR="00A81E43" w:rsidRPr="00050E07">
        <w:rPr>
          <w:rFonts w:ascii="Times New Roman" w:hAnsi="Times New Roman" w:cs="Times New Roman"/>
          <w:sz w:val="24"/>
          <w:szCs w:val="24"/>
        </w:rPr>
        <w:t>mai. Veselības ministrija 2012.</w:t>
      </w:r>
      <w:r w:rsidRPr="00050E07">
        <w:rPr>
          <w:rFonts w:ascii="Times New Roman" w:hAnsi="Times New Roman" w:cs="Times New Roman"/>
          <w:sz w:val="24"/>
          <w:szCs w:val="24"/>
        </w:rPr>
        <w:t xml:space="preserve">gadā ir uzsākusi virkni aktivitāšu līdzekļu optimālai izmantošanai, piemēram, </w:t>
      </w:r>
      <w:proofErr w:type="spellStart"/>
      <w:r w:rsidRPr="00050E07">
        <w:rPr>
          <w:rFonts w:ascii="Times New Roman" w:hAnsi="Times New Roman" w:cs="Times New Roman"/>
          <w:sz w:val="24"/>
          <w:szCs w:val="24"/>
        </w:rPr>
        <w:t>invazīvās</w:t>
      </w:r>
      <w:proofErr w:type="spellEnd"/>
      <w:r w:rsidRPr="00050E07">
        <w:rPr>
          <w:rFonts w:ascii="Times New Roman" w:hAnsi="Times New Roman" w:cs="Times New Roman"/>
          <w:sz w:val="24"/>
          <w:szCs w:val="24"/>
        </w:rPr>
        <w:t xml:space="preserve"> kardioloģijas manipulāciju indikāciju skaidra definēšana, zāļu kompensācijas sistēmas pilnveide ar mērķi iegūt papildus līdzekļus, </w:t>
      </w:r>
      <w:r w:rsidR="00050E07" w:rsidRPr="00050E07">
        <w:rPr>
          <w:rFonts w:ascii="Times New Roman" w:eastAsia="Calibri" w:hAnsi="Times New Roman" w:cs="Times New Roman"/>
          <w:sz w:val="24"/>
          <w:szCs w:val="24"/>
        </w:rPr>
        <w:t>turpinās darbs</w:t>
      </w:r>
      <w:r w:rsidR="00050E07" w:rsidRPr="00050E07">
        <w:rPr>
          <w:rFonts w:ascii="Times New Roman" w:hAnsi="Times New Roman" w:cs="Times New Roman"/>
          <w:sz w:val="24"/>
          <w:szCs w:val="24"/>
        </w:rPr>
        <w:t xml:space="preserve"> </w:t>
      </w:r>
      <w:r w:rsidRPr="00050E07">
        <w:rPr>
          <w:rFonts w:ascii="Times New Roman" w:hAnsi="Times New Roman" w:cs="Times New Roman"/>
          <w:sz w:val="24"/>
          <w:szCs w:val="24"/>
        </w:rPr>
        <w:t>pie metodikas slimnīcu faktisko izmaksu uzskaitei,</w:t>
      </w:r>
      <w:r w:rsidRPr="00206004">
        <w:rPr>
          <w:rFonts w:ascii="Times New Roman" w:hAnsi="Times New Roman"/>
          <w:sz w:val="24"/>
          <w:szCs w:val="24"/>
        </w:rPr>
        <w:t xml:space="preserve"> uzsākta diagnozei piesaistīto gru</w:t>
      </w:r>
      <w:r>
        <w:rPr>
          <w:rFonts w:ascii="Times New Roman" w:hAnsi="Times New Roman"/>
          <w:sz w:val="24"/>
          <w:szCs w:val="24"/>
        </w:rPr>
        <w:t>pu apmaksas modeļa ieviešana, pā</w:t>
      </w:r>
      <w:r w:rsidRPr="00206004">
        <w:rPr>
          <w:rFonts w:ascii="Times New Roman" w:hAnsi="Times New Roman"/>
          <w:sz w:val="24"/>
          <w:szCs w:val="24"/>
        </w:rPr>
        <w:t xml:space="preserve">rņemot ziemeļvalstu pieredzi, uzsākta neatliekamo stāvokļu precīzu definīciju izstrāde, lai mazinātu iespējami nepamatotu pacientu hospitalizāciju. Minētie pasākumi ilgtermiņā uzlabos situāciju, taču konkrētajā situācijā jāmeklē neatliekami risinājumi iedzīvotāju veselības aprūpes nodrošināšanai. </w:t>
      </w:r>
    </w:p>
    <w:p w:rsidR="00C527B7" w:rsidRDefault="007D0AF2" w:rsidP="009644A0">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Izvērtējot slimnīcu iesniegto informāciju par slimnīcu izmaksām ārstējot terapeitiskos </w:t>
      </w:r>
      <w:r w:rsidRPr="00E6799E">
        <w:rPr>
          <w:rFonts w:ascii="Times New Roman" w:hAnsi="Times New Roman" w:cs="Times New Roman"/>
          <w:sz w:val="24"/>
          <w:szCs w:val="24"/>
        </w:rPr>
        <w:t xml:space="preserve">pacientus, </w:t>
      </w:r>
      <w:r w:rsidR="00372322" w:rsidRPr="00E6799E">
        <w:rPr>
          <w:rFonts w:ascii="Times New Roman" w:hAnsi="Times New Roman" w:cs="Times New Roman"/>
          <w:sz w:val="24"/>
          <w:szCs w:val="24"/>
        </w:rPr>
        <w:t>var secināt</w:t>
      </w:r>
      <w:r w:rsidRPr="00E6799E">
        <w:rPr>
          <w:rFonts w:ascii="Times New Roman" w:hAnsi="Times New Roman" w:cs="Times New Roman"/>
          <w:sz w:val="24"/>
          <w:szCs w:val="24"/>
        </w:rPr>
        <w:t>, ka terapeitiskais tarifs 115,6 latu apmērā nesedz izmaksas un slimnīcas nevar nodrošināt pacientiem nepieciešamo aprūpi</w:t>
      </w:r>
      <w:r w:rsidR="00372322" w:rsidRPr="00E6799E">
        <w:rPr>
          <w:rFonts w:ascii="Times New Roman" w:hAnsi="Times New Roman" w:cs="Times New Roman"/>
          <w:sz w:val="24"/>
          <w:szCs w:val="24"/>
        </w:rPr>
        <w:t>. Terapeitiskais tarifs ir attiecināts</w:t>
      </w:r>
      <w:r w:rsidRPr="00E6799E">
        <w:rPr>
          <w:rFonts w:ascii="Times New Roman" w:hAnsi="Times New Roman" w:cs="Times New Roman"/>
          <w:sz w:val="24"/>
          <w:szCs w:val="24"/>
        </w:rPr>
        <w:t xml:space="preserve"> </w:t>
      </w:r>
      <w:r w:rsidR="00372322" w:rsidRPr="00E6799E">
        <w:rPr>
          <w:rFonts w:ascii="Times New Roman" w:hAnsi="Times New Roman" w:cs="Times New Roman"/>
          <w:sz w:val="24"/>
          <w:szCs w:val="24"/>
        </w:rPr>
        <w:t>uz ļoti atšķirīgu</w:t>
      </w:r>
      <w:r w:rsidRPr="00E6799E">
        <w:rPr>
          <w:rFonts w:ascii="Times New Roman" w:hAnsi="Times New Roman" w:cs="Times New Roman"/>
          <w:sz w:val="24"/>
          <w:szCs w:val="24"/>
        </w:rPr>
        <w:t xml:space="preserve"> diagno</w:t>
      </w:r>
      <w:r w:rsidR="00372322" w:rsidRPr="00E6799E">
        <w:rPr>
          <w:rFonts w:ascii="Times New Roman" w:hAnsi="Times New Roman" w:cs="Times New Roman"/>
          <w:sz w:val="24"/>
          <w:szCs w:val="24"/>
        </w:rPr>
        <w:t>žu ārstēšanu</w:t>
      </w:r>
      <w:r w:rsidR="00E6799E" w:rsidRPr="00E6799E">
        <w:rPr>
          <w:rFonts w:ascii="Times New Roman" w:eastAsia="Calibri" w:hAnsi="Times New Roman" w:cs="Times New Roman"/>
          <w:sz w:val="24"/>
          <w:szCs w:val="24"/>
        </w:rPr>
        <w:t>, kur tikai pati izplatītākā diagnoze veido 4,3% no visiem gadījumiem</w:t>
      </w:r>
      <w:r w:rsidR="00E6799E" w:rsidRPr="00E6799E">
        <w:rPr>
          <w:rFonts w:ascii="Times New Roman" w:hAnsi="Times New Roman" w:cs="Times New Roman"/>
          <w:sz w:val="24"/>
          <w:szCs w:val="24"/>
        </w:rPr>
        <w:t xml:space="preserve"> </w:t>
      </w:r>
      <w:r w:rsidR="00372322" w:rsidRPr="00E6799E">
        <w:rPr>
          <w:rFonts w:ascii="Times New Roman" w:hAnsi="Times New Roman" w:cs="Times New Roman"/>
          <w:sz w:val="24"/>
          <w:szCs w:val="24"/>
        </w:rPr>
        <w:t>(skatīt 1.tabulu)</w:t>
      </w:r>
      <w:r w:rsidRPr="00E6799E">
        <w:rPr>
          <w:rFonts w:ascii="Times New Roman" w:hAnsi="Times New Roman" w:cs="Times New Roman"/>
          <w:sz w:val="24"/>
          <w:szCs w:val="24"/>
        </w:rPr>
        <w:t xml:space="preserve">, </w:t>
      </w:r>
      <w:r w:rsidR="00E6799E" w:rsidRPr="00E6799E">
        <w:rPr>
          <w:rFonts w:ascii="Times New Roman" w:eastAsia="Calibri" w:hAnsi="Times New Roman" w:cs="Times New Roman"/>
          <w:sz w:val="24"/>
          <w:szCs w:val="24"/>
        </w:rPr>
        <w:t>un arī konkrētas izmaksas plaši variē.</w:t>
      </w:r>
    </w:p>
    <w:p w:rsidR="009644A0" w:rsidRDefault="009644A0" w:rsidP="009644A0">
      <w:pPr>
        <w:spacing w:after="0" w:line="240" w:lineRule="auto"/>
        <w:ind w:firstLine="720"/>
        <w:jc w:val="both"/>
        <w:rPr>
          <w:rFonts w:ascii="Times New Roman" w:eastAsia="Calibri" w:hAnsi="Times New Roman" w:cs="Times New Roman"/>
          <w:sz w:val="24"/>
          <w:szCs w:val="24"/>
        </w:rPr>
        <w:sectPr w:rsidR="009644A0" w:rsidSect="00622BD0">
          <w:headerReference w:type="default" r:id="rId9"/>
          <w:footerReference w:type="default" r:id="rId10"/>
          <w:headerReference w:type="first" r:id="rId11"/>
          <w:footerReference w:type="first" r:id="rId12"/>
          <w:pgSz w:w="11906" w:h="16838"/>
          <w:pgMar w:top="1440" w:right="1133" w:bottom="1440" w:left="1276" w:header="708" w:footer="708" w:gutter="0"/>
          <w:cols w:space="708"/>
          <w:titlePg/>
          <w:docGrid w:linePitch="360"/>
        </w:sectPr>
      </w:pPr>
    </w:p>
    <w:p w:rsidR="009511A4" w:rsidRDefault="009511A4" w:rsidP="00977C66">
      <w:pPr>
        <w:spacing w:after="0" w:line="240" w:lineRule="auto"/>
        <w:ind w:firstLine="720"/>
        <w:jc w:val="both"/>
        <w:rPr>
          <w:rFonts w:ascii="Times New Roman" w:eastAsia="Calibri" w:hAnsi="Times New Roman" w:cs="Times New Roman"/>
          <w:sz w:val="24"/>
          <w:szCs w:val="24"/>
        </w:rPr>
      </w:pPr>
    </w:p>
    <w:p w:rsidR="00323CD0" w:rsidRPr="00E6799E" w:rsidRDefault="00323CD0" w:rsidP="00977C66">
      <w:pPr>
        <w:spacing w:after="0" w:line="240" w:lineRule="auto"/>
        <w:ind w:firstLine="720"/>
        <w:jc w:val="both"/>
        <w:rPr>
          <w:rFonts w:ascii="Times New Roman" w:hAnsi="Times New Roman" w:cs="Times New Roman"/>
          <w:sz w:val="24"/>
          <w:szCs w:val="24"/>
        </w:rPr>
      </w:pPr>
    </w:p>
    <w:p w:rsidR="00323CD0" w:rsidRDefault="007D0AF2" w:rsidP="00323CD0">
      <w:pPr>
        <w:spacing w:after="0" w:line="240" w:lineRule="auto"/>
        <w:jc w:val="right"/>
        <w:rPr>
          <w:rFonts w:ascii="Times New Roman" w:hAnsi="Times New Roman" w:cs="Times New Roman"/>
          <w:i/>
          <w:sz w:val="24"/>
          <w:szCs w:val="24"/>
        </w:rPr>
      </w:pPr>
      <w:r w:rsidRPr="007D0AF2">
        <w:rPr>
          <w:rFonts w:ascii="Times New Roman" w:hAnsi="Times New Roman" w:cs="Times New Roman"/>
          <w:i/>
          <w:sz w:val="24"/>
          <w:szCs w:val="24"/>
        </w:rPr>
        <w:t xml:space="preserve">1.tabula. </w:t>
      </w:r>
    </w:p>
    <w:p w:rsidR="009511A4" w:rsidRPr="007D0AF2" w:rsidRDefault="007D0AF2" w:rsidP="00323CD0">
      <w:pPr>
        <w:spacing w:after="0" w:line="240" w:lineRule="auto"/>
        <w:jc w:val="center"/>
        <w:rPr>
          <w:rFonts w:ascii="Times New Roman" w:hAnsi="Times New Roman" w:cs="Times New Roman"/>
          <w:i/>
          <w:sz w:val="24"/>
          <w:szCs w:val="24"/>
        </w:rPr>
      </w:pPr>
      <w:r w:rsidRPr="00323CD0">
        <w:rPr>
          <w:rFonts w:ascii="Times New Roman" w:hAnsi="Times New Roman" w:cs="Times New Roman"/>
          <w:b/>
          <w:i/>
          <w:sz w:val="24"/>
          <w:szCs w:val="24"/>
        </w:rPr>
        <w:t>Terapijas pacientu sadalījums pa  raksturīgākajām diagno</w:t>
      </w:r>
      <w:r w:rsidR="009D6F72">
        <w:rPr>
          <w:rFonts w:ascii="Times New Roman" w:hAnsi="Times New Roman" w:cs="Times New Roman"/>
          <w:b/>
          <w:i/>
          <w:sz w:val="24"/>
          <w:szCs w:val="24"/>
        </w:rPr>
        <w:t>zēm</w:t>
      </w:r>
      <w:r w:rsidRPr="00323CD0">
        <w:rPr>
          <w:rFonts w:ascii="Times New Roman" w:hAnsi="Times New Roman" w:cs="Times New Roman"/>
          <w:b/>
          <w:i/>
          <w:sz w:val="24"/>
          <w:szCs w:val="24"/>
        </w:rPr>
        <w:t>.</w:t>
      </w:r>
    </w:p>
    <w:tbl>
      <w:tblPr>
        <w:tblW w:w="5000" w:type="pct"/>
        <w:tblLook w:val="04A0"/>
      </w:tblPr>
      <w:tblGrid>
        <w:gridCol w:w="790"/>
        <w:gridCol w:w="1441"/>
        <w:gridCol w:w="767"/>
        <w:gridCol w:w="767"/>
        <w:gridCol w:w="767"/>
        <w:gridCol w:w="687"/>
        <w:gridCol w:w="766"/>
        <w:gridCol w:w="766"/>
        <w:gridCol w:w="766"/>
        <w:gridCol w:w="687"/>
        <w:gridCol w:w="766"/>
        <w:gridCol w:w="766"/>
        <w:gridCol w:w="766"/>
        <w:gridCol w:w="687"/>
        <w:gridCol w:w="766"/>
        <w:gridCol w:w="766"/>
        <w:gridCol w:w="766"/>
        <w:gridCol w:w="687"/>
      </w:tblGrid>
      <w:tr w:rsidR="00FD0790" w:rsidRPr="006A6421" w:rsidTr="00FD0790">
        <w:trPr>
          <w:trHeight w:val="300"/>
        </w:trPr>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Diagnozes kods</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Diagnozes nosaukums</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Vidēji</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Universitātes slimnīcas</w:t>
            </w:r>
          </w:p>
        </w:tc>
        <w:tc>
          <w:tcPr>
            <w:tcW w:w="1069" w:type="pct"/>
            <w:gridSpan w:val="4"/>
            <w:tcBorders>
              <w:top w:val="single" w:sz="4" w:space="0" w:color="auto"/>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Reģionālās daudzprofilu slimnīcas</w:t>
            </w:r>
          </w:p>
        </w:tc>
        <w:tc>
          <w:tcPr>
            <w:tcW w:w="1069" w:type="pct"/>
            <w:gridSpan w:val="4"/>
            <w:tcBorders>
              <w:top w:val="single" w:sz="4" w:space="0" w:color="auto"/>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Lokālās daudzprofilu slimnīcas</w:t>
            </w:r>
          </w:p>
        </w:tc>
      </w:tr>
      <w:tr w:rsidR="00FD0790" w:rsidRPr="006A6421" w:rsidTr="00FD0790">
        <w:trPr>
          <w:trHeight w:val="1740"/>
        </w:trPr>
        <w:tc>
          <w:tcPr>
            <w:tcW w:w="210" w:type="pct"/>
            <w:vMerge/>
            <w:tcBorders>
              <w:top w:val="single" w:sz="4" w:space="0" w:color="auto"/>
              <w:left w:val="single" w:sz="4" w:space="0" w:color="auto"/>
              <w:bottom w:val="single" w:sz="4" w:space="0" w:color="auto"/>
              <w:right w:val="single" w:sz="4" w:space="0" w:color="auto"/>
            </w:tcBorders>
            <w:vAlign w:val="center"/>
            <w:hideMark/>
          </w:tcPr>
          <w:p w:rsidR="00FD0790" w:rsidRPr="006A6421" w:rsidRDefault="00FD0790" w:rsidP="00FD0790">
            <w:pPr>
              <w:spacing w:after="0" w:line="240" w:lineRule="auto"/>
              <w:rPr>
                <w:rFonts w:ascii="Times New Roman" w:eastAsia="Times New Roman" w:hAnsi="Times New Roman" w:cs="Times New Roman"/>
                <w:bCs/>
                <w:sz w:val="16"/>
                <w:szCs w:val="16"/>
                <w:lang w:eastAsia="lv-LV"/>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FD0790" w:rsidRPr="006A6421" w:rsidRDefault="00FD0790" w:rsidP="00FD0790">
            <w:pPr>
              <w:spacing w:after="0" w:line="240" w:lineRule="auto"/>
              <w:rPr>
                <w:rFonts w:ascii="Times New Roman" w:eastAsia="Times New Roman" w:hAnsi="Times New Roman" w:cs="Times New Roman"/>
                <w:bCs/>
                <w:sz w:val="16"/>
                <w:szCs w:val="16"/>
                <w:lang w:eastAsia="lv-LV"/>
              </w:rPr>
            </w:pPr>
          </w:p>
        </w:tc>
        <w:tc>
          <w:tcPr>
            <w:tcW w:w="27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 xml:space="preserve">Vidējais ārstēšanas ilgums, </w:t>
            </w:r>
            <w:r w:rsidRPr="006A6421">
              <w:rPr>
                <w:rFonts w:ascii="Times New Roman" w:eastAsia="Times New Roman" w:hAnsi="Times New Roman" w:cs="Times New Roman"/>
                <w:sz w:val="16"/>
                <w:szCs w:val="16"/>
                <w:lang w:eastAsia="lv-LV"/>
              </w:rPr>
              <w:t>dienās</w:t>
            </w:r>
          </w:p>
        </w:tc>
        <w:tc>
          <w:tcPr>
            <w:tcW w:w="27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w:t>
            </w:r>
            <w:r w:rsidRPr="006A6421">
              <w:rPr>
                <w:rFonts w:ascii="Times New Roman" w:eastAsia="Times New Roman" w:hAnsi="Times New Roman" w:cs="Times New Roman"/>
                <w:sz w:val="16"/>
                <w:szCs w:val="16"/>
                <w:lang w:eastAsia="lv-LV"/>
              </w:rPr>
              <w:t xml:space="preserve"> Ls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 dienā, Ls</w:t>
            </w:r>
          </w:p>
        </w:tc>
        <w:tc>
          <w:tcPr>
            <w:tcW w:w="246"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Pacienti</w:t>
            </w:r>
            <w:r w:rsidRPr="006A6421">
              <w:rPr>
                <w:rFonts w:ascii="Times New Roman" w:eastAsia="Times New Roman" w:hAnsi="Times New Roman" w:cs="Times New Roman"/>
                <w:sz w:val="16"/>
                <w:szCs w:val="16"/>
                <w:lang w:eastAsia="lv-LV"/>
              </w:rPr>
              <w:t>, %</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 xml:space="preserve">Vidējais ārstēšanas ilgums, </w:t>
            </w:r>
            <w:r w:rsidRPr="006A6421">
              <w:rPr>
                <w:rFonts w:ascii="Times New Roman" w:eastAsia="Times New Roman" w:hAnsi="Times New Roman" w:cs="Times New Roman"/>
                <w:sz w:val="16"/>
                <w:szCs w:val="16"/>
                <w:lang w:eastAsia="lv-LV"/>
              </w:rPr>
              <w:t>dienās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w:t>
            </w:r>
            <w:r w:rsidRPr="006A6421">
              <w:rPr>
                <w:rFonts w:ascii="Times New Roman" w:eastAsia="Times New Roman" w:hAnsi="Times New Roman" w:cs="Times New Roman"/>
                <w:sz w:val="16"/>
                <w:szCs w:val="16"/>
                <w:lang w:eastAsia="lv-LV"/>
              </w:rPr>
              <w:t xml:space="preserve"> Ls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 dienā, Ls</w:t>
            </w:r>
          </w:p>
        </w:tc>
        <w:tc>
          <w:tcPr>
            <w:tcW w:w="246"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Pacienti</w:t>
            </w:r>
            <w:r w:rsidRPr="006A6421">
              <w:rPr>
                <w:rFonts w:ascii="Times New Roman" w:eastAsia="Times New Roman" w:hAnsi="Times New Roman" w:cs="Times New Roman"/>
                <w:sz w:val="16"/>
                <w:szCs w:val="16"/>
                <w:lang w:eastAsia="lv-LV"/>
              </w:rPr>
              <w:t>, %</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 xml:space="preserve">Vidējais ārstēšanas ilgums, </w:t>
            </w:r>
            <w:r w:rsidRPr="006A6421">
              <w:rPr>
                <w:rFonts w:ascii="Times New Roman" w:eastAsia="Times New Roman" w:hAnsi="Times New Roman" w:cs="Times New Roman"/>
                <w:sz w:val="16"/>
                <w:szCs w:val="16"/>
                <w:lang w:eastAsia="lv-LV"/>
              </w:rPr>
              <w:t>dienās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w:t>
            </w:r>
            <w:r w:rsidRPr="006A6421">
              <w:rPr>
                <w:rFonts w:ascii="Times New Roman" w:eastAsia="Times New Roman" w:hAnsi="Times New Roman" w:cs="Times New Roman"/>
                <w:sz w:val="16"/>
                <w:szCs w:val="16"/>
                <w:lang w:eastAsia="lv-LV"/>
              </w:rPr>
              <w:t xml:space="preserve"> Ls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 dienā, Ls</w:t>
            </w:r>
          </w:p>
        </w:tc>
        <w:tc>
          <w:tcPr>
            <w:tcW w:w="246"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Pacienti</w:t>
            </w:r>
            <w:r w:rsidRPr="006A6421">
              <w:rPr>
                <w:rFonts w:ascii="Times New Roman" w:eastAsia="Times New Roman" w:hAnsi="Times New Roman" w:cs="Times New Roman"/>
                <w:sz w:val="16"/>
                <w:szCs w:val="16"/>
                <w:lang w:eastAsia="lv-LV"/>
              </w:rPr>
              <w:t>, %</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 xml:space="preserve">Vidējais ārstēšanas ilgums, </w:t>
            </w:r>
            <w:r w:rsidRPr="006A6421">
              <w:rPr>
                <w:rFonts w:ascii="Times New Roman" w:eastAsia="Times New Roman" w:hAnsi="Times New Roman" w:cs="Times New Roman"/>
                <w:sz w:val="16"/>
                <w:szCs w:val="16"/>
                <w:lang w:eastAsia="lv-LV"/>
              </w:rPr>
              <w:t>dienās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w:t>
            </w:r>
            <w:r w:rsidRPr="006A6421">
              <w:rPr>
                <w:rFonts w:ascii="Times New Roman" w:eastAsia="Times New Roman" w:hAnsi="Times New Roman" w:cs="Times New Roman"/>
                <w:sz w:val="16"/>
                <w:szCs w:val="16"/>
                <w:lang w:eastAsia="lv-LV"/>
              </w:rPr>
              <w:t xml:space="preserve"> Ls</w:t>
            </w:r>
          </w:p>
        </w:tc>
        <w:tc>
          <w:tcPr>
            <w:tcW w:w="274"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Vidējās viena pacienta ārstēšanas izmaksas dienā, Ls</w:t>
            </w:r>
          </w:p>
        </w:tc>
        <w:tc>
          <w:tcPr>
            <w:tcW w:w="246"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jc w:val="center"/>
              <w:rPr>
                <w:rFonts w:ascii="Times New Roman" w:eastAsia="Times New Roman" w:hAnsi="Times New Roman" w:cs="Times New Roman"/>
                <w:bCs/>
                <w:sz w:val="16"/>
                <w:szCs w:val="16"/>
                <w:lang w:eastAsia="lv-LV"/>
              </w:rPr>
            </w:pPr>
            <w:r w:rsidRPr="006A6421">
              <w:rPr>
                <w:rFonts w:ascii="Times New Roman" w:eastAsia="Times New Roman" w:hAnsi="Times New Roman" w:cs="Times New Roman"/>
                <w:bCs/>
                <w:sz w:val="16"/>
                <w:szCs w:val="16"/>
                <w:lang w:eastAsia="lv-LV"/>
              </w:rPr>
              <w:t>Pacienti</w:t>
            </w:r>
            <w:r w:rsidRPr="006A6421">
              <w:rPr>
                <w:rFonts w:ascii="Times New Roman" w:eastAsia="Times New Roman" w:hAnsi="Times New Roman" w:cs="Times New Roman"/>
                <w:sz w:val="16"/>
                <w:szCs w:val="16"/>
                <w:lang w:eastAsia="lv-LV"/>
              </w:rPr>
              <w:t>, %</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I25</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Hroniska sirds </w:t>
            </w:r>
            <w:proofErr w:type="spellStart"/>
            <w:r w:rsidRPr="006A6421">
              <w:rPr>
                <w:rFonts w:ascii="Times New Roman" w:eastAsia="Times New Roman" w:hAnsi="Times New Roman" w:cs="Times New Roman"/>
                <w:sz w:val="20"/>
                <w:szCs w:val="20"/>
                <w:lang w:eastAsia="lv-LV"/>
              </w:rPr>
              <w:t>išēmiska</w:t>
            </w:r>
            <w:proofErr w:type="spellEnd"/>
            <w:r w:rsidRPr="006A6421">
              <w:rPr>
                <w:rFonts w:ascii="Times New Roman" w:eastAsia="Times New Roman" w:hAnsi="Times New Roman" w:cs="Times New Roman"/>
                <w:sz w:val="20"/>
                <w:szCs w:val="20"/>
                <w:lang w:eastAsia="lv-LV"/>
              </w:rPr>
              <w:t xml:space="preserve"> slimība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6.60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190.40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28.85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216.60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33.32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187.80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27.62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140.20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21.24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4.0%</w:t>
            </w:r>
          </w:p>
        </w:tc>
      </w:tr>
      <w:tr w:rsidR="00FD0790" w:rsidRPr="006A6421" w:rsidTr="00FD0790">
        <w:trPr>
          <w:trHeight w:val="6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J18</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Neprecizēta mikroorganisma ierosināta pneimonija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8.90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240.10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26.98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348.20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35.90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257.00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28.24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176.80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21.30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6.3%</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I10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proofErr w:type="spellStart"/>
            <w:r w:rsidRPr="006A6421">
              <w:rPr>
                <w:rFonts w:ascii="Times New Roman" w:eastAsia="Times New Roman" w:hAnsi="Times New Roman" w:cs="Times New Roman"/>
                <w:sz w:val="20"/>
                <w:szCs w:val="20"/>
                <w:lang w:eastAsia="lv-LV"/>
              </w:rPr>
              <w:t>Esenciāla</w:t>
            </w:r>
            <w:proofErr w:type="spellEnd"/>
            <w:r w:rsidRPr="006A6421">
              <w:rPr>
                <w:rFonts w:ascii="Times New Roman" w:eastAsia="Times New Roman" w:hAnsi="Times New Roman" w:cs="Times New Roman"/>
                <w:sz w:val="20"/>
                <w:szCs w:val="20"/>
                <w:lang w:eastAsia="lv-LV"/>
              </w:rPr>
              <w:t xml:space="preserve"> (primāra) hipertensija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5.70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167.80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29.44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3.6%</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204.90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33.59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4.8%</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153.40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27.89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108.00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21.60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I63</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Smadzeņu infarkts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9.00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279.70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31.08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351.60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38.64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3.8%</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262.30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28.82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196.40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22.84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w:t>
            </w:r>
          </w:p>
        </w:tc>
      </w:tr>
      <w:tr w:rsidR="00FD0790" w:rsidRPr="006A6421" w:rsidTr="00FD0790">
        <w:trPr>
          <w:trHeight w:val="6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G45</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Cerebrāla </w:t>
            </w:r>
            <w:proofErr w:type="spellStart"/>
            <w:r w:rsidRPr="006A6421">
              <w:rPr>
                <w:rFonts w:ascii="Times New Roman" w:eastAsia="Times New Roman" w:hAnsi="Times New Roman" w:cs="Times New Roman"/>
                <w:sz w:val="20"/>
                <w:szCs w:val="20"/>
                <w:lang w:eastAsia="lv-LV"/>
              </w:rPr>
              <w:t>transitoriska</w:t>
            </w:r>
            <w:proofErr w:type="spellEnd"/>
            <w:r w:rsidRPr="006A6421">
              <w:rPr>
                <w:rFonts w:ascii="Times New Roman" w:eastAsia="Times New Roman" w:hAnsi="Times New Roman" w:cs="Times New Roman"/>
                <w:sz w:val="20"/>
                <w:szCs w:val="20"/>
                <w:lang w:eastAsia="lv-LV"/>
              </w:rPr>
              <w:t xml:space="preserve"> </w:t>
            </w:r>
            <w:proofErr w:type="spellStart"/>
            <w:r w:rsidRPr="006A6421">
              <w:rPr>
                <w:rFonts w:ascii="Times New Roman" w:eastAsia="Times New Roman" w:hAnsi="Times New Roman" w:cs="Times New Roman"/>
                <w:sz w:val="20"/>
                <w:szCs w:val="20"/>
                <w:lang w:eastAsia="lv-LV"/>
              </w:rPr>
              <w:t>išēmiska</w:t>
            </w:r>
            <w:proofErr w:type="spellEnd"/>
            <w:r w:rsidRPr="006A6421">
              <w:rPr>
                <w:rFonts w:ascii="Times New Roman" w:eastAsia="Times New Roman" w:hAnsi="Times New Roman" w:cs="Times New Roman"/>
                <w:sz w:val="20"/>
                <w:szCs w:val="20"/>
                <w:lang w:eastAsia="lv-LV"/>
              </w:rPr>
              <w:t xml:space="preserve"> lēkme un radniecīgi sindromi</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6.10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182.30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29.89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282.60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40.37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189.30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29.58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3.6%</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125.40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23.22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5.0%</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I20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proofErr w:type="spellStart"/>
            <w:r w:rsidRPr="006A6421">
              <w:rPr>
                <w:rFonts w:ascii="Times New Roman" w:eastAsia="Times New Roman" w:hAnsi="Times New Roman" w:cs="Times New Roman"/>
                <w:sz w:val="20"/>
                <w:szCs w:val="20"/>
                <w:lang w:eastAsia="lv-LV"/>
              </w:rPr>
              <w:t>Angina</w:t>
            </w:r>
            <w:proofErr w:type="spellEnd"/>
            <w:r w:rsidRPr="006A6421">
              <w:rPr>
                <w:rFonts w:ascii="Times New Roman" w:eastAsia="Times New Roman" w:hAnsi="Times New Roman" w:cs="Times New Roman"/>
                <w:sz w:val="20"/>
                <w:szCs w:val="20"/>
                <w:lang w:eastAsia="lv-LV"/>
              </w:rPr>
              <w:t xml:space="preserve"> </w:t>
            </w:r>
            <w:proofErr w:type="spellStart"/>
            <w:r w:rsidRPr="006A6421">
              <w:rPr>
                <w:rFonts w:ascii="Times New Roman" w:eastAsia="Times New Roman" w:hAnsi="Times New Roman" w:cs="Times New Roman"/>
                <w:sz w:val="20"/>
                <w:szCs w:val="20"/>
                <w:lang w:eastAsia="lv-LV"/>
              </w:rPr>
              <w:t>pectoris</w:t>
            </w:r>
            <w:proofErr w:type="spellEnd"/>
            <w:r w:rsidRPr="006A6421">
              <w:rPr>
                <w:rFonts w:ascii="Times New Roman" w:eastAsia="Times New Roman" w:hAnsi="Times New Roman" w:cs="Times New Roman"/>
                <w:sz w:val="20"/>
                <w:szCs w:val="20"/>
                <w:lang w:eastAsia="lv-LV"/>
              </w:rPr>
              <w:t xml:space="preserve"> (stenokardija)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5.70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177.20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31.09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200.40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35.16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179.10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29.85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110.20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21.19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1.6%</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J20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Akūts bronhīts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5.90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157.20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26.64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198.20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29.15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171.30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29.03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128.40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22.14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S06</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Intrakraniāls ievainojums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5.60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191.80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34.25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328.30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45.60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176.40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30.95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108.90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26.56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M47</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proofErr w:type="spellStart"/>
            <w:r w:rsidRPr="006A6421">
              <w:rPr>
                <w:rFonts w:ascii="Times New Roman" w:eastAsia="Times New Roman" w:hAnsi="Times New Roman" w:cs="Times New Roman"/>
                <w:sz w:val="20"/>
                <w:szCs w:val="20"/>
                <w:lang w:eastAsia="lv-LV"/>
              </w:rPr>
              <w:t>Spondiloze</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6.80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195.90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28.81</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245.20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34.06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197.60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28.64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147.10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22.63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w:t>
            </w:r>
          </w:p>
        </w:tc>
      </w:tr>
      <w:tr w:rsidR="00FD0790" w:rsidRPr="006A6421" w:rsidTr="00FD0790">
        <w:trPr>
          <w:trHeight w:val="6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lastRenderedPageBreak/>
              <w:t>J06</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Akūta augšējo elpceļu infekcija ar multiplu un neprecizētu lokalizāciju</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4.00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108.00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27.00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195.00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31.45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118.70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28.95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82.00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22.78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A08</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Vīrusu un citas precizētas zarnu infekcijas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3.90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113.80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29.18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176.30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39.18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120.20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30.05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92.50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24.34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K59</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Citas funkcionālas zarnu slimības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87.50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30.17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132.10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32.22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86.70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29.90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57.90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25.17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K29</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Gastrīts un </w:t>
            </w:r>
            <w:proofErr w:type="spellStart"/>
            <w:r w:rsidRPr="006A6421">
              <w:rPr>
                <w:rFonts w:ascii="Times New Roman" w:eastAsia="Times New Roman" w:hAnsi="Times New Roman" w:cs="Times New Roman"/>
                <w:sz w:val="20"/>
                <w:szCs w:val="20"/>
                <w:lang w:eastAsia="lv-LV"/>
              </w:rPr>
              <w:t>duodenīts</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4.10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130.30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31.78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174.20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42.49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0.7%</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135.90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32.36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105.80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26.45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2.5%</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I67</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Citas </w:t>
            </w:r>
            <w:proofErr w:type="spellStart"/>
            <w:r w:rsidRPr="006A6421">
              <w:rPr>
                <w:rFonts w:ascii="Times New Roman" w:eastAsia="Times New Roman" w:hAnsi="Times New Roman" w:cs="Times New Roman"/>
                <w:sz w:val="20"/>
                <w:szCs w:val="20"/>
                <w:lang w:eastAsia="lv-LV"/>
              </w:rPr>
              <w:t>cerebrovaskulāras</w:t>
            </w:r>
            <w:proofErr w:type="spellEnd"/>
            <w:r w:rsidRPr="006A6421">
              <w:rPr>
                <w:rFonts w:ascii="Times New Roman" w:eastAsia="Times New Roman" w:hAnsi="Times New Roman" w:cs="Times New Roman"/>
                <w:sz w:val="20"/>
                <w:szCs w:val="20"/>
                <w:lang w:eastAsia="lv-LV"/>
              </w:rPr>
              <w:t xml:space="preserve"> slimības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7.10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226.70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31.93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1.6%</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260.80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34.77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191.50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28.58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140.80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23.08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0.8%</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I48</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Priekškambaru mirdzēšana un plandīšanās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4.50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124.30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27.62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151.80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34.50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128.50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27.93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1.6%</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94.50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21.00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K80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Žultsakmeņu slimība (</w:t>
            </w:r>
            <w:proofErr w:type="spellStart"/>
            <w:r w:rsidRPr="006A6421">
              <w:rPr>
                <w:rFonts w:ascii="Times New Roman" w:eastAsia="Times New Roman" w:hAnsi="Times New Roman" w:cs="Times New Roman"/>
                <w:sz w:val="20"/>
                <w:szCs w:val="20"/>
                <w:lang w:eastAsia="lv-LV"/>
              </w:rPr>
              <w:t>cholelithiasis</w:t>
            </w:r>
            <w:proofErr w:type="spellEnd"/>
            <w:r w:rsidRPr="006A6421">
              <w:rPr>
                <w:rFonts w:ascii="Times New Roman" w:eastAsia="Times New Roman" w:hAnsi="Times New Roman" w:cs="Times New Roman"/>
                <w:sz w:val="20"/>
                <w:szCs w:val="20"/>
                <w:lang w:eastAsia="lv-LV"/>
              </w:rPr>
              <w:t>)</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5.40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162.60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30.11</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176.40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33.28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174.00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30.00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129.70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25.94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I11</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Hipertensīva sirds slimība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5.40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170.10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31.50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200.10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37.06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148.60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26.54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116.00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22.75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I21</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Akūts miokarda infarkts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6.80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316.30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46.51</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359.00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47.87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345.10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52.29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208.80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32.12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J44</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Cita hroniska </w:t>
            </w:r>
            <w:proofErr w:type="spellStart"/>
            <w:r w:rsidRPr="006A6421">
              <w:rPr>
                <w:rFonts w:ascii="Times New Roman" w:eastAsia="Times New Roman" w:hAnsi="Times New Roman" w:cs="Times New Roman"/>
                <w:sz w:val="20"/>
                <w:szCs w:val="20"/>
                <w:lang w:eastAsia="lv-LV"/>
              </w:rPr>
              <w:t>obstruktīva</w:t>
            </w:r>
            <w:proofErr w:type="spellEnd"/>
            <w:r w:rsidRPr="006A6421">
              <w:rPr>
                <w:rFonts w:ascii="Times New Roman" w:eastAsia="Times New Roman" w:hAnsi="Times New Roman" w:cs="Times New Roman"/>
                <w:sz w:val="20"/>
                <w:szCs w:val="20"/>
                <w:lang w:eastAsia="lv-LV"/>
              </w:rPr>
              <w:t xml:space="preserve"> plaušu slimība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7.70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210.20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27.30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264.00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31.81</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210.40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26.63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146.30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20.90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I70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Ateroskleroze</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8.10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261.80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32.32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309.30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35.15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1.6%</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248.40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32.26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147.00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21.00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0.6%</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K85</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Akūts </w:t>
            </w:r>
            <w:proofErr w:type="spellStart"/>
            <w:r w:rsidRPr="006A6421">
              <w:rPr>
                <w:rFonts w:ascii="Times New Roman" w:eastAsia="Times New Roman" w:hAnsi="Times New Roman" w:cs="Times New Roman"/>
                <w:sz w:val="20"/>
                <w:szCs w:val="20"/>
                <w:lang w:eastAsia="lv-LV"/>
              </w:rPr>
              <w:t>pankreatīts</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6.50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223.60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34.40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246.30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36.22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225.90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33.22</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180.30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31.63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N20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Nieres un urīnvada akmens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4.10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152.10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37.10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180.10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46.18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142.80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32.45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125.30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32.97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0.7%</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O20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 xml:space="preserve">Asiņošana agrīnā </w:t>
            </w:r>
            <w:r w:rsidRPr="006A6421">
              <w:rPr>
                <w:rFonts w:ascii="Times New Roman" w:eastAsia="Times New Roman" w:hAnsi="Times New Roman" w:cs="Times New Roman"/>
                <w:sz w:val="20"/>
                <w:szCs w:val="20"/>
                <w:lang w:eastAsia="lv-LV"/>
              </w:rPr>
              <w:lastRenderedPageBreak/>
              <w:t>grūtniecības laikā</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lastRenderedPageBreak/>
              <w:t>6.00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140.20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23.37</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149.70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24.54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1.5%</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148.70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24.78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98.80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18.30</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0.8%</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lastRenderedPageBreak/>
              <w:t>I42</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Kardiomiopātija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7.40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213.40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28.84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7.30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245.60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33.64</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219.10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27.39</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0.7%</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6.90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146.00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21.16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G40</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Epilepsija</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4.20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142.00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33.81</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5.90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227.50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38.56</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116.30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32.31</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91.30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26.85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r>
      <w:tr w:rsidR="00FD0790" w:rsidRPr="006A6421" w:rsidTr="00FD0790">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O02</w:t>
            </w:r>
          </w:p>
        </w:tc>
        <w:tc>
          <w:tcPr>
            <w:tcW w:w="515" w:type="pct"/>
            <w:tcBorders>
              <w:top w:val="nil"/>
              <w:left w:val="nil"/>
              <w:bottom w:val="single" w:sz="4" w:space="0" w:color="auto"/>
              <w:right w:val="single" w:sz="4" w:space="0" w:color="auto"/>
            </w:tcBorders>
            <w:shd w:val="clear" w:color="auto" w:fill="auto"/>
            <w:vAlign w:val="center"/>
            <w:hideMark/>
          </w:tcPr>
          <w:p w:rsidR="00FD0790" w:rsidRPr="006A6421" w:rsidRDefault="00FD0790" w:rsidP="00FD0790">
            <w:pPr>
              <w:spacing w:after="0" w:line="240" w:lineRule="auto"/>
              <w:rPr>
                <w:rFonts w:ascii="Times New Roman" w:eastAsia="Times New Roman" w:hAnsi="Times New Roman" w:cs="Times New Roman"/>
                <w:sz w:val="20"/>
                <w:szCs w:val="20"/>
                <w:lang w:eastAsia="lv-LV"/>
              </w:rPr>
            </w:pPr>
            <w:r w:rsidRPr="006A6421">
              <w:rPr>
                <w:rFonts w:ascii="Times New Roman" w:eastAsia="Times New Roman" w:hAnsi="Times New Roman" w:cs="Times New Roman"/>
                <w:sz w:val="20"/>
                <w:szCs w:val="20"/>
                <w:lang w:eastAsia="lv-LV"/>
              </w:rPr>
              <w:t>Cita patoloģiska apaugļošanās</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3.20</w:t>
            </w:r>
          </w:p>
        </w:tc>
        <w:tc>
          <w:tcPr>
            <w:tcW w:w="275"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117.60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36.75</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116.50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38.83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1.2%</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137.10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34.28</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2.40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85.50</w:t>
            </w:r>
          </w:p>
        </w:tc>
        <w:tc>
          <w:tcPr>
            <w:tcW w:w="274"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35.63</w:t>
            </w:r>
          </w:p>
        </w:tc>
        <w:tc>
          <w:tcPr>
            <w:tcW w:w="246" w:type="pct"/>
            <w:tcBorders>
              <w:top w:val="nil"/>
              <w:left w:val="nil"/>
              <w:bottom w:val="single" w:sz="4" w:space="0" w:color="auto"/>
              <w:right w:val="single" w:sz="4" w:space="0" w:color="auto"/>
            </w:tcBorders>
            <w:shd w:val="clear" w:color="auto" w:fill="auto"/>
            <w:noWrap/>
            <w:vAlign w:val="center"/>
            <w:hideMark/>
          </w:tcPr>
          <w:p w:rsidR="00FD0790" w:rsidRPr="006A6421" w:rsidRDefault="00FD0790" w:rsidP="00FD0790">
            <w:pPr>
              <w:spacing w:after="0" w:line="240" w:lineRule="auto"/>
              <w:jc w:val="right"/>
              <w:rPr>
                <w:rFonts w:ascii="Times New Roman" w:eastAsia="Times New Roman" w:hAnsi="Times New Roman" w:cs="Times New Roman"/>
                <w:sz w:val="18"/>
                <w:szCs w:val="18"/>
                <w:lang w:eastAsia="lv-LV"/>
              </w:rPr>
            </w:pPr>
            <w:r w:rsidRPr="006A6421">
              <w:rPr>
                <w:rFonts w:ascii="Times New Roman" w:eastAsia="Times New Roman" w:hAnsi="Times New Roman" w:cs="Times New Roman"/>
                <w:sz w:val="18"/>
                <w:szCs w:val="18"/>
                <w:lang w:eastAsia="lv-LV"/>
              </w:rPr>
              <w:t>0.9%</w:t>
            </w:r>
          </w:p>
        </w:tc>
      </w:tr>
    </w:tbl>
    <w:p w:rsidR="00583B0A" w:rsidRDefault="00583B0A" w:rsidP="00977C66">
      <w:pPr>
        <w:spacing w:after="0" w:line="240" w:lineRule="auto"/>
        <w:ind w:firstLine="720"/>
        <w:jc w:val="both"/>
        <w:rPr>
          <w:rFonts w:ascii="Times New Roman" w:hAnsi="Times New Roman" w:cs="Times New Roman"/>
          <w:sz w:val="24"/>
          <w:szCs w:val="24"/>
        </w:rPr>
      </w:pPr>
    </w:p>
    <w:p w:rsidR="00C527B7" w:rsidRDefault="00C527B7" w:rsidP="00977C66">
      <w:pPr>
        <w:spacing w:after="0" w:line="240" w:lineRule="auto"/>
        <w:ind w:firstLine="720"/>
        <w:jc w:val="both"/>
        <w:rPr>
          <w:rFonts w:ascii="Times New Roman" w:hAnsi="Times New Roman" w:cs="Times New Roman"/>
          <w:sz w:val="24"/>
          <w:szCs w:val="24"/>
        </w:rPr>
      </w:pPr>
    </w:p>
    <w:p w:rsidR="00C527B7" w:rsidRDefault="00C527B7" w:rsidP="00977C66">
      <w:pPr>
        <w:spacing w:after="0" w:line="240" w:lineRule="auto"/>
        <w:ind w:firstLine="720"/>
        <w:jc w:val="both"/>
        <w:rPr>
          <w:rFonts w:ascii="Times New Roman" w:hAnsi="Times New Roman" w:cs="Times New Roman"/>
          <w:sz w:val="24"/>
          <w:szCs w:val="24"/>
        </w:rPr>
        <w:sectPr w:rsidR="00C527B7" w:rsidSect="00C527B7">
          <w:pgSz w:w="16838" w:h="11906" w:orient="landscape"/>
          <w:pgMar w:top="1276" w:right="1440" w:bottom="1134" w:left="1440" w:header="709" w:footer="709" w:gutter="0"/>
          <w:cols w:space="708"/>
          <w:titlePg/>
          <w:docGrid w:linePitch="360"/>
        </w:sectPr>
      </w:pPr>
    </w:p>
    <w:p w:rsidR="00700F1E" w:rsidRPr="00700F1E" w:rsidRDefault="00700F1E" w:rsidP="00A6104E">
      <w:pPr>
        <w:spacing w:after="0" w:line="100" w:lineRule="atLeast"/>
        <w:ind w:firstLine="720"/>
        <w:jc w:val="both"/>
        <w:rPr>
          <w:rFonts w:ascii="Times New Roman" w:hAnsi="Times New Roman"/>
          <w:sz w:val="24"/>
          <w:szCs w:val="24"/>
        </w:rPr>
      </w:pPr>
      <w:r w:rsidRPr="00700F1E">
        <w:rPr>
          <w:rFonts w:ascii="Times New Roman" w:eastAsia="Calibri" w:hAnsi="Times New Roman" w:cs="Times New Roman"/>
          <w:color w:val="000000"/>
          <w:sz w:val="24"/>
          <w:szCs w:val="24"/>
        </w:rPr>
        <w:lastRenderedPageBreak/>
        <w:t>Šajā sakarā vēršam uzmanību, ka Latvijas Republikas Valsts kontrole savā 2011.gada 28.novembra revīzijas ziņojumā Nr.5.1-2-6/2011 ir secinājusi, ka veselības aprūpes pakalpojumu tarifi nesedz faktiskās ārstēšanas izmaksas VM kapitālsabiedrībās. Kā rezultātā pakalpojumi netiek apmaksāti atbilstoši faktiskajai situācijai, kas likumsakarīgi noved pie VM kapitālsabiedrību zaudējumiem.</w:t>
      </w:r>
    </w:p>
    <w:p w:rsidR="00A81E43" w:rsidRPr="00EC03D4" w:rsidRDefault="00EC03D4" w:rsidP="00A6104E">
      <w:pPr>
        <w:spacing w:after="0" w:line="100" w:lineRule="atLeast"/>
        <w:ind w:firstLine="720"/>
        <w:jc w:val="both"/>
        <w:rPr>
          <w:rFonts w:ascii="Times New Roman" w:hAnsi="Times New Roman" w:cs="Times New Roman"/>
          <w:sz w:val="24"/>
          <w:szCs w:val="24"/>
        </w:rPr>
      </w:pPr>
      <w:r w:rsidRPr="00EE72C4">
        <w:rPr>
          <w:rFonts w:ascii="Times New Roman" w:hAnsi="Times New Roman"/>
          <w:sz w:val="24"/>
          <w:szCs w:val="24"/>
        </w:rPr>
        <w:t>Pārskatot terapeitisko pacientu tarifu atbilstoši 2011.gada izmaksām un izskatot slimnīcu iesniegto informāciju, secināms, ka tarifu nepieciešams p</w:t>
      </w:r>
      <w:r w:rsidR="00C212DB" w:rsidRPr="00EE72C4">
        <w:rPr>
          <w:rFonts w:ascii="Times New Roman" w:hAnsi="Times New Roman"/>
          <w:sz w:val="24"/>
          <w:szCs w:val="24"/>
        </w:rPr>
        <w:t>aaugstināt līdz 185,90 latiem Ši</w:t>
      </w:r>
      <w:r w:rsidRPr="00EE72C4">
        <w:rPr>
          <w:rFonts w:ascii="Times New Roman" w:hAnsi="Times New Roman"/>
          <w:sz w:val="24"/>
          <w:szCs w:val="24"/>
        </w:rPr>
        <w:t>s tarifs aprēķināts pēc VIS pieejamiem datiem par slimnīcu ievadīto informāciju par 2011.gadā veiktajiem stacionārajiem veselības aprūpes pakalpojumiem programmas „Pārējie pakalpojumi” terapeitiskajiem pacientiem vidēji visās slimnīcās , kur šādi pacienti tiek ārstēti.</w:t>
      </w:r>
    </w:p>
    <w:p w:rsidR="000F1ED5" w:rsidRDefault="000F1ED5" w:rsidP="00583B0A">
      <w:pPr>
        <w:spacing w:after="0" w:line="240" w:lineRule="auto"/>
        <w:ind w:firstLine="720"/>
        <w:jc w:val="both"/>
        <w:rPr>
          <w:rFonts w:ascii="Times New Roman" w:hAnsi="Times New Roman"/>
          <w:sz w:val="24"/>
          <w:szCs w:val="24"/>
        </w:rPr>
      </w:pPr>
      <w:r>
        <w:rPr>
          <w:rFonts w:ascii="Times New Roman" w:hAnsi="Times New Roman"/>
          <w:sz w:val="24"/>
          <w:szCs w:val="24"/>
        </w:rPr>
        <w:t>Ja slimnīcu tarifs terapeitisko pacientu ārstēšanai tiek palielināts, tad Veselības ministrijai ir nepieciešams papildus finansējums šādā apmērā</w:t>
      </w:r>
      <w:r w:rsidR="00BD2942">
        <w:rPr>
          <w:rFonts w:ascii="Times New Roman" w:hAnsi="Times New Roman"/>
          <w:sz w:val="24"/>
          <w:szCs w:val="24"/>
        </w:rPr>
        <w:t xml:space="preserve"> (skatīt 2.tabulu)</w:t>
      </w:r>
      <w:r>
        <w:rPr>
          <w:rFonts w:ascii="Times New Roman" w:hAnsi="Times New Roman"/>
          <w:sz w:val="24"/>
          <w:szCs w:val="24"/>
        </w:rPr>
        <w:t>:</w:t>
      </w:r>
    </w:p>
    <w:p w:rsidR="00BD2942" w:rsidRDefault="00BD2942" w:rsidP="00583B0A">
      <w:pPr>
        <w:spacing w:after="0" w:line="240" w:lineRule="auto"/>
        <w:ind w:firstLine="720"/>
        <w:jc w:val="both"/>
        <w:rPr>
          <w:rFonts w:ascii="Times New Roman" w:hAnsi="Times New Roman"/>
          <w:sz w:val="24"/>
          <w:szCs w:val="24"/>
        </w:rPr>
      </w:pPr>
    </w:p>
    <w:p w:rsidR="00BD2942" w:rsidRDefault="00BD2942" w:rsidP="00BD2942">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2</w:t>
      </w:r>
      <w:r w:rsidRPr="007D0AF2">
        <w:rPr>
          <w:rFonts w:ascii="Times New Roman" w:hAnsi="Times New Roman" w:cs="Times New Roman"/>
          <w:i/>
          <w:sz w:val="24"/>
          <w:szCs w:val="24"/>
        </w:rPr>
        <w:t>.tabula</w:t>
      </w:r>
      <w:r w:rsidR="00CD33E7">
        <w:rPr>
          <w:rFonts w:ascii="Times New Roman" w:hAnsi="Times New Roman" w:cs="Times New Roman"/>
          <w:i/>
          <w:sz w:val="24"/>
          <w:szCs w:val="24"/>
        </w:rPr>
        <w:t>.</w:t>
      </w:r>
    </w:p>
    <w:p w:rsidR="00BD2942" w:rsidRPr="00BD2942" w:rsidRDefault="00BD2942" w:rsidP="00BD2942">
      <w:pPr>
        <w:spacing w:after="0" w:line="240" w:lineRule="auto"/>
        <w:ind w:firstLine="720"/>
        <w:jc w:val="center"/>
        <w:rPr>
          <w:rFonts w:ascii="Times New Roman" w:hAnsi="Times New Roman"/>
          <w:b/>
          <w:i/>
          <w:sz w:val="24"/>
          <w:szCs w:val="24"/>
        </w:rPr>
      </w:pPr>
      <w:r w:rsidRPr="00BD2942">
        <w:rPr>
          <w:rFonts w:ascii="Times New Roman" w:hAnsi="Times New Roman"/>
          <w:b/>
          <w:i/>
          <w:sz w:val="24"/>
          <w:szCs w:val="24"/>
        </w:rPr>
        <w:t>Ietekme uz budžetu, mainot terapeitisko pacientu tarifu</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134"/>
        <w:gridCol w:w="1275"/>
        <w:gridCol w:w="1560"/>
        <w:gridCol w:w="1275"/>
        <w:gridCol w:w="1560"/>
      </w:tblGrid>
      <w:tr w:rsidR="00323CD0" w:rsidRPr="00323CD0" w:rsidTr="00BD2942">
        <w:trPr>
          <w:trHeight w:val="2280"/>
        </w:trPr>
        <w:tc>
          <w:tcPr>
            <w:tcW w:w="2709" w:type="dxa"/>
            <w:shd w:val="clear" w:color="auto" w:fill="auto"/>
            <w:vAlign w:val="center"/>
            <w:hideMark/>
          </w:tcPr>
          <w:p w:rsidR="00323CD0" w:rsidRPr="00323CD0" w:rsidRDefault="00323CD0" w:rsidP="00323CD0">
            <w:pPr>
              <w:spacing w:after="0" w:line="240" w:lineRule="auto"/>
              <w:jc w:val="center"/>
              <w:rPr>
                <w:rFonts w:ascii="Times New Roman" w:eastAsia="Times New Roman" w:hAnsi="Times New Roman" w:cs="Times New Roman"/>
                <w:color w:val="000000"/>
                <w:sz w:val="20"/>
                <w:szCs w:val="20"/>
                <w:lang w:eastAsia="lv-LV"/>
              </w:rPr>
            </w:pPr>
            <w:r w:rsidRPr="00323CD0">
              <w:rPr>
                <w:rFonts w:ascii="Times New Roman" w:eastAsia="Times New Roman" w:hAnsi="Times New Roman" w:cs="Times New Roman"/>
                <w:color w:val="000000"/>
                <w:sz w:val="20"/>
                <w:szCs w:val="20"/>
                <w:lang w:eastAsia="lv-LV"/>
              </w:rPr>
              <w:t> </w:t>
            </w:r>
          </w:p>
        </w:tc>
        <w:tc>
          <w:tcPr>
            <w:tcW w:w="1134" w:type="dxa"/>
            <w:shd w:val="clear" w:color="auto" w:fill="auto"/>
            <w:vAlign w:val="center"/>
            <w:hideMark/>
          </w:tcPr>
          <w:p w:rsidR="00323CD0" w:rsidRPr="00323CD0" w:rsidRDefault="00323CD0" w:rsidP="00323CD0">
            <w:pPr>
              <w:spacing w:after="0" w:line="240" w:lineRule="auto"/>
              <w:jc w:val="center"/>
              <w:rPr>
                <w:rFonts w:ascii="Times New Roman" w:eastAsia="Times New Roman" w:hAnsi="Times New Roman" w:cs="Times New Roman"/>
                <w:color w:val="000000"/>
                <w:sz w:val="20"/>
                <w:szCs w:val="20"/>
                <w:lang w:eastAsia="lv-LV"/>
              </w:rPr>
            </w:pPr>
            <w:r w:rsidRPr="00323CD0">
              <w:rPr>
                <w:rFonts w:ascii="Times New Roman" w:eastAsia="Times New Roman" w:hAnsi="Times New Roman" w:cs="Times New Roman"/>
                <w:color w:val="000000"/>
                <w:sz w:val="20"/>
                <w:szCs w:val="20"/>
                <w:lang w:eastAsia="lv-LV"/>
              </w:rPr>
              <w:t>2012.gada līgumā iekļautie terapijas  pacienti</w:t>
            </w:r>
          </w:p>
        </w:tc>
        <w:tc>
          <w:tcPr>
            <w:tcW w:w="1275" w:type="dxa"/>
            <w:shd w:val="clear" w:color="auto" w:fill="auto"/>
            <w:vAlign w:val="center"/>
            <w:hideMark/>
          </w:tcPr>
          <w:p w:rsidR="00323CD0" w:rsidRPr="00323CD0" w:rsidRDefault="00323CD0" w:rsidP="00323CD0">
            <w:pPr>
              <w:spacing w:after="0" w:line="240" w:lineRule="auto"/>
              <w:jc w:val="center"/>
              <w:rPr>
                <w:rFonts w:ascii="Times New Roman" w:eastAsia="Times New Roman" w:hAnsi="Times New Roman" w:cs="Times New Roman"/>
                <w:color w:val="000000"/>
                <w:sz w:val="20"/>
                <w:szCs w:val="20"/>
                <w:lang w:eastAsia="lv-LV"/>
              </w:rPr>
            </w:pPr>
            <w:r w:rsidRPr="00323CD0">
              <w:rPr>
                <w:rFonts w:ascii="Times New Roman" w:eastAsia="Times New Roman" w:hAnsi="Times New Roman" w:cs="Times New Roman"/>
                <w:color w:val="000000"/>
                <w:sz w:val="20"/>
                <w:szCs w:val="20"/>
                <w:lang w:eastAsia="lv-LV"/>
              </w:rPr>
              <w:t>2011.gada pārrēķinātais terapijas  pacientu tarifs, Ls</w:t>
            </w:r>
          </w:p>
        </w:tc>
        <w:tc>
          <w:tcPr>
            <w:tcW w:w="1560" w:type="dxa"/>
            <w:shd w:val="clear" w:color="auto" w:fill="auto"/>
            <w:vAlign w:val="center"/>
            <w:hideMark/>
          </w:tcPr>
          <w:p w:rsidR="00323CD0" w:rsidRPr="00323CD0" w:rsidRDefault="00323CD0" w:rsidP="00323CD0">
            <w:pPr>
              <w:spacing w:after="0" w:line="240" w:lineRule="auto"/>
              <w:jc w:val="center"/>
              <w:rPr>
                <w:rFonts w:ascii="Times New Roman" w:eastAsia="Times New Roman" w:hAnsi="Times New Roman" w:cs="Times New Roman"/>
                <w:color w:val="000000"/>
                <w:sz w:val="20"/>
                <w:szCs w:val="20"/>
                <w:lang w:eastAsia="lv-LV"/>
              </w:rPr>
            </w:pPr>
            <w:r w:rsidRPr="00323CD0">
              <w:rPr>
                <w:rFonts w:ascii="Times New Roman" w:eastAsia="Times New Roman" w:hAnsi="Times New Roman" w:cs="Times New Roman"/>
                <w:color w:val="000000"/>
                <w:sz w:val="20"/>
                <w:szCs w:val="20"/>
                <w:lang w:eastAsia="lv-LV"/>
              </w:rPr>
              <w:t xml:space="preserve">Plānotais finansējums 2012.gadam terapijai, (atbilstoši esošajam terapijas tarifam, </w:t>
            </w:r>
            <w:r w:rsidRPr="00323CD0">
              <w:rPr>
                <w:rFonts w:ascii="Times New Roman" w:eastAsia="Times New Roman" w:hAnsi="Times New Roman" w:cs="Times New Roman"/>
                <w:b/>
                <w:bCs/>
                <w:color w:val="000000"/>
                <w:sz w:val="20"/>
                <w:szCs w:val="20"/>
                <w:lang w:eastAsia="lv-LV"/>
              </w:rPr>
              <w:t xml:space="preserve">Ls 115.60)  </w:t>
            </w:r>
          </w:p>
        </w:tc>
        <w:tc>
          <w:tcPr>
            <w:tcW w:w="1275" w:type="dxa"/>
            <w:shd w:val="clear" w:color="auto" w:fill="auto"/>
            <w:vAlign w:val="center"/>
            <w:hideMark/>
          </w:tcPr>
          <w:p w:rsidR="00323CD0" w:rsidRPr="00323CD0" w:rsidRDefault="00323CD0" w:rsidP="00323CD0">
            <w:pPr>
              <w:spacing w:after="0" w:line="240" w:lineRule="auto"/>
              <w:jc w:val="center"/>
              <w:rPr>
                <w:rFonts w:ascii="Times New Roman" w:eastAsia="Times New Roman" w:hAnsi="Times New Roman" w:cs="Times New Roman"/>
                <w:color w:val="000000"/>
                <w:sz w:val="20"/>
                <w:szCs w:val="20"/>
                <w:lang w:eastAsia="lv-LV"/>
              </w:rPr>
            </w:pPr>
            <w:r w:rsidRPr="00323CD0">
              <w:rPr>
                <w:rFonts w:ascii="Times New Roman" w:eastAsia="Times New Roman" w:hAnsi="Times New Roman" w:cs="Times New Roman"/>
                <w:color w:val="000000"/>
                <w:sz w:val="20"/>
                <w:szCs w:val="20"/>
                <w:lang w:eastAsia="lv-LV"/>
              </w:rPr>
              <w:t>Finansējums gadam, ja paaugstina terapijas tarifu</w:t>
            </w:r>
            <w:r w:rsidRPr="00323CD0">
              <w:rPr>
                <w:rFonts w:ascii="Times New Roman" w:eastAsia="Times New Roman" w:hAnsi="Times New Roman" w:cs="Times New Roman"/>
                <w:b/>
                <w:bCs/>
                <w:color w:val="000000"/>
                <w:sz w:val="20"/>
                <w:szCs w:val="20"/>
                <w:lang w:eastAsia="lv-LV"/>
              </w:rPr>
              <w:t xml:space="preserve"> </w:t>
            </w:r>
          </w:p>
        </w:tc>
        <w:tc>
          <w:tcPr>
            <w:tcW w:w="1560" w:type="dxa"/>
            <w:shd w:val="clear" w:color="auto" w:fill="auto"/>
            <w:vAlign w:val="center"/>
            <w:hideMark/>
          </w:tcPr>
          <w:p w:rsidR="00323CD0" w:rsidRPr="00323CD0" w:rsidRDefault="00323CD0" w:rsidP="00323CD0">
            <w:pPr>
              <w:spacing w:after="0" w:line="240" w:lineRule="auto"/>
              <w:jc w:val="center"/>
              <w:rPr>
                <w:rFonts w:ascii="Times New Roman" w:eastAsia="Times New Roman" w:hAnsi="Times New Roman" w:cs="Times New Roman"/>
                <w:color w:val="000000"/>
                <w:sz w:val="20"/>
                <w:szCs w:val="20"/>
                <w:lang w:eastAsia="lv-LV"/>
              </w:rPr>
            </w:pPr>
            <w:r w:rsidRPr="00323CD0">
              <w:rPr>
                <w:rFonts w:ascii="Times New Roman" w:eastAsia="Times New Roman" w:hAnsi="Times New Roman" w:cs="Times New Roman"/>
                <w:color w:val="000000"/>
                <w:sz w:val="20"/>
                <w:szCs w:val="20"/>
                <w:lang w:eastAsia="lv-LV"/>
              </w:rPr>
              <w:t>Papildus nepieciešamais finansējums</w:t>
            </w:r>
          </w:p>
        </w:tc>
      </w:tr>
      <w:tr w:rsidR="00323CD0" w:rsidRPr="00323CD0" w:rsidTr="00BD2942">
        <w:trPr>
          <w:trHeight w:val="285"/>
        </w:trPr>
        <w:tc>
          <w:tcPr>
            <w:tcW w:w="2709" w:type="dxa"/>
            <w:shd w:val="clear" w:color="auto" w:fill="auto"/>
            <w:noWrap/>
            <w:vAlign w:val="center"/>
            <w:hideMark/>
          </w:tcPr>
          <w:p w:rsidR="00323CD0" w:rsidRPr="00323CD0" w:rsidRDefault="00323CD0" w:rsidP="00323CD0">
            <w:pPr>
              <w:spacing w:after="0" w:line="240" w:lineRule="auto"/>
              <w:rPr>
                <w:rFonts w:ascii="Times New Roman" w:eastAsia="Times New Roman" w:hAnsi="Times New Roman" w:cs="Times New Roman"/>
                <w:b/>
                <w:bCs/>
                <w:color w:val="000000"/>
                <w:lang w:eastAsia="lv-LV"/>
              </w:rPr>
            </w:pPr>
            <w:r w:rsidRPr="00323CD0">
              <w:rPr>
                <w:rFonts w:ascii="Times New Roman" w:eastAsia="Times New Roman" w:hAnsi="Times New Roman" w:cs="Times New Roman"/>
                <w:b/>
                <w:bCs/>
                <w:color w:val="000000"/>
                <w:lang w:eastAsia="lv-LV"/>
              </w:rPr>
              <w:t>Pavisam kopā, gadam:</w:t>
            </w:r>
          </w:p>
        </w:tc>
        <w:tc>
          <w:tcPr>
            <w:tcW w:w="1134" w:type="dxa"/>
            <w:shd w:val="clear" w:color="auto" w:fill="auto"/>
            <w:noWrap/>
            <w:vAlign w:val="center"/>
            <w:hideMark/>
          </w:tcPr>
          <w:p w:rsidR="00323CD0" w:rsidRPr="00323CD0" w:rsidRDefault="00323CD0" w:rsidP="00323CD0">
            <w:pPr>
              <w:spacing w:after="0" w:line="240" w:lineRule="auto"/>
              <w:jc w:val="right"/>
              <w:rPr>
                <w:rFonts w:ascii="Times New Roman" w:eastAsia="Times New Roman" w:hAnsi="Times New Roman" w:cs="Times New Roman"/>
                <w:b/>
                <w:bCs/>
                <w:color w:val="000000"/>
                <w:lang w:eastAsia="lv-LV"/>
              </w:rPr>
            </w:pPr>
            <w:r w:rsidRPr="00323CD0">
              <w:rPr>
                <w:rFonts w:ascii="Times New Roman" w:eastAsia="Times New Roman" w:hAnsi="Times New Roman" w:cs="Times New Roman"/>
                <w:b/>
                <w:bCs/>
                <w:color w:val="000000"/>
                <w:lang w:eastAsia="lv-LV"/>
              </w:rPr>
              <w:t>145 917</w:t>
            </w:r>
          </w:p>
        </w:tc>
        <w:tc>
          <w:tcPr>
            <w:tcW w:w="1275" w:type="dxa"/>
            <w:shd w:val="clear" w:color="auto" w:fill="auto"/>
            <w:noWrap/>
            <w:vAlign w:val="center"/>
            <w:hideMark/>
          </w:tcPr>
          <w:p w:rsidR="00323CD0" w:rsidRPr="00323CD0" w:rsidRDefault="00323CD0" w:rsidP="00323CD0">
            <w:pPr>
              <w:spacing w:after="0" w:line="240" w:lineRule="auto"/>
              <w:jc w:val="right"/>
              <w:rPr>
                <w:rFonts w:ascii="Times New Roman" w:eastAsia="Times New Roman" w:hAnsi="Times New Roman" w:cs="Times New Roman"/>
                <w:b/>
                <w:bCs/>
                <w:color w:val="000000"/>
                <w:lang w:eastAsia="lv-LV"/>
              </w:rPr>
            </w:pPr>
            <w:r w:rsidRPr="00323CD0">
              <w:rPr>
                <w:rFonts w:ascii="Times New Roman" w:eastAsia="Times New Roman" w:hAnsi="Times New Roman" w:cs="Times New Roman"/>
                <w:b/>
                <w:bCs/>
                <w:color w:val="000000"/>
                <w:lang w:eastAsia="lv-LV"/>
              </w:rPr>
              <w:t>185.90</w:t>
            </w:r>
          </w:p>
        </w:tc>
        <w:tc>
          <w:tcPr>
            <w:tcW w:w="1560" w:type="dxa"/>
            <w:shd w:val="clear" w:color="auto" w:fill="auto"/>
            <w:noWrap/>
            <w:vAlign w:val="center"/>
            <w:hideMark/>
          </w:tcPr>
          <w:p w:rsidR="00323CD0" w:rsidRPr="00323CD0" w:rsidRDefault="00323CD0" w:rsidP="008576B8">
            <w:pPr>
              <w:spacing w:after="0" w:line="240" w:lineRule="auto"/>
              <w:jc w:val="right"/>
              <w:rPr>
                <w:rFonts w:ascii="Times New Roman" w:eastAsia="Times New Roman" w:hAnsi="Times New Roman" w:cs="Times New Roman"/>
                <w:b/>
                <w:bCs/>
                <w:color w:val="000000"/>
                <w:lang w:eastAsia="lv-LV"/>
              </w:rPr>
            </w:pPr>
            <w:r w:rsidRPr="00323CD0">
              <w:rPr>
                <w:rFonts w:ascii="Times New Roman" w:eastAsia="Times New Roman" w:hAnsi="Times New Roman" w:cs="Times New Roman"/>
                <w:b/>
                <w:bCs/>
                <w:color w:val="000000"/>
                <w:lang w:eastAsia="lv-LV"/>
              </w:rPr>
              <w:t>16 868 00</w:t>
            </w:r>
            <w:r w:rsidR="008576B8">
              <w:rPr>
                <w:rFonts w:ascii="Times New Roman" w:eastAsia="Times New Roman" w:hAnsi="Times New Roman" w:cs="Times New Roman"/>
                <w:b/>
                <w:bCs/>
                <w:color w:val="000000"/>
                <w:lang w:eastAsia="lv-LV"/>
              </w:rPr>
              <w:t>5</w:t>
            </w:r>
          </w:p>
        </w:tc>
        <w:tc>
          <w:tcPr>
            <w:tcW w:w="1275" w:type="dxa"/>
            <w:shd w:val="clear" w:color="auto" w:fill="auto"/>
            <w:noWrap/>
            <w:vAlign w:val="center"/>
            <w:hideMark/>
          </w:tcPr>
          <w:p w:rsidR="00323CD0" w:rsidRPr="00323CD0" w:rsidRDefault="008576B8" w:rsidP="00323CD0">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27 125 970</w:t>
            </w:r>
          </w:p>
        </w:tc>
        <w:tc>
          <w:tcPr>
            <w:tcW w:w="1560" w:type="dxa"/>
            <w:shd w:val="clear" w:color="auto" w:fill="BFBFBF" w:themeFill="background1" w:themeFillShade="BF"/>
            <w:noWrap/>
            <w:vAlign w:val="center"/>
            <w:hideMark/>
          </w:tcPr>
          <w:p w:rsidR="00323CD0" w:rsidRPr="00323CD0" w:rsidRDefault="008576B8" w:rsidP="008576B8">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10 257 965</w:t>
            </w:r>
          </w:p>
        </w:tc>
      </w:tr>
    </w:tbl>
    <w:p w:rsidR="00323CD0" w:rsidRDefault="00323CD0" w:rsidP="00583B0A">
      <w:pPr>
        <w:spacing w:after="0" w:line="240" w:lineRule="auto"/>
        <w:ind w:firstLine="720"/>
        <w:jc w:val="both"/>
        <w:rPr>
          <w:rFonts w:ascii="Times New Roman" w:hAnsi="Times New Roman"/>
          <w:sz w:val="24"/>
          <w:szCs w:val="24"/>
        </w:rPr>
      </w:pPr>
    </w:p>
    <w:p w:rsidR="00736339" w:rsidRPr="006A6421" w:rsidRDefault="00736339" w:rsidP="009644A0">
      <w:pPr>
        <w:keepLines/>
        <w:autoSpaceDE w:val="0"/>
        <w:autoSpaceDN w:val="0"/>
        <w:adjustRightInd w:val="0"/>
        <w:ind w:firstLine="720"/>
        <w:jc w:val="both"/>
        <w:rPr>
          <w:rFonts w:ascii="Times New Roman" w:hAnsi="Times New Roman" w:cs="Times New Roman"/>
          <w:b/>
          <w:bCs/>
          <w:sz w:val="24"/>
          <w:szCs w:val="24"/>
        </w:rPr>
      </w:pPr>
      <w:r w:rsidRPr="006A6421">
        <w:rPr>
          <w:rFonts w:ascii="Times New Roman" w:hAnsi="Times New Roman" w:cs="Times New Roman"/>
          <w:b/>
          <w:sz w:val="24"/>
          <w:szCs w:val="24"/>
        </w:rPr>
        <w:t>Tādejādi veselības nozarei</w:t>
      </w:r>
      <w:r w:rsidR="00E35985" w:rsidRPr="006A6421">
        <w:rPr>
          <w:rFonts w:ascii="Times New Roman" w:hAnsi="Times New Roman" w:cs="Times New Roman"/>
          <w:b/>
          <w:sz w:val="24"/>
          <w:szCs w:val="24"/>
        </w:rPr>
        <w:t xml:space="preserve">, </w:t>
      </w:r>
      <w:r w:rsidR="00E35985" w:rsidRPr="006A6421">
        <w:rPr>
          <w:rFonts w:ascii="Times New Roman" w:hAnsi="Times New Roman" w:cs="Times New Roman"/>
          <w:b/>
          <w:bCs/>
          <w:sz w:val="24"/>
          <w:szCs w:val="24"/>
        </w:rPr>
        <w:t>lai 2012.gadā nodrošinātu stacionāro veselības aprūpi</w:t>
      </w:r>
      <w:r w:rsidRPr="006A6421">
        <w:rPr>
          <w:rFonts w:ascii="Times New Roman" w:hAnsi="Times New Roman" w:cs="Times New Roman"/>
          <w:b/>
          <w:sz w:val="24"/>
          <w:szCs w:val="24"/>
        </w:rPr>
        <w:t xml:space="preserve"> 2012.gadā papildus nepieciešams finansējums</w:t>
      </w:r>
      <w:r w:rsidRPr="006A6421">
        <w:rPr>
          <w:rFonts w:ascii="Times New Roman" w:hAnsi="Times New Roman" w:cs="Times New Roman"/>
          <w:sz w:val="24"/>
          <w:szCs w:val="24"/>
        </w:rPr>
        <w:t xml:space="preserve"> </w:t>
      </w:r>
      <w:r w:rsidR="00E35985" w:rsidRPr="006A6421">
        <w:rPr>
          <w:rFonts w:ascii="Times New Roman" w:hAnsi="Times New Roman" w:cs="Times New Roman"/>
          <w:b/>
          <w:bCs/>
          <w:sz w:val="24"/>
          <w:szCs w:val="24"/>
        </w:rPr>
        <w:t>10 257 965</w:t>
      </w:r>
      <w:r w:rsidR="000E3161" w:rsidRPr="006A6421">
        <w:rPr>
          <w:rFonts w:ascii="Times New Roman" w:hAnsi="Times New Roman" w:cs="Times New Roman"/>
          <w:b/>
          <w:bCs/>
          <w:sz w:val="24"/>
          <w:szCs w:val="24"/>
        </w:rPr>
        <w:t xml:space="preserve"> latu apmērā</w:t>
      </w:r>
      <w:r w:rsidR="00827952" w:rsidRPr="006A6421">
        <w:rPr>
          <w:rFonts w:ascii="Times New Roman" w:hAnsi="Times New Roman" w:cs="Times New Roman"/>
          <w:b/>
          <w:bCs/>
          <w:sz w:val="24"/>
          <w:szCs w:val="24"/>
        </w:rPr>
        <w:t>.</w:t>
      </w:r>
    </w:p>
    <w:p w:rsidR="00A15C8F" w:rsidRPr="006A6421" w:rsidRDefault="00A15C8F" w:rsidP="009644A0">
      <w:pPr>
        <w:keepLines/>
        <w:autoSpaceDE w:val="0"/>
        <w:autoSpaceDN w:val="0"/>
        <w:adjustRightInd w:val="0"/>
        <w:ind w:firstLine="720"/>
        <w:jc w:val="both"/>
        <w:rPr>
          <w:rFonts w:ascii="Times New Roman" w:hAnsi="Times New Roman" w:cs="Times New Roman"/>
          <w:sz w:val="24"/>
          <w:szCs w:val="24"/>
        </w:rPr>
      </w:pPr>
      <w:r w:rsidRPr="006A6421">
        <w:rPr>
          <w:rFonts w:ascii="Times New Roman" w:hAnsi="Times New Roman" w:cs="Times New Roman"/>
          <w:sz w:val="24"/>
          <w:szCs w:val="24"/>
        </w:rPr>
        <w:t xml:space="preserve">Veselības ministrija izvērtējot esošo situāciju, saskata iespēju 2012.gadā kā vienreizēju pasākumu (bez ietekmes uz turpmākiem gadiem) pārdalīt finansējumu stacionārās veselības aprūpes nodrošināšanai 600 000 latu apmērā, tai skaitā: </w:t>
      </w:r>
    </w:p>
    <w:p w:rsidR="00A15C8F" w:rsidRPr="006A6421" w:rsidRDefault="00A15C8F" w:rsidP="00A15C8F">
      <w:pPr>
        <w:pStyle w:val="ListParagraph"/>
        <w:keepLines/>
        <w:numPr>
          <w:ilvl w:val="0"/>
          <w:numId w:val="5"/>
        </w:numPr>
        <w:autoSpaceDE w:val="0"/>
        <w:autoSpaceDN w:val="0"/>
        <w:adjustRightInd w:val="0"/>
        <w:ind w:left="0" w:firstLine="687"/>
        <w:jc w:val="both"/>
        <w:rPr>
          <w:rFonts w:ascii="Times New Roman" w:hAnsi="Times New Roman" w:cs="Times New Roman"/>
          <w:b/>
          <w:bCs/>
          <w:sz w:val="24"/>
          <w:szCs w:val="24"/>
        </w:rPr>
      </w:pPr>
      <w:r w:rsidRPr="006A6421">
        <w:rPr>
          <w:rFonts w:ascii="Times New Roman" w:hAnsi="Times New Roman" w:cs="Times New Roman"/>
          <w:sz w:val="24"/>
          <w:szCs w:val="24"/>
        </w:rPr>
        <w:t>300 000 latu apmērā no budžeta apakšprogrammā 33.01.00 "Ārstniecība" plānotā finansējumu starptautisko norēķinu par Latvijas iedzīvotājiem Eiropas Savienības dalībvalstīs sniegtajiem veselības aprūpes pakalpojumiem. 2013.gadā šāda pārdale nav iespējama, jo  jāņem vērā, ka rēķini par  pakalpojumu apmaksu nav vienmērīgi un atbilstoši ES regulām rēķinu apmaksa tiek veikta 18 mēnešu laikā no prasības iesniegšanas un atbilstoši gada izpildes prognozei.</w:t>
      </w:r>
    </w:p>
    <w:p w:rsidR="00A15C8F" w:rsidRPr="006A6421" w:rsidRDefault="00A15C8F" w:rsidP="00A15C8F">
      <w:pPr>
        <w:pStyle w:val="ListParagraph"/>
        <w:keepLines/>
        <w:numPr>
          <w:ilvl w:val="0"/>
          <w:numId w:val="5"/>
        </w:numPr>
        <w:autoSpaceDE w:val="0"/>
        <w:autoSpaceDN w:val="0"/>
        <w:adjustRightInd w:val="0"/>
        <w:ind w:left="0" w:firstLine="687"/>
        <w:jc w:val="both"/>
        <w:rPr>
          <w:rFonts w:ascii="Times New Roman" w:hAnsi="Times New Roman" w:cs="Times New Roman"/>
          <w:b/>
          <w:bCs/>
          <w:sz w:val="24"/>
          <w:szCs w:val="24"/>
        </w:rPr>
      </w:pPr>
      <w:r w:rsidRPr="006A6421">
        <w:rPr>
          <w:rFonts w:ascii="Times New Roman" w:hAnsi="Times New Roman" w:cs="Times New Roman"/>
          <w:sz w:val="24"/>
          <w:szCs w:val="24"/>
        </w:rPr>
        <w:t>300 000 latu apmērā no Zāļu valsts aģentūras 2011.gada maksas pakalpojumu un citu pašu ieņēmumu līdzekļu atlikuma</w:t>
      </w:r>
      <w:r w:rsidR="00EC075D" w:rsidRPr="006A6421">
        <w:rPr>
          <w:rFonts w:ascii="Times New Roman" w:hAnsi="Times New Roman" w:cs="Times New Roman"/>
          <w:sz w:val="24"/>
          <w:szCs w:val="24"/>
        </w:rPr>
        <w:t xml:space="preserve">. </w:t>
      </w:r>
    </w:p>
    <w:p w:rsidR="00662E16" w:rsidRPr="006A6421" w:rsidRDefault="00662E16" w:rsidP="00662E16">
      <w:pPr>
        <w:pStyle w:val="ListParagraph"/>
        <w:keepLines/>
        <w:autoSpaceDE w:val="0"/>
        <w:autoSpaceDN w:val="0"/>
        <w:adjustRightInd w:val="0"/>
        <w:ind w:left="0" w:firstLine="687"/>
        <w:jc w:val="both"/>
        <w:rPr>
          <w:rFonts w:ascii="Times New Roman" w:hAnsi="Times New Roman" w:cs="Times New Roman"/>
          <w:b/>
          <w:sz w:val="24"/>
          <w:szCs w:val="24"/>
        </w:rPr>
      </w:pPr>
    </w:p>
    <w:p w:rsidR="00827952" w:rsidRPr="006A6421" w:rsidRDefault="00662E16" w:rsidP="00662E16">
      <w:pPr>
        <w:pStyle w:val="ListParagraph"/>
        <w:keepLines/>
        <w:autoSpaceDE w:val="0"/>
        <w:autoSpaceDN w:val="0"/>
        <w:adjustRightInd w:val="0"/>
        <w:ind w:left="0" w:firstLine="687"/>
        <w:jc w:val="both"/>
        <w:rPr>
          <w:rFonts w:ascii="Times New Roman" w:hAnsi="Times New Roman" w:cs="Times New Roman"/>
          <w:b/>
          <w:bCs/>
          <w:sz w:val="24"/>
          <w:szCs w:val="24"/>
        </w:rPr>
      </w:pPr>
      <w:r w:rsidRPr="006A6421">
        <w:rPr>
          <w:rFonts w:ascii="Times New Roman" w:hAnsi="Times New Roman" w:cs="Times New Roman"/>
          <w:b/>
          <w:sz w:val="24"/>
          <w:szCs w:val="24"/>
        </w:rPr>
        <w:t>Līdz ar to papildus</w:t>
      </w:r>
      <w:r w:rsidRPr="006A6421">
        <w:rPr>
          <w:rFonts w:ascii="Times New Roman" w:hAnsi="Times New Roman" w:cs="Times New Roman"/>
          <w:sz w:val="24"/>
          <w:szCs w:val="24"/>
        </w:rPr>
        <w:t xml:space="preserve"> </w:t>
      </w:r>
      <w:r w:rsidRPr="006A6421">
        <w:rPr>
          <w:rFonts w:ascii="Times New Roman" w:hAnsi="Times New Roman" w:cs="Times New Roman"/>
          <w:b/>
          <w:sz w:val="24"/>
          <w:szCs w:val="24"/>
        </w:rPr>
        <w:t xml:space="preserve">veselības nozarei, </w:t>
      </w:r>
      <w:r w:rsidRPr="006A6421">
        <w:rPr>
          <w:rFonts w:ascii="Times New Roman" w:hAnsi="Times New Roman" w:cs="Times New Roman"/>
          <w:b/>
          <w:bCs/>
          <w:sz w:val="24"/>
          <w:szCs w:val="24"/>
        </w:rPr>
        <w:t>lai 2012.gadā nodrošinātu stacionāro veselības aprūpi</w:t>
      </w:r>
      <w:r w:rsidRPr="006A6421">
        <w:rPr>
          <w:rFonts w:ascii="Times New Roman" w:hAnsi="Times New Roman" w:cs="Times New Roman"/>
          <w:b/>
          <w:sz w:val="24"/>
          <w:szCs w:val="24"/>
        </w:rPr>
        <w:t xml:space="preserve"> 2012.gadā, ņemot vērā iekšējo pārdali, papildus nepieciešams finansējums</w:t>
      </w:r>
      <w:r w:rsidRPr="006A6421">
        <w:rPr>
          <w:rFonts w:ascii="Times New Roman" w:hAnsi="Times New Roman" w:cs="Times New Roman"/>
          <w:sz w:val="24"/>
          <w:szCs w:val="24"/>
        </w:rPr>
        <w:t xml:space="preserve"> </w:t>
      </w:r>
      <w:r w:rsidRPr="006A6421">
        <w:rPr>
          <w:rFonts w:ascii="Times New Roman" w:hAnsi="Times New Roman" w:cs="Times New Roman"/>
          <w:b/>
          <w:bCs/>
          <w:sz w:val="24"/>
          <w:szCs w:val="24"/>
        </w:rPr>
        <w:t xml:space="preserve">9 657 965 latu apmērā. </w:t>
      </w:r>
    </w:p>
    <w:p w:rsidR="00662E16" w:rsidRPr="006A6421" w:rsidRDefault="00827952" w:rsidP="00662E16">
      <w:pPr>
        <w:pStyle w:val="ListParagraph"/>
        <w:keepLines/>
        <w:autoSpaceDE w:val="0"/>
        <w:autoSpaceDN w:val="0"/>
        <w:adjustRightInd w:val="0"/>
        <w:ind w:left="0" w:firstLine="687"/>
        <w:jc w:val="both"/>
        <w:rPr>
          <w:rFonts w:ascii="Times New Roman" w:hAnsi="Times New Roman" w:cs="Times New Roman"/>
          <w:b/>
          <w:bCs/>
          <w:sz w:val="24"/>
          <w:szCs w:val="24"/>
        </w:rPr>
      </w:pPr>
      <w:r w:rsidRPr="006A6421">
        <w:rPr>
          <w:rFonts w:ascii="Times New Roman" w:hAnsi="Times New Roman" w:cs="Times New Roman"/>
          <w:bCs/>
          <w:sz w:val="24"/>
          <w:szCs w:val="24"/>
        </w:rPr>
        <w:lastRenderedPageBreak/>
        <w:t>Ņemot vērā 2013.gadā plānoto ekonomiju</w:t>
      </w:r>
      <w:r w:rsidRPr="006A6421">
        <w:rPr>
          <w:rFonts w:ascii="Times New Roman" w:hAnsi="Times New Roman" w:cs="Times New Roman"/>
          <w:b/>
          <w:bCs/>
          <w:sz w:val="24"/>
          <w:szCs w:val="24"/>
        </w:rPr>
        <w:t xml:space="preserve"> </w:t>
      </w:r>
      <w:r w:rsidRPr="006A6421">
        <w:rPr>
          <w:rFonts w:ascii="Times New Roman" w:hAnsi="Times New Roman" w:cs="Times New Roman"/>
          <w:bCs/>
          <w:sz w:val="24"/>
          <w:szCs w:val="24"/>
        </w:rPr>
        <w:t>budžeta apakšprogrammā 33.01.00 „Ārstniecība” 1 200 000 latu apmērā saistībā ar valsts aģentūras „Latvijas Infektoloģijas centrs” reorganizāciju, n</w:t>
      </w:r>
      <w:r w:rsidR="00662E16" w:rsidRPr="006A6421">
        <w:rPr>
          <w:rFonts w:ascii="Times New Roman" w:hAnsi="Times New Roman" w:cs="Times New Roman"/>
          <w:bCs/>
          <w:sz w:val="24"/>
          <w:szCs w:val="24"/>
        </w:rPr>
        <w:t xml:space="preserve">epieciešamais valsts budžeta bāzes izdevumu palielinājums budžeta apakšprogrammā 33.01.00. „Ārstniecība” 2013.gadam un turpmākajiem gadiem ir </w:t>
      </w:r>
      <w:r w:rsidR="000E3161" w:rsidRPr="006A6421">
        <w:rPr>
          <w:rFonts w:ascii="Times New Roman" w:hAnsi="Times New Roman" w:cs="Times New Roman"/>
          <w:bCs/>
          <w:sz w:val="24"/>
          <w:szCs w:val="24"/>
        </w:rPr>
        <w:t>9 057 965 lati (</w:t>
      </w:r>
      <w:r w:rsidR="00662E16" w:rsidRPr="006A6421">
        <w:rPr>
          <w:rFonts w:ascii="Times New Roman" w:hAnsi="Times New Roman" w:cs="Times New Roman"/>
          <w:bCs/>
          <w:sz w:val="24"/>
          <w:szCs w:val="24"/>
        </w:rPr>
        <w:t>10 257 965 lati</w:t>
      </w:r>
      <w:r w:rsidR="000E3161" w:rsidRPr="006A6421">
        <w:rPr>
          <w:rFonts w:ascii="Times New Roman" w:hAnsi="Times New Roman" w:cs="Times New Roman"/>
          <w:bCs/>
          <w:sz w:val="24"/>
          <w:szCs w:val="24"/>
        </w:rPr>
        <w:t xml:space="preserve"> –</w:t>
      </w:r>
      <w:r w:rsidRPr="006A6421">
        <w:rPr>
          <w:rFonts w:ascii="Times New Roman" w:hAnsi="Times New Roman" w:cs="Times New Roman"/>
          <w:bCs/>
          <w:sz w:val="24"/>
          <w:szCs w:val="24"/>
        </w:rPr>
        <w:t xml:space="preserve"> 1 200 000 latu</w:t>
      </w:r>
      <w:r w:rsidR="000E3161" w:rsidRPr="006A6421">
        <w:rPr>
          <w:rFonts w:ascii="Times New Roman" w:hAnsi="Times New Roman" w:cs="Times New Roman"/>
          <w:bCs/>
          <w:sz w:val="24"/>
          <w:szCs w:val="24"/>
        </w:rPr>
        <w:t xml:space="preserve"> plānotā ekonomija)</w:t>
      </w:r>
      <w:r w:rsidRPr="006A6421">
        <w:rPr>
          <w:rFonts w:ascii="Times New Roman" w:hAnsi="Times New Roman" w:cs="Times New Roman"/>
          <w:bCs/>
          <w:sz w:val="24"/>
          <w:szCs w:val="24"/>
        </w:rPr>
        <w:t>.</w:t>
      </w:r>
    </w:p>
    <w:p w:rsidR="00736339" w:rsidRPr="006A6421" w:rsidRDefault="00736339" w:rsidP="00E35985">
      <w:pPr>
        <w:keepLines/>
        <w:autoSpaceDE w:val="0"/>
        <w:autoSpaceDN w:val="0"/>
        <w:adjustRightInd w:val="0"/>
        <w:ind w:firstLine="360"/>
        <w:jc w:val="both"/>
        <w:rPr>
          <w:rFonts w:ascii="Times New Roman" w:hAnsi="Times New Roman" w:cs="Times New Roman"/>
          <w:sz w:val="24"/>
          <w:szCs w:val="24"/>
        </w:rPr>
      </w:pPr>
      <w:r w:rsidRPr="006A6421">
        <w:rPr>
          <w:rFonts w:ascii="Times New Roman" w:hAnsi="Times New Roman" w:cs="Times New Roman"/>
          <w:bCs/>
          <w:sz w:val="24"/>
          <w:szCs w:val="24"/>
        </w:rPr>
        <w:t>Ja netiek risināts jautājums par papildus finansējuma piešķiršanu, tad</w:t>
      </w:r>
      <w:r w:rsidR="00E35985" w:rsidRPr="006A6421">
        <w:rPr>
          <w:rFonts w:ascii="Times New Roman" w:hAnsi="Times New Roman" w:cs="Times New Roman"/>
          <w:bCs/>
          <w:sz w:val="24"/>
          <w:szCs w:val="24"/>
        </w:rPr>
        <w:t>,</w:t>
      </w:r>
      <w:r w:rsidRPr="006A6421">
        <w:rPr>
          <w:rFonts w:ascii="Times New Roman" w:hAnsi="Times New Roman" w:cs="Times New Roman"/>
          <w:bCs/>
          <w:sz w:val="24"/>
          <w:szCs w:val="24"/>
        </w:rPr>
        <w:t xml:space="preserve"> lai 2012.gadā nodrošinātu stacionāro veselības aprūpi ir jāmeklē </w:t>
      </w:r>
      <w:r w:rsidRPr="006A6421">
        <w:rPr>
          <w:rFonts w:ascii="Times New Roman" w:hAnsi="Times New Roman" w:cs="Times New Roman"/>
          <w:sz w:val="24"/>
          <w:szCs w:val="24"/>
        </w:rPr>
        <w:t>alternatīvi risinājumi līdzekļu piesaistei tarifa optimāla apjoma noteikšanai un tie varētu būt:</w:t>
      </w:r>
    </w:p>
    <w:p w:rsidR="00736339" w:rsidRPr="006A6421" w:rsidRDefault="00736339" w:rsidP="00736339">
      <w:pPr>
        <w:pStyle w:val="ListParagraph"/>
        <w:keepLines/>
        <w:numPr>
          <w:ilvl w:val="0"/>
          <w:numId w:val="1"/>
        </w:numPr>
        <w:autoSpaceDE w:val="0"/>
        <w:autoSpaceDN w:val="0"/>
        <w:adjustRightInd w:val="0"/>
        <w:jc w:val="both"/>
        <w:rPr>
          <w:rFonts w:ascii="Times New Roman" w:hAnsi="Times New Roman" w:cs="Times New Roman"/>
          <w:bCs/>
          <w:sz w:val="24"/>
          <w:szCs w:val="24"/>
        </w:rPr>
      </w:pPr>
      <w:r w:rsidRPr="006A6421">
        <w:rPr>
          <w:rFonts w:ascii="Times New Roman" w:hAnsi="Times New Roman" w:cs="Times New Roman"/>
          <w:sz w:val="24"/>
          <w:szCs w:val="24"/>
        </w:rPr>
        <w:t xml:space="preserve"> būtiski samazināt stacionāro pakalpojumu sniedzēju skaitu, koncentrējot palīdzību un finanšu līdzekļus Latvijā tikai 10 slimnīcās;</w:t>
      </w:r>
    </w:p>
    <w:p w:rsidR="00736339" w:rsidRPr="00CF0F95" w:rsidRDefault="00736339" w:rsidP="00736339">
      <w:pPr>
        <w:pStyle w:val="ListParagraph"/>
        <w:keepLines/>
        <w:numPr>
          <w:ilvl w:val="0"/>
          <w:numId w:val="1"/>
        </w:numPr>
        <w:autoSpaceDE w:val="0"/>
        <w:autoSpaceDN w:val="0"/>
        <w:adjustRightInd w:val="0"/>
        <w:jc w:val="both"/>
        <w:rPr>
          <w:rFonts w:ascii="Times New Roman" w:hAnsi="Times New Roman" w:cs="Times New Roman"/>
          <w:bCs/>
          <w:color w:val="000000"/>
          <w:sz w:val="24"/>
          <w:szCs w:val="24"/>
        </w:rPr>
      </w:pPr>
      <w:r w:rsidRPr="006A6421">
        <w:rPr>
          <w:rFonts w:ascii="Times New Roman" w:hAnsi="Times New Roman" w:cs="Times New Roman"/>
          <w:sz w:val="24"/>
          <w:szCs w:val="24"/>
        </w:rPr>
        <w:t xml:space="preserve"> </w:t>
      </w:r>
      <w:r w:rsidR="00107264" w:rsidRPr="006A6421">
        <w:rPr>
          <w:rFonts w:ascii="Times New Roman" w:hAnsi="Times New Roman" w:cs="Times New Roman"/>
          <w:sz w:val="24"/>
          <w:szCs w:val="24"/>
        </w:rPr>
        <w:t xml:space="preserve">samazināt iedzīvotājiem pieejamo pakalpojumu grozu, piemēram, </w:t>
      </w:r>
      <w:r w:rsidR="009644A0" w:rsidRPr="006A6421">
        <w:rPr>
          <w:rFonts w:ascii="Times New Roman" w:hAnsi="Times New Roman" w:cs="Times New Roman"/>
          <w:sz w:val="24"/>
          <w:szCs w:val="24"/>
        </w:rPr>
        <w:t>samazinot</w:t>
      </w:r>
      <w:r w:rsidR="00107264" w:rsidRPr="006A6421">
        <w:rPr>
          <w:rFonts w:ascii="Times New Roman" w:hAnsi="Times New Roman" w:cs="Times New Roman"/>
          <w:sz w:val="24"/>
          <w:szCs w:val="24"/>
        </w:rPr>
        <w:t xml:space="preserve"> </w:t>
      </w:r>
      <w:r w:rsidR="009644A0" w:rsidRPr="006A6421">
        <w:rPr>
          <w:rFonts w:ascii="Times New Roman" w:hAnsi="Times New Roman" w:cs="Times New Roman"/>
          <w:sz w:val="24"/>
          <w:szCs w:val="24"/>
        </w:rPr>
        <w:t xml:space="preserve">laboratoriskos un </w:t>
      </w:r>
      <w:r w:rsidR="006B7513" w:rsidRPr="006A6421">
        <w:rPr>
          <w:rFonts w:ascii="Times New Roman" w:hAnsi="Times New Roman" w:cs="Times New Roman"/>
          <w:sz w:val="24"/>
          <w:szCs w:val="24"/>
        </w:rPr>
        <w:t xml:space="preserve">tādus </w:t>
      </w:r>
      <w:r w:rsidR="00107264" w:rsidRPr="006A6421">
        <w:rPr>
          <w:rFonts w:ascii="Times New Roman" w:hAnsi="Times New Roman" w:cs="Times New Roman"/>
          <w:sz w:val="24"/>
          <w:szCs w:val="24"/>
        </w:rPr>
        <w:t>vizuālās diagnostikas izmeklējumus</w:t>
      </w:r>
      <w:r w:rsidR="009644A0" w:rsidRPr="006A6421">
        <w:rPr>
          <w:rFonts w:ascii="Times New Roman" w:hAnsi="Times New Roman" w:cs="Times New Roman"/>
          <w:sz w:val="24"/>
          <w:szCs w:val="24"/>
        </w:rPr>
        <w:t xml:space="preserve"> </w:t>
      </w:r>
      <w:r w:rsidR="006B7513" w:rsidRPr="006A6421">
        <w:rPr>
          <w:rFonts w:ascii="Times New Roman" w:hAnsi="Times New Roman" w:cs="Times New Roman"/>
          <w:sz w:val="24"/>
          <w:szCs w:val="24"/>
        </w:rPr>
        <w:t>kā</w:t>
      </w:r>
      <w:r w:rsidR="00107264" w:rsidRPr="006A6421">
        <w:rPr>
          <w:rFonts w:ascii="Times New Roman" w:hAnsi="Times New Roman" w:cs="Times New Roman"/>
          <w:sz w:val="24"/>
          <w:szCs w:val="24"/>
        </w:rPr>
        <w:t xml:space="preserve"> rentgenoloģija</w:t>
      </w:r>
      <w:r w:rsidR="006B7513" w:rsidRPr="006A6421">
        <w:rPr>
          <w:rFonts w:ascii="Times New Roman" w:hAnsi="Times New Roman" w:cs="Times New Roman"/>
          <w:sz w:val="24"/>
          <w:szCs w:val="24"/>
        </w:rPr>
        <w:t>,</w:t>
      </w:r>
      <w:r w:rsidR="00107264" w:rsidRPr="006A6421">
        <w:rPr>
          <w:rFonts w:ascii="Times New Roman" w:hAnsi="Times New Roman" w:cs="Times New Roman"/>
          <w:sz w:val="24"/>
          <w:szCs w:val="24"/>
        </w:rPr>
        <w:t xml:space="preserve"> </w:t>
      </w:r>
      <w:r w:rsidR="006B7513" w:rsidRPr="006A6421">
        <w:rPr>
          <w:rFonts w:ascii="Times New Roman" w:hAnsi="Times New Roman" w:cs="Times New Roman"/>
          <w:sz w:val="24"/>
          <w:szCs w:val="24"/>
        </w:rPr>
        <w:t xml:space="preserve">kodolmagnētiskās rezonanse, </w:t>
      </w:r>
      <w:r w:rsidR="00107264" w:rsidRPr="006A6421">
        <w:rPr>
          <w:rFonts w:ascii="Times New Roman" w:hAnsi="Times New Roman" w:cs="Times New Roman"/>
          <w:sz w:val="24"/>
          <w:szCs w:val="24"/>
        </w:rPr>
        <w:t>datortom</w:t>
      </w:r>
      <w:r w:rsidR="00107264" w:rsidRPr="00CF0F95">
        <w:rPr>
          <w:rFonts w:ascii="Times New Roman" w:hAnsi="Times New Roman" w:cs="Times New Roman"/>
          <w:sz w:val="24"/>
          <w:szCs w:val="24"/>
        </w:rPr>
        <w:t>ogrāfija</w:t>
      </w:r>
      <w:r w:rsidR="006B7513">
        <w:rPr>
          <w:rFonts w:ascii="Times New Roman" w:hAnsi="Times New Roman" w:cs="Times New Roman"/>
          <w:sz w:val="24"/>
          <w:szCs w:val="24"/>
        </w:rPr>
        <w:t>,</w:t>
      </w:r>
      <w:r w:rsidR="00107264" w:rsidRPr="00CF0F95">
        <w:rPr>
          <w:rFonts w:ascii="Times New Roman" w:hAnsi="Times New Roman" w:cs="Times New Roman"/>
          <w:sz w:val="24"/>
          <w:szCs w:val="24"/>
        </w:rPr>
        <w:t xml:space="preserve"> ultrasonogrāfija, tādējādi ietaupītos līdzekļus novirzot tarifa celšanai.</w:t>
      </w:r>
      <w:r w:rsidRPr="00CF0F95">
        <w:rPr>
          <w:rFonts w:ascii="Times New Roman" w:hAnsi="Times New Roman" w:cs="Times New Roman"/>
          <w:sz w:val="24"/>
          <w:szCs w:val="24"/>
        </w:rPr>
        <w:t xml:space="preserve"> </w:t>
      </w:r>
    </w:p>
    <w:p w:rsidR="00D35EEC" w:rsidRDefault="00D35EEC" w:rsidP="0087309B">
      <w:pPr>
        <w:keepLines/>
        <w:autoSpaceDE w:val="0"/>
        <w:autoSpaceDN w:val="0"/>
        <w:adjustRightInd w:val="0"/>
        <w:spacing w:after="0" w:line="240" w:lineRule="auto"/>
        <w:jc w:val="both"/>
        <w:rPr>
          <w:rFonts w:ascii="Times New Roman" w:hAnsi="Times New Roman" w:cs="Times New Roman"/>
          <w:color w:val="000000"/>
          <w:sz w:val="24"/>
          <w:szCs w:val="24"/>
        </w:rPr>
      </w:pPr>
    </w:p>
    <w:p w:rsidR="00D35EEC" w:rsidRPr="002A270D" w:rsidRDefault="00D35EEC" w:rsidP="00D35EEC">
      <w:pPr>
        <w:spacing w:after="0" w:line="240" w:lineRule="auto"/>
        <w:rPr>
          <w:rFonts w:ascii="Times New Roman" w:hAnsi="Times New Roman"/>
        </w:rPr>
      </w:pPr>
      <w:r w:rsidRPr="002A270D">
        <w:rPr>
          <w:rFonts w:ascii="Times New Roman" w:hAnsi="Times New Roman"/>
          <w:sz w:val="24"/>
          <w:szCs w:val="24"/>
          <w:lang w:eastAsia="ar-SA"/>
        </w:rPr>
        <w:t>Veselības ministre</w:t>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r w:rsidRPr="002A270D">
        <w:rPr>
          <w:rFonts w:ascii="Times New Roman" w:hAnsi="Times New Roman"/>
          <w:sz w:val="24"/>
          <w:szCs w:val="24"/>
          <w:lang w:eastAsia="ar-SA"/>
        </w:rPr>
        <w:tab/>
      </w:r>
      <w:proofErr w:type="spellStart"/>
      <w:r w:rsidRPr="002A270D">
        <w:rPr>
          <w:rFonts w:ascii="Times New Roman" w:hAnsi="Times New Roman"/>
          <w:sz w:val="24"/>
          <w:szCs w:val="24"/>
          <w:lang w:eastAsia="ar-SA"/>
        </w:rPr>
        <w:t>I.Circene</w:t>
      </w:r>
      <w:proofErr w:type="spellEnd"/>
      <w:r>
        <w:rPr>
          <w:rFonts w:ascii="Times New Roman" w:hAnsi="Times New Roman"/>
        </w:rPr>
        <w:tab/>
      </w:r>
    </w:p>
    <w:p w:rsidR="00E35985" w:rsidRDefault="00E35985" w:rsidP="00D35EEC">
      <w:pPr>
        <w:pStyle w:val="NormalWeb"/>
        <w:snapToGrid w:val="0"/>
        <w:spacing w:before="0" w:beforeAutospacing="0" w:after="0" w:afterAutospacing="0"/>
        <w:jc w:val="both"/>
        <w:rPr>
          <w:sz w:val="22"/>
          <w:szCs w:val="22"/>
          <w:highlight w:val="yellow"/>
        </w:rPr>
      </w:pPr>
    </w:p>
    <w:p w:rsidR="006A6421" w:rsidRDefault="006A6421" w:rsidP="00D35EEC">
      <w:pPr>
        <w:pStyle w:val="NormalWeb"/>
        <w:snapToGrid w:val="0"/>
        <w:spacing w:before="0" w:beforeAutospacing="0" w:after="0" w:afterAutospacing="0"/>
        <w:jc w:val="both"/>
        <w:rPr>
          <w:sz w:val="22"/>
          <w:szCs w:val="22"/>
          <w:highlight w:val="yellow"/>
        </w:rPr>
      </w:pPr>
    </w:p>
    <w:p w:rsidR="006A6421" w:rsidRDefault="006A6421" w:rsidP="00D35EEC">
      <w:pPr>
        <w:pStyle w:val="NormalWeb"/>
        <w:snapToGrid w:val="0"/>
        <w:spacing w:before="0" w:beforeAutospacing="0" w:after="0" w:afterAutospacing="0"/>
        <w:jc w:val="both"/>
        <w:rPr>
          <w:sz w:val="22"/>
          <w:szCs w:val="22"/>
          <w:highlight w:val="yellow"/>
        </w:rPr>
      </w:pPr>
    </w:p>
    <w:p w:rsidR="00D35EEC" w:rsidRPr="006A6421" w:rsidRDefault="00AB6C1B" w:rsidP="00D35EEC">
      <w:pPr>
        <w:pStyle w:val="NormalWeb"/>
        <w:snapToGrid w:val="0"/>
        <w:spacing w:before="0" w:beforeAutospacing="0" w:after="0" w:afterAutospacing="0"/>
        <w:jc w:val="both"/>
        <w:rPr>
          <w:sz w:val="22"/>
          <w:szCs w:val="22"/>
        </w:rPr>
      </w:pPr>
      <w:r w:rsidRPr="006A6421">
        <w:rPr>
          <w:sz w:val="22"/>
          <w:szCs w:val="22"/>
        </w:rPr>
        <w:t>2</w:t>
      </w:r>
      <w:r w:rsidR="00E2191C" w:rsidRPr="006A6421">
        <w:rPr>
          <w:sz w:val="22"/>
          <w:szCs w:val="22"/>
        </w:rPr>
        <w:t>4</w:t>
      </w:r>
      <w:r w:rsidR="00D35EEC" w:rsidRPr="006A6421">
        <w:rPr>
          <w:sz w:val="22"/>
          <w:szCs w:val="22"/>
        </w:rPr>
        <w:t>.</w:t>
      </w:r>
      <w:r w:rsidRPr="006A6421">
        <w:rPr>
          <w:sz w:val="22"/>
          <w:szCs w:val="22"/>
        </w:rPr>
        <w:t>02</w:t>
      </w:r>
      <w:r w:rsidR="00D35EEC" w:rsidRPr="006A6421">
        <w:rPr>
          <w:sz w:val="22"/>
          <w:szCs w:val="22"/>
        </w:rPr>
        <w:t>.201</w:t>
      </w:r>
      <w:r w:rsidRPr="006A6421">
        <w:rPr>
          <w:sz w:val="22"/>
          <w:szCs w:val="22"/>
        </w:rPr>
        <w:t>2</w:t>
      </w:r>
      <w:r w:rsidR="00D35EEC" w:rsidRPr="006A6421">
        <w:rPr>
          <w:sz w:val="22"/>
          <w:szCs w:val="22"/>
        </w:rPr>
        <w:t xml:space="preserve"> </w:t>
      </w:r>
      <w:r w:rsidR="006A6421">
        <w:rPr>
          <w:sz w:val="22"/>
          <w:szCs w:val="22"/>
        </w:rPr>
        <w:t>1</w:t>
      </w:r>
      <w:r w:rsidR="00BC23CB">
        <w:rPr>
          <w:sz w:val="22"/>
          <w:szCs w:val="22"/>
        </w:rPr>
        <w:t>2</w:t>
      </w:r>
      <w:r w:rsidR="00D35EEC" w:rsidRPr="006A6421">
        <w:rPr>
          <w:sz w:val="22"/>
          <w:szCs w:val="22"/>
        </w:rPr>
        <w:t>:</w:t>
      </w:r>
      <w:r w:rsidR="0050138B" w:rsidRPr="006A6421">
        <w:rPr>
          <w:sz w:val="22"/>
          <w:szCs w:val="22"/>
        </w:rPr>
        <w:t>0</w:t>
      </w:r>
      <w:r w:rsidR="00293F9A">
        <w:rPr>
          <w:sz w:val="22"/>
          <w:szCs w:val="22"/>
        </w:rPr>
        <w:t>6</w:t>
      </w:r>
    </w:p>
    <w:p w:rsidR="00D35EEC" w:rsidRPr="002A270D" w:rsidRDefault="006A6421" w:rsidP="00D35EEC">
      <w:pPr>
        <w:pStyle w:val="NormalWeb"/>
        <w:snapToGrid w:val="0"/>
        <w:spacing w:before="0" w:beforeAutospacing="0" w:after="0" w:afterAutospacing="0"/>
        <w:jc w:val="both"/>
        <w:rPr>
          <w:sz w:val="22"/>
          <w:szCs w:val="22"/>
        </w:rPr>
      </w:pPr>
      <w:r>
        <w:rPr>
          <w:sz w:val="22"/>
          <w:szCs w:val="22"/>
        </w:rPr>
        <w:t>2019</w:t>
      </w:r>
    </w:p>
    <w:p w:rsidR="00D35EEC" w:rsidRPr="002A270D" w:rsidRDefault="00D35EEC" w:rsidP="00D35EEC">
      <w:pPr>
        <w:pStyle w:val="NormalWeb"/>
        <w:snapToGrid w:val="0"/>
        <w:spacing w:before="120" w:beforeAutospacing="0" w:after="0" w:afterAutospacing="0"/>
        <w:jc w:val="both"/>
        <w:rPr>
          <w:sz w:val="22"/>
          <w:szCs w:val="22"/>
        </w:rPr>
      </w:pPr>
      <w:r>
        <w:rPr>
          <w:sz w:val="22"/>
          <w:szCs w:val="22"/>
        </w:rPr>
        <w:t>A.Veidemanis</w:t>
      </w:r>
      <w:r w:rsidRPr="002A270D">
        <w:rPr>
          <w:sz w:val="22"/>
          <w:szCs w:val="22"/>
        </w:rPr>
        <w:t>, 678760</w:t>
      </w:r>
      <w:r>
        <w:rPr>
          <w:sz w:val="22"/>
          <w:szCs w:val="22"/>
        </w:rPr>
        <w:t>29</w:t>
      </w:r>
    </w:p>
    <w:p w:rsidR="00D35EEC" w:rsidRPr="002A270D" w:rsidRDefault="00D35EEC" w:rsidP="00D35EEC">
      <w:pPr>
        <w:pStyle w:val="NormalWeb"/>
        <w:snapToGrid w:val="0"/>
        <w:spacing w:before="0" w:beforeAutospacing="0" w:after="0" w:afterAutospacing="0"/>
        <w:jc w:val="both"/>
        <w:rPr>
          <w:sz w:val="22"/>
          <w:szCs w:val="22"/>
        </w:rPr>
      </w:pPr>
      <w:r>
        <w:rPr>
          <w:sz w:val="22"/>
          <w:szCs w:val="22"/>
        </w:rPr>
        <w:t>Arturs.Veidemanis</w:t>
      </w:r>
      <w:r w:rsidRPr="002A270D">
        <w:rPr>
          <w:sz w:val="22"/>
          <w:szCs w:val="22"/>
        </w:rPr>
        <w:t>@vm.gov.lv</w:t>
      </w:r>
    </w:p>
    <w:p w:rsidR="00D35EEC" w:rsidRPr="002A270D" w:rsidRDefault="00E35985" w:rsidP="00D35EEC">
      <w:pPr>
        <w:pStyle w:val="NormalWeb"/>
        <w:snapToGrid w:val="0"/>
        <w:spacing w:before="120" w:beforeAutospacing="0" w:after="0" w:afterAutospacing="0"/>
        <w:jc w:val="both"/>
        <w:rPr>
          <w:sz w:val="22"/>
          <w:szCs w:val="22"/>
        </w:rPr>
      </w:pPr>
      <w:proofErr w:type="spellStart"/>
      <w:r>
        <w:rPr>
          <w:sz w:val="22"/>
          <w:szCs w:val="22"/>
        </w:rPr>
        <w:t>S.Sproģe</w:t>
      </w:r>
      <w:proofErr w:type="spellEnd"/>
      <w:r w:rsidR="00D35EEC" w:rsidRPr="002A270D">
        <w:rPr>
          <w:sz w:val="22"/>
          <w:szCs w:val="22"/>
        </w:rPr>
        <w:t xml:space="preserve">, </w:t>
      </w:r>
      <w:r w:rsidRPr="00E35985">
        <w:rPr>
          <w:color w:val="000000"/>
          <w:sz w:val="22"/>
          <w:szCs w:val="22"/>
        </w:rPr>
        <w:t>67043793</w:t>
      </w:r>
    </w:p>
    <w:p w:rsidR="00D35EEC" w:rsidRPr="002A270D" w:rsidRDefault="00E35985" w:rsidP="00D35EEC">
      <w:pPr>
        <w:pStyle w:val="NormalWeb"/>
        <w:snapToGrid w:val="0"/>
        <w:spacing w:before="0" w:beforeAutospacing="0" w:after="0" w:afterAutospacing="0"/>
        <w:jc w:val="both"/>
      </w:pPr>
      <w:r>
        <w:rPr>
          <w:sz w:val="22"/>
          <w:szCs w:val="22"/>
        </w:rPr>
        <w:t>Sarma.Sproģe</w:t>
      </w:r>
      <w:r w:rsidR="00D35EEC" w:rsidRPr="002A270D">
        <w:rPr>
          <w:sz w:val="22"/>
          <w:szCs w:val="22"/>
        </w:rPr>
        <w:t>@vm</w:t>
      </w:r>
      <w:r w:rsidR="00AB6C1B">
        <w:rPr>
          <w:sz w:val="22"/>
          <w:szCs w:val="22"/>
        </w:rPr>
        <w:t>nvd</w:t>
      </w:r>
      <w:r w:rsidR="00D35EEC" w:rsidRPr="002A270D">
        <w:rPr>
          <w:sz w:val="22"/>
          <w:szCs w:val="22"/>
        </w:rPr>
        <w:t>.gov.lv</w:t>
      </w:r>
    </w:p>
    <w:p w:rsidR="00D35EEC" w:rsidRPr="00D35EEC" w:rsidRDefault="00D35EEC" w:rsidP="00D35EEC">
      <w:pPr>
        <w:keepLines/>
        <w:autoSpaceDE w:val="0"/>
        <w:autoSpaceDN w:val="0"/>
        <w:adjustRightInd w:val="0"/>
        <w:spacing w:after="0" w:line="240" w:lineRule="auto"/>
        <w:jc w:val="both"/>
        <w:rPr>
          <w:rFonts w:ascii="Times New Roman" w:hAnsi="Times New Roman" w:cs="Times New Roman"/>
          <w:color w:val="000000"/>
          <w:sz w:val="24"/>
          <w:szCs w:val="24"/>
        </w:rPr>
      </w:pPr>
    </w:p>
    <w:sectPr w:rsidR="00D35EEC" w:rsidRPr="00D35EEC" w:rsidSect="00C527B7">
      <w:pgSz w:w="11906" w:h="16838"/>
      <w:pgMar w:top="1440" w:right="1134" w:bottom="144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52" w:rsidRDefault="00827952" w:rsidP="00622BD0">
      <w:pPr>
        <w:spacing w:after="0" w:line="240" w:lineRule="auto"/>
      </w:pPr>
      <w:r>
        <w:separator/>
      </w:r>
    </w:p>
  </w:endnote>
  <w:endnote w:type="continuationSeparator" w:id="0">
    <w:p w:rsidR="00827952" w:rsidRDefault="00827952" w:rsidP="0062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52" w:rsidRPr="00145505" w:rsidRDefault="00827952">
    <w:pPr>
      <w:pStyle w:val="Footer"/>
      <w:rPr>
        <w:sz w:val="20"/>
        <w:szCs w:val="20"/>
      </w:rPr>
    </w:pPr>
    <w:r w:rsidRPr="00145505">
      <w:rPr>
        <w:rFonts w:ascii="Times New Roman" w:hAnsi="Times New Roman" w:cs="Times New Roman"/>
        <w:sz w:val="20"/>
        <w:szCs w:val="20"/>
      </w:rPr>
      <w:t>VMzino_2</w:t>
    </w:r>
    <w:r>
      <w:rPr>
        <w:rFonts w:ascii="Times New Roman" w:hAnsi="Times New Roman" w:cs="Times New Roman"/>
        <w:sz w:val="20"/>
        <w:szCs w:val="20"/>
      </w:rPr>
      <w:t>4</w:t>
    </w:r>
    <w:r w:rsidRPr="00145505">
      <w:rPr>
        <w:rFonts w:ascii="Times New Roman" w:hAnsi="Times New Roman" w:cs="Times New Roman"/>
        <w:sz w:val="20"/>
        <w:szCs w:val="20"/>
      </w:rPr>
      <w:t>0212; Informatīvais ziņojums “</w:t>
    </w:r>
    <w:r w:rsidRPr="00145505">
      <w:rPr>
        <w:sz w:val="20"/>
        <w:szCs w:val="20"/>
      </w:rPr>
      <w:t xml:space="preserve"> </w:t>
    </w:r>
    <w:r w:rsidRPr="00145505">
      <w:rPr>
        <w:rFonts w:ascii="Times New Roman" w:hAnsi="Times New Roman" w:cs="Times New Roman"/>
        <w:sz w:val="20"/>
        <w:szCs w:val="20"/>
      </w:rPr>
      <w:t>P</w:t>
    </w:r>
    <w:r w:rsidRPr="00145505">
      <w:rPr>
        <w:rFonts w:ascii="Times New Roman" w:hAnsi="Times New Roman" w:cs="Times New Roman"/>
        <w:color w:val="000000"/>
        <w:sz w:val="20"/>
        <w:szCs w:val="20"/>
      </w:rPr>
      <w:t>ar līgumu noslēgšanas gaitu starp Nacionālo veselības dienestu un ārstniecības iestādēm</w:t>
    </w:r>
    <w:r w:rsidRPr="00145505">
      <w:rPr>
        <w:rFonts w:ascii="Times New Roman" w:hAnsi="Times New Roman" w:cs="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52" w:rsidRDefault="00827952">
    <w:pPr>
      <w:pStyle w:val="Footer"/>
    </w:pPr>
    <w:r w:rsidRPr="00145505">
      <w:rPr>
        <w:rFonts w:ascii="Times New Roman" w:hAnsi="Times New Roman" w:cs="Times New Roman"/>
        <w:sz w:val="20"/>
        <w:szCs w:val="20"/>
      </w:rPr>
      <w:t>VMzino_2</w:t>
    </w:r>
    <w:r>
      <w:rPr>
        <w:rFonts w:ascii="Times New Roman" w:hAnsi="Times New Roman" w:cs="Times New Roman"/>
        <w:sz w:val="20"/>
        <w:szCs w:val="20"/>
      </w:rPr>
      <w:t>4</w:t>
    </w:r>
    <w:r w:rsidRPr="00145505">
      <w:rPr>
        <w:rFonts w:ascii="Times New Roman" w:hAnsi="Times New Roman" w:cs="Times New Roman"/>
        <w:sz w:val="20"/>
        <w:szCs w:val="20"/>
      </w:rPr>
      <w:t>0212; Informatīvais ziņojums “</w:t>
    </w:r>
    <w:r w:rsidRPr="00145505">
      <w:rPr>
        <w:sz w:val="20"/>
        <w:szCs w:val="20"/>
      </w:rPr>
      <w:t xml:space="preserve"> </w:t>
    </w:r>
    <w:bookmarkStart w:id="3" w:name="OLE_LINK5"/>
    <w:bookmarkStart w:id="4" w:name="OLE_LINK6"/>
    <w:r w:rsidRPr="00145505">
      <w:rPr>
        <w:rFonts w:ascii="Times New Roman" w:hAnsi="Times New Roman" w:cs="Times New Roman"/>
        <w:sz w:val="20"/>
        <w:szCs w:val="20"/>
      </w:rPr>
      <w:t>P</w:t>
    </w:r>
    <w:r w:rsidRPr="00145505">
      <w:rPr>
        <w:rFonts w:ascii="Times New Roman" w:hAnsi="Times New Roman" w:cs="Times New Roman"/>
        <w:color w:val="000000"/>
        <w:sz w:val="20"/>
        <w:szCs w:val="20"/>
      </w:rPr>
      <w:t>ar līgumu noslēgšanas gaitu starp Nacionālo veselības dienestu un ārstniecības iestādēm</w:t>
    </w:r>
    <w:bookmarkEnd w:id="3"/>
    <w:bookmarkEnd w:id="4"/>
    <w:r w:rsidRPr="00145505">
      <w:rPr>
        <w:rFonts w:ascii="Times New Roman" w:hAnsi="Times New Roman" w:cs="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52" w:rsidRDefault="00827952" w:rsidP="00622BD0">
      <w:pPr>
        <w:spacing w:after="0" w:line="240" w:lineRule="auto"/>
      </w:pPr>
      <w:r>
        <w:separator/>
      </w:r>
    </w:p>
  </w:footnote>
  <w:footnote w:type="continuationSeparator" w:id="0">
    <w:p w:rsidR="00827952" w:rsidRDefault="00827952" w:rsidP="0062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9813"/>
      <w:docPartObj>
        <w:docPartGallery w:val="Page Numbers (Top of Page)"/>
        <w:docPartUnique/>
      </w:docPartObj>
    </w:sdtPr>
    <w:sdtContent>
      <w:p w:rsidR="00827952" w:rsidRDefault="00CC48FD">
        <w:pPr>
          <w:pStyle w:val="Header"/>
          <w:jc w:val="center"/>
        </w:pPr>
        <w:fldSimple w:instr=" PAGE   \* MERGEFORMAT ">
          <w:r w:rsidR="00293F9A">
            <w:rPr>
              <w:noProof/>
            </w:rPr>
            <w:t>8</w:t>
          </w:r>
        </w:fldSimple>
      </w:p>
    </w:sdtContent>
  </w:sdt>
  <w:p w:rsidR="00827952" w:rsidRDefault="00827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52" w:rsidRDefault="00827952">
    <w:pPr>
      <w:pStyle w:val="Header"/>
      <w:jc w:val="center"/>
    </w:pPr>
  </w:p>
  <w:p w:rsidR="00827952" w:rsidRDefault="00827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F7B"/>
    <w:multiLevelType w:val="hybridMultilevel"/>
    <w:tmpl w:val="DFAC6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6AF708D"/>
    <w:multiLevelType w:val="hybridMultilevel"/>
    <w:tmpl w:val="66182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48A5F7F"/>
    <w:multiLevelType w:val="multilevel"/>
    <w:tmpl w:val="B6EE4C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7EF68B4"/>
    <w:multiLevelType w:val="hybridMultilevel"/>
    <w:tmpl w:val="27B81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EBA7FEB"/>
    <w:multiLevelType w:val="hybridMultilevel"/>
    <w:tmpl w:val="78FA712E"/>
    <w:lvl w:ilvl="0" w:tplc="0B94999C">
      <w:start w:val="1"/>
      <w:numFmt w:val="decimal"/>
      <w:lvlText w:val="%1)"/>
      <w:lvlJc w:val="left"/>
      <w:pPr>
        <w:ind w:left="720" w:hanging="360"/>
      </w:pPr>
      <w:rPr>
        <w:rFonts w:ascii="Times New Roman" w:hAnsi="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257A5D"/>
    <w:rsid w:val="00007247"/>
    <w:rsid w:val="0002204A"/>
    <w:rsid w:val="00035936"/>
    <w:rsid w:val="00050E07"/>
    <w:rsid w:val="000C3E1D"/>
    <w:rsid w:val="000E170F"/>
    <w:rsid w:val="000E3161"/>
    <w:rsid w:val="000F1ED5"/>
    <w:rsid w:val="00107264"/>
    <w:rsid w:val="0013018D"/>
    <w:rsid w:val="00145505"/>
    <w:rsid w:val="00157345"/>
    <w:rsid w:val="00164112"/>
    <w:rsid w:val="00174F70"/>
    <w:rsid w:val="001971F8"/>
    <w:rsid w:val="00206004"/>
    <w:rsid w:val="00235D83"/>
    <w:rsid w:val="00257A5D"/>
    <w:rsid w:val="002620AB"/>
    <w:rsid w:val="00293F9A"/>
    <w:rsid w:val="002A7F98"/>
    <w:rsid w:val="002C11B2"/>
    <w:rsid w:val="002C5180"/>
    <w:rsid w:val="00301647"/>
    <w:rsid w:val="00320032"/>
    <w:rsid w:val="00323CD0"/>
    <w:rsid w:val="0034057E"/>
    <w:rsid w:val="00372322"/>
    <w:rsid w:val="0038630C"/>
    <w:rsid w:val="003B4796"/>
    <w:rsid w:val="00454F8A"/>
    <w:rsid w:val="00464686"/>
    <w:rsid w:val="004722CA"/>
    <w:rsid w:val="004A3699"/>
    <w:rsid w:val="004A3BDA"/>
    <w:rsid w:val="004D2992"/>
    <w:rsid w:val="004E4F3D"/>
    <w:rsid w:val="004E59F4"/>
    <w:rsid w:val="0050138B"/>
    <w:rsid w:val="00515DF0"/>
    <w:rsid w:val="00526C37"/>
    <w:rsid w:val="00582272"/>
    <w:rsid w:val="00583B0A"/>
    <w:rsid w:val="005B0AC9"/>
    <w:rsid w:val="006044CC"/>
    <w:rsid w:val="00613E70"/>
    <w:rsid w:val="00622BD0"/>
    <w:rsid w:val="00662E16"/>
    <w:rsid w:val="006A6421"/>
    <w:rsid w:val="006B7513"/>
    <w:rsid w:val="006E4E63"/>
    <w:rsid w:val="00700F1E"/>
    <w:rsid w:val="00736339"/>
    <w:rsid w:val="00755D6A"/>
    <w:rsid w:val="00785175"/>
    <w:rsid w:val="00794C4F"/>
    <w:rsid w:val="007D0AF2"/>
    <w:rsid w:val="007E2BC7"/>
    <w:rsid w:val="007F0427"/>
    <w:rsid w:val="008014F4"/>
    <w:rsid w:val="00827952"/>
    <w:rsid w:val="00836801"/>
    <w:rsid w:val="00844159"/>
    <w:rsid w:val="008576B8"/>
    <w:rsid w:val="0087309B"/>
    <w:rsid w:val="00873F61"/>
    <w:rsid w:val="008B6600"/>
    <w:rsid w:val="008E44C5"/>
    <w:rsid w:val="009266C5"/>
    <w:rsid w:val="009511A4"/>
    <w:rsid w:val="00954464"/>
    <w:rsid w:val="009644A0"/>
    <w:rsid w:val="00977C66"/>
    <w:rsid w:val="009D6F72"/>
    <w:rsid w:val="009F67DB"/>
    <w:rsid w:val="00A15C8F"/>
    <w:rsid w:val="00A6104E"/>
    <w:rsid w:val="00A75C83"/>
    <w:rsid w:val="00A81E43"/>
    <w:rsid w:val="00AB6C1B"/>
    <w:rsid w:val="00AE39B2"/>
    <w:rsid w:val="00B12006"/>
    <w:rsid w:val="00B72BFD"/>
    <w:rsid w:val="00B82DD1"/>
    <w:rsid w:val="00B97168"/>
    <w:rsid w:val="00BC23CB"/>
    <w:rsid w:val="00BD2942"/>
    <w:rsid w:val="00C212DB"/>
    <w:rsid w:val="00C527B7"/>
    <w:rsid w:val="00CA4F6A"/>
    <w:rsid w:val="00CA5177"/>
    <w:rsid w:val="00CA53C5"/>
    <w:rsid w:val="00CC48FD"/>
    <w:rsid w:val="00CD33E7"/>
    <w:rsid w:val="00CF0F95"/>
    <w:rsid w:val="00D051A6"/>
    <w:rsid w:val="00D35EEC"/>
    <w:rsid w:val="00D73B39"/>
    <w:rsid w:val="00D7792B"/>
    <w:rsid w:val="00DA6749"/>
    <w:rsid w:val="00DB7BB6"/>
    <w:rsid w:val="00E13898"/>
    <w:rsid w:val="00E2191C"/>
    <w:rsid w:val="00E35985"/>
    <w:rsid w:val="00E4140E"/>
    <w:rsid w:val="00E6799E"/>
    <w:rsid w:val="00EC03D4"/>
    <w:rsid w:val="00EC075D"/>
    <w:rsid w:val="00EE72C4"/>
    <w:rsid w:val="00EF0DBF"/>
    <w:rsid w:val="00F1382E"/>
    <w:rsid w:val="00F52CCC"/>
    <w:rsid w:val="00FD07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2BD0"/>
  </w:style>
  <w:style w:type="paragraph" w:styleId="Footer">
    <w:name w:val="footer"/>
    <w:basedOn w:val="Normal"/>
    <w:link w:val="FooterChar"/>
    <w:uiPriority w:val="99"/>
    <w:semiHidden/>
    <w:unhideWhenUsed/>
    <w:rsid w:val="00622BD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2BD0"/>
  </w:style>
  <w:style w:type="paragraph" w:styleId="NormalWeb">
    <w:name w:val="Normal (Web)"/>
    <w:basedOn w:val="Normal"/>
    <w:uiPriority w:val="99"/>
    <w:unhideWhenUsed/>
    <w:rsid w:val="004722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6339"/>
    <w:pPr>
      <w:ind w:left="720"/>
      <w:contextualSpacing/>
    </w:pPr>
  </w:style>
  <w:style w:type="paragraph" w:styleId="BalloonText">
    <w:name w:val="Balloon Text"/>
    <w:basedOn w:val="Normal"/>
    <w:link w:val="BalloonTextChar"/>
    <w:uiPriority w:val="99"/>
    <w:semiHidden/>
    <w:unhideWhenUsed/>
    <w:rsid w:val="0032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D0"/>
    <w:rPr>
      <w:rFonts w:ascii="Tahoma" w:hAnsi="Tahoma" w:cs="Tahoma"/>
      <w:sz w:val="16"/>
      <w:szCs w:val="16"/>
    </w:rPr>
  </w:style>
  <w:style w:type="table" w:styleId="TableGrid">
    <w:name w:val="Table Grid"/>
    <w:basedOn w:val="TableNormal"/>
    <w:uiPriority w:val="59"/>
    <w:rsid w:val="00E1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7264"/>
    <w:rPr>
      <w:sz w:val="16"/>
      <w:szCs w:val="16"/>
    </w:rPr>
  </w:style>
  <w:style w:type="paragraph" w:styleId="CommentText">
    <w:name w:val="annotation text"/>
    <w:basedOn w:val="Normal"/>
    <w:link w:val="CommentTextChar"/>
    <w:uiPriority w:val="99"/>
    <w:semiHidden/>
    <w:unhideWhenUsed/>
    <w:rsid w:val="00107264"/>
    <w:pPr>
      <w:spacing w:line="240" w:lineRule="auto"/>
    </w:pPr>
    <w:rPr>
      <w:sz w:val="20"/>
      <w:szCs w:val="20"/>
    </w:rPr>
  </w:style>
  <w:style w:type="character" w:customStyle="1" w:styleId="CommentTextChar">
    <w:name w:val="Comment Text Char"/>
    <w:basedOn w:val="DefaultParagraphFont"/>
    <w:link w:val="CommentText"/>
    <w:uiPriority w:val="99"/>
    <w:semiHidden/>
    <w:rsid w:val="001072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0837">
      <w:bodyDiv w:val="1"/>
      <w:marLeft w:val="0"/>
      <w:marRight w:val="0"/>
      <w:marTop w:val="0"/>
      <w:marBottom w:val="0"/>
      <w:divBdr>
        <w:top w:val="none" w:sz="0" w:space="0" w:color="auto"/>
        <w:left w:val="none" w:sz="0" w:space="0" w:color="auto"/>
        <w:bottom w:val="none" w:sz="0" w:space="0" w:color="auto"/>
        <w:right w:val="none" w:sz="0" w:space="0" w:color="auto"/>
      </w:divBdr>
    </w:div>
    <w:div w:id="157162043">
      <w:bodyDiv w:val="1"/>
      <w:marLeft w:val="0"/>
      <w:marRight w:val="0"/>
      <w:marTop w:val="0"/>
      <w:marBottom w:val="0"/>
      <w:divBdr>
        <w:top w:val="none" w:sz="0" w:space="0" w:color="auto"/>
        <w:left w:val="none" w:sz="0" w:space="0" w:color="auto"/>
        <w:bottom w:val="none" w:sz="0" w:space="0" w:color="auto"/>
        <w:right w:val="none" w:sz="0" w:space="0" w:color="auto"/>
      </w:divBdr>
    </w:div>
    <w:div w:id="185215171">
      <w:bodyDiv w:val="1"/>
      <w:marLeft w:val="0"/>
      <w:marRight w:val="0"/>
      <w:marTop w:val="0"/>
      <w:marBottom w:val="0"/>
      <w:divBdr>
        <w:top w:val="none" w:sz="0" w:space="0" w:color="auto"/>
        <w:left w:val="none" w:sz="0" w:space="0" w:color="auto"/>
        <w:bottom w:val="none" w:sz="0" w:space="0" w:color="auto"/>
        <w:right w:val="none" w:sz="0" w:space="0" w:color="auto"/>
      </w:divBdr>
    </w:div>
    <w:div w:id="453405527">
      <w:bodyDiv w:val="1"/>
      <w:marLeft w:val="0"/>
      <w:marRight w:val="0"/>
      <w:marTop w:val="0"/>
      <w:marBottom w:val="0"/>
      <w:divBdr>
        <w:top w:val="none" w:sz="0" w:space="0" w:color="auto"/>
        <w:left w:val="none" w:sz="0" w:space="0" w:color="auto"/>
        <w:bottom w:val="none" w:sz="0" w:space="0" w:color="auto"/>
        <w:right w:val="none" w:sz="0" w:space="0" w:color="auto"/>
      </w:divBdr>
    </w:div>
    <w:div w:id="710957132">
      <w:bodyDiv w:val="1"/>
      <w:marLeft w:val="0"/>
      <w:marRight w:val="0"/>
      <w:marTop w:val="0"/>
      <w:marBottom w:val="0"/>
      <w:divBdr>
        <w:top w:val="none" w:sz="0" w:space="0" w:color="auto"/>
        <w:left w:val="none" w:sz="0" w:space="0" w:color="auto"/>
        <w:bottom w:val="none" w:sz="0" w:space="0" w:color="auto"/>
        <w:right w:val="none" w:sz="0" w:space="0" w:color="auto"/>
      </w:divBdr>
    </w:div>
    <w:div w:id="744036206">
      <w:bodyDiv w:val="1"/>
      <w:marLeft w:val="0"/>
      <w:marRight w:val="0"/>
      <w:marTop w:val="0"/>
      <w:marBottom w:val="0"/>
      <w:divBdr>
        <w:top w:val="none" w:sz="0" w:space="0" w:color="auto"/>
        <w:left w:val="none" w:sz="0" w:space="0" w:color="auto"/>
        <w:bottom w:val="none" w:sz="0" w:space="0" w:color="auto"/>
        <w:right w:val="none" w:sz="0" w:space="0" w:color="auto"/>
      </w:divBdr>
    </w:div>
    <w:div w:id="896167683">
      <w:bodyDiv w:val="1"/>
      <w:marLeft w:val="0"/>
      <w:marRight w:val="0"/>
      <w:marTop w:val="0"/>
      <w:marBottom w:val="0"/>
      <w:divBdr>
        <w:top w:val="none" w:sz="0" w:space="0" w:color="auto"/>
        <w:left w:val="none" w:sz="0" w:space="0" w:color="auto"/>
        <w:bottom w:val="none" w:sz="0" w:space="0" w:color="auto"/>
        <w:right w:val="none" w:sz="0" w:space="0" w:color="auto"/>
      </w:divBdr>
    </w:div>
    <w:div w:id="1340425722">
      <w:bodyDiv w:val="1"/>
      <w:marLeft w:val="0"/>
      <w:marRight w:val="0"/>
      <w:marTop w:val="0"/>
      <w:marBottom w:val="0"/>
      <w:divBdr>
        <w:top w:val="none" w:sz="0" w:space="0" w:color="auto"/>
        <w:left w:val="none" w:sz="0" w:space="0" w:color="auto"/>
        <w:bottom w:val="none" w:sz="0" w:space="0" w:color="auto"/>
        <w:right w:val="none" w:sz="0" w:space="0" w:color="auto"/>
      </w:divBdr>
    </w:div>
    <w:div w:id="1362703893">
      <w:bodyDiv w:val="1"/>
      <w:marLeft w:val="0"/>
      <w:marRight w:val="0"/>
      <w:marTop w:val="0"/>
      <w:marBottom w:val="0"/>
      <w:divBdr>
        <w:top w:val="none" w:sz="0" w:space="0" w:color="auto"/>
        <w:left w:val="none" w:sz="0" w:space="0" w:color="auto"/>
        <w:bottom w:val="none" w:sz="0" w:space="0" w:color="auto"/>
        <w:right w:val="none" w:sz="0" w:space="0" w:color="auto"/>
      </w:divBdr>
    </w:div>
    <w:div w:id="1488739525">
      <w:bodyDiv w:val="1"/>
      <w:marLeft w:val="0"/>
      <w:marRight w:val="0"/>
      <w:marTop w:val="0"/>
      <w:marBottom w:val="0"/>
      <w:divBdr>
        <w:top w:val="none" w:sz="0" w:space="0" w:color="auto"/>
        <w:left w:val="none" w:sz="0" w:space="0" w:color="auto"/>
        <w:bottom w:val="none" w:sz="0" w:space="0" w:color="auto"/>
        <w:right w:val="none" w:sz="0" w:space="0" w:color="auto"/>
      </w:divBdr>
    </w:div>
    <w:div w:id="1657537521">
      <w:bodyDiv w:val="1"/>
      <w:marLeft w:val="0"/>
      <w:marRight w:val="0"/>
      <w:marTop w:val="0"/>
      <w:marBottom w:val="0"/>
      <w:divBdr>
        <w:top w:val="none" w:sz="0" w:space="0" w:color="auto"/>
        <w:left w:val="none" w:sz="0" w:space="0" w:color="auto"/>
        <w:bottom w:val="none" w:sz="0" w:space="0" w:color="auto"/>
        <w:right w:val="none" w:sz="0" w:space="0" w:color="auto"/>
      </w:divBdr>
    </w:div>
    <w:div w:id="1768646873">
      <w:bodyDiv w:val="1"/>
      <w:marLeft w:val="0"/>
      <w:marRight w:val="0"/>
      <w:marTop w:val="0"/>
      <w:marBottom w:val="0"/>
      <w:divBdr>
        <w:top w:val="none" w:sz="0" w:space="0" w:color="auto"/>
        <w:left w:val="none" w:sz="0" w:space="0" w:color="auto"/>
        <w:bottom w:val="none" w:sz="0" w:space="0" w:color="auto"/>
        <w:right w:val="none" w:sz="0" w:space="0" w:color="auto"/>
      </w:divBdr>
    </w:div>
    <w:div w:id="1813863742">
      <w:bodyDiv w:val="1"/>
      <w:marLeft w:val="0"/>
      <w:marRight w:val="0"/>
      <w:marTop w:val="0"/>
      <w:marBottom w:val="0"/>
      <w:divBdr>
        <w:top w:val="none" w:sz="0" w:space="0" w:color="auto"/>
        <w:left w:val="none" w:sz="0" w:space="0" w:color="auto"/>
        <w:bottom w:val="none" w:sz="0" w:space="0" w:color="auto"/>
        <w:right w:val="none" w:sz="0" w:space="0" w:color="auto"/>
      </w:divBdr>
    </w:div>
    <w:div w:id="1834954893">
      <w:bodyDiv w:val="1"/>
      <w:marLeft w:val="0"/>
      <w:marRight w:val="0"/>
      <w:marTop w:val="0"/>
      <w:marBottom w:val="0"/>
      <w:divBdr>
        <w:top w:val="none" w:sz="0" w:space="0" w:color="auto"/>
        <w:left w:val="none" w:sz="0" w:space="0" w:color="auto"/>
        <w:bottom w:val="none" w:sz="0" w:space="0" w:color="auto"/>
        <w:right w:val="none" w:sz="0" w:space="0" w:color="auto"/>
      </w:divBdr>
    </w:div>
    <w:div w:id="20484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veidemanis.VM\AppData\Local\Temp\notesB9588C\dati%20prezentacijai_grafik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2.42\profile_redirect$\Aveidemanis\Desktop\Prezentacija_ministrei\dati%20prezentacija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1086208505235152"/>
          <c:y val="4.0893258508432423E-2"/>
          <c:w val="0.60464311358298484"/>
          <c:h val="0.82188164324763269"/>
        </c:manualLayout>
      </c:layout>
      <c:barChart>
        <c:barDir val="col"/>
        <c:grouping val="stacked"/>
        <c:ser>
          <c:idx val="1"/>
          <c:order val="0"/>
          <c:tx>
            <c:strRef>
              <c:f>'fin sadalijums'!$A$4</c:f>
              <c:strCache>
                <c:ptCount val="1"/>
                <c:pt idx="0">
                  <c:v>Ambulatorā veselības aprūpe</c:v>
                </c:pt>
              </c:strCache>
            </c:strRef>
          </c:tx>
          <c:spPr>
            <a:solidFill>
              <a:srgbClr val="92D050"/>
            </a:solidFill>
            <a:ln>
              <a:solidFill>
                <a:schemeClr val="tx1">
                  <a:lumMod val="65000"/>
                  <a:lumOff val="35000"/>
                </a:schemeClr>
              </a:solidFill>
            </a:ln>
            <a:scene3d>
              <a:camera prst="orthographicFront"/>
              <a:lightRig rig="threePt" dir="t"/>
            </a:scene3d>
            <a:sp3d>
              <a:bevelT w="165100" prst="coolSlant"/>
            </a:sp3d>
          </c:spPr>
          <c:dLbls>
            <c:txPr>
              <a:bodyPr/>
              <a:lstStyle/>
              <a:p>
                <a:pPr>
                  <a:defRPr sz="1200" b="1"/>
                </a:pPr>
                <a:endParaRPr lang="lv-LV"/>
              </a:p>
            </c:txPr>
            <c:showVal val="1"/>
          </c:dLbls>
          <c:cat>
            <c:strRef>
              <c:f>'fin sadalijums'!$B$2:$F$2</c:f>
              <c:strCache>
                <c:ptCount val="5"/>
                <c:pt idx="0">
                  <c:v>2010.g. sākums</c:v>
                </c:pt>
                <c:pt idx="1">
                  <c:v>2010.g. noslēgums</c:v>
                </c:pt>
                <c:pt idx="2">
                  <c:v>2011.g. sākums</c:v>
                </c:pt>
                <c:pt idx="3">
                  <c:v>2011.g. noslēgums</c:v>
                </c:pt>
                <c:pt idx="4">
                  <c:v>2012.gads</c:v>
                </c:pt>
              </c:strCache>
            </c:strRef>
          </c:cat>
          <c:val>
            <c:numRef>
              <c:f>'fin sadalijums'!$B$4:$F$4</c:f>
              <c:numCache>
                <c:formatCode>#,##0.00</c:formatCode>
                <c:ptCount val="5"/>
                <c:pt idx="0">
                  <c:v>136.54315799999998</c:v>
                </c:pt>
                <c:pt idx="1">
                  <c:v>133.55173900000048</c:v>
                </c:pt>
                <c:pt idx="2">
                  <c:v>136.95137600000066</c:v>
                </c:pt>
                <c:pt idx="3">
                  <c:v>142.70742700000048</c:v>
                </c:pt>
                <c:pt idx="4">
                  <c:v>140.76026999999999</c:v>
                </c:pt>
              </c:numCache>
            </c:numRef>
          </c:val>
        </c:ser>
        <c:ser>
          <c:idx val="2"/>
          <c:order val="1"/>
          <c:tx>
            <c:strRef>
              <c:f>'fin sadalijums'!$A$5</c:f>
              <c:strCache>
                <c:ptCount val="1"/>
                <c:pt idx="0">
                  <c:v>Stacionārā veselības aprūpe</c:v>
                </c:pt>
              </c:strCache>
            </c:strRef>
          </c:tx>
          <c:spPr>
            <a:solidFill>
              <a:srgbClr val="FF9999"/>
            </a:solidFill>
            <a:ln>
              <a:solidFill>
                <a:prstClr val="black">
                  <a:lumMod val="65000"/>
                  <a:lumOff val="35000"/>
                </a:prstClr>
              </a:solidFill>
            </a:ln>
            <a:scene3d>
              <a:camera prst="orthographicFront"/>
              <a:lightRig rig="threePt" dir="t"/>
            </a:scene3d>
            <a:sp3d>
              <a:bevelT w="165100" prst="coolSlant"/>
            </a:sp3d>
          </c:spPr>
          <c:dLbls>
            <c:txPr>
              <a:bodyPr/>
              <a:lstStyle/>
              <a:p>
                <a:pPr>
                  <a:defRPr sz="1200" b="1"/>
                </a:pPr>
                <a:endParaRPr lang="lv-LV"/>
              </a:p>
            </c:txPr>
            <c:showVal val="1"/>
          </c:dLbls>
          <c:cat>
            <c:strRef>
              <c:f>'fin sadalijums'!$B$2:$F$2</c:f>
              <c:strCache>
                <c:ptCount val="5"/>
                <c:pt idx="0">
                  <c:v>2010.g. sākums</c:v>
                </c:pt>
                <c:pt idx="1">
                  <c:v>2010.g. noslēgums</c:v>
                </c:pt>
                <c:pt idx="2">
                  <c:v>2011.g. sākums</c:v>
                </c:pt>
                <c:pt idx="3">
                  <c:v>2011.g. noslēgums</c:v>
                </c:pt>
                <c:pt idx="4">
                  <c:v>2012.gads</c:v>
                </c:pt>
              </c:strCache>
            </c:strRef>
          </c:cat>
          <c:val>
            <c:numRef>
              <c:f>'fin sadalijums'!$B$5:$F$5</c:f>
              <c:numCache>
                <c:formatCode>#,##0.00</c:formatCode>
                <c:ptCount val="5"/>
                <c:pt idx="0">
                  <c:v>114.128564</c:v>
                </c:pt>
                <c:pt idx="1">
                  <c:v>164.38988499999999</c:v>
                </c:pt>
                <c:pt idx="2">
                  <c:v>142.11452399999951</c:v>
                </c:pt>
                <c:pt idx="3">
                  <c:v>142.04132700000048</c:v>
                </c:pt>
                <c:pt idx="4">
                  <c:v>132.11798899999999</c:v>
                </c:pt>
              </c:numCache>
            </c:numRef>
          </c:val>
        </c:ser>
        <c:ser>
          <c:idx val="3"/>
          <c:order val="2"/>
          <c:tx>
            <c:strRef>
              <c:f>'fin sadalijums'!$A$6</c:f>
              <c:strCache>
                <c:ptCount val="1"/>
                <c:pt idx="0">
                  <c:v>Starptautiskie norēķini </c:v>
                </c:pt>
              </c:strCache>
            </c:strRef>
          </c:tx>
          <c:spPr>
            <a:solidFill>
              <a:srgbClr val="0000FF"/>
            </a:solidFill>
            <a:ln>
              <a:solidFill>
                <a:prstClr val="black">
                  <a:lumMod val="65000"/>
                  <a:lumOff val="35000"/>
                </a:prstClr>
              </a:solidFill>
            </a:ln>
            <a:scene3d>
              <a:camera prst="orthographicFront"/>
              <a:lightRig rig="threePt" dir="t"/>
            </a:scene3d>
            <a:sp3d>
              <a:bevelT w="165100" prst="coolSlant"/>
            </a:sp3d>
          </c:spPr>
          <c:cat>
            <c:strRef>
              <c:f>'fin sadalijums'!$B$2:$F$2</c:f>
              <c:strCache>
                <c:ptCount val="5"/>
                <c:pt idx="0">
                  <c:v>2010.g. sākums</c:v>
                </c:pt>
                <c:pt idx="1">
                  <c:v>2010.g. noslēgums</c:v>
                </c:pt>
                <c:pt idx="2">
                  <c:v>2011.g. sākums</c:v>
                </c:pt>
                <c:pt idx="3">
                  <c:v>2011.g. noslēgums</c:v>
                </c:pt>
                <c:pt idx="4">
                  <c:v>2012.gads</c:v>
                </c:pt>
              </c:strCache>
            </c:strRef>
          </c:cat>
          <c:val>
            <c:numRef>
              <c:f>'fin sadalijums'!$B$6:$F$6</c:f>
              <c:numCache>
                <c:formatCode>#,##0.00</c:formatCode>
                <c:ptCount val="5"/>
                <c:pt idx="0">
                  <c:v>2.5915219999999999</c:v>
                </c:pt>
                <c:pt idx="1">
                  <c:v>2.5915219999999999</c:v>
                </c:pt>
                <c:pt idx="2">
                  <c:v>3.5</c:v>
                </c:pt>
                <c:pt idx="3">
                  <c:v>2.6562269999999977</c:v>
                </c:pt>
                <c:pt idx="4">
                  <c:v>3.5</c:v>
                </c:pt>
              </c:numCache>
            </c:numRef>
          </c:val>
        </c:ser>
        <c:gapWidth val="53"/>
        <c:overlap val="100"/>
        <c:axId val="49728512"/>
        <c:axId val="49742592"/>
      </c:barChart>
      <c:catAx>
        <c:axId val="49728512"/>
        <c:scaling>
          <c:orientation val="minMax"/>
        </c:scaling>
        <c:axPos val="b"/>
        <c:tickLblPos val="nextTo"/>
        <c:txPr>
          <a:bodyPr/>
          <a:lstStyle/>
          <a:p>
            <a:pPr>
              <a:defRPr sz="1050" b="1"/>
            </a:pPr>
            <a:endParaRPr lang="lv-LV"/>
          </a:p>
        </c:txPr>
        <c:crossAx val="49742592"/>
        <c:crosses val="autoZero"/>
        <c:auto val="1"/>
        <c:lblAlgn val="ctr"/>
        <c:lblOffset val="100"/>
      </c:catAx>
      <c:valAx>
        <c:axId val="49742592"/>
        <c:scaling>
          <c:orientation val="minMax"/>
        </c:scaling>
        <c:axPos val="l"/>
        <c:majorGridlines>
          <c:spPr>
            <a:ln>
              <a:solidFill>
                <a:schemeClr val="tx1"/>
              </a:solidFill>
            </a:ln>
          </c:spPr>
        </c:majorGridlines>
        <c:numFmt formatCode="#,##0.00" sourceLinked="1"/>
        <c:tickLblPos val="nextTo"/>
        <c:txPr>
          <a:bodyPr/>
          <a:lstStyle/>
          <a:p>
            <a:pPr>
              <a:defRPr b="1"/>
            </a:pPr>
            <a:endParaRPr lang="lv-LV"/>
          </a:p>
        </c:txPr>
        <c:crossAx val="49728512"/>
        <c:crosses val="autoZero"/>
        <c:crossBetween val="between"/>
      </c:valAx>
      <c:spPr>
        <a:solidFill>
          <a:sysClr val="window" lastClr="FFFFFF">
            <a:lumMod val="95000"/>
          </a:sysClr>
        </a:solidFill>
      </c:spPr>
    </c:plotArea>
    <c:legend>
      <c:legendPos val="r"/>
      <c:legendEntry>
        <c:idx val="0"/>
        <c:txPr>
          <a:bodyPr/>
          <a:lstStyle/>
          <a:p>
            <a:pPr>
              <a:defRPr sz="1050" b="1"/>
            </a:pPr>
            <a:endParaRPr lang="lv-LV"/>
          </a:p>
        </c:txPr>
      </c:legendEntry>
      <c:layout>
        <c:manualLayout>
          <c:xMode val="edge"/>
          <c:yMode val="edge"/>
          <c:x val="0.73712771578217862"/>
          <c:y val="0.1671338872696162"/>
          <c:w val="0.25046918546148478"/>
          <c:h val="0.57365090413422082"/>
        </c:manualLayout>
      </c:layout>
      <c:txPr>
        <a:bodyPr/>
        <a:lstStyle/>
        <a:p>
          <a:pPr>
            <a:defRPr sz="1100" b="1"/>
          </a:pPr>
          <a:endParaRPr lang="lv-LV"/>
        </a:p>
      </c:txPr>
    </c:legend>
    <c:plotVisOnly val="1"/>
    <c:dispBlanksAs val="gap"/>
  </c:chart>
  <c:spPr>
    <a:solidFill>
      <a:schemeClr val="bg1">
        <a:lumMod val="95000"/>
      </a:schemeClr>
    </a:solidFill>
    <a:ln>
      <a:solidFill>
        <a:schemeClr val="tx1">
          <a:lumMod val="65000"/>
          <a:lumOff val="3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33911431823955246"/>
          <c:y val="7.975460122699421E-2"/>
          <c:w val="0.4759161170748254"/>
          <c:h val="0.61349693251533965"/>
        </c:manualLayout>
      </c:layout>
      <c:barChart>
        <c:barDir val="col"/>
        <c:grouping val="clustered"/>
        <c:ser>
          <c:idx val="2"/>
          <c:order val="2"/>
          <c:tx>
            <c:strRef>
              <c:f>hospitaliz!$A$15</c:f>
              <c:strCache>
                <c:ptCount val="1"/>
                <c:pt idx="0">
                  <c:v>Finansējums, milj.lati</c:v>
                </c:pt>
              </c:strCache>
            </c:strRef>
          </c:tx>
          <c:spPr>
            <a:solidFill>
              <a:schemeClr val="accent3">
                <a:lumMod val="75000"/>
              </a:schemeClr>
            </a:solidFill>
          </c:spPr>
          <c:cat>
            <c:numRef>
              <c:f>hospitaliz!$B$12:$D$12</c:f>
              <c:numCache>
                <c:formatCode>General</c:formatCode>
                <c:ptCount val="3"/>
                <c:pt idx="0">
                  <c:v>2010</c:v>
                </c:pt>
                <c:pt idx="1">
                  <c:v>2011</c:v>
                </c:pt>
                <c:pt idx="2">
                  <c:v>2012</c:v>
                </c:pt>
              </c:numCache>
            </c:numRef>
          </c:cat>
          <c:val>
            <c:numRef>
              <c:f>hospitaliz!$B$15:$D$15</c:f>
              <c:numCache>
                <c:formatCode>#,##0.00</c:formatCode>
                <c:ptCount val="3"/>
                <c:pt idx="0">
                  <c:v>164.38988499999999</c:v>
                </c:pt>
                <c:pt idx="1">
                  <c:v>142.04132700000048</c:v>
                </c:pt>
                <c:pt idx="2">
                  <c:v>132.11798899999999</c:v>
                </c:pt>
              </c:numCache>
            </c:numRef>
          </c:val>
        </c:ser>
        <c:axId val="51185920"/>
        <c:axId val="51191808"/>
      </c:barChart>
      <c:lineChart>
        <c:grouping val="standard"/>
        <c:ser>
          <c:idx val="1"/>
          <c:order val="0"/>
          <c:tx>
            <c:strRef>
              <c:f>hospitaliz!$A$13</c:f>
              <c:strCache>
                <c:ptCount val="1"/>
                <c:pt idx="0">
                  <c:v>Hospitalizāciju skaits stacionārai palīdzībai (fakts)</c:v>
                </c:pt>
              </c:strCache>
            </c:strRef>
          </c:tx>
          <c:cat>
            <c:numRef>
              <c:f>hospitaliz!$B$12:$D$12</c:f>
              <c:numCache>
                <c:formatCode>General</c:formatCode>
                <c:ptCount val="3"/>
                <c:pt idx="0">
                  <c:v>2010</c:v>
                </c:pt>
                <c:pt idx="1">
                  <c:v>2011</c:v>
                </c:pt>
                <c:pt idx="2">
                  <c:v>2012</c:v>
                </c:pt>
              </c:numCache>
            </c:numRef>
          </c:cat>
          <c:val>
            <c:numRef>
              <c:f>hospitaliz!$B$13:$D$13</c:f>
              <c:numCache>
                <c:formatCode>#,##0</c:formatCode>
                <c:ptCount val="3"/>
                <c:pt idx="0">
                  <c:v>324520</c:v>
                </c:pt>
                <c:pt idx="1">
                  <c:v>330773</c:v>
                </c:pt>
              </c:numCache>
            </c:numRef>
          </c:val>
        </c:ser>
        <c:ser>
          <c:idx val="0"/>
          <c:order val="1"/>
          <c:tx>
            <c:strRef>
              <c:f>hospitaliz!$A$14</c:f>
              <c:strCache>
                <c:ptCount val="1"/>
                <c:pt idx="0">
                  <c:v>Hospitalizāciju skaits stacionārai palīdzībai (plāns)</c:v>
                </c:pt>
              </c:strCache>
            </c:strRef>
          </c:tx>
          <c:cat>
            <c:numRef>
              <c:f>hospitaliz!$B$12:$D$12</c:f>
              <c:numCache>
                <c:formatCode>General</c:formatCode>
                <c:ptCount val="3"/>
                <c:pt idx="0">
                  <c:v>2010</c:v>
                </c:pt>
                <c:pt idx="1">
                  <c:v>2011</c:v>
                </c:pt>
                <c:pt idx="2">
                  <c:v>2012</c:v>
                </c:pt>
              </c:numCache>
            </c:numRef>
          </c:cat>
          <c:val>
            <c:numRef>
              <c:f>hospitaliz!$B$14:$D$14</c:f>
              <c:numCache>
                <c:formatCode>#,##0</c:formatCode>
                <c:ptCount val="3"/>
                <c:pt idx="0">
                  <c:v>291643</c:v>
                </c:pt>
                <c:pt idx="1">
                  <c:v>305628</c:v>
                </c:pt>
                <c:pt idx="2">
                  <c:v>312125</c:v>
                </c:pt>
              </c:numCache>
            </c:numRef>
          </c:val>
        </c:ser>
        <c:marker val="1"/>
        <c:axId val="51193728"/>
        <c:axId val="51195264"/>
      </c:lineChart>
      <c:catAx>
        <c:axId val="51185920"/>
        <c:scaling>
          <c:orientation val="minMax"/>
        </c:scaling>
        <c:axPos val="b"/>
        <c:numFmt formatCode="General" sourceLinked="1"/>
        <c:tickLblPos val="nextTo"/>
        <c:crossAx val="51191808"/>
        <c:crosses val="autoZero"/>
        <c:auto val="1"/>
        <c:lblAlgn val="ctr"/>
        <c:lblOffset val="100"/>
      </c:catAx>
      <c:valAx>
        <c:axId val="51191808"/>
        <c:scaling>
          <c:orientation val="minMax"/>
        </c:scaling>
        <c:axPos val="l"/>
        <c:majorGridlines/>
        <c:title>
          <c:tx>
            <c:rich>
              <a:bodyPr rot="0" vert="horz"/>
              <a:lstStyle/>
              <a:p>
                <a:pPr>
                  <a:defRPr/>
                </a:pPr>
                <a:r>
                  <a:rPr lang="lv-LV"/>
                  <a:t>milj.latu</a:t>
                </a:r>
              </a:p>
            </c:rich>
          </c:tx>
          <c:layout>
            <c:manualLayout>
              <c:xMode val="edge"/>
              <c:yMode val="edge"/>
              <c:x val="0.19455697348176304"/>
              <c:y val="0.63379954864132826"/>
            </c:manualLayout>
          </c:layout>
        </c:title>
        <c:numFmt formatCode="#,##0.00" sourceLinked="1"/>
        <c:tickLblPos val="nextTo"/>
        <c:crossAx val="51185920"/>
        <c:crosses val="autoZero"/>
        <c:crossBetween val="between"/>
      </c:valAx>
      <c:catAx>
        <c:axId val="51193728"/>
        <c:scaling>
          <c:orientation val="minMax"/>
        </c:scaling>
        <c:delete val="1"/>
        <c:axPos val="b"/>
        <c:numFmt formatCode="General" sourceLinked="1"/>
        <c:tickLblPos val="none"/>
        <c:crossAx val="51195264"/>
        <c:crosses val="autoZero"/>
        <c:auto val="1"/>
        <c:lblAlgn val="ctr"/>
        <c:lblOffset val="100"/>
      </c:catAx>
      <c:valAx>
        <c:axId val="51195264"/>
        <c:scaling>
          <c:orientation val="minMax"/>
        </c:scaling>
        <c:axPos val="r"/>
        <c:title>
          <c:tx>
            <c:rich>
              <a:bodyPr rot="0" vert="horz"/>
              <a:lstStyle/>
              <a:p>
                <a:pPr>
                  <a:defRPr/>
                </a:pPr>
                <a:r>
                  <a:rPr lang="lv-LV"/>
                  <a:t>Pacientu </a:t>
                </a:r>
              </a:p>
              <a:p>
                <a:pPr>
                  <a:defRPr/>
                </a:pPr>
                <a:r>
                  <a:rPr lang="lv-LV"/>
                  <a:t>s</a:t>
                </a:r>
                <a:r>
                  <a:rPr lang="en-US"/>
                  <a:t>kaits</a:t>
                </a:r>
              </a:p>
            </c:rich>
          </c:tx>
          <c:layout>
            <c:manualLayout>
              <c:xMode val="edge"/>
              <c:yMode val="edge"/>
              <c:x val="0.8747107392825918"/>
              <c:y val="0.70767826661527822"/>
            </c:manualLayout>
          </c:layout>
        </c:title>
        <c:numFmt formatCode="#,##0" sourceLinked="1"/>
        <c:tickLblPos val="nextTo"/>
        <c:crossAx val="51193728"/>
        <c:crosses val="max"/>
        <c:crossBetween val="between"/>
      </c:valAx>
      <c:dTable>
        <c:showHorzBorder val="1"/>
        <c:showVertBorder val="1"/>
        <c:showOutline val="1"/>
        <c:showKeys val="1"/>
      </c:dTable>
      <c:spPr>
        <a:noFill/>
        <a:ln w="25400">
          <a:noFill/>
        </a:ln>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8</Pages>
  <Words>10084</Words>
  <Characters>5749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līgumu noslēgšanas gaitu starp Nacionālo veselības dienestu un ārstniecības iestādēm</vt:lpstr>
    </vt:vector>
  </TitlesOfParts>
  <Company>Veselības ministrija</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līgumu noslēgšanas gaitu starp Nacionālo veselības dienestu un ārstniecības iestādēm</dc:title>
  <dc:subject>Informatīvais ziņojums</dc:subject>
  <dc:creator>Artūrs Veidemanis</dc:creator>
  <cp:keywords/>
  <dc:description>Budžeta un investīciju departaments, Budžeta plānošanas nodaļa,
Artūrs Veidemanis, Arturs.Veidemanis@vm.gov.lv, tel.67876029</dc:description>
  <cp:lastModifiedBy>VM</cp:lastModifiedBy>
  <cp:revision>70</cp:revision>
  <cp:lastPrinted>2012-02-23T14:48:00Z</cp:lastPrinted>
  <dcterms:created xsi:type="dcterms:W3CDTF">2012-02-18T15:25:00Z</dcterms:created>
  <dcterms:modified xsi:type="dcterms:W3CDTF">2012-02-24T10:06:00Z</dcterms:modified>
</cp:coreProperties>
</file>