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1" w:rsidRPr="00CF6FB1" w:rsidRDefault="008472AE" w:rsidP="00AC2C71">
      <w:pPr>
        <w:jc w:val="center"/>
        <w:rPr>
          <w:b/>
          <w:color w:val="000000"/>
          <w:sz w:val="28"/>
        </w:rPr>
      </w:pPr>
      <w:bookmarkStart w:id="0" w:name="OLE_LINK6"/>
      <w:bookmarkStart w:id="1" w:name="OLE_LINK7"/>
      <w:r w:rsidRPr="00CF6FB1">
        <w:rPr>
          <w:b/>
          <w:bCs/>
          <w:color w:val="000000"/>
          <w:sz w:val="28"/>
        </w:rPr>
        <w:t>Ministru kabineta rīkojuma projekt</w:t>
      </w:r>
      <w:r w:rsidR="00E2564A" w:rsidRPr="00CF6FB1">
        <w:rPr>
          <w:b/>
          <w:bCs/>
          <w:color w:val="000000"/>
          <w:sz w:val="28"/>
        </w:rPr>
        <w:t>a</w:t>
      </w:r>
      <w:r w:rsidRPr="00CF6FB1">
        <w:rPr>
          <w:b/>
          <w:bCs/>
          <w:color w:val="000000"/>
          <w:sz w:val="28"/>
        </w:rPr>
        <w:t xml:space="preserve"> „</w:t>
      </w:r>
      <w:r w:rsidR="0039217B" w:rsidRPr="0039217B">
        <w:rPr>
          <w:b/>
          <w:bCs/>
          <w:color w:val="000000"/>
          <w:sz w:val="28"/>
        </w:rPr>
        <w:t>Par klasiskā cūku mēra uzliesmojuma apkarošanas pasākumu organizēšanu Krāslavas un Dagdas novadā</w:t>
      </w:r>
      <w:r w:rsidR="0039217B">
        <w:rPr>
          <w:b/>
          <w:bCs/>
          <w:color w:val="000000"/>
          <w:sz w:val="28"/>
        </w:rPr>
        <w:t>”</w:t>
      </w:r>
      <w:r w:rsidR="00E2564A" w:rsidRPr="00CF6FB1">
        <w:rPr>
          <w:b/>
          <w:color w:val="000000"/>
          <w:sz w:val="28"/>
        </w:rPr>
        <w:t xml:space="preserve"> </w:t>
      </w:r>
      <w:r w:rsidR="00AC2C71" w:rsidRPr="00CF6FB1">
        <w:rPr>
          <w:b/>
          <w:color w:val="000000"/>
          <w:sz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="00AC2C71" w:rsidRPr="00CF6FB1">
          <w:rPr>
            <w:b/>
            <w:color w:val="000000"/>
            <w:sz w:val="28"/>
          </w:rPr>
          <w:t>ziņojums</w:t>
        </w:r>
      </w:smartTag>
      <w:r w:rsidR="00AC2C71" w:rsidRPr="00CF6FB1">
        <w:rPr>
          <w:b/>
          <w:color w:val="000000"/>
          <w:sz w:val="28"/>
        </w:rPr>
        <w:t xml:space="preserve"> (anotācija</w:t>
      </w:r>
      <w:bookmarkEnd w:id="0"/>
      <w:bookmarkEnd w:id="1"/>
      <w:r w:rsidR="00AC2C71" w:rsidRPr="00CF6FB1">
        <w:rPr>
          <w:b/>
          <w:color w:val="000000"/>
          <w:sz w:val="28"/>
        </w:rPr>
        <w:t>)</w:t>
      </w:r>
    </w:p>
    <w:p w:rsidR="00AC2C71" w:rsidRPr="00CF6FB1" w:rsidRDefault="00AC2C71" w:rsidP="00AC2C71">
      <w:pPr>
        <w:pStyle w:val="naisc"/>
        <w:widowControl w:val="0"/>
        <w:spacing w:before="0" w:beforeAutospacing="0" w:after="0" w:afterAutospacing="0"/>
        <w:jc w:val="center"/>
        <w:rPr>
          <w:color w:val="000000"/>
        </w:rPr>
      </w:pPr>
    </w:p>
    <w:tbl>
      <w:tblPr>
        <w:tblW w:w="5397" w:type="pct"/>
        <w:jc w:val="center"/>
        <w:tblInd w:w="-14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58"/>
        <w:gridCol w:w="3843"/>
        <w:gridCol w:w="5523"/>
      </w:tblGrid>
      <w:tr w:rsidR="00AC2C71" w:rsidRPr="00CF6FB1" w:rsidTr="003D1E8E">
        <w:trPr>
          <w:jc w:val="center"/>
        </w:trPr>
        <w:tc>
          <w:tcPr>
            <w:tcW w:w="5000" w:type="pct"/>
            <w:gridSpan w:val="3"/>
          </w:tcPr>
          <w:p w:rsidR="00AC2C71" w:rsidRPr="00CF6FB1" w:rsidRDefault="00AC2C71" w:rsidP="003D1E8E">
            <w:pPr>
              <w:pStyle w:val="naisno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FB1">
              <w:rPr>
                <w:b/>
                <w:bCs/>
                <w:color w:val="000000"/>
              </w:rPr>
              <w:t>I. Tiesību akta projekta izstrādes nepieciešamība</w:t>
            </w:r>
          </w:p>
        </w:tc>
      </w:tr>
      <w:tr w:rsidR="00AC2C71" w:rsidRPr="00CF6FB1" w:rsidTr="003D1E8E">
        <w:trPr>
          <w:jc w:val="center"/>
        </w:trPr>
        <w:tc>
          <w:tcPr>
            <w:tcW w:w="328" w:type="pct"/>
          </w:tcPr>
          <w:p w:rsidR="00AC2C71" w:rsidRPr="00CF6FB1" w:rsidRDefault="00AC2C71" w:rsidP="003D1E8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1. </w:t>
            </w:r>
          </w:p>
        </w:tc>
        <w:tc>
          <w:tcPr>
            <w:tcW w:w="1917" w:type="pct"/>
          </w:tcPr>
          <w:p w:rsidR="00AC2C71" w:rsidRPr="00CF6FB1" w:rsidRDefault="00AC2C71" w:rsidP="003D1E8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Pamatojums</w:t>
            </w:r>
          </w:p>
        </w:tc>
        <w:tc>
          <w:tcPr>
            <w:tcW w:w="2755" w:type="pct"/>
          </w:tcPr>
          <w:p w:rsidR="00AC2C71" w:rsidRPr="00CF6FB1" w:rsidRDefault="0039217B" w:rsidP="003D1E8E">
            <w:pPr>
              <w:jc w:val="both"/>
              <w:rPr>
                <w:color w:val="000000"/>
              </w:rPr>
            </w:pPr>
            <w:r w:rsidRPr="0039217B">
              <w:rPr>
                <w:color w:val="000000"/>
              </w:rPr>
              <w:t>Ministru kabineta 2012.gada 3.decembra ārkārtas sēdes Ministru prezidenta mutisks rīkojums.</w:t>
            </w:r>
          </w:p>
        </w:tc>
      </w:tr>
      <w:tr w:rsidR="00AC2C71" w:rsidRPr="00CF6FB1" w:rsidTr="003D1E8E">
        <w:trPr>
          <w:jc w:val="center"/>
        </w:trPr>
        <w:tc>
          <w:tcPr>
            <w:tcW w:w="328" w:type="pct"/>
          </w:tcPr>
          <w:p w:rsidR="00AC2C71" w:rsidRPr="00382C48" w:rsidRDefault="00AC2C71" w:rsidP="003D1E8E">
            <w:pPr>
              <w:pStyle w:val="Pamatteksts"/>
              <w:widowControl w:val="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382C48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1917" w:type="pct"/>
          </w:tcPr>
          <w:p w:rsidR="00AC2C71" w:rsidRPr="00382C48" w:rsidRDefault="00AC2C71" w:rsidP="003D1E8E">
            <w:pPr>
              <w:pStyle w:val="Pamatteksts"/>
              <w:widowControl w:val="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382C48">
              <w:rPr>
                <w:b w:val="0"/>
                <w:color w:val="000000"/>
                <w:sz w:val="24"/>
                <w:szCs w:val="24"/>
                <w:lang w:eastAsia="en-US"/>
              </w:rPr>
              <w:t>Pašreizējā situācija un problēmas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A26FE3" w:rsidRPr="00CF6FB1" w:rsidRDefault="00E55B75" w:rsidP="00A26FE3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2012.gada 15.oktobrī tika saņemts valsts zinātniskā institūta </w:t>
            </w:r>
            <w:r w:rsidR="004A73D3" w:rsidRPr="00CF6FB1">
              <w:rPr>
                <w:color w:val="000000"/>
              </w:rPr>
              <w:t>„</w:t>
            </w:r>
            <w:r w:rsidRPr="00CF6FB1">
              <w:rPr>
                <w:color w:val="000000"/>
              </w:rPr>
              <w:t>Pārtikas drošības, dzīvnieku veselības un vides zinātnisk</w:t>
            </w:r>
            <w:r w:rsidR="00E2564A" w:rsidRPr="00CF6FB1">
              <w:rPr>
                <w:color w:val="000000"/>
              </w:rPr>
              <w:t>ā</w:t>
            </w:r>
            <w:r w:rsidRPr="00CF6FB1">
              <w:rPr>
                <w:color w:val="000000"/>
              </w:rPr>
              <w:t xml:space="preserve"> institūt</w:t>
            </w:r>
            <w:r w:rsidR="00E2564A" w:rsidRPr="00CF6FB1">
              <w:rPr>
                <w:color w:val="000000"/>
              </w:rPr>
              <w:t>a</w:t>
            </w:r>
            <w:r w:rsidRPr="00CF6FB1">
              <w:rPr>
                <w:color w:val="000000"/>
              </w:rPr>
              <w:t xml:space="preserve"> </w:t>
            </w:r>
            <w:r w:rsidRPr="00CF6FB1">
              <w:rPr>
                <w:bCs/>
                <w:color w:val="000000"/>
              </w:rPr>
              <w:t>„BIOR”</w:t>
            </w:r>
            <w:r w:rsidR="004A73D3" w:rsidRPr="00CF6FB1">
              <w:rPr>
                <w:bCs/>
                <w:color w:val="000000"/>
              </w:rPr>
              <w:t>”</w:t>
            </w:r>
            <w:r w:rsidRPr="00CF6FB1">
              <w:rPr>
                <w:color w:val="000000"/>
              </w:rPr>
              <w:t xml:space="preserve"> sagatavots testēšanas pārskats par vienas mežacūkas asins paraugā konstatētām antivielām pret klasisko cūku mēri (mežacūka nomedīta Dagdas novada Bērziņu pagastā). Saskaņā ar Komisijas 2002.gada 1.februāra lēmumu 2002/106/EK, ar ko apstiprina diagnostikas rokasgrāmatu, ar kuru ievieš diagnostikas procedūras, paraugu ņemšanas metodes un laboratorisko testu kritērijus klasiskā cūku mēra apstiprināšanai, un </w:t>
            </w:r>
            <w:r w:rsidR="00E2564A" w:rsidRPr="00CF6FB1">
              <w:rPr>
                <w:color w:val="000000"/>
              </w:rPr>
              <w:t xml:space="preserve">Ministru kabineta 30.11.2004.gada 30.novembra </w:t>
            </w:r>
            <w:r w:rsidRPr="00CF6FB1">
              <w:rPr>
                <w:color w:val="000000"/>
              </w:rPr>
              <w:t>noteikumiem Nr.991</w:t>
            </w:r>
            <w:r w:rsidR="00E2564A" w:rsidRPr="00CF6FB1">
              <w:rPr>
                <w:color w:val="000000"/>
              </w:rPr>
              <w:t xml:space="preserve"> "Klasiskā cūku mēra likvidēšanas un draudu novēršanas kārtība"</w:t>
            </w:r>
            <w:r w:rsidRPr="00CF6FB1">
              <w:rPr>
                <w:color w:val="000000"/>
              </w:rPr>
              <w:t xml:space="preserve"> Pārtikas un veterinārais dienests uzsāka epidemioloģisko izmeklēšanu un </w:t>
            </w:r>
            <w:r w:rsidR="004A73D3" w:rsidRPr="00CF6FB1">
              <w:rPr>
                <w:color w:val="000000"/>
              </w:rPr>
              <w:t>noteica</w:t>
            </w:r>
            <w:r w:rsidRPr="00CF6FB1">
              <w:rPr>
                <w:color w:val="000000"/>
              </w:rPr>
              <w:t xml:space="preserve"> 200 km</w:t>
            </w:r>
            <w:r w:rsidRPr="00CF6FB1">
              <w:rPr>
                <w:color w:val="000000"/>
                <w:vertAlign w:val="superscript"/>
              </w:rPr>
              <w:t>2</w:t>
            </w:r>
            <w:r w:rsidRPr="00CF6FB1">
              <w:rPr>
                <w:color w:val="000000"/>
              </w:rPr>
              <w:t xml:space="preserve"> lielu teritoriju ap seroloģiski pozitīvās mežacūkas nomedīšanas vietu.</w:t>
            </w:r>
          </w:p>
          <w:p w:rsidR="00E55B75" w:rsidRPr="00CF6FB1" w:rsidRDefault="00E55B75" w:rsidP="00E55B75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Laikā no 17.</w:t>
            </w:r>
            <w:r w:rsidR="00127614">
              <w:rPr>
                <w:color w:val="000000"/>
              </w:rPr>
              <w:t xml:space="preserve"> l</w:t>
            </w:r>
            <w:r w:rsidR="004A73D3" w:rsidRPr="00CF6FB1">
              <w:rPr>
                <w:color w:val="000000"/>
              </w:rPr>
              <w:t xml:space="preserve">īdz </w:t>
            </w:r>
            <w:r w:rsidRPr="00CF6FB1">
              <w:rPr>
                <w:color w:val="000000"/>
              </w:rPr>
              <w:t xml:space="preserve">24.novembrim Krievijas un Baltkrievijas pierobežā nomedītas 94 mežacūkas (no tām 45 mežacūkas </w:t>
            </w:r>
            <w:r w:rsidR="004A73D3" w:rsidRPr="00CF6FB1">
              <w:rPr>
                <w:color w:val="000000"/>
              </w:rPr>
              <w:t xml:space="preserve">– </w:t>
            </w:r>
            <w:r w:rsidR="0039217B">
              <w:rPr>
                <w:color w:val="000000"/>
              </w:rPr>
              <w:t xml:space="preserve">inficētajā teritorijā). </w:t>
            </w:r>
            <w:r w:rsidRPr="00CF6FB1">
              <w:rPr>
                <w:color w:val="000000"/>
              </w:rPr>
              <w:t xml:space="preserve">Laboratoriskajos izmeklējumos </w:t>
            </w:r>
            <w:r w:rsidR="00E2564A" w:rsidRPr="00CF6FB1">
              <w:rPr>
                <w:color w:val="000000"/>
              </w:rPr>
              <w:t>konstatēts</w:t>
            </w:r>
            <w:r w:rsidRPr="00CF6FB1">
              <w:rPr>
                <w:color w:val="000000"/>
              </w:rPr>
              <w:t xml:space="preserve"> </w:t>
            </w:r>
            <w:r w:rsidR="00E2564A" w:rsidRPr="00CF6FB1">
              <w:rPr>
                <w:color w:val="000000"/>
              </w:rPr>
              <w:t xml:space="preserve">seroloģiski pozitīvs analīžu rezultāts </w:t>
            </w:r>
            <w:r w:rsidRPr="00CF6FB1">
              <w:rPr>
                <w:color w:val="000000"/>
              </w:rPr>
              <w:t>19 mežacūk</w:t>
            </w:r>
            <w:r w:rsidR="00E2564A" w:rsidRPr="00CF6FB1">
              <w:rPr>
                <w:color w:val="000000"/>
              </w:rPr>
              <w:t>ām</w:t>
            </w:r>
            <w:r w:rsidRPr="00CF6FB1">
              <w:rPr>
                <w:color w:val="000000"/>
              </w:rPr>
              <w:t xml:space="preserve">, bet astoņām no </w:t>
            </w:r>
            <w:r w:rsidR="00E2564A" w:rsidRPr="00CF6FB1">
              <w:rPr>
                <w:color w:val="000000"/>
              </w:rPr>
              <w:t>tām</w:t>
            </w:r>
            <w:r w:rsidRPr="00CF6FB1">
              <w:rPr>
                <w:color w:val="000000"/>
              </w:rPr>
              <w:t xml:space="preserve"> </w:t>
            </w:r>
            <w:r w:rsidR="004A73D3" w:rsidRPr="00CF6FB1">
              <w:rPr>
                <w:color w:val="000000"/>
              </w:rPr>
              <w:t xml:space="preserve">– </w:t>
            </w:r>
            <w:r w:rsidRPr="00CF6FB1">
              <w:rPr>
                <w:color w:val="000000"/>
              </w:rPr>
              <w:t>pozitīvs PCR izmeklējums (atklāts vīrusa genoms).</w:t>
            </w:r>
          </w:p>
          <w:p w:rsidR="00E55B75" w:rsidRPr="00CF6FB1" w:rsidRDefault="00E2564A" w:rsidP="00E55B75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N</w:t>
            </w:r>
            <w:r w:rsidR="00E55B75" w:rsidRPr="00CF6FB1">
              <w:rPr>
                <w:color w:val="000000"/>
              </w:rPr>
              <w:t>o 20.</w:t>
            </w:r>
            <w:r w:rsidR="00127614">
              <w:rPr>
                <w:color w:val="000000"/>
              </w:rPr>
              <w:t xml:space="preserve"> l</w:t>
            </w:r>
            <w:r w:rsidR="004A73D3" w:rsidRPr="00CF6FB1">
              <w:rPr>
                <w:color w:val="000000"/>
              </w:rPr>
              <w:t xml:space="preserve">īdz </w:t>
            </w:r>
            <w:r w:rsidR="00E55B75" w:rsidRPr="00CF6FB1">
              <w:rPr>
                <w:color w:val="000000"/>
              </w:rPr>
              <w:t xml:space="preserve">24.novembrim veiktas pārbaudes 551 </w:t>
            </w:r>
            <w:r w:rsidRPr="00CF6FB1">
              <w:rPr>
                <w:color w:val="000000"/>
              </w:rPr>
              <w:t xml:space="preserve">dzīvnieku </w:t>
            </w:r>
            <w:r w:rsidR="00E55B75" w:rsidRPr="00CF6FB1">
              <w:rPr>
                <w:color w:val="000000"/>
              </w:rPr>
              <w:t xml:space="preserve">novietnē, no tām 161 novietnē tiek turētas cūkas. Inspekcijās atklāts, ka 124 novietnēs </w:t>
            </w:r>
            <w:r w:rsidR="004A73D3" w:rsidRPr="00CF6FB1">
              <w:rPr>
                <w:color w:val="000000"/>
              </w:rPr>
              <w:t xml:space="preserve">cūkas </w:t>
            </w:r>
            <w:r w:rsidR="00E55B75" w:rsidRPr="00CF6FB1">
              <w:rPr>
                <w:color w:val="000000"/>
              </w:rPr>
              <w:t>n</w:t>
            </w:r>
            <w:r w:rsidR="004A73D3" w:rsidRPr="00CF6FB1">
              <w:rPr>
                <w:color w:val="000000"/>
              </w:rPr>
              <w:t>av</w:t>
            </w:r>
            <w:r w:rsidR="00E55B75" w:rsidRPr="00CF6FB1">
              <w:rPr>
                <w:color w:val="000000"/>
              </w:rPr>
              <w:t xml:space="preserve"> reģistrētas. Kopumā inspekciju laikā klīniski izmeklētas 909 cūkas, bet laboratoriski izmeklētas 363 cūkas. </w:t>
            </w:r>
            <w:r w:rsidR="0030752A">
              <w:rPr>
                <w:color w:val="000000"/>
              </w:rPr>
              <w:t>Trijām cūkām</w:t>
            </w:r>
            <w:r w:rsidR="00E55B75" w:rsidRPr="00CF6FB1">
              <w:rPr>
                <w:color w:val="000000"/>
              </w:rPr>
              <w:t xml:space="preserve"> laboratoriskajos izmeklējumos konstatētas antivielas pret klasiskā cūku mēra ierosinātāju. </w:t>
            </w:r>
            <w:r w:rsidR="0030752A">
              <w:rPr>
                <w:color w:val="000000"/>
              </w:rPr>
              <w:t>Visās trijās novietnēs, kur ir bijuši pret klasisko cūku mēri seroloģiski pozitīvi dzīvnieki, nokautas un likvidētas 14 cūkas.</w:t>
            </w:r>
          </w:p>
          <w:p w:rsidR="00E55B75" w:rsidRPr="00CF6FB1" w:rsidRDefault="00E2564A" w:rsidP="0039217B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N</w:t>
            </w:r>
            <w:r w:rsidR="00183EC1" w:rsidRPr="00CF6FB1">
              <w:rPr>
                <w:color w:val="000000"/>
              </w:rPr>
              <w:t>acionālā references laboratorija uz Eiropas Savienības klasiskā cūku mēra references laboratoriju Han</w:t>
            </w:r>
            <w:r w:rsidR="004A73D3" w:rsidRPr="00CF6FB1">
              <w:rPr>
                <w:color w:val="000000"/>
              </w:rPr>
              <w:t>n</w:t>
            </w:r>
            <w:r w:rsidR="00183EC1" w:rsidRPr="00CF6FB1">
              <w:rPr>
                <w:color w:val="000000"/>
              </w:rPr>
              <w:t>over</w:t>
            </w:r>
            <w:r w:rsidR="004A73D3" w:rsidRPr="00CF6FB1">
              <w:rPr>
                <w:color w:val="000000"/>
              </w:rPr>
              <w:t>ē</w:t>
            </w:r>
            <w:r w:rsidR="00183EC1" w:rsidRPr="00CF6FB1">
              <w:rPr>
                <w:color w:val="000000"/>
              </w:rPr>
              <w:t xml:space="preserve"> </w:t>
            </w:r>
            <w:r w:rsidRPr="00CF6FB1">
              <w:rPr>
                <w:color w:val="000000"/>
              </w:rPr>
              <w:t>(</w:t>
            </w:r>
            <w:r w:rsidR="00183EC1" w:rsidRPr="00CF6FB1">
              <w:rPr>
                <w:color w:val="000000"/>
              </w:rPr>
              <w:t>Vācijā</w:t>
            </w:r>
            <w:r w:rsidRPr="00CF6FB1">
              <w:rPr>
                <w:color w:val="000000"/>
              </w:rPr>
              <w:t>)</w:t>
            </w:r>
            <w:r w:rsidR="00183EC1" w:rsidRPr="00CF6FB1">
              <w:rPr>
                <w:color w:val="000000"/>
              </w:rPr>
              <w:t xml:space="preserve"> (turpmāk – ES references laboratorija) </w:t>
            </w:r>
            <w:r w:rsidR="004A73D3" w:rsidRPr="00CF6FB1">
              <w:rPr>
                <w:color w:val="000000"/>
              </w:rPr>
              <w:t xml:space="preserve">nosūtīja </w:t>
            </w:r>
            <w:r w:rsidR="00183EC1" w:rsidRPr="00CF6FB1">
              <w:rPr>
                <w:color w:val="000000"/>
              </w:rPr>
              <w:t xml:space="preserve">mājas </w:t>
            </w:r>
            <w:r w:rsidR="004A73D3" w:rsidRPr="00CF6FB1">
              <w:rPr>
                <w:color w:val="000000"/>
              </w:rPr>
              <w:t xml:space="preserve">cūku </w:t>
            </w:r>
            <w:r w:rsidR="00183EC1" w:rsidRPr="00CF6FB1">
              <w:rPr>
                <w:color w:val="000000"/>
              </w:rPr>
              <w:t xml:space="preserve">un mežacūku patoloģiskā materiāla paraugus izmeklēšanai uz klasiskā cūku mēra vīrusa un antivielu klātbūtni. ES references laboratorijas 2012.gada 27.novembra sākotnējā atbildē ir norādīts, ka divos </w:t>
            </w:r>
            <w:proofErr w:type="spellStart"/>
            <w:r w:rsidR="00183EC1" w:rsidRPr="00CF6FB1">
              <w:rPr>
                <w:color w:val="000000"/>
              </w:rPr>
              <w:t>seropozitīvo</w:t>
            </w:r>
            <w:proofErr w:type="spellEnd"/>
            <w:r w:rsidR="00183EC1" w:rsidRPr="00CF6FB1">
              <w:rPr>
                <w:color w:val="000000"/>
              </w:rPr>
              <w:t xml:space="preserve"> mežacūku limfmezglos ir izdalīts klasiskā cūku mēra </w:t>
            </w:r>
            <w:r w:rsidR="00183EC1" w:rsidRPr="00CF6FB1">
              <w:rPr>
                <w:color w:val="000000"/>
              </w:rPr>
              <w:lastRenderedPageBreak/>
              <w:t>vīrus</w:t>
            </w:r>
            <w:r w:rsidR="004A73D3" w:rsidRPr="00CF6FB1">
              <w:rPr>
                <w:color w:val="000000"/>
              </w:rPr>
              <w:t>s</w:t>
            </w:r>
            <w:r w:rsidR="00183EC1" w:rsidRPr="00CF6FB1">
              <w:rPr>
                <w:color w:val="000000"/>
              </w:rPr>
              <w:t xml:space="preserve">. Veicot izdalītā vīrusa </w:t>
            </w:r>
            <w:proofErr w:type="spellStart"/>
            <w:r w:rsidR="00183EC1" w:rsidRPr="00CF6FB1">
              <w:rPr>
                <w:color w:val="000000"/>
              </w:rPr>
              <w:t>filoģenētisko</w:t>
            </w:r>
            <w:proofErr w:type="spellEnd"/>
            <w:r w:rsidR="00183EC1" w:rsidRPr="00CF6FB1">
              <w:rPr>
                <w:color w:val="000000"/>
              </w:rPr>
              <w:t xml:space="preserve"> analīzi, konstatēts, ka vīrusa genoms ir līdzīgs 2005.gadā Krievijas Federācijā izdalītajam klasiskā cūku mēra vīrusam.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</w:tcPr>
          <w:p w:rsidR="00183EC1" w:rsidRPr="00382C48" w:rsidRDefault="00183EC1" w:rsidP="003D1E8E">
            <w:pPr>
              <w:pStyle w:val="Pamatteksts"/>
              <w:widowControl w:val="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382C48"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 xml:space="preserve">3. </w:t>
            </w:r>
          </w:p>
        </w:tc>
        <w:tc>
          <w:tcPr>
            <w:tcW w:w="1917" w:type="pct"/>
          </w:tcPr>
          <w:p w:rsidR="00183EC1" w:rsidRPr="00382C48" w:rsidRDefault="00183EC1" w:rsidP="003D1E8E">
            <w:pPr>
              <w:pStyle w:val="Pamatteksts"/>
              <w:widowControl w:val="0"/>
              <w:jc w:val="both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382C48">
              <w:rPr>
                <w:b w:val="0"/>
                <w:color w:val="000000"/>
                <w:sz w:val="24"/>
                <w:szCs w:val="24"/>
                <w:lang w:eastAsia="en-US"/>
              </w:rPr>
              <w:t>Saistītie politikas ietekmes novērtējumi un pētījumi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183EC1" w:rsidRPr="00CF6FB1" w:rsidRDefault="00183EC1" w:rsidP="00901EDC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Tiesiskā regulējuma mērķis un būtība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8A24F3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Ministru kabineta rīkojuma projekts paredz </w:t>
            </w:r>
            <w:r w:rsidR="0039217B">
              <w:rPr>
                <w:color w:val="000000"/>
              </w:rPr>
              <w:t>uzdevumus Zemkopības ministrijas Pārtikas un veterinārajam d</w:t>
            </w:r>
            <w:r w:rsidR="001C2E6F">
              <w:rPr>
                <w:color w:val="000000"/>
              </w:rPr>
              <w:t>ienestam, Iekšlietu ministrijai un</w:t>
            </w:r>
            <w:r w:rsidR="0039217B">
              <w:rPr>
                <w:color w:val="000000"/>
              </w:rPr>
              <w:t xml:space="preserve"> Vides aizsardzības un reģionālās attīstības ministrijai, lai nodrošinātu klasiskā cūku mēra apkarošanas pasākumu īstenošanu saskaņā ar </w:t>
            </w:r>
            <w:r w:rsidR="0039217B" w:rsidRPr="0039217B">
              <w:rPr>
                <w:color w:val="000000"/>
              </w:rPr>
              <w:t>Ministru kabineta 2004.gada 30.novembra noteikumiem Nr.991 „Klasiskā cūku mēra likvidēšanas un draudu novēršanas kārtība”</w:t>
            </w:r>
            <w:r w:rsidR="0039217B">
              <w:rPr>
                <w:color w:val="000000"/>
              </w:rPr>
              <w:t xml:space="preserve"> un </w:t>
            </w:r>
            <w:r w:rsidR="0039217B" w:rsidRPr="0039217B">
              <w:rPr>
                <w:color w:val="000000"/>
              </w:rPr>
              <w:t>Ministru kabineta 2011.gada 9.augusta rīkojuma Nr.369 „Valsts civilās aizsardzības plāna” 26.pielikumā „Dzīvnieku masveida saslimšana un dzīvniekiem bīstamu infekcijas slimību un augiem kaitīgo organismu uzliesmojumi”</w:t>
            </w:r>
            <w:r w:rsidR="0039217B">
              <w:rPr>
                <w:color w:val="000000"/>
              </w:rPr>
              <w:t xml:space="preserve"> noteikto kārtību.</w:t>
            </w:r>
            <w:r w:rsidR="006060CB" w:rsidRPr="00CF6FB1">
              <w:rPr>
                <w:color w:val="000000"/>
              </w:rPr>
              <w:t xml:space="preserve"> </w:t>
            </w:r>
          </w:p>
          <w:p w:rsidR="006060CB" w:rsidRPr="00CF6FB1" w:rsidRDefault="006060CB" w:rsidP="006060CB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Ministru kabineta rīkojuma projekts palīdzēs atrisināt šīs anotācijas I sadaļas 2.punktā minēto problēmu.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5.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izstrādē iesaistītās institūcijas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1C2E6F">
            <w:pPr>
              <w:pStyle w:val="naiskr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Pārtikas un veterinārais dienests</w:t>
            </w:r>
            <w:r w:rsidR="001C2E6F">
              <w:rPr>
                <w:color w:val="000000"/>
              </w:rPr>
              <w:t>, Iekšlietu ministrija</w:t>
            </w:r>
            <w:r w:rsidR="0039217B">
              <w:rPr>
                <w:color w:val="000000"/>
              </w:rPr>
              <w:t xml:space="preserve"> un Vides aizsardzības un reģionālās attīstības ministrija.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6.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Iemesli, kādēļ netika nodrošināta sabiedrības līdzdalība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trHeight w:val="232"/>
          <w:jc w:val="center"/>
        </w:trPr>
        <w:tc>
          <w:tcPr>
            <w:tcW w:w="328" w:type="pct"/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7. </w:t>
            </w:r>
          </w:p>
        </w:tc>
        <w:tc>
          <w:tcPr>
            <w:tcW w:w="1917" w:type="pct"/>
          </w:tcPr>
          <w:p w:rsidR="00183EC1" w:rsidRPr="00CF6FB1" w:rsidRDefault="00183EC1" w:rsidP="003D1E8E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183EC1" w:rsidRPr="00CF6FB1" w:rsidRDefault="00183EC1" w:rsidP="008472A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Nav.</w:t>
            </w:r>
          </w:p>
        </w:tc>
      </w:tr>
      <w:tr w:rsidR="00183EC1" w:rsidRPr="00CF6FB1" w:rsidTr="003D1E8E">
        <w:trPr>
          <w:jc w:val="center"/>
        </w:trPr>
        <w:tc>
          <w:tcPr>
            <w:tcW w:w="5000" w:type="pct"/>
            <w:gridSpan w:val="3"/>
          </w:tcPr>
          <w:p w:rsidR="00183EC1" w:rsidRPr="00CF6FB1" w:rsidRDefault="00183EC1" w:rsidP="003D1E8E">
            <w:pPr>
              <w:pStyle w:val="naisnod"/>
              <w:spacing w:before="0" w:beforeAutospacing="0" w:after="0" w:afterAutospacing="0"/>
              <w:jc w:val="center"/>
              <w:rPr>
                <w:color w:val="000000"/>
              </w:rPr>
            </w:pPr>
            <w:r w:rsidRPr="00CF6FB1">
              <w:rPr>
                <w:b/>
                <w:bCs/>
                <w:color w:val="000000"/>
              </w:rPr>
              <w:t>II. Tiesību akta projekta ietekme uz sabiedrību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</w:tcPr>
          <w:p w:rsidR="00183EC1" w:rsidRPr="00CF6FB1" w:rsidRDefault="00183EC1" w:rsidP="003D1E8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1. </w:t>
            </w:r>
          </w:p>
        </w:tc>
        <w:tc>
          <w:tcPr>
            <w:tcW w:w="1917" w:type="pct"/>
          </w:tcPr>
          <w:p w:rsidR="00183EC1" w:rsidRPr="00CF6FB1" w:rsidRDefault="00183EC1" w:rsidP="003D1E8E">
            <w:pPr>
              <w:pStyle w:val="naiskr"/>
              <w:tabs>
                <w:tab w:val="left" w:pos="304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Sabiedrības </w:t>
            </w:r>
            <w:proofErr w:type="spellStart"/>
            <w:r w:rsidRPr="00CF6FB1">
              <w:rPr>
                <w:color w:val="000000"/>
              </w:rPr>
              <w:t>mērķgrupa</w:t>
            </w:r>
            <w:proofErr w:type="spellEnd"/>
          </w:p>
        </w:tc>
        <w:tc>
          <w:tcPr>
            <w:tcW w:w="2755" w:type="pct"/>
          </w:tcPr>
          <w:p w:rsidR="00183EC1" w:rsidRPr="00CF6FB1" w:rsidRDefault="0039217B" w:rsidP="008164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Karantīnas teritorijā (Krāslavas un Dagdas novads) dzīvojošie cilvēki.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 2. </w:t>
            </w:r>
          </w:p>
        </w:tc>
        <w:tc>
          <w:tcPr>
            <w:tcW w:w="1917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Citas sabiedrības grupas (bez </w:t>
            </w:r>
            <w:proofErr w:type="spellStart"/>
            <w:r w:rsidRPr="00CF6FB1">
              <w:rPr>
                <w:color w:val="000000"/>
              </w:rPr>
              <w:t>mērķgrupas</w:t>
            </w:r>
            <w:proofErr w:type="spellEnd"/>
            <w:r w:rsidRPr="00CF6FB1">
              <w:rPr>
                <w:color w:val="000000"/>
              </w:rPr>
              <w:t>), kuras tiesiskais regulējums arī ietekmē vai varētu ietekmēt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 3. </w:t>
            </w:r>
          </w:p>
        </w:tc>
        <w:tc>
          <w:tcPr>
            <w:tcW w:w="1917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Tiesiskā regulējuma finansiālā ietekme</w:t>
            </w:r>
          </w:p>
        </w:tc>
        <w:tc>
          <w:tcPr>
            <w:tcW w:w="2755" w:type="pct"/>
            <w:tcBorders>
              <w:bottom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 4. 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Tiesiskā regulējuma nefinansiālā ietekme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 5.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Administratīvās procedūras raksturojums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901EDC">
            <w:pPr>
              <w:jc w:val="both"/>
              <w:rPr>
                <w:color w:val="000000"/>
              </w:rPr>
            </w:pPr>
          </w:p>
        </w:tc>
      </w:tr>
      <w:tr w:rsidR="00183EC1" w:rsidRPr="00CF6FB1" w:rsidTr="003D1E8E">
        <w:trPr>
          <w:jc w:val="center"/>
        </w:trPr>
        <w:tc>
          <w:tcPr>
            <w:tcW w:w="328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6.  </w:t>
            </w:r>
          </w:p>
        </w:tc>
        <w:tc>
          <w:tcPr>
            <w:tcW w:w="1917" w:type="pct"/>
            <w:tcBorders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Administratīvo izmaksu monetārs novērtējums</w:t>
            </w:r>
          </w:p>
        </w:tc>
        <w:tc>
          <w:tcPr>
            <w:tcW w:w="2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183EC1" w:rsidRPr="00CF6FB1" w:rsidTr="003D1E8E">
        <w:trPr>
          <w:trHeight w:val="232"/>
          <w:jc w:val="center"/>
        </w:trPr>
        <w:tc>
          <w:tcPr>
            <w:tcW w:w="328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7.  </w:t>
            </w:r>
          </w:p>
        </w:tc>
        <w:tc>
          <w:tcPr>
            <w:tcW w:w="1917" w:type="pct"/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Cita informācija</w:t>
            </w:r>
          </w:p>
        </w:tc>
        <w:tc>
          <w:tcPr>
            <w:tcW w:w="2755" w:type="pct"/>
            <w:tcBorders>
              <w:top w:val="single" w:sz="4" w:space="0" w:color="auto"/>
            </w:tcBorders>
          </w:tcPr>
          <w:p w:rsidR="00183EC1" w:rsidRPr="00CF6FB1" w:rsidRDefault="00183EC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Nav</w:t>
            </w:r>
          </w:p>
        </w:tc>
      </w:tr>
    </w:tbl>
    <w:p w:rsidR="004A25AC" w:rsidRDefault="004A25AC" w:rsidP="00AC2C71">
      <w:pPr>
        <w:rPr>
          <w:i/>
          <w:color w:val="000000"/>
        </w:rPr>
      </w:pPr>
    </w:p>
    <w:tbl>
      <w:tblPr>
        <w:tblW w:w="54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5"/>
        <w:gridCol w:w="1266"/>
        <w:gridCol w:w="1447"/>
        <w:gridCol w:w="1447"/>
        <w:gridCol w:w="1447"/>
        <w:gridCol w:w="1993"/>
      </w:tblGrid>
      <w:tr w:rsidR="00603B25" w:rsidTr="00F07064">
        <w:tc>
          <w:tcPr>
            <w:tcW w:w="5000" w:type="pct"/>
            <w:gridSpan w:val="6"/>
          </w:tcPr>
          <w:p w:rsidR="00603B25" w:rsidRDefault="00603B25" w:rsidP="00C90DDF">
            <w:pPr>
              <w:jc w:val="center"/>
            </w:pPr>
            <w:r w:rsidRPr="00802643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03B25" w:rsidRPr="00802643" w:rsidTr="00F07064">
        <w:tc>
          <w:tcPr>
            <w:tcW w:w="1224" w:type="pct"/>
            <w:vMerge w:val="restart"/>
          </w:tcPr>
          <w:p w:rsidR="00603B25" w:rsidRDefault="00603B25" w:rsidP="00C90DDF">
            <w:pPr>
              <w:jc w:val="center"/>
            </w:pPr>
            <w:r w:rsidRPr="00802643">
              <w:rPr>
                <w:b/>
                <w:bCs/>
              </w:rPr>
              <w:t>Rādītāji</w:t>
            </w:r>
          </w:p>
        </w:tc>
        <w:tc>
          <w:tcPr>
            <w:tcW w:w="1348" w:type="pct"/>
            <w:gridSpan w:val="2"/>
            <w:vMerge w:val="restart"/>
          </w:tcPr>
          <w:p w:rsidR="00603B25" w:rsidRDefault="00603B25" w:rsidP="00C90DDF">
            <w:pPr>
              <w:jc w:val="center"/>
            </w:pPr>
            <w:r>
              <w:rPr>
                <w:b/>
                <w:bCs/>
              </w:rPr>
              <w:t>2012</w:t>
            </w:r>
            <w:r w:rsidRPr="00802643">
              <w:rPr>
                <w:b/>
                <w:bCs/>
              </w:rPr>
              <w:t>.gads</w:t>
            </w:r>
          </w:p>
        </w:tc>
        <w:tc>
          <w:tcPr>
            <w:tcW w:w="2428" w:type="pct"/>
            <w:gridSpan w:val="3"/>
          </w:tcPr>
          <w:p w:rsidR="00603B25" w:rsidRPr="00802643" w:rsidRDefault="00603B25" w:rsidP="00C90DDF">
            <w:pPr>
              <w:tabs>
                <w:tab w:val="left" w:pos="3480"/>
              </w:tabs>
              <w:jc w:val="center"/>
              <w:rPr>
                <w:b/>
              </w:rPr>
            </w:pPr>
            <w:r w:rsidRPr="00802643">
              <w:rPr>
                <w:b/>
              </w:rPr>
              <w:t>Turpmākie trīs gadi (tūkst. latu)</w:t>
            </w:r>
          </w:p>
        </w:tc>
      </w:tr>
      <w:tr w:rsidR="00603B25" w:rsidTr="00F07064">
        <w:tc>
          <w:tcPr>
            <w:tcW w:w="1224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1348" w:type="pct"/>
            <w:gridSpan w:val="2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 w:rsidRPr="00802643">
              <w:rPr>
                <w:b/>
                <w:bCs/>
              </w:rPr>
              <w:t>n+1</w:t>
            </w:r>
            <w:r>
              <w:rPr>
                <w:b/>
                <w:bCs/>
              </w:rPr>
              <w:t xml:space="preserve"> (2013</w:t>
            </w:r>
            <w:r w:rsidRPr="00802643">
              <w:rPr>
                <w:b/>
                <w:bCs/>
              </w:rPr>
              <w:t>.gads)</w:t>
            </w:r>
          </w:p>
        </w:tc>
        <w:tc>
          <w:tcPr>
            <w:tcW w:w="719" w:type="pct"/>
          </w:tcPr>
          <w:p w:rsidR="00603B25" w:rsidRPr="00802643" w:rsidRDefault="00603B25" w:rsidP="00C90DDF">
            <w:pPr>
              <w:jc w:val="center"/>
              <w:rPr>
                <w:b/>
                <w:bCs/>
              </w:rPr>
            </w:pPr>
            <w:r w:rsidRPr="00802643">
              <w:rPr>
                <w:b/>
                <w:bCs/>
              </w:rPr>
              <w:t xml:space="preserve">n+2 </w:t>
            </w:r>
          </w:p>
          <w:p w:rsidR="00603B25" w:rsidRDefault="00603B25" w:rsidP="00C90DDF">
            <w:pPr>
              <w:jc w:val="center"/>
            </w:pPr>
            <w:r>
              <w:rPr>
                <w:b/>
                <w:bCs/>
              </w:rPr>
              <w:t>(2014</w:t>
            </w:r>
            <w:r w:rsidRPr="00802643">
              <w:rPr>
                <w:b/>
                <w:bCs/>
              </w:rPr>
              <w:t>.gads)</w:t>
            </w:r>
          </w:p>
        </w:tc>
        <w:tc>
          <w:tcPr>
            <w:tcW w:w="990" w:type="pct"/>
          </w:tcPr>
          <w:p w:rsidR="00603B25" w:rsidRPr="00802643" w:rsidRDefault="00603B25" w:rsidP="00C90DDF">
            <w:pPr>
              <w:ind w:right="4"/>
              <w:jc w:val="center"/>
              <w:rPr>
                <w:b/>
                <w:bCs/>
              </w:rPr>
            </w:pPr>
            <w:r w:rsidRPr="00802643">
              <w:rPr>
                <w:b/>
                <w:bCs/>
              </w:rPr>
              <w:t>n+3</w:t>
            </w:r>
          </w:p>
          <w:p w:rsidR="00603B25" w:rsidRDefault="00603B25" w:rsidP="00C90DDF">
            <w:pPr>
              <w:ind w:right="4"/>
              <w:jc w:val="center"/>
            </w:pPr>
            <w:r>
              <w:rPr>
                <w:b/>
                <w:bCs/>
              </w:rPr>
              <w:t>(2015</w:t>
            </w:r>
            <w:r w:rsidRPr="00802643">
              <w:rPr>
                <w:b/>
                <w:bCs/>
              </w:rPr>
              <w:t>.gads)</w:t>
            </w:r>
          </w:p>
        </w:tc>
      </w:tr>
      <w:tr w:rsidR="00603B25" w:rsidTr="00F07064">
        <w:tc>
          <w:tcPr>
            <w:tcW w:w="1224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629" w:type="pct"/>
          </w:tcPr>
          <w:p w:rsidR="00603B25" w:rsidRDefault="00603B25" w:rsidP="00C90DDF">
            <w:pPr>
              <w:jc w:val="both"/>
            </w:pPr>
            <w:r>
              <w:t xml:space="preserve"> Saskaņā </w:t>
            </w:r>
            <w:r>
              <w:lastRenderedPageBreak/>
              <w:t>ar valsts budžetu kārtējam gadam</w:t>
            </w:r>
          </w:p>
        </w:tc>
        <w:tc>
          <w:tcPr>
            <w:tcW w:w="719" w:type="pct"/>
          </w:tcPr>
          <w:p w:rsidR="00603B25" w:rsidRDefault="00603B25" w:rsidP="00C90DDF">
            <w:pPr>
              <w:ind w:left="-61"/>
              <w:jc w:val="both"/>
            </w:pPr>
            <w:r>
              <w:lastRenderedPageBreak/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 xml:space="preserve">aiņas </w:t>
            </w:r>
            <w:r>
              <w:lastRenderedPageBreak/>
              <w:t>kārtējā gadā, salīdzinot ar budžetu kārtējam gadam</w:t>
            </w:r>
          </w:p>
        </w:tc>
        <w:tc>
          <w:tcPr>
            <w:tcW w:w="719" w:type="pct"/>
          </w:tcPr>
          <w:p w:rsidR="00603B25" w:rsidRDefault="00603B25" w:rsidP="00C90DDF">
            <w:pPr>
              <w:ind w:left="-108"/>
              <w:jc w:val="both"/>
            </w:pPr>
            <w:r>
              <w:lastRenderedPageBreak/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 xml:space="preserve">aiņas, </w:t>
            </w:r>
            <w:r>
              <w:lastRenderedPageBreak/>
              <w:t>salīdzinot ar kārtējo 2012.gadu</w:t>
            </w:r>
          </w:p>
        </w:tc>
        <w:tc>
          <w:tcPr>
            <w:tcW w:w="719" w:type="pct"/>
          </w:tcPr>
          <w:p w:rsidR="00603B25" w:rsidRDefault="00603B25" w:rsidP="00C90DDF">
            <w:pPr>
              <w:tabs>
                <w:tab w:val="left" w:pos="0"/>
              </w:tabs>
              <w:ind w:right="-108"/>
              <w:jc w:val="both"/>
            </w:pPr>
            <w:r>
              <w:lastRenderedPageBreak/>
              <w:t>I</w:t>
            </w:r>
            <w:smartTag w:uri="urn:schemas-microsoft-com:office:smarttags" w:element="PersonName">
              <w:r>
                <w:t>zm</w:t>
              </w:r>
            </w:smartTag>
            <w:r>
              <w:t xml:space="preserve">aiņas, </w:t>
            </w:r>
            <w:r>
              <w:lastRenderedPageBreak/>
              <w:t>salīdzinot ar kārtējo 2012. gadu</w:t>
            </w:r>
          </w:p>
        </w:tc>
        <w:tc>
          <w:tcPr>
            <w:tcW w:w="990" w:type="pct"/>
          </w:tcPr>
          <w:p w:rsidR="00603B25" w:rsidRDefault="00603B25" w:rsidP="00C90DDF">
            <w:pPr>
              <w:jc w:val="both"/>
            </w:pPr>
            <w:r>
              <w:lastRenderedPageBreak/>
              <w:t> I</w:t>
            </w:r>
            <w:smartTag w:uri="urn:schemas-microsoft-com:office:smarttags" w:element="PersonName">
              <w:r>
                <w:t>zm</w:t>
              </w:r>
            </w:smartTag>
            <w:r>
              <w:t xml:space="preserve">aiņas, </w:t>
            </w:r>
            <w:r>
              <w:lastRenderedPageBreak/>
              <w:t>salīdzinot ar kārtējo 2012. gadu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center"/>
            </w:pPr>
            <w:r>
              <w:lastRenderedPageBreak/>
              <w:t>1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  <w:r>
              <w:t>2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3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4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5</w:t>
            </w: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  <w:r>
              <w:t>6</w:t>
            </w:r>
          </w:p>
        </w:tc>
      </w:tr>
      <w:tr w:rsidR="00603B25" w:rsidRPr="004C0C3E" w:rsidTr="00F07064">
        <w:tc>
          <w:tcPr>
            <w:tcW w:w="5000" w:type="pct"/>
            <w:gridSpan w:val="6"/>
          </w:tcPr>
          <w:p w:rsidR="00603B25" w:rsidRPr="004C0C3E" w:rsidRDefault="00603B25" w:rsidP="00C90DDF">
            <w:pPr>
              <w:jc w:val="both"/>
              <w:rPr>
                <w:i/>
              </w:rPr>
            </w:pPr>
            <w:r w:rsidRPr="004C0C3E">
              <w:rPr>
                <w:i/>
              </w:rPr>
              <w:t>Finanšu līdzekļu aprēķins norādīts anotācijas pielikumā</w:t>
            </w: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1. Budžeta ieņēmumi:</w:t>
            </w:r>
          </w:p>
        </w:tc>
        <w:tc>
          <w:tcPr>
            <w:tcW w:w="62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1.1. valsts pamatbudžets, tai skaitā ieņēmumi no maksas pakalpojumiem un citi pašu ieņēmumi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1.2. valsts speciālais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1.3. pašvaldību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2. Budžeta izdevumi:</w:t>
            </w:r>
          </w:p>
        </w:tc>
        <w:tc>
          <w:tcPr>
            <w:tcW w:w="62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17,6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165,1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2.1. valsts pamatbudžets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  <w:r>
              <w:t>17,6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165,1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  <w:r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2.2. valsts speciālais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2.3. pašvaldību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3. Finansiālā ietekme:</w:t>
            </w:r>
          </w:p>
        </w:tc>
        <w:tc>
          <w:tcPr>
            <w:tcW w:w="62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>
              <w:rPr>
                <w:b/>
              </w:rPr>
              <w:t>-17,6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>
              <w:rPr>
                <w:b/>
              </w:rPr>
              <w:t>-165,1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  <w:rPr>
                <w:b/>
              </w:rPr>
            </w:pPr>
            <w:r w:rsidRPr="00212257">
              <w:rPr>
                <w:b/>
              </w:rPr>
              <w:t>0,0</w:t>
            </w: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3.1. valsts pamatbudžets</w:t>
            </w:r>
          </w:p>
        </w:tc>
        <w:tc>
          <w:tcPr>
            <w:tcW w:w="629" w:type="pct"/>
          </w:tcPr>
          <w:p w:rsidR="00603B25" w:rsidRPr="00212257" w:rsidRDefault="00603B25" w:rsidP="00C90DDF">
            <w:pPr>
              <w:jc w:val="center"/>
            </w:pPr>
            <w:r>
              <w:t>-17,6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>
              <w:t>-165,1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3.2. speciālais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3.3. pašvaldību budžets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RPr="00212257" w:rsidTr="00F07064">
        <w:tc>
          <w:tcPr>
            <w:tcW w:w="1224" w:type="pct"/>
            <w:vMerge w:val="restart"/>
          </w:tcPr>
          <w:p w:rsidR="00603B25" w:rsidRDefault="00603B25" w:rsidP="00C90DDF">
            <w:pPr>
              <w:jc w:val="both"/>
            </w:pPr>
            <w:r>
              <w:t>4. Finanšu līdzekļi papildu izde</w:t>
            </w:r>
            <w:r>
              <w:softHyphen/>
              <w:t>vumu finansēšanai (kompensējošu izdevumu samazinājumu norāda ar "+" zīmi)</w:t>
            </w:r>
          </w:p>
        </w:tc>
        <w:tc>
          <w:tcPr>
            <w:tcW w:w="629" w:type="pct"/>
            <w:vMerge w:val="restar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</w:tr>
      <w:tr w:rsidR="00603B25" w:rsidTr="00F07064">
        <w:tc>
          <w:tcPr>
            <w:tcW w:w="1224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629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629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5. Precizēta finansiālā ietekme:</w:t>
            </w:r>
          </w:p>
        </w:tc>
        <w:tc>
          <w:tcPr>
            <w:tcW w:w="629" w:type="pct"/>
            <w:vMerge w:val="restar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>
              <w:t>-165,1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719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  <w:tc>
          <w:tcPr>
            <w:tcW w:w="990" w:type="pct"/>
          </w:tcPr>
          <w:p w:rsidR="00603B25" w:rsidRPr="00212257" w:rsidRDefault="00603B25" w:rsidP="00C90DDF">
            <w:pPr>
              <w:jc w:val="center"/>
            </w:pPr>
            <w:r w:rsidRPr="00212257">
              <w:t>0,0</w:t>
            </w: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5.1. valsts pamatbudžets</w:t>
            </w:r>
          </w:p>
        </w:tc>
        <w:tc>
          <w:tcPr>
            <w:tcW w:w="629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tabs>
                <w:tab w:val="left" w:pos="660"/>
                <w:tab w:val="center" w:pos="731"/>
              </w:tabs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5.2. speciālais budžets</w:t>
            </w:r>
          </w:p>
        </w:tc>
        <w:tc>
          <w:tcPr>
            <w:tcW w:w="629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 5.3. pašvaldību budžets</w:t>
            </w:r>
          </w:p>
        </w:tc>
        <w:tc>
          <w:tcPr>
            <w:tcW w:w="629" w:type="pct"/>
            <w:vMerge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t>6. Detalizēts ieņēmumu un izdevu</w:t>
            </w:r>
            <w:r>
              <w:softHyphen/>
              <w:t xml:space="preserve">mu aprēķins (ja nepieciešams, detalizētu ieņēmumu </w:t>
            </w:r>
            <w:r>
              <w:lastRenderedPageBreak/>
              <w:t>un izdevumu aprēķinu var pievienot anotācijas pielikumā):</w:t>
            </w:r>
          </w:p>
        </w:tc>
        <w:tc>
          <w:tcPr>
            <w:tcW w:w="629" w:type="pct"/>
          </w:tcPr>
          <w:p w:rsidR="00603B25" w:rsidRDefault="00603B25" w:rsidP="00C90DDF">
            <w:pPr>
              <w:pStyle w:val="naisf"/>
              <w:spacing w:before="0" w:after="0"/>
            </w:pPr>
          </w:p>
        </w:tc>
        <w:tc>
          <w:tcPr>
            <w:tcW w:w="719" w:type="pct"/>
          </w:tcPr>
          <w:p w:rsidR="00603B25" w:rsidRDefault="00603B25" w:rsidP="00C90DDF">
            <w:pPr>
              <w:pStyle w:val="naisf"/>
              <w:spacing w:before="0" w:after="0"/>
            </w:pPr>
          </w:p>
        </w:tc>
        <w:tc>
          <w:tcPr>
            <w:tcW w:w="719" w:type="pct"/>
          </w:tcPr>
          <w:p w:rsidR="00603B25" w:rsidRDefault="00603B25" w:rsidP="00C90DDF">
            <w:pPr>
              <w:pStyle w:val="naisf"/>
              <w:spacing w:before="0" w:after="0"/>
            </w:pPr>
          </w:p>
        </w:tc>
        <w:tc>
          <w:tcPr>
            <w:tcW w:w="719" w:type="pct"/>
          </w:tcPr>
          <w:p w:rsidR="00603B25" w:rsidRDefault="00603B25" w:rsidP="00C90DDF">
            <w:pPr>
              <w:pStyle w:val="naisf"/>
              <w:spacing w:before="0" w:after="0"/>
            </w:pPr>
          </w:p>
        </w:tc>
        <w:tc>
          <w:tcPr>
            <w:tcW w:w="990" w:type="pct"/>
          </w:tcPr>
          <w:p w:rsidR="00603B25" w:rsidRDefault="00603B25" w:rsidP="00C90DDF">
            <w:pPr>
              <w:pStyle w:val="naisf"/>
              <w:spacing w:before="0" w:after="0"/>
            </w:pPr>
          </w:p>
        </w:tc>
      </w:tr>
      <w:tr w:rsidR="00603B25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lastRenderedPageBreak/>
              <w:t>6.1. Detalizēts ieņēmumu aprēķins</w:t>
            </w:r>
          </w:p>
          <w:p w:rsidR="00603B25" w:rsidRPr="00212257" w:rsidRDefault="00603B25" w:rsidP="00C90DDF">
            <w:pPr>
              <w:jc w:val="both"/>
            </w:pPr>
            <w:r>
              <w:t>Izdevumi tiek segti no dotācijas no vispārējiem ieņēmumiem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both"/>
            </w:pPr>
          </w:p>
        </w:tc>
        <w:tc>
          <w:tcPr>
            <w:tcW w:w="719" w:type="pct"/>
          </w:tcPr>
          <w:p w:rsidR="00603B25" w:rsidRDefault="00603B25" w:rsidP="00C90DDF">
            <w:pPr>
              <w:jc w:val="both"/>
            </w:pPr>
          </w:p>
        </w:tc>
        <w:tc>
          <w:tcPr>
            <w:tcW w:w="990" w:type="pct"/>
          </w:tcPr>
          <w:p w:rsidR="00603B25" w:rsidRDefault="00603B25" w:rsidP="00C90DDF">
            <w:pPr>
              <w:jc w:val="both"/>
            </w:pPr>
          </w:p>
        </w:tc>
      </w:tr>
      <w:tr w:rsidR="00603B25" w:rsidRPr="00614A4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 w:rsidRPr="00614A47">
              <w:t xml:space="preserve">6.2. detalizēts izdevumu aprēķins </w:t>
            </w:r>
          </w:p>
          <w:p w:rsidR="00603B25" w:rsidRPr="000E19A9" w:rsidRDefault="00603B25" w:rsidP="00C90DDF">
            <w:pPr>
              <w:jc w:val="both"/>
            </w:pPr>
            <w:r w:rsidRPr="000E19A9">
              <w:t xml:space="preserve">Saskaņā ar Ministru kabineta rīkojuma projektu nepieciešamais finansējums </w:t>
            </w:r>
            <w:r>
              <w:t xml:space="preserve">no budžeta programmas 02.00.00 „Līdzekļi neparedzētajiem gadījumiem” </w:t>
            </w:r>
            <w:r w:rsidRPr="00F07064">
              <w:rPr>
                <w:iCs/>
                <w:sz w:val="23"/>
                <w:szCs w:val="23"/>
              </w:rPr>
              <w:t>klasiskā cūku mēra uzraudzības pasākumu mājas cūku un mežacūku populācijā</w:t>
            </w:r>
            <w:r>
              <w:rPr>
                <w:iCs/>
                <w:sz w:val="23"/>
                <w:szCs w:val="23"/>
              </w:rPr>
              <w:t xml:space="preserve"> nodrošināšanai</w:t>
            </w:r>
            <w:r>
              <w:t xml:space="preserve"> </w:t>
            </w:r>
            <w:r w:rsidRPr="000E19A9">
              <w:t>sastāda:</w:t>
            </w:r>
          </w:p>
          <w:p w:rsidR="00603B25" w:rsidRPr="0031157F" w:rsidRDefault="00603B25" w:rsidP="00C90DDF">
            <w:pPr>
              <w:jc w:val="both"/>
              <w:rPr>
                <w:b/>
              </w:rPr>
            </w:pPr>
            <w:r w:rsidRPr="0031157F">
              <w:rPr>
                <w:b/>
              </w:rPr>
              <w:t>6.2.1. PVD finansējums – 43 557 Ls</w:t>
            </w:r>
          </w:p>
          <w:p w:rsidR="00603B25" w:rsidRDefault="00603B25" w:rsidP="00C90DDF">
            <w:pPr>
              <w:jc w:val="both"/>
            </w:pPr>
            <w:r>
              <w:t>6.2.1.1. Mājas cūku uzraudzība</w:t>
            </w:r>
          </w:p>
          <w:p w:rsidR="00603B25" w:rsidRDefault="00603B25" w:rsidP="00C90DDF">
            <w:pPr>
              <w:jc w:val="both"/>
            </w:pPr>
            <w:r>
              <w:t>6.2.2.</w:t>
            </w:r>
            <w:r w:rsidRPr="000E19A9">
              <w:t>2</w:t>
            </w:r>
            <w:r>
              <w:t>.</w:t>
            </w:r>
            <w:r w:rsidRPr="000E19A9">
              <w:t>Meža cūku uzraudzība</w:t>
            </w:r>
          </w:p>
          <w:p w:rsidR="00603B25" w:rsidRDefault="00603B25" w:rsidP="00C90DDF">
            <w:pPr>
              <w:jc w:val="both"/>
            </w:pPr>
            <w:r>
              <w:t>6.2.2.3.</w:t>
            </w:r>
            <w:r w:rsidRPr="000E19A9">
              <w:t>Komandējuma izmaksas</w:t>
            </w:r>
          </w:p>
          <w:p w:rsidR="00603B25" w:rsidRDefault="00603B25" w:rsidP="00C90DDF">
            <w:pPr>
              <w:jc w:val="both"/>
            </w:pPr>
            <w:r>
              <w:t>6.2.2.</w:t>
            </w:r>
            <w:r w:rsidRPr="000E19A9">
              <w:t>4.Uzņēmuma līgumi veterinārārstiem par darbu veikšanu inficētajā teritorijā</w:t>
            </w:r>
          </w:p>
          <w:p w:rsidR="00603B25" w:rsidRDefault="00603B25" w:rsidP="00C90DDF">
            <w:pPr>
              <w:jc w:val="both"/>
            </w:pPr>
            <w:r>
              <w:t>6.2.2.5.</w:t>
            </w:r>
            <w:r w:rsidRPr="000E19A9">
              <w:t>Uzņēmuma līgumi studentiem par darbu veikšanu inficētajā teritorijā (10 dienas x 15Ls vienam cilvēkam)</w:t>
            </w:r>
          </w:p>
          <w:p w:rsidR="00603B25" w:rsidRDefault="00603B25" w:rsidP="00C90DDF">
            <w:pPr>
              <w:jc w:val="both"/>
            </w:pPr>
            <w:r>
              <w:t>6.2.2.6.</w:t>
            </w:r>
            <w:r w:rsidRPr="000E19A9">
              <w:t>Virsstundu darba apmaksa iesaistītajam PVD personālam</w:t>
            </w:r>
          </w:p>
          <w:p w:rsidR="00603B25" w:rsidRDefault="00603B25" w:rsidP="00C90DDF">
            <w:pPr>
              <w:jc w:val="both"/>
            </w:pPr>
            <w:r>
              <w:t>6.2.2.7.</w:t>
            </w:r>
            <w:r w:rsidRPr="000E19A9">
              <w:t xml:space="preserve">Aprīkojums paraugu noņemšanai un personīgās </w:t>
            </w:r>
            <w:proofErr w:type="spellStart"/>
            <w:r w:rsidRPr="000E19A9">
              <w:lastRenderedPageBreak/>
              <w:t>biodrošības</w:t>
            </w:r>
            <w:proofErr w:type="spellEnd"/>
            <w:r w:rsidRPr="000E19A9">
              <w:t xml:space="preserve"> nodrošināšana</w:t>
            </w:r>
          </w:p>
          <w:p w:rsidR="00603B25" w:rsidRDefault="00603B25" w:rsidP="00C90DDF">
            <w:pPr>
              <w:jc w:val="both"/>
            </w:pPr>
            <w:r>
              <w:t>6.2.2.8.Izdevumi degvielai</w:t>
            </w:r>
          </w:p>
          <w:p w:rsidR="00603B25" w:rsidRDefault="00603B25" w:rsidP="00C90DDF">
            <w:pPr>
              <w:jc w:val="both"/>
            </w:pPr>
          </w:p>
          <w:p w:rsidR="00603B25" w:rsidRDefault="00603B25" w:rsidP="00C90DDF">
            <w:pPr>
              <w:jc w:val="both"/>
              <w:rPr>
                <w:b/>
              </w:rPr>
            </w:pPr>
            <w:r w:rsidRPr="00F07064">
              <w:rPr>
                <w:b/>
              </w:rPr>
              <w:t>6.2.2.</w:t>
            </w:r>
            <w:r w:rsidRPr="00F07064">
              <w:rPr>
                <w:b/>
                <w:iCs/>
                <w:sz w:val="23"/>
                <w:szCs w:val="23"/>
              </w:rPr>
              <w:t xml:space="preserve">Valsts zinātniskajam institūtam „Pārtikas drošības, dzīvnieku veselības un vides zinātniskais institūts </w:t>
            </w:r>
            <w:r w:rsidRPr="005A6D73">
              <w:rPr>
                <w:b/>
              </w:rPr>
              <w:t>BIOR</w:t>
            </w:r>
            <w:r w:rsidRPr="000E19A9">
              <w:rPr>
                <w:b/>
              </w:rPr>
              <w:t xml:space="preserve"> finansējums – 121 553 Ls</w:t>
            </w:r>
          </w:p>
          <w:p w:rsidR="00603B25" w:rsidRDefault="00603B25" w:rsidP="00C90DDF">
            <w:pPr>
              <w:jc w:val="both"/>
            </w:pPr>
            <w:r w:rsidRPr="00C02216">
              <w:t>6.2.2.1.Mājas cūku uzraudzība</w:t>
            </w:r>
          </w:p>
          <w:p w:rsidR="00603B25" w:rsidRPr="00C02216" w:rsidRDefault="00603B25" w:rsidP="00C90DDF">
            <w:pPr>
              <w:jc w:val="both"/>
            </w:pPr>
            <w:r>
              <w:t>6.2.2.2.</w:t>
            </w:r>
            <w:r w:rsidRPr="00C02216">
              <w:t>Meža cūku uzraudzība</w:t>
            </w:r>
          </w:p>
        </w:tc>
        <w:tc>
          <w:tcPr>
            <w:tcW w:w="629" w:type="pct"/>
          </w:tcPr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7EA9" w:rsidRDefault="00603B25" w:rsidP="00C90DDF">
            <w:pPr>
              <w:jc w:val="center"/>
              <w:rPr>
                <w:b/>
              </w:rPr>
            </w:pPr>
            <w:r w:rsidRPr="00C07EA9">
              <w:rPr>
                <w:b/>
              </w:rPr>
              <w:t>17,6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6,</w:t>
            </w:r>
            <w:r>
              <w:rPr>
                <w:b/>
              </w:rPr>
              <w:t>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6,0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>
              <w:rPr>
                <w:b/>
              </w:rPr>
              <w:t>11,7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3,7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8,0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7EA9" w:rsidRDefault="00603B25" w:rsidP="00C90DDF">
            <w:pPr>
              <w:jc w:val="center"/>
              <w:rPr>
                <w:b/>
              </w:rPr>
            </w:pPr>
            <w:r w:rsidRPr="00C07EA9">
              <w:rPr>
                <w:b/>
              </w:rPr>
              <w:t>165,1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43,6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4,1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13,9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10,1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1,9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1,9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7,0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2,3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2,4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121,5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78</w:t>
            </w:r>
            <w:r w:rsidRPr="00C02216">
              <w:rPr>
                <w:b/>
              </w:rPr>
              <w:t>,</w:t>
            </w:r>
            <w:r>
              <w:t>5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43,0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7EA9" w:rsidRDefault="00603B25" w:rsidP="00C90DDF">
            <w:pPr>
              <w:jc w:val="center"/>
              <w:rPr>
                <w:b/>
              </w:rPr>
            </w:pPr>
            <w:r w:rsidRPr="00C07EA9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Pr="00614A47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719" w:type="pct"/>
          </w:tcPr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7EA9" w:rsidRDefault="00603B25" w:rsidP="00C90DDF">
            <w:pPr>
              <w:jc w:val="center"/>
              <w:rPr>
                <w:b/>
              </w:rPr>
            </w:pPr>
            <w:r w:rsidRPr="00C07EA9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Pr="00614A47" w:rsidRDefault="00603B25" w:rsidP="00C90DDF">
            <w:pPr>
              <w:jc w:val="center"/>
            </w:pPr>
            <w:r>
              <w:t>0,0</w:t>
            </w:r>
          </w:p>
        </w:tc>
        <w:tc>
          <w:tcPr>
            <w:tcW w:w="990" w:type="pct"/>
          </w:tcPr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7EA9" w:rsidRDefault="00603B25" w:rsidP="00C90DDF">
            <w:pPr>
              <w:jc w:val="center"/>
              <w:rPr>
                <w:b/>
              </w:rPr>
            </w:pPr>
            <w:r w:rsidRPr="00C07EA9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</w:p>
          <w:p w:rsidR="00603B25" w:rsidRDefault="00603B25" w:rsidP="00C90DDF"/>
          <w:p w:rsidR="00603B25" w:rsidRPr="00C02216" w:rsidRDefault="00603B25" w:rsidP="00C90DDF">
            <w:pPr>
              <w:jc w:val="center"/>
              <w:rPr>
                <w:b/>
              </w:rPr>
            </w:pPr>
            <w:r w:rsidRPr="00C02216">
              <w:rPr>
                <w:b/>
              </w:rP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Default="00603B25" w:rsidP="00C90DDF">
            <w:pPr>
              <w:jc w:val="center"/>
            </w:pPr>
            <w:r>
              <w:t>0,0</w:t>
            </w:r>
          </w:p>
          <w:p w:rsidR="00603B25" w:rsidRDefault="00603B25" w:rsidP="00C90DDF">
            <w:pPr>
              <w:jc w:val="center"/>
            </w:pPr>
          </w:p>
          <w:p w:rsidR="00603B25" w:rsidRPr="00614A47" w:rsidRDefault="00603B25" w:rsidP="00C90DDF">
            <w:pPr>
              <w:jc w:val="center"/>
            </w:pPr>
            <w:r>
              <w:t>0,0</w:t>
            </w:r>
          </w:p>
        </w:tc>
      </w:tr>
      <w:tr w:rsidR="00603B25" w:rsidRPr="00212257" w:rsidTr="00F07064">
        <w:tc>
          <w:tcPr>
            <w:tcW w:w="1224" w:type="pct"/>
          </w:tcPr>
          <w:p w:rsidR="00603B25" w:rsidRDefault="00603B25" w:rsidP="00C90DDF">
            <w:pPr>
              <w:jc w:val="both"/>
            </w:pPr>
            <w:r>
              <w:lastRenderedPageBreak/>
              <w:t>7. Cita informācija</w:t>
            </w:r>
          </w:p>
        </w:tc>
        <w:tc>
          <w:tcPr>
            <w:tcW w:w="3776" w:type="pct"/>
            <w:gridSpan w:val="5"/>
          </w:tcPr>
          <w:p w:rsidR="00603B25" w:rsidRPr="00F07064" w:rsidRDefault="00603B25" w:rsidP="00C90DDF">
            <w:pPr>
              <w:jc w:val="both"/>
              <w:rPr>
                <w:sz w:val="23"/>
                <w:szCs w:val="23"/>
              </w:rPr>
            </w:pPr>
            <w:r w:rsidRPr="00F07064">
              <w:rPr>
                <w:sz w:val="23"/>
                <w:szCs w:val="23"/>
              </w:rPr>
              <w:t xml:space="preserve">2012.gadā Klasiskā cūku mēra monitoringa nodrošināšanai paredzētais finansējums sastāda 17 647,50 Ls, no tiem 6 000,0 Ls paredzēti PVD un 11 647,50 Ls paredzēti </w:t>
            </w:r>
            <w:r w:rsidRPr="00F07064">
              <w:rPr>
                <w:iCs/>
                <w:sz w:val="23"/>
                <w:szCs w:val="23"/>
              </w:rPr>
              <w:t xml:space="preserve">valsts zinātniskajam institūtam „Pārtikas drošības, dzīvnieku veselības un vides zinātniskais institūts </w:t>
            </w:r>
            <w:r w:rsidRPr="00F07064">
              <w:rPr>
                <w:bCs/>
                <w:iCs/>
                <w:sz w:val="23"/>
                <w:szCs w:val="23"/>
              </w:rPr>
              <w:t>„BIOR</w:t>
            </w:r>
            <w:r w:rsidRPr="00F07064">
              <w:rPr>
                <w:bCs/>
                <w:iCs/>
                <w:sz w:val="28"/>
                <w:szCs w:val="28"/>
              </w:rPr>
              <w:t>”</w:t>
            </w:r>
            <w:r w:rsidRPr="00F07064">
              <w:rPr>
                <w:sz w:val="23"/>
                <w:szCs w:val="23"/>
              </w:rPr>
              <w:t>. Izdevumi tiek segti no vispārējā kārtībā sadalāmās dotācijas no vispārējiem ieņēmumiem.</w:t>
            </w:r>
          </w:p>
          <w:p w:rsidR="00603B25" w:rsidRPr="00F07064" w:rsidRDefault="00603B25" w:rsidP="00C90DDF">
            <w:pPr>
              <w:jc w:val="both"/>
              <w:rPr>
                <w:sz w:val="23"/>
                <w:szCs w:val="23"/>
              </w:rPr>
            </w:pPr>
            <w:r w:rsidRPr="00F07064">
              <w:rPr>
                <w:sz w:val="23"/>
                <w:szCs w:val="23"/>
              </w:rPr>
              <w:t xml:space="preserve">Saskaņā ar Ministru kabineta rīkojuma projektu papildus nepieciešamais finansējums </w:t>
            </w:r>
            <w:r w:rsidRPr="00F07064">
              <w:rPr>
                <w:iCs/>
                <w:sz w:val="23"/>
                <w:szCs w:val="23"/>
              </w:rPr>
              <w:t>klasiskā cūku mēra uzraudzības pasākumus mājas cūku un mežacūku populācijā</w:t>
            </w:r>
            <w:r w:rsidRPr="00F07064">
              <w:rPr>
                <w:sz w:val="23"/>
                <w:szCs w:val="23"/>
              </w:rPr>
              <w:t xml:space="preserve"> nodrošināšanai sastāda 165 110 Ls.</w:t>
            </w:r>
          </w:p>
          <w:p w:rsidR="00603B25" w:rsidRPr="00F07064" w:rsidRDefault="00603B25" w:rsidP="00C90DDF">
            <w:pPr>
              <w:jc w:val="both"/>
              <w:rPr>
                <w:sz w:val="23"/>
                <w:szCs w:val="23"/>
              </w:rPr>
            </w:pPr>
            <w:r w:rsidRPr="00F07064">
              <w:rPr>
                <w:sz w:val="23"/>
                <w:szCs w:val="23"/>
              </w:rPr>
              <w:t>Detalizētu izdevumu pozīciju atšifrējumu skatīt pielikumā Nr.1.</w:t>
            </w:r>
          </w:p>
          <w:p w:rsidR="00603B25" w:rsidRPr="004B77E9" w:rsidRDefault="00254531" w:rsidP="00045AA0">
            <w:pPr>
              <w:jc w:val="both"/>
              <w:rPr>
                <w:sz w:val="23"/>
                <w:szCs w:val="23"/>
              </w:rPr>
            </w:pPr>
            <w:r w:rsidRPr="00F07064">
              <w:t>Piemērojot</w:t>
            </w:r>
            <w:r w:rsidR="00603B25" w:rsidRPr="00F07064">
              <w:t xml:space="preserve"> </w:t>
            </w:r>
            <w:r w:rsidR="00045AA0" w:rsidRPr="00F07064">
              <w:t>Publisko</w:t>
            </w:r>
            <w:r w:rsidR="00603B25" w:rsidRPr="00F07064">
              <w:t xml:space="preserve"> iepirkumu likuma </w:t>
            </w:r>
            <w:r w:rsidRPr="00F07064">
              <w:t>piemērošanas izņēmumu</w:t>
            </w:r>
            <w:r w:rsidR="00045AA0" w:rsidRPr="00F07064">
              <w:t xml:space="preserve"> (</w:t>
            </w:r>
            <w:r w:rsidR="00603B25" w:rsidRPr="00F07064">
              <w:t>3.panta trešās daļas 2.punktu</w:t>
            </w:r>
            <w:r w:rsidR="00045AA0" w:rsidRPr="00F07064">
              <w:t xml:space="preserve">) ir iespējama </w:t>
            </w:r>
            <w:r w:rsidR="00603B25" w:rsidRPr="00F07064">
              <w:t>dezinfekcijas līdzek</w:t>
            </w:r>
            <w:r w:rsidR="00045AA0" w:rsidRPr="00F07064">
              <w:t xml:space="preserve">ļu, </w:t>
            </w:r>
            <w:proofErr w:type="spellStart"/>
            <w:r w:rsidR="00045AA0" w:rsidRPr="00F07064">
              <w:t>vakutaineru</w:t>
            </w:r>
            <w:proofErr w:type="spellEnd"/>
            <w:r w:rsidR="00603B25" w:rsidRPr="00F07064">
              <w:t xml:space="preserve"> un </w:t>
            </w:r>
            <w:proofErr w:type="spellStart"/>
            <w:r w:rsidR="00603B25" w:rsidRPr="00F07064">
              <w:t>specapģērb</w:t>
            </w:r>
            <w:r w:rsidR="00045AA0" w:rsidRPr="00F07064">
              <w:t>u</w:t>
            </w:r>
            <w:proofErr w:type="spellEnd"/>
            <w:r w:rsidR="00045AA0" w:rsidRPr="00F07064">
              <w:t xml:space="preserve"> iegāde.</w:t>
            </w:r>
          </w:p>
        </w:tc>
      </w:tr>
    </w:tbl>
    <w:p w:rsidR="00603B25" w:rsidRDefault="00603B25" w:rsidP="004A25AC">
      <w:pPr>
        <w:rPr>
          <w:i/>
          <w:color w:val="000000"/>
        </w:rPr>
      </w:pPr>
    </w:p>
    <w:p w:rsidR="004A25AC" w:rsidRPr="004A25AC" w:rsidRDefault="004A25AC" w:rsidP="004A25AC">
      <w:pPr>
        <w:rPr>
          <w:i/>
          <w:color w:val="000000"/>
        </w:rPr>
      </w:pPr>
      <w:r w:rsidRPr="004A25AC">
        <w:rPr>
          <w:i/>
          <w:color w:val="000000"/>
        </w:rPr>
        <w:t xml:space="preserve">Anotācijas IV, V un VI sadaļa – projekts šīs jomas neskar. </w:t>
      </w:r>
    </w:p>
    <w:p w:rsidR="004A25AC" w:rsidRDefault="004A25AC" w:rsidP="00AC2C71">
      <w:pPr>
        <w:rPr>
          <w:i/>
          <w:color w:val="000000"/>
        </w:rPr>
      </w:pPr>
    </w:p>
    <w:tbl>
      <w:tblPr>
        <w:tblW w:w="5430" w:type="pct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1"/>
        <w:gridCol w:w="4124"/>
        <w:gridCol w:w="5414"/>
      </w:tblGrid>
      <w:tr w:rsidR="00AC2C71" w:rsidRPr="00CF6FB1" w:rsidTr="003D1E8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center"/>
              <w:rPr>
                <w:b/>
                <w:color w:val="000000"/>
              </w:rPr>
            </w:pPr>
            <w:r w:rsidRPr="00CF6FB1">
              <w:rPr>
                <w:b/>
                <w:color w:val="000000"/>
              </w:rPr>
              <w:t>VI. Sabiedrības līdzdalība un šīs līdzdalības rezultāti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1.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Sabiedrības informēšana par projekta izstrādes uzsākšanu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39217B" w:rsidP="004A73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Projekts šo jomu neskar</w:t>
            </w:r>
            <w:r w:rsidR="008472AE" w:rsidRPr="00CF6FB1">
              <w:rPr>
                <w:color w:val="000000"/>
              </w:rPr>
              <w:t>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2. 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Sabiedrības līdzdalība projekta izstrādē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8A7C20" w:rsidP="008472A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Sabiedrība projekta izstrādē nav iesaistīta.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3.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Sabiedrības līdzdalības rezultāti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8A7C20" w:rsidP="003D1E8E">
            <w:pPr>
              <w:jc w:val="both"/>
              <w:rPr>
                <w:bCs/>
                <w:color w:val="000000"/>
              </w:rPr>
            </w:pPr>
            <w:r w:rsidRPr="00CF6FB1">
              <w:rPr>
                <w:color w:val="000000"/>
              </w:rPr>
              <w:t>Projekts šo jomu neskar.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4.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Saeimas un ekspertu līdzdalība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Saeima un eksperti noteikumu projekta izstrādē nav iesaistīti.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5.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Cita informācija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Nav </w:t>
            </w:r>
          </w:p>
        </w:tc>
      </w:tr>
      <w:tr w:rsidR="00AC2C71" w:rsidRPr="00CF6FB1" w:rsidTr="003D1E8E"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center"/>
              <w:rPr>
                <w:b/>
                <w:color w:val="000000"/>
              </w:rPr>
            </w:pPr>
            <w:r w:rsidRPr="00CF6FB1">
              <w:rPr>
                <w:b/>
                <w:color w:val="000000"/>
              </w:rPr>
              <w:t>VII. Tiesību akta projekta izpildes nodrošināšana un tās ietekme uz institūcijām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1.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izpildē iesaistītās institūcijas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8472AE" w:rsidP="008472A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Ministru kabineta rīkojuma projektu </w:t>
            </w:r>
            <w:r w:rsidR="00AC2C71" w:rsidRPr="00CF6FB1">
              <w:rPr>
                <w:color w:val="000000"/>
              </w:rPr>
              <w:t xml:space="preserve">pēc tā pieņemšanas </w:t>
            </w:r>
            <w:r w:rsidR="00890763" w:rsidRPr="00CF6FB1">
              <w:rPr>
                <w:color w:val="000000"/>
              </w:rPr>
              <w:t>piemēros Pārtikas un veterinārais dienests</w:t>
            </w:r>
            <w:r w:rsidRPr="00CF6FB1">
              <w:rPr>
                <w:color w:val="000000"/>
              </w:rPr>
              <w:t xml:space="preserve"> sadarbīb</w:t>
            </w:r>
            <w:r w:rsidR="004A73D3" w:rsidRPr="00CF6FB1">
              <w:rPr>
                <w:color w:val="000000"/>
              </w:rPr>
              <w:t>ā</w:t>
            </w:r>
            <w:r w:rsidRPr="00CF6FB1">
              <w:rPr>
                <w:color w:val="000000"/>
              </w:rPr>
              <w:t xml:space="preserve"> ar pārējām klasiskā cūku mēra </w:t>
            </w:r>
            <w:r w:rsidRPr="00CF6FB1">
              <w:rPr>
                <w:color w:val="000000"/>
              </w:rPr>
              <w:lastRenderedPageBreak/>
              <w:t>apkarošanas un ierobežošanas pasākumos iesaistītajām valsts un pašvaldību institūcijām</w:t>
            </w:r>
            <w:r w:rsidR="00AC2C71" w:rsidRPr="00CF6FB1">
              <w:rPr>
                <w:color w:val="000000"/>
              </w:rPr>
              <w:t xml:space="preserve">. 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lastRenderedPageBreak/>
              <w:t>2.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ietekme uz pārvaldes funkcijām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8472AE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 xml:space="preserve">Ministru kabineta rīkojuma projekts </w:t>
            </w:r>
            <w:r w:rsidR="00AC2C71" w:rsidRPr="00CF6FB1">
              <w:rPr>
                <w:color w:val="000000"/>
              </w:rPr>
              <w:t>nemaina pārvaldes funkcijas.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3.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izpildes ietekme uz pārvaldes institucionālo struktūru. Jaunu institūciju izveide.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8472AE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Ministru kabineta r</w:t>
            </w:r>
            <w:r w:rsidR="00D876F9" w:rsidRPr="00CF6FB1">
              <w:rPr>
                <w:color w:val="000000"/>
              </w:rPr>
              <w:t>īkojuma projekta</w:t>
            </w:r>
            <w:r w:rsidR="00AC2C71" w:rsidRPr="00CF6FB1">
              <w:rPr>
                <w:color w:val="000000"/>
              </w:rPr>
              <w:t xml:space="preserve"> īstenošana pārvaldes institucionālo struktūru neietekmēs. 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4.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izpildes ietekme uz pārvaldes institucionālo struktūru. Esošu institūciju likvidācija.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D876F9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Ministru kabineta rīkojuma projekta</w:t>
            </w:r>
            <w:r w:rsidR="00AC2C71" w:rsidRPr="00CF6FB1">
              <w:rPr>
                <w:color w:val="000000"/>
              </w:rPr>
              <w:t xml:space="preserve"> īstenošana pārvaldes institucionālo struktūru neietekmēs.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5.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Projekta izpildes ietekme uz pārvaldes institucionālo struktūru. Esošu institūciju reorganizācija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D876F9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Ministru kabineta rīkojuma projekta</w:t>
            </w:r>
            <w:r w:rsidR="00AC2C71" w:rsidRPr="00CF6FB1">
              <w:rPr>
                <w:color w:val="000000"/>
              </w:rPr>
              <w:t xml:space="preserve"> īstenošana pārvaldes institucionālo struktūru neietekmēs.</w:t>
            </w:r>
          </w:p>
        </w:tc>
      </w:tr>
      <w:tr w:rsidR="00AC2C71" w:rsidRPr="00CF6FB1" w:rsidTr="003D1E8E"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6.</w:t>
            </w:r>
          </w:p>
        </w:tc>
        <w:tc>
          <w:tcPr>
            <w:tcW w:w="2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Cita informācija</w:t>
            </w:r>
          </w:p>
        </w:tc>
        <w:tc>
          <w:tcPr>
            <w:tcW w:w="2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2C71" w:rsidRPr="00CF6FB1" w:rsidRDefault="00AC2C71" w:rsidP="003D1E8E">
            <w:pPr>
              <w:jc w:val="both"/>
              <w:rPr>
                <w:color w:val="000000"/>
              </w:rPr>
            </w:pPr>
            <w:r w:rsidRPr="00CF6FB1">
              <w:rPr>
                <w:color w:val="000000"/>
              </w:rPr>
              <w:t>Nav</w:t>
            </w:r>
          </w:p>
        </w:tc>
      </w:tr>
    </w:tbl>
    <w:p w:rsidR="00AC2C71" w:rsidRDefault="00AC2C71" w:rsidP="00AC2C71">
      <w:pPr>
        <w:rPr>
          <w:i/>
          <w:color w:val="000000"/>
        </w:rPr>
      </w:pPr>
    </w:p>
    <w:p w:rsidR="00371C13" w:rsidRPr="00CF6FB1" w:rsidRDefault="00371C13" w:rsidP="00AC2C71">
      <w:pPr>
        <w:rPr>
          <w:i/>
          <w:color w:val="000000"/>
        </w:rPr>
      </w:pPr>
    </w:p>
    <w:p w:rsidR="00AC2C71" w:rsidRPr="00CF6FB1" w:rsidRDefault="00AC2C71" w:rsidP="00AC2C71">
      <w:pPr>
        <w:pStyle w:val="naisf"/>
        <w:spacing w:before="0" w:beforeAutospacing="0" w:after="0" w:afterAutospacing="0"/>
        <w:ind w:firstLine="720"/>
        <w:rPr>
          <w:color w:val="000000"/>
        </w:rPr>
      </w:pPr>
    </w:p>
    <w:p w:rsidR="00AC2C71" w:rsidRPr="00CF6FB1" w:rsidRDefault="00AC2C71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  <w:r w:rsidRPr="00CF6FB1">
        <w:rPr>
          <w:color w:val="000000"/>
          <w:sz w:val="28"/>
          <w:szCs w:val="28"/>
        </w:rPr>
        <w:t>Zemkopības ministre</w:t>
      </w:r>
      <w:r w:rsidRPr="00CF6FB1">
        <w:rPr>
          <w:color w:val="000000"/>
          <w:sz w:val="28"/>
          <w:szCs w:val="28"/>
        </w:rPr>
        <w:tab/>
      </w:r>
      <w:r w:rsidRPr="00CF6FB1">
        <w:rPr>
          <w:color w:val="000000"/>
          <w:sz w:val="28"/>
          <w:szCs w:val="28"/>
        </w:rPr>
        <w:tab/>
      </w:r>
      <w:r w:rsidRPr="00CF6FB1">
        <w:rPr>
          <w:color w:val="000000"/>
          <w:sz w:val="28"/>
          <w:szCs w:val="28"/>
        </w:rPr>
        <w:tab/>
      </w:r>
      <w:r w:rsidRPr="00CF6FB1">
        <w:rPr>
          <w:color w:val="000000"/>
          <w:sz w:val="28"/>
          <w:szCs w:val="28"/>
        </w:rPr>
        <w:tab/>
      </w:r>
      <w:r w:rsidRPr="00CF6FB1">
        <w:rPr>
          <w:color w:val="000000"/>
          <w:sz w:val="28"/>
          <w:szCs w:val="28"/>
        </w:rPr>
        <w:tab/>
      </w:r>
      <w:r w:rsidRPr="00CF6FB1">
        <w:rPr>
          <w:color w:val="000000"/>
          <w:sz w:val="28"/>
          <w:szCs w:val="28"/>
        </w:rPr>
        <w:tab/>
        <w:t>L.Straujuma</w:t>
      </w:r>
    </w:p>
    <w:p w:rsidR="00AC2C71" w:rsidRPr="00CF6FB1" w:rsidRDefault="00AC2C71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E67955" w:rsidRDefault="00E67955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371C13" w:rsidRPr="00CF6FB1" w:rsidRDefault="00371C13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E67955" w:rsidRPr="00CF6FB1" w:rsidRDefault="00E67955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D50E74" w:rsidRPr="00371C13" w:rsidRDefault="00D50E74" w:rsidP="00AC2C71">
      <w:pPr>
        <w:pStyle w:val="naisf"/>
        <w:spacing w:before="0" w:beforeAutospacing="0" w:after="0" w:afterAutospacing="0"/>
        <w:ind w:firstLine="720"/>
        <w:rPr>
          <w:color w:val="000000"/>
          <w:sz w:val="20"/>
          <w:szCs w:val="20"/>
        </w:rPr>
      </w:pPr>
    </w:p>
    <w:p w:rsidR="00FE0D0D" w:rsidRDefault="00FE0D0D" w:rsidP="00D422CD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bookmarkStart w:id="2" w:name="_GoBack"/>
      <w:bookmarkEnd w:id="2"/>
      <w:r>
        <w:rPr>
          <w:color w:val="000000"/>
          <w:sz w:val="20"/>
          <w:szCs w:val="20"/>
        </w:rPr>
        <w:t>2012.12.04. 10:09</w:t>
      </w:r>
    </w:p>
    <w:p w:rsidR="00FE0D0D" w:rsidRDefault="00FE0D0D" w:rsidP="00D422CD">
      <w:pPr>
        <w:pStyle w:val="naisf"/>
        <w:spacing w:before="0" w:beforeAutospacing="0" w:after="0" w:afterAutospacing="0"/>
        <w:rPr>
          <w:sz w:val="20"/>
          <w:szCs w:val="20"/>
        </w:rPr>
      </w:pPr>
      <w:fldSimple w:instr=" NUMWORDS   \* MERGEFORMAT ">
        <w:r>
          <w:rPr>
            <w:noProof/>
            <w:sz w:val="20"/>
            <w:szCs w:val="20"/>
          </w:rPr>
          <w:t>1191</w:t>
        </w:r>
      </w:fldSimple>
    </w:p>
    <w:p w:rsidR="00D422CD" w:rsidRPr="00371C13" w:rsidRDefault="00D422CD" w:rsidP="00D422CD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371C13">
        <w:rPr>
          <w:color w:val="000000"/>
          <w:sz w:val="20"/>
          <w:szCs w:val="20"/>
        </w:rPr>
        <w:t>O.Vecuma-Veco</w:t>
      </w:r>
    </w:p>
    <w:p w:rsidR="00D422CD" w:rsidRPr="00371C13" w:rsidRDefault="00D422CD" w:rsidP="00D422CD">
      <w:pPr>
        <w:pStyle w:val="naisf"/>
        <w:spacing w:before="0" w:beforeAutospacing="0" w:after="0" w:afterAutospacing="0"/>
        <w:rPr>
          <w:color w:val="000000"/>
          <w:sz w:val="20"/>
          <w:szCs w:val="20"/>
        </w:rPr>
      </w:pPr>
      <w:r w:rsidRPr="00371C13">
        <w:rPr>
          <w:color w:val="000000"/>
          <w:sz w:val="20"/>
          <w:szCs w:val="20"/>
        </w:rPr>
        <w:t>67027551, Olita.Vecuma-Veco@zm.gov.lv</w:t>
      </w:r>
    </w:p>
    <w:p w:rsidR="00D50E74" w:rsidRPr="00CF6FB1" w:rsidRDefault="00D50E74" w:rsidP="00AC2C71">
      <w:pPr>
        <w:pStyle w:val="nais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sectPr w:rsidR="00D50E74" w:rsidRPr="00CF6FB1" w:rsidSect="00371C13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58" w:rsidRDefault="00B85758" w:rsidP="00F76D52">
      <w:r>
        <w:separator/>
      </w:r>
    </w:p>
  </w:endnote>
  <w:endnote w:type="continuationSeparator" w:id="0">
    <w:p w:rsidR="00B85758" w:rsidRDefault="00B85758" w:rsidP="00F7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8E" w:rsidRPr="00D876F9" w:rsidRDefault="00D422CD" w:rsidP="00D876F9">
    <w:pPr>
      <w:jc w:val="both"/>
      <w:rPr>
        <w:sz w:val="20"/>
        <w:szCs w:val="20"/>
      </w:rPr>
    </w:pPr>
    <w:r>
      <w:rPr>
        <w:sz w:val="20"/>
        <w:szCs w:val="20"/>
      </w:rPr>
      <w:t>ZMAnot_031212_par KCM apkarošanas pasākumu organizēšanu</w:t>
    </w:r>
    <w:r w:rsidR="00D876F9" w:rsidRPr="00474D96">
      <w:rPr>
        <w:sz w:val="20"/>
        <w:szCs w:val="20"/>
      </w:rPr>
      <w:t>;</w:t>
    </w:r>
    <w:r w:rsidR="00D876F9">
      <w:rPr>
        <w:sz w:val="20"/>
        <w:szCs w:val="20"/>
      </w:rPr>
      <w:t xml:space="preserve"> Anotācija Ministru kabineta rīkojuma projektam „Par </w:t>
    </w:r>
    <w:r>
      <w:rPr>
        <w:sz w:val="20"/>
        <w:szCs w:val="20"/>
      </w:rPr>
      <w:t>klasiskā cūku mēra uzliesmojuma apkarošanas pasākumu organizēšanu Krāslavas un Dagdas novadā</w:t>
    </w:r>
    <w:r w:rsidR="00D876F9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8E" w:rsidRPr="00D422CD" w:rsidRDefault="00D422CD" w:rsidP="00D422CD">
    <w:pPr>
      <w:pStyle w:val="Kjene"/>
      <w:jc w:val="both"/>
      <w:rPr>
        <w:sz w:val="20"/>
        <w:szCs w:val="20"/>
      </w:rPr>
    </w:pPr>
    <w:r w:rsidRPr="00D422CD">
      <w:rPr>
        <w:sz w:val="20"/>
        <w:szCs w:val="20"/>
      </w:rPr>
      <w:t>ZMAnot_031212_par KCM apkarošanas pasākumu organizēšanu; Anotācija Ministru kabineta rīkojuma projektam „Par klasiskā cūku mēra uzliesmojuma apkarošanas pasākumu organizēšanu Krāslavas un Dagdas novadā”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58" w:rsidRDefault="00B85758" w:rsidP="00F76D52">
      <w:r>
        <w:separator/>
      </w:r>
    </w:p>
  </w:footnote>
  <w:footnote w:type="continuationSeparator" w:id="0">
    <w:p w:rsidR="00B85758" w:rsidRDefault="00B85758" w:rsidP="00F76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8E" w:rsidRDefault="00EE1B9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D1E8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D1E8E" w:rsidRDefault="003D1E8E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E8E" w:rsidRDefault="00EE1B9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D1E8E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E0D0D">
      <w:rPr>
        <w:rStyle w:val="Lappusesnumurs"/>
        <w:noProof/>
      </w:rPr>
      <w:t>6</w:t>
    </w:r>
    <w:r>
      <w:rPr>
        <w:rStyle w:val="Lappusesnumurs"/>
      </w:rPr>
      <w:fldChar w:fldCharType="end"/>
    </w:r>
  </w:p>
  <w:p w:rsidR="003D1E8E" w:rsidRDefault="003D1E8E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C2C71"/>
    <w:rsid w:val="00042968"/>
    <w:rsid w:val="00045AA0"/>
    <w:rsid w:val="00127614"/>
    <w:rsid w:val="00136614"/>
    <w:rsid w:val="0014028D"/>
    <w:rsid w:val="00183EC1"/>
    <w:rsid w:val="001B3A64"/>
    <w:rsid w:val="001C2E6F"/>
    <w:rsid w:val="002223FE"/>
    <w:rsid w:val="00242069"/>
    <w:rsid w:val="00254531"/>
    <w:rsid w:val="002B03F9"/>
    <w:rsid w:val="002D2125"/>
    <w:rsid w:val="0030752A"/>
    <w:rsid w:val="00371C13"/>
    <w:rsid w:val="00382C48"/>
    <w:rsid w:val="0039217B"/>
    <w:rsid w:val="003A1BDF"/>
    <w:rsid w:val="003B3C51"/>
    <w:rsid w:val="003D1E8E"/>
    <w:rsid w:val="003D47A3"/>
    <w:rsid w:val="004035D0"/>
    <w:rsid w:val="004A2051"/>
    <w:rsid w:val="004A25AC"/>
    <w:rsid w:val="004A73D3"/>
    <w:rsid w:val="004B77E9"/>
    <w:rsid w:val="005329CF"/>
    <w:rsid w:val="005F6A9F"/>
    <w:rsid w:val="00603B25"/>
    <w:rsid w:val="006060CB"/>
    <w:rsid w:val="006E34E7"/>
    <w:rsid w:val="006E5025"/>
    <w:rsid w:val="0072757E"/>
    <w:rsid w:val="00756E42"/>
    <w:rsid w:val="00760882"/>
    <w:rsid w:val="007C6C23"/>
    <w:rsid w:val="00816487"/>
    <w:rsid w:val="008472AE"/>
    <w:rsid w:val="0086174A"/>
    <w:rsid w:val="00873130"/>
    <w:rsid w:val="00890763"/>
    <w:rsid w:val="008A24F3"/>
    <w:rsid w:val="008A7C20"/>
    <w:rsid w:val="00901EDC"/>
    <w:rsid w:val="00987D02"/>
    <w:rsid w:val="00A26FE3"/>
    <w:rsid w:val="00AC2C71"/>
    <w:rsid w:val="00AC4CBB"/>
    <w:rsid w:val="00AE7A32"/>
    <w:rsid w:val="00B36D9A"/>
    <w:rsid w:val="00B85758"/>
    <w:rsid w:val="00BB288F"/>
    <w:rsid w:val="00BC0A11"/>
    <w:rsid w:val="00CC2461"/>
    <w:rsid w:val="00CE441E"/>
    <w:rsid w:val="00CF6FB1"/>
    <w:rsid w:val="00D26C82"/>
    <w:rsid w:val="00D422CD"/>
    <w:rsid w:val="00D50E74"/>
    <w:rsid w:val="00D74711"/>
    <w:rsid w:val="00D876F9"/>
    <w:rsid w:val="00D95DB3"/>
    <w:rsid w:val="00DE6D86"/>
    <w:rsid w:val="00E106CB"/>
    <w:rsid w:val="00E239F9"/>
    <w:rsid w:val="00E2564A"/>
    <w:rsid w:val="00E55B75"/>
    <w:rsid w:val="00E67955"/>
    <w:rsid w:val="00E74F7A"/>
    <w:rsid w:val="00EE1B96"/>
    <w:rsid w:val="00EF7EC8"/>
    <w:rsid w:val="00F008F3"/>
    <w:rsid w:val="00F07064"/>
    <w:rsid w:val="00F27225"/>
    <w:rsid w:val="00F76D52"/>
    <w:rsid w:val="00F86108"/>
    <w:rsid w:val="00FC3597"/>
    <w:rsid w:val="00FD1053"/>
    <w:rsid w:val="00FD5B8B"/>
    <w:rsid w:val="00FE0D0D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tilde-lv/tildestengine" w:name="veidn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AC2C7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ais"/>
    <w:rsid w:val="00AC2C71"/>
    <w:pPr>
      <w:spacing w:before="100" w:beforeAutospacing="1" w:after="100" w:afterAutospacing="1"/>
    </w:pPr>
  </w:style>
  <w:style w:type="paragraph" w:customStyle="1" w:styleId="naisnod">
    <w:name w:val="naisnod"/>
    <w:basedOn w:val="Parastais"/>
    <w:rsid w:val="00AC2C71"/>
    <w:pPr>
      <w:spacing w:before="100" w:beforeAutospacing="1" w:after="100" w:afterAutospacing="1"/>
    </w:pPr>
  </w:style>
  <w:style w:type="paragraph" w:customStyle="1" w:styleId="naiskr">
    <w:name w:val="naiskr"/>
    <w:basedOn w:val="Parastais"/>
    <w:rsid w:val="00AC2C71"/>
    <w:pPr>
      <w:spacing w:before="100" w:beforeAutospacing="1" w:after="100" w:afterAutospacing="1"/>
    </w:pPr>
  </w:style>
  <w:style w:type="paragraph" w:customStyle="1" w:styleId="naisf">
    <w:name w:val="naisf"/>
    <w:basedOn w:val="Parastais"/>
    <w:rsid w:val="00AC2C71"/>
    <w:pPr>
      <w:spacing w:before="100" w:beforeAutospacing="1" w:after="100" w:afterAutospacing="1"/>
    </w:pPr>
  </w:style>
  <w:style w:type="paragraph" w:styleId="Pamatteksts">
    <w:name w:val="Body Text"/>
    <w:basedOn w:val="Parastais"/>
    <w:link w:val="PamattekstsRakstz"/>
    <w:rsid w:val="00AC2C71"/>
    <w:pPr>
      <w:jc w:val="right"/>
    </w:pPr>
    <w:rPr>
      <w:b/>
      <w:sz w:val="28"/>
      <w:szCs w:val="20"/>
    </w:rPr>
  </w:style>
  <w:style w:type="character" w:customStyle="1" w:styleId="PamattekstsRakstz">
    <w:name w:val="Pamatteksts Rakstz."/>
    <w:link w:val="Pamatteksts"/>
    <w:rsid w:val="00AC2C71"/>
    <w:rPr>
      <w:rFonts w:ascii="Times New Roman" w:eastAsia="Times New Roman" w:hAnsi="Times New Roman" w:cs="Times New Roman"/>
      <w:b/>
      <w:sz w:val="28"/>
      <w:szCs w:val="20"/>
    </w:rPr>
  </w:style>
  <w:style w:type="paragraph" w:styleId="Galvene">
    <w:name w:val="header"/>
    <w:basedOn w:val="Parastais"/>
    <w:link w:val="GalveneRakstz"/>
    <w:rsid w:val="00AC2C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AC2C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AC2C71"/>
    <w:rPr>
      <w:rFonts w:cs="Times New Roman"/>
    </w:rPr>
  </w:style>
  <w:style w:type="paragraph" w:styleId="Kjene">
    <w:name w:val="footer"/>
    <w:basedOn w:val="Parastais"/>
    <w:link w:val="KjeneRakstz"/>
    <w:rsid w:val="00AC2C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AC2C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ais"/>
    <w:semiHidden/>
    <w:rsid w:val="00E25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C2C7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c">
    <w:name w:val="naisc"/>
    <w:basedOn w:val="Parasts"/>
    <w:rsid w:val="00AC2C71"/>
    <w:pPr>
      <w:spacing w:before="100" w:beforeAutospacing="1" w:after="100" w:afterAutospacing="1"/>
    </w:pPr>
  </w:style>
  <w:style w:type="paragraph" w:customStyle="1" w:styleId="naisnod">
    <w:name w:val="naisnod"/>
    <w:basedOn w:val="Parasts"/>
    <w:rsid w:val="00AC2C71"/>
    <w:pPr>
      <w:spacing w:before="100" w:beforeAutospacing="1" w:after="100" w:afterAutospacing="1"/>
    </w:pPr>
  </w:style>
  <w:style w:type="paragraph" w:customStyle="1" w:styleId="naiskr">
    <w:name w:val="naiskr"/>
    <w:basedOn w:val="Parasts"/>
    <w:rsid w:val="00AC2C71"/>
    <w:pPr>
      <w:spacing w:before="100" w:beforeAutospacing="1" w:after="100" w:afterAutospacing="1"/>
    </w:pPr>
  </w:style>
  <w:style w:type="paragraph" w:customStyle="1" w:styleId="naisf">
    <w:name w:val="naisf"/>
    <w:basedOn w:val="Parasts"/>
    <w:rsid w:val="00AC2C71"/>
    <w:pPr>
      <w:spacing w:before="100" w:beforeAutospacing="1" w:after="100" w:afterAutospacing="1"/>
    </w:pPr>
  </w:style>
  <w:style w:type="paragraph" w:styleId="Pamatteksts">
    <w:name w:val="Body Text"/>
    <w:basedOn w:val="Parasts"/>
    <w:link w:val="PamattekstsRakstz"/>
    <w:rsid w:val="00AC2C71"/>
    <w:pPr>
      <w:jc w:val="right"/>
    </w:pPr>
    <w:rPr>
      <w:b/>
      <w:sz w:val="28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AC2C71"/>
    <w:rPr>
      <w:rFonts w:ascii="Times New Roman" w:eastAsia="Times New Roman" w:hAnsi="Times New Roman" w:cs="Times New Roman"/>
      <w:b/>
      <w:sz w:val="28"/>
      <w:szCs w:val="20"/>
    </w:rPr>
  </w:style>
  <w:style w:type="paragraph" w:styleId="Galvene">
    <w:name w:val="header"/>
    <w:basedOn w:val="Parasts"/>
    <w:link w:val="GalveneRakstz"/>
    <w:rsid w:val="00AC2C71"/>
    <w:pPr>
      <w:tabs>
        <w:tab w:val="center" w:pos="4153"/>
        <w:tab w:val="right" w:pos="8306"/>
      </w:tabs>
    </w:pPr>
    <w:rPr>
      <w:lang w:val="x-none"/>
    </w:rPr>
  </w:style>
  <w:style w:type="character" w:customStyle="1" w:styleId="GalveneRakstz">
    <w:name w:val="Galvene Rakstz."/>
    <w:link w:val="Galvene"/>
    <w:rsid w:val="00AC2C7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rsid w:val="00AC2C71"/>
    <w:rPr>
      <w:rFonts w:cs="Times New Roman"/>
    </w:rPr>
  </w:style>
  <w:style w:type="paragraph" w:styleId="Kjene">
    <w:name w:val="footer"/>
    <w:basedOn w:val="Parasts"/>
    <w:link w:val="KjeneRakstz"/>
    <w:rsid w:val="00AC2C7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link w:val="Kjene"/>
    <w:rsid w:val="00AC2C71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semiHidden/>
    <w:rsid w:val="00E25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1247</Words>
  <Characters>8607</Characters>
  <Application>Microsoft Office Word</Application>
  <DocSecurity>0</DocSecurity>
  <Lines>782</Lines>
  <Paragraphs>298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ārkārtējās situācijas izsludināšanu</vt:lpstr>
      <vt:lpstr>Par ārkārtējās situācijas izsludināšanu</vt:lpstr>
    </vt:vector>
  </TitlesOfParts>
  <Manager>Veterinārais un pārtikas departaments</Manager>
  <Company>Zemkopības ministrija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ārkārtējās situācijas izsludināšanu</dc:title>
  <dc:subject>Anotācija</dc:subject>
  <dc:creator>sanita.vanaga</dc:creator>
  <dc:description>Sanita.Vanaga@zm.gov.lv, 67027363</dc:description>
  <cp:lastModifiedBy>Renārs Žagars</cp:lastModifiedBy>
  <cp:revision>6</cp:revision>
  <cp:lastPrinted>2012-11-30T11:18:00Z</cp:lastPrinted>
  <dcterms:created xsi:type="dcterms:W3CDTF">2012-12-03T14:04:00Z</dcterms:created>
  <dcterms:modified xsi:type="dcterms:W3CDTF">2012-12-04T08:09:00Z</dcterms:modified>
</cp:coreProperties>
</file>