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9A" w:rsidRPr="0002029A" w:rsidRDefault="0002029A" w:rsidP="0002029A">
      <w:pPr>
        <w:pStyle w:val="Pamatteksts"/>
        <w:jc w:val="center"/>
        <w:rPr>
          <w:szCs w:val="28"/>
        </w:rPr>
      </w:pPr>
      <w:r w:rsidRPr="0002029A">
        <w:rPr>
          <w:szCs w:val="28"/>
        </w:rPr>
        <w:t>Ministru kabineta noteikumu projekta „</w:t>
      </w:r>
      <w:r w:rsidR="00C04050" w:rsidRPr="00C04050">
        <w:rPr>
          <w:szCs w:val="28"/>
        </w:rPr>
        <w:t>Grozījumi Ministru kabineta 2011.gada 16.augusta noteikumos Nr.648 „Noteikumi par valsts nodevu par ganāmpulku un novietņu reģistrēšanu un zirga pases izsniegšanu”</w:t>
      </w:r>
      <w:r w:rsidR="00656C9A">
        <w:rPr>
          <w:szCs w:val="28"/>
        </w:rPr>
        <w:t>”</w:t>
      </w:r>
      <w:r w:rsidRPr="0002029A">
        <w:rPr>
          <w:szCs w:val="28"/>
        </w:rPr>
        <w:t xml:space="preserve"> sākotnējās ietekmes novērtējuma ziņojums (anotācija)</w:t>
      </w:r>
    </w:p>
    <w:p w:rsidR="00F37F7E" w:rsidRDefault="00F37F7E" w:rsidP="00F37F7E">
      <w:pPr>
        <w:pStyle w:val="naisc"/>
        <w:widowControl w:val="0"/>
        <w:spacing w:before="0" w:beforeAutospacing="0" w:after="0" w:afterAutospacing="0"/>
        <w:jc w:val="center"/>
      </w:pPr>
    </w:p>
    <w:tbl>
      <w:tblPr>
        <w:tblW w:w="5397" w:type="pct"/>
        <w:jc w:val="center"/>
        <w:tblInd w:w="-1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58"/>
        <w:gridCol w:w="3843"/>
        <w:gridCol w:w="5523"/>
      </w:tblGrid>
      <w:tr w:rsidR="00F37F7E" w:rsidRPr="00906B31" w:rsidTr="000D7729">
        <w:trPr>
          <w:jc w:val="center"/>
        </w:trPr>
        <w:tc>
          <w:tcPr>
            <w:tcW w:w="5000" w:type="pct"/>
            <w:gridSpan w:val="3"/>
          </w:tcPr>
          <w:p w:rsidR="00F37F7E" w:rsidRPr="00787D30" w:rsidRDefault="00F37F7E" w:rsidP="00F37F7E">
            <w:pPr>
              <w:pStyle w:val="naisnod"/>
              <w:spacing w:before="0" w:beforeAutospacing="0" w:after="0" w:afterAutospacing="0"/>
              <w:jc w:val="center"/>
            </w:pPr>
            <w:r w:rsidRPr="00906B31">
              <w:rPr>
                <w:b/>
                <w:bCs/>
              </w:rPr>
              <w:t xml:space="preserve">I. </w:t>
            </w:r>
            <w:r w:rsidR="00C31017">
              <w:rPr>
                <w:b/>
                <w:bCs/>
              </w:rPr>
              <w:t>Tiesību akta projekta izstrādes nepieciešamība</w:t>
            </w:r>
          </w:p>
        </w:tc>
      </w:tr>
      <w:tr w:rsidR="00EE2F67" w:rsidRPr="00906B31" w:rsidTr="00ED3F12">
        <w:trPr>
          <w:jc w:val="center"/>
        </w:trPr>
        <w:tc>
          <w:tcPr>
            <w:tcW w:w="328" w:type="pct"/>
          </w:tcPr>
          <w:p w:rsidR="00EE2F67" w:rsidRPr="00787D30" w:rsidRDefault="00EE2F67" w:rsidP="00F37F7E">
            <w:pPr>
              <w:pStyle w:val="naiskr"/>
              <w:tabs>
                <w:tab w:val="left" w:pos="3044"/>
              </w:tabs>
              <w:spacing w:before="0" w:beforeAutospacing="0" w:after="0" w:afterAutospacing="0"/>
              <w:jc w:val="both"/>
            </w:pPr>
            <w:r w:rsidRPr="00787D30">
              <w:t xml:space="preserve">1. </w:t>
            </w:r>
          </w:p>
        </w:tc>
        <w:tc>
          <w:tcPr>
            <w:tcW w:w="1917" w:type="pct"/>
          </w:tcPr>
          <w:p w:rsidR="00EE2F67" w:rsidRPr="00787D30" w:rsidRDefault="00EE2F67" w:rsidP="00F37F7E">
            <w:pPr>
              <w:pStyle w:val="naiskr"/>
              <w:tabs>
                <w:tab w:val="left" w:pos="3044"/>
              </w:tabs>
              <w:spacing w:before="0" w:beforeAutospacing="0" w:after="0" w:afterAutospacing="0"/>
              <w:jc w:val="both"/>
            </w:pPr>
            <w:r w:rsidRPr="000A0D36">
              <w:rPr>
                <w:color w:val="000000"/>
              </w:rPr>
              <w:t>Pamatojums</w:t>
            </w:r>
          </w:p>
        </w:tc>
        <w:tc>
          <w:tcPr>
            <w:tcW w:w="2755" w:type="pct"/>
          </w:tcPr>
          <w:p w:rsidR="00EE2F67" w:rsidRPr="000B4B7F" w:rsidRDefault="000E10EC" w:rsidP="00A52300">
            <w:pPr>
              <w:jc w:val="both"/>
            </w:pPr>
            <w:proofErr w:type="spellStart"/>
            <w:r w:rsidRPr="00E111AD">
              <w:rPr>
                <w:i/>
                <w:color w:val="000000"/>
              </w:rPr>
              <w:t>Euro</w:t>
            </w:r>
            <w:proofErr w:type="spellEnd"/>
            <w:r w:rsidRPr="00E111AD">
              <w:rPr>
                <w:i/>
                <w:color w:val="000000"/>
              </w:rPr>
              <w:t xml:space="preserve"> </w:t>
            </w:r>
            <w:r w:rsidRPr="00E111AD">
              <w:rPr>
                <w:color w:val="000000"/>
              </w:rPr>
              <w:t>ieviešanas kārtības likuma 30.panta pirmā daļa, Ministru kabineta 2012.gada 27.jūnija rīkojuma Nr.282 „Par „Koncepciju par normatīvo aktu sakārtošanu saistībā ar eiro ieviešanu Latvijā”” 7.1.apakšpunkts.</w:t>
            </w:r>
          </w:p>
        </w:tc>
      </w:tr>
      <w:tr w:rsidR="00EE2F67" w:rsidRPr="00906B31" w:rsidTr="00ED3F12">
        <w:trPr>
          <w:jc w:val="center"/>
        </w:trPr>
        <w:tc>
          <w:tcPr>
            <w:tcW w:w="328" w:type="pct"/>
          </w:tcPr>
          <w:p w:rsidR="00EE2F67" w:rsidRPr="00906B31" w:rsidRDefault="00EE2F67" w:rsidP="00F37F7E">
            <w:pPr>
              <w:pStyle w:val="Pamatteksts"/>
              <w:widowControl w:val="0"/>
              <w:jc w:val="both"/>
              <w:rPr>
                <w:b w:val="0"/>
                <w:sz w:val="24"/>
                <w:szCs w:val="24"/>
              </w:rPr>
            </w:pPr>
            <w:r w:rsidRPr="00906B31">
              <w:rPr>
                <w:b w:val="0"/>
                <w:sz w:val="24"/>
                <w:szCs w:val="24"/>
              </w:rPr>
              <w:t xml:space="preserve">2. </w:t>
            </w:r>
          </w:p>
        </w:tc>
        <w:tc>
          <w:tcPr>
            <w:tcW w:w="1917" w:type="pct"/>
          </w:tcPr>
          <w:p w:rsidR="00EE2F67" w:rsidRPr="00906B31" w:rsidRDefault="00EE2F67" w:rsidP="00F37F7E">
            <w:pPr>
              <w:pStyle w:val="Pamatteksts"/>
              <w:widowControl w:val="0"/>
              <w:jc w:val="both"/>
              <w:rPr>
                <w:b w:val="0"/>
                <w:sz w:val="24"/>
                <w:szCs w:val="24"/>
              </w:rPr>
            </w:pPr>
            <w:r w:rsidRPr="00683765">
              <w:rPr>
                <w:b w:val="0"/>
                <w:color w:val="000000"/>
                <w:sz w:val="24"/>
                <w:szCs w:val="24"/>
              </w:rPr>
              <w:t>Pašreizējā situācija un problēmas</w:t>
            </w:r>
          </w:p>
        </w:tc>
        <w:tc>
          <w:tcPr>
            <w:tcW w:w="2755" w:type="pct"/>
            <w:tcBorders>
              <w:bottom w:val="single" w:sz="4" w:space="0" w:color="auto"/>
            </w:tcBorders>
          </w:tcPr>
          <w:p w:rsidR="00F80460" w:rsidRPr="00F80460" w:rsidRDefault="00F80460" w:rsidP="00F80460">
            <w:pPr>
              <w:pStyle w:val="Pamatteksts"/>
              <w:jc w:val="both"/>
              <w:rPr>
                <w:b w:val="0"/>
                <w:sz w:val="24"/>
                <w:szCs w:val="24"/>
              </w:rPr>
            </w:pPr>
            <w:r w:rsidRPr="00F80460">
              <w:rPr>
                <w:b w:val="0"/>
                <w:sz w:val="24"/>
                <w:szCs w:val="24"/>
              </w:rPr>
              <w:t xml:space="preserve">Saskaņā ar </w:t>
            </w:r>
            <w:r>
              <w:rPr>
                <w:b w:val="0"/>
                <w:sz w:val="24"/>
                <w:szCs w:val="24"/>
              </w:rPr>
              <w:t>Ministru kabineta 2013.gada</w:t>
            </w:r>
            <w:r w:rsidRPr="00F80460">
              <w:rPr>
                <w:b w:val="0"/>
                <w:sz w:val="24"/>
                <w:szCs w:val="24"/>
              </w:rPr>
              <w:t xml:space="preserve"> 29.maija rīkojuma Nr.212 „Par tiesību aktu grozījumu virzību saistībā ar </w:t>
            </w:r>
            <w:proofErr w:type="spellStart"/>
            <w:r w:rsidRPr="00F80460">
              <w:rPr>
                <w:b w:val="0"/>
                <w:i/>
                <w:sz w:val="24"/>
                <w:szCs w:val="24"/>
              </w:rPr>
              <w:t>euro</w:t>
            </w:r>
            <w:proofErr w:type="spellEnd"/>
            <w:r w:rsidRPr="00F80460">
              <w:rPr>
                <w:b w:val="0"/>
                <w:sz w:val="24"/>
                <w:szCs w:val="24"/>
              </w:rPr>
              <w:t xml:space="preserve"> ieviešanu Latvijā” (turpmāk – MK </w:t>
            </w:r>
            <w:r w:rsidR="009C26F1">
              <w:rPr>
                <w:b w:val="0"/>
                <w:sz w:val="24"/>
                <w:szCs w:val="24"/>
              </w:rPr>
              <w:t>r</w:t>
            </w:r>
            <w:r w:rsidRPr="00F80460">
              <w:rPr>
                <w:b w:val="0"/>
                <w:sz w:val="24"/>
                <w:szCs w:val="24"/>
              </w:rPr>
              <w:t xml:space="preserve">īkojums) 1.punktu katra ministrija savas kompetences </w:t>
            </w:r>
            <w:r w:rsidR="009C26F1">
              <w:rPr>
                <w:b w:val="0"/>
                <w:sz w:val="24"/>
                <w:szCs w:val="24"/>
              </w:rPr>
              <w:t xml:space="preserve">jomā </w:t>
            </w:r>
            <w:r w:rsidRPr="00313B3C">
              <w:rPr>
                <w:b w:val="0"/>
                <w:sz w:val="24"/>
                <w:szCs w:val="24"/>
              </w:rPr>
              <w:t xml:space="preserve">ne vēlāk kā līdz 2013.gada 14.jūnijam izstrādā grozījumus </w:t>
            </w:r>
            <w:r w:rsidRPr="00313B3C">
              <w:rPr>
                <w:b w:val="0"/>
                <w:sz w:val="24"/>
                <w:szCs w:val="24"/>
                <w:lang w:eastAsia="lv-LV"/>
              </w:rPr>
              <w:t>tajos</w:t>
            </w:r>
            <w:r w:rsidRPr="00F80460">
              <w:rPr>
                <w:b w:val="0"/>
                <w:sz w:val="24"/>
                <w:szCs w:val="24"/>
                <w:lang w:eastAsia="lv-LV"/>
              </w:rPr>
              <w:t xml:space="preserve"> </w:t>
            </w:r>
            <w:r w:rsidRPr="00F80460">
              <w:rPr>
                <w:b w:val="0"/>
                <w:color w:val="000000"/>
                <w:sz w:val="24"/>
                <w:szCs w:val="24"/>
              </w:rPr>
              <w:t>Ministru kabineta noteikumos, kuros</w:t>
            </w:r>
            <w:r w:rsidRPr="00F80460">
              <w:rPr>
                <w:b w:val="0"/>
                <w:sz w:val="24"/>
                <w:szCs w:val="24"/>
                <w:lang w:eastAsia="lv-LV"/>
              </w:rPr>
              <w:t xml:space="preserve"> ir minētas naudas summas latos un kurus ir nepieciešams grozīt līdz </w:t>
            </w:r>
            <w:proofErr w:type="spellStart"/>
            <w:r w:rsidRPr="00F80460">
              <w:rPr>
                <w:b w:val="0"/>
                <w:i/>
                <w:sz w:val="24"/>
                <w:szCs w:val="24"/>
                <w:lang w:eastAsia="lv-LV"/>
              </w:rPr>
              <w:t>euro</w:t>
            </w:r>
            <w:proofErr w:type="spellEnd"/>
            <w:r w:rsidRPr="00F80460">
              <w:rPr>
                <w:b w:val="0"/>
                <w:sz w:val="24"/>
                <w:szCs w:val="24"/>
                <w:lang w:eastAsia="lv-LV"/>
              </w:rPr>
              <w:t xml:space="preserve"> ieviešanas dienai</w:t>
            </w:r>
            <w:r w:rsidRPr="00F80460">
              <w:rPr>
                <w:b w:val="0"/>
                <w:sz w:val="24"/>
                <w:szCs w:val="24"/>
              </w:rPr>
              <w:t>.</w:t>
            </w:r>
          </w:p>
          <w:p w:rsidR="001B7339" w:rsidRPr="00D23D5E" w:rsidRDefault="004C6C7F" w:rsidP="00FC1B98">
            <w:pPr>
              <w:pStyle w:val="Pamatteksts"/>
              <w:jc w:val="both"/>
              <w:rPr>
                <w:b w:val="0"/>
                <w:sz w:val="24"/>
                <w:szCs w:val="24"/>
              </w:rPr>
            </w:pPr>
            <w:r w:rsidRPr="004C6C7F">
              <w:rPr>
                <w:b w:val="0"/>
                <w:sz w:val="24"/>
                <w:szCs w:val="24"/>
              </w:rPr>
              <w:t>2013.gada 1.janvārī spēkā stājās Ministru kabineta 2012.gada 18.decembra noteikumi Nr.878 „Lauksaimniecības datu centra nolikums”, kas nosaka, ka Lauksaimniecības datu centrs ir zemkopības ministra pakļautībā esoša tiešās pārvaldes iestāde, tāpēc ir mainīts Lauksaimniecības datu centra juridiskais statuss un nepieciešams mainīt tā nosaukumu</w:t>
            </w:r>
            <w:r>
              <w:t xml:space="preserve"> </w:t>
            </w:r>
            <w:r w:rsidRPr="004C6C7F">
              <w:rPr>
                <w:b w:val="0"/>
                <w:sz w:val="24"/>
                <w:szCs w:val="24"/>
              </w:rPr>
              <w:t>Ministru kabineta 2011.gada 16.augusta noteikumos Nr.648 „Noteikumi par valsts nodevu par ganāmpulku un novietņu reģistrēšanu un zirga pases izsniegšanu</w:t>
            </w:r>
            <w:r>
              <w:rPr>
                <w:b w:val="0"/>
                <w:sz w:val="24"/>
                <w:szCs w:val="24"/>
              </w:rPr>
              <w:t>”</w:t>
            </w:r>
            <w:r w:rsidR="00FC1B98">
              <w:t xml:space="preserve"> </w:t>
            </w:r>
            <w:r w:rsidR="00FC1B98" w:rsidRPr="00FC1B98">
              <w:rPr>
                <w:b w:val="0"/>
                <w:sz w:val="24"/>
                <w:szCs w:val="24"/>
              </w:rPr>
              <w:t>(turpmāk – noteikum</w:t>
            </w:r>
            <w:r w:rsidR="00FC1B98">
              <w:rPr>
                <w:b w:val="0"/>
                <w:sz w:val="24"/>
                <w:szCs w:val="24"/>
              </w:rPr>
              <w:t>i</w:t>
            </w:r>
            <w:r w:rsidR="00FC1B98" w:rsidRPr="00FC1B98">
              <w:rPr>
                <w:b w:val="0"/>
                <w:sz w:val="24"/>
                <w:szCs w:val="24"/>
              </w:rPr>
              <w:t>)</w:t>
            </w:r>
            <w:r>
              <w:rPr>
                <w:b w:val="0"/>
                <w:sz w:val="24"/>
                <w:szCs w:val="24"/>
              </w:rPr>
              <w:t>.</w:t>
            </w:r>
          </w:p>
        </w:tc>
      </w:tr>
      <w:tr w:rsidR="00EE2F67" w:rsidRPr="00906B31" w:rsidTr="00ED3F12">
        <w:trPr>
          <w:jc w:val="center"/>
        </w:trPr>
        <w:tc>
          <w:tcPr>
            <w:tcW w:w="328" w:type="pct"/>
          </w:tcPr>
          <w:p w:rsidR="00EE2F67" w:rsidRPr="00683765" w:rsidRDefault="00EE2F67" w:rsidP="00F37F7E">
            <w:pPr>
              <w:pStyle w:val="Pamatteksts"/>
              <w:widowControl w:val="0"/>
              <w:jc w:val="both"/>
              <w:rPr>
                <w:b w:val="0"/>
                <w:sz w:val="24"/>
                <w:szCs w:val="24"/>
              </w:rPr>
            </w:pPr>
            <w:r w:rsidRPr="00683765">
              <w:rPr>
                <w:b w:val="0"/>
                <w:sz w:val="24"/>
                <w:szCs w:val="24"/>
              </w:rPr>
              <w:t>3.</w:t>
            </w:r>
            <w:r w:rsidRPr="00683765">
              <w:rPr>
                <w:b w:val="0"/>
                <w:color w:val="000000"/>
                <w:sz w:val="24"/>
                <w:szCs w:val="24"/>
              </w:rPr>
              <w:t xml:space="preserve"> </w:t>
            </w:r>
          </w:p>
        </w:tc>
        <w:tc>
          <w:tcPr>
            <w:tcW w:w="1917" w:type="pct"/>
          </w:tcPr>
          <w:p w:rsidR="00EE2F67" w:rsidRPr="00683765" w:rsidRDefault="00EE2F67" w:rsidP="00F37F7E">
            <w:pPr>
              <w:pStyle w:val="Pamatteksts"/>
              <w:widowControl w:val="0"/>
              <w:jc w:val="both"/>
              <w:rPr>
                <w:b w:val="0"/>
                <w:sz w:val="24"/>
                <w:szCs w:val="24"/>
              </w:rPr>
            </w:pPr>
            <w:r w:rsidRPr="00683765">
              <w:rPr>
                <w:b w:val="0"/>
                <w:color w:val="000000"/>
                <w:sz w:val="24"/>
                <w:szCs w:val="24"/>
              </w:rPr>
              <w:t>Saistītie politikas ietekmes novērtējumi un pētījumi</w:t>
            </w:r>
          </w:p>
        </w:tc>
        <w:tc>
          <w:tcPr>
            <w:tcW w:w="2755" w:type="pct"/>
            <w:tcBorders>
              <w:bottom w:val="single" w:sz="4" w:space="0" w:color="auto"/>
            </w:tcBorders>
          </w:tcPr>
          <w:p w:rsidR="00EE2F67" w:rsidRPr="00DF3721" w:rsidRDefault="00C82175" w:rsidP="00F37F7E">
            <w:pPr>
              <w:jc w:val="both"/>
            </w:pPr>
            <w:r>
              <w:t>Projekts šo jomu neskar</w:t>
            </w:r>
            <w:r w:rsidRPr="000A0D36">
              <w:t>.</w:t>
            </w:r>
          </w:p>
        </w:tc>
      </w:tr>
      <w:tr w:rsidR="002D50B7" w:rsidRPr="00906B31" w:rsidTr="00ED3F12">
        <w:trPr>
          <w:jc w:val="center"/>
        </w:trPr>
        <w:tc>
          <w:tcPr>
            <w:tcW w:w="328" w:type="pct"/>
            <w:tcBorders>
              <w:right w:val="single" w:sz="4" w:space="0" w:color="auto"/>
            </w:tcBorders>
          </w:tcPr>
          <w:p w:rsidR="002D50B7" w:rsidRPr="00683765" w:rsidRDefault="002D50B7" w:rsidP="00F37F7E">
            <w:pPr>
              <w:pStyle w:val="naiskr"/>
              <w:spacing w:before="0" w:beforeAutospacing="0" w:after="0" w:afterAutospacing="0"/>
              <w:jc w:val="both"/>
            </w:pPr>
            <w:r>
              <w:t>4</w:t>
            </w:r>
            <w:r w:rsidRPr="00683765">
              <w:t xml:space="preserve">. </w:t>
            </w:r>
          </w:p>
        </w:tc>
        <w:tc>
          <w:tcPr>
            <w:tcW w:w="1917" w:type="pct"/>
            <w:tcBorders>
              <w:right w:val="single" w:sz="4" w:space="0" w:color="auto"/>
            </w:tcBorders>
          </w:tcPr>
          <w:p w:rsidR="002D50B7" w:rsidRPr="00683765" w:rsidRDefault="002D50B7" w:rsidP="00F37F7E">
            <w:pPr>
              <w:pStyle w:val="naiskr"/>
              <w:spacing w:before="0" w:beforeAutospacing="0" w:after="0" w:afterAutospacing="0"/>
              <w:jc w:val="both"/>
            </w:pPr>
            <w:r w:rsidRPr="000A0D36">
              <w:rPr>
                <w:color w:val="000000"/>
              </w:rPr>
              <w:t>Tiesiskā regulējuma mērķis un būtība</w:t>
            </w:r>
          </w:p>
        </w:tc>
        <w:tc>
          <w:tcPr>
            <w:tcW w:w="2755" w:type="pct"/>
            <w:tcBorders>
              <w:top w:val="single" w:sz="4" w:space="0" w:color="auto"/>
              <w:left w:val="single" w:sz="4" w:space="0" w:color="auto"/>
              <w:bottom w:val="single" w:sz="4" w:space="0" w:color="auto"/>
              <w:right w:val="single" w:sz="4" w:space="0" w:color="auto"/>
            </w:tcBorders>
          </w:tcPr>
          <w:p w:rsidR="00B60F97" w:rsidRDefault="00B60F97" w:rsidP="00767B05">
            <w:pPr>
              <w:pStyle w:val="naiskr"/>
              <w:spacing w:before="0" w:beforeAutospacing="0" w:after="0" w:afterAutospacing="0"/>
              <w:jc w:val="both"/>
              <w:rPr>
                <w:color w:val="000000"/>
              </w:rPr>
            </w:pPr>
            <w:r>
              <w:t>Šis projekts paredz aizstāt noteikum</w:t>
            </w:r>
            <w:r w:rsidR="009C26F1">
              <w:t>u tekstā</w:t>
            </w:r>
            <w:r>
              <w:t xml:space="preserve"> latus ar </w:t>
            </w:r>
            <w:proofErr w:type="spellStart"/>
            <w:r>
              <w:rPr>
                <w:i/>
              </w:rPr>
              <w:t>euro</w:t>
            </w:r>
            <w:proofErr w:type="spellEnd"/>
            <w:r>
              <w:t xml:space="preserve"> atbilstoši </w:t>
            </w:r>
            <w:proofErr w:type="spellStart"/>
            <w:r w:rsidRPr="00112BEB">
              <w:rPr>
                <w:i/>
                <w:color w:val="000000"/>
              </w:rPr>
              <w:t>Euro</w:t>
            </w:r>
            <w:proofErr w:type="spellEnd"/>
            <w:r w:rsidRPr="00112BEB">
              <w:rPr>
                <w:i/>
                <w:color w:val="000000"/>
              </w:rPr>
              <w:t xml:space="preserve"> </w:t>
            </w:r>
            <w:r w:rsidRPr="00112BEB">
              <w:rPr>
                <w:color w:val="000000"/>
              </w:rPr>
              <w:t>ieviešanas kārtības likuma</w:t>
            </w:r>
            <w:r>
              <w:rPr>
                <w:color w:val="000000"/>
              </w:rPr>
              <w:t xml:space="preserve"> 6.pantā </w:t>
            </w:r>
            <w:r w:rsidRPr="00112BEB">
              <w:rPr>
                <w:color w:val="000000"/>
              </w:rPr>
              <w:t>paredzētajiem principiem.</w:t>
            </w:r>
          </w:p>
          <w:p w:rsidR="007D4B81" w:rsidRDefault="00B60F97" w:rsidP="001B7339">
            <w:pPr>
              <w:pStyle w:val="naispie"/>
              <w:spacing w:before="0" w:beforeAutospacing="0" w:after="0" w:afterAutospacing="0"/>
              <w:jc w:val="both"/>
              <w:rPr>
                <w:color w:val="000000"/>
              </w:rPr>
            </w:pPr>
            <w:r w:rsidRPr="00112BEB">
              <w:rPr>
                <w:color w:val="000000"/>
              </w:rPr>
              <w:t xml:space="preserve">Grozītās tiesību normas </w:t>
            </w:r>
            <w:proofErr w:type="spellStart"/>
            <w:r w:rsidRPr="00112BEB">
              <w:rPr>
                <w:i/>
                <w:color w:val="000000"/>
              </w:rPr>
              <w:t>euro</w:t>
            </w:r>
            <w:proofErr w:type="spellEnd"/>
            <w:r w:rsidRPr="00112BEB">
              <w:rPr>
                <w:i/>
                <w:color w:val="000000"/>
              </w:rPr>
              <w:t xml:space="preserve"> </w:t>
            </w:r>
            <w:r w:rsidRPr="00112BEB">
              <w:rPr>
                <w:color w:val="000000"/>
              </w:rPr>
              <w:t>valūtā nav personām nelabvēlīgākas par sākotnējo tiesību normu latos un nerada vērā ņemamu negatīvu ietekmi uz valsts budžetu.</w:t>
            </w:r>
          </w:p>
          <w:p w:rsidR="00BD0374" w:rsidRPr="005706C8" w:rsidRDefault="009A2124" w:rsidP="00BD0374">
            <w:pPr>
              <w:pStyle w:val="naispie"/>
              <w:spacing w:before="0" w:beforeAutospacing="0" w:after="0" w:afterAutospacing="0"/>
              <w:jc w:val="both"/>
              <w:rPr>
                <w:b/>
                <w:color w:val="000000"/>
              </w:rPr>
            </w:pPr>
            <w:r>
              <w:rPr>
                <w:b/>
                <w:color w:val="000000"/>
              </w:rPr>
              <w:t>Projekts paredz, ka s</w:t>
            </w:r>
            <w:r w:rsidR="00B71BD7" w:rsidRPr="00B71BD7">
              <w:rPr>
                <w:b/>
                <w:color w:val="000000"/>
              </w:rPr>
              <w:t xml:space="preserve">kaidras naudas maksājumiem, kurus </w:t>
            </w:r>
            <w:proofErr w:type="spellStart"/>
            <w:r w:rsidR="00B71BD7" w:rsidRPr="000E7682">
              <w:rPr>
                <w:b/>
                <w:i/>
                <w:color w:val="000000"/>
              </w:rPr>
              <w:t>Euro</w:t>
            </w:r>
            <w:proofErr w:type="spellEnd"/>
            <w:r w:rsidR="00B71BD7" w:rsidRPr="00B71BD7">
              <w:rPr>
                <w:b/>
                <w:color w:val="000000"/>
              </w:rPr>
              <w:t xml:space="preserve"> ieviešanas kārtības likumā noteiktajā vienlaicīgas apgrozības periodā veic latos, piemēro valsts nodevas apmēru, kas bija spēkā līdz 2013. gada 31. </w:t>
            </w:r>
            <w:r w:rsidR="001F2CFC">
              <w:rPr>
                <w:b/>
                <w:color w:val="000000"/>
              </w:rPr>
              <w:t>d</w:t>
            </w:r>
            <w:r w:rsidR="00B71BD7" w:rsidRPr="00B71BD7">
              <w:rPr>
                <w:b/>
                <w:color w:val="000000"/>
              </w:rPr>
              <w:t>ecembrim</w:t>
            </w:r>
            <w:r w:rsidR="004C5B37">
              <w:rPr>
                <w:b/>
                <w:color w:val="000000"/>
              </w:rPr>
              <w:t>.</w:t>
            </w:r>
          </w:p>
          <w:p w:rsidR="001B7339" w:rsidRPr="001B7339" w:rsidRDefault="00FC1B98" w:rsidP="00FC1B98">
            <w:pPr>
              <w:pStyle w:val="naispie"/>
              <w:spacing w:before="0" w:beforeAutospacing="0" w:after="0" w:afterAutospacing="0"/>
              <w:jc w:val="both"/>
              <w:rPr>
                <w:color w:val="000000"/>
              </w:rPr>
            </w:pPr>
            <w:r>
              <w:rPr>
                <w:color w:val="000000"/>
              </w:rPr>
              <w:t>P</w:t>
            </w:r>
            <w:r w:rsidRPr="00FC1B98">
              <w:rPr>
                <w:color w:val="000000"/>
              </w:rPr>
              <w:t xml:space="preserve">rojekts </w:t>
            </w:r>
            <w:r>
              <w:rPr>
                <w:color w:val="000000"/>
              </w:rPr>
              <w:t>noteikumos</w:t>
            </w:r>
            <w:r w:rsidRPr="00FC1B98">
              <w:rPr>
                <w:color w:val="000000"/>
              </w:rPr>
              <w:t xml:space="preserve"> paredz aizstāt valsts aģentūras „Lauksaimniecības datu centrs” nosaukumu pret nosaukumu „Lauksaimniecības datu centrs”.</w:t>
            </w:r>
          </w:p>
        </w:tc>
      </w:tr>
      <w:tr w:rsidR="002D50B7" w:rsidRPr="00906B31" w:rsidTr="00421391">
        <w:trPr>
          <w:jc w:val="center"/>
        </w:trPr>
        <w:tc>
          <w:tcPr>
            <w:tcW w:w="328" w:type="pct"/>
            <w:tcBorders>
              <w:right w:val="single" w:sz="4" w:space="0" w:color="auto"/>
            </w:tcBorders>
          </w:tcPr>
          <w:p w:rsidR="002D50B7" w:rsidRDefault="002D50B7" w:rsidP="00F37F7E">
            <w:pPr>
              <w:pStyle w:val="naiskr"/>
              <w:spacing w:before="0" w:beforeAutospacing="0" w:after="0" w:afterAutospacing="0"/>
              <w:jc w:val="both"/>
            </w:pPr>
            <w:r>
              <w:t xml:space="preserve">5. </w:t>
            </w:r>
          </w:p>
        </w:tc>
        <w:tc>
          <w:tcPr>
            <w:tcW w:w="1917" w:type="pct"/>
            <w:tcBorders>
              <w:right w:val="single" w:sz="4" w:space="0" w:color="auto"/>
            </w:tcBorders>
          </w:tcPr>
          <w:p w:rsidR="002D50B7" w:rsidRDefault="002D50B7" w:rsidP="00F37F7E">
            <w:pPr>
              <w:pStyle w:val="naiskr"/>
              <w:spacing w:before="0" w:beforeAutospacing="0" w:after="0" w:afterAutospacing="0"/>
              <w:jc w:val="both"/>
            </w:pPr>
            <w:r w:rsidRPr="000A0D36">
              <w:rPr>
                <w:color w:val="000000"/>
              </w:rPr>
              <w:t>Projekta izstrādē iesaistītās institūcijas</w:t>
            </w:r>
          </w:p>
        </w:tc>
        <w:tc>
          <w:tcPr>
            <w:tcW w:w="2755" w:type="pct"/>
            <w:tcBorders>
              <w:top w:val="single" w:sz="4" w:space="0" w:color="auto"/>
              <w:left w:val="single" w:sz="4" w:space="0" w:color="auto"/>
              <w:bottom w:val="single" w:sz="4" w:space="0" w:color="auto"/>
              <w:right w:val="single" w:sz="4" w:space="0" w:color="auto"/>
            </w:tcBorders>
          </w:tcPr>
          <w:p w:rsidR="002D50B7" w:rsidRPr="00BE4880" w:rsidRDefault="00767B05" w:rsidP="00767B05">
            <w:pPr>
              <w:jc w:val="both"/>
            </w:pPr>
            <w:r>
              <w:t>Zemkopības ministrija un Lauksaimniecības datu centrs</w:t>
            </w:r>
          </w:p>
        </w:tc>
      </w:tr>
      <w:tr w:rsidR="002D50B7" w:rsidRPr="00906B31" w:rsidTr="004966B8">
        <w:trPr>
          <w:jc w:val="center"/>
        </w:trPr>
        <w:tc>
          <w:tcPr>
            <w:tcW w:w="328" w:type="pct"/>
            <w:tcBorders>
              <w:right w:val="single" w:sz="4" w:space="0" w:color="auto"/>
            </w:tcBorders>
          </w:tcPr>
          <w:p w:rsidR="002D50B7" w:rsidRDefault="002D50B7" w:rsidP="00F37F7E">
            <w:pPr>
              <w:pStyle w:val="naiskr"/>
              <w:spacing w:before="0" w:beforeAutospacing="0" w:after="0" w:afterAutospacing="0"/>
              <w:jc w:val="both"/>
            </w:pPr>
            <w:r>
              <w:rPr>
                <w:color w:val="000000"/>
              </w:rPr>
              <w:lastRenderedPageBreak/>
              <w:t xml:space="preserve">6. </w:t>
            </w:r>
          </w:p>
        </w:tc>
        <w:tc>
          <w:tcPr>
            <w:tcW w:w="1917" w:type="pct"/>
            <w:tcBorders>
              <w:right w:val="single" w:sz="4" w:space="0" w:color="auto"/>
            </w:tcBorders>
          </w:tcPr>
          <w:p w:rsidR="002D50B7" w:rsidRDefault="002D50B7" w:rsidP="00F37F7E">
            <w:pPr>
              <w:pStyle w:val="naiskr"/>
              <w:spacing w:before="0" w:beforeAutospacing="0" w:after="0" w:afterAutospacing="0"/>
              <w:jc w:val="both"/>
            </w:pPr>
            <w:r w:rsidRPr="000A0D36">
              <w:rPr>
                <w:color w:val="000000"/>
              </w:rPr>
              <w:t>Iemesli, kādēļ netika nodrošināta sabiedrības līdzdalība</w:t>
            </w:r>
          </w:p>
        </w:tc>
        <w:tc>
          <w:tcPr>
            <w:tcW w:w="2755" w:type="pct"/>
            <w:tcBorders>
              <w:top w:val="single" w:sz="4" w:space="0" w:color="auto"/>
              <w:left w:val="single" w:sz="4" w:space="0" w:color="auto"/>
              <w:bottom w:val="single" w:sz="4" w:space="0" w:color="auto"/>
              <w:right w:val="single" w:sz="4" w:space="0" w:color="auto"/>
            </w:tcBorders>
          </w:tcPr>
          <w:p w:rsidR="002D50B7" w:rsidRDefault="00B60F97" w:rsidP="00F37F7E">
            <w:pPr>
              <w:jc w:val="both"/>
            </w:pPr>
            <w:r w:rsidRPr="00712254">
              <w:t>Sabiedrības līdzdalība projekta izstrādē netika nodrošināta, jo projekts nemaina pastāvošo tiesisko regulējumu pēc būtības.</w:t>
            </w:r>
          </w:p>
        </w:tc>
      </w:tr>
      <w:tr w:rsidR="00CC54B7" w:rsidRPr="00906B31" w:rsidTr="005660EB">
        <w:trPr>
          <w:trHeight w:val="232"/>
          <w:jc w:val="center"/>
        </w:trPr>
        <w:tc>
          <w:tcPr>
            <w:tcW w:w="328" w:type="pct"/>
          </w:tcPr>
          <w:p w:rsidR="00CC54B7" w:rsidRPr="00787D30" w:rsidRDefault="00CC54B7" w:rsidP="00F37F7E">
            <w:pPr>
              <w:pStyle w:val="naiskr"/>
              <w:spacing w:before="0" w:beforeAutospacing="0" w:after="0" w:afterAutospacing="0"/>
              <w:jc w:val="both"/>
            </w:pPr>
            <w:r>
              <w:t>7</w:t>
            </w:r>
            <w:r w:rsidRPr="00787D30">
              <w:t xml:space="preserve">. </w:t>
            </w:r>
          </w:p>
        </w:tc>
        <w:tc>
          <w:tcPr>
            <w:tcW w:w="1917" w:type="pct"/>
          </w:tcPr>
          <w:p w:rsidR="00CC54B7" w:rsidRPr="00787D30" w:rsidRDefault="00CC54B7" w:rsidP="00F37F7E">
            <w:pPr>
              <w:pStyle w:val="naiskr"/>
              <w:spacing w:before="0" w:beforeAutospacing="0" w:after="0" w:afterAutospacing="0"/>
              <w:jc w:val="both"/>
            </w:pPr>
            <w:r w:rsidRPr="00787D30">
              <w:t>Cita informācija</w:t>
            </w:r>
          </w:p>
        </w:tc>
        <w:tc>
          <w:tcPr>
            <w:tcW w:w="2755" w:type="pct"/>
            <w:tcBorders>
              <w:top w:val="single" w:sz="4" w:space="0" w:color="auto"/>
            </w:tcBorders>
          </w:tcPr>
          <w:p w:rsidR="00CC54B7" w:rsidRPr="00900BC9" w:rsidRDefault="00B60F97" w:rsidP="00400503">
            <w:pPr>
              <w:jc w:val="both"/>
            </w:pPr>
            <w:r w:rsidRPr="009F53DB">
              <w:t xml:space="preserve">Šis projekts tiks virzīts izskatīšanai Ministru kabinetā pēc tam, kad Eiropas Savienības Padomē saskaņā ar Līguma par Eiropas Savienības darbību 140.panta 2.punktu tiks pieņemts </w:t>
            </w:r>
            <w:smartTag w:uri="schemas-tilde-lv/tildestengine" w:element="veidnes">
              <w:smartTagPr>
                <w:attr w:name="id" w:val="-1"/>
                <w:attr w:name="baseform" w:val="lēmums"/>
                <w:attr w:name="text" w:val="lēmums"/>
              </w:smartTagPr>
              <w:r w:rsidRPr="009F53DB">
                <w:t>lēmums</w:t>
              </w:r>
            </w:smartTag>
            <w:r w:rsidRPr="009F53DB">
              <w:t xml:space="preserve"> par izņēmuma statusa atcelšanu Latvijas Republikai</w:t>
            </w:r>
            <w:r>
              <w:t xml:space="preserve"> </w:t>
            </w:r>
            <w:r w:rsidRPr="008371C7">
              <w:rPr>
                <w:sz w:val="23"/>
                <w:szCs w:val="23"/>
              </w:rPr>
              <w:t>un Eiropas Savienības Padome būs noteikusi lata maiņas kursu</w:t>
            </w:r>
            <w:r w:rsidRPr="009F53DB">
              <w:t>.</w:t>
            </w:r>
          </w:p>
        </w:tc>
      </w:tr>
    </w:tbl>
    <w:p w:rsidR="00AB4448" w:rsidRDefault="00AB4448" w:rsidP="00656C9A"/>
    <w:p w:rsidR="00656C9A" w:rsidRPr="00656C9A" w:rsidRDefault="00656C9A" w:rsidP="00656C9A">
      <w:r>
        <w:t>Anotācijas</w:t>
      </w:r>
      <w:r w:rsidRPr="00656C9A">
        <w:t xml:space="preserve"> </w:t>
      </w:r>
      <w:r w:rsidR="00B60F97">
        <w:t>II–</w:t>
      </w:r>
      <w:r w:rsidRPr="00656C9A">
        <w:t>V</w:t>
      </w:r>
      <w:r>
        <w:t>II</w:t>
      </w:r>
      <w:r w:rsidRPr="00656C9A">
        <w:t xml:space="preserve"> sadaļa – projekts š</w:t>
      </w:r>
      <w:r>
        <w:t>o</w:t>
      </w:r>
      <w:r w:rsidRPr="00656C9A">
        <w:t xml:space="preserve"> jom</w:t>
      </w:r>
      <w:r>
        <w:t>u</w:t>
      </w:r>
      <w:r w:rsidRPr="00656C9A">
        <w:t xml:space="preserve"> neskar.</w:t>
      </w:r>
    </w:p>
    <w:p w:rsidR="00DE4CFF" w:rsidRDefault="00DE4CFF" w:rsidP="00F37F7E">
      <w:pPr>
        <w:pStyle w:val="naisf"/>
        <w:spacing w:before="0" w:beforeAutospacing="0" w:after="0" w:afterAutospacing="0"/>
        <w:ind w:firstLine="720"/>
        <w:rPr>
          <w:sz w:val="28"/>
          <w:szCs w:val="28"/>
        </w:rPr>
      </w:pPr>
    </w:p>
    <w:p w:rsidR="00B60F97" w:rsidRDefault="00B60F97" w:rsidP="00F37F7E">
      <w:pPr>
        <w:pStyle w:val="naisf"/>
        <w:spacing w:before="0" w:beforeAutospacing="0" w:after="0" w:afterAutospacing="0"/>
        <w:ind w:firstLine="720"/>
        <w:rPr>
          <w:sz w:val="28"/>
          <w:szCs w:val="28"/>
        </w:rPr>
      </w:pPr>
    </w:p>
    <w:p w:rsidR="00BA1E9A" w:rsidRDefault="00BA1E9A" w:rsidP="00F37F7E">
      <w:pPr>
        <w:pStyle w:val="naisf"/>
        <w:spacing w:before="0" w:beforeAutospacing="0" w:after="0" w:afterAutospacing="0"/>
        <w:ind w:firstLine="720"/>
        <w:rPr>
          <w:sz w:val="28"/>
          <w:szCs w:val="28"/>
        </w:rPr>
      </w:pPr>
    </w:p>
    <w:p w:rsidR="00F37F7E" w:rsidRDefault="00F37F7E" w:rsidP="00F37F7E">
      <w:pPr>
        <w:pStyle w:val="naisf"/>
        <w:spacing w:before="0" w:beforeAutospacing="0" w:after="0" w:afterAutospacing="0"/>
        <w:ind w:firstLine="720"/>
        <w:rPr>
          <w:sz w:val="28"/>
          <w:szCs w:val="28"/>
        </w:rPr>
      </w:pPr>
      <w:r>
        <w:rPr>
          <w:sz w:val="28"/>
          <w:szCs w:val="28"/>
        </w:rPr>
        <w:t>Zemkopības ministr</w:t>
      </w:r>
      <w:r w:rsidR="00313B3C">
        <w:rPr>
          <w:sz w:val="28"/>
          <w:szCs w:val="28"/>
        </w:rPr>
        <w:t>e</w:t>
      </w:r>
      <w:r>
        <w:rPr>
          <w:sz w:val="28"/>
          <w:szCs w:val="28"/>
        </w:rPr>
        <w:tab/>
      </w:r>
      <w:r>
        <w:rPr>
          <w:sz w:val="28"/>
          <w:szCs w:val="28"/>
        </w:rPr>
        <w:tab/>
      </w:r>
      <w:r>
        <w:rPr>
          <w:sz w:val="28"/>
          <w:szCs w:val="28"/>
        </w:rPr>
        <w:tab/>
      </w:r>
      <w:r>
        <w:rPr>
          <w:sz w:val="28"/>
          <w:szCs w:val="28"/>
        </w:rPr>
        <w:tab/>
      </w:r>
      <w:r w:rsidR="00B60F97">
        <w:rPr>
          <w:sz w:val="28"/>
          <w:szCs w:val="28"/>
        </w:rPr>
        <w:tab/>
      </w:r>
      <w:r w:rsidR="00B60F97">
        <w:rPr>
          <w:sz w:val="28"/>
          <w:szCs w:val="28"/>
        </w:rPr>
        <w:tab/>
        <w:t>L.Straujuma</w:t>
      </w:r>
    </w:p>
    <w:p w:rsidR="00791E9E" w:rsidRDefault="00791E9E" w:rsidP="00F37F7E">
      <w:pPr>
        <w:pStyle w:val="naisf"/>
        <w:spacing w:before="0" w:beforeAutospacing="0" w:after="0" w:afterAutospacing="0"/>
        <w:ind w:firstLine="720"/>
        <w:rPr>
          <w:sz w:val="28"/>
          <w:szCs w:val="28"/>
        </w:rPr>
      </w:pPr>
    </w:p>
    <w:p w:rsidR="00B60F97" w:rsidRDefault="00B60F97" w:rsidP="00F37F7E">
      <w:pPr>
        <w:pStyle w:val="naisf"/>
        <w:spacing w:before="0" w:beforeAutospacing="0" w:after="0" w:afterAutospacing="0"/>
        <w:ind w:firstLine="720"/>
        <w:rPr>
          <w:sz w:val="28"/>
          <w:szCs w:val="28"/>
        </w:rPr>
      </w:pPr>
    </w:p>
    <w:p w:rsidR="00B60F97" w:rsidRDefault="00B60F97" w:rsidP="00F37F7E">
      <w:pPr>
        <w:pStyle w:val="naisf"/>
        <w:spacing w:before="0" w:beforeAutospacing="0" w:after="0" w:afterAutospacing="0"/>
        <w:ind w:firstLine="720"/>
        <w:rPr>
          <w:sz w:val="28"/>
          <w:szCs w:val="28"/>
        </w:rPr>
      </w:pPr>
    </w:p>
    <w:p w:rsidR="00B60F97" w:rsidRDefault="00B60F97" w:rsidP="00F37F7E">
      <w:pPr>
        <w:pStyle w:val="naisf"/>
        <w:spacing w:before="0" w:beforeAutospacing="0" w:after="0" w:afterAutospacing="0"/>
        <w:ind w:firstLine="720"/>
        <w:rPr>
          <w:sz w:val="28"/>
          <w:szCs w:val="28"/>
        </w:rPr>
      </w:pPr>
    </w:p>
    <w:p w:rsidR="00B60F97" w:rsidRDefault="00B60F97" w:rsidP="00F37F7E">
      <w:pPr>
        <w:pStyle w:val="naisf"/>
        <w:spacing w:before="0" w:beforeAutospacing="0" w:after="0" w:afterAutospacing="0"/>
        <w:ind w:firstLine="720"/>
        <w:rPr>
          <w:sz w:val="28"/>
          <w:szCs w:val="28"/>
        </w:rPr>
      </w:pPr>
    </w:p>
    <w:p w:rsidR="00B60F97" w:rsidRDefault="00B60F97" w:rsidP="00F37F7E">
      <w:pPr>
        <w:pStyle w:val="naisf"/>
        <w:spacing w:before="0" w:beforeAutospacing="0" w:after="0" w:afterAutospacing="0"/>
        <w:ind w:firstLine="720"/>
        <w:rPr>
          <w:sz w:val="28"/>
          <w:szCs w:val="28"/>
        </w:rPr>
      </w:pPr>
    </w:p>
    <w:p w:rsidR="00B60F97" w:rsidRDefault="00B60F97" w:rsidP="00F37F7E">
      <w:pPr>
        <w:pStyle w:val="naisf"/>
        <w:spacing w:before="0" w:beforeAutospacing="0" w:after="0" w:afterAutospacing="0"/>
        <w:ind w:firstLine="720"/>
        <w:rPr>
          <w:sz w:val="28"/>
          <w:szCs w:val="28"/>
        </w:rPr>
      </w:pPr>
    </w:p>
    <w:p w:rsidR="00D23D5E" w:rsidRDefault="00D23D5E" w:rsidP="00F37F7E">
      <w:pPr>
        <w:pStyle w:val="naisf"/>
        <w:spacing w:before="0" w:beforeAutospacing="0" w:after="0" w:afterAutospacing="0"/>
        <w:ind w:firstLine="720"/>
        <w:rPr>
          <w:sz w:val="28"/>
          <w:szCs w:val="28"/>
        </w:rPr>
      </w:pPr>
    </w:p>
    <w:p w:rsidR="00D23D5E" w:rsidRDefault="00D23D5E" w:rsidP="00F37F7E">
      <w:pPr>
        <w:pStyle w:val="naisf"/>
        <w:spacing w:before="0" w:beforeAutospacing="0" w:after="0" w:afterAutospacing="0"/>
        <w:ind w:firstLine="720"/>
        <w:rPr>
          <w:sz w:val="28"/>
          <w:szCs w:val="28"/>
        </w:rPr>
      </w:pPr>
    </w:p>
    <w:p w:rsidR="00D23D5E" w:rsidRDefault="00D23D5E" w:rsidP="00F37F7E">
      <w:pPr>
        <w:pStyle w:val="naisf"/>
        <w:spacing w:before="0" w:beforeAutospacing="0" w:after="0" w:afterAutospacing="0"/>
        <w:ind w:firstLine="720"/>
        <w:rPr>
          <w:sz w:val="28"/>
          <w:szCs w:val="28"/>
        </w:rPr>
      </w:pPr>
    </w:p>
    <w:p w:rsidR="00D23D5E" w:rsidRDefault="00D23D5E" w:rsidP="00F37F7E">
      <w:pPr>
        <w:pStyle w:val="naisf"/>
        <w:spacing w:before="0" w:beforeAutospacing="0" w:after="0" w:afterAutospacing="0"/>
        <w:ind w:firstLine="720"/>
        <w:rPr>
          <w:sz w:val="28"/>
          <w:szCs w:val="28"/>
        </w:rPr>
      </w:pPr>
    </w:p>
    <w:p w:rsidR="00D23D5E" w:rsidRDefault="00D23D5E" w:rsidP="00F37F7E">
      <w:pPr>
        <w:pStyle w:val="naisf"/>
        <w:spacing w:before="0" w:beforeAutospacing="0" w:after="0" w:afterAutospacing="0"/>
        <w:ind w:firstLine="720"/>
        <w:rPr>
          <w:sz w:val="28"/>
          <w:szCs w:val="28"/>
        </w:rPr>
      </w:pPr>
    </w:p>
    <w:p w:rsidR="00D23D5E" w:rsidRDefault="00D23D5E" w:rsidP="00F37F7E">
      <w:pPr>
        <w:pStyle w:val="naisf"/>
        <w:spacing w:before="0" w:beforeAutospacing="0" w:after="0" w:afterAutospacing="0"/>
        <w:ind w:firstLine="720"/>
        <w:rPr>
          <w:sz w:val="28"/>
          <w:szCs w:val="28"/>
        </w:rPr>
      </w:pPr>
    </w:p>
    <w:p w:rsidR="00D23D5E" w:rsidRDefault="00D23D5E" w:rsidP="00F37F7E">
      <w:pPr>
        <w:pStyle w:val="naisf"/>
        <w:spacing w:before="0" w:beforeAutospacing="0" w:after="0" w:afterAutospacing="0"/>
        <w:ind w:firstLine="720"/>
        <w:rPr>
          <w:sz w:val="28"/>
          <w:szCs w:val="28"/>
        </w:rPr>
      </w:pPr>
    </w:p>
    <w:p w:rsidR="00D23D5E" w:rsidRDefault="00D23D5E" w:rsidP="00F37F7E">
      <w:pPr>
        <w:pStyle w:val="naisf"/>
        <w:spacing w:before="0" w:beforeAutospacing="0" w:after="0" w:afterAutospacing="0"/>
        <w:ind w:firstLine="720"/>
        <w:rPr>
          <w:sz w:val="28"/>
          <w:szCs w:val="28"/>
        </w:rPr>
      </w:pPr>
    </w:p>
    <w:p w:rsidR="00D23D5E" w:rsidRDefault="00D23D5E" w:rsidP="00F37F7E">
      <w:pPr>
        <w:pStyle w:val="naisf"/>
        <w:spacing w:before="0" w:beforeAutospacing="0" w:after="0" w:afterAutospacing="0"/>
        <w:ind w:firstLine="720"/>
        <w:rPr>
          <w:sz w:val="28"/>
          <w:szCs w:val="28"/>
        </w:rPr>
      </w:pPr>
    </w:p>
    <w:p w:rsidR="00D23D5E" w:rsidRDefault="00D23D5E" w:rsidP="00F37F7E">
      <w:pPr>
        <w:pStyle w:val="naisf"/>
        <w:spacing w:before="0" w:beforeAutospacing="0" w:after="0" w:afterAutospacing="0"/>
        <w:ind w:firstLine="720"/>
        <w:rPr>
          <w:sz w:val="28"/>
          <w:szCs w:val="28"/>
        </w:rPr>
      </w:pPr>
    </w:p>
    <w:p w:rsidR="00D23D5E" w:rsidRDefault="00D23D5E" w:rsidP="00F37F7E">
      <w:pPr>
        <w:pStyle w:val="naisf"/>
        <w:spacing w:before="0" w:beforeAutospacing="0" w:after="0" w:afterAutospacing="0"/>
        <w:ind w:firstLine="720"/>
        <w:rPr>
          <w:sz w:val="28"/>
          <w:szCs w:val="28"/>
        </w:rPr>
      </w:pPr>
    </w:p>
    <w:p w:rsidR="00D23D5E" w:rsidRDefault="00D23D5E" w:rsidP="00F37F7E">
      <w:pPr>
        <w:pStyle w:val="naisf"/>
        <w:spacing w:before="0" w:beforeAutospacing="0" w:after="0" w:afterAutospacing="0"/>
        <w:ind w:firstLine="720"/>
        <w:rPr>
          <w:sz w:val="28"/>
          <w:szCs w:val="28"/>
        </w:rPr>
      </w:pPr>
    </w:p>
    <w:p w:rsidR="00B60F97" w:rsidRDefault="00B60F97" w:rsidP="00F37F7E">
      <w:pPr>
        <w:pStyle w:val="naisf"/>
        <w:spacing w:before="0" w:beforeAutospacing="0" w:after="0" w:afterAutospacing="0"/>
        <w:ind w:firstLine="720"/>
        <w:rPr>
          <w:sz w:val="28"/>
          <w:szCs w:val="28"/>
        </w:rPr>
      </w:pPr>
    </w:p>
    <w:p w:rsidR="00B60F97" w:rsidRDefault="00B60F97" w:rsidP="00F37F7E">
      <w:pPr>
        <w:pStyle w:val="naisf"/>
        <w:spacing w:before="0" w:beforeAutospacing="0" w:after="0" w:afterAutospacing="0"/>
        <w:ind w:firstLine="720"/>
        <w:rPr>
          <w:sz w:val="28"/>
          <w:szCs w:val="28"/>
        </w:rPr>
      </w:pPr>
    </w:p>
    <w:p w:rsidR="00B60F97" w:rsidRDefault="00B60F97" w:rsidP="00F37F7E">
      <w:pPr>
        <w:pStyle w:val="naisf"/>
        <w:spacing w:before="0" w:beforeAutospacing="0" w:after="0" w:afterAutospacing="0"/>
        <w:ind w:firstLine="720"/>
        <w:rPr>
          <w:sz w:val="28"/>
          <w:szCs w:val="28"/>
        </w:rPr>
      </w:pPr>
    </w:p>
    <w:p w:rsidR="00BA1E9A" w:rsidRDefault="00BA1E9A" w:rsidP="0002029A">
      <w:pPr>
        <w:jc w:val="both"/>
        <w:rPr>
          <w:sz w:val="20"/>
          <w:szCs w:val="20"/>
        </w:rPr>
      </w:pPr>
      <w:r>
        <w:rPr>
          <w:sz w:val="20"/>
          <w:szCs w:val="20"/>
        </w:rPr>
        <w:t>2013.06.28. 16:36</w:t>
      </w:r>
    </w:p>
    <w:p w:rsidR="00BA1E9A" w:rsidRPr="00BA1E9A" w:rsidRDefault="00BA1E9A" w:rsidP="0002029A">
      <w:pPr>
        <w:jc w:val="both"/>
        <w:rPr>
          <w:sz w:val="20"/>
          <w:szCs w:val="20"/>
        </w:rPr>
      </w:pPr>
      <w:fldSimple w:instr=" NUMWORDS   \* MERGEFORMAT ">
        <w:r w:rsidRPr="00BA1E9A">
          <w:rPr>
            <w:noProof/>
            <w:sz w:val="20"/>
            <w:szCs w:val="20"/>
          </w:rPr>
          <w:t>374</w:t>
        </w:r>
      </w:fldSimple>
    </w:p>
    <w:p w:rsidR="0002029A" w:rsidRPr="00237909" w:rsidRDefault="00C04050" w:rsidP="0002029A">
      <w:pPr>
        <w:jc w:val="both"/>
        <w:rPr>
          <w:color w:val="000000"/>
          <w:sz w:val="20"/>
          <w:szCs w:val="20"/>
        </w:rPr>
      </w:pPr>
      <w:proofErr w:type="spellStart"/>
      <w:r>
        <w:rPr>
          <w:color w:val="000000"/>
          <w:sz w:val="20"/>
          <w:szCs w:val="20"/>
        </w:rPr>
        <w:t>I.</w:t>
      </w:r>
      <w:r w:rsidR="0002029A" w:rsidRPr="00237909">
        <w:rPr>
          <w:color w:val="000000"/>
          <w:sz w:val="20"/>
          <w:szCs w:val="20"/>
        </w:rPr>
        <w:t>L</w:t>
      </w:r>
      <w:r>
        <w:rPr>
          <w:color w:val="000000"/>
          <w:sz w:val="20"/>
          <w:szCs w:val="20"/>
        </w:rPr>
        <w:t>avrinoviča</w:t>
      </w:r>
      <w:proofErr w:type="spellEnd"/>
    </w:p>
    <w:p w:rsidR="0002029A" w:rsidRPr="00237909" w:rsidRDefault="0002029A" w:rsidP="0002029A">
      <w:pPr>
        <w:jc w:val="both"/>
        <w:rPr>
          <w:color w:val="000000"/>
          <w:sz w:val="20"/>
          <w:szCs w:val="20"/>
        </w:rPr>
      </w:pPr>
      <w:r w:rsidRPr="00237909">
        <w:rPr>
          <w:color w:val="000000"/>
          <w:sz w:val="20"/>
          <w:szCs w:val="20"/>
        </w:rPr>
        <w:t>670275</w:t>
      </w:r>
      <w:r w:rsidR="00C04050">
        <w:rPr>
          <w:color w:val="000000"/>
          <w:sz w:val="20"/>
          <w:szCs w:val="20"/>
        </w:rPr>
        <w:t>28</w:t>
      </w:r>
      <w:r w:rsidRPr="00237909">
        <w:rPr>
          <w:color w:val="000000"/>
          <w:sz w:val="20"/>
          <w:szCs w:val="20"/>
        </w:rPr>
        <w:t xml:space="preserve">, </w:t>
      </w:r>
      <w:r w:rsidR="00C04050">
        <w:rPr>
          <w:color w:val="000000"/>
          <w:sz w:val="20"/>
          <w:szCs w:val="20"/>
        </w:rPr>
        <w:t>Ineta.Lavrinovica</w:t>
      </w:r>
      <w:r w:rsidRPr="00237909">
        <w:rPr>
          <w:color w:val="000000"/>
          <w:sz w:val="20"/>
          <w:szCs w:val="20"/>
        </w:rPr>
        <w:t>@</w:t>
      </w:r>
      <w:smartTag w:uri="urn:schemas-microsoft-com:office:smarttags" w:element="PersonName">
        <w:r w:rsidRPr="00237909">
          <w:rPr>
            <w:color w:val="000000"/>
            <w:sz w:val="20"/>
            <w:szCs w:val="20"/>
          </w:rPr>
          <w:t>zm</w:t>
        </w:r>
      </w:smartTag>
      <w:r w:rsidRPr="00237909">
        <w:rPr>
          <w:color w:val="000000"/>
          <w:sz w:val="20"/>
          <w:szCs w:val="20"/>
        </w:rPr>
        <w:t>.gov.lv</w:t>
      </w:r>
    </w:p>
    <w:sectPr w:rsidR="0002029A" w:rsidRPr="00237909" w:rsidSect="00BA1E9A">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1F" w:rsidRDefault="004C151F" w:rsidP="00F37F7E">
      <w:pPr>
        <w:pStyle w:val="naiskr"/>
      </w:pPr>
      <w:r>
        <w:separator/>
      </w:r>
    </w:p>
  </w:endnote>
  <w:endnote w:type="continuationSeparator" w:id="0">
    <w:p w:rsidR="004C151F" w:rsidRDefault="004C151F" w:rsidP="00F37F7E">
      <w:pPr>
        <w:pStyle w:val="naisk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8C" w:rsidRPr="0002029A" w:rsidRDefault="00A36C8C" w:rsidP="0002029A">
    <w:pPr>
      <w:pStyle w:val="Kjene"/>
      <w:jc w:val="both"/>
      <w:rPr>
        <w:sz w:val="20"/>
        <w:szCs w:val="20"/>
      </w:rPr>
    </w:pPr>
    <w:smartTag w:uri="urn:schemas-microsoft-com:office:smarttags" w:element="PersonName">
      <w:r>
        <w:rPr>
          <w:sz w:val="20"/>
          <w:szCs w:val="20"/>
        </w:rPr>
        <w:t>ZM</w:t>
      </w:r>
    </w:smartTag>
    <w:r>
      <w:rPr>
        <w:sz w:val="20"/>
        <w:szCs w:val="20"/>
      </w:rPr>
      <w:t>Anot_040613_</w:t>
    </w:r>
    <w:r w:rsidR="00D317B2" w:rsidRPr="00D317B2">
      <w:t xml:space="preserve"> </w:t>
    </w:r>
    <w:proofErr w:type="spellStart"/>
    <w:r w:rsidR="00D317B2" w:rsidRPr="00D317B2">
      <w:rPr>
        <w:sz w:val="20"/>
        <w:szCs w:val="20"/>
      </w:rPr>
      <w:t>gan_nov_reg_zirgupasesnod</w:t>
    </w:r>
    <w:r w:rsidR="00B15DE4">
      <w:rPr>
        <w:sz w:val="20"/>
        <w:szCs w:val="20"/>
      </w:rPr>
      <w:t>evas</w:t>
    </w:r>
    <w:proofErr w:type="spellEnd"/>
    <w:r w:rsidR="00D317B2" w:rsidRPr="00D317B2">
      <w:rPr>
        <w:sz w:val="20"/>
        <w:szCs w:val="20"/>
      </w:rPr>
      <w:t>; Grozījumi Ministru kabineta 2011.gada 16.augusta noteikumos Nr.648 „Noteikumi par valsts nodevu par ganāmpulku un novietņu reģistrēšanu un zirga pases izsniegšanu</w:t>
    </w:r>
    <w:r>
      <w:rPr>
        <w:sz w:val="20"/>
      </w:rPr>
      <w:t>”</w:t>
    </w:r>
    <w:r w:rsidRPr="0002029A">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8C" w:rsidRPr="0002029A" w:rsidRDefault="00A36C8C" w:rsidP="00F37F7E">
    <w:pPr>
      <w:pStyle w:val="Kjene"/>
      <w:jc w:val="both"/>
      <w:rPr>
        <w:sz w:val="20"/>
        <w:szCs w:val="20"/>
      </w:rPr>
    </w:pPr>
    <w:smartTag w:uri="urn:schemas-microsoft-com:office:smarttags" w:element="PersonName">
      <w:r>
        <w:rPr>
          <w:sz w:val="20"/>
          <w:szCs w:val="20"/>
        </w:rPr>
        <w:t>ZM</w:t>
      </w:r>
    </w:smartTag>
    <w:r>
      <w:rPr>
        <w:sz w:val="20"/>
        <w:szCs w:val="20"/>
      </w:rPr>
      <w:t>Anot_040613_</w:t>
    </w:r>
    <w:r w:rsidR="00D317B2" w:rsidRPr="00D317B2">
      <w:t xml:space="preserve"> </w:t>
    </w:r>
    <w:proofErr w:type="spellStart"/>
    <w:r w:rsidR="00D317B2" w:rsidRPr="00D317B2">
      <w:rPr>
        <w:sz w:val="20"/>
        <w:szCs w:val="20"/>
      </w:rPr>
      <w:t>gan_nov_reg_zirgupasesnod</w:t>
    </w:r>
    <w:r w:rsidR="00B15DE4">
      <w:rPr>
        <w:sz w:val="20"/>
        <w:szCs w:val="20"/>
      </w:rPr>
      <w:t>evas</w:t>
    </w:r>
    <w:proofErr w:type="spellEnd"/>
    <w:r w:rsidR="00D317B2" w:rsidRPr="00D317B2">
      <w:rPr>
        <w:sz w:val="20"/>
        <w:szCs w:val="20"/>
      </w:rPr>
      <w:t>; Grozījumi Ministru kabineta 2011.gada 16.augusta noteikumos Nr.648 „Noteikumi par valsts nodevu par ganāmpulku un novietņu reģistrēšanu un zirga pases izsniegšanu</w:t>
    </w:r>
    <w:r>
      <w:rPr>
        <w:sz w:val="20"/>
      </w:rPr>
      <w:t>”</w:t>
    </w:r>
    <w:r w:rsidRPr="0002029A">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1F" w:rsidRDefault="004C151F" w:rsidP="00F37F7E">
      <w:pPr>
        <w:pStyle w:val="naiskr"/>
      </w:pPr>
      <w:r>
        <w:separator/>
      </w:r>
    </w:p>
  </w:footnote>
  <w:footnote w:type="continuationSeparator" w:id="0">
    <w:p w:rsidR="004C151F" w:rsidRDefault="004C151F" w:rsidP="00F37F7E">
      <w:pPr>
        <w:pStyle w:val="naisk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8C" w:rsidRDefault="00001877">
    <w:pPr>
      <w:pStyle w:val="Galvene"/>
      <w:framePr w:wrap="around" w:vAnchor="text" w:hAnchor="margin" w:xAlign="center" w:y="1"/>
      <w:rPr>
        <w:rStyle w:val="Lappusesnumurs"/>
      </w:rPr>
    </w:pPr>
    <w:r>
      <w:rPr>
        <w:rStyle w:val="Lappusesnumurs"/>
      </w:rPr>
      <w:fldChar w:fldCharType="begin"/>
    </w:r>
    <w:r w:rsidR="00A36C8C">
      <w:rPr>
        <w:rStyle w:val="Lappusesnumurs"/>
      </w:rPr>
      <w:instrText xml:space="preserve">PAGE  </w:instrText>
    </w:r>
    <w:r>
      <w:rPr>
        <w:rStyle w:val="Lappusesnumurs"/>
      </w:rPr>
      <w:fldChar w:fldCharType="end"/>
    </w:r>
  </w:p>
  <w:p w:rsidR="00A36C8C" w:rsidRDefault="00A36C8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8C" w:rsidRDefault="00001877">
    <w:pPr>
      <w:pStyle w:val="Galvene"/>
      <w:framePr w:wrap="around" w:vAnchor="text" w:hAnchor="margin" w:xAlign="center" w:y="1"/>
      <w:rPr>
        <w:rStyle w:val="Lappusesnumurs"/>
      </w:rPr>
    </w:pPr>
    <w:r>
      <w:rPr>
        <w:rStyle w:val="Lappusesnumurs"/>
      </w:rPr>
      <w:fldChar w:fldCharType="begin"/>
    </w:r>
    <w:r w:rsidR="00A36C8C">
      <w:rPr>
        <w:rStyle w:val="Lappusesnumurs"/>
      </w:rPr>
      <w:instrText xml:space="preserve">PAGE  </w:instrText>
    </w:r>
    <w:r>
      <w:rPr>
        <w:rStyle w:val="Lappusesnumurs"/>
      </w:rPr>
      <w:fldChar w:fldCharType="separate"/>
    </w:r>
    <w:r w:rsidR="00BA1E9A">
      <w:rPr>
        <w:rStyle w:val="Lappusesnumurs"/>
        <w:noProof/>
      </w:rPr>
      <w:t>2</w:t>
    </w:r>
    <w:r>
      <w:rPr>
        <w:rStyle w:val="Lappusesnumurs"/>
      </w:rPr>
      <w:fldChar w:fldCharType="end"/>
    </w:r>
  </w:p>
  <w:p w:rsidR="00A36C8C" w:rsidRDefault="00A36C8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311B"/>
    <w:multiLevelType w:val="hybridMultilevel"/>
    <w:tmpl w:val="9E48A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C91623"/>
    <w:multiLevelType w:val="hybridMultilevel"/>
    <w:tmpl w:val="DC72B0D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37F7E"/>
    <w:rsid w:val="00001877"/>
    <w:rsid w:val="00015974"/>
    <w:rsid w:val="000160EE"/>
    <w:rsid w:val="00017851"/>
    <w:rsid w:val="0002029A"/>
    <w:rsid w:val="000242CD"/>
    <w:rsid w:val="00024B0B"/>
    <w:rsid w:val="000378F3"/>
    <w:rsid w:val="00041376"/>
    <w:rsid w:val="000445E1"/>
    <w:rsid w:val="000500AE"/>
    <w:rsid w:val="00051187"/>
    <w:rsid w:val="0005196D"/>
    <w:rsid w:val="00055CF3"/>
    <w:rsid w:val="00067A11"/>
    <w:rsid w:val="00070FEB"/>
    <w:rsid w:val="00074178"/>
    <w:rsid w:val="00094946"/>
    <w:rsid w:val="000A230B"/>
    <w:rsid w:val="000C1F1C"/>
    <w:rsid w:val="000C4826"/>
    <w:rsid w:val="000C6049"/>
    <w:rsid w:val="000D7729"/>
    <w:rsid w:val="000E10EC"/>
    <w:rsid w:val="000E7682"/>
    <w:rsid w:val="000F4B00"/>
    <w:rsid w:val="000F4ED4"/>
    <w:rsid w:val="00100684"/>
    <w:rsid w:val="001039CA"/>
    <w:rsid w:val="0011697F"/>
    <w:rsid w:val="00126A8D"/>
    <w:rsid w:val="00127E82"/>
    <w:rsid w:val="00135F2B"/>
    <w:rsid w:val="00152B50"/>
    <w:rsid w:val="00153834"/>
    <w:rsid w:val="00154FA1"/>
    <w:rsid w:val="00155DDA"/>
    <w:rsid w:val="00181867"/>
    <w:rsid w:val="00185A1F"/>
    <w:rsid w:val="001928BE"/>
    <w:rsid w:val="00193C93"/>
    <w:rsid w:val="001965E8"/>
    <w:rsid w:val="001A1C90"/>
    <w:rsid w:val="001A284C"/>
    <w:rsid w:val="001A7D16"/>
    <w:rsid w:val="001B6383"/>
    <w:rsid w:val="001B644E"/>
    <w:rsid w:val="001B7339"/>
    <w:rsid w:val="001C600D"/>
    <w:rsid w:val="001E0876"/>
    <w:rsid w:val="001E6C66"/>
    <w:rsid w:val="001F2CFC"/>
    <w:rsid w:val="001F6EB8"/>
    <w:rsid w:val="002124B5"/>
    <w:rsid w:val="0022456A"/>
    <w:rsid w:val="00227F59"/>
    <w:rsid w:val="00237909"/>
    <w:rsid w:val="002513DF"/>
    <w:rsid w:val="00264CFE"/>
    <w:rsid w:val="00266247"/>
    <w:rsid w:val="00284E0B"/>
    <w:rsid w:val="00286B98"/>
    <w:rsid w:val="0028776A"/>
    <w:rsid w:val="002A5716"/>
    <w:rsid w:val="002B13BA"/>
    <w:rsid w:val="002B4887"/>
    <w:rsid w:val="002C2186"/>
    <w:rsid w:val="002D0EFF"/>
    <w:rsid w:val="002D3117"/>
    <w:rsid w:val="002D429F"/>
    <w:rsid w:val="002D50B7"/>
    <w:rsid w:val="002E69C0"/>
    <w:rsid w:val="002F2D08"/>
    <w:rsid w:val="002F38DB"/>
    <w:rsid w:val="002F739C"/>
    <w:rsid w:val="00301471"/>
    <w:rsid w:val="00313B3C"/>
    <w:rsid w:val="00325A33"/>
    <w:rsid w:val="003274E7"/>
    <w:rsid w:val="00347B64"/>
    <w:rsid w:val="00350004"/>
    <w:rsid w:val="00351991"/>
    <w:rsid w:val="00354D7D"/>
    <w:rsid w:val="00360B91"/>
    <w:rsid w:val="003610A7"/>
    <w:rsid w:val="00362A82"/>
    <w:rsid w:val="00363DF8"/>
    <w:rsid w:val="00370A38"/>
    <w:rsid w:val="00371A65"/>
    <w:rsid w:val="00374754"/>
    <w:rsid w:val="003755F1"/>
    <w:rsid w:val="003831C3"/>
    <w:rsid w:val="00391F30"/>
    <w:rsid w:val="00391F7B"/>
    <w:rsid w:val="00393F06"/>
    <w:rsid w:val="0039523C"/>
    <w:rsid w:val="003A4096"/>
    <w:rsid w:val="003B2B59"/>
    <w:rsid w:val="003B7A18"/>
    <w:rsid w:val="003C09A8"/>
    <w:rsid w:val="003C1680"/>
    <w:rsid w:val="003C3622"/>
    <w:rsid w:val="003C6AD2"/>
    <w:rsid w:val="003C7411"/>
    <w:rsid w:val="003D3A27"/>
    <w:rsid w:val="003E413C"/>
    <w:rsid w:val="003F001C"/>
    <w:rsid w:val="003F4081"/>
    <w:rsid w:val="003F753E"/>
    <w:rsid w:val="00400503"/>
    <w:rsid w:val="00403858"/>
    <w:rsid w:val="00406B8C"/>
    <w:rsid w:val="00412F9C"/>
    <w:rsid w:val="00414B20"/>
    <w:rsid w:val="00415B80"/>
    <w:rsid w:val="00417A1B"/>
    <w:rsid w:val="00421391"/>
    <w:rsid w:val="00425E4D"/>
    <w:rsid w:val="0043328A"/>
    <w:rsid w:val="00444A7D"/>
    <w:rsid w:val="004464F7"/>
    <w:rsid w:val="0044738A"/>
    <w:rsid w:val="004511D3"/>
    <w:rsid w:val="004547A9"/>
    <w:rsid w:val="0045719F"/>
    <w:rsid w:val="00462078"/>
    <w:rsid w:val="004662B4"/>
    <w:rsid w:val="00466CF9"/>
    <w:rsid w:val="004679FF"/>
    <w:rsid w:val="0047491E"/>
    <w:rsid w:val="00495A25"/>
    <w:rsid w:val="004966B8"/>
    <w:rsid w:val="004A6C18"/>
    <w:rsid w:val="004A708B"/>
    <w:rsid w:val="004B0271"/>
    <w:rsid w:val="004B28A8"/>
    <w:rsid w:val="004C151F"/>
    <w:rsid w:val="004C5B37"/>
    <w:rsid w:val="004C6C7F"/>
    <w:rsid w:val="004D64BE"/>
    <w:rsid w:val="004E3F6C"/>
    <w:rsid w:val="00501C21"/>
    <w:rsid w:val="00513790"/>
    <w:rsid w:val="005166A6"/>
    <w:rsid w:val="005251F3"/>
    <w:rsid w:val="00536003"/>
    <w:rsid w:val="00537386"/>
    <w:rsid w:val="005376CA"/>
    <w:rsid w:val="005545C2"/>
    <w:rsid w:val="005660EB"/>
    <w:rsid w:val="005706C8"/>
    <w:rsid w:val="00572009"/>
    <w:rsid w:val="0057499C"/>
    <w:rsid w:val="005827E6"/>
    <w:rsid w:val="00583239"/>
    <w:rsid w:val="00595851"/>
    <w:rsid w:val="005A76A3"/>
    <w:rsid w:val="005A771C"/>
    <w:rsid w:val="005C37B4"/>
    <w:rsid w:val="005D0F57"/>
    <w:rsid w:val="005D782F"/>
    <w:rsid w:val="005F49F6"/>
    <w:rsid w:val="00601219"/>
    <w:rsid w:val="006056ED"/>
    <w:rsid w:val="0060673F"/>
    <w:rsid w:val="00607692"/>
    <w:rsid w:val="0061217E"/>
    <w:rsid w:val="00620D0D"/>
    <w:rsid w:val="006257A6"/>
    <w:rsid w:val="006266E3"/>
    <w:rsid w:val="00636623"/>
    <w:rsid w:val="00640AA9"/>
    <w:rsid w:val="0065138F"/>
    <w:rsid w:val="00652105"/>
    <w:rsid w:val="00654CED"/>
    <w:rsid w:val="00656C9A"/>
    <w:rsid w:val="006602BB"/>
    <w:rsid w:val="00665362"/>
    <w:rsid w:val="00667A13"/>
    <w:rsid w:val="006714C5"/>
    <w:rsid w:val="00675CCE"/>
    <w:rsid w:val="006820E7"/>
    <w:rsid w:val="00685243"/>
    <w:rsid w:val="00697AF8"/>
    <w:rsid w:val="006B33B5"/>
    <w:rsid w:val="006C17D2"/>
    <w:rsid w:val="006F122E"/>
    <w:rsid w:val="006F2E6E"/>
    <w:rsid w:val="007006E9"/>
    <w:rsid w:val="007018E2"/>
    <w:rsid w:val="00702355"/>
    <w:rsid w:val="007028B5"/>
    <w:rsid w:val="00705B6F"/>
    <w:rsid w:val="0071167F"/>
    <w:rsid w:val="0071337A"/>
    <w:rsid w:val="00713A7C"/>
    <w:rsid w:val="00717734"/>
    <w:rsid w:val="00717F6E"/>
    <w:rsid w:val="00721E49"/>
    <w:rsid w:val="00727F7E"/>
    <w:rsid w:val="00733095"/>
    <w:rsid w:val="00736CD7"/>
    <w:rsid w:val="00745821"/>
    <w:rsid w:val="00746954"/>
    <w:rsid w:val="007523AC"/>
    <w:rsid w:val="00753382"/>
    <w:rsid w:val="00753F7F"/>
    <w:rsid w:val="007546F1"/>
    <w:rsid w:val="00756BC2"/>
    <w:rsid w:val="00757876"/>
    <w:rsid w:val="00760085"/>
    <w:rsid w:val="00765966"/>
    <w:rsid w:val="00767B05"/>
    <w:rsid w:val="00773DA1"/>
    <w:rsid w:val="00776413"/>
    <w:rsid w:val="00776B2C"/>
    <w:rsid w:val="00781A15"/>
    <w:rsid w:val="00791D65"/>
    <w:rsid w:val="00791E9E"/>
    <w:rsid w:val="007926A0"/>
    <w:rsid w:val="00793143"/>
    <w:rsid w:val="00794BF1"/>
    <w:rsid w:val="007A180B"/>
    <w:rsid w:val="007B2E09"/>
    <w:rsid w:val="007B45D1"/>
    <w:rsid w:val="007B579E"/>
    <w:rsid w:val="007B5EE0"/>
    <w:rsid w:val="007B603D"/>
    <w:rsid w:val="007B7B96"/>
    <w:rsid w:val="007C3EDD"/>
    <w:rsid w:val="007C4473"/>
    <w:rsid w:val="007C72EA"/>
    <w:rsid w:val="007D44A6"/>
    <w:rsid w:val="007D4B81"/>
    <w:rsid w:val="007E7FB5"/>
    <w:rsid w:val="007F1BBB"/>
    <w:rsid w:val="007F4ED1"/>
    <w:rsid w:val="00811225"/>
    <w:rsid w:val="008145F9"/>
    <w:rsid w:val="00824538"/>
    <w:rsid w:val="00827A8F"/>
    <w:rsid w:val="0083086E"/>
    <w:rsid w:val="008364B2"/>
    <w:rsid w:val="00843508"/>
    <w:rsid w:val="00845BDC"/>
    <w:rsid w:val="0084701F"/>
    <w:rsid w:val="008471F4"/>
    <w:rsid w:val="00853192"/>
    <w:rsid w:val="008561EF"/>
    <w:rsid w:val="008740F9"/>
    <w:rsid w:val="00880414"/>
    <w:rsid w:val="00880EF6"/>
    <w:rsid w:val="0088329E"/>
    <w:rsid w:val="00887B5B"/>
    <w:rsid w:val="008907B2"/>
    <w:rsid w:val="008A5E04"/>
    <w:rsid w:val="008B00E7"/>
    <w:rsid w:val="008B094F"/>
    <w:rsid w:val="008C65C8"/>
    <w:rsid w:val="008D0074"/>
    <w:rsid w:val="008D3BCB"/>
    <w:rsid w:val="008E33DE"/>
    <w:rsid w:val="008E4D95"/>
    <w:rsid w:val="00900BC9"/>
    <w:rsid w:val="00915FF3"/>
    <w:rsid w:val="00916CBE"/>
    <w:rsid w:val="00923C24"/>
    <w:rsid w:val="00930EA9"/>
    <w:rsid w:val="00945674"/>
    <w:rsid w:val="009507A3"/>
    <w:rsid w:val="009527B3"/>
    <w:rsid w:val="0095373F"/>
    <w:rsid w:val="00954537"/>
    <w:rsid w:val="00956C17"/>
    <w:rsid w:val="00964DAF"/>
    <w:rsid w:val="00970CBF"/>
    <w:rsid w:val="00984A7D"/>
    <w:rsid w:val="00984CB2"/>
    <w:rsid w:val="009A177C"/>
    <w:rsid w:val="009A2124"/>
    <w:rsid w:val="009A6F76"/>
    <w:rsid w:val="009C13CC"/>
    <w:rsid w:val="009C26F1"/>
    <w:rsid w:val="009C2867"/>
    <w:rsid w:val="009C2D55"/>
    <w:rsid w:val="009D4048"/>
    <w:rsid w:val="009D70DE"/>
    <w:rsid w:val="009E05E4"/>
    <w:rsid w:val="009E112D"/>
    <w:rsid w:val="009E41F0"/>
    <w:rsid w:val="009F3E52"/>
    <w:rsid w:val="00A00570"/>
    <w:rsid w:val="00A16E36"/>
    <w:rsid w:val="00A21F1F"/>
    <w:rsid w:val="00A36C8C"/>
    <w:rsid w:val="00A42FA4"/>
    <w:rsid w:val="00A50377"/>
    <w:rsid w:val="00A51C96"/>
    <w:rsid w:val="00A52300"/>
    <w:rsid w:val="00A54E08"/>
    <w:rsid w:val="00A559EF"/>
    <w:rsid w:val="00A6000F"/>
    <w:rsid w:val="00A61D9B"/>
    <w:rsid w:val="00A65C5A"/>
    <w:rsid w:val="00A7248A"/>
    <w:rsid w:val="00A8230E"/>
    <w:rsid w:val="00A82D0F"/>
    <w:rsid w:val="00A8754B"/>
    <w:rsid w:val="00AA3732"/>
    <w:rsid w:val="00AA6478"/>
    <w:rsid w:val="00AB0041"/>
    <w:rsid w:val="00AB04E5"/>
    <w:rsid w:val="00AB170E"/>
    <w:rsid w:val="00AB416C"/>
    <w:rsid w:val="00AB4448"/>
    <w:rsid w:val="00AB596F"/>
    <w:rsid w:val="00AD645F"/>
    <w:rsid w:val="00AE5565"/>
    <w:rsid w:val="00AF0810"/>
    <w:rsid w:val="00AF7945"/>
    <w:rsid w:val="00B11677"/>
    <w:rsid w:val="00B15DE4"/>
    <w:rsid w:val="00B2596F"/>
    <w:rsid w:val="00B3458F"/>
    <w:rsid w:val="00B42584"/>
    <w:rsid w:val="00B42FE7"/>
    <w:rsid w:val="00B455BD"/>
    <w:rsid w:val="00B46B32"/>
    <w:rsid w:val="00B5095F"/>
    <w:rsid w:val="00B52182"/>
    <w:rsid w:val="00B53809"/>
    <w:rsid w:val="00B56189"/>
    <w:rsid w:val="00B56C2A"/>
    <w:rsid w:val="00B60F97"/>
    <w:rsid w:val="00B67AC5"/>
    <w:rsid w:val="00B71BD7"/>
    <w:rsid w:val="00B74565"/>
    <w:rsid w:val="00B7692E"/>
    <w:rsid w:val="00B76D1A"/>
    <w:rsid w:val="00B81F83"/>
    <w:rsid w:val="00B84F1C"/>
    <w:rsid w:val="00B87CD9"/>
    <w:rsid w:val="00B94A6C"/>
    <w:rsid w:val="00B95D4D"/>
    <w:rsid w:val="00B97126"/>
    <w:rsid w:val="00BA0943"/>
    <w:rsid w:val="00BA1E9A"/>
    <w:rsid w:val="00BA7BBE"/>
    <w:rsid w:val="00BB0BC4"/>
    <w:rsid w:val="00BD0374"/>
    <w:rsid w:val="00BD74DA"/>
    <w:rsid w:val="00BE2AA0"/>
    <w:rsid w:val="00BE4880"/>
    <w:rsid w:val="00BE6367"/>
    <w:rsid w:val="00BE63D3"/>
    <w:rsid w:val="00BF1E02"/>
    <w:rsid w:val="00BF2133"/>
    <w:rsid w:val="00C038B5"/>
    <w:rsid w:val="00C04050"/>
    <w:rsid w:val="00C10018"/>
    <w:rsid w:val="00C11675"/>
    <w:rsid w:val="00C11ED9"/>
    <w:rsid w:val="00C1471C"/>
    <w:rsid w:val="00C245C2"/>
    <w:rsid w:val="00C26A14"/>
    <w:rsid w:val="00C31017"/>
    <w:rsid w:val="00C573AC"/>
    <w:rsid w:val="00C6178F"/>
    <w:rsid w:val="00C71EFB"/>
    <w:rsid w:val="00C7549F"/>
    <w:rsid w:val="00C762F7"/>
    <w:rsid w:val="00C76C26"/>
    <w:rsid w:val="00C82175"/>
    <w:rsid w:val="00C846EC"/>
    <w:rsid w:val="00C84FE9"/>
    <w:rsid w:val="00CA2D36"/>
    <w:rsid w:val="00CC54B7"/>
    <w:rsid w:val="00CD2CF8"/>
    <w:rsid w:val="00CD47C9"/>
    <w:rsid w:val="00CE3E6C"/>
    <w:rsid w:val="00CE701B"/>
    <w:rsid w:val="00CF229C"/>
    <w:rsid w:val="00CF326A"/>
    <w:rsid w:val="00D051D7"/>
    <w:rsid w:val="00D112F5"/>
    <w:rsid w:val="00D17C53"/>
    <w:rsid w:val="00D23D5E"/>
    <w:rsid w:val="00D25A18"/>
    <w:rsid w:val="00D27C66"/>
    <w:rsid w:val="00D317B2"/>
    <w:rsid w:val="00D37FC0"/>
    <w:rsid w:val="00D4422B"/>
    <w:rsid w:val="00D467E4"/>
    <w:rsid w:val="00D531CA"/>
    <w:rsid w:val="00D5564A"/>
    <w:rsid w:val="00D63687"/>
    <w:rsid w:val="00D64F63"/>
    <w:rsid w:val="00D77B91"/>
    <w:rsid w:val="00D81591"/>
    <w:rsid w:val="00D90759"/>
    <w:rsid w:val="00D927BB"/>
    <w:rsid w:val="00D9756C"/>
    <w:rsid w:val="00DA00B0"/>
    <w:rsid w:val="00DA0E46"/>
    <w:rsid w:val="00DA304A"/>
    <w:rsid w:val="00DB748F"/>
    <w:rsid w:val="00DC31BF"/>
    <w:rsid w:val="00DD0F47"/>
    <w:rsid w:val="00DE46F6"/>
    <w:rsid w:val="00DE4BBB"/>
    <w:rsid w:val="00DE4CFF"/>
    <w:rsid w:val="00DF1527"/>
    <w:rsid w:val="00DF2343"/>
    <w:rsid w:val="00E0680A"/>
    <w:rsid w:val="00E10A4B"/>
    <w:rsid w:val="00E13393"/>
    <w:rsid w:val="00E14D03"/>
    <w:rsid w:val="00E36DE9"/>
    <w:rsid w:val="00E720E4"/>
    <w:rsid w:val="00E77889"/>
    <w:rsid w:val="00E80068"/>
    <w:rsid w:val="00EB5337"/>
    <w:rsid w:val="00ED3F12"/>
    <w:rsid w:val="00EE2793"/>
    <w:rsid w:val="00EE2F67"/>
    <w:rsid w:val="00EF095D"/>
    <w:rsid w:val="00EF2B01"/>
    <w:rsid w:val="00EF678F"/>
    <w:rsid w:val="00F02737"/>
    <w:rsid w:val="00F04121"/>
    <w:rsid w:val="00F0538B"/>
    <w:rsid w:val="00F1003D"/>
    <w:rsid w:val="00F31638"/>
    <w:rsid w:val="00F324CE"/>
    <w:rsid w:val="00F327DB"/>
    <w:rsid w:val="00F37F7E"/>
    <w:rsid w:val="00F42C6F"/>
    <w:rsid w:val="00F57847"/>
    <w:rsid w:val="00F62952"/>
    <w:rsid w:val="00F64E9A"/>
    <w:rsid w:val="00F76DCD"/>
    <w:rsid w:val="00F80460"/>
    <w:rsid w:val="00F83055"/>
    <w:rsid w:val="00F87D11"/>
    <w:rsid w:val="00F91DBE"/>
    <w:rsid w:val="00F93E87"/>
    <w:rsid w:val="00FA18A5"/>
    <w:rsid w:val="00FA5A46"/>
    <w:rsid w:val="00FB0E8E"/>
    <w:rsid w:val="00FB5D10"/>
    <w:rsid w:val="00FC1B98"/>
    <w:rsid w:val="00FD3450"/>
    <w:rsid w:val="00FD4A7A"/>
    <w:rsid w:val="00FE2A89"/>
    <w:rsid w:val="00FE7F3C"/>
    <w:rsid w:val="00FF391E"/>
    <w:rsid w:val="00FF5F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F37F7E"/>
    <w:pPr>
      <w:spacing w:before="100" w:beforeAutospacing="1" w:after="100" w:afterAutospacing="1"/>
    </w:pPr>
  </w:style>
  <w:style w:type="paragraph" w:customStyle="1" w:styleId="naisnod">
    <w:name w:val="naisnod"/>
    <w:basedOn w:val="Parastais"/>
    <w:rsid w:val="00F37F7E"/>
    <w:pPr>
      <w:spacing w:before="100" w:beforeAutospacing="1" w:after="100" w:afterAutospacing="1"/>
    </w:pPr>
  </w:style>
  <w:style w:type="paragraph" w:customStyle="1" w:styleId="naiskr">
    <w:name w:val="naiskr"/>
    <w:basedOn w:val="Parastais"/>
    <w:rsid w:val="00F37F7E"/>
    <w:pPr>
      <w:spacing w:before="100" w:beforeAutospacing="1" w:after="100" w:afterAutospacing="1"/>
    </w:pPr>
  </w:style>
  <w:style w:type="paragraph" w:customStyle="1" w:styleId="naisf">
    <w:name w:val="naisf"/>
    <w:basedOn w:val="Parastais"/>
    <w:rsid w:val="00F37F7E"/>
    <w:pPr>
      <w:spacing w:before="100" w:beforeAutospacing="1" w:after="100" w:afterAutospacing="1"/>
    </w:pPr>
  </w:style>
  <w:style w:type="paragraph" w:styleId="Pamatteksts">
    <w:name w:val="Body Text"/>
    <w:basedOn w:val="Parastais"/>
    <w:link w:val="PamattekstsRakstz"/>
    <w:rsid w:val="00F37F7E"/>
    <w:pPr>
      <w:jc w:val="right"/>
    </w:pPr>
    <w:rPr>
      <w:b/>
      <w:sz w:val="28"/>
      <w:szCs w:val="20"/>
      <w:lang w:eastAsia="en-US"/>
    </w:rPr>
  </w:style>
  <w:style w:type="character" w:customStyle="1" w:styleId="PamattekstsRakstz">
    <w:name w:val="Pamatteksts Rakstz."/>
    <w:link w:val="Pamatteksts"/>
    <w:semiHidden/>
    <w:locked/>
    <w:rsid w:val="00F37F7E"/>
    <w:rPr>
      <w:b/>
      <w:sz w:val="28"/>
      <w:lang w:val="lv-LV" w:eastAsia="en-US" w:bidi="ar-SA"/>
    </w:rPr>
  </w:style>
  <w:style w:type="paragraph" w:styleId="Galvene">
    <w:name w:val="header"/>
    <w:basedOn w:val="Parastais"/>
    <w:link w:val="GalveneRakstz"/>
    <w:rsid w:val="00F37F7E"/>
    <w:pPr>
      <w:tabs>
        <w:tab w:val="center" w:pos="4153"/>
        <w:tab w:val="right" w:pos="8306"/>
      </w:tabs>
    </w:pPr>
  </w:style>
  <w:style w:type="character" w:customStyle="1" w:styleId="GalveneRakstz">
    <w:name w:val="Galvene Rakstz."/>
    <w:link w:val="Galvene"/>
    <w:semiHidden/>
    <w:locked/>
    <w:rsid w:val="00F37F7E"/>
    <w:rPr>
      <w:sz w:val="24"/>
      <w:szCs w:val="24"/>
      <w:lang w:val="lv-LV" w:eastAsia="lv-LV" w:bidi="ar-SA"/>
    </w:rPr>
  </w:style>
  <w:style w:type="character" w:styleId="Lappusesnumurs">
    <w:name w:val="page number"/>
    <w:rsid w:val="00F37F7E"/>
    <w:rPr>
      <w:rFonts w:cs="Times New Roman"/>
    </w:rPr>
  </w:style>
  <w:style w:type="paragraph" w:styleId="Kjene">
    <w:name w:val="footer"/>
    <w:basedOn w:val="Parastais"/>
    <w:link w:val="KjeneRakstz"/>
    <w:rsid w:val="00F37F7E"/>
    <w:pPr>
      <w:tabs>
        <w:tab w:val="center" w:pos="4153"/>
        <w:tab w:val="right" w:pos="8306"/>
      </w:tabs>
    </w:pPr>
  </w:style>
  <w:style w:type="character" w:customStyle="1" w:styleId="KjeneRakstz">
    <w:name w:val="Kājene Rakstz."/>
    <w:link w:val="Kjene"/>
    <w:semiHidden/>
    <w:locked/>
    <w:rsid w:val="00F37F7E"/>
    <w:rPr>
      <w:sz w:val="24"/>
      <w:szCs w:val="24"/>
      <w:lang w:val="lv-LV" w:eastAsia="lv-LV" w:bidi="ar-SA"/>
    </w:rPr>
  </w:style>
  <w:style w:type="character" w:styleId="Hipersaite">
    <w:name w:val="Hyperlink"/>
    <w:rsid w:val="000D7729"/>
    <w:rPr>
      <w:color w:val="0000FF"/>
      <w:u w:val="single"/>
    </w:rPr>
  </w:style>
  <w:style w:type="paragraph" w:styleId="Balonteksts">
    <w:name w:val="Balloon Text"/>
    <w:basedOn w:val="Parastais"/>
    <w:link w:val="BalontekstsRakstz"/>
    <w:rsid w:val="00A52300"/>
    <w:rPr>
      <w:rFonts w:ascii="Tahoma" w:hAnsi="Tahoma" w:cs="Tahoma"/>
      <w:sz w:val="16"/>
      <w:szCs w:val="16"/>
    </w:rPr>
  </w:style>
  <w:style w:type="character" w:customStyle="1" w:styleId="BalontekstsRakstz">
    <w:name w:val="Balonteksts Rakstz."/>
    <w:link w:val="Balonteksts"/>
    <w:rsid w:val="00A52300"/>
    <w:rPr>
      <w:rFonts w:ascii="Tahoma" w:hAnsi="Tahoma" w:cs="Tahoma"/>
      <w:sz w:val="16"/>
      <w:szCs w:val="16"/>
    </w:rPr>
  </w:style>
  <w:style w:type="character" w:styleId="Komentraatsauce">
    <w:name w:val="annotation reference"/>
    <w:rsid w:val="005A771C"/>
    <w:rPr>
      <w:sz w:val="16"/>
      <w:szCs w:val="16"/>
    </w:rPr>
  </w:style>
  <w:style w:type="paragraph" w:styleId="Komentrateksts">
    <w:name w:val="annotation text"/>
    <w:basedOn w:val="Parastai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link w:val="Komentratma"/>
    <w:rsid w:val="005A771C"/>
    <w:rPr>
      <w:b/>
      <w:bCs/>
    </w:rPr>
  </w:style>
  <w:style w:type="paragraph" w:customStyle="1" w:styleId="naislab">
    <w:name w:val="naislab"/>
    <w:basedOn w:val="Parastais"/>
    <w:rsid w:val="0002029A"/>
    <w:pPr>
      <w:spacing w:before="75" w:after="75"/>
      <w:jc w:val="right"/>
    </w:pPr>
  </w:style>
  <w:style w:type="paragraph" w:customStyle="1" w:styleId="naispie">
    <w:name w:val="naispie"/>
    <w:basedOn w:val="Parastais"/>
    <w:rsid w:val="002513DF"/>
    <w:pPr>
      <w:spacing w:before="100" w:beforeAutospacing="1" w:after="100" w:afterAutospacing="1"/>
    </w:pPr>
  </w:style>
  <w:style w:type="paragraph" w:customStyle="1" w:styleId="Rakstz">
    <w:name w:val="Rakstz."/>
    <w:basedOn w:val="Parastais"/>
    <w:rsid w:val="00F42C6F"/>
    <w:pPr>
      <w:spacing w:before="40"/>
    </w:pPr>
    <w:rPr>
      <w:lang w:val="pl-PL" w:eastAsia="pl-PL"/>
    </w:rPr>
  </w:style>
  <w:style w:type="paragraph" w:styleId="ParastaisWeb">
    <w:name w:val="Normal (Web)"/>
    <w:basedOn w:val="Parastais"/>
    <w:rsid w:val="00350004"/>
    <w:pPr>
      <w:spacing w:before="100" w:beforeAutospacing="1" w:after="100" w:afterAutospacing="1"/>
    </w:pPr>
  </w:style>
  <w:style w:type="paragraph" w:styleId="Vresteksts">
    <w:name w:val="footnote text"/>
    <w:basedOn w:val="Parastais"/>
    <w:rsid w:val="00B60F97"/>
    <w:pPr>
      <w:jc w:val="both"/>
    </w:pPr>
    <w:rPr>
      <w:sz w:val="20"/>
      <w:szCs w:val="20"/>
      <w:lang w:eastAsia="en-US"/>
    </w:rPr>
  </w:style>
  <w:style w:type="character" w:styleId="Vresatsauce">
    <w:name w:val="footnote reference"/>
    <w:rsid w:val="00B60F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link w:val="Pamatteksts"/>
    <w:semiHidden/>
    <w:locked/>
    <w:rsid w:val="00F37F7E"/>
    <w:rPr>
      <w:b/>
      <w:sz w:val="28"/>
      <w:lang w:val="lv-LV" w:eastAsia="en-US" w:bidi="ar-SA"/>
    </w:rPr>
  </w:style>
  <w:style w:type="paragraph" w:styleId="Galvene">
    <w:name w:val="header"/>
    <w:basedOn w:val="Parasts"/>
    <w:link w:val="GalveneRakstz"/>
    <w:rsid w:val="00F37F7E"/>
    <w:pPr>
      <w:tabs>
        <w:tab w:val="center" w:pos="4153"/>
        <w:tab w:val="right" w:pos="8306"/>
      </w:tabs>
    </w:pPr>
  </w:style>
  <w:style w:type="character" w:customStyle="1" w:styleId="GalveneRakstz">
    <w:name w:val="Galvene Rakstz."/>
    <w:link w:val="Galvene"/>
    <w:semiHidden/>
    <w:locked/>
    <w:rsid w:val="00F37F7E"/>
    <w:rPr>
      <w:sz w:val="24"/>
      <w:szCs w:val="24"/>
      <w:lang w:val="lv-LV" w:eastAsia="lv-LV" w:bidi="ar-SA"/>
    </w:rPr>
  </w:style>
  <w:style w:type="character" w:styleId="Lappusesnumurs">
    <w:name w:val="page number"/>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link w:val="Kjene"/>
    <w:semiHidden/>
    <w:locked/>
    <w:rsid w:val="00F37F7E"/>
    <w:rPr>
      <w:sz w:val="24"/>
      <w:szCs w:val="24"/>
      <w:lang w:val="lv-LV" w:eastAsia="lv-LV" w:bidi="ar-SA"/>
    </w:rPr>
  </w:style>
  <w:style w:type="character" w:styleId="Hipersaite">
    <w:name w:val="Hyperlink"/>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link w:val="Balonteksts"/>
    <w:rsid w:val="00A52300"/>
    <w:rPr>
      <w:rFonts w:ascii="Tahoma" w:hAnsi="Tahoma" w:cs="Tahoma"/>
      <w:sz w:val="16"/>
      <w:szCs w:val="16"/>
    </w:rPr>
  </w:style>
  <w:style w:type="character" w:styleId="Komentraatsauce">
    <w:name w:val="annotation reference"/>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link w:val="Komentratma"/>
    <w:rsid w:val="005A771C"/>
    <w:rPr>
      <w:b/>
      <w:bCs/>
    </w:rPr>
  </w:style>
  <w:style w:type="paragraph" w:customStyle="1" w:styleId="naislab">
    <w:name w:val="naislab"/>
    <w:basedOn w:val="Parasts"/>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rsid w:val="00B60F97"/>
    <w:pPr>
      <w:jc w:val="both"/>
    </w:pPr>
    <w:rPr>
      <w:sz w:val="20"/>
      <w:szCs w:val="20"/>
      <w:lang w:val="x-none" w:eastAsia="en-US"/>
    </w:rPr>
  </w:style>
  <w:style w:type="character" w:styleId="Vresatsauce">
    <w:name w:val="footnote reference"/>
    <w:rsid w:val="00B60F9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2712</Characters>
  <Application>Microsoft Office Word</Application>
  <DocSecurity>0</DocSecurity>
  <Lines>108</Lines>
  <Paragraphs>37</Paragraphs>
  <ScaleCrop>false</ScaleCrop>
  <HeadingPairs>
    <vt:vector size="2" baseType="variant">
      <vt:variant>
        <vt:lpstr>Nosaukums</vt:lpstr>
      </vt:variant>
      <vt:variant>
        <vt:i4>1</vt:i4>
      </vt:variant>
    </vt:vector>
  </HeadingPairs>
  <TitlesOfParts>
    <vt:vector size="1" baseType="lpstr">
      <vt:lpstr>Grozījumi Ministru kabineta 2011.gada 16.augusta noteikumos Nr.648 "Noteikumi par valsts nodevu par ganāmpulku un novietņu reģistrēšanu un zirga pases izsnaigšanu"</vt:lpstr>
    </vt:vector>
  </TitlesOfParts>
  <Company>Zemkopības ministrija</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16.augusta noteikumos Nr.648 "Noteikumi par valsts nodevu par ganāmpulku un novietņu reģistrēšanu un zirga pases izsnaigšanu"</dc:title>
  <dc:subject>Anotācija</dc:subject>
  <dc:creator>Ineta Lavrinoviča</dc:creator>
  <dc:description>Ineta.Lavrinovica@zm.gov.lv, 67027528</dc:description>
  <cp:lastModifiedBy>Renārs Žagars</cp:lastModifiedBy>
  <cp:revision>3</cp:revision>
  <dcterms:created xsi:type="dcterms:W3CDTF">2013-06-28T11:41:00Z</dcterms:created>
  <dcterms:modified xsi:type="dcterms:W3CDTF">2013-06-28T13:36:00Z</dcterms:modified>
</cp:coreProperties>
</file>