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FD" w:rsidRPr="00010E3F" w:rsidRDefault="002969FD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010E3F">
        <w:rPr>
          <w:b/>
          <w:sz w:val="28"/>
          <w:lang w:val="lv-LV"/>
        </w:rPr>
        <w:t>Ministru kabineta noteikumu projekta</w:t>
      </w:r>
    </w:p>
    <w:p w:rsidR="002969FD" w:rsidRPr="00010E3F" w:rsidRDefault="002969FD" w:rsidP="008665A4">
      <w:pPr>
        <w:jc w:val="center"/>
        <w:rPr>
          <w:sz w:val="28"/>
          <w:lang w:val="lv-LV"/>
        </w:rPr>
      </w:pPr>
      <w:bookmarkStart w:id="0" w:name="OLE_LINK7"/>
      <w:bookmarkStart w:id="1" w:name="OLE_LINK8"/>
      <w:r>
        <w:rPr>
          <w:b/>
          <w:sz w:val="28"/>
          <w:szCs w:val="28"/>
          <w:lang w:val="lv-LV"/>
        </w:rPr>
        <w:t>„Grozījumi</w:t>
      </w:r>
      <w:r w:rsidRPr="00010E3F">
        <w:rPr>
          <w:b/>
          <w:sz w:val="28"/>
          <w:szCs w:val="28"/>
          <w:lang w:val="lv-LV"/>
        </w:rPr>
        <w:t xml:space="preserve"> Ministru kabineta 2007.gada 11.decembra</w:t>
      </w:r>
      <w:r w:rsidRPr="00010E3F">
        <w:rPr>
          <w:sz w:val="28"/>
          <w:szCs w:val="28"/>
          <w:lang w:val="lv-LV"/>
        </w:rPr>
        <w:t xml:space="preserve"> </w:t>
      </w:r>
      <w:r w:rsidRPr="00010E3F">
        <w:rPr>
          <w:b/>
          <w:bCs/>
          <w:sz w:val="28"/>
          <w:szCs w:val="28"/>
          <w:lang w:val="lv-LV"/>
        </w:rPr>
        <w:t>noteikumos Nr.859</w:t>
      </w:r>
      <w:r w:rsidRPr="00010E3F">
        <w:rPr>
          <w:sz w:val="28"/>
          <w:szCs w:val="28"/>
          <w:lang w:val="lv-LV"/>
        </w:rPr>
        <w:t xml:space="preserve"> </w:t>
      </w:r>
      <w:r w:rsidRPr="00431B58">
        <w:rPr>
          <w:b/>
          <w:sz w:val="28"/>
          <w:szCs w:val="28"/>
          <w:lang w:val="lv-LV"/>
        </w:rPr>
        <w:t>„</w:t>
      </w:r>
      <w:r w:rsidRPr="00010E3F">
        <w:rPr>
          <w:b/>
          <w:bCs/>
          <w:sz w:val="28"/>
          <w:szCs w:val="28"/>
          <w:lang w:val="lv-LV"/>
        </w:rPr>
        <w:t>Noteikumi par cirka dzīvnieka, dresūras dzīvnieka, cirka un dresūras numura viesizrāžu vietas reģistrācijas valsts nodevu””</w:t>
      </w:r>
    </w:p>
    <w:p w:rsidR="002969FD" w:rsidRPr="001125BA" w:rsidRDefault="002969FD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010E3F">
        <w:rPr>
          <w:b/>
          <w:sz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10E3F">
          <w:rPr>
            <w:b/>
            <w:sz w:val="28"/>
            <w:lang w:val="lv-LV"/>
          </w:rPr>
          <w:t>ziņojums</w:t>
        </w:r>
      </w:smartTag>
      <w:r w:rsidRPr="00010E3F">
        <w:rPr>
          <w:b/>
          <w:bCs/>
          <w:sz w:val="28"/>
          <w:lang w:val="lv-LV"/>
        </w:rPr>
        <w:t xml:space="preserve"> (anotācija)</w:t>
      </w:r>
    </w:p>
    <w:p w:rsidR="002969FD" w:rsidRPr="001125BA" w:rsidRDefault="002969FD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2969FD" w:rsidRPr="003F5C49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2969FD" w:rsidRPr="001125BA" w:rsidRDefault="002969FD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2969FD" w:rsidRPr="00ED6E47" w:rsidTr="007A0174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2969FD" w:rsidRPr="0057108B" w:rsidRDefault="002969FD" w:rsidP="001E69B1">
            <w:pPr>
              <w:jc w:val="both"/>
              <w:rPr>
                <w:lang w:val="lv-LV"/>
              </w:rPr>
            </w:pPr>
            <w:proofErr w:type="spellStart"/>
            <w:r w:rsidRPr="0057108B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57108B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7.1.apakšpunkts.</w:t>
            </w:r>
          </w:p>
        </w:tc>
      </w:tr>
      <w:tr w:rsidR="002969FD" w:rsidRPr="00ED6E47" w:rsidTr="005F4DBB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2969FD" w:rsidRPr="001125BA" w:rsidRDefault="002969FD" w:rsidP="00B35ADE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ir </w:t>
            </w:r>
            <w:r w:rsidRPr="002E5A31">
              <w:rPr>
                <w:lang w:val="lv-LV"/>
              </w:rPr>
              <w:t>nepieciešams veikt grozījumu</w:t>
            </w:r>
            <w:r>
              <w:rPr>
                <w:lang w:val="lv-LV"/>
              </w:rPr>
              <w:t>s</w:t>
            </w:r>
            <w:r w:rsidRPr="002E5A31">
              <w:rPr>
                <w:lang w:val="lv-LV"/>
              </w:rPr>
              <w:t xml:space="preserve"> Ministru kabineta 2007.gada 11.decembra </w:t>
            </w:r>
            <w:r w:rsidRPr="002E5A31">
              <w:rPr>
                <w:bCs/>
                <w:lang w:val="lv-LV"/>
              </w:rPr>
              <w:t>noteikumos Nr.859</w:t>
            </w:r>
            <w:r w:rsidRPr="002E5A31">
              <w:rPr>
                <w:lang w:val="lv-LV"/>
              </w:rPr>
              <w:t xml:space="preserve"> „</w:t>
            </w:r>
            <w:r w:rsidRPr="002E5A31">
              <w:rPr>
                <w:bCs/>
                <w:lang w:val="lv-LV"/>
              </w:rPr>
              <w:t>Noteikumi par cirka dzīvnieka, dresūras dzīvnieka, cirka un dresūras numura viesizrāžu vietas reģistrācijas valsts nodevu” (turpmāk – noteikumi Nr.859),</w:t>
            </w:r>
            <w:r w:rsidRPr="002E5A31">
              <w:rPr>
                <w:lang w:val="lv-LV"/>
              </w:rPr>
              <w:t xml:space="preserve"> aizstājot t</w:t>
            </w:r>
            <w:r>
              <w:rPr>
                <w:lang w:val="lv-LV"/>
              </w:rPr>
              <w:t>o tekstā</w:t>
            </w:r>
            <w:r w:rsidRPr="002E5A31">
              <w:rPr>
                <w:lang w:val="lv-LV"/>
              </w:rPr>
              <w:t xml:space="preserve"> latus ar </w:t>
            </w:r>
            <w:proofErr w:type="spellStart"/>
            <w:r w:rsidRPr="002E5A31">
              <w:rPr>
                <w:i/>
                <w:iCs/>
                <w:lang w:val="lv-LV"/>
              </w:rPr>
              <w:t>euro</w:t>
            </w:r>
            <w:proofErr w:type="spellEnd"/>
            <w:r w:rsidRPr="002E5A31">
              <w:rPr>
                <w:lang w:val="lv-LV"/>
              </w:rPr>
              <w:t>.</w:t>
            </w:r>
          </w:p>
        </w:tc>
      </w:tr>
      <w:tr w:rsidR="002969FD" w:rsidRPr="001125BA" w:rsidTr="005F4DBB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2969FD" w:rsidRPr="001125BA" w:rsidRDefault="002969FD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2969FD" w:rsidRPr="003F5C49" w:rsidTr="005F4DBB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2969FD" w:rsidRPr="001D2815" w:rsidRDefault="002969FD" w:rsidP="00B50E47">
            <w:pPr>
              <w:jc w:val="both"/>
              <w:rPr>
                <w:lang w:val="lv-LV"/>
              </w:rPr>
            </w:pPr>
            <w:r w:rsidRPr="001F4794">
              <w:rPr>
                <w:lang w:val="lv-LV"/>
              </w:rPr>
              <w:t xml:space="preserve">Sagatavots Ministru kabineta noteikumu projekts </w:t>
            </w:r>
            <w:r>
              <w:rPr>
                <w:bCs/>
                <w:lang w:val="lv-LV"/>
              </w:rPr>
              <w:t>„Grozījumi</w:t>
            </w:r>
            <w:r w:rsidRPr="001F4794">
              <w:rPr>
                <w:bCs/>
                <w:lang w:val="lv-LV"/>
              </w:rPr>
              <w:t xml:space="preserve"> Ministru kabineta </w:t>
            </w:r>
            <w:r w:rsidRPr="001F4794">
              <w:rPr>
                <w:lang w:val="lv-LV"/>
              </w:rPr>
              <w:t xml:space="preserve">2007.gada 11.decembra </w:t>
            </w:r>
            <w:r w:rsidRPr="001F4794">
              <w:rPr>
                <w:bCs/>
                <w:lang w:val="lv-LV"/>
              </w:rPr>
              <w:t>noteikumos Nr.859</w:t>
            </w:r>
            <w:r w:rsidRPr="001F4794">
              <w:rPr>
                <w:lang w:val="lv-LV"/>
              </w:rPr>
              <w:t xml:space="preserve"> „</w:t>
            </w:r>
            <w:r w:rsidRPr="001F4794">
              <w:rPr>
                <w:bCs/>
                <w:lang w:val="lv-LV"/>
              </w:rPr>
              <w:t>Noteikumi par cirka dzīvnieka, dresūras dzīvnieka, cirka un dresūras numura viesizrāžu vietas reģistrācijas valsts nodevu”” (tur</w:t>
            </w:r>
            <w:r>
              <w:rPr>
                <w:bCs/>
                <w:lang w:val="lv-LV"/>
              </w:rPr>
              <w:t>pmāk – noteikumu projekts), kuru</w:t>
            </w:r>
            <w:r w:rsidRPr="001F4794">
              <w:rPr>
                <w:bCs/>
                <w:lang w:val="lv-LV"/>
              </w:rPr>
              <w:t xml:space="preserve"> mērķis </w:t>
            </w:r>
            <w:r w:rsidRPr="001F4794">
              <w:rPr>
                <w:lang w:val="lv-LV"/>
              </w:rPr>
              <w:t xml:space="preserve">ir pielāgot noteikumus Nr.859 </w:t>
            </w:r>
            <w:proofErr w:type="spellStart"/>
            <w:r w:rsidRPr="001F4794">
              <w:rPr>
                <w:i/>
                <w:iCs/>
                <w:lang w:val="lv-LV"/>
              </w:rPr>
              <w:t>euro</w:t>
            </w:r>
            <w:proofErr w:type="spellEnd"/>
            <w:r w:rsidRPr="001F4794">
              <w:rPr>
                <w:i/>
                <w:iCs/>
                <w:lang w:val="lv-LV"/>
              </w:rPr>
              <w:t xml:space="preserve"> </w:t>
            </w:r>
            <w:r w:rsidRPr="001F4794">
              <w:rPr>
                <w:lang w:val="lv-LV"/>
              </w:rPr>
              <w:t>ieviešanai.</w:t>
            </w:r>
          </w:p>
          <w:p w:rsidR="002969FD" w:rsidRPr="003F5C49" w:rsidRDefault="002969FD" w:rsidP="007B1EF7">
            <w:pPr>
              <w:pStyle w:val="Default"/>
              <w:jc w:val="both"/>
            </w:pPr>
            <w:r>
              <w:t>Noteikumu</w:t>
            </w:r>
            <w:r w:rsidRPr="001D2815">
              <w:t xml:space="preserve"> projekts paredz aizstāt noteikum</w:t>
            </w:r>
            <w:r>
              <w:t>u</w:t>
            </w:r>
            <w:r w:rsidRPr="001D2815">
              <w:t xml:space="preserve"> Nr.</w:t>
            </w:r>
            <w:r>
              <w:t xml:space="preserve">859 tekstā </w:t>
            </w:r>
            <w:r w:rsidRPr="001D2815">
              <w:t xml:space="preserve">latus ar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atbilstoši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ieviešanas kārtības likuma 6.pantā </w:t>
            </w:r>
            <w:r>
              <w:t>paredzē</w:t>
            </w:r>
            <w:bookmarkStart w:id="2" w:name="_GoBack"/>
            <w:bookmarkEnd w:id="2"/>
            <w:r w:rsidRPr="001D2815">
              <w:t>tajam principam, kas balstīts uz Eiropas Savienības Padomes noteikto valūtas maiņas kursu un matemā</w:t>
            </w:r>
            <w:r>
              <w:t xml:space="preserve">tiskās </w:t>
            </w:r>
            <w:r w:rsidRPr="003F5C49">
              <w:t>noapaļošanas principiem.</w:t>
            </w:r>
          </w:p>
          <w:p w:rsidR="002969FD" w:rsidRDefault="002969FD" w:rsidP="007B1EF7">
            <w:pPr>
              <w:pStyle w:val="Default"/>
              <w:jc w:val="both"/>
            </w:pPr>
            <w:r w:rsidRPr="003F5C49">
              <w:t xml:space="preserve"> Noteikumu projektā paredzēts, ka skaidras naudas maksājumiem, kurus </w:t>
            </w:r>
            <w:proofErr w:type="spellStart"/>
            <w:r w:rsidRPr="003F5C49">
              <w:rPr>
                <w:i/>
              </w:rPr>
              <w:t>Euro</w:t>
            </w:r>
            <w:proofErr w:type="spellEnd"/>
            <w:r w:rsidRPr="003F5C49">
              <w:rPr>
                <w:i/>
              </w:rPr>
              <w:t xml:space="preserve"> </w:t>
            </w:r>
            <w:r w:rsidRPr="003F5C49">
              <w:t>ieviešanas kārtības likumā noteiktajā vienlaicīgas apgrozības periodā veic latos, piemēro tiesību normas, kas bija spēkā līdz 2013. gada 31.decembrim.</w:t>
            </w:r>
          </w:p>
          <w:p w:rsidR="002969FD" w:rsidRDefault="002969FD" w:rsidP="00B50E4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Grozītā tiesību norma</w:t>
            </w:r>
            <w:r w:rsidRPr="001D2815">
              <w:rPr>
                <w:lang w:val="lv-LV"/>
              </w:rPr>
              <w:t xml:space="preserve">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</w:t>
            </w:r>
            <w:r>
              <w:rPr>
                <w:lang w:val="lv-LV"/>
              </w:rPr>
              <w:t>lūtā nav personām nelabvēlīgāka</w:t>
            </w:r>
            <w:r w:rsidRPr="001D2815">
              <w:rPr>
                <w:lang w:val="lv-LV"/>
              </w:rPr>
              <w:t xml:space="preserve"> par sākotnējo tiesību normu latos un nerada vērā ņemamu negatīvu ietekmi uz valsts budž</w:t>
            </w:r>
            <w:r>
              <w:rPr>
                <w:lang w:val="lv-LV"/>
              </w:rPr>
              <w:t>etu.</w:t>
            </w:r>
          </w:p>
          <w:p w:rsidR="002969FD" w:rsidRDefault="002969FD" w:rsidP="00B50E47">
            <w:pPr>
              <w:jc w:val="both"/>
              <w:rPr>
                <w:lang w:val="lv-LV"/>
              </w:rPr>
            </w:pPr>
          </w:p>
          <w:p w:rsidR="002969FD" w:rsidRPr="001125BA" w:rsidRDefault="002969FD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2969FD" w:rsidRPr="001125BA" w:rsidTr="005F4DBB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2969FD" w:rsidRPr="001125BA" w:rsidRDefault="002969FD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2969FD" w:rsidRPr="00ED6E47" w:rsidTr="005F4DBB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2969FD" w:rsidRPr="00CB1EA0" w:rsidRDefault="002969FD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2969FD" w:rsidRPr="00ED6E47" w:rsidTr="00E37D2C">
        <w:trPr>
          <w:jc w:val="center"/>
        </w:trPr>
        <w:tc>
          <w:tcPr>
            <w:tcW w:w="327" w:type="pct"/>
          </w:tcPr>
          <w:p w:rsidR="002969FD" w:rsidRPr="001125BA" w:rsidRDefault="002969FD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lastRenderedPageBreak/>
              <w:t>7.</w:t>
            </w:r>
          </w:p>
        </w:tc>
        <w:tc>
          <w:tcPr>
            <w:tcW w:w="1164" w:type="pct"/>
          </w:tcPr>
          <w:p w:rsidR="002969FD" w:rsidRPr="001125BA" w:rsidRDefault="002969FD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2969FD" w:rsidRPr="00D3613D" w:rsidRDefault="002969FD" w:rsidP="00D3613D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2969FD" w:rsidRPr="001125BA" w:rsidRDefault="002969FD">
      <w:pPr>
        <w:rPr>
          <w:lang w:val="lv-LV"/>
        </w:rPr>
      </w:pPr>
    </w:p>
    <w:p w:rsidR="002969FD" w:rsidRPr="008F4535" w:rsidRDefault="002969FD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2969FD" w:rsidRPr="001125BA" w:rsidRDefault="002969FD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2969FD" w:rsidRPr="00ED6E47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2969FD" w:rsidRPr="003F5C49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urn:schemas-microsoft-com:office:smarttags" w:element="PersonName">
              <w:smartTag w:uri="schemas-tilde-lv/tildestengine" w:element="currency2">
                <w:smartTagPr>
                  <w:attr w:name="currency_id" w:val="48"/>
                  <w:attr w:name="currency_key" w:val="LVL"/>
                  <w:attr w:name="currency_value" w:val="."/>
                  <w:attr w:name="currency_text" w:val="latu"/>
                </w:smartTagPr>
                <w:r w:rsidRPr="001125BA">
                  <w:rPr>
                    <w:lang w:val="lv-LV"/>
                  </w:rPr>
                  <w:t>. latu</w:t>
                </w:r>
              </w:smartTag>
            </w:smartTag>
            <w:r w:rsidRPr="001125BA">
              <w:rPr>
                <w:lang w:val="lv-LV"/>
              </w:rPr>
              <w:t>)</w:t>
            </w:r>
          </w:p>
        </w:tc>
      </w:tr>
      <w:tr w:rsidR="002969FD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2969FD" w:rsidRPr="003F5C49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DE66F8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 xml:space="preserve">3. </w:t>
            </w:r>
            <w:smartTag w:uri="urn:schemas-microsoft-com:office:smarttags" w:element="PersonName">
              <w:r w:rsidRPr="001125BA">
                <w:rPr>
                  <w:lang w:val="lv-LV"/>
                </w:rPr>
                <w:t>Finans</w:t>
              </w:r>
            </w:smartTag>
            <w:r w:rsidRPr="001125BA">
              <w:rPr>
                <w:lang w:val="lv-LV"/>
              </w:rPr>
              <w:t>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8B4BF0" w:rsidRDefault="002969FD" w:rsidP="00A2395A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2969FD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1125BA" w:rsidRDefault="002969FD" w:rsidP="008665A4">
            <w:pPr>
              <w:jc w:val="center"/>
              <w:rPr>
                <w:lang w:val="lv-LV"/>
              </w:rPr>
            </w:pPr>
          </w:p>
        </w:tc>
      </w:tr>
      <w:tr w:rsidR="002969FD" w:rsidRPr="00ED6E47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9FD" w:rsidRPr="001125BA" w:rsidRDefault="002969FD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969FD" w:rsidRPr="00AA0DD7" w:rsidRDefault="002969FD" w:rsidP="00AA0DD7">
            <w:pPr>
              <w:jc w:val="both"/>
              <w:rPr>
                <w:lang w:val="lv-LV"/>
              </w:rPr>
            </w:pPr>
            <w:r>
              <w:rPr>
                <w:iCs/>
                <w:lang w:val="lv-LV"/>
              </w:rPr>
              <w:t>Grozījumu</w:t>
            </w:r>
            <w:r w:rsidRPr="00AA0DD7">
              <w:rPr>
                <w:iCs/>
                <w:lang w:val="lv-LV"/>
              </w:rPr>
              <w:t xml:space="preserve">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2969FD" w:rsidRPr="001125BA" w:rsidRDefault="002969FD" w:rsidP="004F5785">
      <w:pPr>
        <w:rPr>
          <w:lang w:val="lv-LV"/>
        </w:rPr>
      </w:pPr>
    </w:p>
    <w:p w:rsidR="002969FD" w:rsidRPr="001125BA" w:rsidRDefault="002969FD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2969FD" w:rsidRPr="001125BA" w:rsidRDefault="002969FD" w:rsidP="008665A4">
      <w:pPr>
        <w:rPr>
          <w:lang w:val="lv-LV" w:eastAsia="lv-LV"/>
        </w:rPr>
      </w:pPr>
    </w:p>
    <w:p w:rsidR="002969FD" w:rsidRPr="001125BA" w:rsidRDefault="002969FD">
      <w:pPr>
        <w:rPr>
          <w:lang w:val="lv-LV"/>
        </w:rPr>
      </w:pPr>
    </w:p>
    <w:p w:rsidR="002969FD" w:rsidRPr="001125BA" w:rsidRDefault="002969FD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2969FD" w:rsidRPr="001125BA" w:rsidRDefault="002969FD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  <w:t>L.Straujuma</w:t>
      </w: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ED6E47" w:rsidRDefault="00ED6E47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Default="002969FD" w:rsidP="008665A4">
      <w:pPr>
        <w:rPr>
          <w:lang w:val="lv-LV"/>
        </w:rPr>
      </w:pPr>
    </w:p>
    <w:p w:rsidR="002969FD" w:rsidRPr="00D60432" w:rsidRDefault="002969FD" w:rsidP="002E5A31">
      <w:pPr>
        <w:pStyle w:val="Nosaukums"/>
        <w:jc w:val="both"/>
        <w:rPr>
          <w:b w:val="0"/>
          <w:color w:val="000000"/>
          <w:sz w:val="20"/>
        </w:rPr>
      </w:pPr>
    </w:p>
    <w:p w:rsidR="00D67DA0" w:rsidRDefault="00D67DA0" w:rsidP="002E5A31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2013.07.10. 16:00</w:t>
      </w:r>
    </w:p>
    <w:p w:rsidR="00D67DA0" w:rsidRPr="00D67DA0" w:rsidRDefault="00D67DA0" w:rsidP="002E5A31">
      <w:pPr>
        <w:pStyle w:val="Nosaukums"/>
        <w:jc w:val="left"/>
        <w:rPr>
          <w:b w:val="0"/>
          <w:sz w:val="20"/>
        </w:rPr>
      </w:pPr>
      <w:fldSimple w:instr=" NUMWORDS   \* MERGEFORMAT ">
        <w:r w:rsidRPr="00D67DA0">
          <w:rPr>
            <w:b w:val="0"/>
            <w:noProof/>
            <w:sz w:val="20"/>
          </w:rPr>
          <w:t>556</w:t>
        </w:r>
      </w:fldSimple>
    </w:p>
    <w:p w:rsidR="002969FD" w:rsidRPr="002E5A31" w:rsidRDefault="002969FD" w:rsidP="002E5A31">
      <w:pPr>
        <w:pStyle w:val="Nosaukums"/>
        <w:jc w:val="left"/>
        <w:rPr>
          <w:b w:val="0"/>
          <w:color w:val="000000"/>
          <w:sz w:val="20"/>
        </w:rPr>
      </w:pPr>
      <w:proofErr w:type="spellStart"/>
      <w:r w:rsidRPr="002E5A31">
        <w:rPr>
          <w:b w:val="0"/>
          <w:color w:val="000000"/>
          <w:sz w:val="20"/>
        </w:rPr>
        <w:t>I.Krēgere</w:t>
      </w:r>
      <w:proofErr w:type="spellEnd"/>
    </w:p>
    <w:p w:rsidR="002969FD" w:rsidRPr="002E5A31" w:rsidRDefault="002969FD" w:rsidP="002E5A31">
      <w:pPr>
        <w:pStyle w:val="Nosaukums"/>
        <w:tabs>
          <w:tab w:val="left" w:pos="3500"/>
        </w:tabs>
        <w:jc w:val="left"/>
        <w:rPr>
          <w:b w:val="0"/>
          <w:color w:val="000000"/>
          <w:sz w:val="20"/>
        </w:rPr>
      </w:pPr>
      <w:r w:rsidRPr="002E5A31">
        <w:rPr>
          <w:b w:val="0"/>
          <w:sz w:val="20"/>
        </w:rPr>
        <w:t>67027639, Ilze.Kregere@zm.gov.lv</w:t>
      </w:r>
    </w:p>
    <w:sectPr w:rsidR="002969FD" w:rsidRPr="002E5A31" w:rsidSect="00ED6E4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A2" w:rsidRDefault="00BF1FA2">
      <w:r>
        <w:separator/>
      </w:r>
    </w:p>
  </w:endnote>
  <w:endnote w:type="continuationSeparator" w:id="0">
    <w:p w:rsidR="00BF1FA2" w:rsidRDefault="00BF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FD" w:rsidRPr="002E5A31" w:rsidRDefault="002969FD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smartTag w:uri="urn:schemas-microsoft-com:office:smarttags" w:element="PersonName">
      <w:r w:rsidRPr="002E5A31">
        <w:rPr>
          <w:sz w:val="20"/>
        </w:rPr>
        <w:t>ZM</w:t>
      </w:r>
    </w:smartTag>
    <w:r>
      <w:rPr>
        <w:sz w:val="20"/>
      </w:rPr>
      <w:t>An</w:t>
    </w:r>
    <w:r w:rsidRPr="002E5A31">
      <w:rPr>
        <w:sz w:val="20"/>
      </w:rPr>
      <w:t>ot_</w:t>
    </w:r>
    <w:r>
      <w:rPr>
        <w:sz w:val="20"/>
      </w:rPr>
      <w:t>050613</w:t>
    </w:r>
    <w:r w:rsidRPr="002E5A31">
      <w:rPr>
        <w:sz w:val="20"/>
      </w:rPr>
      <w:t xml:space="preserve">_cirks; </w:t>
    </w:r>
    <w:r w:rsidRPr="002E5A31">
      <w:rPr>
        <w:sz w:val="20"/>
        <w:lang w:val="lv-LV"/>
      </w:rPr>
      <w:t>Ministru kabineta noteikumu projekta</w:t>
    </w:r>
    <w:r w:rsidRPr="002E5A31">
      <w:rPr>
        <w:sz w:val="20"/>
      </w:rPr>
      <w:t xml:space="preserve"> </w:t>
    </w:r>
    <w:r>
      <w:rPr>
        <w:sz w:val="20"/>
        <w:lang w:val="lv-LV"/>
      </w:rPr>
      <w:t>„Grozījumi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 xml:space="preserve">Ministru kabineta </w:t>
    </w:r>
    <w:r w:rsidRPr="002E5A31">
      <w:rPr>
        <w:sz w:val="20"/>
        <w:lang w:val="lv-LV"/>
      </w:rPr>
      <w:t xml:space="preserve">2007.gada 11.decembra </w:t>
    </w:r>
    <w:r w:rsidRPr="002E5A31">
      <w:rPr>
        <w:bCs/>
        <w:sz w:val="20"/>
        <w:lang w:val="lv-LV"/>
      </w:rPr>
      <w:t>noteikumos Nr.859</w:t>
    </w:r>
    <w:r w:rsidRPr="002E5A31">
      <w:rPr>
        <w:sz w:val="20"/>
        <w:lang w:val="lv-LV"/>
      </w:rPr>
      <w:t xml:space="preserve"> „</w:t>
    </w:r>
    <w:r w:rsidRPr="002E5A31">
      <w:rPr>
        <w:bCs/>
        <w:sz w:val="20"/>
        <w:lang w:val="lv-LV"/>
      </w:rPr>
      <w:t>Noteikumi par cirka dzīvnieka, dresūras dzīvnieka, cirka un dresūras numura viesizrāžu vietas reģistrācijas valsts nodevu””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FD" w:rsidRPr="00E63120" w:rsidRDefault="002969FD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smartTag w:uri="urn:schemas-microsoft-com:office:smarttags" w:element="PersonName">
      <w:r w:rsidRPr="002E5A31">
        <w:rPr>
          <w:sz w:val="20"/>
        </w:rPr>
        <w:t>ZM</w:t>
      </w:r>
    </w:smartTag>
    <w:r>
      <w:rPr>
        <w:sz w:val="20"/>
      </w:rPr>
      <w:t>An</w:t>
    </w:r>
    <w:r w:rsidRPr="002E5A31">
      <w:rPr>
        <w:sz w:val="20"/>
      </w:rPr>
      <w:t>ot_</w:t>
    </w:r>
    <w:r>
      <w:rPr>
        <w:sz w:val="20"/>
      </w:rPr>
      <w:t>0506</w:t>
    </w:r>
    <w:r w:rsidRPr="002E5A31">
      <w:rPr>
        <w:sz w:val="20"/>
      </w:rPr>
      <w:t xml:space="preserve">13_cirks; </w:t>
    </w:r>
    <w:r w:rsidRPr="002E5A31">
      <w:rPr>
        <w:sz w:val="20"/>
        <w:lang w:val="lv-LV"/>
      </w:rPr>
      <w:t>Ministru kabineta noteikumu projekta</w:t>
    </w:r>
    <w:r w:rsidRPr="002E5A31">
      <w:rPr>
        <w:sz w:val="20"/>
      </w:rPr>
      <w:t xml:space="preserve"> </w:t>
    </w:r>
    <w:r>
      <w:rPr>
        <w:sz w:val="20"/>
        <w:lang w:val="lv-LV"/>
      </w:rPr>
      <w:t>„Grozījumi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 xml:space="preserve">Ministru kabineta </w:t>
    </w:r>
    <w:r w:rsidRPr="002E5A31">
      <w:rPr>
        <w:sz w:val="20"/>
        <w:lang w:val="lv-LV"/>
      </w:rPr>
      <w:t xml:space="preserve">2007.gada 11.decembra </w:t>
    </w:r>
    <w:r w:rsidRPr="002E5A31">
      <w:rPr>
        <w:bCs/>
        <w:sz w:val="20"/>
        <w:lang w:val="lv-LV"/>
      </w:rPr>
      <w:t>noteikumos Nr.859</w:t>
    </w:r>
    <w:r w:rsidRPr="002E5A31">
      <w:rPr>
        <w:sz w:val="20"/>
        <w:lang w:val="lv-LV"/>
      </w:rPr>
      <w:t xml:space="preserve"> „</w:t>
    </w:r>
    <w:r w:rsidRPr="002E5A31">
      <w:rPr>
        <w:bCs/>
        <w:sz w:val="20"/>
        <w:lang w:val="lv-LV"/>
      </w:rPr>
      <w:t>Noteikumi par cirka dzīvnieka, dresūras dzīvnieka, cirka un dresūras numura viesizrāžu vietas reģistrācijas valsts nodevu””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A2" w:rsidRDefault="00BF1FA2">
      <w:r>
        <w:separator/>
      </w:r>
    </w:p>
  </w:footnote>
  <w:footnote w:type="continuationSeparator" w:id="0">
    <w:p w:rsidR="00BF1FA2" w:rsidRDefault="00BF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FD" w:rsidRDefault="008B5F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969F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969FD" w:rsidRDefault="002969F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FD" w:rsidRDefault="008B5F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969F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7DA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2969FD" w:rsidRDefault="002969F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0540"/>
    <w:rsid w:val="00010E3F"/>
    <w:rsid w:val="00011500"/>
    <w:rsid w:val="00011D65"/>
    <w:rsid w:val="0001274B"/>
    <w:rsid w:val="00014E63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2ED6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6F47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2CC0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67A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69B1"/>
    <w:rsid w:val="001E7670"/>
    <w:rsid w:val="001F1642"/>
    <w:rsid w:val="001F373B"/>
    <w:rsid w:val="001F4794"/>
    <w:rsid w:val="001F5256"/>
    <w:rsid w:val="001F5C16"/>
    <w:rsid w:val="001F6C37"/>
    <w:rsid w:val="002027AF"/>
    <w:rsid w:val="00203134"/>
    <w:rsid w:val="002043DB"/>
    <w:rsid w:val="00205C1E"/>
    <w:rsid w:val="0020639A"/>
    <w:rsid w:val="0020769B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5D5"/>
    <w:rsid w:val="00264E6E"/>
    <w:rsid w:val="002669C3"/>
    <w:rsid w:val="00267A04"/>
    <w:rsid w:val="00270E29"/>
    <w:rsid w:val="00271114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69FD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0122"/>
    <w:rsid w:val="002E1E2F"/>
    <w:rsid w:val="002E284E"/>
    <w:rsid w:val="002E2E28"/>
    <w:rsid w:val="002E3FFA"/>
    <w:rsid w:val="002E54A0"/>
    <w:rsid w:val="002E5A31"/>
    <w:rsid w:val="002E7226"/>
    <w:rsid w:val="002E7729"/>
    <w:rsid w:val="002F01BA"/>
    <w:rsid w:val="002F0C7E"/>
    <w:rsid w:val="002F10A4"/>
    <w:rsid w:val="002F19B5"/>
    <w:rsid w:val="002F1B60"/>
    <w:rsid w:val="002F248E"/>
    <w:rsid w:val="002F307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46E"/>
    <w:rsid w:val="003A58B9"/>
    <w:rsid w:val="003A5A85"/>
    <w:rsid w:val="003A61A3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40E"/>
    <w:rsid w:val="003E584D"/>
    <w:rsid w:val="003E7379"/>
    <w:rsid w:val="003F02D7"/>
    <w:rsid w:val="003F1155"/>
    <w:rsid w:val="003F1B23"/>
    <w:rsid w:val="003F29A1"/>
    <w:rsid w:val="003F2F3C"/>
    <w:rsid w:val="003F3FBE"/>
    <w:rsid w:val="003F57F2"/>
    <w:rsid w:val="003F5C49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1B58"/>
    <w:rsid w:val="004326DF"/>
    <w:rsid w:val="00432FF1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68FC"/>
    <w:rsid w:val="004D7188"/>
    <w:rsid w:val="004E0F9E"/>
    <w:rsid w:val="004E1558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0F58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08B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1D51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1D9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3FE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D65B2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0E1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20BA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4A6C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923A2"/>
    <w:rsid w:val="007A0174"/>
    <w:rsid w:val="007A0796"/>
    <w:rsid w:val="007A1125"/>
    <w:rsid w:val="007A2810"/>
    <w:rsid w:val="007A3791"/>
    <w:rsid w:val="007A3B9F"/>
    <w:rsid w:val="007A5047"/>
    <w:rsid w:val="007A514C"/>
    <w:rsid w:val="007A5B59"/>
    <w:rsid w:val="007A6FA0"/>
    <w:rsid w:val="007B05A5"/>
    <w:rsid w:val="007B1EF7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77D7F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339D"/>
    <w:rsid w:val="008A4B6E"/>
    <w:rsid w:val="008A4C84"/>
    <w:rsid w:val="008A54A5"/>
    <w:rsid w:val="008B0F1E"/>
    <w:rsid w:val="008B1843"/>
    <w:rsid w:val="008B248C"/>
    <w:rsid w:val="008B43CE"/>
    <w:rsid w:val="008B4BF0"/>
    <w:rsid w:val="008B5F76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02986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36EDC"/>
    <w:rsid w:val="00937AE7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4EA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979F3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140"/>
    <w:rsid w:val="009F3D1F"/>
    <w:rsid w:val="009F4C7E"/>
    <w:rsid w:val="009F5B68"/>
    <w:rsid w:val="009F6C26"/>
    <w:rsid w:val="009F7BCA"/>
    <w:rsid w:val="009F7CE3"/>
    <w:rsid w:val="00A0049C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3658"/>
    <w:rsid w:val="00A44457"/>
    <w:rsid w:val="00A44EA9"/>
    <w:rsid w:val="00A51F28"/>
    <w:rsid w:val="00A604F2"/>
    <w:rsid w:val="00A618F6"/>
    <w:rsid w:val="00A6353D"/>
    <w:rsid w:val="00A651A8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12D3"/>
    <w:rsid w:val="00AB3AF8"/>
    <w:rsid w:val="00AB5A60"/>
    <w:rsid w:val="00AC2439"/>
    <w:rsid w:val="00AC7264"/>
    <w:rsid w:val="00AD0312"/>
    <w:rsid w:val="00AD3AF0"/>
    <w:rsid w:val="00AD3D49"/>
    <w:rsid w:val="00AD3FDA"/>
    <w:rsid w:val="00AD6149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0674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1FA2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091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18AB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3613D"/>
    <w:rsid w:val="00D45515"/>
    <w:rsid w:val="00D47A2C"/>
    <w:rsid w:val="00D509B4"/>
    <w:rsid w:val="00D51CC0"/>
    <w:rsid w:val="00D52BBF"/>
    <w:rsid w:val="00D54624"/>
    <w:rsid w:val="00D54AA4"/>
    <w:rsid w:val="00D5571E"/>
    <w:rsid w:val="00D57613"/>
    <w:rsid w:val="00D60432"/>
    <w:rsid w:val="00D60B64"/>
    <w:rsid w:val="00D60BAA"/>
    <w:rsid w:val="00D62B78"/>
    <w:rsid w:val="00D63049"/>
    <w:rsid w:val="00D6499C"/>
    <w:rsid w:val="00D64B8F"/>
    <w:rsid w:val="00D67DA0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391E"/>
    <w:rsid w:val="00DC5DA0"/>
    <w:rsid w:val="00DC5E91"/>
    <w:rsid w:val="00DD1D3A"/>
    <w:rsid w:val="00DD4605"/>
    <w:rsid w:val="00DD4BEF"/>
    <w:rsid w:val="00DD4DBC"/>
    <w:rsid w:val="00DD60C1"/>
    <w:rsid w:val="00DD75C0"/>
    <w:rsid w:val="00DE0D42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3D54"/>
    <w:rsid w:val="00E850A5"/>
    <w:rsid w:val="00E85136"/>
    <w:rsid w:val="00E8584F"/>
    <w:rsid w:val="00E868CD"/>
    <w:rsid w:val="00E90845"/>
    <w:rsid w:val="00E91F3C"/>
    <w:rsid w:val="00E926A1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D6E47"/>
    <w:rsid w:val="00EE0E6E"/>
    <w:rsid w:val="00EE2A1F"/>
    <w:rsid w:val="00EE2D65"/>
    <w:rsid w:val="00EE34B2"/>
    <w:rsid w:val="00EE5A45"/>
    <w:rsid w:val="00EE5B1D"/>
    <w:rsid w:val="00EE6AA3"/>
    <w:rsid w:val="00EF22FA"/>
    <w:rsid w:val="00EF37E8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753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2E99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5DA5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43658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A4365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A4365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A43658"/>
    <w:rPr>
      <w:rFonts w:ascii="Calibri" w:hAnsi="Calibri" w:cs="Times New Roman"/>
      <w:b/>
      <w:bCs/>
      <w:sz w:val="28"/>
      <w:szCs w:val="28"/>
      <w:lang w:val="en-GB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A43658"/>
    <w:rPr>
      <w:rFonts w:cs="Times New Roman"/>
      <w:sz w:val="24"/>
      <w:szCs w:val="24"/>
      <w:lang w:val="en-GB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A43658"/>
    <w:rPr>
      <w:rFonts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43658"/>
    <w:rPr>
      <w:rFonts w:cs="Times New Roman"/>
      <w:sz w:val="2"/>
      <w:lang w:val="en-GB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A43658"/>
    <w:rPr>
      <w:rFonts w:cs="Times New Roman"/>
      <w:sz w:val="24"/>
      <w:szCs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A43658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Noklusjumarindkopasfonts"/>
    <w:link w:val="Nosaukums"/>
    <w:uiPriority w:val="99"/>
    <w:locked/>
    <w:rsid w:val="00A43658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aukumsRakstz">
    <w:name w:val="Nosaukums Rakstz."/>
    <w:link w:val="Nosaukums"/>
    <w:uiPriority w:val="99"/>
    <w:locked/>
    <w:rsid w:val="002E5A31"/>
    <w:rPr>
      <w:b/>
      <w:sz w:val="28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3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76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76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76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76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76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7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7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76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7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76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76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76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8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4025</Characters>
  <Application>Microsoft Office Word</Application>
  <DocSecurity>0</DocSecurity>
  <Lines>335</Lines>
  <Paragraphs>92</Paragraphs>
  <ScaleCrop>false</ScaleCrop>
  <Company>Zemkopības ministrija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11.decembra noteikumos Nr.859 „Noteikumi par cirka dzīvnieka, dresūras dzīvnieka, cirka un dresūras numura viesizrāžu vietas reģistrācijas valsts nodevu””</dc:title>
  <dc:subject>Anotācija</dc:subject>
  <dc:creator>Ilze Krēgere</dc:creator>
  <cp:keywords/>
  <dc:description>Ilze.Kregere@zm.gov.lv, 67027639</dc:description>
  <cp:lastModifiedBy>Renārs Žagars</cp:lastModifiedBy>
  <cp:revision>8</cp:revision>
  <cp:lastPrinted>2013-05-16T06:16:00Z</cp:lastPrinted>
  <dcterms:created xsi:type="dcterms:W3CDTF">2013-07-10T12:04:00Z</dcterms:created>
  <dcterms:modified xsi:type="dcterms:W3CDTF">2013-07-10T13:00:00Z</dcterms:modified>
</cp:coreProperties>
</file>