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D5212E" w:rsidRDefault="00FA2E7A" w:rsidP="00214094">
      <w:pPr>
        <w:pStyle w:val="naislab"/>
        <w:spacing w:before="0" w:after="0"/>
        <w:jc w:val="center"/>
        <w:outlineLvl w:val="0"/>
        <w:rPr>
          <w:b/>
          <w:color w:val="000000" w:themeColor="text1"/>
          <w:sz w:val="28"/>
          <w:szCs w:val="28"/>
        </w:rPr>
      </w:pPr>
      <w:bookmarkStart w:id="0" w:name="OLE_LINK1"/>
      <w:bookmarkStart w:id="1" w:name="OLE_LINK2"/>
      <w:bookmarkStart w:id="2" w:name="OLE_LINK11"/>
      <w:r w:rsidRPr="00D5212E">
        <w:rPr>
          <w:b/>
          <w:color w:val="000000" w:themeColor="text1"/>
          <w:sz w:val="28"/>
          <w:szCs w:val="28"/>
        </w:rPr>
        <w:t xml:space="preserve">Noteikumu projekta </w:t>
      </w:r>
      <w:r w:rsidR="002472E7" w:rsidRPr="00D5212E">
        <w:rPr>
          <w:b/>
          <w:color w:val="000000" w:themeColor="text1"/>
          <w:sz w:val="28"/>
          <w:szCs w:val="28"/>
        </w:rPr>
        <w:t>„</w:t>
      </w:r>
      <w:r w:rsidR="00B00D6D" w:rsidRPr="00D5212E">
        <w:rPr>
          <w:b/>
          <w:color w:val="000000" w:themeColor="text1"/>
          <w:sz w:val="28"/>
          <w:szCs w:val="28"/>
        </w:rPr>
        <w:t>Atmežošanas kompensācijas noteikšanas kritēriji, aprēķināšanas un atlīdzināšanas kārtība</w:t>
      </w:r>
      <w:r w:rsidR="006356FB" w:rsidRPr="00D5212E">
        <w:rPr>
          <w:b/>
          <w:color w:val="000000" w:themeColor="text1"/>
          <w:sz w:val="28"/>
          <w:szCs w:val="28"/>
        </w:rPr>
        <w:t>”</w:t>
      </w:r>
      <w:r w:rsidR="00852042" w:rsidRPr="00D5212E">
        <w:rPr>
          <w:b/>
          <w:color w:val="000000" w:themeColor="text1"/>
          <w:sz w:val="28"/>
          <w:szCs w:val="28"/>
        </w:rPr>
        <w:t xml:space="preserve"> sākotnējā</w:t>
      </w:r>
      <w:r w:rsidR="002D3306" w:rsidRPr="00D5212E">
        <w:rPr>
          <w:b/>
          <w:color w:val="000000" w:themeColor="text1"/>
          <w:sz w:val="28"/>
          <w:szCs w:val="28"/>
        </w:rPr>
        <w:t>s</w:t>
      </w:r>
      <w:r w:rsidR="00852042" w:rsidRPr="00D5212E">
        <w:rPr>
          <w:b/>
          <w:color w:val="000000" w:themeColor="text1"/>
          <w:sz w:val="28"/>
          <w:szCs w:val="28"/>
        </w:rPr>
        <w:t xml:space="preserve"> ietekmes novērtējuma </w:t>
      </w:r>
      <w:smartTag w:uri="schemas-tilde-lv/tildestengine" w:element="veidnes">
        <w:smartTagPr>
          <w:attr w:name="id" w:val="-1"/>
          <w:attr w:name="baseform" w:val="ziņojums"/>
          <w:attr w:name="text" w:val="ziņojums"/>
        </w:smartTagPr>
        <w:r w:rsidR="00852042" w:rsidRPr="00D5212E">
          <w:rPr>
            <w:b/>
            <w:color w:val="000000" w:themeColor="text1"/>
            <w:sz w:val="28"/>
            <w:szCs w:val="28"/>
          </w:rPr>
          <w:t>ziņojums</w:t>
        </w:r>
      </w:smartTag>
      <w:r w:rsidR="00852042" w:rsidRPr="00D5212E">
        <w:rPr>
          <w:b/>
          <w:color w:val="000000" w:themeColor="text1"/>
          <w:sz w:val="28"/>
          <w:szCs w:val="28"/>
        </w:rPr>
        <w:t xml:space="preserve"> (anotācija)</w:t>
      </w:r>
      <w:bookmarkEnd w:id="0"/>
      <w:bookmarkEnd w:id="1"/>
      <w:bookmarkEnd w:id="2"/>
    </w:p>
    <w:p w:rsidR="00730108" w:rsidRPr="00D5212E" w:rsidRDefault="00730108" w:rsidP="00214094">
      <w:pPr>
        <w:pStyle w:val="naislab"/>
        <w:spacing w:before="0" w:after="0"/>
        <w:jc w:val="center"/>
        <w:outlineLvl w:val="0"/>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6659"/>
      </w:tblGrid>
      <w:tr w:rsidR="00277753" w:rsidRPr="00D5212E" w:rsidTr="003C40F2">
        <w:tc>
          <w:tcPr>
            <w:tcW w:w="9287" w:type="dxa"/>
            <w:gridSpan w:val="3"/>
          </w:tcPr>
          <w:p w:rsidR="00277753" w:rsidRPr="00D5212E" w:rsidRDefault="00277753" w:rsidP="003C40F2">
            <w:pPr>
              <w:pStyle w:val="naislab"/>
              <w:spacing w:before="0" w:after="0"/>
              <w:jc w:val="center"/>
              <w:outlineLvl w:val="0"/>
              <w:rPr>
                <w:b/>
                <w:color w:val="000000" w:themeColor="text1"/>
                <w:sz w:val="28"/>
                <w:szCs w:val="28"/>
              </w:rPr>
            </w:pPr>
            <w:r w:rsidRPr="00D5212E">
              <w:rPr>
                <w:b/>
                <w:color w:val="000000" w:themeColor="text1"/>
              </w:rPr>
              <w:t>I. Tiesību akta projekta izstrādes nepieciešamība</w:t>
            </w:r>
          </w:p>
        </w:tc>
      </w:tr>
      <w:tr w:rsidR="00730108" w:rsidRPr="00D5212E" w:rsidTr="003C40F2">
        <w:tc>
          <w:tcPr>
            <w:tcW w:w="468" w:type="dxa"/>
          </w:tcPr>
          <w:p w:rsidR="00730108" w:rsidRPr="00D5212E" w:rsidRDefault="00730108" w:rsidP="003C40F2">
            <w:pPr>
              <w:pStyle w:val="naislab"/>
              <w:spacing w:before="0" w:after="0"/>
              <w:jc w:val="center"/>
              <w:outlineLvl w:val="0"/>
              <w:rPr>
                <w:b/>
                <w:color w:val="000000" w:themeColor="text1"/>
                <w:sz w:val="28"/>
                <w:szCs w:val="28"/>
              </w:rPr>
            </w:pPr>
            <w:r w:rsidRPr="00D5212E">
              <w:rPr>
                <w:color w:val="000000" w:themeColor="text1"/>
                <w:sz w:val="22"/>
                <w:szCs w:val="22"/>
              </w:rPr>
              <w:t>1.</w:t>
            </w:r>
          </w:p>
        </w:tc>
        <w:tc>
          <w:tcPr>
            <w:tcW w:w="2160" w:type="dxa"/>
          </w:tcPr>
          <w:p w:rsidR="00730108" w:rsidRPr="00D5212E" w:rsidRDefault="00730108" w:rsidP="003C40F2">
            <w:pPr>
              <w:pStyle w:val="naislab"/>
              <w:spacing w:before="0" w:after="0"/>
              <w:jc w:val="both"/>
              <w:outlineLvl w:val="0"/>
              <w:rPr>
                <w:b/>
                <w:color w:val="000000" w:themeColor="text1"/>
                <w:sz w:val="28"/>
                <w:szCs w:val="28"/>
              </w:rPr>
            </w:pPr>
            <w:r w:rsidRPr="00D5212E">
              <w:rPr>
                <w:color w:val="000000" w:themeColor="text1"/>
                <w:sz w:val="22"/>
                <w:szCs w:val="22"/>
              </w:rPr>
              <w:t>Pamatojums</w:t>
            </w:r>
          </w:p>
        </w:tc>
        <w:tc>
          <w:tcPr>
            <w:tcW w:w="6659" w:type="dxa"/>
          </w:tcPr>
          <w:p w:rsidR="00730108" w:rsidRPr="00D5212E" w:rsidRDefault="00730108" w:rsidP="00B00D6D">
            <w:pPr>
              <w:pStyle w:val="naiskr"/>
              <w:ind w:hanging="5"/>
              <w:jc w:val="both"/>
              <w:rPr>
                <w:color w:val="000000" w:themeColor="text1"/>
              </w:rPr>
            </w:pPr>
            <w:r w:rsidRPr="00D5212E">
              <w:rPr>
                <w:color w:val="000000" w:themeColor="text1"/>
              </w:rPr>
              <w:t xml:space="preserve">Meža likuma </w:t>
            </w:r>
            <w:r w:rsidR="00B00D6D" w:rsidRPr="00D5212E">
              <w:rPr>
                <w:color w:val="000000" w:themeColor="text1"/>
              </w:rPr>
              <w:t>41</w:t>
            </w:r>
            <w:r w:rsidRPr="00D5212E">
              <w:rPr>
                <w:color w:val="000000" w:themeColor="text1"/>
              </w:rPr>
              <w:t xml:space="preserve">.panta </w:t>
            </w:r>
            <w:r w:rsidR="00B00D6D" w:rsidRPr="00D5212E">
              <w:rPr>
                <w:color w:val="000000" w:themeColor="text1"/>
              </w:rPr>
              <w:t>treš</w:t>
            </w:r>
            <w:r w:rsidRPr="00D5212E">
              <w:rPr>
                <w:color w:val="000000" w:themeColor="text1"/>
              </w:rPr>
              <w:t>ā daļa</w:t>
            </w:r>
            <w:r w:rsidR="00D24482" w:rsidRPr="00D5212E">
              <w:rPr>
                <w:color w:val="000000" w:themeColor="text1"/>
              </w:rPr>
              <w:t>.</w:t>
            </w:r>
          </w:p>
        </w:tc>
      </w:tr>
      <w:tr w:rsidR="00730108" w:rsidRPr="00D5212E" w:rsidTr="003C40F2">
        <w:tc>
          <w:tcPr>
            <w:tcW w:w="468" w:type="dxa"/>
          </w:tcPr>
          <w:p w:rsidR="00730108" w:rsidRPr="00D5212E" w:rsidRDefault="00730108" w:rsidP="003C40F2">
            <w:pPr>
              <w:pStyle w:val="naislab"/>
              <w:spacing w:before="0" w:after="0"/>
              <w:jc w:val="center"/>
              <w:outlineLvl w:val="0"/>
              <w:rPr>
                <w:color w:val="000000" w:themeColor="text1"/>
              </w:rPr>
            </w:pPr>
            <w:r w:rsidRPr="00D5212E">
              <w:rPr>
                <w:color w:val="000000" w:themeColor="text1"/>
              </w:rPr>
              <w:t>2.</w:t>
            </w:r>
          </w:p>
        </w:tc>
        <w:tc>
          <w:tcPr>
            <w:tcW w:w="2160" w:type="dxa"/>
          </w:tcPr>
          <w:p w:rsidR="00730108" w:rsidRPr="00D5212E" w:rsidRDefault="00730108" w:rsidP="003C40F2">
            <w:pPr>
              <w:pStyle w:val="naiskr"/>
              <w:tabs>
                <w:tab w:val="left" w:pos="170"/>
              </w:tabs>
              <w:spacing w:before="0" w:after="0"/>
              <w:jc w:val="both"/>
              <w:rPr>
                <w:color w:val="000000" w:themeColor="text1"/>
              </w:rPr>
            </w:pPr>
            <w:r w:rsidRPr="00D5212E">
              <w:rPr>
                <w:color w:val="000000" w:themeColor="text1"/>
              </w:rPr>
              <w:t>Pašreizējā situācija un problēmas</w:t>
            </w:r>
          </w:p>
          <w:p w:rsidR="00730108" w:rsidRPr="00D5212E" w:rsidRDefault="00730108" w:rsidP="003C40F2">
            <w:pPr>
              <w:pStyle w:val="naislab"/>
              <w:spacing w:before="0" w:after="0"/>
              <w:jc w:val="both"/>
              <w:outlineLvl w:val="0"/>
              <w:rPr>
                <w:color w:val="000000" w:themeColor="text1"/>
              </w:rPr>
            </w:pPr>
          </w:p>
        </w:tc>
        <w:tc>
          <w:tcPr>
            <w:tcW w:w="6659" w:type="dxa"/>
          </w:tcPr>
          <w:p w:rsidR="00AD0A2A" w:rsidRPr="00D5212E" w:rsidRDefault="00BA5934" w:rsidP="00E9359A">
            <w:pPr>
              <w:pStyle w:val="ParastaisWeb"/>
              <w:spacing w:before="0" w:beforeAutospacing="0" w:after="0" w:afterAutospacing="0"/>
              <w:jc w:val="both"/>
              <w:rPr>
                <w:color w:val="000000" w:themeColor="text1"/>
              </w:rPr>
            </w:pPr>
            <w:r w:rsidRPr="00D5212E">
              <w:rPr>
                <w:rFonts w:ascii="Times New Roman" w:hAnsi="Times New Roman"/>
                <w:color w:val="000000" w:themeColor="text1"/>
                <w:sz w:val="24"/>
                <w:szCs w:val="24"/>
              </w:rPr>
              <w:t>2011.gada 13.oktobra likuma "Grozījumi Meža likumā" ("Latvijas Vēstnesis", 2011., 173.nr.), kas stājās spēkā 2012.gada 1.janvārī, 25</w:t>
            </w:r>
            <w:r w:rsidR="00305767" w:rsidRPr="00D5212E">
              <w:rPr>
                <w:rFonts w:ascii="Times New Roman" w:hAnsi="Times New Roman"/>
                <w:color w:val="000000" w:themeColor="text1"/>
                <w:sz w:val="24"/>
                <w:szCs w:val="24"/>
              </w:rPr>
              <w:t>.pantā precizēta</w:t>
            </w:r>
            <w:r w:rsidRPr="00D5212E">
              <w:rPr>
                <w:rFonts w:ascii="Times New Roman" w:hAnsi="Times New Roman"/>
                <w:color w:val="000000" w:themeColor="text1"/>
                <w:sz w:val="24"/>
                <w:szCs w:val="24"/>
              </w:rPr>
              <w:t xml:space="preserve"> Meža likuma </w:t>
            </w:r>
            <w:r w:rsidR="00305767" w:rsidRPr="00D5212E">
              <w:rPr>
                <w:rFonts w:ascii="Times New Roman" w:hAnsi="Times New Roman"/>
                <w:color w:val="000000" w:themeColor="text1"/>
                <w:sz w:val="24"/>
                <w:szCs w:val="24"/>
              </w:rPr>
              <w:t xml:space="preserve">XI nodaļa „Atmežošana”. Meža likuma 41.panta trešajā daļā </w:t>
            </w:r>
            <w:r w:rsidRPr="00D5212E">
              <w:rPr>
                <w:rFonts w:ascii="Times New Roman" w:hAnsi="Times New Roman"/>
                <w:color w:val="000000" w:themeColor="text1"/>
                <w:sz w:val="24"/>
                <w:szCs w:val="24"/>
              </w:rPr>
              <w:t xml:space="preserve"> dots deleģējums Ministru kabinetam izdot </w:t>
            </w:r>
            <w:r w:rsidR="00765CED" w:rsidRPr="00D5212E">
              <w:rPr>
                <w:rFonts w:ascii="Times New Roman" w:hAnsi="Times New Roman"/>
                <w:color w:val="000000" w:themeColor="text1"/>
                <w:sz w:val="24"/>
                <w:szCs w:val="24"/>
              </w:rPr>
              <w:t xml:space="preserve">atmežošanas </w:t>
            </w:r>
            <w:r w:rsidR="00305767" w:rsidRPr="00D5212E">
              <w:rPr>
                <w:rFonts w:ascii="Times New Roman" w:hAnsi="Times New Roman"/>
                <w:color w:val="000000" w:themeColor="text1"/>
                <w:sz w:val="24"/>
                <w:szCs w:val="24"/>
              </w:rPr>
              <w:t>kompensācijas noteikšanas kritērijus, aprēķināšanas un atlīdzināšanas kārtību</w:t>
            </w:r>
            <w:r w:rsidRPr="00D5212E">
              <w:rPr>
                <w:rFonts w:ascii="Times New Roman" w:hAnsi="Times New Roman"/>
                <w:color w:val="000000" w:themeColor="text1"/>
                <w:sz w:val="24"/>
                <w:szCs w:val="24"/>
              </w:rPr>
              <w:t xml:space="preserve">, savukārt likuma "Grozījumi Meža likumā" 33.pantā noteikts papildināt pārejas noteikumus ar </w:t>
            </w:r>
            <w:r w:rsidR="00765CED" w:rsidRPr="00D5212E">
              <w:rPr>
                <w:rFonts w:ascii="Times New Roman" w:hAnsi="Times New Roman"/>
                <w:color w:val="000000" w:themeColor="text1"/>
                <w:sz w:val="24"/>
                <w:szCs w:val="24"/>
              </w:rPr>
              <w:t>20</w:t>
            </w:r>
            <w:r w:rsidRPr="00D5212E">
              <w:rPr>
                <w:rFonts w:ascii="Times New Roman" w:hAnsi="Times New Roman"/>
                <w:color w:val="000000" w:themeColor="text1"/>
                <w:sz w:val="24"/>
                <w:szCs w:val="24"/>
              </w:rPr>
              <w:t xml:space="preserve">.punktu, kurā Ministru kabinetam uzdots </w:t>
            </w:r>
            <w:r w:rsidR="00F467B4" w:rsidRPr="00D5212E">
              <w:rPr>
                <w:rFonts w:ascii="Times New Roman" w:hAnsi="Times New Roman"/>
                <w:color w:val="000000" w:themeColor="text1"/>
                <w:sz w:val="24"/>
                <w:szCs w:val="24"/>
              </w:rPr>
              <w:t xml:space="preserve">noteikumus par </w:t>
            </w:r>
            <w:r w:rsidR="00765CED" w:rsidRPr="00D5212E">
              <w:rPr>
                <w:rFonts w:ascii="Times New Roman" w:hAnsi="Times New Roman"/>
                <w:color w:val="000000" w:themeColor="text1"/>
                <w:sz w:val="24"/>
                <w:szCs w:val="24"/>
              </w:rPr>
              <w:t>atmežošanas kompensācijas noteikšanas kritērij</w:t>
            </w:r>
            <w:r w:rsidR="009C619A" w:rsidRPr="00D5212E">
              <w:rPr>
                <w:rFonts w:ascii="Times New Roman" w:hAnsi="Times New Roman"/>
                <w:color w:val="000000" w:themeColor="text1"/>
                <w:sz w:val="24"/>
                <w:szCs w:val="24"/>
              </w:rPr>
              <w:t>iem</w:t>
            </w:r>
            <w:r w:rsidR="00765CED" w:rsidRPr="00D5212E">
              <w:rPr>
                <w:rFonts w:ascii="Times New Roman" w:hAnsi="Times New Roman"/>
                <w:color w:val="000000" w:themeColor="text1"/>
                <w:sz w:val="24"/>
                <w:szCs w:val="24"/>
              </w:rPr>
              <w:t>, aprēķināšanas un atlīdzināšanas kārtību</w:t>
            </w:r>
            <w:r w:rsidRPr="00D5212E">
              <w:rPr>
                <w:rFonts w:ascii="Times New Roman" w:hAnsi="Times New Roman"/>
                <w:color w:val="000000" w:themeColor="text1"/>
                <w:sz w:val="24"/>
                <w:szCs w:val="24"/>
              </w:rPr>
              <w:t xml:space="preserve"> izdot līdz 2012.gada 31.</w:t>
            </w:r>
            <w:r w:rsidR="00765CED" w:rsidRPr="00D5212E">
              <w:rPr>
                <w:rFonts w:ascii="Times New Roman" w:hAnsi="Times New Roman"/>
                <w:color w:val="000000" w:themeColor="text1"/>
                <w:sz w:val="24"/>
                <w:szCs w:val="24"/>
              </w:rPr>
              <w:t>decembrim</w:t>
            </w:r>
            <w:r w:rsidRPr="00D5212E">
              <w:rPr>
                <w:rFonts w:ascii="Times New Roman" w:hAnsi="Times New Roman"/>
                <w:color w:val="000000" w:themeColor="text1"/>
                <w:sz w:val="24"/>
                <w:szCs w:val="24"/>
              </w:rPr>
              <w:t>.</w:t>
            </w:r>
            <w:r w:rsidR="00433240" w:rsidRPr="00D5212E">
              <w:rPr>
                <w:rFonts w:ascii="Times New Roman" w:hAnsi="Times New Roman"/>
                <w:color w:val="000000" w:themeColor="text1"/>
                <w:sz w:val="24"/>
                <w:szCs w:val="24"/>
              </w:rPr>
              <w:t xml:space="preserve"> </w:t>
            </w:r>
            <w:r w:rsidR="00E7479E" w:rsidRPr="00D5212E">
              <w:rPr>
                <w:rFonts w:ascii="Times New Roman" w:hAnsi="Times New Roman"/>
                <w:color w:val="000000" w:themeColor="text1"/>
                <w:sz w:val="24"/>
                <w:szCs w:val="24"/>
              </w:rPr>
              <w:t>Turklāt</w:t>
            </w:r>
            <w:r w:rsidR="00433240" w:rsidRPr="00D5212E">
              <w:rPr>
                <w:rFonts w:ascii="Times New Roman" w:hAnsi="Times New Roman"/>
                <w:color w:val="000000" w:themeColor="text1"/>
                <w:sz w:val="24"/>
                <w:szCs w:val="24"/>
              </w:rPr>
              <w:t xml:space="preserve"> likuma "Grozījumi Meža likumā" 33.pantā noteikts papildināt pārejas noteikumus ar 14. un 16.punktu. Pārejas noteikumu 14.punkts nosaka, </w:t>
            </w:r>
            <w:r w:rsidR="00433240" w:rsidRPr="00D5212E">
              <w:rPr>
                <w:rFonts w:ascii="Times New Roman" w:hAnsi="Times New Roman"/>
                <w:color w:val="000000" w:themeColor="text1"/>
                <w:sz w:val="28"/>
                <w:szCs w:val="28"/>
              </w:rPr>
              <w:t xml:space="preserve">ka </w:t>
            </w:r>
            <w:r w:rsidR="00433240" w:rsidRPr="00D5212E">
              <w:rPr>
                <w:rFonts w:ascii="Times New Roman" w:hAnsi="Times New Roman"/>
                <w:color w:val="000000" w:themeColor="text1"/>
                <w:sz w:val="24"/>
                <w:szCs w:val="24"/>
              </w:rPr>
              <w:t xml:space="preserve">grozījumi šā likuma 41. un 42.pantā stājas spēkā 2013.gada 1.janvārī. Savukārt </w:t>
            </w:r>
            <w:r w:rsidR="00E7479E" w:rsidRPr="00D5212E">
              <w:rPr>
                <w:rFonts w:ascii="Times New Roman" w:hAnsi="Times New Roman"/>
                <w:color w:val="000000" w:themeColor="text1"/>
                <w:sz w:val="24"/>
                <w:szCs w:val="24"/>
              </w:rPr>
              <w:t>p</w:t>
            </w:r>
            <w:r w:rsidR="00FA14A0" w:rsidRPr="00D5212E">
              <w:rPr>
                <w:rFonts w:ascii="Times New Roman" w:hAnsi="Times New Roman"/>
                <w:color w:val="000000" w:themeColor="text1"/>
                <w:sz w:val="24"/>
                <w:szCs w:val="24"/>
              </w:rPr>
              <w:t xml:space="preserve">ārejas noteikumu </w:t>
            </w:r>
            <w:r w:rsidR="00433240" w:rsidRPr="00D5212E">
              <w:rPr>
                <w:rFonts w:ascii="Times New Roman" w:hAnsi="Times New Roman"/>
                <w:color w:val="000000" w:themeColor="text1"/>
                <w:sz w:val="24"/>
                <w:szCs w:val="24"/>
              </w:rPr>
              <w:t>16.punkts nosaka, ka līdz 2013.gada 1.janvārim meža zeme transformējama saskaņā ar Ministru kabineta 2004.gada 28.septembra noteikumiem Nr.806 "</w:t>
            </w:r>
            <w:hyperlink r:id="rId7" w:tgtFrame="_blank" w:history="1">
              <w:r w:rsidR="00433240" w:rsidRPr="00D5212E">
                <w:rPr>
                  <w:rStyle w:val="Hipersaite"/>
                  <w:rFonts w:ascii="Times New Roman" w:hAnsi="Times New Roman"/>
                  <w:color w:val="000000" w:themeColor="text1"/>
                  <w:sz w:val="24"/>
                  <w:szCs w:val="24"/>
                  <w:u w:val="none"/>
                </w:rPr>
                <w:t>Meža zemes transformācijas noteikumi</w:t>
              </w:r>
            </w:hyperlink>
            <w:r w:rsidR="00433240" w:rsidRPr="00D5212E">
              <w:rPr>
                <w:rFonts w:ascii="Times New Roman" w:hAnsi="Times New Roman"/>
                <w:color w:val="000000" w:themeColor="text1"/>
                <w:sz w:val="24"/>
                <w:szCs w:val="24"/>
              </w:rPr>
              <w:t>".</w:t>
            </w:r>
            <w:r w:rsidR="00AD0A2A" w:rsidRPr="00D5212E">
              <w:rPr>
                <w:color w:val="000000" w:themeColor="text1"/>
              </w:rPr>
              <w:t xml:space="preserve"> </w:t>
            </w:r>
          </w:p>
          <w:p w:rsidR="00AD0A2A" w:rsidRPr="00D5212E" w:rsidRDefault="00AD0A2A" w:rsidP="00AD0A2A">
            <w:pPr>
              <w:pStyle w:val="ParastaisWeb"/>
              <w:spacing w:before="0" w:beforeAutospacing="0" w:after="0" w:afterAutospacing="0"/>
              <w:jc w:val="both"/>
              <w:rPr>
                <w:rFonts w:ascii="Times New Roman" w:hAnsi="Times New Roman"/>
                <w:color w:val="000000" w:themeColor="text1"/>
                <w:sz w:val="24"/>
                <w:szCs w:val="24"/>
              </w:rPr>
            </w:pPr>
            <w:r w:rsidRPr="00D5212E">
              <w:rPr>
                <w:rFonts w:ascii="Times New Roman" w:hAnsi="Times New Roman"/>
                <w:color w:val="000000" w:themeColor="text1"/>
                <w:sz w:val="24"/>
                <w:szCs w:val="24"/>
              </w:rPr>
              <w:t>Ar likum</w:t>
            </w:r>
            <w:r w:rsidR="000247D4" w:rsidRPr="00D5212E">
              <w:rPr>
                <w:rFonts w:ascii="Times New Roman" w:hAnsi="Times New Roman"/>
                <w:color w:val="000000" w:themeColor="text1"/>
                <w:sz w:val="24"/>
                <w:szCs w:val="24"/>
              </w:rPr>
              <w:t>u</w:t>
            </w:r>
            <w:r w:rsidRPr="00D5212E">
              <w:rPr>
                <w:rFonts w:ascii="Times New Roman" w:hAnsi="Times New Roman"/>
                <w:color w:val="000000" w:themeColor="text1"/>
                <w:sz w:val="24"/>
                <w:szCs w:val="24"/>
              </w:rPr>
              <w:t xml:space="preserve"> "Grozījumi Meža likumā" termins „meža zemes transform</w:t>
            </w:r>
            <w:r w:rsidR="006F4EF0" w:rsidRPr="00D5212E">
              <w:rPr>
                <w:rFonts w:ascii="Times New Roman" w:hAnsi="Times New Roman"/>
                <w:color w:val="000000" w:themeColor="text1"/>
                <w:sz w:val="24"/>
                <w:szCs w:val="24"/>
              </w:rPr>
              <w:t xml:space="preserve">ācija” </w:t>
            </w:r>
            <w:r w:rsidR="00E7479E" w:rsidRPr="00D5212E">
              <w:rPr>
                <w:rFonts w:ascii="Times New Roman" w:hAnsi="Times New Roman"/>
                <w:color w:val="000000" w:themeColor="text1"/>
                <w:sz w:val="24"/>
                <w:szCs w:val="24"/>
              </w:rPr>
              <w:t xml:space="preserve">ir aizstāts </w:t>
            </w:r>
            <w:r w:rsidR="006F4EF0" w:rsidRPr="00D5212E">
              <w:rPr>
                <w:rFonts w:ascii="Times New Roman" w:hAnsi="Times New Roman"/>
                <w:color w:val="000000" w:themeColor="text1"/>
                <w:sz w:val="24"/>
                <w:szCs w:val="24"/>
              </w:rPr>
              <w:t>ar terminu „atmežošana”.</w:t>
            </w:r>
            <w:r w:rsidR="006F4EF0" w:rsidRPr="00D5212E">
              <w:rPr>
                <w:rFonts w:ascii="Times New Roman" w:hAnsi="Times New Roman"/>
                <w:bCs/>
                <w:color w:val="000000" w:themeColor="text1"/>
                <w:sz w:val="24"/>
                <w:szCs w:val="24"/>
              </w:rPr>
              <w:t xml:space="preserve"> Meža likuma 1.panta 3.punkts nosaka, ka atmežošana</w:t>
            </w:r>
            <w:r w:rsidR="006F4EF0" w:rsidRPr="00D5212E">
              <w:rPr>
                <w:rFonts w:ascii="Times New Roman" w:hAnsi="Times New Roman"/>
                <w:color w:val="000000" w:themeColor="text1"/>
                <w:sz w:val="24"/>
                <w:szCs w:val="24"/>
              </w:rPr>
              <w:t xml:space="preserve"> ir personas darbības izraisīta meža pārveidošana citā zemes lietošanas veidā.</w:t>
            </w:r>
          </w:p>
          <w:p w:rsidR="001A3C62" w:rsidRPr="00D5212E" w:rsidRDefault="00F40B89" w:rsidP="003C40F2">
            <w:pPr>
              <w:pStyle w:val="naislab"/>
              <w:spacing w:before="0" w:after="0"/>
              <w:jc w:val="both"/>
              <w:outlineLvl w:val="0"/>
              <w:rPr>
                <w:color w:val="000000" w:themeColor="text1"/>
              </w:rPr>
            </w:pPr>
            <w:r w:rsidRPr="00D5212E">
              <w:rPr>
                <w:color w:val="000000" w:themeColor="text1"/>
              </w:rPr>
              <w:t>Patlaban</w:t>
            </w:r>
            <w:r w:rsidR="001A3C62" w:rsidRPr="00D5212E">
              <w:rPr>
                <w:color w:val="000000" w:themeColor="text1"/>
              </w:rPr>
              <w:t xml:space="preserve"> meža pārveidošanu cit</w:t>
            </w:r>
            <w:r w:rsidR="000247D4" w:rsidRPr="00D5212E">
              <w:rPr>
                <w:color w:val="000000" w:themeColor="text1"/>
              </w:rPr>
              <w:t>ā</w:t>
            </w:r>
            <w:r w:rsidR="001A3C62" w:rsidRPr="00D5212E">
              <w:rPr>
                <w:color w:val="000000" w:themeColor="text1"/>
              </w:rPr>
              <w:t xml:space="preserve"> zemes lietošanas veid</w:t>
            </w:r>
            <w:r w:rsidR="000247D4" w:rsidRPr="00D5212E">
              <w:rPr>
                <w:color w:val="000000" w:themeColor="text1"/>
              </w:rPr>
              <w:t>ā</w:t>
            </w:r>
            <w:r w:rsidRPr="00D5212E">
              <w:rPr>
                <w:color w:val="000000" w:themeColor="text1"/>
              </w:rPr>
              <w:t xml:space="preserve"> </w:t>
            </w:r>
            <w:r w:rsidR="00B85B7B" w:rsidRPr="00D5212E">
              <w:rPr>
                <w:color w:val="000000" w:themeColor="text1"/>
              </w:rPr>
              <w:t xml:space="preserve">regulē </w:t>
            </w:r>
            <w:r w:rsidR="00E7479E" w:rsidRPr="00D5212E">
              <w:rPr>
                <w:color w:val="000000" w:themeColor="text1"/>
              </w:rPr>
              <w:t xml:space="preserve">Ministru kabineta </w:t>
            </w:r>
            <w:r w:rsidR="001A3C62" w:rsidRPr="00D5212E">
              <w:rPr>
                <w:color w:val="000000" w:themeColor="text1"/>
              </w:rPr>
              <w:t>2004.gada 28.septembra noteikumi Nr.806 "</w:t>
            </w:r>
            <w:hyperlink r:id="rId8" w:tgtFrame="_blank" w:history="1">
              <w:r w:rsidR="001A3C62" w:rsidRPr="00D5212E">
                <w:rPr>
                  <w:rStyle w:val="Hipersaite"/>
                  <w:color w:val="000000" w:themeColor="text1"/>
                  <w:u w:val="none"/>
                </w:rPr>
                <w:t>Meža zemes transformācijas noteikumi</w:t>
              </w:r>
            </w:hyperlink>
            <w:r w:rsidR="001A3C62" w:rsidRPr="00D5212E">
              <w:rPr>
                <w:color w:val="000000" w:themeColor="text1"/>
              </w:rPr>
              <w:t>"</w:t>
            </w:r>
            <w:r w:rsidR="0074560C" w:rsidRPr="00D5212E">
              <w:rPr>
                <w:color w:val="000000" w:themeColor="text1"/>
              </w:rPr>
              <w:t xml:space="preserve">, kas izdoti </w:t>
            </w:r>
            <w:r w:rsidR="001A3C62" w:rsidRPr="00D5212E">
              <w:rPr>
                <w:color w:val="000000" w:themeColor="text1"/>
              </w:rPr>
              <w:t xml:space="preserve">saskaņā ar </w:t>
            </w:r>
            <w:r w:rsidR="0074560C" w:rsidRPr="00D5212E">
              <w:rPr>
                <w:color w:val="000000" w:themeColor="text1"/>
              </w:rPr>
              <w:t xml:space="preserve"> Meža likuma </w:t>
            </w:r>
            <w:r w:rsidR="001A3C62" w:rsidRPr="00D5212E">
              <w:rPr>
                <w:color w:val="000000" w:themeColor="text1"/>
              </w:rPr>
              <w:t>42.panta otro daļu, Gaujas nacionālā parka likuma 4.panta 4.punktu un Aizsargjoslu likuma 36.panta ceturtās daļas 2.punktu.</w:t>
            </w:r>
          </w:p>
          <w:p w:rsidR="00E9359A" w:rsidRPr="00D5212E" w:rsidRDefault="00E9359A" w:rsidP="003C40F2">
            <w:pPr>
              <w:pStyle w:val="naislab"/>
              <w:spacing w:before="0" w:after="0"/>
              <w:jc w:val="both"/>
              <w:outlineLvl w:val="0"/>
              <w:rPr>
                <w:color w:val="000000" w:themeColor="text1"/>
              </w:rPr>
            </w:pPr>
            <w:r w:rsidRPr="00D5212E">
              <w:rPr>
                <w:color w:val="000000" w:themeColor="text1"/>
              </w:rPr>
              <w:t xml:space="preserve">Vienlaikus ar </w:t>
            </w:r>
            <w:r w:rsidR="0074560C" w:rsidRPr="00D5212E">
              <w:rPr>
                <w:color w:val="000000" w:themeColor="text1"/>
              </w:rPr>
              <w:t xml:space="preserve">likumu „Grozījumi Meža likumā” </w:t>
            </w:r>
            <w:r w:rsidRPr="00D5212E">
              <w:rPr>
                <w:color w:val="000000" w:themeColor="text1"/>
              </w:rPr>
              <w:t xml:space="preserve">2011.gada 13.oktobrī Saeimā ir pieņemts likums „Grozījumi Aizsargjoslu likumā”, </w:t>
            </w:r>
            <w:r w:rsidR="00CF104A" w:rsidRPr="00D5212E">
              <w:rPr>
                <w:color w:val="000000" w:themeColor="text1"/>
              </w:rPr>
              <w:t xml:space="preserve">kas izslēdz </w:t>
            </w:r>
            <w:r w:rsidRPr="00D5212E">
              <w:rPr>
                <w:color w:val="000000" w:themeColor="text1"/>
                <w:spacing w:val="-4"/>
              </w:rPr>
              <w:t xml:space="preserve">deleģējumu Ministru kabinetam noteikt meža zemes transformācijas kārtību un transformācijas pieteikuma iesniegšanas un izskatīšanas kārtību, transformējot meža zemi </w:t>
            </w:r>
            <w:r w:rsidRPr="00D5212E">
              <w:rPr>
                <w:bCs/>
                <w:color w:val="000000" w:themeColor="text1"/>
                <w:spacing w:val="-4"/>
              </w:rPr>
              <w:t>Baltijas jūras un Rīgas jūras līča piekrastes k</w:t>
            </w:r>
            <w:r w:rsidRPr="00D5212E">
              <w:rPr>
                <w:color w:val="000000" w:themeColor="text1"/>
                <w:spacing w:val="-4"/>
              </w:rPr>
              <w:t>rasta kāpu aizsargjoslā.</w:t>
            </w:r>
          </w:p>
          <w:p w:rsidR="00E9359A" w:rsidRPr="00D5212E" w:rsidRDefault="00B85B7B" w:rsidP="003C40F2">
            <w:pPr>
              <w:pStyle w:val="naislab"/>
              <w:spacing w:before="0" w:after="0"/>
              <w:jc w:val="both"/>
              <w:outlineLvl w:val="0"/>
              <w:rPr>
                <w:color w:val="000000" w:themeColor="text1"/>
              </w:rPr>
            </w:pPr>
            <w:r w:rsidRPr="00D5212E">
              <w:rPr>
                <w:color w:val="000000" w:themeColor="text1"/>
              </w:rPr>
              <w:t>Savukārt 2009.</w:t>
            </w:r>
            <w:r w:rsidR="00E7479E" w:rsidRPr="00D5212E">
              <w:rPr>
                <w:color w:val="000000" w:themeColor="text1"/>
              </w:rPr>
              <w:t>gada 30.aprīļa</w:t>
            </w:r>
            <w:r w:rsidRPr="00D5212E">
              <w:rPr>
                <w:color w:val="000000" w:themeColor="text1"/>
              </w:rPr>
              <w:t xml:space="preserve"> likums "Gaujas nacionālā parka likums" ("Latvijas Vēstnesis", 2009., 78.nr.), kas stājās spēkā 2009.gada 20.maijā, </w:t>
            </w:r>
            <w:r w:rsidR="00445171" w:rsidRPr="00D5212E">
              <w:rPr>
                <w:color w:val="000000" w:themeColor="text1"/>
              </w:rPr>
              <w:t xml:space="preserve">vairs </w:t>
            </w:r>
            <w:r w:rsidRPr="00D5212E">
              <w:rPr>
                <w:color w:val="000000" w:themeColor="text1"/>
              </w:rPr>
              <w:t>nenosaka deleģējumu Ministru kabinetam izdot meža zemes transformācijas kārtību.</w:t>
            </w:r>
          </w:p>
          <w:p w:rsidR="006F4EF0" w:rsidRPr="00D5212E" w:rsidRDefault="00F70503" w:rsidP="003C40F2">
            <w:pPr>
              <w:pStyle w:val="naislab"/>
              <w:spacing w:before="0" w:after="0"/>
              <w:jc w:val="both"/>
              <w:outlineLvl w:val="0"/>
              <w:rPr>
                <w:color w:val="000000" w:themeColor="text1"/>
              </w:rPr>
            </w:pPr>
            <w:r w:rsidRPr="00D5212E">
              <w:rPr>
                <w:color w:val="000000" w:themeColor="text1"/>
              </w:rPr>
              <w:t>L</w:t>
            </w:r>
            <w:r w:rsidR="006F4EF0" w:rsidRPr="00D5212E">
              <w:rPr>
                <w:color w:val="000000" w:themeColor="text1"/>
              </w:rPr>
              <w:t>ikum</w:t>
            </w:r>
            <w:r w:rsidRPr="00D5212E">
              <w:rPr>
                <w:color w:val="000000" w:themeColor="text1"/>
              </w:rPr>
              <w:t>s</w:t>
            </w:r>
            <w:r w:rsidR="006F4EF0" w:rsidRPr="00D5212E">
              <w:rPr>
                <w:color w:val="000000" w:themeColor="text1"/>
              </w:rPr>
              <w:t xml:space="preserve"> "Grozījumi Meža likumā" </w:t>
            </w:r>
            <w:r w:rsidRPr="00D5212E">
              <w:rPr>
                <w:color w:val="000000" w:themeColor="text1"/>
              </w:rPr>
              <w:t xml:space="preserve">vairs neparedz </w:t>
            </w:r>
            <w:r w:rsidR="006F4EF0" w:rsidRPr="00D5212E">
              <w:rPr>
                <w:color w:val="000000" w:themeColor="text1"/>
                <w:spacing w:val="-4"/>
              </w:rPr>
              <w:t>meža zemes transformācijas atļaujas izsniegšan</w:t>
            </w:r>
            <w:r w:rsidRPr="00D5212E">
              <w:rPr>
                <w:color w:val="000000" w:themeColor="text1"/>
                <w:spacing w:val="-4"/>
              </w:rPr>
              <w:t xml:space="preserve">u, ko šobrīd regulē </w:t>
            </w:r>
            <w:r w:rsidR="00E7479E" w:rsidRPr="00D5212E">
              <w:rPr>
                <w:color w:val="000000" w:themeColor="text1"/>
                <w:spacing w:val="-4"/>
              </w:rPr>
              <w:t>Min</w:t>
            </w:r>
            <w:r w:rsidR="00224167" w:rsidRPr="00D5212E">
              <w:rPr>
                <w:color w:val="000000" w:themeColor="text1"/>
                <w:spacing w:val="-4"/>
              </w:rPr>
              <w:t>i</w:t>
            </w:r>
            <w:r w:rsidR="00E7479E" w:rsidRPr="00D5212E">
              <w:rPr>
                <w:color w:val="000000" w:themeColor="text1"/>
                <w:spacing w:val="-4"/>
              </w:rPr>
              <w:t xml:space="preserve">stru kabineta </w:t>
            </w:r>
            <w:r w:rsidRPr="00D5212E">
              <w:rPr>
                <w:color w:val="000000" w:themeColor="text1"/>
              </w:rPr>
              <w:t>2004.gada 28.septembra noteikumi Nr.806 "</w:t>
            </w:r>
            <w:hyperlink r:id="rId9" w:tgtFrame="_blank" w:history="1">
              <w:r w:rsidRPr="00D5212E">
                <w:rPr>
                  <w:rStyle w:val="Hipersaite"/>
                  <w:color w:val="000000" w:themeColor="text1"/>
                  <w:u w:val="none"/>
                </w:rPr>
                <w:t>Meža zemes transformācijas noteikumi</w:t>
              </w:r>
            </w:hyperlink>
            <w:r w:rsidRPr="00D5212E">
              <w:rPr>
                <w:color w:val="000000" w:themeColor="text1"/>
              </w:rPr>
              <w:t>"</w:t>
            </w:r>
            <w:r w:rsidRPr="00D5212E">
              <w:rPr>
                <w:color w:val="000000" w:themeColor="text1"/>
                <w:spacing w:val="-4"/>
              </w:rPr>
              <w:t>.</w:t>
            </w:r>
          </w:p>
          <w:p w:rsidR="006D387C" w:rsidRPr="00D5212E" w:rsidRDefault="006F4EF0" w:rsidP="006F4EF0">
            <w:pPr>
              <w:jc w:val="both"/>
              <w:rPr>
                <w:color w:val="000000" w:themeColor="text1"/>
                <w:spacing w:val="-4"/>
              </w:rPr>
            </w:pPr>
            <w:r w:rsidRPr="00D5212E">
              <w:rPr>
                <w:color w:val="000000" w:themeColor="text1"/>
                <w:spacing w:val="-4"/>
              </w:rPr>
              <w:t>Ar l</w:t>
            </w:r>
            <w:r w:rsidR="00B85B7B" w:rsidRPr="00D5212E">
              <w:rPr>
                <w:color w:val="000000" w:themeColor="text1"/>
                <w:spacing w:val="-4"/>
              </w:rPr>
              <w:t>ikum</w:t>
            </w:r>
            <w:r w:rsidRPr="00D5212E">
              <w:rPr>
                <w:color w:val="000000" w:themeColor="text1"/>
                <w:spacing w:val="-4"/>
              </w:rPr>
              <w:t>u „Grozījumi Meža likumā”</w:t>
            </w:r>
            <w:r w:rsidR="00B85B7B" w:rsidRPr="00D5212E">
              <w:rPr>
                <w:color w:val="000000" w:themeColor="text1"/>
                <w:spacing w:val="-4"/>
              </w:rPr>
              <w:t xml:space="preserve"> ir konceptuāli mainīti nosacījumi attiecībā uz zaudējumu atlīdzību</w:t>
            </w:r>
            <w:r w:rsidRPr="00D5212E">
              <w:rPr>
                <w:color w:val="000000" w:themeColor="text1"/>
                <w:spacing w:val="-4"/>
              </w:rPr>
              <w:t xml:space="preserve"> par dabiskās meža vides </w:t>
            </w:r>
            <w:r w:rsidRPr="00D5212E">
              <w:rPr>
                <w:color w:val="000000" w:themeColor="text1"/>
                <w:spacing w:val="-4"/>
              </w:rPr>
              <w:lastRenderedPageBreak/>
              <w:t>iznīcināšanu</w:t>
            </w:r>
            <w:r w:rsidR="00B85B7B" w:rsidRPr="00D5212E">
              <w:rPr>
                <w:color w:val="000000" w:themeColor="text1"/>
                <w:spacing w:val="-4"/>
              </w:rPr>
              <w:t>, nosakot, ka personas pienākums ir atlīdzināt valstij ar atmežošanas darbībām izraisīto negatīvo seku novēršanu saistītos izdevumus, ieņēmumus paredzot</w:t>
            </w:r>
            <w:r w:rsidR="00B85B7B" w:rsidRPr="00D5212E">
              <w:rPr>
                <w:bCs/>
                <w:color w:val="000000" w:themeColor="text1"/>
                <w:spacing w:val="-4"/>
              </w:rPr>
              <w:t xml:space="preserve"> </w:t>
            </w:r>
            <w:r w:rsidR="00B85B7B" w:rsidRPr="00D5212E">
              <w:rPr>
                <w:color w:val="000000" w:themeColor="text1"/>
                <w:spacing w:val="-4"/>
              </w:rPr>
              <w:t xml:space="preserve">izmantot mežsaimniecības atbalsta programmas finansēšanai. Tā tiek nodibināta atgriezeniskā saikne starp atmežošanu un jaunu meža resursu radīšanu, lai veicinātu oglekļa dioksīda piesaistes palielināšanu, piemērošanos klimata pārmaiņām un bioloģiskās daudzveidības saglabāšanu. </w:t>
            </w:r>
          </w:p>
        </w:tc>
      </w:tr>
      <w:tr w:rsidR="00730108" w:rsidRPr="00D5212E" w:rsidTr="003C40F2">
        <w:tc>
          <w:tcPr>
            <w:tcW w:w="468" w:type="dxa"/>
          </w:tcPr>
          <w:p w:rsidR="00730108" w:rsidRPr="00D5212E" w:rsidRDefault="00C37C0E" w:rsidP="003C40F2">
            <w:pPr>
              <w:pStyle w:val="naislab"/>
              <w:spacing w:before="0" w:after="0"/>
              <w:jc w:val="center"/>
              <w:outlineLvl w:val="0"/>
              <w:rPr>
                <w:color w:val="000000" w:themeColor="text1"/>
              </w:rPr>
            </w:pPr>
            <w:r w:rsidRPr="00D5212E">
              <w:rPr>
                <w:color w:val="000000" w:themeColor="text1"/>
              </w:rPr>
              <w:lastRenderedPageBreak/>
              <w:t>3.</w:t>
            </w:r>
          </w:p>
        </w:tc>
        <w:tc>
          <w:tcPr>
            <w:tcW w:w="2160" w:type="dxa"/>
          </w:tcPr>
          <w:p w:rsidR="00730108" w:rsidRPr="00D5212E" w:rsidRDefault="00C37C0E" w:rsidP="003C40F2">
            <w:pPr>
              <w:pStyle w:val="naislab"/>
              <w:spacing w:before="0" w:after="0"/>
              <w:jc w:val="both"/>
              <w:outlineLvl w:val="0"/>
              <w:rPr>
                <w:color w:val="000000" w:themeColor="text1"/>
              </w:rPr>
            </w:pPr>
            <w:r w:rsidRPr="00D5212E">
              <w:rPr>
                <w:color w:val="000000" w:themeColor="text1"/>
                <w:sz w:val="22"/>
                <w:szCs w:val="22"/>
              </w:rPr>
              <w:t>Saistītie politikas ietekmes novērtējumi un pētījumi</w:t>
            </w:r>
          </w:p>
        </w:tc>
        <w:tc>
          <w:tcPr>
            <w:tcW w:w="6659" w:type="dxa"/>
          </w:tcPr>
          <w:p w:rsidR="00730108" w:rsidRPr="00D5212E" w:rsidRDefault="00C37C0E" w:rsidP="003C40F2">
            <w:pPr>
              <w:pStyle w:val="naislab"/>
              <w:spacing w:before="0" w:after="0"/>
              <w:jc w:val="both"/>
              <w:outlineLvl w:val="0"/>
              <w:rPr>
                <w:b/>
                <w:color w:val="000000" w:themeColor="text1"/>
                <w:sz w:val="28"/>
                <w:szCs w:val="28"/>
              </w:rPr>
            </w:pPr>
            <w:r w:rsidRPr="00D5212E">
              <w:rPr>
                <w:color w:val="000000" w:themeColor="text1"/>
              </w:rPr>
              <w:t>Projekts šo jomu neskar.</w:t>
            </w:r>
          </w:p>
        </w:tc>
      </w:tr>
      <w:tr w:rsidR="00730108" w:rsidRPr="00D5212E" w:rsidTr="003C40F2">
        <w:tc>
          <w:tcPr>
            <w:tcW w:w="468" w:type="dxa"/>
          </w:tcPr>
          <w:p w:rsidR="00730108" w:rsidRPr="00D5212E" w:rsidRDefault="00C37C0E" w:rsidP="003C40F2">
            <w:pPr>
              <w:pStyle w:val="naislab"/>
              <w:spacing w:before="0" w:after="0"/>
              <w:jc w:val="center"/>
              <w:outlineLvl w:val="0"/>
              <w:rPr>
                <w:color w:val="000000" w:themeColor="text1"/>
              </w:rPr>
            </w:pPr>
            <w:r w:rsidRPr="00D5212E">
              <w:rPr>
                <w:color w:val="000000" w:themeColor="text1"/>
              </w:rPr>
              <w:t>4.</w:t>
            </w:r>
          </w:p>
        </w:tc>
        <w:tc>
          <w:tcPr>
            <w:tcW w:w="2160" w:type="dxa"/>
          </w:tcPr>
          <w:p w:rsidR="00C37C0E" w:rsidRPr="00D5212E" w:rsidRDefault="00C37C0E" w:rsidP="003C40F2">
            <w:pPr>
              <w:pStyle w:val="naiskr"/>
              <w:spacing w:before="0" w:after="0"/>
              <w:rPr>
                <w:color w:val="000000" w:themeColor="text1"/>
                <w:sz w:val="22"/>
                <w:szCs w:val="22"/>
              </w:rPr>
            </w:pPr>
            <w:r w:rsidRPr="00D5212E">
              <w:rPr>
                <w:color w:val="000000" w:themeColor="text1"/>
                <w:sz w:val="22"/>
                <w:szCs w:val="22"/>
              </w:rPr>
              <w:t xml:space="preserve">Tiesiskā regulējuma mērķis un </w:t>
            </w:r>
          </w:p>
          <w:p w:rsidR="00C37C0E" w:rsidRPr="00D5212E" w:rsidRDefault="00C37C0E" w:rsidP="003C40F2">
            <w:pPr>
              <w:pStyle w:val="naiskr"/>
              <w:spacing w:before="0" w:after="0"/>
              <w:rPr>
                <w:color w:val="000000" w:themeColor="text1"/>
                <w:sz w:val="22"/>
                <w:szCs w:val="22"/>
              </w:rPr>
            </w:pPr>
            <w:r w:rsidRPr="00D5212E">
              <w:rPr>
                <w:color w:val="000000" w:themeColor="text1"/>
                <w:sz w:val="22"/>
                <w:szCs w:val="22"/>
              </w:rPr>
              <w:t>Būtība</w:t>
            </w:r>
          </w:p>
          <w:p w:rsidR="00730108" w:rsidRPr="00D5212E" w:rsidRDefault="00730108" w:rsidP="003C40F2">
            <w:pPr>
              <w:pStyle w:val="naislab"/>
              <w:spacing w:before="0" w:after="0"/>
              <w:jc w:val="both"/>
              <w:outlineLvl w:val="0"/>
              <w:rPr>
                <w:color w:val="000000" w:themeColor="text1"/>
                <w:sz w:val="28"/>
                <w:szCs w:val="28"/>
              </w:rPr>
            </w:pPr>
          </w:p>
        </w:tc>
        <w:tc>
          <w:tcPr>
            <w:tcW w:w="6659" w:type="dxa"/>
          </w:tcPr>
          <w:p w:rsidR="00730108" w:rsidRPr="00D5212E" w:rsidRDefault="003C2EEF" w:rsidP="003C40F2">
            <w:pPr>
              <w:pStyle w:val="naislab"/>
              <w:spacing w:before="0" w:after="0"/>
              <w:jc w:val="both"/>
              <w:outlineLvl w:val="0"/>
              <w:rPr>
                <w:bCs/>
                <w:color w:val="000000" w:themeColor="text1"/>
              </w:rPr>
            </w:pPr>
            <w:r w:rsidRPr="00D5212E">
              <w:rPr>
                <w:color w:val="000000" w:themeColor="text1"/>
              </w:rPr>
              <w:t xml:space="preserve">Noteikumu projekta mērķis ir noteikt </w:t>
            </w:r>
            <w:r w:rsidR="00EC5510" w:rsidRPr="00D5212E">
              <w:rPr>
                <w:color w:val="000000" w:themeColor="text1"/>
              </w:rPr>
              <w:t xml:space="preserve">atmežošanas kompensācijas noteikšanas kritērijus, </w:t>
            </w:r>
            <w:r w:rsidR="00E7479E" w:rsidRPr="00D5212E">
              <w:rPr>
                <w:color w:val="000000" w:themeColor="text1"/>
              </w:rPr>
              <w:t xml:space="preserve">to </w:t>
            </w:r>
            <w:r w:rsidR="00EC5510" w:rsidRPr="00D5212E">
              <w:rPr>
                <w:color w:val="000000" w:themeColor="text1"/>
              </w:rPr>
              <w:t>aprēķināšanas un atlīdzināšanas kārtību.</w:t>
            </w:r>
          </w:p>
          <w:p w:rsidR="00EC5510" w:rsidRPr="00D5212E" w:rsidRDefault="008D5A28" w:rsidP="00EC5510">
            <w:pPr>
              <w:jc w:val="both"/>
              <w:rPr>
                <w:color w:val="000000" w:themeColor="text1"/>
                <w:szCs w:val="28"/>
              </w:rPr>
            </w:pPr>
            <w:r w:rsidRPr="00D5212E">
              <w:rPr>
                <w:color w:val="000000" w:themeColor="text1"/>
              </w:rPr>
              <w:t xml:space="preserve">Noteikumu projekts </w:t>
            </w:r>
            <w:r w:rsidR="00EC5510" w:rsidRPr="00D5212E">
              <w:rPr>
                <w:color w:val="000000" w:themeColor="text1"/>
                <w:szCs w:val="28"/>
              </w:rPr>
              <w:t xml:space="preserve">paredz, ka kompensācija tiek maksāta par šādām ar atmežošanu izraisītām negatīvām sekām: 1) par oglekļa dioksīda </w:t>
            </w:r>
            <w:r w:rsidR="00B27755" w:rsidRPr="00D5212E">
              <w:rPr>
                <w:color w:val="000000" w:themeColor="text1"/>
                <w:szCs w:val="28"/>
              </w:rPr>
              <w:t>(CO</w:t>
            </w:r>
            <w:r w:rsidR="00B27755" w:rsidRPr="00D5212E">
              <w:rPr>
                <w:color w:val="000000" w:themeColor="text1"/>
                <w:szCs w:val="28"/>
                <w:vertAlign w:val="subscript"/>
              </w:rPr>
              <w:t>2</w:t>
            </w:r>
            <w:r w:rsidR="00B27755" w:rsidRPr="00D5212E">
              <w:rPr>
                <w:color w:val="000000" w:themeColor="text1"/>
                <w:szCs w:val="28"/>
              </w:rPr>
              <w:t>)</w:t>
            </w:r>
            <w:r w:rsidR="00386032" w:rsidRPr="00D5212E">
              <w:rPr>
                <w:color w:val="000000" w:themeColor="text1"/>
                <w:szCs w:val="28"/>
              </w:rPr>
              <w:t xml:space="preserve"> </w:t>
            </w:r>
            <w:r w:rsidR="00EC5510" w:rsidRPr="00D5212E">
              <w:rPr>
                <w:color w:val="000000" w:themeColor="text1"/>
                <w:szCs w:val="28"/>
              </w:rPr>
              <w:t>piesaistes potenciāla samazināšanos; 2) par bioloģiskās daudzveidības samazināšanos; 3) par vides un dabas resursu aizsardzības aizsargjoslu un sanitāro aizsargjoslu funkciju kvalitātes samazināšanos.</w:t>
            </w:r>
          </w:p>
          <w:p w:rsidR="00117C93" w:rsidRPr="00D5212E" w:rsidRDefault="00386032" w:rsidP="00117C93">
            <w:pPr>
              <w:jc w:val="both"/>
              <w:rPr>
                <w:bCs/>
                <w:color w:val="000000" w:themeColor="text1"/>
                <w:szCs w:val="28"/>
              </w:rPr>
            </w:pPr>
            <w:r w:rsidRPr="00D5212E">
              <w:rPr>
                <w:color w:val="000000" w:themeColor="text1"/>
                <w:szCs w:val="28"/>
              </w:rPr>
              <w:t>K</w:t>
            </w:r>
            <w:r w:rsidR="00B27755" w:rsidRPr="00D5212E">
              <w:rPr>
                <w:color w:val="000000" w:themeColor="text1"/>
                <w:szCs w:val="28"/>
              </w:rPr>
              <w:t xml:space="preserve">ompensācijas apmēra aprēķināšanai </w:t>
            </w:r>
            <w:r w:rsidRPr="00D5212E">
              <w:rPr>
                <w:color w:val="000000" w:themeColor="text1"/>
                <w:szCs w:val="28"/>
              </w:rPr>
              <w:t>noteikumu projektā ir ietverta formula, k</w:t>
            </w:r>
            <w:r w:rsidR="00E7479E" w:rsidRPr="00D5212E">
              <w:rPr>
                <w:color w:val="000000" w:themeColor="text1"/>
                <w:szCs w:val="28"/>
              </w:rPr>
              <w:t>as</w:t>
            </w:r>
            <w:r w:rsidRPr="00D5212E">
              <w:rPr>
                <w:color w:val="000000" w:themeColor="text1"/>
                <w:szCs w:val="28"/>
              </w:rPr>
              <w:t xml:space="preserve"> ir līdzīga </w:t>
            </w:r>
            <w:r w:rsidR="00B27755" w:rsidRPr="00D5212E">
              <w:rPr>
                <w:color w:val="000000" w:themeColor="text1"/>
                <w:szCs w:val="28"/>
              </w:rPr>
              <w:t>līdzšinēj</w:t>
            </w:r>
            <w:r w:rsidRPr="00D5212E">
              <w:rPr>
                <w:color w:val="000000" w:themeColor="text1"/>
                <w:szCs w:val="28"/>
              </w:rPr>
              <w:t>ai</w:t>
            </w:r>
            <w:r w:rsidR="00B27755" w:rsidRPr="00D5212E">
              <w:rPr>
                <w:color w:val="000000" w:themeColor="text1"/>
                <w:szCs w:val="28"/>
              </w:rPr>
              <w:t xml:space="preserve"> </w:t>
            </w:r>
            <w:r w:rsidRPr="00D5212E">
              <w:rPr>
                <w:color w:val="000000" w:themeColor="text1"/>
                <w:szCs w:val="28"/>
              </w:rPr>
              <w:t>formulai, ar kuru aprēķināja zaudējumus par dabiskās vides iznīcināšanu</w:t>
            </w:r>
            <w:r w:rsidR="00EC5510" w:rsidRPr="00D5212E">
              <w:rPr>
                <w:color w:val="000000" w:themeColor="text1"/>
                <w:szCs w:val="28"/>
              </w:rPr>
              <w:t xml:space="preserve">. </w:t>
            </w:r>
            <w:r w:rsidRPr="00D5212E">
              <w:rPr>
                <w:color w:val="000000" w:themeColor="text1"/>
                <w:szCs w:val="28"/>
              </w:rPr>
              <w:t>Formulā ir ietvertas šādas izmaiņas: 1) l</w:t>
            </w:r>
            <w:r w:rsidR="00EC5510" w:rsidRPr="00D5212E">
              <w:rPr>
                <w:color w:val="000000" w:themeColor="text1"/>
                <w:szCs w:val="28"/>
              </w:rPr>
              <w:t>īdzšinējais koeficients R</w:t>
            </w:r>
            <w:r w:rsidR="00EC5510" w:rsidRPr="00D5212E">
              <w:rPr>
                <w:color w:val="000000" w:themeColor="text1"/>
                <w:szCs w:val="28"/>
                <w:vertAlign w:val="subscript"/>
              </w:rPr>
              <w:t>tv</w:t>
            </w:r>
            <w:r w:rsidR="00EC5510" w:rsidRPr="00D5212E">
              <w:rPr>
                <w:color w:val="000000" w:themeColor="text1"/>
                <w:szCs w:val="28"/>
              </w:rPr>
              <w:t xml:space="preserve"> – viena hektāra dabiskās meža vides relatīvā vērtība atkarībā no meža augšanas apstākļa tipa </w:t>
            </w:r>
            <w:r w:rsidR="00445171" w:rsidRPr="00D5212E">
              <w:rPr>
                <w:color w:val="000000" w:themeColor="text1"/>
                <w:szCs w:val="28"/>
              </w:rPr>
              <w:t xml:space="preserve">ir </w:t>
            </w:r>
            <w:r w:rsidR="000740AE" w:rsidRPr="00D5212E">
              <w:rPr>
                <w:color w:val="000000" w:themeColor="text1"/>
                <w:szCs w:val="28"/>
              </w:rPr>
              <w:t>aizstāts ar koeficientu K</w:t>
            </w:r>
            <w:r w:rsidR="000740AE" w:rsidRPr="00D5212E">
              <w:rPr>
                <w:color w:val="000000" w:themeColor="text1"/>
                <w:szCs w:val="28"/>
                <w:vertAlign w:val="subscript"/>
              </w:rPr>
              <w:t>CO2</w:t>
            </w:r>
            <w:r w:rsidR="000740AE" w:rsidRPr="00D5212E">
              <w:rPr>
                <w:color w:val="000000" w:themeColor="text1"/>
                <w:szCs w:val="28"/>
              </w:rPr>
              <w:t xml:space="preserve"> – koeficients </w:t>
            </w:r>
            <w:r w:rsidR="000740AE" w:rsidRPr="00D5212E">
              <w:rPr>
                <w:bCs/>
                <w:color w:val="000000" w:themeColor="text1"/>
                <w:szCs w:val="28"/>
              </w:rPr>
              <w:t>par CO</w:t>
            </w:r>
            <w:r w:rsidR="000740AE" w:rsidRPr="00D5212E">
              <w:rPr>
                <w:bCs/>
                <w:color w:val="000000" w:themeColor="text1"/>
                <w:szCs w:val="28"/>
                <w:vertAlign w:val="subscript"/>
              </w:rPr>
              <w:t>2</w:t>
            </w:r>
            <w:r w:rsidR="000740AE" w:rsidRPr="00D5212E">
              <w:rPr>
                <w:bCs/>
                <w:color w:val="000000" w:themeColor="text1"/>
                <w:szCs w:val="28"/>
              </w:rPr>
              <w:t xml:space="preserve"> piesaistes potenciāla samazināšanos</w:t>
            </w:r>
            <w:r w:rsidRPr="00D5212E">
              <w:rPr>
                <w:bCs/>
                <w:color w:val="000000" w:themeColor="text1"/>
                <w:szCs w:val="28"/>
              </w:rPr>
              <w:t xml:space="preserve"> atkarībā no meža tipa;</w:t>
            </w:r>
            <w:r w:rsidR="000740AE" w:rsidRPr="00D5212E">
              <w:rPr>
                <w:bCs/>
                <w:color w:val="000000" w:themeColor="text1"/>
                <w:szCs w:val="28"/>
              </w:rPr>
              <w:t xml:space="preserve"> </w:t>
            </w:r>
            <w:r w:rsidRPr="00D5212E">
              <w:rPr>
                <w:bCs/>
                <w:color w:val="000000" w:themeColor="text1"/>
                <w:szCs w:val="28"/>
              </w:rPr>
              <w:t xml:space="preserve">2) </w:t>
            </w:r>
            <w:r w:rsidRPr="00D5212E">
              <w:rPr>
                <w:bCs/>
                <w:color w:val="000000" w:themeColor="text1"/>
              </w:rPr>
              <w:t>valstī noteiktā minimālā darba alga latos (D</w:t>
            </w:r>
            <w:r w:rsidRPr="00D5212E">
              <w:rPr>
                <w:bCs/>
                <w:color w:val="000000" w:themeColor="text1"/>
                <w:vertAlign w:val="subscript"/>
              </w:rPr>
              <w:t>min</w:t>
            </w:r>
            <w:r w:rsidRPr="00D5212E">
              <w:rPr>
                <w:bCs/>
                <w:color w:val="000000" w:themeColor="text1"/>
              </w:rPr>
              <w:t>) aizstāta ar viena hektāra meža atjaunošanas un kopšanas izmaksām latos par hektāru, ko nosaka</w:t>
            </w:r>
            <w:r w:rsidRPr="00D5212E">
              <w:rPr>
                <w:bCs/>
                <w:color w:val="000000" w:themeColor="text1"/>
                <w:szCs w:val="28"/>
              </w:rPr>
              <w:t xml:space="preserve"> </w:t>
            </w:r>
            <w:r w:rsidRPr="00D5212E">
              <w:rPr>
                <w:color w:val="000000" w:themeColor="text1"/>
              </w:rPr>
              <w:t>pēc Centrālā statistikas biroja publicētās informācijas.</w:t>
            </w:r>
            <w:r w:rsidR="00117C93" w:rsidRPr="00D5212E">
              <w:rPr>
                <w:color w:val="000000" w:themeColor="text1"/>
              </w:rPr>
              <w:t xml:space="preserve"> Meža atjaunošanas un kopšanas izmaksas veido vidējās iepriekšējo piecu gadu izmaksas par augsnes gatavošanu, stādu iegādi, stādīšanu, agrotehnisko kopšanu un mežaudzes sastāva kopšanu atbilstoši meža zemes kvalitātes grupai, ņemot vērā aprēķina brīdī aktuālāko publicēto informāciju.</w:t>
            </w:r>
          </w:p>
          <w:p w:rsidR="005818F3" w:rsidRPr="00D5212E" w:rsidRDefault="005818F3" w:rsidP="00386032">
            <w:pPr>
              <w:pStyle w:val="naiskr"/>
              <w:spacing w:before="0" w:after="0"/>
              <w:jc w:val="both"/>
              <w:rPr>
                <w:bCs/>
                <w:color w:val="000000" w:themeColor="text1"/>
                <w:szCs w:val="28"/>
              </w:rPr>
            </w:pPr>
            <w:r w:rsidRPr="00D5212E">
              <w:rPr>
                <w:color w:val="000000" w:themeColor="text1"/>
              </w:rPr>
              <w:t>Noteikumu projekts paredz, ka t</w:t>
            </w:r>
            <w:r w:rsidR="00386032" w:rsidRPr="00D5212E">
              <w:rPr>
                <w:color w:val="000000" w:themeColor="text1"/>
              </w:rPr>
              <w:t xml:space="preserve">urpmāk atmežošanas kompensācijas apmērs netiks diferencēts atkarībā no atmežojamā </w:t>
            </w:r>
            <w:r w:rsidRPr="00D5212E">
              <w:rPr>
                <w:color w:val="000000" w:themeColor="text1"/>
              </w:rPr>
              <w:t>platībā esošās mežaudzes vecuma</w:t>
            </w:r>
            <w:r w:rsidR="00386032" w:rsidRPr="00D5212E">
              <w:rPr>
                <w:color w:val="000000" w:themeColor="text1"/>
              </w:rPr>
              <w:t xml:space="preserve">, jo atmežošanas negatīvā ietekme uz </w:t>
            </w:r>
            <w:r w:rsidR="00386032" w:rsidRPr="00D5212E">
              <w:rPr>
                <w:bCs/>
                <w:color w:val="000000" w:themeColor="text1"/>
                <w:szCs w:val="28"/>
              </w:rPr>
              <w:t>CO</w:t>
            </w:r>
            <w:r w:rsidR="00386032" w:rsidRPr="00D5212E">
              <w:rPr>
                <w:bCs/>
                <w:color w:val="000000" w:themeColor="text1"/>
                <w:szCs w:val="28"/>
                <w:vertAlign w:val="subscript"/>
              </w:rPr>
              <w:t>2</w:t>
            </w:r>
            <w:r w:rsidR="00386032" w:rsidRPr="00D5212E">
              <w:rPr>
                <w:bCs/>
                <w:color w:val="000000" w:themeColor="text1"/>
                <w:szCs w:val="28"/>
              </w:rPr>
              <w:t xml:space="preserve"> piesaistes potenciāla samazināšanos ir vienāda kā izcirtumā</w:t>
            </w:r>
            <w:r w:rsidR="00E7479E" w:rsidRPr="00D5212E">
              <w:rPr>
                <w:bCs/>
                <w:color w:val="000000" w:themeColor="text1"/>
                <w:szCs w:val="28"/>
              </w:rPr>
              <w:t>,</w:t>
            </w:r>
            <w:r w:rsidR="00386032" w:rsidRPr="00D5212E">
              <w:rPr>
                <w:bCs/>
                <w:color w:val="000000" w:themeColor="text1"/>
                <w:szCs w:val="28"/>
              </w:rPr>
              <w:t xml:space="preserve"> tā pieaugušā mežaudzē. </w:t>
            </w:r>
          </w:p>
          <w:p w:rsidR="005818F3" w:rsidRPr="00D5212E" w:rsidRDefault="005818F3" w:rsidP="005818F3">
            <w:pPr>
              <w:pStyle w:val="naislab"/>
              <w:spacing w:before="0" w:after="0"/>
              <w:jc w:val="both"/>
              <w:outlineLvl w:val="0"/>
              <w:rPr>
                <w:color w:val="000000" w:themeColor="text1"/>
                <w:szCs w:val="28"/>
              </w:rPr>
            </w:pPr>
            <w:r w:rsidRPr="00D5212E">
              <w:rPr>
                <w:color w:val="000000" w:themeColor="text1"/>
                <w:szCs w:val="28"/>
              </w:rPr>
              <w:t>CO</w:t>
            </w:r>
            <w:r w:rsidRPr="00D5212E">
              <w:rPr>
                <w:color w:val="000000" w:themeColor="text1"/>
                <w:szCs w:val="28"/>
                <w:vertAlign w:val="subscript"/>
              </w:rPr>
              <w:t xml:space="preserve">2 </w:t>
            </w:r>
            <w:r w:rsidRPr="00D5212E">
              <w:rPr>
                <w:color w:val="000000" w:themeColor="text1"/>
                <w:szCs w:val="28"/>
              </w:rPr>
              <w:t>piesaistes potenciāla samazināšanos nosaka pēc meža augsnes auglību un mežaudzes produktivitāti raksturojošā meža tipa un meža atjaunošanas un kopšanas izmaksām.</w:t>
            </w:r>
          </w:p>
          <w:p w:rsidR="00214679" w:rsidRPr="00D5212E" w:rsidRDefault="00C5635E" w:rsidP="00214679">
            <w:pPr>
              <w:jc w:val="both"/>
              <w:rPr>
                <w:bCs/>
                <w:color w:val="000000" w:themeColor="text1"/>
                <w:szCs w:val="28"/>
              </w:rPr>
            </w:pPr>
            <w:r w:rsidRPr="00D5212E">
              <w:rPr>
                <w:color w:val="000000" w:themeColor="text1"/>
              </w:rPr>
              <w:t>Noteikum</w:t>
            </w:r>
            <w:r w:rsidR="00214679" w:rsidRPr="00D5212E">
              <w:rPr>
                <w:color w:val="000000" w:themeColor="text1"/>
              </w:rPr>
              <w:t>u projekts</w:t>
            </w:r>
            <w:r w:rsidRPr="00D5212E">
              <w:rPr>
                <w:color w:val="000000" w:themeColor="text1"/>
              </w:rPr>
              <w:t xml:space="preserve"> paredz, ka </w:t>
            </w:r>
            <w:r w:rsidR="00445171" w:rsidRPr="00D5212E">
              <w:rPr>
                <w:bCs/>
                <w:color w:val="000000" w:themeColor="text1"/>
                <w:szCs w:val="28"/>
              </w:rPr>
              <w:t>CO</w:t>
            </w:r>
            <w:r w:rsidR="00445171" w:rsidRPr="00D5212E">
              <w:rPr>
                <w:bCs/>
                <w:color w:val="000000" w:themeColor="text1"/>
                <w:szCs w:val="28"/>
                <w:vertAlign w:val="subscript"/>
              </w:rPr>
              <w:t xml:space="preserve">2 </w:t>
            </w:r>
            <w:r w:rsidRPr="00D5212E">
              <w:rPr>
                <w:color w:val="000000" w:themeColor="text1"/>
                <w:szCs w:val="28"/>
              </w:rPr>
              <w:t>piesaistes potenciāla samazināšanos</w:t>
            </w:r>
            <w:r w:rsidRPr="00D5212E">
              <w:rPr>
                <w:color w:val="000000" w:themeColor="text1"/>
              </w:rPr>
              <w:t xml:space="preserve"> var kompensēt</w:t>
            </w:r>
            <w:r w:rsidR="00E7479E" w:rsidRPr="00D5212E">
              <w:rPr>
                <w:color w:val="000000" w:themeColor="text1"/>
              </w:rPr>
              <w:t>,</w:t>
            </w:r>
            <w:r w:rsidRPr="00D5212E">
              <w:rPr>
                <w:color w:val="000000" w:themeColor="text1"/>
              </w:rPr>
              <w:t xml:space="preserve"> ieaudzējot mežu citā vietā</w:t>
            </w:r>
            <w:r w:rsidR="00445171" w:rsidRPr="00D5212E">
              <w:rPr>
                <w:color w:val="000000" w:themeColor="text1"/>
              </w:rPr>
              <w:t xml:space="preserve"> (turpmāk </w:t>
            </w:r>
            <w:r w:rsidR="00E7479E" w:rsidRPr="00D5212E">
              <w:rPr>
                <w:color w:val="000000" w:themeColor="text1"/>
              </w:rPr>
              <w:t>–</w:t>
            </w:r>
            <w:r w:rsidR="005B2E33" w:rsidRPr="00D5212E">
              <w:rPr>
                <w:color w:val="000000" w:themeColor="text1"/>
              </w:rPr>
              <w:t xml:space="preserve"> kompensēt</w:t>
            </w:r>
            <w:r w:rsidR="00445171" w:rsidRPr="00D5212E">
              <w:rPr>
                <w:color w:val="000000" w:themeColor="text1"/>
              </w:rPr>
              <w:t>ā mežaudze)</w:t>
            </w:r>
            <w:r w:rsidRPr="00D5212E">
              <w:rPr>
                <w:color w:val="000000" w:themeColor="text1"/>
              </w:rPr>
              <w:t xml:space="preserve">. </w:t>
            </w:r>
            <w:r w:rsidR="00445171" w:rsidRPr="00D5212E">
              <w:rPr>
                <w:bCs/>
                <w:color w:val="000000" w:themeColor="text1"/>
                <w:szCs w:val="28"/>
              </w:rPr>
              <w:t>Kompensētās mežaudzes</w:t>
            </w:r>
            <w:r w:rsidRPr="00D5212E">
              <w:rPr>
                <w:bCs/>
                <w:color w:val="000000" w:themeColor="text1"/>
                <w:szCs w:val="28"/>
              </w:rPr>
              <w:t xml:space="preserve"> platībai jābūt vi</w:t>
            </w:r>
            <w:r w:rsidR="005B2E33" w:rsidRPr="00D5212E">
              <w:rPr>
                <w:bCs/>
                <w:color w:val="000000" w:themeColor="text1"/>
                <w:szCs w:val="28"/>
              </w:rPr>
              <w:t>smaz tikpat lielai kā</w:t>
            </w:r>
            <w:r w:rsidR="00E7479E" w:rsidRPr="00D5212E">
              <w:rPr>
                <w:bCs/>
                <w:color w:val="000000" w:themeColor="text1"/>
                <w:szCs w:val="28"/>
              </w:rPr>
              <w:t xml:space="preserve"> meža platīb</w:t>
            </w:r>
            <w:r w:rsidR="005B2E33" w:rsidRPr="00D5212E">
              <w:rPr>
                <w:bCs/>
                <w:color w:val="000000" w:themeColor="text1"/>
                <w:szCs w:val="28"/>
              </w:rPr>
              <w:t>ai</w:t>
            </w:r>
            <w:r w:rsidR="00E7479E" w:rsidRPr="00D5212E">
              <w:rPr>
                <w:bCs/>
                <w:color w:val="000000" w:themeColor="text1"/>
                <w:szCs w:val="28"/>
              </w:rPr>
              <w:t xml:space="preserve">, ko plānots atmežot, </w:t>
            </w:r>
            <w:r w:rsidRPr="00D5212E">
              <w:rPr>
                <w:bCs/>
                <w:color w:val="000000" w:themeColor="text1"/>
                <w:szCs w:val="28"/>
              </w:rPr>
              <w:t xml:space="preserve">bet ne mazākai par 0,1 hektāru. Atmežojamajai platībai, kurai </w:t>
            </w:r>
            <w:r w:rsidR="00445171" w:rsidRPr="00D5212E">
              <w:rPr>
                <w:bCs/>
                <w:color w:val="000000" w:themeColor="text1"/>
                <w:szCs w:val="28"/>
              </w:rPr>
              <w:t>CO</w:t>
            </w:r>
            <w:r w:rsidR="00445171" w:rsidRPr="00D5212E">
              <w:rPr>
                <w:bCs/>
                <w:color w:val="000000" w:themeColor="text1"/>
                <w:szCs w:val="28"/>
                <w:vertAlign w:val="subscript"/>
              </w:rPr>
              <w:t>2</w:t>
            </w:r>
            <w:r w:rsidRPr="00D5212E">
              <w:rPr>
                <w:color w:val="000000" w:themeColor="text1"/>
                <w:szCs w:val="28"/>
              </w:rPr>
              <w:t xml:space="preserve"> piesaistes potenciāla samazināšanās tiek kompensēta </w:t>
            </w:r>
            <w:r w:rsidRPr="00D5212E">
              <w:rPr>
                <w:color w:val="000000" w:themeColor="text1"/>
              </w:rPr>
              <w:t>ar meža ieaudzēšanu citā vietā, valstij atlīdzināmo kompensācijas apmēru aprēķina, ņemot vērā mežsaimnieciskās darbības aprobežojumus</w:t>
            </w:r>
            <w:r w:rsidR="005818F3" w:rsidRPr="00D5212E">
              <w:rPr>
                <w:color w:val="000000" w:themeColor="text1"/>
              </w:rPr>
              <w:t xml:space="preserve"> un atmežošanas mērķi</w:t>
            </w:r>
            <w:r w:rsidRPr="00D5212E">
              <w:rPr>
                <w:color w:val="000000" w:themeColor="text1"/>
              </w:rPr>
              <w:t xml:space="preserve">. </w:t>
            </w:r>
            <w:r w:rsidR="00445171" w:rsidRPr="00D5212E">
              <w:rPr>
                <w:color w:val="000000" w:themeColor="text1"/>
              </w:rPr>
              <w:t>F</w:t>
            </w:r>
            <w:r w:rsidRPr="00D5212E">
              <w:rPr>
                <w:color w:val="000000" w:themeColor="text1"/>
              </w:rPr>
              <w:t xml:space="preserve">ormulās koeficients par </w:t>
            </w:r>
            <w:r w:rsidR="005818F3" w:rsidRPr="00D5212E">
              <w:rPr>
                <w:bCs/>
                <w:color w:val="000000" w:themeColor="text1"/>
                <w:szCs w:val="28"/>
              </w:rPr>
              <w:t>CO</w:t>
            </w:r>
            <w:r w:rsidR="005818F3" w:rsidRPr="00D5212E">
              <w:rPr>
                <w:bCs/>
                <w:color w:val="000000" w:themeColor="text1"/>
                <w:szCs w:val="28"/>
                <w:vertAlign w:val="subscript"/>
              </w:rPr>
              <w:t xml:space="preserve">2 </w:t>
            </w:r>
            <w:r w:rsidRPr="00D5212E">
              <w:rPr>
                <w:color w:val="000000" w:themeColor="text1"/>
                <w:szCs w:val="28"/>
              </w:rPr>
              <w:t xml:space="preserve">piesaistes potenciāla samazināšanos un meža atjaunošanas un </w:t>
            </w:r>
            <w:r w:rsidRPr="00D5212E">
              <w:rPr>
                <w:color w:val="000000" w:themeColor="text1"/>
                <w:szCs w:val="28"/>
              </w:rPr>
              <w:lastRenderedPageBreak/>
              <w:t xml:space="preserve">kopšanas izmaksas aizstātas ar konstantu vērtību </w:t>
            </w:r>
            <w:r w:rsidR="00E7479E" w:rsidRPr="00D5212E">
              <w:rPr>
                <w:color w:val="000000" w:themeColor="text1"/>
                <w:szCs w:val="28"/>
              </w:rPr>
              <w:t>–</w:t>
            </w:r>
            <w:r w:rsidRPr="00D5212E">
              <w:rPr>
                <w:color w:val="000000" w:themeColor="text1"/>
                <w:szCs w:val="28"/>
              </w:rPr>
              <w:t xml:space="preserve"> 1</w:t>
            </w:r>
            <w:r w:rsidR="007237F0" w:rsidRPr="00D5212E">
              <w:rPr>
                <w:color w:val="000000" w:themeColor="text1"/>
                <w:szCs w:val="28"/>
              </w:rPr>
              <w:t>00</w:t>
            </w:r>
            <w:r w:rsidRPr="00D5212E">
              <w:rPr>
                <w:color w:val="000000" w:themeColor="text1"/>
                <w:szCs w:val="28"/>
              </w:rPr>
              <w:t xml:space="preserve"> lat</w:t>
            </w:r>
            <w:r w:rsidR="007237F0" w:rsidRPr="00D5212E">
              <w:rPr>
                <w:color w:val="000000" w:themeColor="text1"/>
                <w:szCs w:val="28"/>
              </w:rPr>
              <w:t>i</w:t>
            </w:r>
            <w:r w:rsidRPr="00D5212E">
              <w:rPr>
                <w:color w:val="000000" w:themeColor="text1"/>
                <w:szCs w:val="28"/>
              </w:rPr>
              <w:t xml:space="preserve"> (teritorijās bez mežsaimnieciskās darbības aprobežojuma) un </w:t>
            </w:r>
            <w:r w:rsidR="007237F0" w:rsidRPr="00D5212E">
              <w:rPr>
                <w:color w:val="000000" w:themeColor="text1"/>
                <w:szCs w:val="28"/>
              </w:rPr>
              <w:t>2</w:t>
            </w:r>
            <w:r w:rsidRPr="00D5212E">
              <w:rPr>
                <w:color w:val="000000" w:themeColor="text1"/>
                <w:szCs w:val="28"/>
              </w:rPr>
              <w:t>000 lat</w:t>
            </w:r>
            <w:r w:rsidR="007237F0" w:rsidRPr="00D5212E">
              <w:rPr>
                <w:color w:val="000000" w:themeColor="text1"/>
                <w:szCs w:val="28"/>
              </w:rPr>
              <w:t>i</w:t>
            </w:r>
            <w:r w:rsidRPr="00D5212E">
              <w:rPr>
                <w:color w:val="000000" w:themeColor="text1"/>
                <w:szCs w:val="28"/>
              </w:rPr>
              <w:t xml:space="preserve"> (teritorijās ar mežsaimnie</w:t>
            </w:r>
            <w:r w:rsidR="007237F0" w:rsidRPr="00D5212E">
              <w:rPr>
                <w:color w:val="000000" w:themeColor="text1"/>
                <w:szCs w:val="28"/>
              </w:rPr>
              <w:t>ciskās darbības aprobežojumiem)</w:t>
            </w:r>
            <w:r w:rsidR="005B2E33" w:rsidRPr="00D5212E">
              <w:rPr>
                <w:color w:val="000000" w:themeColor="text1"/>
                <w:szCs w:val="28"/>
              </w:rPr>
              <w:t>.</w:t>
            </w:r>
            <w:r w:rsidR="007237F0" w:rsidRPr="00D5212E">
              <w:rPr>
                <w:color w:val="000000" w:themeColor="text1"/>
                <w:szCs w:val="28"/>
              </w:rPr>
              <w:t xml:space="preserve"> </w:t>
            </w:r>
            <w:r w:rsidR="005B2E33" w:rsidRPr="00D5212E">
              <w:rPr>
                <w:color w:val="000000" w:themeColor="text1"/>
                <w:szCs w:val="28"/>
              </w:rPr>
              <w:t>M</w:t>
            </w:r>
            <w:r w:rsidR="007237F0" w:rsidRPr="00D5212E">
              <w:rPr>
                <w:color w:val="000000" w:themeColor="text1"/>
                <w:szCs w:val="28"/>
              </w:rPr>
              <w:t>inētā vērtība ir kompensācija par ietekmi uz bioloģiskās daudzveidības samazināšanos teritorijā, kurā tiek veikta atmežošana.</w:t>
            </w:r>
            <w:r w:rsidR="00214679" w:rsidRPr="00D5212E">
              <w:rPr>
                <w:color w:val="000000" w:themeColor="text1"/>
                <w:szCs w:val="28"/>
              </w:rPr>
              <w:t xml:space="preserve"> Noteikumu projekts arī paredz, </w:t>
            </w:r>
            <w:r w:rsidR="00577981" w:rsidRPr="00D5212E">
              <w:rPr>
                <w:color w:val="000000" w:themeColor="text1"/>
                <w:szCs w:val="28"/>
              </w:rPr>
              <w:t xml:space="preserve">ka </w:t>
            </w:r>
            <w:r w:rsidR="005B2E33" w:rsidRPr="00D5212E">
              <w:rPr>
                <w:color w:val="000000" w:themeColor="text1"/>
                <w:szCs w:val="28"/>
              </w:rPr>
              <w:t xml:space="preserve">tad, </w:t>
            </w:r>
            <w:r w:rsidR="00214679" w:rsidRPr="00D5212E">
              <w:rPr>
                <w:color w:val="000000" w:themeColor="text1"/>
                <w:szCs w:val="28"/>
              </w:rPr>
              <w:t>j</w:t>
            </w:r>
            <w:r w:rsidR="00214679" w:rsidRPr="00D5212E">
              <w:rPr>
                <w:color w:val="000000" w:themeColor="text1"/>
              </w:rPr>
              <w:t xml:space="preserve">a kompensāciju aprēķina </w:t>
            </w:r>
            <w:r w:rsidR="00577981" w:rsidRPr="00D5212E">
              <w:rPr>
                <w:color w:val="000000" w:themeColor="text1"/>
              </w:rPr>
              <w:t xml:space="preserve">atmežojamai platībai apgrūtinātā teritorijā, </w:t>
            </w:r>
            <w:r w:rsidR="00577981" w:rsidRPr="00D5212E">
              <w:rPr>
                <w:bCs/>
                <w:color w:val="000000" w:themeColor="text1"/>
                <w:szCs w:val="28"/>
              </w:rPr>
              <w:t xml:space="preserve">kurai </w:t>
            </w:r>
            <w:r w:rsidR="00577981" w:rsidRPr="00D5212E">
              <w:rPr>
                <w:color w:val="000000" w:themeColor="text1"/>
                <w:szCs w:val="28"/>
              </w:rPr>
              <w:t xml:space="preserve">oglekļa dioksīda piesaistes potenciāla samazināšanās tiek kompensēta </w:t>
            </w:r>
            <w:r w:rsidR="00577981" w:rsidRPr="00D5212E">
              <w:rPr>
                <w:color w:val="000000" w:themeColor="text1"/>
              </w:rPr>
              <w:t>ar meža ieaudzēšanu citā vietā un kurai saskaņā ar šo noteikumu pielikumu koeficients K</w:t>
            </w:r>
            <w:r w:rsidR="00577981" w:rsidRPr="00D5212E">
              <w:rPr>
                <w:color w:val="000000" w:themeColor="text1"/>
                <w:vertAlign w:val="subscript"/>
              </w:rPr>
              <w:t>1 </w:t>
            </w:r>
            <w:r w:rsidR="00577981" w:rsidRPr="00D5212E">
              <w:rPr>
                <w:color w:val="000000" w:themeColor="text1"/>
              </w:rPr>
              <w:t>&gt; 1 (</w:t>
            </w:r>
            <w:r w:rsidR="00EA255F" w:rsidRPr="00D5212E">
              <w:rPr>
                <w:color w:val="000000" w:themeColor="text1"/>
              </w:rPr>
              <w:t xml:space="preserve">platībā </w:t>
            </w:r>
            <w:r w:rsidR="00577981" w:rsidRPr="00D5212E">
              <w:rPr>
                <w:color w:val="000000" w:themeColor="text1"/>
              </w:rPr>
              <w:t>ir mežsaimnieciskās darbības aprobežojumi)</w:t>
            </w:r>
            <w:r w:rsidR="00214679" w:rsidRPr="00D5212E">
              <w:rPr>
                <w:color w:val="000000" w:themeColor="text1"/>
              </w:rPr>
              <w:t>, kompensē</w:t>
            </w:r>
            <w:r w:rsidR="005B2E33" w:rsidRPr="00D5212E">
              <w:rPr>
                <w:color w:val="000000" w:themeColor="text1"/>
              </w:rPr>
              <w:t>to</w:t>
            </w:r>
            <w:r w:rsidR="00214679" w:rsidRPr="00D5212E">
              <w:rPr>
                <w:color w:val="000000" w:themeColor="text1"/>
              </w:rPr>
              <w:t xml:space="preserve"> mežaudzi ieaudzē tāda paša veida apgrūtinātajā teritorijā.</w:t>
            </w:r>
            <w:r w:rsidR="00577981" w:rsidRPr="00D5212E">
              <w:rPr>
                <w:color w:val="000000" w:themeColor="text1"/>
              </w:rPr>
              <w:t xml:space="preserve"> Apgrūtinātās teritorijas nosaka atbilstoši Apgrūtināto teritoriju informācijas sistēmas likumā noteiktajam.</w:t>
            </w:r>
          </w:p>
          <w:p w:rsidR="007237F0" w:rsidRPr="00D5212E" w:rsidRDefault="00214679" w:rsidP="00C5635E">
            <w:pPr>
              <w:jc w:val="both"/>
              <w:rPr>
                <w:color w:val="000000" w:themeColor="text1"/>
                <w:szCs w:val="28"/>
              </w:rPr>
            </w:pPr>
            <w:r w:rsidRPr="00D5212E">
              <w:rPr>
                <w:color w:val="000000" w:themeColor="text1"/>
                <w:szCs w:val="28"/>
              </w:rPr>
              <w:t>Noteikumu projekts</w:t>
            </w:r>
            <w:r w:rsidR="007237F0" w:rsidRPr="00D5212E">
              <w:rPr>
                <w:color w:val="000000" w:themeColor="text1"/>
                <w:szCs w:val="28"/>
              </w:rPr>
              <w:t xml:space="preserve"> paredz, ka minimālā kompensējamā summa ir 25 lati, kas līdzvērtīga Valsts meža dienesta administratīvajām izmaksām par </w:t>
            </w:r>
            <w:r w:rsidR="00F53997" w:rsidRPr="00D5212E">
              <w:rPr>
                <w:color w:val="000000" w:themeColor="text1"/>
                <w:szCs w:val="28"/>
              </w:rPr>
              <w:t>kompensācijas aprēķin</w:t>
            </w:r>
            <w:r w:rsidR="005B2E33" w:rsidRPr="00D5212E">
              <w:rPr>
                <w:color w:val="000000" w:themeColor="text1"/>
                <w:szCs w:val="28"/>
              </w:rPr>
              <w:t>ā</w:t>
            </w:r>
            <w:r w:rsidR="00F53997" w:rsidRPr="00D5212E">
              <w:rPr>
                <w:color w:val="000000" w:themeColor="text1"/>
                <w:szCs w:val="28"/>
              </w:rPr>
              <w:t>šanu un procesa nodrošināšanu.</w:t>
            </w:r>
          </w:p>
          <w:p w:rsidR="00EC5510" w:rsidRPr="00D5212E" w:rsidRDefault="007D3AD3" w:rsidP="003C40F2">
            <w:pPr>
              <w:pStyle w:val="naislab"/>
              <w:spacing w:before="0" w:after="0"/>
              <w:jc w:val="both"/>
              <w:outlineLvl w:val="0"/>
              <w:rPr>
                <w:bCs/>
                <w:color w:val="000000" w:themeColor="text1"/>
                <w:szCs w:val="28"/>
              </w:rPr>
            </w:pPr>
            <w:r w:rsidRPr="00D5212E">
              <w:rPr>
                <w:bCs/>
                <w:color w:val="000000" w:themeColor="text1"/>
                <w:szCs w:val="28"/>
              </w:rPr>
              <w:t>Noteikum</w:t>
            </w:r>
            <w:r w:rsidR="00214679" w:rsidRPr="00D5212E">
              <w:rPr>
                <w:bCs/>
                <w:color w:val="000000" w:themeColor="text1"/>
                <w:szCs w:val="28"/>
              </w:rPr>
              <w:t>u projekts</w:t>
            </w:r>
            <w:r w:rsidRPr="00D5212E">
              <w:rPr>
                <w:bCs/>
                <w:color w:val="000000" w:themeColor="text1"/>
                <w:szCs w:val="28"/>
              </w:rPr>
              <w:t xml:space="preserve"> nosaka, kuras ieaudzētās mežaudzes atzīstamas par  kompensēto mežaudzi šo noteikumu izpratnē.</w:t>
            </w:r>
          </w:p>
          <w:p w:rsidR="007D3AD3" w:rsidRPr="00D5212E" w:rsidRDefault="007D3AD3" w:rsidP="00214679">
            <w:pPr>
              <w:pStyle w:val="naislab"/>
              <w:spacing w:before="0" w:after="0"/>
              <w:jc w:val="both"/>
              <w:outlineLvl w:val="0"/>
              <w:rPr>
                <w:color w:val="000000" w:themeColor="text1"/>
              </w:rPr>
            </w:pPr>
            <w:r w:rsidRPr="00D5212E">
              <w:rPr>
                <w:bCs/>
                <w:color w:val="000000" w:themeColor="text1"/>
              </w:rPr>
              <w:t xml:space="preserve">Noteikumi paredz, ka kompensācijas apmēru </w:t>
            </w:r>
            <w:r w:rsidR="005818F3" w:rsidRPr="00D5212E">
              <w:rPr>
                <w:bCs/>
                <w:color w:val="000000" w:themeColor="text1"/>
              </w:rPr>
              <w:t>(</w:t>
            </w:r>
            <w:r w:rsidR="00E7479E" w:rsidRPr="00D5212E">
              <w:rPr>
                <w:bCs/>
                <w:color w:val="000000" w:themeColor="text1"/>
              </w:rPr>
              <w:t>tāpat</w:t>
            </w:r>
            <w:r w:rsidRPr="00D5212E">
              <w:rPr>
                <w:bCs/>
                <w:color w:val="000000" w:themeColor="text1"/>
              </w:rPr>
              <w:t xml:space="preserve"> kā līdz šim zaudējumus</w:t>
            </w:r>
            <w:r w:rsidR="005818F3" w:rsidRPr="00D5212E">
              <w:rPr>
                <w:bCs/>
                <w:color w:val="000000" w:themeColor="text1"/>
              </w:rPr>
              <w:t>)</w:t>
            </w:r>
            <w:r w:rsidRPr="00D5212E">
              <w:rPr>
                <w:bCs/>
                <w:color w:val="000000" w:themeColor="text1"/>
              </w:rPr>
              <w:t xml:space="preserve"> aprēķinās Valsts meža dienests </w:t>
            </w:r>
            <w:r w:rsidR="00FC7723" w:rsidRPr="00D5212E">
              <w:rPr>
                <w:bCs/>
                <w:color w:val="000000" w:themeColor="text1"/>
              </w:rPr>
              <w:t>pēc</w:t>
            </w:r>
            <w:r w:rsidRPr="00D5212E">
              <w:rPr>
                <w:bCs/>
                <w:color w:val="000000" w:themeColor="text1"/>
              </w:rPr>
              <w:t xml:space="preserve"> </w:t>
            </w:r>
            <w:r w:rsidR="00FC7723" w:rsidRPr="00D5212E">
              <w:rPr>
                <w:color w:val="000000" w:themeColor="text1"/>
              </w:rPr>
              <w:t>pieprasījuma, k</w:t>
            </w:r>
            <w:r w:rsidR="00E7479E" w:rsidRPr="00D5212E">
              <w:rPr>
                <w:color w:val="000000" w:themeColor="text1"/>
              </w:rPr>
              <w:t>o</w:t>
            </w:r>
            <w:r w:rsidR="00FC7723" w:rsidRPr="00D5212E">
              <w:rPr>
                <w:color w:val="000000" w:themeColor="text1"/>
              </w:rPr>
              <w:t xml:space="preserve"> iesniedz </w:t>
            </w:r>
            <w:r w:rsidRPr="00D5212E">
              <w:rPr>
                <w:color w:val="000000" w:themeColor="text1"/>
              </w:rPr>
              <w:t xml:space="preserve">kompetentā institūcija, kura izdod administratīvo aktu, </w:t>
            </w:r>
            <w:r w:rsidR="00117C93" w:rsidRPr="00D5212E">
              <w:rPr>
                <w:color w:val="000000" w:themeColor="text1"/>
              </w:rPr>
              <w:t>kas personai piešķir tiesības veikt būvniecību vai lauksaimniecībā izmantojamās zemes ierīkošanu mežā vai meža īpašnieks, tiesiskais valdītājs, to pilnvarotas persona vai persona, kas rīkojas saskaņā ar līgumu, kas noslēgts ar meža īpašnieku, tiesisko valdītāju vai to pilnvarotu personu, ja plānots veikt derīgo izrakteņu ieguvi mežā.</w:t>
            </w:r>
          </w:p>
          <w:p w:rsidR="008A2DFE" w:rsidRPr="00D5212E" w:rsidRDefault="007B1BE7" w:rsidP="003C40F2">
            <w:pPr>
              <w:pStyle w:val="naislab"/>
              <w:spacing w:before="0" w:after="0"/>
              <w:jc w:val="both"/>
              <w:outlineLvl w:val="0"/>
              <w:rPr>
                <w:bCs/>
                <w:color w:val="000000" w:themeColor="text1"/>
              </w:rPr>
            </w:pPr>
            <w:r w:rsidRPr="00D5212E">
              <w:rPr>
                <w:bCs/>
                <w:color w:val="000000" w:themeColor="text1"/>
              </w:rPr>
              <w:t xml:space="preserve">Noteikumi nosaka </w:t>
            </w:r>
            <w:r w:rsidR="005818F3" w:rsidRPr="00D5212E">
              <w:rPr>
                <w:bCs/>
                <w:color w:val="000000" w:themeColor="text1"/>
              </w:rPr>
              <w:t>arī</w:t>
            </w:r>
            <w:r w:rsidR="00E7479E" w:rsidRPr="00D5212E">
              <w:rPr>
                <w:bCs/>
                <w:color w:val="000000" w:themeColor="text1"/>
              </w:rPr>
              <w:t xml:space="preserve"> to</w:t>
            </w:r>
            <w:r w:rsidR="005818F3" w:rsidRPr="00D5212E">
              <w:rPr>
                <w:bCs/>
                <w:color w:val="000000" w:themeColor="text1"/>
              </w:rPr>
              <w:t xml:space="preserve">, </w:t>
            </w:r>
            <w:r w:rsidRPr="00D5212E">
              <w:rPr>
                <w:bCs/>
                <w:color w:val="000000" w:themeColor="text1"/>
              </w:rPr>
              <w:t>k</w:t>
            </w:r>
            <w:r w:rsidR="005B2E33" w:rsidRPr="00D5212E">
              <w:rPr>
                <w:bCs/>
                <w:color w:val="000000" w:themeColor="text1"/>
              </w:rPr>
              <w:t>ura</w:t>
            </w:r>
            <w:r w:rsidRPr="00D5212E">
              <w:rPr>
                <w:bCs/>
                <w:color w:val="000000" w:themeColor="text1"/>
              </w:rPr>
              <w:t xml:space="preserve"> informācija jāiesniedz, lai Valsts meža dienests </w:t>
            </w:r>
            <w:r w:rsidR="00E7479E" w:rsidRPr="00D5212E">
              <w:rPr>
                <w:bCs/>
                <w:color w:val="000000" w:themeColor="text1"/>
              </w:rPr>
              <w:t>aprēķinātu</w:t>
            </w:r>
            <w:r w:rsidRPr="00D5212E">
              <w:rPr>
                <w:bCs/>
                <w:color w:val="000000" w:themeColor="text1"/>
              </w:rPr>
              <w:t xml:space="preserve"> kompensāciju, kā arī gadījumus, kad Valsts meža dienests ir tiesīgs sniegt motivētu atteikumu.</w:t>
            </w:r>
            <w:r w:rsidR="008A2DFE" w:rsidRPr="00D5212E">
              <w:rPr>
                <w:bCs/>
                <w:color w:val="000000" w:themeColor="text1"/>
              </w:rPr>
              <w:t xml:space="preserve"> </w:t>
            </w:r>
          </w:p>
          <w:p w:rsidR="00A21D55" w:rsidRPr="00D5212E" w:rsidRDefault="008A2DFE" w:rsidP="003C40F2">
            <w:pPr>
              <w:pStyle w:val="naislab"/>
              <w:spacing w:before="0" w:after="0"/>
              <w:jc w:val="both"/>
              <w:outlineLvl w:val="0"/>
              <w:rPr>
                <w:color w:val="000000" w:themeColor="text1"/>
              </w:rPr>
            </w:pPr>
            <w:r w:rsidRPr="00D5212E">
              <w:rPr>
                <w:bCs/>
                <w:color w:val="000000" w:themeColor="text1"/>
              </w:rPr>
              <w:t xml:space="preserve">Valsts meža dienesta </w:t>
            </w:r>
            <w:r w:rsidR="005B2E33" w:rsidRPr="00D5212E">
              <w:rPr>
                <w:bCs/>
                <w:color w:val="000000" w:themeColor="text1"/>
              </w:rPr>
              <w:t>aprēķināto</w:t>
            </w:r>
            <w:r w:rsidRPr="00D5212E">
              <w:rPr>
                <w:bCs/>
                <w:color w:val="000000" w:themeColor="text1"/>
              </w:rPr>
              <w:t xml:space="preserve"> kompensācijas apmēru varēs apstrīdēt Valsts meža dienesta likumā noteiktajā kārtībā. </w:t>
            </w:r>
            <w:r w:rsidRPr="00D5212E">
              <w:rPr>
                <w:color w:val="000000" w:themeColor="text1"/>
              </w:rPr>
              <w:t xml:space="preserve">Dienesta amatpersonu izdotos administratīvos aktus (izņemot lēmumus administratīvo pārkāpumu lietās) un faktisko rīcību var apstrīdēt un pārsūdzēt saskaņā ar </w:t>
            </w:r>
            <w:hyperlink r:id="rId10" w:tgtFrame="_blank" w:history="1">
              <w:r w:rsidRPr="00D5212E">
                <w:rPr>
                  <w:rStyle w:val="Hipersaite"/>
                  <w:color w:val="000000" w:themeColor="text1"/>
                  <w:u w:val="none"/>
                </w:rPr>
                <w:t>Administratīvā procesa likumu</w:t>
              </w:r>
            </w:hyperlink>
            <w:r w:rsidRPr="00D5212E">
              <w:rPr>
                <w:color w:val="000000" w:themeColor="text1"/>
              </w:rPr>
              <w:t xml:space="preserve"> šādā kārtībā: 1) </w:t>
            </w:r>
            <w:r w:rsidR="005B2E33" w:rsidRPr="00D5212E">
              <w:rPr>
                <w:color w:val="000000" w:themeColor="text1"/>
              </w:rPr>
              <w:t>d</w:t>
            </w:r>
            <w:r w:rsidRPr="00D5212E">
              <w:rPr>
                <w:color w:val="000000" w:themeColor="text1"/>
              </w:rPr>
              <w:t xml:space="preserve">ienesta teritoriālo struktūrvienību amatpersonu pieņemtie lēmumi un izdotie rīkojumi apstrīdami attiecīgās teritoriālās struktūrvienības vadītājam (virsmežzinim, direktoram); 2) </w:t>
            </w:r>
            <w:r w:rsidR="005B2E33" w:rsidRPr="00D5212E">
              <w:rPr>
                <w:color w:val="000000" w:themeColor="text1"/>
              </w:rPr>
              <w:t>d</w:t>
            </w:r>
            <w:r w:rsidRPr="00D5212E">
              <w:rPr>
                <w:color w:val="000000" w:themeColor="text1"/>
              </w:rPr>
              <w:t>ienesta teritoriālo struktūrvienību vadītāju (virsmežziņu, direktoru) pieņemtie lēmumi un izdotie rīkojumi apstrīdami ģenerāldirektoram; 3) ģenerāldirektora pieņemtie lēmumi un izdotie rīkojumi pārsūdzami tiesā.</w:t>
            </w:r>
          </w:p>
          <w:p w:rsidR="00824C59" w:rsidRPr="00D5212E" w:rsidRDefault="005B2E33" w:rsidP="005B2E33">
            <w:pPr>
              <w:pStyle w:val="tv2131"/>
              <w:spacing w:before="0" w:line="240" w:lineRule="auto"/>
              <w:ind w:firstLine="301"/>
              <w:rPr>
                <w:rFonts w:ascii="Times New Roman" w:hAnsi="Times New Roman"/>
                <w:color w:val="000000" w:themeColor="text1"/>
                <w:sz w:val="24"/>
                <w:szCs w:val="24"/>
              </w:rPr>
            </w:pPr>
            <w:r w:rsidRPr="00D5212E">
              <w:rPr>
                <w:rFonts w:ascii="Times New Roman" w:hAnsi="Times New Roman"/>
                <w:color w:val="000000" w:themeColor="text1"/>
                <w:sz w:val="24"/>
                <w:szCs w:val="24"/>
              </w:rPr>
              <w:t>Tāpat</w:t>
            </w:r>
            <w:r w:rsidR="00824C59" w:rsidRPr="00D5212E">
              <w:rPr>
                <w:rFonts w:ascii="Times New Roman" w:hAnsi="Times New Roman"/>
                <w:color w:val="000000" w:themeColor="text1"/>
                <w:sz w:val="24"/>
                <w:szCs w:val="24"/>
              </w:rPr>
              <w:t xml:space="preserve"> kā </w:t>
            </w:r>
            <w:r w:rsidR="00C77851" w:rsidRPr="00D5212E">
              <w:rPr>
                <w:rFonts w:ascii="Times New Roman" w:hAnsi="Times New Roman"/>
                <w:color w:val="000000" w:themeColor="text1"/>
                <w:sz w:val="24"/>
                <w:szCs w:val="24"/>
              </w:rPr>
              <w:t>Ministru kabineta 2004.gada 28.septembra noteikumos Nr.806 "</w:t>
            </w:r>
            <w:hyperlink r:id="rId11" w:tgtFrame="_blank" w:history="1">
              <w:r w:rsidR="00C77851" w:rsidRPr="00D5212E">
                <w:rPr>
                  <w:rStyle w:val="Hipersaite"/>
                  <w:rFonts w:ascii="Times New Roman" w:hAnsi="Times New Roman"/>
                  <w:color w:val="000000" w:themeColor="text1"/>
                  <w:sz w:val="24"/>
                  <w:szCs w:val="24"/>
                  <w:u w:val="none"/>
                </w:rPr>
                <w:t>Meža zemes transformācijas noteikumi</w:t>
              </w:r>
            </w:hyperlink>
            <w:r w:rsidR="00C77851" w:rsidRPr="00D5212E">
              <w:rPr>
                <w:rFonts w:ascii="Times New Roman" w:hAnsi="Times New Roman"/>
                <w:color w:val="000000" w:themeColor="text1"/>
                <w:sz w:val="24"/>
                <w:szCs w:val="24"/>
              </w:rPr>
              <w:t>"</w:t>
            </w:r>
            <w:r w:rsidR="00824C59" w:rsidRPr="00D5212E">
              <w:rPr>
                <w:rFonts w:ascii="Times New Roman" w:hAnsi="Times New Roman"/>
                <w:color w:val="000000" w:themeColor="text1"/>
                <w:sz w:val="24"/>
                <w:szCs w:val="24"/>
              </w:rPr>
              <w:t>, arī šajā noteikumu projektā ir paredzēts, ka</w:t>
            </w:r>
            <w:r w:rsidRPr="00D5212E">
              <w:rPr>
                <w:rFonts w:ascii="Times New Roman" w:hAnsi="Times New Roman"/>
                <w:color w:val="000000" w:themeColor="text1"/>
                <w:sz w:val="24"/>
                <w:szCs w:val="24"/>
              </w:rPr>
              <w:t xml:space="preserve"> tad</w:t>
            </w:r>
            <w:r w:rsidR="00824C59" w:rsidRPr="00D5212E">
              <w:rPr>
                <w:rFonts w:ascii="Times New Roman" w:hAnsi="Times New Roman"/>
                <w:color w:val="000000" w:themeColor="text1"/>
                <w:sz w:val="24"/>
                <w:szCs w:val="24"/>
              </w:rPr>
              <w:t xml:space="preserve">, ja atmežošanu </w:t>
            </w:r>
            <w:r w:rsidR="00C77851" w:rsidRPr="00D5212E">
              <w:rPr>
                <w:rFonts w:ascii="Times New Roman" w:hAnsi="Times New Roman"/>
                <w:color w:val="000000" w:themeColor="text1"/>
                <w:sz w:val="24"/>
                <w:szCs w:val="24"/>
              </w:rPr>
              <w:t>veic</w:t>
            </w:r>
            <w:r w:rsidRPr="00D5212E">
              <w:rPr>
                <w:rFonts w:ascii="Times New Roman" w:hAnsi="Times New Roman"/>
                <w:color w:val="000000" w:themeColor="text1"/>
                <w:sz w:val="24"/>
                <w:szCs w:val="24"/>
              </w:rPr>
              <w:t>,</w:t>
            </w:r>
            <w:r w:rsidR="00C77851" w:rsidRPr="00D5212E">
              <w:rPr>
                <w:rFonts w:ascii="Times New Roman" w:hAnsi="Times New Roman"/>
                <w:color w:val="000000" w:themeColor="text1"/>
                <w:sz w:val="24"/>
                <w:szCs w:val="24"/>
              </w:rPr>
              <w:t xml:space="preserve"> </w:t>
            </w:r>
            <w:r w:rsidR="00824C59" w:rsidRPr="00D5212E">
              <w:rPr>
                <w:rFonts w:ascii="Times New Roman" w:hAnsi="Times New Roman"/>
                <w:color w:val="000000" w:themeColor="text1"/>
                <w:sz w:val="24"/>
                <w:szCs w:val="24"/>
              </w:rPr>
              <w:t>neatlīdzinot valstij kompensāciju par atmežošanas izraisīto seku novēršanu (izņemot, ja atmežošana veikta saskaņā ar Meža likuma 41.panta otro daļu vai šo noteikumu 3.1.puktā noteikto atmežošanas mērķi)</w:t>
            </w:r>
            <w:r w:rsidRPr="00D5212E">
              <w:rPr>
                <w:rFonts w:ascii="Times New Roman" w:hAnsi="Times New Roman"/>
                <w:color w:val="000000" w:themeColor="text1"/>
                <w:sz w:val="24"/>
                <w:szCs w:val="24"/>
              </w:rPr>
              <w:t>,</w:t>
            </w:r>
            <w:r w:rsidR="00824C59" w:rsidRPr="00D5212E">
              <w:rPr>
                <w:rFonts w:ascii="Times New Roman" w:hAnsi="Times New Roman"/>
                <w:color w:val="000000" w:themeColor="text1"/>
                <w:sz w:val="24"/>
                <w:szCs w:val="24"/>
              </w:rPr>
              <w:t xml:space="preserve"> Valsts meža dienests kompensāciju trīskāršā </w:t>
            </w:r>
            <w:r w:rsidR="00824C59" w:rsidRPr="00D5212E">
              <w:rPr>
                <w:rFonts w:ascii="Times New Roman" w:hAnsi="Times New Roman"/>
                <w:color w:val="000000" w:themeColor="text1"/>
                <w:sz w:val="24"/>
                <w:szCs w:val="24"/>
              </w:rPr>
              <w:lastRenderedPageBreak/>
              <w:t xml:space="preserve">apmērā </w:t>
            </w:r>
            <w:r w:rsidRPr="00D5212E">
              <w:rPr>
                <w:rFonts w:ascii="Times New Roman" w:hAnsi="Times New Roman"/>
                <w:color w:val="000000" w:themeColor="text1"/>
                <w:sz w:val="24"/>
                <w:szCs w:val="24"/>
              </w:rPr>
              <w:t xml:space="preserve">par labu valstij piedzen </w:t>
            </w:r>
            <w:r w:rsidR="00824C59" w:rsidRPr="00D5212E">
              <w:rPr>
                <w:rFonts w:ascii="Times New Roman" w:hAnsi="Times New Roman"/>
                <w:color w:val="000000" w:themeColor="text1"/>
                <w:sz w:val="24"/>
                <w:szCs w:val="24"/>
              </w:rPr>
              <w:t>no meža īpašnieka vai tiesiskā valdītāja.</w:t>
            </w:r>
            <w:r w:rsidR="00C77851" w:rsidRPr="00D5212E">
              <w:rPr>
                <w:rFonts w:ascii="Times New Roman" w:hAnsi="Times New Roman"/>
                <w:color w:val="000000" w:themeColor="text1"/>
                <w:sz w:val="24"/>
                <w:szCs w:val="24"/>
              </w:rPr>
              <w:t xml:space="preserve"> Papildus tam Administratīvo pārkāpumu kodeksa 66.</w:t>
            </w:r>
            <w:r w:rsidR="00C77851" w:rsidRPr="00D5212E">
              <w:rPr>
                <w:rFonts w:ascii="Times New Roman" w:hAnsi="Times New Roman"/>
                <w:color w:val="000000" w:themeColor="text1"/>
                <w:sz w:val="24"/>
                <w:szCs w:val="24"/>
                <w:vertAlign w:val="superscript"/>
              </w:rPr>
              <w:t>4</w:t>
            </w:r>
            <w:r w:rsidR="00C77851" w:rsidRPr="00D5212E">
              <w:rPr>
                <w:rFonts w:ascii="Times New Roman" w:hAnsi="Times New Roman"/>
                <w:color w:val="000000" w:themeColor="text1"/>
                <w:sz w:val="24"/>
                <w:szCs w:val="24"/>
              </w:rPr>
              <w:t xml:space="preserve"> pants </w:t>
            </w:r>
            <w:r w:rsidRPr="00D5212E">
              <w:rPr>
                <w:rFonts w:ascii="Times New Roman" w:hAnsi="Times New Roman"/>
                <w:color w:val="000000" w:themeColor="text1"/>
                <w:sz w:val="24"/>
                <w:szCs w:val="24"/>
              </w:rPr>
              <w:t>paredz</w:t>
            </w:r>
            <w:r w:rsidR="00C77851" w:rsidRPr="00D5212E">
              <w:rPr>
                <w:rFonts w:ascii="Times New Roman" w:hAnsi="Times New Roman"/>
                <w:color w:val="000000" w:themeColor="text1"/>
                <w:sz w:val="24"/>
                <w:szCs w:val="24"/>
              </w:rPr>
              <w:t xml:space="preserve"> atbildību par </w:t>
            </w:r>
            <w:r w:rsidRPr="00D5212E">
              <w:rPr>
                <w:rFonts w:ascii="Times New Roman" w:hAnsi="Times New Roman"/>
                <w:color w:val="000000" w:themeColor="text1"/>
                <w:sz w:val="24"/>
                <w:szCs w:val="24"/>
              </w:rPr>
              <w:t xml:space="preserve">neatļautu </w:t>
            </w:r>
            <w:r w:rsidR="00C77851" w:rsidRPr="00D5212E">
              <w:rPr>
                <w:rFonts w:ascii="Times New Roman" w:hAnsi="Times New Roman"/>
                <w:color w:val="000000" w:themeColor="text1"/>
                <w:sz w:val="24"/>
                <w:szCs w:val="24"/>
              </w:rPr>
              <w:t>meža atmežošanu (</w:t>
            </w:r>
            <w:r w:rsidRPr="00D5212E">
              <w:rPr>
                <w:rFonts w:ascii="Times New Roman" w:hAnsi="Times New Roman"/>
                <w:color w:val="000000" w:themeColor="text1"/>
                <w:sz w:val="24"/>
                <w:szCs w:val="24"/>
              </w:rPr>
              <w:t xml:space="preserve">norma </w:t>
            </w:r>
            <w:r w:rsidR="00C77851" w:rsidRPr="00D5212E">
              <w:rPr>
                <w:rFonts w:ascii="Times New Roman" w:hAnsi="Times New Roman"/>
                <w:color w:val="000000" w:themeColor="text1"/>
                <w:sz w:val="24"/>
                <w:szCs w:val="24"/>
              </w:rPr>
              <w:t>stāsies spēkā 2013.gada 1.janvārī). Šā panta pirmā daļa paredz, ka par meža apsaimniekošanu un izmantošanu reglamentējošu normatīvo aktu pārkāpšanu, ja rezultātā mežs tiek atmežots</w:t>
            </w:r>
            <w:r w:rsidRPr="00D5212E">
              <w:rPr>
                <w:rFonts w:ascii="Times New Roman" w:hAnsi="Times New Roman"/>
                <w:color w:val="000000" w:themeColor="text1"/>
                <w:sz w:val="24"/>
                <w:szCs w:val="24"/>
              </w:rPr>
              <w:t>,</w:t>
            </w:r>
            <w:r w:rsidR="00C77851" w:rsidRPr="00D5212E">
              <w:rPr>
                <w:rFonts w:ascii="Times New Roman" w:hAnsi="Times New Roman"/>
                <w:color w:val="000000" w:themeColor="text1"/>
                <w:sz w:val="24"/>
                <w:szCs w:val="24"/>
              </w:rPr>
              <w:t xml:space="preserve"> uzliek naudas sodu fiziskajām personām no piecsimt līdz trīstūkstoš latiem, bet juridiskajām personām — no tūkstoš līdz septiņtūkstoš latiem.</w:t>
            </w:r>
          </w:p>
        </w:tc>
      </w:tr>
      <w:tr w:rsidR="00730108" w:rsidRPr="00D5212E" w:rsidTr="003C40F2">
        <w:tc>
          <w:tcPr>
            <w:tcW w:w="468" w:type="dxa"/>
          </w:tcPr>
          <w:p w:rsidR="00730108" w:rsidRPr="00D5212E" w:rsidRDefault="00C37C0E" w:rsidP="003C40F2">
            <w:pPr>
              <w:pStyle w:val="naislab"/>
              <w:spacing w:before="0" w:after="0"/>
              <w:jc w:val="center"/>
              <w:outlineLvl w:val="0"/>
              <w:rPr>
                <w:color w:val="000000" w:themeColor="text1"/>
              </w:rPr>
            </w:pPr>
            <w:r w:rsidRPr="00D5212E">
              <w:rPr>
                <w:color w:val="000000" w:themeColor="text1"/>
              </w:rPr>
              <w:lastRenderedPageBreak/>
              <w:t>5.</w:t>
            </w:r>
          </w:p>
        </w:tc>
        <w:tc>
          <w:tcPr>
            <w:tcW w:w="2160" w:type="dxa"/>
          </w:tcPr>
          <w:p w:rsidR="00730108" w:rsidRPr="00D5212E" w:rsidRDefault="00C37C0E" w:rsidP="003C40F2">
            <w:pPr>
              <w:pStyle w:val="naislab"/>
              <w:spacing w:before="0" w:after="0"/>
              <w:jc w:val="both"/>
              <w:outlineLvl w:val="0"/>
              <w:rPr>
                <w:b/>
                <w:color w:val="000000" w:themeColor="text1"/>
                <w:sz w:val="28"/>
                <w:szCs w:val="28"/>
              </w:rPr>
            </w:pPr>
            <w:r w:rsidRPr="00D5212E">
              <w:rPr>
                <w:color w:val="000000" w:themeColor="text1"/>
                <w:sz w:val="22"/>
                <w:szCs w:val="22"/>
              </w:rPr>
              <w:t>Projekta izstrādē iesaistītās institūcijas</w:t>
            </w:r>
          </w:p>
        </w:tc>
        <w:tc>
          <w:tcPr>
            <w:tcW w:w="6659" w:type="dxa"/>
          </w:tcPr>
          <w:p w:rsidR="00FF7ED1" w:rsidRPr="00D5212E" w:rsidRDefault="007B1BE7" w:rsidP="00020AB9">
            <w:pPr>
              <w:pStyle w:val="naislab"/>
              <w:spacing w:before="0" w:after="0"/>
              <w:jc w:val="both"/>
              <w:outlineLvl w:val="0"/>
              <w:rPr>
                <w:i/>
                <w:color w:val="000000" w:themeColor="text1"/>
              </w:rPr>
            </w:pPr>
            <w:r w:rsidRPr="00D5212E">
              <w:rPr>
                <w:color w:val="000000" w:themeColor="text1"/>
              </w:rPr>
              <w:t xml:space="preserve">Vides aizsardzības un reģionālās attīstības ministrija, </w:t>
            </w:r>
            <w:r w:rsidR="009B49F8" w:rsidRPr="00D5212E">
              <w:rPr>
                <w:color w:val="000000" w:themeColor="text1"/>
              </w:rPr>
              <w:t>Dabas aizsardzības pārvalde, Valsts meža dienests</w:t>
            </w:r>
            <w:r w:rsidRPr="00D5212E">
              <w:rPr>
                <w:color w:val="000000" w:themeColor="text1"/>
              </w:rPr>
              <w:t xml:space="preserve">, Valsts zemes dienests un </w:t>
            </w:r>
            <w:r w:rsidR="00020AB9" w:rsidRPr="00D5212E">
              <w:rPr>
                <w:color w:val="000000" w:themeColor="text1"/>
              </w:rPr>
              <w:t>Latvijas P</w:t>
            </w:r>
            <w:r w:rsidRPr="00D5212E">
              <w:rPr>
                <w:color w:val="000000" w:themeColor="text1"/>
              </w:rPr>
              <w:t>ašvaldību savienība</w:t>
            </w:r>
            <w:r w:rsidR="00020AB9" w:rsidRPr="00D5212E">
              <w:rPr>
                <w:color w:val="000000" w:themeColor="text1"/>
              </w:rPr>
              <w:t xml:space="preserve">, AS „Latvijas valsts meži”, LMI „Silava”, Latvijas meža īpašnieku biedrība, Latvijas Dabas fonds, Latvijas Ornitoloģijas biedrība, Pasaules </w:t>
            </w:r>
            <w:r w:rsidR="005B2E33" w:rsidRPr="00D5212E">
              <w:rPr>
                <w:color w:val="000000" w:themeColor="text1"/>
              </w:rPr>
              <w:t>D</w:t>
            </w:r>
            <w:r w:rsidR="00020AB9" w:rsidRPr="00D5212E">
              <w:rPr>
                <w:color w:val="000000" w:themeColor="text1"/>
              </w:rPr>
              <w:t>abas fonds, Vides konsultatīv</w:t>
            </w:r>
            <w:r w:rsidR="005B2E33" w:rsidRPr="00D5212E">
              <w:rPr>
                <w:color w:val="000000" w:themeColor="text1"/>
              </w:rPr>
              <w:t>ā</w:t>
            </w:r>
            <w:r w:rsidR="00020AB9" w:rsidRPr="00D5212E">
              <w:rPr>
                <w:color w:val="000000" w:themeColor="text1"/>
              </w:rPr>
              <w:t xml:space="preserve"> padome un Latvijas Kūdras ražotāju asociācija.</w:t>
            </w:r>
          </w:p>
        </w:tc>
      </w:tr>
      <w:tr w:rsidR="00730108" w:rsidRPr="00D5212E" w:rsidTr="003C40F2">
        <w:tc>
          <w:tcPr>
            <w:tcW w:w="468" w:type="dxa"/>
          </w:tcPr>
          <w:p w:rsidR="00730108" w:rsidRPr="00D5212E" w:rsidRDefault="00C37C0E" w:rsidP="003C40F2">
            <w:pPr>
              <w:pStyle w:val="naislab"/>
              <w:spacing w:before="0" w:after="0"/>
              <w:jc w:val="center"/>
              <w:outlineLvl w:val="0"/>
              <w:rPr>
                <w:color w:val="000000" w:themeColor="text1"/>
              </w:rPr>
            </w:pPr>
            <w:r w:rsidRPr="00D5212E">
              <w:rPr>
                <w:color w:val="000000" w:themeColor="text1"/>
              </w:rPr>
              <w:t>6.</w:t>
            </w:r>
          </w:p>
        </w:tc>
        <w:tc>
          <w:tcPr>
            <w:tcW w:w="2160" w:type="dxa"/>
          </w:tcPr>
          <w:p w:rsidR="00730108" w:rsidRPr="00D5212E" w:rsidRDefault="00C37C0E" w:rsidP="003C40F2">
            <w:pPr>
              <w:pStyle w:val="naislab"/>
              <w:spacing w:before="0" w:after="0"/>
              <w:jc w:val="both"/>
              <w:outlineLvl w:val="0"/>
              <w:rPr>
                <w:b/>
                <w:color w:val="000000" w:themeColor="text1"/>
                <w:sz w:val="28"/>
                <w:szCs w:val="28"/>
              </w:rPr>
            </w:pPr>
            <w:r w:rsidRPr="00D5212E">
              <w:rPr>
                <w:color w:val="000000" w:themeColor="text1"/>
                <w:sz w:val="22"/>
                <w:szCs w:val="22"/>
              </w:rPr>
              <w:t>Iemesli, kādēļ netika nodrošināta sabiedrības</w:t>
            </w:r>
            <w:r w:rsidR="009B49F8" w:rsidRPr="00D5212E">
              <w:rPr>
                <w:color w:val="000000" w:themeColor="text1"/>
                <w:sz w:val="22"/>
                <w:szCs w:val="22"/>
              </w:rPr>
              <w:t xml:space="preserve"> </w:t>
            </w:r>
            <w:r w:rsidRPr="00D5212E">
              <w:rPr>
                <w:color w:val="000000" w:themeColor="text1"/>
                <w:sz w:val="22"/>
                <w:szCs w:val="22"/>
              </w:rPr>
              <w:t>līdzdalība</w:t>
            </w:r>
          </w:p>
        </w:tc>
        <w:tc>
          <w:tcPr>
            <w:tcW w:w="6659" w:type="dxa"/>
          </w:tcPr>
          <w:p w:rsidR="00730108" w:rsidRPr="00D5212E" w:rsidRDefault="00F40B89" w:rsidP="003C40F2">
            <w:pPr>
              <w:pStyle w:val="naislab"/>
              <w:spacing w:before="0" w:after="0"/>
              <w:jc w:val="both"/>
              <w:outlineLvl w:val="0"/>
              <w:rPr>
                <w:b/>
                <w:color w:val="000000" w:themeColor="text1"/>
                <w:sz w:val="28"/>
                <w:szCs w:val="28"/>
              </w:rPr>
            </w:pPr>
            <w:r w:rsidRPr="00D5212E">
              <w:rPr>
                <w:color w:val="000000" w:themeColor="text1"/>
              </w:rPr>
              <w:t>Projekts šo jomu neskar.</w:t>
            </w:r>
          </w:p>
        </w:tc>
      </w:tr>
      <w:tr w:rsidR="00730108" w:rsidRPr="00D5212E" w:rsidTr="003C40F2">
        <w:tc>
          <w:tcPr>
            <w:tcW w:w="468" w:type="dxa"/>
          </w:tcPr>
          <w:p w:rsidR="00730108" w:rsidRPr="00D5212E" w:rsidRDefault="00C37C0E" w:rsidP="003C40F2">
            <w:pPr>
              <w:pStyle w:val="naislab"/>
              <w:spacing w:before="0" w:after="0"/>
              <w:jc w:val="center"/>
              <w:outlineLvl w:val="0"/>
              <w:rPr>
                <w:color w:val="000000" w:themeColor="text1"/>
              </w:rPr>
            </w:pPr>
            <w:r w:rsidRPr="00D5212E">
              <w:rPr>
                <w:color w:val="000000" w:themeColor="text1"/>
              </w:rPr>
              <w:t>7.</w:t>
            </w:r>
          </w:p>
        </w:tc>
        <w:tc>
          <w:tcPr>
            <w:tcW w:w="2160" w:type="dxa"/>
          </w:tcPr>
          <w:p w:rsidR="00C37C0E" w:rsidRPr="00D5212E" w:rsidRDefault="00C37C0E" w:rsidP="003C40F2">
            <w:pPr>
              <w:pStyle w:val="naiskr"/>
              <w:spacing w:before="0" w:after="0"/>
              <w:rPr>
                <w:color w:val="000000" w:themeColor="text1"/>
                <w:sz w:val="22"/>
                <w:szCs w:val="22"/>
              </w:rPr>
            </w:pPr>
            <w:r w:rsidRPr="00D5212E">
              <w:rPr>
                <w:color w:val="000000" w:themeColor="text1"/>
                <w:sz w:val="22"/>
                <w:szCs w:val="22"/>
              </w:rPr>
              <w:t>Cita informācija</w:t>
            </w:r>
          </w:p>
          <w:p w:rsidR="00730108" w:rsidRPr="00D5212E" w:rsidRDefault="00730108" w:rsidP="003C40F2">
            <w:pPr>
              <w:pStyle w:val="naislab"/>
              <w:spacing w:before="0" w:after="0"/>
              <w:jc w:val="both"/>
              <w:outlineLvl w:val="0"/>
              <w:rPr>
                <w:b/>
                <w:color w:val="000000" w:themeColor="text1"/>
                <w:sz w:val="28"/>
                <w:szCs w:val="28"/>
              </w:rPr>
            </w:pPr>
          </w:p>
        </w:tc>
        <w:tc>
          <w:tcPr>
            <w:tcW w:w="6659" w:type="dxa"/>
          </w:tcPr>
          <w:p w:rsidR="00730108" w:rsidRPr="00D5212E" w:rsidRDefault="00D57527" w:rsidP="003C40F2">
            <w:pPr>
              <w:pStyle w:val="naislab"/>
              <w:spacing w:before="0" w:after="0"/>
              <w:jc w:val="both"/>
              <w:outlineLvl w:val="0"/>
              <w:rPr>
                <w:color w:val="000000" w:themeColor="text1"/>
              </w:rPr>
            </w:pPr>
            <w:r w:rsidRPr="00D5212E">
              <w:rPr>
                <w:color w:val="000000" w:themeColor="text1"/>
              </w:rPr>
              <w:t>Nav</w:t>
            </w:r>
          </w:p>
        </w:tc>
      </w:tr>
    </w:tbl>
    <w:p w:rsidR="00EF1262" w:rsidRPr="00D5212E" w:rsidRDefault="00EF1262" w:rsidP="006C4607">
      <w:pPr>
        <w:pStyle w:val="naisf"/>
        <w:spacing w:before="0" w:after="0"/>
        <w:rPr>
          <w:color w:val="000000" w:themeColor="text1"/>
        </w:rPr>
      </w:pPr>
    </w:p>
    <w:tbl>
      <w:tblPr>
        <w:tblpPr w:leftFromText="180" w:rightFromText="180" w:vertAnchor="text" w:horzAnchor="margin" w:tblpXSpec="center" w:tblpY="14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3420"/>
        <w:gridCol w:w="5615"/>
      </w:tblGrid>
      <w:tr w:rsidR="0062298A" w:rsidRPr="00D5212E" w:rsidTr="00FF7ED1">
        <w:tc>
          <w:tcPr>
            <w:tcW w:w="9580" w:type="dxa"/>
            <w:gridSpan w:val="3"/>
            <w:vAlign w:val="center"/>
          </w:tcPr>
          <w:p w:rsidR="0062298A" w:rsidRPr="00D5212E" w:rsidRDefault="0062298A" w:rsidP="006C4607">
            <w:pPr>
              <w:pStyle w:val="naisnod"/>
              <w:spacing w:before="0" w:after="0"/>
              <w:rPr>
                <w:color w:val="000000" w:themeColor="text1"/>
              </w:rPr>
            </w:pPr>
            <w:r w:rsidRPr="00D5212E">
              <w:rPr>
                <w:color w:val="000000" w:themeColor="text1"/>
              </w:rPr>
              <w:t>II</w:t>
            </w:r>
            <w:r w:rsidR="000941C5" w:rsidRPr="00D5212E">
              <w:rPr>
                <w:color w:val="000000" w:themeColor="text1"/>
              </w:rPr>
              <w:t>.</w:t>
            </w:r>
            <w:r w:rsidRPr="00D5212E">
              <w:rPr>
                <w:color w:val="000000" w:themeColor="text1"/>
              </w:rPr>
              <w:t xml:space="preserve"> Tiesību akta projekta ietekme uz sabiedrību</w:t>
            </w:r>
          </w:p>
        </w:tc>
      </w:tr>
      <w:tr w:rsidR="0062298A" w:rsidRPr="00D5212E" w:rsidTr="00FF7ED1">
        <w:trPr>
          <w:trHeight w:val="467"/>
        </w:trPr>
        <w:tc>
          <w:tcPr>
            <w:tcW w:w="545" w:type="dxa"/>
          </w:tcPr>
          <w:p w:rsidR="0062298A" w:rsidRPr="00D5212E" w:rsidRDefault="0062298A" w:rsidP="006C4607">
            <w:pPr>
              <w:pStyle w:val="naiskr"/>
              <w:spacing w:before="0" w:after="0"/>
              <w:rPr>
                <w:color w:val="000000" w:themeColor="text1"/>
                <w:sz w:val="22"/>
                <w:szCs w:val="22"/>
              </w:rPr>
            </w:pPr>
            <w:r w:rsidRPr="00D5212E">
              <w:rPr>
                <w:color w:val="000000" w:themeColor="text1"/>
                <w:sz w:val="22"/>
                <w:szCs w:val="22"/>
              </w:rPr>
              <w:t>1.</w:t>
            </w:r>
          </w:p>
        </w:tc>
        <w:tc>
          <w:tcPr>
            <w:tcW w:w="3420" w:type="dxa"/>
          </w:tcPr>
          <w:p w:rsidR="0062298A" w:rsidRPr="00D5212E" w:rsidRDefault="00C27A08" w:rsidP="006C4607">
            <w:pPr>
              <w:pStyle w:val="naiskr"/>
              <w:spacing w:before="0" w:after="0"/>
              <w:rPr>
                <w:color w:val="000000" w:themeColor="text1"/>
                <w:sz w:val="22"/>
                <w:szCs w:val="22"/>
              </w:rPr>
            </w:pPr>
            <w:r w:rsidRPr="00D5212E">
              <w:rPr>
                <w:color w:val="000000" w:themeColor="text1"/>
                <w:sz w:val="22"/>
                <w:szCs w:val="22"/>
              </w:rPr>
              <w:t>Sabiedrības mērķgrupa</w:t>
            </w:r>
          </w:p>
        </w:tc>
        <w:tc>
          <w:tcPr>
            <w:tcW w:w="5615" w:type="dxa"/>
          </w:tcPr>
          <w:p w:rsidR="00073A41" w:rsidRPr="00D5212E" w:rsidRDefault="00073A41" w:rsidP="00073A41">
            <w:pPr>
              <w:jc w:val="both"/>
              <w:rPr>
                <w:color w:val="000000" w:themeColor="text1"/>
              </w:rPr>
            </w:pPr>
            <w:r w:rsidRPr="00D5212E">
              <w:rPr>
                <w:color w:val="000000" w:themeColor="text1"/>
              </w:rPr>
              <w:t>Noteikumu projektā paredzētais regulējums attiecināms uz meža īpašniekiem un tiesiskajiem valdītājiem. Pēc Valsts meža dienesta datiem, valstī ir 150 000–160 000 meža īpašnieku un tiesisko valdītāju.</w:t>
            </w:r>
          </w:p>
          <w:p w:rsidR="0062298A" w:rsidRPr="00D5212E" w:rsidRDefault="005818F3" w:rsidP="00E7479E">
            <w:pPr>
              <w:jc w:val="both"/>
              <w:rPr>
                <w:color w:val="000000" w:themeColor="text1"/>
              </w:rPr>
            </w:pPr>
            <w:r w:rsidRPr="00D5212E">
              <w:rPr>
                <w:bCs/>
                <w:color w:val="000000" w:themeColor="text1"/>
              </w:rPr>
              <w:t>Jā</w:t>
            </w:r>
            <w:r w:rsidR="00E7479E" w:rsidRPr="00D5212E">
              <w:rPr>
                <w:bCs/>
                <w:color w:val="000000" w:themeColor="text1"/>
              </w:rPr>
              <w:t>piebilst</w:t>
            </w:r>
            <w:r w:rsidRPr="00D5212E">
              <w:rPr>
                <w:bCs/>
                <w:color w:val="000000" w:themeColor="text1"/>
              </w:rPr>
              <w:t xml:space="preserve">, ka tikai neliela daļa meža īpašnieku vai tiesisko valdītāju izrāda vēlmi zemi atmežot. </w:t>
            </w:r>
            <w:r w:rsidR="00073A41" w:rsidRPr="00D5212E">
              <w:rPr>
                <w:bCs/>
                <w:color w:val="000000" w:themeColor="text1"/>
              </w:rPr>
              <w:t>Pēc iepriekšējo gadu Valsts meža dienesta datiem</w:t>
            </w:r>
            <w:r w:rsidR="00E7479E" w:rsidRPr="00D5212E">
              <w:rPr>
                <w:bCs/>
                <w:color w:val="000000" w:themeColor="text1"/>
              </w:rPr>
              <w:t>,</w:t>
            </w:r>
            <w:r w:rsidR="00073A41" w:rsidRPr="00D5212E">
              <w:rPr>
                <w:bCs/>
                <w:color w:val="000000" w:themeColor="text1"/>
              </w:rPr>
              <w:t xml:space="preserve"> </w:t>
            </w:r>
            <w:r w:rsidR="00F53538" w:rsidRPr="00D5212E">
              <w:rPr>
                <w:bCs/>
                <w:color w:val="000000" w:themeColor="text1"/>
              </w:rPr>
              <w:t>apmēram 0,2% meža īpašniek</w:t>
            </w:r>
            <w:r w:rsidR="00E7479E" w:rsidRPr="00D5212E">
              <w:rPr>
                <w:bCs/>
                <w:color w:val="000000" w:themeColor="text1"/>
              </w:rPr>
              <w:t>u</w:t>
            </w:r>
            <w:r w:rsidR="00F53538" w:rsidRPr="00D5212E">
              <w:rPr>
                <w:bCs/>
                <w:color w:val="000000" w:themeColor="text1"/>
              </w:rPr>
              <w:t xml:space="preserve"> ir iesnieguši pieteikumu meža zemes transformācijai. </w:t>
            </w:r>
            <w:r w:rsidR="00073A41" w:rsidRPr="00D5212E">
              <w:rPr>
                <w:bCs/>
                <w:color w:val="000000" w:themeColor="text1"/>
              </w:rPr>
              <w:t>2011.</w:t>
            </w:r>
            <w:r w:rsidR="00E7479E" w:rsidRPr="00D5212E">
              <w:rPr>
                <w:bCs/>
                <w:color w:val="000000" w:themeColor="text1"/>
              </w:rPr>
              <w:t> </w:t>
            </w:r>
            <w:r w:rsidR="00073A41" w:rsidRPr="00D5212E">
              <w:rPr>
                <w:bCs/>
                <w:color w:val="000000" w:themeColor="text1"/>
              </w:rPr>
              <w:t>gadā</w:t>
            </w:r>
            <w:r w:rsidR="00073A41" w:rsidRPr="00D5212E">
              <w:rPr>
                <w:color w:val="000000" w:themeColor="text1"/>
              </w:rPr>
              <w:t xml:space="preserve"> kopumā izsniegtas </w:t>
            </w:r>
            <w:r w:rsidR="00073A41" w:rsidRPr="00D5212E">
              <w:rPr>
                <w:bCs/>
                <w:color w:val="000000" w:themeColor="text1"/>
              </w:rPr>
              <w:t>343 atļaujas</w:t>
            </w:r>
            <w:r w:rsidR="00073A41" w:rsidRPr="00D5212E">
              <w:rPr>
                <w:color w:val="000000" w:themeColor="text1"/>
              </w:rPr>
              <w:t xml:space="preserve"> </w:t>
            </w:r>
            <w:r w:rsidR="00073A41" w:rsidRPr="00D5212E">
              <w:rPr>
                <w:bCs/>
                <w:color w:val="000000" w:themeColor="text1"/>
              </w:rPr>
              <w:t>354,47 ha</w:t>
            </w:r>
            <w:r w:rsidR="00073A41" w:rsidRPr="00D5212E">
              <w:rPr>
                <w:color w:val="000000" w:themeColor="text1"/>
              </w:rPr>
              <w:t xml:space="preserve"> meža zemju transformēšanai un </w:t>
            </w:r>
            <w:r w:rsidR="00073A41" w:rsidRPr="00D5212E">
              <w:rPr>
                <w:bCs/>
                <w:color w:val="000000" w:themeColor="text1"/>
              </w:rPr>
              <w:t>36</w:t>
            </w:r>
            <w:r w:rsidR="00E7479E" w:rsidRPr="00D5212E">
              <w:rPr>
                <w:color w:val="000000" w:themeColor="text1"/>
              </w:rPr>
              <w:t> </w:t>
            </w:r>
            <w:r w:rsidR="00073A41" w:rsidRPr="00D5212E">
              <w:rPr>
                <w:color w:val="000000" w:themeColor="text1"/>
              </w:rPr>
              <w:t xml:space="preserve">meža zemju transformācijas </w:t>
            </w:r>
            <w:r w:rsidR="00073A41" w:rsidRPr="00D5212E">
              <w:rPr>
                <w:bCs/>
                <w:color w:val="000000" w:themeColor="text1"/>
              </w:rPr>
              <w:t>atteikumi</w:t>
            </w:r>
            <w:r w:rsidR="00073A41" w:rsidRPr="00D5212E">
              <w:rPr>
                <w:color w:val="000000" w:themeColor="text1"/>
              </w:rPr>
              <w:t>.</w:t>
            </w:r>
          </w:p>
        </w:tc>
      </w:tr>
      <w:tr w:rsidR="0062298A" w:rsidRPr="00D5212E" w:rsidTr="00FF7ED1">
        <w:trPr>
          <w:trHeight w:val="523"/>
        </w:trPr>
        <w:tc>
          <w:tcPr>
            <w:tcW w:w="545" w:type="dxa"/>
          </w:tcPr>
          <w:p w:rsidR="0062298A" w:rsidRPr="00D5212E" w:rsidRDefault="0062298A" w:rsidP="006C4607">
            <w:pPr>
              <w:pStyle w:val="naiskr"/>
              <w:spacing w:before="0" w:after="0"/>
              <w:rPr>
                <w:color w:val="000000" w:themeColor="text1"/>
                <w:sz w:val="22"/>
                <w:szCs w:val="22"/>
              </w:rPr>
            </w:pPr>
            <w:r w:rsidRPr="00D5212E">
              <w:rPr>
                <w:color w:val="000000" w:themeColor="text1"/>
                <w:sz w:val="22"/>
                <w:szCs w:val="22"/>
              </w:rPr>
              <w:t>2.</w:t>
            </w:r>
          </w:p>
        </w:tc>
        <w:tc>
          <w:tcPr>
            <w:tcW w:w="3420" w:type="dxa"/>
          </w:tcPr>
          <w:p w:rsidR="00C1133D" w:rsidRPr="00D5212E" w:rsidRDefault="00C27A08" w:rsidP="006C4607">
            <w:pPr>
              <w:pStyle w:val="naiskr"/>
              <w:spacing w:before="0" w:after="0"/>
              <w:rPr>
                <w:color w:val="000000" w:themeColor="text1"/>
                <w:sz w:val="22"/>
                <w:szCs w:val="22"/>
              </w:rPr>
            </w:pPr>
            <w:r w:rsidRPr="00D5212E">
              <w:rPr>
                <w:color w:val="000000" w:themeColor="text1"/>
                <w:sz w:val="22"/>
                <w:szCs w:val="22"/>
              </w:rPr>
              <w:t>Citas sabiedrības grupas (bez mērķgrupas), kuras tiesiskais regulējums arī ietekmē vai varētu ietekmēt</w:t>
            </w:r>
          </w:p>
        </w:tc>
        <w:tc>
          <w:tcPr>
            <w:tcW w:w="5615" w:type="dxa"/>
          </w:tcPr>
          <w:p w:rsidR="0062298A" w:rsidRPr="00D5212E" w:rsidRDefault="003C5698" w:rsidP="00BB6B51">
            <w:pPr>
              <w:pStyle w:val="naiskr"/>
              <w:spacing w:before="0" w:after="0"/>
              <w:jc w:val="both"/>
              <w:rPr>
                <w:color w:val="000000" w:themeColor="text1"/>
              </w:rPr>
            </w:pPr>
            <w:r w:rsidRPr="00D5212E">
              <w:rPr>
                <w:color w:val="000000" w:themeColor="text1"/>
              </w:rPr>
              <w:t>Projekts šo jomu neskar.</w:t>
            </w:r>
          </w:p>
        </w:tc>
      </w:tr>
      <w:tr w:rsidR="0062298A" w:rsidRPr="00D5212E" w:rsidTr="006C5518">
        <w:trPr>
          <w:trHeight w:val="274"/>
        </w:trPr>
        <w:tc>
          <w:tcPr>
            <w:tcW w:w="545" w:type="dxa"/>
          </w:tcPr>
          <w:p w:rsidR="0062298A" w:rsidRPr="00D5212E" w:rsidRDefault="0062298A" w:rsidP="006C4607">
            <w:pPr>
              <w:pStyle w:val="naiskr"/>
              <w:spacing w:before="0" w:after="0"/>
              <w:rPr>
                <w:color w:val="000000" w:themeColor="text1"/>
                <w:sz w:val="22"/>
                <w:szCs w:val="22"/>
              </w:rPr>
            </w:pPr>
            <w:r w:rsidRPr="00D5212E">
              <w:rPr>
                <w:color w:val="000000" w:themeColor="text1"/>
                <w:sz w:val="22"/>
                <w:szCs w:val="22"/>
              </w:rPr>
              <w:t>3.</w:t>
            </w:r>
          </w:p>
        </w:tc>
        <w:tc>
          <w:tcPr>
            <w:tcW w:w="3420" w:type="dxa"/>
          </w:tcPr>
          <w:p w:rsidR="00C1133D" w:rsidRPr="00D5212E" w:rsidRDefault="000C790C" w:rsidP="006C4607">
            <w:pPr>
              <w:pStyle w:val="naiskr"/>
              <w:spacing w:before="0" w:after="0"/>
              <w:rPr>
                <w:color w:val="000000" w:themeColor="text1"/>
                <w:sz w:val="22"/>
                <w:szCs w:val="22"/>
              </w:rPr>
            </w:pPr>
            <w:r w:rsidRPr="00D5212E">
              <w:rPr>
                <w:color w:val="000000" w:themeColor="text1"/>
                <w:sz w:val="22"/>
                <w:szCs w:val="22"/>
              </w:rPr>
              <w:t>Tiesiskā r</w:t>
            </w:r>
            <w:r w:rsidR="003D21FF" w:rsidRPr="00D5212E">
              <w:rPr>
                <w:color w:val="000000" w:themeColor="text1"/>
                <w:sz w:val="22"/>
                <w:szCs w:val="22"/>
              </w:rPr>
              <w:t>egulējuma</w:t>
            </w:r>
            <w:r w:rsidR="00C27A08" w:rsidRPr="00D5212E">
              <w:rPr>
                <w:color w:val="000000" w:themeColor="text1"/>
                <w:sz w:val="22"/>
                <w:szCs w:val="22"/>
              </w:rPr>
              <w:t xml:space="preserve"> finansiālā ietekme</w:t>
            </w:r>
          </w:p>
        </w:tc>
        <w:tc>
          <w:tcPr>
            <w:tcW w:w="5615" w:type="dxa"/>
          </w:tcPr>
          <w:p w:rsidR="00607194" w:rsidRPr="00D5212E" w:rsidRDefault="002A5B90" w:rsidP="00193626">
            <w:pPr>
              <w:pStyle w:val="naiskr"/>
              <w:spacing w:before="0" w:after="0"/>
              <w:jc w:val="both"/>
              <w:rPr>
                <w:bCs/>
                <w:color w:val="000000" w:themeColor="text1"/>
                <w:szCs w:val="28"/>
              </w:rPr>
            </w:pPr>
            <w:r w:rsidRPr="00D5212E">
              <w:rPr>
                <w:color w:val="000000" w:themeColor="text1"/>
              </w:rPr>
              <w:t>Noteikumu projekta tiešā finansiālā ietekme uz šīs sadaļas 1.punktā minēto sabiedrības mērķgrupu s</w:t>
            </w:r>
            <w:r w:rsidR="001242FB" w:rsidRPr="00D5212E">
              <w:rPr>
                <w:color w:val="000000" w:themeColor="text1"/>
              </w:rPr>
              <w:t>alīdzin</w:t>
            </w:r>
            <w:r w:rsidR="00CE2423" w:rsidRPr="00D5212E">
              <w:rPr>
                <w:color w:val="000000" w:themeColor="text1"/>
              </w:rPr>
              <w:t>ājumā</w:t>
            </w:r>
            <w:r w:rsidR="001242FB" w:rsidRPr="00D5212E">
              <w:rPr>
                <w:color w:val="000000" w:themeColor="text1"/>
              </w:rPr>
              <w:t xml:space="preserve"> ar līdzšinējo kārtību paredz, ka </w:t>
            </w:r>
            <w:r w:rsidR="00F53538" w:rsidRPr="00D5212E">
              <w:rPr>
                <w:color w:val="000000" w:themeColor="text1"/>
              </w:rPr>
              <w:t xml:space="preserve">atmežošanas kompensācijas apmērs netiks diferencēts atkarībā no atmežojamā platībā esošās mežaudzes vecuma. </w:t>
            </w:r>
            <w:r w:rsidR="00E7479E" w:rsidRPr="00D5212E">
              <w:rPr>
                <w:color w:val="000000" w:themeColor="text1"/>
              </w:rPr>
              <w:t>Tāpēc</w:t>
            </w:r>
            <w:r w:rsidR="00F53538" w:rsidRPr="00D5212E">
              <w:rPr>
                <w:color w:val="000000" w:themeColor="text1"/>
              </w:rPr>
              <w:t xml:space="preserve"> kompensācijas apmērs </w:t>
            </w:r>
            <w:r w:rsidR="00E7479E" w:rsidRPr="00D5212E">
              <w:rPr>
                <w:color w:val="000000" w:themeColor="text1"/>
              </w:rPr>
              <w:t xml:space="preserve">par </w:t>
            </w:r>
            <w:r w:rsidR="00F53538" w:rsidRPr="00D5212E">
              <w:rPr>
                <w:color w:val="000000" w:themeColor="text1"/>
              </w:rPr>
              <w:t xml:space="preserve">izcirtuma un jaunaudžu platības </w:t>
            </w:r>
            <w:r w:rsidR="00E7479E" w:rsidRPr="00D5212E">
              <w:rPr>
                <w:color w:val="000000" w:themeColor="text1"/>
              </w:rPr>
              <w:t xml:space="preserve">atmežošanu </w:t>
            </w:r>
            <w:r w:rsidR="00F53538" w:rsidRPr="00D5212E">
              <w:rPr>
                <w:color w:val="000000" w:themeColor="text1"/>
              </w:rPr>
              <w:t xml:space="preserve">būs lielāks par līdzšinējo, bet mazāks </w:t>
            </w:r>
            <w:r w:rsidR="00E7479E" w:rsidRPr="00D5212E">
              <w:rPr>
                <w:color w:val="000000" w:themeColor="text1"/>
              </w:rPr>
              <w:t>par</w:t>
            </w:r>
            <w:r w:rsidR="00F53538" w:rsidRPr="00D5212E">
              <w:rPr>
                <w:color w:val="000000" w:themeColor="text1"/>
              </w:rPr>
              <w:t xml:space="preserve"> vidēja un pieauguša  vecuma mežaud</w:t>
            </w:r>
            <w:r w:rsidR="00E7479E" w:rsidRPr="00D5212E">
              <w:rPr>
                <w:color w:val="000000" w:themeColor="text1"/>
              </w:rPr>
              <w:t>žu atmežošanu</w:t>
            </w:r>
            <w:r w:rsidR="00F53538" w:rsidRPr="00D5212E">
              <w:rPr>
                <w:color w:val="000000" w:themeColor="text1"/>
              </w:rPr>
              <w:t xml:space="preserve">. </w:t>
            </w:r>
            <w:r w:rsidR="001242FB" w:rsidRPr="00D5212E">
              <w:rPr>
                <w:color w:val="000000" w:themeColor="text1"/>
              </w:rPr>
              <w:t xml:space="preserve"> </w:t>
            </w:r>
            <w:r w:rsidR="00CC3148" w:rsidRPr="00D5212E">
              <w:rPr>
                <w:bCs/>
                <w:color w:val="000000" w:themeColor="text1"/>
                <w:szCs w:val="28"/>
              </w:rPr>
              <w:t>Kompensācijas apmēru būs iespējams samazināt, kompensējot CO</w:t>
            </w:r>
            <w:r w:rsidR="00CC3148" w:rsidRPr="00D5212E">
              <w:rPr>
                <w:bCs/>
                <w:color w:val="000000" w:themeColor="text1"/>
                <w:szCs w:val="28"/>
                <w:vertAlign w:val="subscript"/>
              </w:rPr>
              <w:t>2</w:t>
            </w:r>
            <w:r w:rsidR="00CC3148" w:rsidRPr="00D5212E">
              <w:rPr>
                <w:bCs/>
                <w:color w:val="000000" w:themeColor="text1"/>
                <w:szCs w:val="28"/>
              </w:rPr>
              <w:t xml:space="preserve"> piesaistes potenciāla samazināšanos, ieaudzējot mežu citā vietā.</w:t>
            </w:r>
            <w:r w:rsidR="00BA2907" w:rsidRPr="00D5212E">
              <w:rPr>
                <w:bCs/>
                <w:color w:val="000000" w:themeColor="text1"/>
                <w:szCs w:val="28"/>
              </w:rPr>
              <w:t xml:space="preserve"> Kompensācijas apmērs ir samazināts platībās, kurās veic derīgo izrakteņu ieguvi, j</w:t>
            </w:r>
            <w:r w:rsidR="003F0722" w:rsidRPr="00D5212E">
              <w:rPr>
                <w:bCs/>
                <w:color w:val="000000" w:themeColor="text1"/>
                <w:szCs w:val="28"/>
              </w:rPr>
              <w:t xml:space="preserve">a </w:t>
            </w:r>
            <w:r w:rsidR="006C5518" w:rsidRPr="00D5212E">
              <w:rPr>
                <w:bCs/>
                <w:color w:val="000000" w:themeColor="text1"/>
                <w:szCs w:val="28"/>
              </w:rPr>
              <w:t>derīgo izrakteņu ieguves projektā ir paredzēts platību rekultivēt mežsaimniecībai</w:t>
            </w:r>
            <w:r w:rsidR="003F0722" w:rsidRPr="00D5212E">
              <w:rPr>
                <w:bCs/>
                <w:color w:val="000000" w:themeColor="text1"/>
                <w:szCs w:val="28"/>
              </w:rPr>
              <w:t xml:space="preserve"> </w:t>
            </w:r>
            <w:r w:rsidR="006C5518" w:rsidRPr="00D5212E">
              <w:rPr>
                <w:bCs/>
                <w:color w:val="000000" w:themeColor="text1"/>
                <w:szCs w:val="28"/>
              </w:rPr>
              <w:t xml:space="preserve">(platībā ieaudzēt mežu) </w:t>
            </w:r>
            <w:r w:rsidR="00193626" w:rsidRPr="00D5212E">
              <w:rPr>
                <w:bCs/>
                <w:color w:val="000000" w:themeColor="text1"/>
                <w:szCs w:val="28"/>
              </w:rPr>
              <w:t>.</w:t>
            </w:r>
          </w:p>
          <w:p w:rsidR="00193626" w:rsidRPr="00D5212E" w:rsidRDefault="006C5518" w:rsidP="006C5518">
            <w:pPr>
              <w:pStyle w:val="naiskr"/>
              <w:spacing w:before="0" w:after="0"/>
              <w:jc w:val="both"/>
              <w:rPr>
                <w:color w:val="000000" w:themeColor="text1"/>
              </w:rPr>
            </w:pPr>
            <w:r w:rsidRPr="00D5212E">
              <w:rPr>
                <w:color w:val="000000" w:themeColor="text1"/>
              </w:rPr>
              <w:lastRenderedPageBreak/>
              <w:t>Lai veicinātu novadu attīstību, n</w:t>
            </w:r>
            <w:r w:rsidR="00193626" w:rsidRPr="00D5212E">
              <w:rPr>
                <w:color w:val="000000" w:themeColor="text1"/>
              </w:rPr>
              <w:t>oteikum</w:t>
            </w:r>
            <w:r w:rsidRPr="00D5212E">
              <w:rPr>
                <w:color w:val="000000" w:themeColor="text1"/>
              </w:rPr>
              <w:t>u</w:t>
            </w:r>
            <w:r w:rsidR="00193626" w:rsidRPr="00D5212E">
              <w:rPr>
                <w:color w:val="000000" w:themeColor="text1"/>
              </w:rPr>
              <w:t xml:space="preserve"> paredz samazināt kompensācijas apmēru novados, kuros ir negatīvs teritorijas attīstības indekss. </w:t>
            </w:r>
          </w:p>
        </w:tc>
      </w:tr>
      <w:tr w:rsidR="00C27A08" w:rsidRPr="00D5212E" w:rsidTr="00FF7ED1">
        <w:trPr>
          <w:trHeight w:val="517"/>
        </w:trPr>
        <w:tc>
          <w:tcPr>
            <w:tcW w:w="545" w:type="dxa"/>
          </w:tcPr>
          <w:p w:rsidR="00C27A08" w:rsidRPr="00D5212E" w:rsidRDefault="00C27A08" w:rsidP="006C4607">
            <w:pPr>
              <w:pStyle w:val="naiskr"/>
              <w:spacing w:before="0" w:after="0"/>
              <w:rPr>
                <w:color w:val="000000" w:themeColor="text1"/>
                <w:sz w:val="22"/>
                <w:szCs w:val="22"/>
              </w:rPr>
            </w:pPr>
            <w:r w:rsidRPr="00D5212E">
              <w:rPr>
                <w:color w:val="000000" w:themeColor="text1"/>
                <w:sz w:val="22"/>
                <w:szCs w:val="22"/>
              </w:rPr>
              <w:lastRenderedPageBreak/>
              <w:t>4.</w:t>
            </w:r>
          </w:p>
        </w:tc>
        <w:tc>
          <w:tcPr>
            <w:tcW w:w="3420" w:type="dxa"/>
          </w:tcPr>
          <w:p w:rsidR="00C27A08" w:rsidRPr="00D5212E" w:rsidRDefault="00C27A08" w:rsidP="006C4607">
            <w:pPr>
              <w:pStyle w:val="naiskr"/>
              <w:spacing w:before="0" w:after="0"/>
              <w:rPr>
                <w:color w:val="000000" w:themeColor="text1"/>
                <w:sz w:val="22"/>
                <w:szCs w:val="22"/>
              </w:rPr>
            </w:pPr>
            <w:r w:rsidRPr="00D5212E">
              <w:rPr>
                <w:color w:val="000000" w:themeColor="text1"/>
                <w:sz w:val="22"/>
                <w:szCs w:val="22"/>
              </w:rPr>
              <w:t>Tiesiskā regulējuma nefinansiālā ietekme</w:t>
            </w:r>
          </w:p>
        </w:tc>
        <w:tc>
          <w:tcPr>
            <w:tcW w:w="5615" w:type="dxa"/>
          </w:tcPr>
          <w:p w:rsidR="00D864DF" w:rsidRPr="00D5212E" w:rsidRDefault="00D864DF" w:rsidP="00D864DF">
            <w:pPr>
              <w:jc w:val="both"/>
              <w:rPr>
                <w:color w:val="000000" w:themeColor="text1"/>
              </w:rPr>
            </w:pPr>
            <w:r w:rsidRPr="00D5212E">
              <w:rPr>
                <w:color w:val="000000" w:themeColor="text1"/>
              </w:rPr>
              <w:t>Noteikumu projekts paredz pozitīvu ietekmi uz CO</w:t>
            </w:r>
            <w:r w:rsidRPr="00D5212E">
              <w:rPr>
                <w:color w:val="000000" w:themeColor="text1"/>
                <w:vertAlign w:val="subscript"/>
              </w:rPr>
              <w:t>2</w:t>
            </w:r>
            <w:r w:rsidRPr="00D5212E">
              <w:rPr>
                <w:color w:val="000000" w:themeColor="text1"/>
              </w:rPr>
              <w:t xml:space="preserve"> bilanci zemes izmantošanas, zemes izmantošanas maiņas un mežsaimniecības sektorā, jo </w:t>
            </w:r>
            <w:r w:rsidR="00E7479E" w:rsidRPr="00D5212E">
              <w:rPr>
                <w:color w:val="000000" w:themeColor="text1"/>
              </w:rPr>
              <w:t>nosaka</w:t>
            </w:r>
            <w:r w:rsidRPr="00D5212E">
              <w:rPr>
                <w:color w:val="000000" w:themeColor="text1"/>
              </w:rPr>
              <w:t xml:space="preserve">, ka atmežošanas negatīvā ietekme uz </w:t>
            </w:r>
            <w:r w:rsidRPr="00D5212E">
              <w:rPr>
                <w:bCs/>
                <w:color w:val="000000" w:themeColor="text1"/>
                <w:szCs w:val="28"/>
              </w:rPr>
              <w:t>CO</w:t>
            </w:r>
            <w:r w:rsidRPr="00D5212E">
              <w:rPr>
                <w:bCs/>
                <w:color w:val="000000" w:themeColor="text1"/>
                <w:szCs w:val="28"/>
                <w:vertAlign w:val="subscript"/>
              </w:rPr>
              <w:t>2</w:t>
            </w:r>
            <w:r w:rsidRPr="00D5212E">
              <w:rPr>
                <w:bCs/>
                <w:color w:val="000000" w:themeColor="text1"/>
                <w:szCs w:val="28"/>
              </w:rPr>
              <w:t xml:space="preserve"> piesaistes potenciāla samazināšanos var tikt kompensēta ar meža ieaudzēšanu citā vietā. Sagaidāms, ka ieaudzētajās mežaudzēs </w:t>
            </w:r>
            <w:r w:rsidRPr="00D5212E">
              <w:rPr>
                <w:color w:val="000000" w:themeColor="text1"/>
              </w:rPr>
              <w:t>palielināsies koksnes krājas pieaugums un CO</w:t>
            </w:r>
            <w:r w:rsidRPr="00D5212E">
              <w:rPr>
                <w:color w:val="000000" w:themeColor="text1"/>
                <w:vertAlign w:val="subscript"/>
              </w:rPr>
              <w:t>2</w:t>
            </w:r>
            <w:r w:rsidRPr="00D5212E">
              <w:rPr>
                <w:color w:val="000000" w:themeColor="text1"/>
              </w:rPr>
              <w:t xml:space="preserve"> piesaiste. </w:t>
            </w:r>
          </w:p>
          <w:p w:rsidR="00D864DF" w:rsidRPr="00D5212E" w:rsidRDefault="00D864DF" w:rsidP="00D864DF">
            <w:pPr>
              <w:pStyle w:val="naiskr"/>
              <w:spacing w:before="0" w:after="0"/>
              <w:jc w:val="both"/>
              <w:rPr>
                <w:iCs/>
                <w:color w:val="000000" w:themeColor="text1"/>
              </w:rPr>
            </w:pPr>
            <w:r w:rsidRPr="00D5212E">
              <w:rPr>
                <w:iCs/>
                <w:color w:val="000000" w:themeColor="text1"/>
              </w:rPr>
              <w:t xml:space="preserve">Noteikumu projektam būs pozitīva ietekme arī uz teritoriju attīstību, jo īpaši teritorijās, kurās ir negatīvs </w:t>
            </w:r>
            <w:r w:rsidRPr="00D5212E">
              <w:rPr>
                <w:color w:val="000000" w:themeColor="text1"/>
              </w:rPr>
              <w:t xml:space="preserve">teritorijas attīstības indekss, jo līdz šim nesamērīgi </w:t>
            </w:r>
            <w:r w:rsidR="00E7479E" w:rsidRPr="00D5212E">
              <w:rPr>
                <w:color w:val="000000" w:themeColor="text1"/>
              </w:rPr>
              <w:t>liel</w:t>
            </w:r>
            <w:r w:rsidRPr="00D5212E">
              <w:rPr>
                <w:color w:val="000000" w:themeColor="text1"/>
              </w:rPr>
              <w:t xml:space="preserve">ie zaudējumi par meža vides iznīcināšanu, kas personai bija jāatlīdzina valstij par meža zemes transformāciju, bieži kavēja </w:t>
            </w:r>
            <w:r w:rsidR="005B2E33" w:rsidRPr="00D5212E">
              <w:rPr>
                <w:color w:val="000000" w:themeColor="text1"/>
              </w:rPr>
              <w:t xml:space="preserve">gan </w:t>
            </w:r>
            <w:r w:rsidRPr="00D5212E">
              <w:rPr>
                <w:color w:val="000000" w:themeColor="text1"/>
              </w:rPr>
              <w:t>teritorijas</w:t>
            </w:r>
            <w:r w:rsidR="005B2E33" w:rsidRPr="00D5212E">
              <w:rPr>
                <w:color w:val="000000" w:themeColor="text1"/>
              </w:rPr>
              <w:t xml:space="preserve">, gan </w:t>
            </w:r>
            <w:r w:rsidRPr="00D5212E">
              <w:rPr>
                <w:color w:val="000000" w:themeColor="text1"/>
              </w:rPr>
              <w:t xml:space="preserve">uzņēmējdarbības attīstību. </w:t>
            </w:r>
            <w:r w:rsidRPr="00D5212E">
              <w:rPr>
                <w:iCs/>
                <w:color w:val="000000" w:themeColor="text1"/>
              </w:rPr>
              <w:t xml:space="preserve"> </w:t>
            </w:r>
          </w:p>
          <w:p w:rsidR="00FB1A98" w:rsidRPr="00D5212E" w:rsidRDefault="00D864DF" w:rsidP="009778A4">
            <w:pPr>
              <w:pStyle w:val="naiskr"/>
              <w:spacing w:before="0" w:after="0"/>
              <w:jc w:val="both"/>
              <w:rPr>
                <w:iCs/>
                <w:color w:val="000000" w:themeColor="text1"/>
              </w:rPr>
            </w:pPr>
            <w:r w:rsidRPr="00D5212E">
              <w:rPr>
                <w:iCs/>
                <w:color w:val="000000" w:themeColor="text1"/>
              </w:rPr>
              <w:t xml:space="preserve">Vienlaikus noteikumu projekts </w:t>
            </w:r>
            <w:r w:rsidR="009778A4" w:rsidRPr="00D5212E">
              <w:rPr>
                <w:iCs/>
                <w:color w:val="000000" w:themeColor="text1"/>
              </w:rPr>
              <w:t xml:space="preserve">bioloģiskās daudzveidības aizsardzības un dažādo </w:t>
            </w:r>
            <w:r w:rsidR="009778A4" w:rsidRPr="00D5212E">
              <w:rPr>
                <w:color w:val="000000" w:themeColor="text1"/>
                <w:szCs w:val="28"/>
              </w:rPr>
              <w:t xml:space="preserve">aizsargjoslu funkciju kvalitātes nodrošināšanas </w:t>
            </w:r>
            <w:r w:rsidR="009778A4" w:rsidRPr="00D5212E">
              <w:rPr>
                <w:iCs/>
                <w:color w:val="000000" w:themeColor="text1"/>
              </w:rPr>
              <w:t xml:space="preserve">nolūkā </w:t>
            </w:r>
            <w:r w:rsidR="00D57527" w:rsidRPr="00D5212E">
              <w:rPr>
                <w:iCs/>
                <w:color w:val="000000" w:themeColor="text1"/>
              </w:rPr>
              <w:t xml:space="preserve">paredz </w:t>
            </w:r>
            <w:r w:rsidR="00193626" w:rsidRPr="00D5212E">
              <w:rPr>
                <w:iCs/>
                <w:color w:val="000000" w:themeColor="text1"/>
              </w:rPr>
              <w:t xml:space="preserve">saglabāt salīdzinoši </w:t>
            </w:r>
            <w:r w:rsidR="00E7479E" w:rsidRPr="00D5212E">
              <w:rPr>
                <w:iCs/>
                <w:color w:val="000000" w:themeColor="text1"/>
              </w:rPr>
              <w:t>liel</w:t>
            </w:r>
            <w:r w:rsidR="00193626" w:rsidRPr="00D5212E">
              <w:rPr>
                <w:iCs/>
                <w:color w:val="000000" w:themeColor="text1"/>
              </w:rPr>
              <w:t>u atmežošanas kompensācijas apmēru Baltijas jūras un Rīgas jūras līča krasta kāpu aizsargjoslā, pārējās vides un dabas resursu aizsargjoslās, īpaši aizsargājamās dabas teritorijās un citās teritorijās, kurās ierobežota mežsaimnieciskā darbība</w:t>
            </w:r>
            <w:r w:rsidR="009778A4" w:rsidRPr="00D5212E">
              <w:rPr>
                <w:iCs/>
                <w:color w:val="000000" w:themeColor="text1"/>
              </w:rPr>
              <w:t>.</w:t>
            </w:r>
          </w:p>
        </w:tc>
      </w:tr>
      <w:tr w:rsidR="0062298A" w:rsidRPr="00D5212E" w:rsidTr="00FF7ED1">
        <w:trPr>
          <w:trHeight w:val="531"/>
        </w:trPr>
        <w:tc>
          <w:tcPr>
            <w:tcW w:w="545" w:type="dxa"/>
          </w:tcPr>
          <w:p w:rsidR="0062298A" w:rsidRPr="00D5212E" w:rsidRDefault="00C27A08" w:rsidP="006C4607">
            <w:pPr>
              <w:pStyle w:val="naiskr"/>
              <w:spacing w:before="0" w:after="0"/>
              <w:rPr>
                <w:color w:val="000000" w:themeColor="text1"/>
                <w:sz w:val="22"/>
                <w:szCs w:val="22"/>
              </w:rPr>
            </w:pPr>
            <w:r w:rsidRPr="00D5212E">
              <w:rPr>
                <w:color w:val="000000" w:themeColor="text1"/>
                <w:sz w:val="22"/>
                <w:szCs w:val="22"/>
              </w:rPr>
              <w:t>5</w:t>
            </w:r>
            <w:r w:rsidR="0062298A" w:rsidRPr="00D5212E">
              <w:rPr>
                <w:color w:val="000000" w:themeColor="text1"/>
                <w:sz w:val="22"/>
                <w:szCs w:val="22"/>
              </w:rPr>
              <w:t>.</w:t>
            </w:r>
          </w:p>
        </w:tc>
        <w:tc>
          <w:tcPr>
            <w:tcW w:w="3420" w:type="dxa"/>
          </w:tcPr>
          <w:p w:rsidR="00C1133D" w:rsidRPr="00D5212E" w:rsidRDefault="00C1133D" w:rsidP="006C4607">
            <w:pPr>
              <w:pStyle w:val="naiskr"/>
              <w:spacing w:before="0" w:after="0"/>
              <w:rPr>
                <w:color w:val="000000" w:themeColor="text1"/>
                <w:sz w:val="22"/>
                <w:szCs w:val="22"/>
              </w:rPr>
            </w:pPr>
            <w:r w:rsidRPr="00D5212E">
              <w:rPr>
                <w:color w:val="000000" w:themeColor="text1"/>
                <w:sz w:val="22"/>
                <w:szCs w:val="22"/>
              </w:rPr>
              <w:t>Administratīv</w:t>
            </w:r>
            <w:r w:rsidR="00C27A08" w:rsidRPr="00D5212E">
              <w:rPr>
                <w:color w:val="000000" w:themeColor="text1"/>
                <w:sz w:val="22"/>
                <w:szCs w:val="22"/>
              </w:rPr>
              <w:t>ās</w:t>
            </w:r>
            <w:r w:rsidRPr="00D5212E">
              <w:rPr>
                <w:color w:val="000000" w:themeColor="text1"/>
                <w:sz w:val="22"/>
                <w:szCs w:val="22"/>
              </w:rPr>
              <w:t xml:space="preserve"> procedūr</w:t>
            </w:r>
            <w:r w:rsidR="00965897" w:rsidRPr="00D5212E">
              <w:rPr>
                <w:color w:val="000000" w:themeColor="text1"/>
                <w:sz w:val="22"/>
                <w:szCs w:val="22"/>
              </w:rPr>
              <w:t>a</w:t>
            </w:r>
            <w:r w:rsidRPr="00D5212E">
              <w:rPr>
                <w:color w:val="000000" w:themeColor="text1"/>
                <w:sz w:val="22"/>
                <w:szCs w:val="22"/>
              </w:rPr>
              <w:t xml:space="preserve">s </w:t>
            </w:r>
            <w:r w:rsidR="00C27A08" w:rsidRPr="00D5212E">
              <w:rPr>
                <w:color w:val="000000" w:themeColor="text1"/>
                <w:sz w:val="22"/>
                <w:szCs w:val="22"/>
              </w:rPr>
              <w:t>raksturojums</w:t>
            </w:r>
          </w:p>
        </w:tc>
        <w:tc>
          <w:tcPr>
            <w:tcW w:w="5615" w:type="dxa"/>
          </w:tcPr>
          <w:p w:rsidR="008342B8" w:rsidRPr="00D5212E" w:rsidRDefault="00E93AC8" w:rsidP="007F5BCC">
            <w:pPr>
              <w:pStyle w:val="naiskr"/>
              <w:spacing w:before="0" w:after="0"/>
              <w:jc w:val="both"/>
              <w:rPr>
                <w:iCs/>
                <w:color w:val="000000" w:themeColor="text1"/>
              </w:rPr>
            </w:pPr>
            <w:r w:rsidRPr="00D5212E">
              <w:rPr>
                <w:color w:val="000000" w:themeColor="text1"/>
              </w:rPr>
              <w:t>Projekts šo jomu neskar.</w:t>
            </w:r>
          </w:p>
        </w:tc>
      </w:tr>
      <w:tr w:rsidR="0062298A" w:rsidRPr="00D5212E" w:rsidTr="00FF7ED1">
        <w:trPr>
          <w:trHeight w:val="357"/>
        </w:trPr>
        <w:tc>
          <w:tcPr>
            <w:tcW w:w="545" w:type="dxa"/>
          </w:tcPr>
          <w:p w:rsidR="0062298A" w:rsidRPr="00D5212E" w:rsidRDefault="00C27A08" w:rsidP="006C4607">
            <w:pPr>
              <w:pStyle w:val="naiskr"/>
              <w:spacing w:before="0" w:after="0"/>
              <w:rPr>
                <w:color w:val="000000" w:themeColor="text1"/>
                <w:sz w:val="22"/>
                <w:szCs w:val="22"/>
              </w:rPr>
            </w:pPr>
            <w:r w:rsidRPr="00D5212E">
              <w:rPr>
                <w:color w:val="000000" w:themeColor="text1"/>
                <w:sz w:val="22"/>
                <w:szCs w:val="22"/>
              </w:rPr>
              <w:t>6</w:t>
            </w:r>
            <w:r w:rsidR="0062298A" w:rsidRPr="00D5212E">
              <w:rPr>
                <w:color w:val="000000" w:themeColor="text1"/>
                <w:sz w:val="22"/>
                <w:szCs w:val="22"/>
              </w:rPr>
              <w:t>.</w:t>
            </w:r>
          </w:p>
        </w:tc>
        <w:tc>
          <w:tcPr>
            <w:tcW w:w="3420" w:type="dxa"/>
          </w:tcPr>
          <w:p w:rsidR="00AE5066" w:rsidRPr="00D5212E" w:rsidRDefault="00C27A08" w:rsidP="006C4607">
            <w:pPr>
              <w:pStyle w:val="naiskr"/>
              <w:spacing w:before="0" w:after="0"/>
              <w:rPr>
                <w:color w:val="000000" w:themeColor="text1"/>
                <w:sz w:val="22"/>
                <w:szCs w:val="22"/>
              </w:rPr>
            </w:pPr>
            <w:r w:rsidRPr="00D5212E">
              <w:rPr>
                <w:color w:val="000000" w:themeColor="text1"/>
                <w:sz w:val="22"/>
                <w:szCs w:val="22"/>
              </w:rPr>
              <w:t xml:space="preserve">Administratīvo izmaksu </w:t>
            </w:r>
            <w:r w:rsidR="00502374" w:rsidRPr="00D5212E">
              <w:rPr>
                <w:color w:val="000000" w:themeColor="text1"/>
                <w:sz w:val="22"/>
                <w:szCs w:val="22"/>
              </w:rPr>
              <w:t xml:space="preserve">monetārs </w:t>
            </w:r>
            <w:r w:rsidRPr="00D5212E">
              <w:rPr>
                <w:color w:val="000000" w:themeColor="text1"/>
                <w:sz w:val="22"/>
                <w:szCs w:val="22"/>
              </w:rPr>
              <w:t>novērtējums</w:t>
            </w:r>
          </w:p>
        </w:tc>
        <w:tc>
          <w:tcPr>
            <w:tcW w:w="5615" w:type="dxa"/>
          </w:tcPr>
          <w:p w:rsidR="0062298A" w:rsidRPr="00D5212E" w:rsidRDefault="003C5698" w:rsidP="006C4607">
            <w:pPr>
              <w:pStyle w:val="naiskr"/>
              <w:spacing w:before="0" w:after="0"/>
              <w:rPr>
                <w:color w:val="000000" w:themeColor="text1"/>
              </w:rPr>
            </w:pPr>
            <w:r w:rsidRPr="00D5212E">
              <w:rPr>
                <w:color w:val="000000" w:themeColor="text1"/>
              </w:rPr>
              <w:t>Projekts šo jomu neskar.</w:t>
            </w:r>
          </w:p>
        </w:tc>
      </w:tr>
      <w:tr w:rsidR="0062298A" w:rsidRPr="00D5212E" w:rsidTr="00FF7ED1">
        <w:tc>
          <w:tcPr>
            <w:tcW w:w="545" w:type="dxa"/>
          </w:tcPr>
          <w:p w:rsidR="0062298A" w:rsidRPr="00D5212E" w:rsidRDefault="00C27A08" w:rsidP="006C4607">
            <w:pPr>
              <w:pStyle w:val="naiskr"/>
              <w:spacing w:before="0" w:after="0"/>
              <w:rPr>
                <w:color w:val="000000" w:themeColor="text1"/>
                <w:sz w:val="22"/>
                <w:szCs w:val="22"/>
              </w:rPr>
            </w:pPr>
            <w:r w:rsidRPr="00D5212E">
              <w:rPr>
                <w:color w:val="000000" w:themeColor="text1"/>
                <w:sz w:val="22"/>
                <w:szCs w:val="22"/>
              </w:rPr>
              <w:t>7</w:t>
            </w:r>
            <w:r w:rsidR="0062298A" w:rsidRPr="00D5212E">
              <w:rPr>
                <w:color w:val="000000" w:themeColor="text1"/>
                <w:sz w:val="22"/>
                <w:szCs w:val="22"/>
              </w:rPr>
              <w:t>.</w:t>
            </w:r>
          </w:p>
        </w:tc>
        <w:tc>
          <w:tcPr>
            <w:tcW w:w="3420" w:type="dxa"/>
          </w:tcPr>
          <w:p w:rsidR="0062298A" w:rsidRPr="00D5212E" w:rsidRDefault="009E12D7" w:rsidP="006C4607">
            <w:pPr>
              <w:pStyle w:val="naiskr"/>
              <w:spacing w:before="0" w:after="0"/>
              <w:rPr>
                <w:color w:val="000000" w:themeColor="text1"/>
                <w:sz w:val="22"/>
                <w:szCs w:val="22"/>
              </w:rPr>
            </w:pPr>
            <w:r w:rsidRPr="00D5212E">
              <w:rPr>
                <w:color w:val="000000" w:themeColor="text1"/>
                <w:sz w:val="22"/>
                <w:szCs w:val="22"/>
              </w:rPr>
              <w:t>Cita informācija</w:t>
            </w:r>
          </w:p>
        </w:tc>
        <w:tc>
          <w:tcPr>
            <w:tcW w:w="5615" w:type="dxa"/>
          </w:tcPr>
          <w:p w:rsidR="0062298A" w:rsidRPr="00D5212E" w:rsidRDefault="00AA6757" w:rsidP="006C4607">
            <w:pPr>
              <w:pStyle w:val="naiskr"/>
              <w:spacing w:before="0" w:after="0"/>
              <w:rPr>
                <w:color w:val="000000" w:themeColor="text1"/>
              </w:rPr>
            </w:pPr>
            <w:r w:rsidRPr="00D5212E">
              <w:rPr>
                <w:color w:val="000000" w:themeColor="text1"/>
              </w:rPr>
              <w:t>Nav</w:t>
            </w:r>
          </w:p>
        </w:tc>
      </w:tr>
    </w:tbl>
    <w:p w:rsidR="00B410E8" w:rsidRPr="00D5212E" w:rsidRDefault="00B410E8" w:rsidP="00B410E8">
      <w:pPr>
        <w:pStyle w:val="naisf"/>
        <w:spacing w:before="0" w:after="0"/>
        <w:ind w:firstLine="0"/>
        <w:rPr>
          <w:color w:val="000000" w:themeColor="text1"/>
        </w:rPr>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41"/>
        <w:gridCol w:w="1338"/>
        <w:gridCol w:w="1907"/>
        <w:gridCol w:w="1240"/>
        <w:gridCol w:w="1240"/>
        <w:gridCol w:w="1275"/>
      </w:tblGrid>
      <w:tr w:rsidR="002A1530" w:rsidRPr="00D5212E" w:rsidTr="002A1530">
        <w:tc>
          <w:tcPr>
            <w:tcW w:w="5000" w:type="pct"/>
            <w:gridSpan w:val="6"/>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jc w:val="center"/>
              <w:rPr>
                <w:color w:val="000000" w:themeColor="text1"/>
              </w:rPr>
            </w:pPr>
            <w:r w:rsidRPr="00D5212E">
              <w:rPr>
                <w:b/>
                <w:bCs/>
                <w:color w:val="000000" w:themeColor="text1"/>
              </w:rPr>
              <w:t>III. Tiesību akta projekta ietekme uz valsts budžetu un pašvaldību budžetiem</w:t>
            </w:r>
          </w:p>
        </w:tc>
      </w:tr>
      <w:tr w:rsidR="002A1530" w:rsidRPr="00D5212E" w:rsidTr="00A80529">
        <w:tc>
          <w:tcPr>
            <w:tcW w:w="1370" w:type="pct"/>
            <w:vMerge w:val="restart"/>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b/>
                <w:bCs/>
                <w:color w:val="000000" w:themeColor="text1"/>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A1530" w:rsidRPr="00D5212E" w:rsidRDefault="00A80529" w:rsidP="002A1530">
            <w:pPr>
              <w:jc w:val="center"/>
              <w:rPr>
                <w:color w:val="000000" w:themeColor="text1"/>
              </w:rPr>
            </w:pPr>
            <w:r w:rsidRPr="00D5212E">
              <w:rPr>
                <w:b/>
                <w:bCs/>
                <w:color w:val="000000" w:themeColor="text1"/>
              </w:rPr>
              <w:t>2012</w:t>
            </w:r>
          </w:p>
        </w:tc>
        <w:tc>
          <w:tcPr>
            <w:tcW w:w="1947" w:type="pct"/>
            <w:gridSpan w:val="3"/>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Turpmākie trīs gadi (tūkst. latu)</w:t>
            </w:r>
          </w:p>
        </w:tc>
      </w:tr>
      <w:tr w:rsidR="002A1530" w:rsidRPr="00D5212E" w:rsidTr="00DD5421">
        <w:tc>
          <w:tcPr>
            <w:tcW w:w="1370" w:type="pct"/>
            <w:vMerge/>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rPr>
                <w:color w:val="000000" w:themeColor="text1"/>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A80529" w:rsidP="002A1530">
            <w:pPr>
              <w:jc w:val="center"/>
              <w:rPr>
                <w:color w:val="000000" w:themeColor="text1"/>
              </w:rPr>
            </w:pPr>
            <w:r w:rsidRPr="00D5212E">
              <w:rPr>
                <w:b/>
                <w:bCs/>
                <w:color w:val="000000" w:themeColor="text1"/>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A80529" w:rsidP="002A1530">
            <w:pPr>
              <w:jc w:val="center"/>
              <w:rPr>
                <w:color w:val="000000" w:themeColor="text1"/>
              </w:rPr>
            </w:pPr>
            <w:r w:rsidRPr="00D5212E">
              <w:rPr>
                <w:b/>
                <w:bCs/>
                <w:color w:val="000000" w:themeColor="text1"/>
              </w:rPr>
              <w:t>2014</w:t>
            </w:r>
          </w:p>
        </w:tc>
        <w:tc>
          <w:tcPr>
            <w:tcW w:w="661" w:type="pct"/>
            <w:tcBorders>
              <w:top w:val="outset" w:sz="6" w:space="0" w:color="auto"/>
              <w:left w:val="outset" w:sz="6" w:space="0" w:color="auto"/>
              <w:bottom w:val="outset" w:sz="6" w:space="0" w:color="auto"/>
              <w:right w:val="outset" w:sz="6" w:space="0" w:color="auto"/>
            </w:tcBorders>
            <w:vAlign w:val="center"/>
            <w:hideMark/>
          </w:tcPr>
          <w:p w:rsidR="002A1530" w:rsidRPr="00D5212E" w:rsidRDefault="00A80529" w:rsidP="002A1530">
            <w:pPr>
              <w:jc w:val="center"/>
              <w:rPr>
                <w:color w:val="000000" w:themeColor="text1"/>
              </w:rPr>
            </w:pPr>
            <w:r w:rsidRPr="00D5212E">
              <w:rPr>
                <w:b/>
                <w:bCs/>
                <w:color w:val="000000" w:themeColor="text1"/>
              </w:rPr>
              <w:t>2015</w:t>
            </w:r>
          </w:p>
        </w:tc>
      </w:tr>
      <w:tr w:rsidR="002A1530" w:rsidRPr="00D5212E" w:rsidTr="00DD5421">
        <w:tc>
          <w:tcPr>
            <w:tcW w:w="1370" w:type="pct"/>
            <w:vMerge/>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Izmaiņas, salīdzinot ar kārtējo (n) gadu</w:t>
            </w:r>
          </w:p>
        </w:tc>
        <w:tc>
          <w:tcPr>
            <w:tcW w:w="661" w:type="pct"/>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Izmaiņas, salīdzinot ar kārtējo (n) gadu</w:t>
            </w:r>
          </w:p>
        </w:tc>
      </w:tr>
      <w:tr w:rsidR="002A1530" w:rsidRPr="00D5212E" w:rsidTr="00DD5421">
        <w:tc>
          <w:tcPr>
            <w:tcW w:w="1370" w:type="pct"/>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5</w:t>
            </w:r>
          </w:p>
        </w:tc>
        <w:tc>
          <w:tcPr>
            <w:tcW w:w="661" w:type="pct"/>
            <w:tcBorders>
              <w:top w:val="outset" w:sz="6" w:space="0" w:color="auto"/>
              <w:left w:val="outset" w:sz="6" w:space="0" w:color="auto"/>
              <w:bottom w:val="outset" w:sz="6" w:space="0" w:color="auto"/>
              <w:right w:val="outset" w:sz="6" w:space="0" w:color="auto"/>
            </w:tcBorders>
            <w:vAlign w:val="center"/>
            <w:hideMark/>
          </w:tcPr>
          <w:p w:rsidR="002A1530" w:rsidRPr="00D5212E" w:rsidRDefault="002A1530" w:rsidP="002A1530">
            <w:pPr>
              <w:jc w:val="center"/>
              <w:rPr>
                <w:color w:val="000000" w:themeColor="text1"/>
              </w:rPr>
            </w:pPr>
            <w:r w:rsidRPr="00D5212E">
              <w:rPr>
                <w:color w:val="000000" w:themeColor="text1"/>
              </w:rPr>
              <w:t>6</w:t>
            </w:r>
          </w:p>
        </w:tc>
      </w:tr>
      <w:tr w:rsidR="002A1530"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r w:rsidRPr="00D5212E">
              <w:rPr>
                <w:color w:val="000000" w:themeColor="text1"/>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p>
        </w:tc>
        <w:tc>
          <w:tcPr>
            <w:tcW w:w="661" w:type="pct"/>
            <w:tcBorders>
              <w:top w:val="outset" w:sz="6" w:space="0" w:color="auto"/>
              <w:left w:val="outset" w:sz="6" w:space="0" w:color="auto"/>
              <w:bottom w:val="outset" w:sz="6" w:space="0" w:color="auto"/>
              <w:right w:val="outset" w:sz="6" w:space="0" w:color="auto"/>
            </w:tcBorders>
            <w:hideMark/>
          </w:tcPr>
          <w:p w:rsidR="002A1530" w:rsidRPr="00D5212E" w:rsidRDefault="002A1530"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DD5421">
            <w:pPr>
              <w:rPr>
                <w:color w:val="000000" w:themeColor="text1"/>
              </w:rPr>
            </w:pPr>
            <w:r w:rsidRPr="00D5212E">
              <w:rPr>
                <w:color w:val="000000" w:themeColor="text1"/>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0F5776"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0F5776"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36DB7">
            <w:pPr>
              <w:rPr>
                <w:color w:val="000000" w:themeColor="text1"/>
              </w:rPr>
            </w:pPr>
            <w:r w:rsidRPr="00D5212E">
              <w:rPr>
                <w:color w:val="000000" w:themeColor="text1"/>
              </w:rPr>
              <w:t>Nav precīzi aprēķināms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36DB7">
            <w:pPr>
              <w:rPr>
                <w:color w:val="000000" w:themeColor="text1"/>
              </w:rPr>
            </w:pPr>
            <w:r w:rsidRPr="00D5212E">
              <w:rPr>
                <w:color w:val="000000" w:themeColor="text1"/>
              </w:rPr>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336DB7">
            <w:pPr>
              <w:rPr>
                <w:color w:val="000000" w:themeColor="text1"/>
              </w:rPr>
            </w:pPr>
            <w:r w:rsidRPr="00D5212E">
              <w:rPr>
                <w:color w:val="000000" w:themeColor="text1"/>
              </w:rPr>
              <w:t>Nav precīzi aprēķināms</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2. Budžeta izdevumi:</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lastRenderedPageBreak/>
              <w:t>2.1. valsts pamatbudžets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D34454" w:rsidP="002B3C58">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D34454" w:rsidP="002B3C58">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C2006C">
            <w:pPr>
              <w:rPr>
                <w:color w:val="000000" w:themeColor="text1"/>
              </w:rPr>
            </w:pPr>
            <w:r w:rsidRPr="00D5212E">
              <w:rPr>
                <w:color w:val="000000" w:themeColor="text1"/>
              </w:rPr>
              <w:t>Nav precīzi aprēķināms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C2006C">
            <w:pPr>
              <w:rPr>
                <w:color w:val="000000" w:themeColor="text1"/>
              </w:rPr>
            </w:pPr>
            <w:r w:rsidRPr="00D5212E">
              <w:rPr>
                <w:color w:val="000000" w:themeColor="text1"/>
              </w:rPr>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C2006C">
            <w:pPr>
              <w:rPr>
                <w:color w:val="000000" w:themeColor="text1"/>
              </w:rPr>
            </w:pPr>
            <w:r w:rsidRPr="00D5212E">
              <w:rPr>
                <w:color w:val="000000" w:themeColor="text1"/>
              </w:rPr>
              <w:t>Nav precīzi aprēķināms</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D34454"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D34454"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122A6F">
            <w:pPr>
              <w:rPr>
                <w:color w:val="000000" w:themeColor="text1"/>
              </w:rPr>
            </w:pPr>
            <w:r w:rsidRPr="00D5212E">
              <w:rPr>
                <w:color w:val="000000" w:themeColor="text1"/>
              </w:rPr>
              <w:t>Nav precīzi aprēķināms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122A6F">
            <w:pPr>
              <w:rPr>
                <w:color w:val="000000" w:themeColor="text1"/>
              </w:rPr>
            </w:pPr>
            <w:r w:rsidRPr="00D5212E">
              <w:rPr>
                <w:color w:val="000000" w:themeColor="text1"/>
              </w:rPr>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122A6F">
            <w:pPr>
              <w:rPr>
                <w:color w:val="000000" w:themeColor="text1"/>
              </w:rPr>
            </w:pPr>
            <w:r w:rsidRPr="00D5212E">
              <w:rPr>
                <w:color w:val="000000" w:themeColor="text1"/>
              </w:rPr>
              <w:t>Nav precīzi aprēķināms</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single" w:sz="4"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single" w:sz="4"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0" w:type="auto"/>
            <w:tcBorders>
              <w:top w:val="outset" w:sz="6" w:space="0" w:color="auto"/>
              <w:left w:val="outset" w:sz="6" w:space="0" w:color="auto"/>
              <w:bottom w:val="single" w:sz="4"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661" w:type="pct"/>
            <w:tcBorders>
              <w:top w:val="outset" w:sz="6" w:space="0" w:color="auto"/>
              <w:left w:val="outset" w:sz="6" w:space="0" w:color="auto"/>
              <w:bottom w:val="single" w:sz="4"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3.3. pašvaldību budžets</w:t>
            </w:r>
          </w:p>
        </w:tc>
        <w:tc>
          <w:tcPr>
            <w:tcW w:w="0" w:type="auto"/>
            <w:tcBorders>
              <w:top w:val="outset" w:sz="6" w:space="0" w:color="auto"/>
              <w:left w:val="outset" w:sz="6" w:space="0" w:color="auto"/>
              <w:bottom w:val="outset" w:sz="6" w:space="0" w:color="auto"/>
              <w:right w:val="single" w:sz="4"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r w:rsidRPr="00D5212E">
              <w:rPr>
                <w:color w:val="000000" w:themeColor="text1"/>
              </w:rPr>
              <w:t>0</w:t>
            </w:r>
          </w:p>
        </w:tc>
        <w:tc>
          <w:tcPr>
            <w:tcW w:w="661" w:type="pct"/>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r w:rsidRPr="00D5212E">
              <w:rPr>
                <w:color w:val="000000" w:themeColor="text1"/>
              </w:rPr>
              <w:t>0</w:t>
            </w:r>
          </w:p>
        </w:tc>
      </w:tr>
      <w:tr w:rsidR="009A2CBA" w:rsidRPr="00D5212E" w:rsidTr="00DD5421">
        <w:trPr>
          <w:trHeight w:val="1380"/>
        </w:trPr>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4. Finanšu līdzekļi papildu izde</w:t>
            </w:r>
            <w:r w:rsidRPr="00D5212E">
              <w:rPr>
                <w:color w:val="000000" w:themeColor="text1"/>
              </w:rPr>
              <w:softHyphen/>
              <w:t>vumu finansēšanai (kompensējošu izdevumu samazinājumu norāda ar "+" zīmi)</w:t>
            </w:r>
          </w:p>
        </w:tc>
        <w:tc>
          <w:tcPr>
            <w:tcW w:w="0" w:type="auto"/>
            <w:tcBorders>
              <w:top w:val="outset" w:sz="6" w:space="0" w:color="auto"/>
              <w:left w:val="outset" w:sz="6" w:space="0" w:color="auto"/>
              <w:bottom w:val="outset" w:sz="6" w:space="0" w:color="auto"/>
              <w:right w:val="single" w:sz="4" w:space="0" w:color="auto"/>
            </w:tcBorders>
            <w:hideMark/>
          </w:tcPr>
          <w:p w:rsidR="009A2CBA" w:rsidRPr="00D5212E" w:rsidRDefault="000F5776" w:rsidP="000F5776">
            <w:pPr>
              <w:jc w:val="center"/>
              <w:rPr>
                <w:color w:val="000000" w:themeColor="text1"/>
              </w:rPr>
            </w:pPr>
            <w:r w:rsidRPr="00D5212E">
              <w:rPr>
                <w:color w:val="000000" w:themeColor="text1"/>
              </w:rPr>
              <w:t>X</w:t>
            </w: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0F5776">
            <w:pPr>
              <w:jc w:val="center"/>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p>
        </w:tc>
        <w:tc>
          <w:tcPr>
            <w:tcW w:w="661" w:type="pct"/>
            <w:tcBorders>
              <w:top w:val="single" w:sz="4" w:space="0" w:color="auto"/>
              <w:left w:val="single" w:sz="4" w:space="0" w:color="auto"/>
              <w:bottom w:val="single" w:sz="4" w:space="0" w:color="auto"/>
              <w:right w:val="single" w:sz="4" w:space="0" w:color="auto"/>
            </w:tcBorders>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5. Precizēta finansiālā ietekme:</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0F5776">
            <w:pPr>
              <w:jc w:val="center"/>
              <w:rPr>
                <w:color w:val="000000" w:themeColor="text1"/>
              </w:rPr>
            </w:pPr>
          </w:p>
        </w:tc>
        <w:tc>
          <w:tcPr>
            <w:tcW w:w="0" w:type="auto"/>
            <w:tcBorders>
              <w:top w:val="single" w:sz="4" w:space="0" w:color="auto"/>
              <w:left w:val="outset" w:sz="6" w:space="0" w:color="auto"/>
              <w:bottom w:val="outset" w:sz="6" w:space="0" w:color="auto"/>
              <w:right w:val="outset" w:sz="6" w:space="0" w:color="auto"/>
            </w:tcBorders>
            <w:hideMark/>
          </w:tcPr>
          <w:p w:rsidR="009A2CBA" w:rsidRPr="00D5212E" w:rsidRDefault="009A2CBA" w:rsidP="000F5776">
            <w:pPr>
              <w:jc w:val="center"/>
              <w:rPr>
                <w:color w:val="000000" w:themeColor="text1"/>
              </w:rPr>
            </w:pPr>
          </w:p>
        </w:tc>
        <w:tc>
          <w:tcPr>
            <w:tcW w:w="0" w:type="auto"/>
            <w:tcBorders>
              <w:top w:val="single" w:sz="4"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0" w:type="auto"/>
            <w:tcBorders>
              <w:top w:val="single" w:sz="4"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c>
          <w:tcPr>
            <w:tcW w:w="661" w:type="pct"/>
            <w:tcBorders>
              <w:top w:val="single" w:sz="4"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5.1.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CBA" w:rsidRPr="00D5212E" w:rsidRDefault="000F5776" w:rsidP="000F5776">
            <w:pPr>
              <w:jc w:val="center"/>
              <w:rPr>
                <w:color w:val="000000" w:themeColor="text1"/>
              </w:rPr>
            </w:pPr>
            <w:r w:rsidRPr="00D5212E">
              <w:rPr>
                <w:color w:val="000000" w:themeColor="text1"/>
              </w:rPr>
              <w:t>X</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0F5776">
            <w:pPr>
              <w:jc w:val="center"/>
              <w:rPr>
                <w:color w:val="000000" w:themeColor="text1"/>
              </w:rPr>
            </w:pP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E30AC1">
            <w:pPr>
              <w:rPr>
                <w:color w:val="000000" w:themeColor="text1"/>
              </w:rPr>
            </w:pPr>
            <w:r w:rsidRPr="00D5212E">
              <w:rPr>
                <w:color w:val="000000" w:themeColor="text1"/>
              </w:rPr>
              <w:t>Nav precīzi aprēķināms</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E30AC1">
            <w:pPr>
              <w:rPr>
                <w:color w:val="000000" w:themeColor="text1"/>
              </w:rPr>
            </w:pPr>
            <w:r w:rsidRPr="00D5212E">
              <w:rPr>
                <w:color w:val="000000" w:themeColor="text1"/>
              </w:rPr>
              <w:t>Nav precīzi aprēķināms</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E30AC1">
            <w:pPr>
              <w:rPr>
                <w:color w:val="000000" w:themeColor="text1"/>
              </w:rPr>
            </w:pPr>
            <w:r w:rsidRPr="00D5212E">
              <w:rPr>
                <w:color w:val="000000" w:themeColor="text1"/>
              </w:rPr>
              <w:t>Nav precīzi aprēķināms</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5.2.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380B23">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5.3.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c>
          <w:tcPr>
            <w:tcW w:w="661"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0</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6. Detalizēts ieņēmumu un izdevu</w:t>
            </w:r>
            <w:r w:rsidRPr="00D5212E">
              <w:rPr>
                <w:color w:val="000000" w:themeColor="text1"/>
              </w:rPr>
              <w:softHyphen/>
              <w:t>mu aprēķins (ja nepieciešams, detalizētu ieņēmumu un izdevumu aprēķinu var pievienot anotācijas pielikumā):</w:t>
            </w:r>
          </w:p>
        </w:tc>
        <w:tc>
          <w:tcPr>
            <w:tcW w:w="363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r w:rsidRPr="00D5212E">
              <w:rPr>
                <w:color w:val="000000" w:themeColor="text1"/>
              </w:rPr>
              <w:t>Nav precīzi aprēķināms.</w:t>
            </w: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6.1. detalizēts ieņēmumu aprēķins</w:t>
            </w:r>
          </w:p>
        </w:tc>
        <w:tc>
          <w:tcPr>
            <w:tcW w:w="3630" w:type="pct"/>
            <w:gridSpan w:val="5"/>
            <w:vMerge/>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6.2. detalizēts izdevumu aprēķins</w:t>
            </w:r>
          </w:p>
        </w:tc>
        <w:tc>
          <w:tcPr>
            <w:tcW w:w="3630" w:type="pct"/>
            <w:gridSpan w:val="5"/>
            <w:vMerge/>
            <w:tcBorders>
              <w:top w:val="outset" w:sz="6" w:space="0" w:color="auto"/>
              <w:left w:val="outset" w:sz="6" w:space="0" w:color="auto"/>
              <w:bottom w:val="outset" w:sz="6" w:space="0" w:color="auto"/>
              <w:right w:val="outset" w:sz="6" w:space="0" w:color="auto"/>
            </w:tcBorders>
            <w:vAlign w:val="center"/>
            <w:hideMark/>
          </w:tcPr>
          <w:p w:rsidR="009A2CBA" w:rsidRPr="00D5212E" w:rsidRDefault="009A2CBA" w:rsidP="002A1530">
            <w:pPr>
              <w:rPr>
                <w:color w:val="000000" w:themeColor="text1"/>
              </w:rPr>
            </w:pPr>
          </w:p>
        </w:tc>
      </w:tr>
      <w:tr w:rsidR="009A2CBA" w:rsidRPr="00D5212E" w:rsidTr="00DD5421">
        <w:tc>
          <w:tcPr>
            <w:tcW w:w="1370" w:type="pct"/>
            <w:tcBorders>
              <w:top w:val="outset" w:sz="6" w:space="0" w:color="auto"/>
              <w:left w:val="outset" w:sz="6" w:space="0" w:color="auto"/>
              <w:bottom w:val="outset" w:sz="6" w:space="0" w:color="auto"/>
              <w:right w:val="outset" w:sz="6" w:space="0" w:color="auto"/>
            </w:tcBorders>
            <w:hideMark/>
          </w:tcPr>
          <w:p w:rsidR="009A2CBA" w:rsidRPr="00D5212E" w:rsidRDefault="009A2CBA" w:rsidP="002A1530">
            <w:pPr>
              <w:rPr>
                <w:color w:val="000000" w:themeColor="text1"/>
              </w:rPr>
            </w:pPr>
            <w:r w:rsidRPr="00D5212E">
              <w:rPr>
                <w:color w:val="000000" w:themeColor="text1"/>
              </w:rPr>
              <w:t>7. Cita informācija</w:t>
            </w:r>
          </w:p>
        </w:tc>
        <w:tc>
          <w:tcPr>
            <w:tcW w:w="3630" w:type="pct"/>
            <w:gridSpan w:val="5"/>
            <w:tcBorders>
              <w:top w:val="outset" w:sz="6" w:space="0" w:color="auto"/>
              <w:left w:val="outset" w:sz="6" w:space="0" w:color="auto"/>
              <w:bottom w:val="outset" w:sz="6" w:space="0" w:color="auto"/>
              <w:right w:val="outset" w:sz="6" w:space="0" w:color="auto"/>
            </w:tcBorders>
            <w:hideMark/>
          </w:tcPr>
          <w:p w:rsidR="009A2CBA" w:rsidRPr="00D5212E" w:rsidRDefault="009A2CBA" w:rsidP="00D34454">
            <w:pPr>
              <w:jc w:val="both"/>
              <w:rPr>
                <w:color w:val="000000" w:themeColor="text1"/>
              </w:rPr>
            </w:pPr>
            <w:r w:rsidRPr="00D5212E">
              <w:rPr>
                <w:color w:val="000000" w:themeColor="text1"/>
              </w:rPr>
              <w:t>Atmežošanas kompensācija ir noteikta, lai mazinātu ar atmežošanu izraisītās negatīvās sekas.  Atmežošanas kompensācija jāatlīdzina, ja mežā veic būvniecību, derīgo izrakteņu ieguvi vai lauksaimniecībā izmantojamās zemes ierīkošanu. Nav iespējas noteikt, kāda būs sabiedrības interese veikt minētās darbības mežā.</w:t>
            </w:r>
          </w:p>
          <w:p w:rsidR="009A2CBA" w:rsidRPr="00D5212E" w:rsidRDefault="009A2CBA" w:rsidP="00D34454">
            <w:pPr>
              <w:jc w:val="both"/>
              <w:rPr>
                <w:color w:val="000000" w:themeColor="text1"/>
              </w:rPr>
            </w:pPr>
            <w:r w:rsidRPr="00D5212E">
              <w:rPr>
                <w:color w:val="000000" w:themeColor="text1"/>
              </w:rPr>
              <w:t>Par 2003.</w:t>
            </w:r>
            <w:r w:rsidR="005B2E33" w:rsidRPr="00D5212E">
              <w:rPr>
                <w:color w:val="000000" w:themeColor="text1"/>
              </w:rPr>
              <w:t>–</w:t>
            </w:r>
            <w:r w:rsidRPr="00D5212E">
              <w:rPr>
                <w:color w:val="000000" w:themeColor="text1"/>
              </w:rPr>
              <w:t>2012.gad</w:t>
            </w:r>
            <w:r w:rsidR="005B2E33" w:rsidRPr="00D5212E">
              <w:rPr>
                <w:color w:val="000000" w:themeColor="text1"/>
              </w:rPr>
              <w:t>ā</w:t>
            </w:r>
            <w:r w:rsidRPr="00D5212E">
              <w:rPr>
                <w:color w:val="000000" w:themeColor="text1"/>
              </w:rPr>
              <w:t xml:space="preserve"> veikto meža zemes transformāciju dati liecina, ka vidēji gadā tika transformēti 300</w:t>
            </w:r>
            <w:r w:rsidR="005B2E33" w:rsidRPr="00D5212E">
              <w:rPr>
                <w:color w:val="000000" w:themeColor="text1"/>
              </w:rPr>
              <w:t>–</w:t>
            </w:r>
            <w:r w:rsidRPr="00D5212E">
              <w:rPr>
                <w:color w:val="000000" w:themeColor="text1"/>
              </w:rPr>
              <w:t>400 ha meža zem</w:t>
            </w:r>
            <w:r w:rsidR="005B2E33" w:rsidRPr="00D5212E">
              <w:rPr>
                <w:color w:val="000000" w:themeColor="text1"/>
              </w:rPr>
              <w:t>es</w:t>
            </w:r>
            <w:r w:rsidRPr="00D5212E">
              <w:rPr>
                <w:color w:val="000000" w:themeColor="text1"/>
              </w:rPr>
              <w:t>, pa</w:t>
            </w:r>
            <w:r w:rsidR="005B2E33" w:rsidRPr="00D5212E">
              <w:rPr>
                <w:color w:val="000000" w:themeColor="text1"/>
              </w:rPr>
              <w:t>r</w:t>
            </w:r>
            <w:r w:rsidRPr="00D5212E">
              <w:rPr>
                <w:color w:val="000000" w:themeColor="text1"/>
              </w:rPr>
              <w:t xml:space="preserve"> </w:t>
            </w:r>
            <w:r w:rsidR="005B2E33" w:rsidRPr="00D5212E">
              <w:rPr>
                <w:color w:val="000000" w:themeColor="text1"/>
              </w:rPr>
              <w:t>t</w:t>
            </w:r>
            <w:r w:rsidRPr="00D5212E">
              <w:rPr>
                <w:color w:val="000000" w:themeColor="text1"/>
              </w:rPr>
              <w:t>o valsts budžetā samaksā</w:t>
            </w:r>
            <w:r w:rsidR="005B2E33" w:rsidRPr="00D5212E">
              <w:rPr>
                <w:color w:val="000000" w:themeColor="text1"/>
              </w:rPr>
              <w:t>jot</w:t>
            </w:r>
            <w:r w:rsidRPr="00D5212E">
              <w:rPr>
                <w:color w:val="000000" w:themeColor="text1"/>
              </w:rPr>
              <w:t xml:space="preserve"> 0,5 līdz 1,5 milj. latu. Jā</w:t>
            </w:r>
            <w:r w:rsidR="005B2E33" w:rsidRPr="00D5212E">
              <w:rPr>
                <w:color w:val="000000" w:themeColor="text1"/>
              </w:rPr>
              <w:t>piebilst</w:t>
            </w:r>
            <w:r w:rsidRPr="00D5212E">
              <w:rPr>
                <w:color w:val="000000" w:themeColor="text1"/>
              </w:rPr>
              <w:t>, ka termins „meža zemju transformācija” būtiski atšķiras no termina „atmežošana”. Pēc 2013.gada 1.janvāra atmežošanas kompensācija būs jāmaksā tikai</w:t>
            </w:r>
            <w:r w:rsidR="005B2E33" w:rsidRPr="00D5212E">
              <w:rPr>
                <w:color w:val="000000" w:themeColor="text1"/>
              </w:rPr>
              <w:t xml:space="preserve"> tad</w:t>
            </w:r>
            <w:r w:rsidRPr="00D5212E">
              <w:rPr>
                <w:color w:val="000000" w:themeColor="text1"/>
              </w:rPr>
              <w:t xml:space="preserve">, ja tiks mainīts meža zemes lietošanas veids. </w:t>
            </w:r>
            <w:r w:rsidR="005B2E33" w:rsidRPr="00D5212E">
              <w:rPr>
                <w:color w:val="000000" w:themeColor="text1"/>
              </w:rPr>
              <w:t>Uz</w:t>
            </w:r>
            <w:r w:rsidRPr="00D5212E">
              <w:rPr>
                <w:color w:val="000000" w:themeColor="text1"/>
              </w:rPr>
              <w:t xml:space="preserve"> citām meža zemēm, piemēram purviem, laucēm u.c.</w:t>
            </w:r>
            <w:r w:rsidR="005B2E33" w:rsidRPr="00D5212E">
              <w:rPr>
                <w:color w:val="000000" w:themeColor="text1"/>
              </w:rPr>
              <w:t>,</w:t>
            </w:r>
            <w:r w:rsidRPr="00D5212E">
              <w:rPr>
                <w:color w:val="000000" w:themeColor="text1"/>
              </w:rPr>
              <w:t xml:space="preserve"> atmežošanas kompensācija neattieksies.</w:t>
            </w:r>
          </w:p>
          <w:p w:rsidR="00D34454" w:rsidRPr="00D5212E" w:rsidRDefault="00D34454" w:rsidP="00D34454">
            <w:pPr>
              <w:jc w:val="both"/>
              <w:rPr>
                <w:color w:val="000000" w:themeColor="text1"/>
              </w:rPr>
            </w:pPr>
            <w:r w:rsidRPr="00D5212E">
              <w:rPr>
                <w:color w:val="000000" w:themeColor="text1"/>
              </w:rPr>
              <w:t xml:space="preserve">Šī atlīdzība tiks ieskaitīta </w:t>
            </w:r>
            <w:r w:rsidRPr="00D5212E">
              <w:rPr>
                <w:rStyle w:val="c1"/>
                <w:rFonts w:ascii="Times New Roman" w:hAnsi="Times New Roman"/>
                <w:color w:val="000000" w:themeColor="text1"/>
              </w:rPr>
              <w:t>valsts pamatbudžetā ieņēmumos no zaudējumu atlīdzības par meža resursiem nodarītiem kaitējumiem.</w:t>
            </w:r>
          </w:p>
        </w:tc>
      </w:tr>
    </w:tbl>
    <w:p w:rsidR="003C19C5" w:rsidRPr="00D5212E" w:rsidRDefault="003C19C5" w:rsidP="006C4607">
      <w:pPr>
        <w:pStyle w:val="naisf"/>
        <w:spacing w:before="0" w:after="0"/>
        <w:rPr>
          <w:color w:val="000000" w:themeColor="text1"/>
        </w:rPr>
      </w:pPr>
    </w:p>
    <w:tbl>
      <w:tblPr>
        <w:tblW w:w="9633"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3186"/>
        <w:gridCol w:w="5882"/>
      </w:tblGrid>
      <w:tr w:rsidR="00C37C0E" w:rsidRPr="00D5212E" w:rsidTr="00FA756F">
        <w:trPr>
          <w:jc w:val="center"/>
        </w:trPr>
        <w:tc>
          <w:tcPr>
            <w:tcW w:w="9633" w:type="dxa"/>
            <w:gridSpan w:val="3"/>
          </w:tcPr>
          <w:p w:rsidR="00C37C0E" w:rsidRPr="00D5212E" w:rsidRDefault="00C37C0E" w:rsidP="009204F3">
            <w:pPr>
              <w:pStyle w:val="naisnod"/>
              <w:spacing w:before="0" w:after="0"/>
              <w:ind w:left="57" w:right="57"/>
              <w:rPr>
                <w:color w:val="000000" w:themeColor="text1"/>
              </w:rPr>
            </w:pPr>
            <w:r w:rsidRPr="00D5212E">
              <w:rPr>
                <w:color w:val="000000" w:themeColor="text1"/>
              </w:rPr>
              <w:lastRenderedPageBreak/>
              <w:t>VI. Sabiedrības līdzdalība un šīs līdzdalības rezultāti</w:t>
            </w:r>
          </w:p>
        </w:tc>
      </w:tr>
      <w:tr w:rsidR="00C37C0E" w:rsidRPr="00D5212E" w:rsidTr="00B422EC">
        <w:trPr>
          <w:trHeight w:val="553"/>
          <w:jc w:val="center"/>
        </w:trPr>
        <w:tc>
          <w:tcPr>
            <w:tcW w:w="565" w:type="dxa"/>
          </w:tcPr>
          <w:p w:rsidR="00C37C0E" w:rsidRPr="00D5212E" w:rsidRDefault="00C37C0E" w:rsidP="009204F3">
            <w:pPr>
              <w:pStyle w:val="naiskr"/>
              <w:spacing w:before="0" w:after="0"/>
              <w:ind w:left="57" w:right="57"/>
              <w:rPr>
                <w:bCs/>
                <w:color w:val="000000" w:themeColor="text1"/>
              </w:rPr>
            </w:pPr>
            <w:r w:rsidRPr="00D5212E">
              <w:rPr>
                <w:bCs/>
                <w:color w:val="000000" w:themeColor="text1"/>
                <w:szCs w:val="22"/>
              </w:rPr>
              <w:t>1.</w:t>
            </w:r>
          </w:p>
        </w:tc>
        <w:tc>
          <w:tcPr>
            <w:tcW w:w="3186" w:type="dxa"/>
          </w:tcPr>
          <w:p w:rsidR="00C37C0E" w:rsidRPr="00D5212E" w:rsidRDefault="00C37C0E" w:rsidP="009204F3">
            <w:pPr>
              <w:pStyle w:val="naiskr"/>
              <w:tabs>
                <w:tab w:val="left" w:pos="170"/>
              </w:tabs>
              <w:spacing w:before="0" w:after="0"/>
              <w:ind w:left="57" w:right="57"/>
              <w:rPr>
                <w:color w:val="000000" w:themeColor="text1"/>
              </w:rPr>
            </w:pPr>
            <w:r w:rsidRPr="00D5212E">
              <w:rPr>
                <w:color w:val="000000" w:themeColor="text1"/>
                <w:szCs w:val="22"/>
              </w:rPr>
              <w:t>Sabiedrības informēšana par projekta izstrādes uzsākšanu</w:t>
            </w:r>
          </w:p>
        </w:tc>
        <w:tc>
          <w:tcPr>
            <w:tcW w:w="5882" w:type="dxa"/>
          </w:tcPr>
          <w:p w:rsidR="00C37C0E" w:rsidRPr="00D5212E" w:rsidRDefault="00F8764F" w:rsidP="0098140B">
            <w:pPr>
              <w:jc w:val="both"/>
              <w:rPr>
                <w:bCs/>
                <w:color w:val="000000" w:themeColor="text1"/>
              </w:rPr>
            </w:pPr>
            <w:r w:rsidRPr="00D5212E">
              <w:rPr>
                <w:color w:val="000000" w:themeColor="text1"/>
              </w:rPr>
              <w:t>Informācija par noteikumu projekta izstrādes</w:t>
            </w:r>
            <w:r w:rsidR="00706465" w:rsidRPr="00D5212E">
              <w:rPr>
                <w:color w:val="000000" w:themeColor="text1"/>
              </w:rPr>
              <w:t xml:space="preserve"> </w:t>
            </w:r>
            <w:r w:rsidRPr="00D5212E">
              <w:rPr>
                <w:color w:val="000000" w:themeColor="text1"/>
              </w:rPr>
              <w:t xml:space="preserve">sākšanu un priekšlikumu iesniegšanu </w:t>
            </w:r>
            <w:r w:rsidR="00BD09A4" w:rsidRPr="00D5212E">
              <w:rPr>
                <w:color w:val="000000" w:themeColor="text1"/>
              </w:rPr>
              <w:t>2011.gada 2.</w:t>
            </w:r>
            <w:r w:rsidR="00DD4720" w:rsidRPr="00D5212E">
              <w:rPr>
                <w:color w:val="000000" w:themeColor="text1"/>
              </w:rPr>
              <w:t>decembrī</w:t>
            </w:r>
            <w:r w:rsidR="00BD09A4" w:rsidRPr="00D5212E">
              <w:rPr>
                <w:color w:val="000000" w:themeColor="text1"/>
              </w:rPr>
              <w:t xml:space="preserve"> </w:t>
            </w:r>
            <w:r w:rsidRPr="00D5212E">
              <w:rPr>
                <w:color w:val="000000" w:themeColor="text1"/>
              </w:rPr>
              <w:t xml:space="preserve">tika nosūtīta </w:t>
            </w:r>
            <w:r w:rsidR="00DD4720" w:rsidRPr="00D5212E">
              <w:rPr>
                <w:color w:val="000000" w:themeColor="text1"/>
              </w:rPr>
              <w:t xml:space="preserve">Vides aizsardzības un reģionālās attīstības ministrijai, Dabas aizsardzības pārvaldei, </w:t>
            </w:r>
            <w:r w:rsidR="00E93AC8" w:rsidRPr="00D5212E">
              <w:rPr>
                <w:color w:val="000000" w:themeColor="text1"/>
              </w:rPr>
              <w:t xml:space="preserve">Valsts meža dienestam, </w:t>
            </w:r>
            <w:r w:rsidR="00DD4720" w:rsidRPr="00D5212E">
              <w:rPr>
                <w:color w:val="000000" w:themeColor="text1"/>
              </w:rPr>
              <w:t xml:space="preserve">Latvijas Pašvaldību savienībai, </w:t>
            </w:r>
            <w:r w:rsidR="00E93AC8" w:rsidRPr="00D5212E">
              <w:rPr>
                <w:color w:val="000000" w:themeColor="text1"/>
              </w:rPr>
              <w:t xml:space="preserve">AS „Latvijas valsts meži”, </w:t>
            </w:r>
            <w:r w:rsidR="00DD4720" w:rsidRPr="00D5212E">
              <w:rPr>
                <w:color w:val="000000" w:themeColor="text1"/>
              </w:rPr>
              <w:t xml:space="preserve">LMI „Silava”, Latvijas meža īpašnieku biedrībai, </w:t>
            </w:r>
            <w:r w:rsidR="00E93AC8" w:rsidRPr="00D5212E">
              <w:rPr>
                <w:color w:val="000000" w:themeColor="text1"/>
              </w:rPr>
              <w:t xml:space="preserve">Latvijas Dabas fondam, Latvijas Ornitoloģijas biedrībai, Pasaules </w:t>
            </w:r>
            <w:r w:rsidR="005B2E33" w:rsidRPr="00D5212E">
              <w:rPr>
                <w:color w:val="000000" w:themeColor="text1"/>
              </w:rPr>
              <w:t>D</w:t>
            </w:r>
            <w:r w:rsidR="00E93AC8" w:rsidRPr="00D5212E">
              <w:rPr>
                <w:color w:val="000000" w:themeColor="text1"/>
              </w:rPr>
              <w:t>abas fondam</w:t>
            </w:r>
            <w:r w:rsidR="00DD4720" w:rsidRPr="00D5212E">
              <w:rPr>
                <w:color w:val="000000" w:themeColor="text1"/>
              </w:rPr>
              <w:t>, Vides konsultatīvajai padomei un Latvijas Kūdras r</w:t>
            </w:r>
            <w:r w:rsidR="0098140B" w:rsidRPr="00D5212E">
              <w:rPr>
                <w:color w:val="000000" w:themeColor="text1"/>
              </w:rPr>
              <w:t>a</w:t>
            </w:r>
            <w:r w:rsidR="00DD4720" w:rsidRPr="00D5212E">
              <w:rPr>
                <w:color w:val="000000" w:themeColor="text1"/>
              </w:rPr>
              <w:t>žotāju asociācijai</w:t>
            </w:r>
            <w:r w:rsidRPr="00D5212E">
              <w:rPr>
                <w:color w:val="000000" w:themeColor="text1"/>
              </w:rPr>
              <w:t xml:space="preserve">. </w:t>
            </w:r>
          </w:p>
        </w:tc>
      </w:tr>
      <w:tr w:rsidR="00C37C0E" w:rsidRPr="00D5212E" w:rsidTr="00B422EC">
        <w:trPr>
          <w:trHeight w:val="339"/>
          <w:jc w:val="center"/>
        </w:trPr>
        <w:tc>
          <w:tcPr>
            <w:tcW w:w="565" w:type="dxa"/>
          </w:tcPr>
          <w:p w:rsidR="00C37C0E" w:rsidRPr="00D5212E" w:rsidRDefault="00C37C0E" w:rsidP="009204F3">
            <w:pPr>
              <w:pStyle w:val="naiskr"/>
              <w:spacing w:before="0" w:after="0"/>
              <w:ind w:left="57" w:right="57"/>
              <w:rPr>
                <w:bCs/>
                <w:color w:val="000000" w:themeColor="text1"/>
              </w:rPr>
            </w:pPr>
            <w:r w:rsidRPr="00D5212E">
              <w:rPr>
                <w:bCs/>
                <w:color w:val="000000" w:themeColor="text1"/>
                <w:szCs w:val="22"/>
              </w:rPr>
              <w:t>2.</w:t>
            </w:r>
          </w:p>
        </w:tc>
        <w:tc>
          <w:tcPr>
            <w:tcW w:w="3186" w:type="dxa"/>
          </w:tcPr>
          <w:p w:rsidR="00C37C0E" w:rsidRPr="00D5212E" w:rsidRDefault="00C37C0E" w:rsidP="009204F3">
            <w:pPr>
              <w:pStyle w:val="naiskr"/>
              <w:spacing w:before="0" w:after="0"/>
              <w:ind w:left="57" w:right="57"/>
              <w:rPr>
                <w:color w:val="000000" w:themeColor="text1"/>
              </w:rPr>
            </w:pPr>
            <w:r w:rsidRPr="00D5212E">
              <w:rPr>
                <w:color w:val="000000" w:themeColor="text1"/>
                <w:szCs w:val="22"/>
              </w:rPr>
              <w:t xml:space="preserve">Sabiedrības līdzdalība projekta izstrādē </w:t>
            </w:r>
          </w:p>
        </w:tc>
        <w:tc>
          <w:tcPr>
            <w:tcW w:w="5882" w:type="dxa"/>
          </w:tcPr>
          <w:p w:rsidR="00C37C0E" w:rsidRPr="00D5212E" w:rsidRDefault="00701F31" w:rsidP="009204F3">
            <w:pPr>
              <w:jc w:val="both"/>
              <w:rPr>
                <w:bCs/>
                <w:color w:val="000000" w:themeColor="text1"/>
              </w:rPr>
            </w:pPr>
            <w:r w:rsidRPr="00D5212E">
              <w:rPr>
                <w:bCs/>
                <w:color w:val="000000" w:themeColor="text1"/>
              </w:rPr>
              <w:t xml:space="preserve">Par noteikumu projektu organizētas </w:t>
            </w:r>
            <w:r w:rsidR="0098140B" w:rsidRPr="00D5212E">
              <w:rPr>
                <w:bCs/>
                <w:color w:val="000000" w:themeColor="text1"/>
              </w:rPr>
              <w:t>četras sanāksmes, kurā savus viedokļus pauda vis</w:t>
            </w:r>
            <w:r w:rsidR="00E7479E" w:rsidRPr="00D5212E">
              <w:rPr>
                <w:bCs/>
                <w:color w:val="000000" w:themeColor="text1"/>
              </w:rPr>
              <w:t>u</w:t>
            </w:r>
            <w:r w:rsidR="0098140B" w:rsidRPr="00D5212E">
              <w:rPr>
                <w:bCs/>
                <w:color w:val="000000" w:themeColor="text1"/>
              </w:rPr>
              <w:t xml:space="preserve"> uzaicināt</w:t>
            </w:r>
            <w:r w:rsidR="00E7479E" w:rsidRPr="00D5212E">
              <w:rPr>
                <w:bCs/>
                <w:color w:val="000000" w:themeColor="text1"/>
              </w:rPr>
              <w:t>o</w:t>
            </w:r>
            <w:r w:rsidR="0098140B" w:rsidRPr="00D5212E">
              <w:rPr>
                <w:bCs/>
                <w:color w:val="000000" w:themeColor="text1"/>
              </w:rPr>
              <w:t xml:space="preserve"> institūcij</w:t>
            </w:r>
            <w:r w:rsidR="00E7479E" w:rsidRPr="00D5212E">
              <w:rPr>
                <w:bCs/>
                <w:color w:val="000000" w:themeColor="text1"/>
              </w:rPr>
              <w:t>u pārstāvji</w:t>
            </w:r>
            <w:r w:rsidR="0098140B" w:rsidRPr="00D5212E">
              <w:rPr>
                <w:bCs/>
                <w:color w:val="000000" w:themeColor="text1"/>
              </w:rPr>
              <w:t>.</w:t>
            </w:r>
          </w:p>
          <w:p w:rsidR="0068066F" w:rsidRPr="00D5212E" w:rsidRDefault="0072105C" w:rsidP="00BD28AC">
            <w:pPr>
              <w:jc w:val="both"/>
              <w:rPr>
                <w:bCs/>
                <w:color w:val="000000" w:themeColor="text1"/>
              </w:rPr>
            </w:pPr>
            <w:r w:rsidRPr="00D5212E">
              <w:rPr>
                <w:bCs/>
                <w:color w:val="000000" w:themeColor="text1"/>
              </w:rPr>
              <w:t xml:space="preserve">Noteikumu projekts ievietots Zemkopības ministrijas </w:t>
            </w:r>
            <w:r w:rsidR="00CE2423" w:rsidRPr="00D5212E">
              <w:rPr>
                <w:bCs/>
                <w:color w:val="000000" w:themeColor="text1"/>
              </w:rPr>
              <w:t>tīmekļa vietnē</w:t>
            </w:r>
            <w:r w:rsidRPr="00D5212E">
              <w:rPr>
                <w:bCs/>
                <w:color w:val="000000" w:themeColor="text1"/>
              </w:rPr>
              <w:t>.</w:t>
            </w:r>
          </w:p>
        </w:tc>
      </w:tr>
      <w:tr w:rsidR="00C37C0E" w:rsidRPr="00D5212E" w:rsidTr="00B422EC">
        <w:trPr>
          <w:trHeight w:val="375"/>
          <w:jc w:val="center"/>
        </w:trPr>
        <w:tc>
          <w:tcPr>
            <w:tcW w:w="565" w:type="dxa"/>
          </w:tcPr>
          <w:p w:rsidR="00C37C0E" w:rsidRPr="00D5212E" w:rsidRDefault="00C37C0E" w:rsidP="009204F3">
            <w:pPr>
              <w:pStyle w:val="naiskr"/>
              <w:spacing w:before="0" w:after="0"/>
              <w:ind w:left="57" w:right="57"/>
              <w:rPr>
                <w:bCs/>
                <w:color w:val="000000" w:themeColor="text1"/>
              </w:rPr>
            </w:pPr>
            <w:r w:rsidRPr="00D5212E">
              <w:rPr>
                <w:bCs/>
                <w:color w:val="000000" w:themeColor="text1"/>
                <w:szCs w:val="22"/>
              </w:rPr>
              <w:t>3.</w:t>
            </w:r>
          </w:p>
        </w:tc>
        <w:tc>
          <w:tcPr>
            <w:tcW w:w="3186" w:type="dxa"/>
          </w:tcPr>
          <w:p w:rsidR="00C37C0E" w:rsidRPr="00D5212E" w:rsidRDefault="00C37C0E" w:rsidP="009204F3">
            <w:pPr>
              <w:pStyle w:val="naiskr"/>
              <w:spacing w:before="0" w:after="0"/>
              <w:ind w:left="57" w:right="57"/>
              <w:rPr>
                <w:color w:val="000000" w:themeColor="text1"/>
              </w:rPr>
            </w:pPr>
            <w:r w:rsidRPr="00D5212E">
              <w:rPr>
                <w:color w:val="000000" w:themeColor="text1"/>
                <w:szCs w:val="22"/>
              </w:rPr>
              <w:t xml:space="preserve">Sabiedrības līdzdalības rezultāti </w:t>
            </w:r>
          </w:p>
        </w:tc>
        <w:tc>
          <w:tcPr>
            <w:tcW w:w="5882" w:type="dxa"/>
          </w:tcPr>
          <w:p w:rsidR="00794096" w:rsidRPr="00D5212E" w:rsidRDefault="00BD28AC" w:rsidP="00D34454">
            <w:pPr>
              <w:jc w:val="both"/>
              <w:rPr>
                <w:color w:val="000000" w:themeColor="text1"/>
              </w:rPr>
            </w:pPr>
            <w:r w:rsidRPr="00D5212E">
              <w:rPr>
                <w:bCs/>
                <w:color w:val="000000" w:themeColor="text1"/>
              </w:rPr>
              <w:t xml:space="preserve">Meža īpašnieku biedrības kopumā atbalsta noteikumu projektu, </w:t>
            </w:r>
            <w:r w:rsidR="00E7479E" w:rsidRPr="00D5212E">
              <w:rPr>
                <w:bCs/>
                <w:color w:val="000000" w:themeColor="text1"/>
              </w:rPr>
              <w:t xml:space="preserve">bet </w:t>
            </w:r>
            <w:r w:rsidRPr="00D5212E">
              <w:rPr>
                <w:bCs/>
                <w:color w:val="000000" w:themeColor="text1"/>
              </w:rPr>
              <w:t>uzskata</w:t>
            </w:r>
            <w:r w:rsidRPr="00D5212E">
              <w:rPr>
                <w:color w:val="000000" w:themeColor="text1"/>
              </w:rPr>
              <w:t>, ka</w:t>
            </w:r>
            <w:r w:rsidR="00794096" w:rsidRPr="00D5212E">
              <w:rPr>
                <w:color w:val="000000" w:themeColor="text1"/>
              </w:rPr>
              <w:t>:</w:t>
            </w:r>
          </w:p>
          <w:p w:rsidR="00794096" w:rsidRPr="00D5212E" w:rsidRDefault="005B2E33" w:rsidP="00D34454">
            <w:pPr>
              <w:jc w:val="both"/>
              <w:rPr>
                <w:color w:val="000000" w:themeColor="text1"/>
              </w:rPr>
            </w:pPr>
            <w:r w:rsidRPr="00D5212E">
              <w:rPr>
                <w:color w:val="000000" w:themeColor="text1"/>
              </w:rPr>
              <w:t>1)</w:t>
            </w:r>
            <w:r w:rsidR="00BD28AC" w:rsidRPr="00D5212E">
              <w:rPr>
                <w:color w:val="000000" w:themeColor="text1"/>
              </w:rPr>
              <w:t xml:space="preserve"> kompensācijas apmērs ir neadekvāti liels, jo atmežošanu plānots veikt vietās, kur tas ir atļauts un sabiedrība to akceptē ar teritorijas plānojumu</w:t>
            </w:r>
            <w:r w:rsidR="00794096" w:rsidRPr="00D5212E">
              <w:rPr>
                <w:color w:val="000000" w:themeColor="text1"/>
              </w:rPr>
              <w:t>;</w:t>
            </w:r>
          </w:p>
          <w:p w:rsidR="00794096" w:rsidRPr="00D5212E" w:rsidRDefault="005B2E33" w:rsidP="00D34454">
            <w:pPr>
              <w:jc w:val="both"/>
              <w:rPr>
                <w:color w:val="000000" w:themeColor="text1"/>
              </w:rPr>
            </w:pPr>
            <w:r w:rsidRPr="00D5212E">
              <w:rPr>
                <w:color w:val="000000" w:themeColor="text1"/>
              </w:rPr>
              <w:t>2)</w:t>
            </w:r>
            <w:r w:rsidR="00794096" w:rsidRPr="00D5212E">
              <w:rPr>
                <w:color w:val="000000" w:themeColor="text1"/>
              </w:rPr>
              <w:t xml:space="preserve"> nav samērīgs kompensāciju apmēra palielinājums gadījumos, kad atmežošanu veic vietās, kur koki sasnieguši ciršanas vecumu vai ir izcirtums</w:t>
            </w:r>
            <w:r w:rsidRPr="00D5212E">
              <w:rPr>
                <w:color w:val="000000" w:themeColor="text1"/>
              </w:rPr>
              <w:t>;</w:t>
            </w:r>
            <w:r w:rsidR="00794096" w:rsidRPr="00D5212E">
              <w:rPr>
                <w:color w:val="000000" w:themeColor="text1"/>
              </w:rPr>
              <w:t> </w:t>
            </w:r>
          </w:p>
          <w:p w:rsidR="00794096" w:rsidRPr="00D5212E" w:rsidRDefault="005B2E33" w:rsidP="00D34454">
            <w:pPr>
              <w:jc w:val="both"/>
              <w:rPr>
                <w:color w:val="000000" w:themeColor="text1"/>
              </w:rPr>
            </w:pPr>
            <w:r w:rsidRPr="00D5212E">
              <w:rPr>
                <w:color w:val="000000" w:themeColor="text1"/>
              </w:rPr>
              <w:t>3)</w:t>
            </w:r>
            <w:r w:rsidR="00794096" w:rsidRPr="00D5212E">
              <w:rPr>
                <w:color w:val="000000" w:themeColor="text1"/>
              </w:rPr>
              <w:t xml:space="preserve"> noteikumu projektā ietvertais koeficients B</w:t>
            </w:r>
            <w:r w:rsidR="00794096" w:rsidRPr="00D5212E">
              <w:rPr>
                <w:color w:val="000000" w:themeColor="text1"/>
                <w:vertAlign w:val="subscript"/>
              </w:rPr>
              <w:t>2</w:t>
            </w:r>
            <w:bookmarkStart w:id="3" w:name="_GoBack"/>
            <w:bookmarkEnd w:id="3"/>
            <w:r w:rsidR="00794096" w:rsidRPr="00D5212E">
              <w:rPr>
                <w:color w:val="000000" w:themeColor="text1"/>
              </w:rPr>
              <w:t xml:space="preserve">, konstanta vērtība (divi tūkstoši latu) par hektāra atmežošanu (Ls/ha), ir nepamatoti augsts. Lai gan tas ir </w:t>
            </w:r>
            <w:r w:rsidR="00794096" w:rsidRPr="00D5212E">
              <w:rPr>
                <w:bCs/>
                <w:color w:val="000000" w:themeColor="text1"/>
              </w:rPr>
              <w:t>kompromisa piedāvājums</w:t>
            </w:r>
            <w:r w:rsidR="00794096" w:rsidRPr="00D5212E">
              <w:rPr>
                <w:color w:val="000000" w:themeColor="text1"/>
              </w:rPr>
              <w:t xml:space="preserve"> starp Latvijas Dabas fonda izteikto iebildumu un Meža īpašnieku biedrības piedāvājumu. </w:t>
            </w:r>
          </w:p>
          <w:p w:rsidR="0068066F" w:rsidRPr="00D5212E" w:rsidRDefault="00BD28AC" w:rsidP="00D34454">
            <w:pPr>
              <w:jc w:val="both"/>
              <w:rPr>
                <w:color w:val="000000" w:themeColor="text1"/>
              </w:rPr>
            </w:pPr>
            <w:r w:rsidRPr="00D5212E">
              <w:rPr>
                <w:color w:val="000000" w:themeColor="text1"/>
              </w:rPr>
              <w:t>Kūdras ražotāju asociācija atbalsta noteikumu projektu.</w:t>
            </w:r>
          </w:p>
          <w:p w:rsidR="00794096" w:rsidRPr="00D5212E" w:rsidRDefault="00794096" w:rsidP="00D34454">
            <w:pPr>
              <w:jc w:val="both"/>
              <w:rPr>
                <w:bCs/>
                <w:color w:val="000000" w:themeColor="text1"/>
              </w:rPr>
            </w:pPr>
            <w:r w:rsidRPr="00D5212E">
              <w:rPr>
                <w:color w:val="000000" w:themeColor="text1"/>
              </w:rPr>
              <w:t>Latvijas Dabas fonds saskaņoja precizēto noteikumu projektu.</w:t>
            </w:r>
          </w:p>
        </w:tc>
      </w:tr>
      <w:tr w:rsidR="00C37C0E" w:rsidRPr="00D5212E" w:rsidTr="00B422EC">
        <w:trPr>
          <w:trHeight w:val="397"/>
          <w:jc w:val="center"/>
        </w:trPr>
        <w:tc>
          <w:tcPr>
            <w:tcW w:w="565" w:type="dxa"/>
          </w:tcPr>
          <w:p w:rsidR="00C37C0E" w:rsidRPr="00D5212E" w:rsidRDefault="00C37C0E" w:rsidP="009204F3">
            <w:pPr>
              <w:pStyle w:val="naiskr"/>
              <w:spacing w:before="0" w:after="0"/>
              <w:ind w:left="57" w:right="57"/>
              <w:rPr>
                <w:bCs/>
                <w:color w:val="000000" w:themeColor="text1"/>
              </w:rPr>
            </w:pPr>
            <w:r w:rsidRPr="00D5212E">
              <w:rPr>
                <w:bCs/>
                <w:color w:val="000000" w:themeColor="text1"/>
                <w:szCs w:val="22"/>
              </w:rPr>
              <w:t>4.</w:t>
            </w:r>
          </w:p>
        </w:tc>
        <w:tc>
          <w:tcPr>
            <w:tcW w:w="3186" w:type="dxa"/>
          </w:tcPr>
          <w:p w:rsidR="00C37C0E" w:rsidRPr="00D5212E" w:rsidRDefault="00C37C0E" w:rsidP="009204F3">
            <w:pPr>
              <w:pStyle w:val="naiskr"/>
              <w:spacing w:before="0" w:after="0"/>
              <w:ind w:left="57" w:right="57"/>
              <w:rPr>
                <w:color w:val="000000" w:themeColor="text1"/>
              </w:rPr>
            </w:pPr>
            <w:r w:rsidRPr="00D5212E">
              <w:rPr>
                <w:color w:val="000000" w:themeColor="text1"/>
                <w:szCs w:val="22"/>
              </w:rPr>
              <w:t>Saeimas un ekspertu līdzdalība</w:t>
            </w:r>
          </w:p>
        </w:tc>
        <w:tc>
          <w:tcPr>
            <w:tcW w:w="5882" w:type="dxa"/>
          </w:tcPr>
          <w:p w:rsidR="00C37C0E" w:rsidRPr="00D5212E" w:rsidRDefault="00C37C0E" w:rsidP="009204F3">
            <w:pPr>
              <w:pStyle w:val="naiskr"/>
              <w:spacing w:before="0" w:after="0"/>
              <w:ind w:left="57" w:right="57"/>
              <w:jc w:val="both"/>
              <w:rPr>
                <w:color w:val="000000" w:themeColor="text1"/>
              </w:rPr>
            </w:pPr>
            <w:r w:rsidRPr="00D5212E">
              <w:rPr>
                <w:iCs/>
                <w:color w:val="000000" w:themeColor="text1"/>
              </w:rPr>
              <w:t>Projekts šo jomu neskar.</w:t>
            </w:r>
          </w:p>
        </w:tc>
      </w:tr>
      <w:tr w:rsidR="00C37C0E" w:rsidRPr="00D5212E" w:rsidTr="00B422EC">
        <w:trPr>
          <w:trHeight w:val="476"/>
          <w:jc w:val="center"/>
        </w:trPr>
        <w:tc>
          <w:tcPr>
            <w:tcW w:w="565" w:type="dxa"/>
          </w:tcPr>
          <w:p w:rsidR="00C37C0E" w:rsidRPr="00D5212E" w:rsidRDefault="00C37C0E" w:rsidP="009204F3">
            <w:pPr>
              <w:pStyle w:val="naiskr"/>
              <w:spacing w:before="0" w:after="0"/>
              <w:ind w:left="57" w:right="57"/>
              <w:rPr>
                <w:bCs/>
                <w:color w:val="000000" w:themeColor="text1"/>
              </w:rPr>
            </w:pPr>
            <w:r w:rsidRPr="00D5212E">
              <w:rPr>
                <w:bCs/>
                <w:color w:val="000000" w:themeColor="text1"/>
                <w:szCs w:val="22"/>
              </w:rPr>
              <w:t>5.</w:t>
            </w:r>
          </w:p>
        </w:tc>
        <w:tc>
          <w:tcPr>
            <w:tcW w:w="3186" w:type="dxa"/>
          </w:tcPr>
          <w:p w:rsidR="00C37C0E" w:rsidRPr="00D5212E" w:rsidRDefault="00C37C0E" w:rsidP="009204F3">
            <w:pPr>
              <w:pStyle w:val="naiskr"/>
              <w:spacing w:before="0" w:after="0"/>
              <w:ind w:left="57" w:right="57"/>
              <w:rPr>
                <w:color w:val="000000" w:themeColor="text1"/>
              </w:rPr>
            </w:pPr>
            <w:r w:rsidRPr="00D5212E">
              <w:rPr>
                <w:color w:val="000000" w:themeColor="text1"/>
                <w:szCs w:val="22"/>
              </w:rPr>
              <w:t>Cita informācija</w:t>
            </w:r>
          </w:p>
          <w:p w:rsidR="00C37C0E" w:rsidRPr="00D5212E" w:rsidRDefault="00C37C0E" w:rsidP="009204F3">
            <w:pPr>
              <w:pStyle w:val="naiskr"/>
              <w:spacing w:before="0" w:after="0"/>
              <w:ind w:left="57" w:right="57"/>
              <w:rPr>
                <w:color w:val="000000" w:themeColor="text1"/>
              </w:rPr>
            </w:pPr>
          </w:p>
        </w:tc>
        <w:tc>
          <w:tcPr>
            <w:tcW w:w="5882" w:type="dxa"/>
          </w:tcPr>
          <w:p w:rsidR="00C37C0E" w:rsidRPr="00D5212E" w:rsidRDefault="00C37C0E" w:rsidP="009204F3">
            <w:pPr>
              <w:pStyle w:val="naiskr"/>
              <w:spacing w:before="0" w:after="0"/>
              <w:ind w:left="57" w:right="57"/>
              <w:jc w:val="both"/>
              <w:rPr>
                <w:color w:val="000000" w:themeColor="text1"/>
              </w:rPr>
            </w:pPr>
            <w:r w:rsidRPr="00D5212E">
              <w:rPr>
                <w:color w:val="000000" w:themeColor="text1"/>
                <w:szCs w:val="22"/>
              </w:rPr>
              <w:t>Nav</w:t>
            </w:r>
          </w:p>
        </w:tc>
      </w:tr>
    </w:tbl>
    <w:p w:rsidR="00C37C0E" w:rsidRPr="00D5212E" w:rsidRDefault="00C37C0E" w:rsidP="003A0890">
      <w:pPr>
        <w:rPr>
          <w:color w:val="000000" w:themeColor="text1"/>
        </w:rPr>
      </w:pP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405"/>
        <w:gridCol w:w="4964"/>
      </w:tblGrid>
      <w:tr w:rsidR="0023436E" w:rsidRPr="00D5212E" w:rsidTr="005325AA">
        <w:tc>
          <w:tcPr>
            <w:tcW w:w="9720" w:type="dxa"/>
            <w:gridSpan w:val="3"/>
            <w:tcBorders>
              <w:top w:val="single" w:sz="4" w:space="0" w:color="auto"/>
            </w:tcBorders>
          </w:tcPr>
          <w:p w:rsidR="0023436E" w:rsidRPr="00D5212E" w:rsidRDefault="0023436E" w:rsidP="007D099D">
            <w:pPr>
              <w:pStyle w:val="naisnod"/>
              <w:spacing w:before="0" w:after="0"/>
              <w:ind w:left="57" w:right="57"/>
              <w:rPr>
                <w:color w:val="000000" w:themeColor="text1"/>
              </w:rPr>
            </w:pPr>
            <w:r w:rsidRPr="00D5212E">
              <w:rPr>
                <w:color w:val="000000" w:themeColor="text1"/>
              </w:rPr>
              <w:t>VII</w:t>
            </w:r>
            <w:r w:rsidR="000941C5" w:rsidRPr="00D5212E">
              <w:rPr>
                <w:color w:val="000000" w:themeColor="text1"/>
              </w:rPr>
              <w:t>.</w:t>
            </w:r>
            <w:r w:rsidRPr="00D5212E">
              <w:rPr>
                <w:color w:val="000000" w:themeColor="text1"/>
              </w:rPr>
              <w:t xml:space="preserve"> Tiesību akta projekta izpildes nodrošināšana un tās ietekme uz institūcijām</w:t>
            </w:r>
          </w:p>
        </w:tc>
      </w:tr>
      <w:tr w:rsidR="0023436E" w:rsidRPr="00D5212E" w:rsidTr="00A97644">
        <w:trPr>
          <w:trHeight w:val="427"/>
        </w:trPr>
        <w:tc>
          <w:tcPr>
            <w:tcW w:w="351" w:type="dxa"/>
          </w:tcPr>
          <w:p w:rsidR="0023436E" w:rsidRPr="00D5212E" w:rsidRDefault="0023436E" w:rsidP="007D099D">
            <w:pPr>
              <w:pStyle w:val="naisnod"/>
              <w:spacing w:before="0" w:after="0"/>
              <w:ind w:left="57" w:right="57"/>
              <w:jc w:val="left"/>
              <w:rPr>
                <w:b w:val="0"/>
                <w:color w:val="000000" w:themeColor="text1"/>
              </w:rPr>
            </w:pPr>
            <w:r w:rsidRPr="00D5212E">
              <w:rPr>
                <w:b w:val="0"/>
                <w:color w:val="000000" w:themeColor="text1"/>
              </w:rPr>
              <w:t>1.</w:t>
            </w:r>
          </w:p>
        </w:tc>
        <w:tc>
          <w:tcPr>
            <w:tcW w:w="4405" w:type="dxa"/>
          </w:tcPr>
          <w:p w:rsidR="0023436E" w:rsidRPr="00D5212E" w:rsidRDefault="001A4066" w:rsidP="007D099D">
            <w:pPr>
              <w:pStyle w:val="naisf"/>
              <w:spacing w:before="0" w:after="0"/>
              <w:ind w:left="57" w:right="57" w:firstLine="0"/>
              <w:jc w:val="left"/>
              <w:rPr>
                <w:color w:val="000000" w:themeColor="text1"/>
              </w:rPr>
            </w:pPr>
            <w:r w:rsidRPr="00D5212E">
              <w:rPr>
                <w:color w:val="000000" w:themeColor="text1"/>
              </w:rPr>
              <w:t>P</w:t>
            </w:r>
            <w:r w:rsidR="0023436E" w:rsidRPr="00D5212E">
              <w:rPr>
                <w:color w:val="000000" w:themeColor="text1"/>
              </w:rPr>
              <w:t xml:space="preserve">rojekta izpildē iesaistītās institūcijas </w:t>
            </w:r>
          </w:p>
        </w:tc>
        <w:tc>
          <w:tcPr>
            <w:tcW w:w="4964" w:type="dxa"/>
          </w:tcPr>
          <w:p w:rsidR="0023436E" w:rsidRPr="00D5212E" w:rsidRDefault="00CD3F46" w:rsidP="00020AB9">
            <w:pPr>
              <w:pStyle w:val="naisnod"/>
              <w:spacing w:before="0" w:after="0"/>
              <w:ind w:left="57" w:right="57"/>
              <w:jc w:val="left"/>
              <w:rPr>
                <w:b w:val="0"/>
                <w:color w:val="000000" w:themeColor="text1"/>
              </w:rPr>
            </w:pPr>
            <w:r w:rsidRPr="00D5212E">
              <w:rPr>
                <w:b w:val="0"/>
                <w:color w:val="000000" w:themeColor="text1"/>
              </w:rPr>
              <w:t>Valsts meža dienests</w:t>
            </w:r>
            <w:r w:rsidR="0098140B" w:rsidRPr="00D5212E">
              <w:rPr>
                <w:b w:val="0"/>
                <w:color w:val="000000" w:themeColor="text1"/>
              </w:rPr>
              <w:t xml:space="preserve">, pašvaldības, </w:t>
            </w:r>
            <w:r w:rsidR="00020AB9" w:rsidRPr="00D5212E">
              <w:rPr>
                <w:b w:val="0"/>
                <w:color w:val="000000" w:themeColor="text1"/>
              </w:rPr>
              <w:t>Valsts vides dienests</w:t>
            </w:r>
            <w:r w:rsidR="00E7479E" w:rsidRPr="00D5212E">
              <w:rPr>
                <w:b w:val="0"/>
                <w:color w:val="000000" w:themeColor="text1"/>
              </w:rPr>
              <w:t xml:space="preserve"> un</w:t>
            </w:r>
            <w:r w:rsidR="0098140B" w:rsidRPr="00D5212E">
              <w:rPr>
                <w:b w:val="0"/>
                <w:color w:val="000000" w:themeColor="text1"/>
              </w:rPr>
              <w:t xml:space="preserve"> Dabas aizsardzības pārvalde</w:t>
            </w:r>
          </w:p>
        </w:tc>
      </w:tr>
      <w:tr w:rsidR="0023436E" w:rsidRPr="00D5212E" w:rsidTr="00A97644">
        <w:trPr>
          <w:trHeight w:val="463"/>
        </w:trPr>
        <w:tc>
          <w:tcPr>
            <w:tcW w:w="351" w:type="dxa"/>
          </w:tcPr>
          <w:p w:rsidR="0023436E" w:rsidRPr="00D5212E" w:rsidRDefault="0023436E" w:rsidP="007D099D">
            <w:pPr>
              <w:pStyle w:val="naisnod"/>
              <w:spacing w:before="0" w:after="0"/>
              <w:ind w:left="57" w:right="57"/>
              <w:jc w:val="left"/>
              <w:rPr>
                <w:b w:val="0"/>
                <w:color w:val="000000" w:themeColor="text1"/>
              </w:rPr>
            </w:pPr>
            <w:r w:rsidRPr="00D5212E">
              <w:rPr>
                <w:b w:val="0"/>
                <w:color w:val="000000" w:themeColor="text1"/>
              </w:rPr>
              <w:t>2.</w:t>
            </w:r>
          </w:p>
        </w:tc>
        <w:tc>
          <w:tcPr>
            <w:tcW w:w="4405" w:type="dxa"/>
          </w:tcPr>
          <w:p w:rsidR="0023436E" w:rsidRPr="00D5212E" w:rsidRDefault="001A4066" w:rsidP="007D099D">
            <w:pPr>
              <w:pStyle w:val="naisf"/>
              <w:spacing w:before="0" w:after="0"/>
              <w:ind w:left="57" w:right="57" w:firstLine="0"/>
              <w:jc w:val="left"/>
              <w:rPr>
                <w:color w:val="000000" w:themeColor="text1"/>
              </w:rPr>
            </w:pPr>
            <w:r w:rsidRPr="00D5212E">
              <w:rPr>
                <w:color w:val="000000" w:themeColor="text1"/>
              </w:rPr>
              <w:t>Projekta i</w:t>
            </w:r>
            <w:r w:rsidR="0023436E" w:rsidRPr="00D5212E">
              <w:rPr>
                <w:color w:val="000000" w:themeColor="text1"/>
              </w:rPr>
              <w:t xml:space="preserve">zpildes ietekme uz pārvaldes funkcijām </w:t>
            </w:r>
          </w:p>
        </w:tc>
        <w:tc>
          <w:tcPr>
            <w:tcW w:w="4964" w:type="dxa"/>
          </w:tcPr>
          <w:p w:rsidR="00B61A96" w:rsidRPr="00D5212E" w:rsidRDefault="00FC7723" w:rsidP="00E60794">
            <w:pPr>
              <w:pStyle w:val="naisnod"/>
              <w:spacing w:before="0" w:after="0"/>
              <w:ind w:left="57" w:right="57"/>
              <w:jc w:val="left"/>
              <w:rPr>
                <w:color w:val="000000" w:themeColor="text1"/>
              </w:rPr>
            </w:pPr>
            <w:r w:rsidRPr="00D5212E">
              <w:rPr>
                <w:b w:val="0"/>
                <w:color w:val="000000" w:themeColor="text1"/>
              </w:rPr>
              <w:t xml:space="preserve">Projekta izpilde tiks nodrošināta </w:t>
            </w:r>
            <w:r w:rsidR="00E7479E" w:rsidRPr="00D5212E">
              <w:rPr>
                <w:b w:val="0"/>
                <w:color w:val="000000" w:themeColor="text1"/>
              </w:rPr>
              <w:t xml:space="preserve">atbilstoši </w:t>
            </w:r>
            <w:r w:rsidRPr="00D5212E">
              <w:rPr>
                <w:b w:val="0"/>
                <w:color w:val="000000" w:themeColor="text1"/>
              </w:rPr>
              <w:t>esoš</w:t>
            </w:r>
            <w:r w:rsidR="00E7479E" w:rsidRPr="00D5212E">
              <w:rPr>
                <w:b w:val="0"/>
                <w:color w:val="000000" w:themeColor="text1"/>
              </w:rPr>
              <w:t>ajām</w:t>
            </w:r>
            <w:r w:rsidRPr="00D5212E">
              <w:rPr>
                <w:b w:val="0"/>
                <w:color w:val="000000" w:themeColor="text1"/>
              </w:rPr>
              <w:t xml:space="preserve"> funkcij</w:t>
            </w:r>
            <w:r w:rsidR="00E7479E" w:rsidRPr="00D5212E">
              <w:rPr>
                <w:b w:val="0"/>
                <w:color w:val="000000" w:themeColor="text1"/>
              </w:rPr>
              <w:t>ām.</w:t>
            </w:r>
          </w:p>
        </w:tc>
      </w:tr>
      <w:tr w:rsidR="0023436E" w:rsidRPr="00D5212E" w:rsidTr="00A97644">
        <w:trPr>
          <w:trHeight w:val="725"/>
        </w:trPr>
        <w:tc>
          <w:tcPr>
            <w:tcW w:w="351" w:type="dxa"/>
          </w:tcPr>
          <w:p w:rsidR="0023436E" w:rsidRPr="00D5212E" w:rsidRDefault="0023436E" w:rsidP="007D099D">
            <w:pPr>
              <w:pStyle w:val="naisnod"/>
              <w:spacing w:before="0" w:after="0"/>
              <w:ind w:left="57" w:right="57"/>
              <w:jc w:val="left"/>
              <w:rPr>
                <w:b w:val="0"/>
                <w:color w:val="000000" w:themeColor="text1"/>
              </w:rPr>
            </w:pPr>
            <w:r w:rsidRPr="00D5212E">
              <w:rPr>
                <w:b w:val="0"/>
                <w:color w:val="000000" w:themeColor="text1"/>
              </w:rPr>
              <w:t>3.</w:t>
            </w:r>
          </w:p>
        </w:tc>
        <w:tc>
          <w:tcPr>
            <w:tcW w:w="4405" w:type="dxa"/>
          </w:tcPr>
          <w:p w:rsidR="0023436E" w:rsidRPr="00D5212E" w:rsidRDefault="001A4066" w:rsidP="007D099D">
            <w:pPr>
              <w:pStyle w:val="naisf"/>
              <w:spacing w:before="0" w:after="0"/>
              <w:ind w:left="57" w:right="57" w:firstLine="0"/>
              <w:jc w:val="left"/>
              <w:rPr>
                <w:color w:val="000000" w:themeColor="text1"/>
              </w:rPr>
            </w:pPr>
            <w:r w:rsidRPr="00D5212E">
              <w:rPr>
                <w:color w:val="000000" w:themeColor="text1"/>
              </w:rPr>
              <w:t>Projekta iz</w:t>
            </w:r>
            <w:r w:rsidR="0023436E" w:rsidRPr="00D5212E">
              <w:rPr>
                <w:color w:val="000000" w:themeColor="text1"/>
              </w:rPr>
              <w:t>pildes ietekme uz pārvaldes institucionālo struktūru.</w:t>
            </w:r>
          </w:p>
          <w:p w:rsidR="0023436E" w:rsidRPr="00D5212E" w:rsidRDefault="006C4607" w:rsidP="007D099D">
            <w:pPr>
              <w:pStyle w:val="naisf"/>
              <w:spacing w:before="0" w:after="0"/>
              <w:ind w:left="57" w:right="57" w:firstLine="0"/>
              <w:jc w:val="left"/>
              <w:rPr>
                <w:color w:val="000000" w:themeColor="text1"/>
              </w:rPr>
            </w:pPr>
            <w:r w:rsidRPr="00D5212E">
              <w:rPr>
                <w:color w:val="000000" w:themeColor="text1"/>
              </w:rPr>
              <w:t>Jaunu institūciju izveide</w:t>
            </w:r>
          </w:p>
        </w:tc>
        <w:tc>
          <w:tcPr>
            <w:tcW w:w="4964" w:type="dxa"/>
          </w:tcPr>
          <w:p w:rsidR="0023436E" w:rsidRPr="00D5212E" w:rsidRDefault="00B61A96" w:rsidP="007D099D">
            <w:pPr>
              <w:pStyle w:val="naisnod"/>
              <w:spacing w:before="0" w:after="0"/>
              <w:ind w:left="57" w:right="57"/>
              <w:jc w:val="left"/>
              <w:rPr>
                <w:b w:val="0"/>
                <w:color w:val="000000" w:themeColor="text1"/>
              </w:rPr>
            </w:pPr>
            <w:r w:rsidRPr="00D5212E">
              <w:rPr>
                <w:b w:val="0"/>
                <w:color w:val="000000" w:themeColor="text1"/>
              </w:rPr>
              <w:t>Projekts šo jomu neskar.</w:t>
            </w:r>
          </w:p>
        </w:tc>
      </w:tr>
      <w:tr w:rsidR="009230FF" w:rsidRPr="00D5212E" w:rsidTr="00A97644">
        <w:trPr>
          <w:trHeight w:val="780"/>
        </w:trPr>
        <w:tc>
          <w:tcPr>
            <w:tcW w:w="351" w:type="dxa"/>
          </w:tcPr>
          <w:p w:rsidR="009230FF" w:rsidRPr="00D5212E" w:rsidRDefault="009230FF" w:rsidP="007D099D">
            <w:pPr>
              <w:pStyle w:val="naisnod"/>
              <w:spacing w:before="0" w:after="0"/>
              <w:ind w:left="57" w:right="57"/>
              <w:jc w:val="left"/>
              <w:rPr>
                <w:b w:val="0"/>
                <w:color w:val="000000" w:themeColor="text1"/>
              </w:rPr>
            </w:pPr>
            <w:r w:rsidRPr="00D5212E">
              <w:rPr>
                <w:b w:val="0"/>
                <w:color w:val="000000" w:themeColor="text1"/>
              </w:rPr>
              <w:t>4.</w:t>
            </w:r>
          </w:p>
        </w:tc>
        <w:tc>
          <w:tcPr>
            <w:tcW w:w="4405" w:type="dxa"/>
          </w:tcPr>
          <w:p w:rsidR="009230FF" w:rsidRPr="00D5212E" w:rsidRDefault="009230FF" w:rsidP="007D099D">
            <w:pPr>
              <w:pStyle w:val="naisf"/>
              <w:spacing w:before="0" w:after="0"/>
              <w:ind w:left="57" w:right="57" w:firstLine="0"/>
              <w:jc w:val="left"/>
              <w:rPr>
                <w:color w:val="000000" w:themeColor="text1"/>
              </w:rPr>
            </w:pPr>
            <w:r w:rsidRPr="00D5212E">
              <w:rPr>
                <w:color w:val="000000" w:themeColor="text1"/>
              </w:rPr>
              <w:t>Projekta izpildes ietekme uz pārvaldes institucionālo struktūru.</w:t>
            </w:r>
          </w:p>
          <w:p w:rsidR="009230FF" w:rsidRPr="00D5212E" w:rsidRDefault="009230FF" w:rsidP="007D099D">
            <w:pPr>
              <w:pStyle w:val="naisf"/>
              <w:spacing w:before="0" w:after="0"/>
              <w:ind w:left="57" w:right="57" w:firstLine="0"/>
              <w:jc w:val="left"/>
              <w:rPr>
                <w:color w:val="000000" w:themeColor="text1"/>
              </w:rPr>
            </w:pPr>
            <w:r w:rsidRPr="00D5212E">
              <w:rPr>
                <w:color w:val="000000" w:themeColor="text1"/>
              </w:rPr>
              <w:t>Esošu institūciju likvidācija</w:t>
            </w:r>
          </w:p>
        </w:tc>
        <w:tc>
          <w:tcPr>
            <w:tcW w:w="4964" w:type="dxa"/>
          </w:tcPr>
          <w:p w:rsidR="009230FF" w:rsidRPr="00D5212E" w:rsidRDefault="00314EED" w:rsidP="00213AA9">
            <w:pPr>
              <w:pStyle w:val="naisnod"/>
              <w:spacing w:before="0" w:after="0"/>
              <w:ind w:left="57" w:right="57"/>
              <w:jc w:val="left"/>
              <w:rPr>
                <w:b w:val="0"/>
                <w:color w:val="000000" w:themeColor="text1"/>
              </w:rPr>
            </w:pPr>
            <w:r w:rsidRPr="00D5212E">
              <w:rPr>
                <w:b w:val="0"/>
                <w:color w:val="000000" w:themeColor="text1"/>
              </w:rPr>
              <w:t>Projekts šo jomu neskar.</w:t>
            </w:r>
          </w:p>
        </w:tc>
      </w:tr>
      <w:tr w:rsidR="0023436E" w:rsidRPr="00D5212E" w:rsidTr="00A97644">
        <w:trPr>
          <w:trHeight w:val="703"/>
        </w:trPr>
        <w:tc>
          <w:tcPr>
            <w:tcW w:w="351" w:type="dxa"/>
          </w:tcPr>
          <w:p w:rsidR="0023436E" w:rsidRPr="00D5212E" w:rsidRDefault="0023436E" w:rsidP="007D099D">
            <w:pPr>
              <w:pStyle w:val="naisnod"/>
              <w:spacing w:before="0" w:after="0"/>
              <w:ind w:left="57" w:right="57"/>
              <w:jc w:val="left"/>
              <w:rPr>
                <w:b w:val="0"/>
                <w:color w:val="000000" w:themeColor="text1"/>
              </w:rPr>
            </w:pPr>
            <w:r w:rsidRPr="00D5212E">
              <w:rPr>
                <w:b w:val="0"/>
                <w:color w:val="000000" w:themeColor="text1"/>
              </w:rPr>
              <w:t>5.</w:t>
            </w:r>
          </w:p>
        </w:tc>
        <w:tc>
          <w:tcPr>
            <w:tcW w:w="4405" w:type="dxa"/>
          </w:tcPr>
          <w:p w:rsidR="0023436E" w:rsidRPr="00D5212E" w:rsidRDefault="001A4066" w:rsidP="007D099D">
            <w:pPr>
              <w:pStyle w:val="naisf"/>
              <w:spacing w:before="0" w:after="0"/>
              <w:ind w:left="57" w:right="57" w:firstLine="0"/>
              <w:jc w:val="left"/>
              <w:rPr>
                <w:color w:val="000000" w:themeColor="text1"/>
              </w:rPr>
            </w:pPr>
            <w:r w:rsidRPr="00D5212E">
              <w:rPr>
                <w:color w:val="000000" w:themeColor="text1"/>
              </w:rPr>
              <w:t>Projekta i</w:t>
            </w:r>
            <w:r w:rsidR="0023436E" w:rsidRPr="00D5212E">
              <w:rPr>
                <w:color w:val="000000" w:themeColor="text1"/>
              </w:rPr>
              <w:t>zpildes ietekme uz pārvaldes institucionālo struktūru.</w:t>
            </w:r>
          </w:p>
          <w:p w:rsidR="0023436E" w:rsidRPr="00D5212E" w:rsidRDefault="0023436E" w:rsidP="007D099D">
            <w:pPr>
              <w:pStyle w:val="naisf"/>
              <w:spacing w:before="0" w:after="0"/>
              <w:ind w:left="57" w:right="57" w:firstLine="0"/>
              <w:jc w:val="left"/>
              <w:rPr>
                <w:color w:val="000000" w:themeColor="text1"/>
              </w:rPr>
            </w:pPr>
            <w:r w:rsidRPr="00D5212E">
              <w:rPr>
                <w:color w:val="000000" w:themeColor="text1"/>
              </w:rPr>
              <w:t>Esošu institūciju reorganizācija</w:t>
            </w:r>
          </w:p>
        </w:tc>
        <w:tc>
          <w:tcPr>
            <w:tcW w:w="4964" w:type="dxa"/>
          </w:tcPr>
          <w:p w:rsidR="0023436E" w:rsidRPr="00D5212E" w:rsidRDefault="00314EED" w:rsidP="007D099D">
            <w:pPr>
              <w:pStyle w:val="naisnod"/>
              <w:spacing w:before="0" w:after="0"/>
              <w:ind w:left="57" w:right="57"/>
              <w:jc w:val="left"/>
              <w:rPr>
                <w:b w:val="0"/>
                <w:color w:val="000000" w:themeColor="text1"/>
              </w:rPr>
            </w:pPr>
            <w:r w:rsidRPr="00D5212E">
              <w:rPr>
                <w:b w:val="0"/>
                <w:color w:val="000000" w:themeColor="text1"/>
              </w:rPr>
              <w:t>Projekts šo jomu neskar.</w:t>
            </w:r>
          </w:p>
        </w:tc>
      </w:tr>
      <w:tr w:rsidR="0023436E" w:rsidRPr="00D5212E" w:rsidTr="00A97644">
        <w:trPr>
          <w:trHeight w:val="476"/>
        </w:trPr>
        <w:tc>
          <w:tcPr>
            <w:tcW w:w="351" w:type="dxa"/>
          </w:tcPr>
          <w:p w:rsidR="0023436E" w:rsidRPr="00D5212E" w:rsidRDefault="00F63DAC" w:rsidP="007D099D">
            <w:pPr>
              <w:pStyle w:val="naiskr"/>
              <w:spacing w:before="0" w:after="0"/>
              <w:ind w:left="57" w:right="57"/>
              <w:rPr>
                <w:color w:val="000000" w:themeColor="text1"/>
              </w:rPr>
            </w:pPr>
            <w:r w:rsidRPr="00D5212E">
              <w:rPr>
                <w:color w:val="000000" w:themeColor="text1"/>
              </w:rPr>
              <w:lastRenderedPageBreak/>
              <w:t>6</w:t>
            </w:r>
            <w:r w:rsidR="0023436E" w:rsidRPr="00D5212E">
              <w:rPr>
                <w:color w:val="000000" w:themeColor="text1"/>
              </w:rPr>
              <w:t>.</w:t>
            </w:r>
          </w:p>
        </w:tc>
        <w:tc>
          <w:tcPr>
            <w:tcW w:w="4405" w:type="dxa"/>
          </w:tcPr>
          <w:p w:rsidR="0023436E" w:rsidRPr="00D5212E" w:rsidRDefault="006C4607" w:rsidP="007D099D">
            <w:pPr>
              <w:pStyle w:val="naiskr"/>
              <w:spacing w:before="0" w:after="0"/>
              <w:ind w:left="57" w:right="57"/>
              <w:rPr>
                <w:color w:val="000000" w:themeColor="text1"/>
              </w:rPr>
            </w:pPr>
            <w:r w:rsidRPr="00D5212E">
              <w:rPr>
                <w:color w:val="000000" w:themeColor="text1"/>
              </w:rPr>
              <w:t>Cita informācija</w:t>
            </w:r>
          </w:p>
        </w:tc>
        <w:tc>
          <w:tcPr>
            <w:tcW w:w="4964" w:type="dxa"/>
          </w:tcPr>
          <w:p w:rsidR="0023436E" w:rsidRPr="00D5212E" w:rsidRDefault="00D77DF3" w:rsidP="007D099D">
            <w:pPr>
              <w:pStyle w:val="naiskr"/>
              <w:spacing w:before="0" w:after="0"/>
              <w:ind w:left="57" w:right="57"/>
              <w:rPr>
                <w:color w:val="000000" w:themeColor="text1"/>
              </w:rPr>
            </w:pPr>
            <w:r w:rsidRPr="00D5212E">
              <w:rPr>
                <w:color w:val="000000" w:themeColor="text1"/>
              </w:rPr>
              <w:t>Nav</w:t>
            </w:r>
          </w:p>
        </w:tc>
      </w:tr>
    </w:tbl>
    <w:p w:rsidR="004E3B95" w:rsidRPr="00D5212E" w:rsidRDefault="004E3B95" w:rsidP="00216238">
      <w:pPr>
        <w:pStyle w:val="naisf"/>
        <w:spacing w:before="0" w:after="0"/>
        <w:ind w:firstLine="0"/>
        <w:rPr>
          <w:color w:val="000000" w:themeColor="text1"/>
          <w:sz w:val="28"/>
          <w:szCs w:val="28"/>
        </w:rPr>
      </w:pPr>
    </w:p>
    <w:p w:rsidR="00DD5421" w:rsidRPr="00D5212E" w:rsidRDefault="00DD5421" w:rsidP="00DD5421">
      <w:pPr>
        <w:spacing w:before="54" w:after="54"/>
        <w:ind w:firstLine="269"/>
        <w:jc w:val="both"/>
        <w:rPr>
          <w:b/>
          <w:i/>
          <w:iCs/>
          <w:color w:val="000000" w:themeColor="text1"/>
          <w:sz w:val="28"/>
          <w:szCs w:val="28"/>
        </w:rPr>
      </w:pPr>
      <w:r w:rsidRPr="00D5212E">
        <w:rPr>
          <w:b/>
          <w:i/>
          <w:iCs/>
          <w:color w:val="000000" w:themeColor="text1"/>
          <w:sz w:val="28"/>
          <w:szCs w:val="28"/>
        </w:rPr>
        <w:t>Anotācijas IV un V sadaļa – projekts šīs jomas neskar.</w:t>
      </w:r>
    </w:p>
    <w:p w:rsidR="009C6582" w:rsidRPr="00D5212E" w:rsidRDefault="009C6582" w:rsidP="00216238">
      <w:pPr>
        <w:pStyle w:val="naisf"/>
        <w:spacing w:before="0" w:after="0"/>
        <w:ind w:firstLine="0"/>
        <w:rPr>
          <w:color w:val="000000" w:themeColor="text1"/>
          <w:sz w:val="28"/>
          <w:szCs w:val="28"/>
        </w:rPr>
      </w:pPr>
    </w:p>
    <w:p w:rsidR="00A06F70" w:rsidRPr="00D5212E" w:rsidRDefault="00A06F70" w:rsidP="00216238">
      <w:pPr>
        <w:pStyle w:val="naisf"/>
        <w:spacing w:before="0" w:after="0"/>
        <w:ind w:firstLine="0"/>
        <w:rPr>
          <w:color w:val="000000" w:themeColor="text1"/>
          <w:sz w:val="28"/>
          <w:szCs w:val="28"/>
        </w:rPr>
      </w:pPr>
    </w:p>
    <w:p w:rsidR="00216238" w:rsidRPr="00D5212E" w:rsidRDefault="00910177" w:rsidP="009C6582">
      <w:pPr>
        <w:pStyle w:val="naisf"/>
        <w:spacing w:before="0" w:after="0"/>
        <w:ind w:firstLine="720"/>
        <w:rPr>
          <w:color w:val="000000" w:themeColor="text1"/>
          <w:sz w:val="28"/>
          <w:szCs w:val="28"/>
        </w:rPr>
      </w:pPr>
      <w:r w:rsidRPr="00D5212E">
        <w:rPr>
          <w:color w:val="000000" w:themeColor="text1"/>
          <w:sz w:val="28"/>
          <w:szCs w:val="28"/>
        </w:rPr>
        <w:t>Zemkopības ministr</w:t>
      </w:r>
      <w:r w:rsidR="00E80A42" w:rsidRPr="00D5212E">
        <w:rPr>
          <w:color w:val="000000" w:themeColor="text1"/>
          <w:sz w:val="28"/>
          <w:szCs w:val="28"/>
        </w:rPr>
        <w:t>e</w:t>
      </w:r>
      <w:r w:rsidR="00216238" w:rsidRPr="00D5212E">
        <w:rPr>
          <w:color w:val="000000" w:themeColor="text1"/>
          <w:sz w:val="28"/>
          <w:szCs w:val="28"/>
        </w:rPr>
        <w:tab/>
      </w:r>
      <w:r w:rsidR="00216238" w:rsidRPr="00D5212E">
        <w:rPr>
          <w:color w:val="000000" w:themeColor="text1"/>
          <w:sz w:val="28"/>
          <w:szCs w:val="28"/>
        </w:rPr>
        <w:tab/>
      </w:r>
      <w:r w:rsidR="00216238" w:rsidRPr="00D5212E">
        <w:rPr>
          <w:color w:val="000000" w:themeColor="text1"/>
          <w:sz w:val="28"/>
          <w:szCs w:val="28"/>
        </w:rPr>
        <w:tab/>
      </w:r>
      <w:r w:rsidR="009C6582" w:rsidRPr="00D5212E">
        <w:rPr>
          <w:color w:val="000000" w:themeColor="text1"/>
          <w:sz w:val="28"/>
          <w:szCs w:val="28"/>
        </w:rPr>
        <w:tab/>
      </w:r>
      <w:r w:rsidR="009C6582" w:rsidRPr="00D5212E">
        <w:rPr>
          <w:color w:val="000000" w:themeColor="text1"/>
          <w:sz w:val="28"/>
          <w:szCs w:val="28"/>
        </w:rPr>
        <w:tab/>
      </w:r>
      <w:r w:rsidR="009C6582" w:rsidRPr="00D5212E">
        <w:rPr>
          <w:color w:val="000000" w:themeColor="text1"/>
          <w:sz w:val="28"/>
          <w:szCs w:val="28"/>
        </w:rPr>
        <w:tab/>
      </w:r>
      <w:r w:rsidR="00E80A42" w:rsidRPr="00D5212E">
        <w:rPr>
          <w:color w:val="000000" w:themeColor="text1"/>
          <w:sz w:val="28"/>
          <w:szCs w:val="28"/>
        </w:rPr>
        <w:t>L.Straujuma</w:t>
      </w:r>
    </w:p>
    <w:p w:rsidR="00880B68" w:rsidRPr="00D5212E" w:rsidRDefault="00880B68" w:rsidP="00880B68">
      <w:pPr>
        <w:pStyle w:val="naisf"/>
        <w:spacing w:before="0" w:after="0"/>
        <w:rPr>
          <w:color w:val="000000" w:themeColor="text1"/>
          <w:sz w:val="28"/>
          <w:szCs w:val="28"/>
        </w:rPr>
      </w:pPr>
    </w:p>
    <w:p w:rsidR="009C6582" w:rsidRPr="00D5212E" w:rsidRDefault="009C6582" w:rsidP="00880B68">
      <w:pPr>
        <w:pStyle w:val="naisf"/>
        <w:spacing w:before="0" w:after="0"/>
        <w:rPr>
          <w:color w:val="000000" w:themeColor="text1"/>
          <w:sz w:val="28"/>
          <w:szCs w:val="28"/>
        </w:rPr>
      </w:pPr>
    </w:p>
    <w:p w:rsidR="00C37FE8" w:rsidRPr="00D5212E" w:rsidRDefault="00C37FE8"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A06F70" w:rsidRPr="00D5212E" w:rsidRDefault="00A06F70" w:rsidP="00880B68">
      <w:pPr>
        <w:pStyle w:val="naisf"/>
        <w:spacing w:before="0" w:after="0"/>
        <w:rPr>
          <w:color w:val="000000" w:themeColor="text1"/>
          <w:sz w:val="28"/>
          <w:szCs w:val="28"/>
        </w:rPr>
      </w:pPr>
    </w:p>
    <w:p w:rsidR="00350219" w:rsidRPr="00D5212E" w:rsidRDefault="00350219" w:rsidP="00880B68">
      <w:pPr>
        <w:pStyle w:val="naisf"/>
        <w:spacing w:before="0" w:after="0"/>
        <w:rPr>
          <w:color w:val="000000" w:themeColor="text1"/>
          <w:sz w:val="28"/>
          <w:szCs w:val="28"/>
        </w:rPr>
      </w:pPr>
    </w:p>
    <w:p w:rsidR="00A06F70" w:rsidRPr="00D5212E" w:rsidRDefault="00A06F70" w:rsidP="0098140B">
      <w:pPr>
        <w:pStyle w:val="Pamattekstsaratkpi"/>
        <w:spacing w:after="0"/>
        <w:ind w:left="0"/>
        <w:rPr>
          <w:color w:val="000000" w:themeColor="text1"/>
          <w:sz w:val="20"/>
        </w:rPr>
      </w:pPr>
      <w:r w:rsidRPr="00D5212E">
        <w:rPr>
          <w:color w:val="000000" w:themeColor="text1"/>
          <w:sz w:val="20"/>
        </w:rPr>
        <w:t>2012.12.06. 13:13</w:t>
      </w:r>
    </w:p>
    <w:p w:rsidR="00A06F70" w:rsidRPr="00D5212E" w:rsidRDefault="002030BD" w:rsidP="0098140B">
      <w:pPr>
        <w:pStyle w:val="Pamattekstsaratkpi"/>
        <w:spacing w:after="0"/>
        <w:ind w:left="0"/>
        <w:rPr>
          <w:color w:val="000000" w:themeColor="text1"/>
          <w:sz w:val="20"/>
        </w:rPr>
      </w:pPr>
      <w:fldSimple w:instr=" NUMWORDS   \* MERGEFORMAT ">
        <w:r w:rsidR="00A06F70" w:rsidRPr="00D5212E">
          <w:rPr>
            <w:color w:val="000000" w:themeColor="text1"/>
            <w:sz w:val="20"/>
          </w:rPr>
          <w:t>2262</w:t>
        </w:r>
      </w:fldSimple>
    </w:p>
    <w:p w:rsidR="0098140B" w:rsidRPr="00D5212E" w:rsidRDefault="0098140B" w:rsidP="0098140B">
      <w:pPr>
        <w:pStyle w:val="Pamattekstsaratkpi"/>
        <w:spacing w:after="0"/>
        <w:ind w:left="0"/>
        <w:rPr>
          <w:color w:val="000000" w:themeColor="text1"/>
          <w:sz w:val="20"/>
        </w:rPr>
      </w:pPr>
      <w:r w:rsidRPr="00D5212E">
        <w:rPr>
          <w:color w:val="000000" w:themeColor="text1"/>
          <w:sz w:val="20"/>
        </w:rPr>
        <w:t>L.Āboliņa</w:t>
      </w:r>
    </w:p>
    <w:p w:rsidR="0098140B" w:rsidRPr="00D5212E" w:rsidRDefault="0098140B" w:rsidP="0098140B">
      <w:pPr>
        <w:pStyle w:val="Pamattekstsaratkpi"/>
        <w:spacing w:after="0"/>
        <w:ind w:left="0"/>
        <w:rPr>
          <w:color w:val="000000" w:themeColor="text1"/>
          <w:sz w:val="20"/>
        </w:rPr>
      </w:pPr>
      <w:r w:rsidRPr="00D5212E">
        <w:rPr>
          <w:color w:val="000000" w:themeColor="text1"/>
          <w:sz w:val="20"/>
        </w:rPr>
        <w:t>67027285, lasma.abolina@zm.gov.lv</w:t>
      </w:r>
    </w:p>
    <w:p w:rsidR="00880B68" w:rsidRPr="00D5212E" w:rsidRDefault="00880B68" w:rsidP="0098140B">
      <w:pPr>
        <w:rPr>
          <w:color w:val="000000" w:themeColor="text1"/>
          <w:sz w:val="20"/>
          <w:szCs w:val="20"/>
        </w:rPr>
      </w:pPr>
    </w:p>
    <w:sectPr w:rsidR="00880B68" w:rsidRPr="00D5212E" w:rsidSect="00A06F70">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E6" w:rsidRDefault="00695CE6">
      <w:r>
        <w:separator/>
      </w:r>
    </w:p>
  </w:endnote>
  <w:endnote w:type="continuationSeparator" w:id="0">
    <w:p w:rsidR="00695CE6" w:rsidRDefault="0069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Pr="000247D4" w:rsidRDefault="00020AB9" w:rsidP="000247D4">
    <w:pPr>
      <w:pStyle w:val="Kjene"/>
      <w:tabs>
        <w:tab w:val="clear" w:pos="4153"/>
        <w:tab w:val="clear" w:pos="8306"/>
      </w:tabs>
      <w:jc w:val="both"/>
      <w:rPr>
        <w:sz w:val="20"/>
      </w:rPr>
    </w:pPr>
    <w:r>
      <w:rPr>
        <w:sz w:val="20"/>
      </w:rPr>
      <w:t>ZMAn</w:t>
    </w:r>
    <w:r w:rsidR="00445171" w:rsidRPr="000247D4">
      <w:rPr>
        <w:sz w:val="20"/>
      </w:rPr>
      <w:t>ot_</w:t>
    </w:r>
    <w:r w:rsidR="00E748AE">
      <w:rPr>
        <w:sz w:val="20"/>
      </w:rPr>
      <w:t>0512</w:t>
    </w:r>
    <w:r w:rsidR="00445171" w:rsidRPr="000247D4">
      <w:rPr>
        <w:sz w:val="20"/>
      </w:rPr>
      <w:t xml:space="preserve">12_atmezosana; </w:t>
    </w:r>
    <w:r w:rsidR="00445171" w:rsidRPr="000247D4">
      <w:rPr>
        <w:bCs/>
        <w:sz w:val="20"/>
      </w:rPr>
      <w:t xml:space="preserve">Ministru kabineta noteikumu projekta </w:t>
    </w:r>
    <w:r w:rsidR="00445171" w:rsidRPr="000247D4">
      <w:rPr>
        <w:sz w:val="20"/>
      </w:rPr>
      <w:t>„Atmežošanas kompensācijas noteikšanas kritēriji, aprēķināšanas un atlīdzināšanas kārtība”</w:t>
    </w:r>
    <w:r w:rsidR="00445171" w:rsidRPr="000247D4">
      <w:rPr>
        <w:sz w:val="20"/>
        <w:szCs w:val="20"/>
      </w:rPr>
      <w:t xml:space="preserve"> sākotnējās ietekmes novērtējuma </w:t>
    </w:r>
    <w:smartTag w:uri="schemas-tilde-lv/tildestengine" w:element="veidnes">
      <w:smartTagPr>
        <w:attr w:name="id" w:val="-1"/>
        <w:attr w:name="baseform" w:val="ziņojums"/>
        <w:attr w:name="text" w:val="ziņojums"/>
      </w:smartTagPr>
      <w:r w:rsidR="00445171" w:rsidRPr="000247D4">
        <w:rPr>
          <w:sz w:val="20"/>
          <w:szCs w:val="20"/>
        </w:rPr>
        <w:t>ziņojums</w:t>
      </w:r>
    </w:smartTag>
    <w:r w:rsidR="00445171" w:rsidRPr="000247D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E8" w:rsidRPr="000247D4" w:rsidRDefault="00F53997" w:rsidP="00C37FE8">
    <w:pPr>
      <w:pStyle w:val="Kjene"/>
      <w:tabs>
        <w:tab w:val="clear" w:pos="4153"/>
        <w:tab w:val="clear" w:pos="8306"/>
      </w:tabs>
      <w:jc w:val="both"/>
      <w:rPr>
        <w:sz w:val="20"/>
      </w:rPr>
    </w:pPr>
    <w:r>
      <w:rPr>
        <w:sz w:val="20"/>
      </w:rPr>
      <w:t>ZMAn</w:t>
    </w:r>
    <w:r w:rsidRPr="000247D4">
      <w:rPr>
        <w:sz w:val="20"/>
      </w:rPr>
      <w:t>ot_</w:t>
    </w:r>
    <w:r w:rsidR="00E748AE">
      <w:rPr>
        <w:sz w:val="20"/>
      </w:rPr>
      <w:t>0512</w:t>
    </w:r>
    <w:r w:rsidRPr="000247D4">
      <w:rPr>
        <w:sz w:val="20"/>
      </w:rPr>
      <w:t>12_atmezosana</w:t>
    </w:r>
    <w:r w:rsidR="00C37FE8" w:rsidRPr="000247D4">
      <w:rPr>
        <w:sz w:val="20"/>
      </w:rPr>
      <w:t xml:space="preserve">; </w:t>
    </w:r>
    <w:r w:rsidR="00C37FE8" w:rsidRPr="000247D4">
      <w:rPr>
        <w:bCs/>
        <w:sz w:val="20"/>
      </w:rPr>
      <w:t xml:space="preserve">Ministru kabineta noteikumu projekta </w:t>
    </w:r>
    <w:r w:rsidR="00C37FE8" w:rsidRPr="000247D4">
      <w:rPr>
        <w:sz w:val="20"/>
      </w:rPr>
      <w:t>„Atmežošanas kompensācijas noteikšanas kritēriji, aprēķināšanas un atlīdzināšanas kārtība”</w:t>
    </w:r>
    <w:r w:rsidR="00C37FE8" w:rsidRPr="000247D4">
      <w:rPr>
        <w:sz w:val="20"/>
        <w:szCs w:val="20"/>
      </w:rPr>
      <w:t xml:space="preserve"> sākotnējās ietekmes novērtējuma </w:t>
    </w:r>
    <w:smartTag w:uri="schemas-tilde-lv/tildestengine" w:element="veidnes">
      <w:smartTagPr>
        <w:attr w:name="id" w:val="-1"/>
        <w:attr w:name="baseform" w:val="ziņojums"/>
        <w:attr w:name="text" w:val="ziņojums"/>
      </w:smartTagPr>
      <w:r w:rsidR="00C37FE8" w:rsidRPr="000247D4">
        <w:rPr>
          <w:sz w:val="20"/>
          <w:szCs w:val="20"/>
        </w:rPr>
        <w:t>ziņojums</w:t>
      </w:r>
    </w:smartTag>
    <w:r w:rsidR="00C37FE8" w:rsidRPr="000247D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E6" w:rsidRDefault="00695CE6">
      <w:r>
        <w:separator/>
      </w:r>
    </w:p>
  </w:footnote>
  <w:footnote w:type="continuationSeparator" w:id="0">
    <w:p w:rsidR="00695CE6" w:rsidRDefault="0069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2030BD"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end"/>
    </w:r>
  </w:p>
  <w:p w:rsidR="00445171" w:rsidRDefault="0044517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2030BD"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separate"/>
    </w:r>
    <w:r w:rsidR="00D5212E">
      <w:rPr>
        <w:rStyle w:val="Lappusesnumurs"/>
        <w:noProof/>
      </w:rPr>
      <w:t>8</w:t>
    </w:r>
    <w:r>
      <w:rPr>
        <w:rStyle w:val="Lappusesnumurs"/>
      </w:rPr>
      <w:fldChar w:fldCharType="end"/>
    </w:r>
  </w:p>
  <w:p w:rsidR="00445171" w:rsidRDefault="0044517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
  </w:num>
  <w:num w:numId="5">
    <w:abstractNumId w:val="0"/>
  </w:num>
  <w:num w:numId="6">
    <w:abstractNumId w:val="13"/>
  </w:num>
  <w:num w:numId="7">
    <w:abstractNumId w:val="17"/>
  </w:num>
  <w:num w:numId="8">
    <w:abstractNumId w:val="8"/>
  </w:num>
  <w:num w:numId="9">
    <w:abstractNumId w:val="2"/>
  </w:num>
  <w:num w:numId="10">
    <w:abstractNumId w:val="10"/>
  </w:num>
  <w:num w:numId="11">
    <w:abstractNumId w:val="11"/>
  </w:num>
  <w:num w:numId="12">
    <w:abstractNumId w:val="14"/>
  </w:num>
  <w:num w:numId="13">
    <w:abstractNumId w:val="15"/>
  </w:num>
  <w:num w:numId="14">
    <w:abstractNumId w:val="7"/>
  </w:num>
  <w:num w:numId="15">
    <w:abstractNumId w:val="4"/>
  </w:num>
  <w:num w:numId="16">
    <w:abstractNumId w:val="12"/>
  </w:num>
  <w:num w:numId="17">
    <w:abstractNumId w:val="5"/>
  </w:num>
  <w:num w:numId="18">
    <w:abstractNumId w:val="18"/>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19D4"/>
    <w:rsid w:val="00001DD4"/>
    <w:rsid w:val="00003031"/>
    <w:rsid w:val="00006CFD"/>
    <w:rsid w:val="00010413"/>
    <w:rsid w:val="00010437"/>
    <w:rsid w:val="00011D24"/>
    <w:rsid w:val="00013FF4"/>
    <w:rsid w:val="00014413"/>
    <w:rsid w:val="00020AB9"/>
    <w:rsid w:val="00020FE1"/>
    <w:rsid w:val="00022E13"/>
    <w:rsid w:val="000247D4"/>
    <w:rsid w:val="0003185B"/>
    <w:rsid w:val="00032388"/>
    <w:rsid w:val="00035CE2"/>
    <w:rsid w:val="000409D7"/>
    <w:rsid w:val="00045499"/>
    <w:rsid w:val="000463C4"/>
    <w:rsid w:val="00051A3B"/>
    <w:rsid w:val="0005534C"/>
    <w:rsid w:val="0005553B"/>
    <w:rsid w:val="000604D2"/>
    <w:rsid w:val="00062117"/>
    <w:rsid w:val="00063769"/>
    <w:rsid w:val="00067844"/>
    <w:rsid w:val="00070025"/>
    <w:rsid w:val="00070497"/>
    <w:rsid w:val="00071094"/>
    <w:rsid w:val="00073A41"/>
    <w:rsid w:val="000740AE"/>
    <w:rsid w:val="00075C65"/>
    <w:rsid w:val="0008110F"/>
    <w:rsid w:val="00084B70"/>
    <w:rsid w:val="00085F66"/>
    <w:rsid w:val="0009005E"/>
    <w:rsid w:val="00093361"/>
    <w:rsid w:val="000941C5"/>
    <w:rsid w:val="000A18E8"/>
    <w:rsid w:val="000A4915"/>
    <w:rsid w:val="000A6451"/>
    <w:rsid w:val="000B064E"/>
    <w:rsid w:val="000B312B"/>
    <w:rsid w:val="000B3DEE"/>
    <w:rsid w:val="000B69CF"/>
    <w:rsid w:val="000C1412"/>
    <w:rsid w:val="000C1B09"/>
    <w:rsid w:val="000C462C"/>
    <w:rsid w:val="000C4A17"/>
    <w:rsid w:val="000C790C"/>
    <w:rsid w:val="000C7EC1"/>
    <w:rsid w:val="000D0920"/>
    <w:rsid w:val="000E584E"/>
    <w:rsid w:val="000E63BE"/>
    <w:rsid w:val="000F0101"/>
    <w:rsid w:val="000F017D"/>
    <w:rsid w:val="000F061D"/>
    <w:rsid w:val="000F19AA"/>
    <w:rsid w:val="000F4794"/>
    <w:rsid w:val="000F5776"/>
    <w:rsid w:val="000F7801"/>
    <w:rsid w:val="0010025D"/>
    <w:rsid w:val="00102773"/>
    <w:rsid w:val="00106DCB"/>
    <w:rsid w:val="00112875"/>
    <w:rsid w:val="00117C93"/>
    <w:rsid w:val="00120C37"/>
    <w:rsid w:val="00120F53"/>
    <w:rsid w:val="001242FB"/>
    <w:rsid w:val="00124F12"/>
    <w:rsid w:val="001255DC"/>
    <w:rsid w:val="00131812"/>
    <w:rsid w:val="00134878"/>
    <w:rsid w:val="00144E3A"/>
    <w:rsid w:val="0015060C"/>
    <w:rsid w:val="00153174"/>
    <w:rsid w:val="00157C88"/>
    <w:rsid w:val="00160099"/>
    <w:rsid w:val="0016018A"/>
    <w:rsid w:val="00161F0E"/>
    <w:rsid w:val="00170E2A"/>
    <w:rsid w:val="00171691"/>
    <w:rsid w:val="00172472"/>
    <w:rsid w:val="00177394"/>
    <w:rsid w:val="001807E2"/>
    <w:rsid w:val="00182C18"/>
    <w:rsid w:val="00183CC2"/>
    <w:rsid w:val="001900E4"/>
    <w:rsid w:val="00190F88"/>
    <w:rsid w:val="00193626"/>
    <w:rsid w:val="001A2D65"/>
    <w:rsid w:val="001A3C62"/>
    <w:rsid w:val="001A4066"/>
    <w:rsid w:val="001A6AE4"/>
    <w:rsid w:val="001B01FD"/>
    <w:rsid w:val="001B347E"/>
    <w:rsid w:val="001B48B1"/>
    <w:rsid w:val="001B4A71"/>
    <w:rsid w:val="001B5D6B"/>
    <w:rsid w:val="001C4798"/>
    <w:rsid w:val="001C6E28"/>
    <w:rsid w:val="001C7731"/>
    <w:rsid w:val="001D15C1"/>
    <w:rsid w:val="001D4B76"/>
    <w:rsid w:val="001D4D0A"/>
    <w:rsid w:val="001D5B54"/>
    <w:rsid w:val="001D70C8"/>
    <w:rsid w:val="001E1DBF"/>
    <w:rsid w:val="001E2482"/>
    <w:rsid w:val="001E4639"/>
    <w:rsid w:val="001E4A7D"/>
    <w:rsid w:val="001E6FCA"/>
    <w:rsid w:val="001E799B"/>
    <w:rsid w:val="001F43A8"/>
    <w:rsid w:val="001F5CD6"/>
    <w:rsid w:val="001F6297"/>
    <w:rsid w:val="002030BD"/>
    <w:rsid w:val="0021263D"/>
    <w:rsid w:val="00212843"/>
    <w:rsid w:val="00213AA9"/>
    <w:rsid w:val="00213F0C"/>
    <w:rsid w:val="00214094"/>
    <w:rsid w:val="00214679"/>
    <w:rsid w:val="00214CC8"/>
    <w:rsid w:val="0021592D"/>
    <w:rsid w:val="00216238"/>
    <w:rsid w:val="00222D76"/>
    <w:rsid w:val="00223EB1"/>
    <w:rsid w:val="00224167"/>
    <w:rsid w:val="00225C69"/>
    <w:rsid w:val="00230B59"/>
    <w:rsid w:val="00231344"/>
    <w:rsid w:val="0023436E"/>
    <w:rsid w:val="002347C0"/>
    <w:rsid w:val="002379B0"/>
    <w:rsid w:val="00241A6C"/>
    <w:rsid w:val="00241DBC"/>
    <w:rsid w:val="00242D2B"/>
    <w:rsid w:val="002471F4"/>
    <w:rsid w:val="002472E7"/>
    <w:rsid w:val="00260794"/>
    <w:rsid w:val="00261BD2"/>
    <w:rsid w:val="00262E2B"/>
    <w:rsid w:val="00270429"/>
    <w:rsid w:val="002723E9"/>
    <w:rsid w:val="002755B4"/>
    <w:rsid w:val="00277753"/>
    <w:rsid w:val="00277929"/>
    <w:rsid w:val="00283B82"/>
    <w:rsid w:val="002846E9"/>
    <w:rsid w:val="00284C34"/>
    <w:rsid w:val="0029066C"/>
    <w:rsid w:val="00291D39"/>
    <w:rsid w:val="002939DB"/>
    <w:rsid w:val="002953C1"/>
    <w:rsid w:val="002A1530"/>
    <w:rsid w:val="002A5B90"/>
    <w:rsid w:val="002B19A3"/>
    <w:rsid w:val="002B34B1"/>
    <w:rsid w:val="002B503D"/>
    <w:rsid w:val="002B50DB"/>
    <w:rsid w:val="002B5B83"/>
    <w:rsid w:val="002B7C27"/>
    <w:rsid w:val="002C12AB"/>
    <w:rsid w:val="002C180F"/>
    <w:rsid w:val="002C43A2"/>
    <w:rsid w:val="002C7CAC"/>
    <w:rsid w:val="002D0F51"/>
    <w:rsid w:val="002D3306"/>
    <w:rsid w:val="002D48AA"/>
    <w:rsid w:val="002D73AC"/>
    <w:rsid w:val="002D76B5"/>
    <w:rsid w:val="002D7BAA"/>
    <w:rsid w:val="002D7F54"/>
    <w:rsid w:val="002E3FF4"/>
    <w:rsid w:val="002E60D3"/>
    <w:rsid w:val="002F2BE7"/>
    <w:rsid w:val="002F66C1"/>
    <w:rsid w:val="002F6DB0"/>
    <w:rsid w:val="002F75DA"/>
    <w:rsid w:val="002F78C8"/>
    <w:rsid w:val="00301CF3"/>
    <w:rsid w:val="003046EF"/>
    <w:rsid w:val="003053FF"/>
    <w:rsid w:val="00305767"/>
    <w:rsid w:val="00307B4B"/>
    <w:rsid w:val="00314EED"/>
    <w:rsid w:val="00315E55"/>
    <w:rsid w:val="0031648F"/>
    <w:rsid w:val="00316891"/>
    <w:rsid w:val="00324CF8"/>
    <w:rsid w:val="0032715C"/>
    <w:rsid w:val="00337CA5"/>
    <w:rsid w:val="00350219"/>
    <w:rsid w:val="00355B31"/>
    <w:rsid w:val="00362478"/>
    <w:rsid w:val="00362948"/>
    <w:rsid w:val="00366B97"/>
    <w:rsid w:val="0036717D"/>
    <w:rsid w:val="00375B25"/>
    <w:rsid w:val="00381688"/>
    <w:rsid w:val="00386032"/>
    <w:rsid w:val="00386ABD"/>
    <w:rsid w:val="00391513"/>
    <w:rsid w:val="00395209"/>
    <w:rsid w:val="00396542"/>
    <w:rsid w:val="00396645"/>
    <w:rsid w:val="0039685B"/>
    <w:rsid w:val="003A0890"/>
    <w:rsid w:val="003A0937"/>
    <w:rsid w:val="003A31A6"/>
    <w:rsid w:val="003A66F3"/>
    <w:rsid w:val="003A7F0C"/>
    <w:rsid w:val="003A7F79"/>
    <w:rsid w:val="003B2437"/>
    <w:rsid w:val="003B5504"/>
    <w:rsid w:val="003B6404"/>
    <w:rsid w:val="003C086B"/>
    <w:rsid w:val="003C1918"/>
    <w:rsid w:val="003C19C5"/>
    <w:rsid w:val="003C2EEF"/>
    <w:rsid w:val="003C40F2"/>
    <w:rsid w:val="003C449B"/>
    <w:rsid w:val="003C5698"/>
    <w:rsid w:val="003D21FF"/>
    <w:rsid w:val="003E0708"/>
    <w:rsid w:val="003E0B38"/>
    <w:rsid w:val="003E2D9B"/>
    <w:rsid w:val="003E3A85"/>
    <w:rsid w:val="003E78E1"/>
    <w:rsid w:val="003F0112"/>
    <w:rsid w:val="003F071A"/>
    <w:rsid w:val="003F0722"/>
    <w:rsid w:val="003F160B"/>
    <w:rsid w:val="003F38F3"/>
    <w:rsid w:val="00400032"/>
    <w:rsid w:val="00400B5B"/>
    <w:rsid w:val="00402D67"/>
    <w:rsid w:val="00405A00"/>
    <w:rsid w:val="004126A5"/>
    <w:rsid w:val="00420099"/>
    <w:rsid w:val="00420870"/>
    <w:rsid w:val="00420C4D"/>
    <w:rsid w:val="004228E0"/>
    <w:rsid w:val="0042504A"/>
    <w:rsid w:val="00431024"/>
    <w:rsid w:val="00433240"/>
    <w:rsid w:val="004359E6"/>
    <w:rsid w:val="0043791B"/>
    <w:rsid w:val="00441483"/>
    <w:rsid w:val="00441BCB"/>
    <w:rsid w:val="004443E7"/>
    <w:rsid w:val="00444E8B"/>
    <w:rsid w:val="00445171"/>
    <w:rsid w:val="00446B15"/>
    <w:rsid w:val="0045176A"/>
    <w:rsid w:val="00452EF0"/>
    <w:rsid w:val="00453EE4"/>
    <w:rsid w:val="004554FB"/>
    <w:rsid w:val="00456332"/>
    <w:rsid w:val="0045764B"/>
    <w:rsid w:val="00457A00"/>
    <w:rsid w:val="00461826"/>
    <w:rsid w:val="004647A4"/>
    <w:rsid w:val="00470543"/>
    <w:rsid w:val="00471E45"/>
    <w:rsid w:val="004800F9"/>
    <w:rsid w:val="00485E04"/>
    <w:rsid w:val="00486BCF"/>
    <w:rsid w:val="00486DB8"/>
    <w:rsid w:val="0049134A"/>
    <w:rsid w:val="00496C78"/>
    <w:rsid w:val="004A58CB"/>
    <w:rsid w:val="004A58EB"/>
    <w:rsid w:val="004B0AE1"/>
    <w:rsid w:val="004B1795"/>
    <w:rsid w:val="004B56DD"/>
    <w:rsid w:val="004B56EB"/>
    <w:rsid w:val="004B7BFB"/>
    <w:rsid w:val="004C020F"/>
    <w:rsid w:val="004C1AFD"/>
    <w:rsid w:val="004C4228"/>
    <w:rsid w:val="004C558B"/>
    <w:rsid w:val="004D020A"/>
    <w:rsid w:val="004D0410"/>
    <w:rsid w:val="004D179D"/>
    <w:rsid w:val="004D36BA"/>
    <w:rsid w:val="004D67AF"/>
    <w:rsid w:val="004E3B95"/>
    <w:rsid w:val="004E5D10"/>
    <w:rsid w:val="004E75C7"/>
    <w:rsid w:val="004F09C5"/>
    <w:rsid w:val="004F1F88"/>
    <w:rsid w:val="004F5234"/>
    <w:rsid w:val="004F5F1B"/>
    <w:rsid w:val="00502374"/>
    <w:rsid w:val="005035F4"/>
    <w:rsid w:val="00505B75"/>
    <w:rsid w:val="005060A1"/>
    <w:rsid w:val="00510318"/>
    <w:rsid w:val="005109CB"/>
    <w:rsid w:val="00510A44"/>
    <w:rsid w:val="00510CA4"/>
    <w:rsid w:val="0051132F"/>
    <w:rsid w:val="00516072"/>
    <w:rsid w:val="00520F17"/>
    <w:rsid w:val="00524456"/>
    <w:rsid w:val="00530881"/>
    <w:rsid w:val="005325AA"/>
    <w:rsid w:val="005332EC"/>
    <w:rsid w:val="00534418"/>
    <w:rsid w:val="005353AB"/>
    <w:rsid w:val="00546F35"/>
    <w:rsid w:val="0054734B"/>
    <w:rsid w:val="00552336"/>
    <w:rsid w:val="005560BC"/>
    <w:rsid w:val="005573BE"/>
    <w:rsid w:val="0055749E"/>
    <w:rsid w:val="00565C6F"/>
    <w:rsid w:val="00565CB5"/>
    <w:rsid w:val="0056703D"/>
    <w:rsid w:val="00572700"/>
    <w:rsid w:val="00577981"/>
    <w:rsid w:val="00580468"/>
    <w:rsid w:val="00580EC5"/>
    <w:rsid w:val="0058161C"/>
    <w:rsid w:val="005818F3"/>
    <w:rsid w:val="00581BDF"/>
    <w:rsid w:val="0058603B"/>
    <w:rsid w:val="0059431B"/>
    <w:rsid w:val="00594DB8"/>
    <w:rsid w:val="005972D1"/>
    <w:rsid w:val="005974F2"/>
    <w:rsid w:val="005A39CC"/>
    <w:rsid w:val="005A50FD"/>
    <w:rsid w:val="005B2E33"/>
    <w:rsid w:val="005B4730"/>
    <w:rsid w:val="005D2A28"/>
    <w:rsid w:val="005D45B5"/>
    <w:rsid w:val="005E05D7"/>
    <w:rsid w:val="005E41E7"/>
    <w:rsid w:val="005E450F"/>
    <w:rsid w:val="005E48F7"/>
    <w:rsid w:val="005F4E60"/>
    <w:rsid w:val="005F71DA"/>
    <w:rsid w:val="00603100"/>
    <w:rsid w:val="00607194"/>
    <w:rsid w:val="00613E0D"/>
    <w:rsid w:val="0061413A"/>
    <w:rsid w:val="006158F9"/>
    <w:rsid w:val="00615EF8"/>
    <w:rsid w:val="0062298A"/>
    <w:rsid w:val="00626514"/>
    <w:rsid w:val="00626589"/>
    <w:rsid w:val="00626AF9"/>
    <w:rsid w:val="0063120A"/>
    <w:rsid w:val="00632B0E"/>
    <w:rsid w:val="006334B9"/>
    <w:rsid w:val="006339A0"/>
    <w:rsid w:val="00633F17"/>
    <w:rsid w:val="006356FB"/>
    <w:rsid w:val="00636240"/>
    <w:rsid w:val="00636328"/>
    <w:rsid w:val="006413A8"/>
    <w:rsid w:val="00642E56"/>
    <w:rsid w:val="00646AB4"/>
    <w:rsid w:val="00647D22"/>
    <w:rsid w:val="00651E00"/>
    <w:rsid w:val="006560F5"/>
    <w:rsid w:val="00663040"/>
    <w:rsid w:val="006637F1"/>
    <w:rsid w:val="00663D6B"/>
    <w:rsid w:val="0067154C"/>
    <w:rsid w:val="00671F61"/>
    <w:rsid w:val="006723DF"/>
    <w:rsid w:val="00674572"/>
    <w:rsid w:val="0068066F"/>
    <w:rsid w:val="00680FCE"/>
    <w:rsid w:val="00683EA8"/>
    <w:rsid w:val="00687763"/>
    <w:rsid w:val="00692B0D"/>
    <w:rsid w:val="00693E0E"/>
    <w:rsid w:val="00695CE6"/>
    <w:rsid w:val="006971BA"/>
    <w:rsid w:val="006A1AE3"/>
    <w:rsid w:val="006A267A"/>
    <w:rsid w:val="006B073E"/>
    <w:rsid w:val="006B0CDD"/>
    <w:rsid w:val="006B6E89"/>
    <w:rsid w:val="006C30E1"/>
    <w:rsid w:val="006C4607"/>
    <w:rsid w:val="006C4E70"/>
    <w:rsid w:val="006C5518"/>
    <w:rsid w:val="006D0124"/>
    <w:rsid w:val="006D05B2"/>
    <w:rsid w:val="006D387C"/>
    <w:rsid w:val="006D48F1"/>
    <w:rsid w:val="006D74EC"/>
    <w:rsid w:val="006E0966"/>
    <w:rsid w:val="006E13F6"/>
    <w:rsid w:val="006E7253"/>
    <w:rsid w:val="006F0E6D"/>
    <w:rsid w:val="006F4499"/>
    <w:rsid w:val="006F45BE"/>
    <w:rsid w:val="006F4EF0"/>
    <w:rsid w:val="007004FC"/>
    <w:rsid w:val="00701F31"/>
    <w:rsid w:val="00706465"/>
    <w:rsid w:val="00706670"/>
    <w:rsid w:val="00707310"/>
    <w:rsid w:val="00710AF6"/>
    <w:rsid w:val="00711110"/>
    <w:rsid w:val="00714CB5"/>
    <w:rsid w:val="0072105C"/>
    <w:rsid w:val="007237F0"/>
    <w:rsid w:val="0072417C"/>
    <w:rsid w:val="007275FB"/>
    <w:rsid w:val="00730108"/>
    <w:rsid w:val="00731097"/>
    <w:rsid w:val="00732D46"/>
    <w:rsid w:val="00734450"/>
    <w:rsid w:val="0074560C"/>
    <w:rsid w:val="00745F67"/>
    <w:rsid w:val="00746741"/>
    <w:rsid w:val="007473E8"/>
    <w:rsid w:val="0075039E"/>
    <w:rsid w:val="00750927"/>
    <w:rsid w:val="00752D9D"/>
    <w:rsid w:val="00753FE2"/>
    <w:rsid w:val="00754784"/>
    <w:rsid w:val="00757C6E"/>
    <w:rsid w:val="00762BDA"/>
    <w:rsid w:val="00765CED"/>
    <w:rsid w:val="00773103"/>
    <w:rsid w:val="007743AE"/>
    <w:rsid w:val="007805FD"/>
    <w:rsid w:val="00780BEE"/>
    <w:rsid w:val="00781D54"/>
    <w:rsid w:val="00781DFE"/>
    <w:rsid w:val="00784422"/>
    <w:rsid w:val="00794096"/>
    <w:rsid w:val="0079773F"/>
    <w:rsid w:val="007B1BE7"/>
    <w:rsid w:val="007B36F6"/>
    <w:rsid w:val="007B3B54"/>
    <w:rsid w:val="007B3FA0"/>
    <w:rsid w:val="007B40C9"/>
    <w:rsid w:val="007C0F2C"/>
    <w:rsid w:val="007C2BCC"/>
    <w:rsid w:val="007C409D"/>
    <w:rsid w:val="007C4EF0"/>
    <w:rsid w:val="007C66DD"/>
    <w:rsid w:val="007D099D"/>
    <w:rsid w:val="007D2E6B"/>
    <w:rsid w:val="007D33C3"/>
    <w:rsid w:val="007D3AD3"/>
    <w:rsid w:val="007D55F7"/>
    <w:rsid w:val="007E2664"/>
    <w:rsid w:val="007E3ABF"/>
    <w:rsid w:val="007E55EE"/>
    <w:rsid w:val="007E5BFA"/>
    <w:rsid w:val="007E6689"/>
    <w:rsid w:val="007E6CFC"/>
    <w:rsid w:val="007E731C"/>
    <w:rsid w:val="007F0A03"/>
    <w:rsid w:val="007F3B69"/>
    <w:rsid w:val="007F5BCC"/>
    <w:rsid w:val="007F7137"/>
    <w:rsid w:val="0080114E"/>
    <w:rsid w:val="00802DD0"/>
    <w:rsid w:val="00804349"/>
    <w:rsid w:val="00807F0A"/>
    <w:rsid w:val="00810040"/>
    <w:rsid w:val="008179C6"/>
    <w:rsid w:val="0082023A"/>
    <w:rsid w:val="00821A7A"/>
    <w:rsid w:val="0082275A"/>
    <w:rsid w:val="00824C59"/>
    <w:rsid w:val="008253F8"/>
    <w:rsid w:val="00825B7B"/>
    <w:rsid w:val="008325E4"/>
    <w:rsid w:val="00832A2B"/>
    <w:rsid w:val="008342B8"/>
    <w:rsid w:val="00834B9E"/>
    <w:rsid w:val="00835C3A"/>
    <w:rsid w:val="008408F3"/>
    <w:rsid w:val="00840F56"/>
    <w:rsid w:val="0084260B"/>
    <w:rsid w:val="0084287B"/>
    <w:rsid w:val="0084365D"/>
    <w:rsid w:val="00843BCB"/>
    <w:rsid w:val="00845741"/>
    <w:rsid w:val="00845811"/>
    <w:rsid w:val="00846994"/>
    <w:rsid w:val="00850451"/>
    <w:rsid w:val="00851363"/>
    <w:rsid w:val="00852042"/>
    <w:rsid w:val="008534C9"/>
    <w:rsid w:val="0085458D"/>
    <w:rsid w:val="0085599D"/>
    <w:rsid w:val="0085624F"/>
    <w:rsid w:val="00856D02"/>
    <w:rsid w:val="00857A6E"/>
    <w:rsid w:val="00860C3A"/>
    <w:rsid w:val="00872F09"/>
    <w:rsid w:val="0087510C"/>
    <w:rsid w:val="00876283"/>
    <w:rsid w:val="00880B68"/>
    <w:rsid w:val="00886225"/>
    <w:rsid w:val="0088792E"/>
    <w:rsid w:val="0089738E"/>
    <w:rsid w:val="008A0D8C"/>
    <w:rsid w:val="008A2DFE"/>
    <w:rsid w:val="008B0137"/>
    <w:rsid w:val="008B5FDB"/>
    <w:rsid w:val="008C19BF"/>
    <w:rsid w:val="008C2302"/>
    <w:rsid w:val="008C50F4"/>
    <w:rsid w:val="008C5649"/>
    <w:rsid w:val="008C6511"/>
    <w:rsid w:val="008D1A68"/>
    <w:rsid w:val="008D5A28"/>
    <w:rsid w:val="008D6215"/>
    <w:rsid w:val="008E2575"/>
    <w:rsid w:val="008E2A1B"/>
    <w:rsid w:val="008E44A2"/>
    <w:rsid w:val="008E51AB"/>
    <w:rsid w:val="008E697D"/>
    <w:rsid w:val="008F1BE8"/>
    <w:rsid w:val="008F32B5"/>
    <w:rsid w:val="008F60E1"/>
    <w:rsid w:val="00903263"/>
    <w:rsid w:val="009045B3"/>
    <w:rsid w:val="00906A21"/>
    <w:rsid w:val="009079C3"/>
    <w:rsid w:val="00910177"/>
    <w:rsid w:val="00910462"/>
    <w:rsid w:val="009129FC"/>
    <w:rsid w:val="00914C6E"/>
    <w:rsid w:val="00915AB1"/>
    <w:rsid w:val="0091686C"/>
    <w:rsid w:val="00917315"/>
    <w:rsid w:val="00917532"/>
    <w:rsid w:val="00917892"/>
    <w:rsid w:val="009204F3"/>
    <w:rsid w:val="009230BD"/>
    <w:rsid w:val="009230FF"/>
    <w:rsid w:val="009235BA"/>
    <w:rsid w:val="009237B9"/>
    <w:rsid w:val="00924023"/>
    <w:rsid w:val="00924CE2"/>
    <w:rsid w:val="00925B9F"/>
    <w:rsid w:val="00931AED"/>
    <w:rsid w:val="00932DE9"/>
    <w:rsid w:val="009341E2"/>
    <w:rsid w:val="00936150"/>
    <w:rsid w:val="00946511"/>
    <w:rsid w:val="009476A3"/>
    <w:rsid w:val="0095334F"/>
    <w:rsid w:val="00956EDC"/>
    <w:rsid w:val="00963B43"/>
    <w:rsid w:val="00965897"/>
    <w:rsid w:val="0096765C"/>
    <w:rsid w:val="009727E4"/>
    <w:rsid w:val="00973D86"/>
    <w:rsid w:val="00974B51"/>
    <w:rsid w:val="009778A4"/>
    <w:rsid w:val="0098140B"/>
    <w:rsid w:val="0098262A"/>
    <w:rsid w:val="00982C09"/>
    <w:rsid w:val="00982DB3"/>
    <w:rsid w:val="00990AD1"/>
    <w:rsid w:val="009934C5"/>
    <w:rsid w:val="00994C0F"/>
    <w:rsid w:val="009A2CBA"/>
    <w:rsid w:val="009A4C9C"/>
    <w:rsid w:val="009A6D3D"/>
    <w:rsid w:val="009B22D7"/>
    <w:rsid w:val="009B453A"/>
    <w:rsid w:val="009B49F8"/>
    <w:rsid w:val="009B72ED"/>
    <w:rsid w:val="009C1D47"/>
    <w:rsid w:val="009C619A"/>
    <w:rsid w:val="009C6582"/>
    <w:rsid w:val="009C6C70"/>
    <w:rsid w:val="009C6DEB"/>
    <w:rsid w:val="009D3685"/>
    <w:rsid w:val="009D6504"/>
    <w:rsid w:val="009E1159"/>
    <w:rsid w:val="009E12D7"/>
    <w:rsid w:val="009E1CA7"/>
    <w:rsid w:val="009E34B6"/>
    <w:rsid w:val="009E5666"/>
    <w:rsid w:val="009E661A"/>
    <w:rsid w:val="009F2C48"/>
    <w:rsid w:val="009F4B94"/>
    <w:rsid w:val="00A00ADE"/>
    <w:rsid w:val="00A06781"/>
    <w:rsid w:val="00A06F70"/>
    <w:rsid w:val="00A074C3"/>
    <w:rsid w:val="00A133D5"/>
    <w:rsid w:val="00A13548"/>
    <w:rsid w:val="00A1509C"/>
    <w:rsid w:val="00A21D55"/>
    <w:rsid w:val="00A23E2A"/>
    <w:rsid w:val="00A25064"/>
    <w:rsid w:val="00A31C5F"/>
    <w:rsid w:val="00A34260"/>
    <w:rsid w:val="00A40E7A"/>
    <w:rsid w:val="00A43F79"/>
    <w:rsid w:val="00A46DF3"/>
    <w:rsid w:val="00A50E53"/>
    <w:rsid w:val="00A5305A"/>
    <w:rsid w:val="00A550CF"/>
    <w:rsid w:val="00A567F1"/>
    <w:rsid w:val="00A56AB7"/>
    <w:rsid w:val="00A60024"/>
    <w:rsid w:val="00A6151A"/>
    <w:rsid w:val="00A70CFD"/>
    <w:rsid w:val="00A721F1"/>
    <w:rsid w:val="00A72A0B"/>
    <w:rsid w:val="00A73F79"/>
    <w:rsid w:val="00A7515A"/>
    <w:rsid w:val="00A80529"/>
    <w:rsid w:val="00A81E42"/>
    <w:rsid w:val="00A83D74"/>
    <w:rsid w:val="00A864FE"/>
    <w:rsid w:val="00A86F41"/>
    <w:rsid w:val="00A87D04"/>
    <w:rsid w:val="00A92475"/>
    <w:rsid w:val="00A950C5"/>
    <w:rsid w:val="00A97644"/>
    <w:rsid w:val="00AA1D25"/>
    <w:rsid w:val="00AA23D9"/>
    <w:rsid w:val="00AA6757"/>
    <w:rsid w:val="00AA6D9D"/>
    <w:rsid w:val="00AB21CF"/>
    <w:rsid w:val="00AB2B1A"/>
    <w:rsid w:val="00AB397F"/>
    <w:rsid w:val="00AB5832"/>
    <w:rsid w:val="00AB5E0B"/>
    <w:rsid w:val="00AC0EEF"/>
    <w:rsid w:val="00AC51F2"/>
    <w:rsid w:val="00AD0A2A"/>
    <w:rsid w:val="00AD6D96"/>
    <w:rsid w:val="00AE1DF9"/>
    <w:rsid w:val="00AE5066"/>
    <w:rsid w:val="00AE5E24"/>
    <w:rsid w:val="00AE61B7"/>
    <w:rsid w:val="00AE6CBA"/>
    <w:rsid w:val="00AE79AD"/>
    <w:rsid w:val="00AF35E4"/>
    <w:rsid w:val="00AF5232"/>
    <w:rsid w:val="00AF5CDE"/>
    <w:rsid w:val="00AF73DB"/>
    <w:rsid w:val="00B00D6D"/>
    <w:rsid w:val="00B00ED2"/>
    <w:rsid w:val="00B04D81"/>
    <w:rsid w:val="00B05826"/>
    <w:rsid w:val="00B0657E"/>
    <w:rsid w:val="00B06D38"/>
    <w:rsid w:val="00B110B1"/>
    <w:rsid w:val="00B11873"/>
    <w:rsid w:val="00B11A57"/>
    <w:rsid w:val="00B12B79"/>
    <w:rsid w:val="00B15506"/>
    <w:rsid w:val="00B1785E"/>
    <w:rsid w:val="00B211C3"/>
    <w:rsid w:val="00B22041"/>
    <w:rsid w:val="00B24521"/>
    <w:rsid w:val="00B25597"/>
    <w:rsid w:val="00B267B9"/>
    <w:rsid w:val="00B27067"/>
    <w:rsid w:val="00B27755"/>
    <w:rsid w:val="00B33A81"/>
    <w:rsid w:val="00B33E09"/>
    <w:rsid w:val="00B35BE1"/>
    <w:rsid w:val="00B3664C"/>
    <w:rsid w:val="00B410E8"/>
    <w:rsid w:val="00B422EC"/>
    <w:rsid w:val="00B42D5D"/>
    <w:rsid w:val="00B45ACD"/>
    <w:rsid w:val="00B46019"/>
    <w:rsid w:val="00B47117"/>
    <w:rsid w:val="00B50708"/>
    <w:rsid w:val="00B50C68"/>
    <w:rsid w:val="00B51293"/>
    <w:rsid w:val="00B52B1E"/>
    <w:rsid w:val="00B552DA"/>
    <w:rsid w:val="00B55481"/>
    <w:rsid w:val="00B56C32"/>
    <w:rsid w:val="00B57ACF"/>
    <w:rsid w:val="00B603EE"/>
    <w:rsid w:val="00B60626"/>
    <w:rsid w:val="00B61A96"/>
    <w:rsid w:val="00B64BB1"/>
    <w:rsid w:val="00B67259"/>
    <w:rsid w:val="00B73166"/>
    <w:rsid w:val="00B77AB4"/>
    <w:rsid w:val="00B807C2"/>
    <w:rsid w:val="00B8426C"/>
    <w:rsid w:val="00B84DE9"/>
    <w:rsid w:val="00B85B7B"/>
    <w:rsid w:val="00B91B8D"/>
    <w:rsid w:val="00B94E90"/>
    <w:rsid w:val="00B96BD7"/>
    <w:rsid w:val="00B96C97"/>
    <w:rsid w:val="00B96E0A"/>
    <w:rsid w:val="00B977D9"/>
    <w:rsid w:val="00BA0B21"/>
    <w:rsid w:val="00BA2150"/>
    <w:rsid w:val="00BA2907"/>
    <w:rsid w:val="00BA5934"/>
    <w:rsid w:val="00BA5AE0"/>
    <w:rsid w:val="00BB0A82"/>
    <w:rsid w:val="00BB6B51"/>
    <w:rsid w:val="00BB75E9"/>
    <w:rsid w:val="00BB7C94"/>
    <w:rsid w:val="00BC0A9D"/>
    <w:rsid w:val="00BC0C06"/>
    <w:rsid w:val="00BD09A4"/>
    <w:rsid w:val="00BD28AC"/>
    <w:rsid w:val="00BD305E"/>
    <w:rsid w:val="00BD7AE4"/>
    <w:rsid w:val="00BE0D9F"/>
    <w:rsid w:val="00BE1452"/>
    <w:rsid w:val="00BE2247"/>
    <w:rsid w:val="00BE59AE"/>
    <w:rsid w:val="00BF3DE4"/>
    <w:rsid w:val="00BF40ED"/>
    <w:rsid w:val="00BF5711"/>
    <w:rsid w:val="00BF5B8A"/>
    <w:rsid w:val="00BF5BC2"/>
    <w:rsid w:val="00C0042B"/>
    <w:rsid w:val="00C06C01"/>
    <w:rsid w:val="00C1133D"/>
    <w:rsid w:val="00C1406F"/>
    <w:rsid w:val="00C14DDC"/>
    <w:rsid w:val="00C248C0"/>
    <w:rsid w:val="00C27A08"/>
    <w:rsid w:val="00C31312"/>
    <w:rsid w:val="00C31CC9"/>
    <w:rsid w:val="00C326C6"/>
    <w:rsid w:val="00C35295"/>
    <w:rsid w:val="00C36ADD"/>
    <w:rsid w:val="00C36E74"/>
    <w:rsid w:val="00C37C0E"/>
    <w:rsid w:val="00C37FE8"/>
    <w:rsid w:val="00C40595"/>
    <w:rsid w:val="00C41621"/>
    <w:rsid w:val="00C445BE"/>
    <w:rsid w:val="00C449FA"/>
    <w:rsid w:val="00C454EF"/>
    <w:rsid w:val="00C47B86"/>
    <w:rsid w:val="00C51CF5"/>
    <w:rsid w:val="00C520AA"/>
    <w:rsid w:val="00C531D6"/>
    <w:rsid w:val="00C5384F"/>
    <w:rsid w:val="00C53B3A"/>
    <w:rsid w:val="00C5635E"/>
    <w:rsid w:val="00C567DB"/>
    <w:rsid w:val="00C567E0"/>
    <w:rsid w:val="00C56964"/>
    <w:rsid w:val="00C656D5"/>
    <w:rsid w:val="00C67103"/>
    <w:rsid w:val="00C71BB9"/>
    <w:rsid w:val="00C77851"/>
    <w:rsid w:val="00C81C28"/>
    <w:rsid w:val="00C81D87"/>
    <w:rsid w:val="00C82A8F"/>
    <w:rsid w:val="00C83CC2"/>
    <w:rsid w:val="00C848E5"/>
    <w:rsid w:val="00C8532F"/>
    <w:rsid w:val="00C86296"/>
    <w:rsid w:val="00C86AE7"/>
    <w:rsid w:val="00C94C28"/>
    <w:rsid w:val="00CA07B1"/>
    <w:rsid w:val="00CA1501"/>
    <w:rsid w:val="00CB0247"/>
    <w:rsid w:val="00CB05C2"/>
    <w:rsid w:val="00CB262B"/>
    <w:rsid w:val="00CB3440"/>
    <w:rsid w:val="00CB3934"/>
    <w:rsid w:val="00CC1692"/>
    <w:rsid w:val="00CC3148"/>
    <w:rsid w:val="00CC40D2"/>
    <w:rsid w:val="00CC579B"/>
    <w:rsid w:val="00CD08E4"/>
    <w:rsid w:val="00CD138B"/>
    <w:rsid w:val="00CD3217"/>
    <w:rsid w:val="00CD3E31"/>
    <w:rsid w:val="00CD3F46"/>
    <w:rsid w:val="00CD74A3"/>
    <w:rsid w:val="00CE0527"/>
    <w:rsid w:val="00CE0AE1"/>
    <w:rsid w:val="00CE2423"/>
    <w:rsid w:val="00CE2E83"/>
    <w:rsid w:val="00CE5343"/>
    <w:rsid w:val="00CE5B23"/>
    <w:rsid w:val="00CF01F9"/>
    <w:rsid w:val="00CF104A"/>
    <w:rsid w:val="00CF70AD"/>
    <w:rsid w:val="00CF7729"/>
    <w:rsid w:val="00D00059"/>
    <w:rsid w:val="00D01FAC"/>
    <w:rsid w:val="00D107FA"/>
    <w:rsid w:val="00D12275"/>
    <w:rsid w:val="00D12766"/>
    <w:rsid w:val="00D12A51"/>
    <w:rsid w:val="00D20FF4"/>
    <w:rsid w:val="00D24482"/>
    <w:rsid w:val="00D24D2C"/>
    <w:rsid w:val="00D2682A"/>
    <w:rsid w:val="00D2769E"/>
    <w:rsid w:val="00D34454"/>
    <w:rsid w:val="00D35881"/>
    <w:rsid w:val="00D361C9"/>
    <w:rsid w:val="00D36C7A"/>
    <w:rsid w:val="00D5212E"/>
    <w:rsid w:val="00D57527"/>
    <w:rsid w:val="00D60281"/>
    <w:rsid w:val="00D73962"/>
    <w:rsid w:val="00D75E20"/>
    <w:rsid w:val="00D76F7A"/>
    <w:rsid w:val="00D77DF3"/>
    <w:rsid w:val="00D814C0"/>
    <w:rsid w:val="00D81F22"/>
    <w:rsid w:val="00D864DF"/>
    <w:rsid w:val="00D90104"/>
    <w:rsid w:val="00D91768"/>
    <w:rsid w:val="00D92327"/>
    <w:rsid w:val="00D9266B"/>
    <w:rsid w:val="00DA1AFE"/>
    <w:rsid w:val="00DA717D"/>
    <w:rsid w:val="00DA7DA5"/>
    <w:rsid w:val="00DB073B"/>
    <w:rsid w:val="00DB78F0"/>
    <w:rsid w:val="00DC2E43"/>
    <w:rsid w:val="00DC326C"/>
    <w:rsid w:val="00DC6CDF"/>
    <w:rsid w:val="00DC7332"/>
    <w:rsid w:val="00DD095C"/>
    <w:rsid w:val="00DD1020"/>
    <w:rsid w:val="00DD1330"/>
    <w:rsid w:val="00DD2F6C"/>
    <w:rsid w:val="00DD4720"/>
    <w:rsid w:val="00DD5421"/>
    <w:rsid w:val="00DD7112"/>
    <w:rsid w:val="00DE0B83"/>
    <w:rsid w:val="00DE1A81"/>
    <w:rsid w:val="00DE1C13"/>
    <w:rsid w:val="00DE4DDE"/>
    <w:rsid w:val="00DE4E10"/>
    <w:rsid w:val="00DE67BD"/>
    <w:rsid w:val="00DF2568"/>
    <w:rsid w:val="00E00A0A"/>
    <w:rsid w:val="00E020FE"/>
    <w:rsid w:val="00E02ABF"/>
    <w:rsid w:val="00E12CE5"/>
    <w:rsid w:val="00E14520"/>
    <w:rsid w:val="00E14995"/>
    <w:rsid w:val="00E15D23"/>
    <w:rsid w:val="00E16CF1"/>
    <w:rsid w:val="00E179CD"/>
    <w:rsid w:val="00E23E8D"/>
    <w:rsid w:val="00E267A9"/>
    <w:rsid w:val="00E31C8B"/>
    <w:rsid w:val="00E326A7"/>
    <w:rsid w:val="00E3502A"/>
    <w:rsid w:val="00E37F09"/>
    <w:rsid w:val="00E37F98"/>
    <w:rsid w:val="00E407DE"/>
    <w:rsid w:val="00E41A97"/>
    <w:rsid w:val="00E46559"/>
    <w:rsid w:val="00E46806"/>
    <w:rsid w:val="00E50D00"/>
    <w:rsid w:val="00E530A3"/>
    <w:rsid w:val="00E56999"/>
    <w:rsid w:val="00E5725C"/>
    <w:rsid w:val="00E602E7"/>
    <w:rsid w:val="00E60794"/>
    <w:rsid w:val="00E65E47"/>
    <w:rsid w:val="00E6670C"/>
    <w:rsid w:val="00E67F42"/>
    <w:rsid w:val="00E706A4"/>
    <w:rsid w:val="00E70B2E"/>
    <w:rsid w:val="00E722E9"/>
    <w:rsid w:val="00E73867"/>
    <w:rsid w:val="00E7479E"/>
    <w:rsid w:val="00E748AE"/>
    <w:rsid w:val="00E75E0F"/>
    <w:rsid w:val="00E76511"/>
    <w:rsid w:val="00E776E8"/>
    <w:rsid w:val="00E80A42"/>
    <w:rsid w:val="00E84A96"/>
    <w:rsid w:val="00E86E2C"/>
    <w:rsid w:val="00E92C1F"/>
    <w:rsid w:val="00E92D40"/>
    <w:rsid w:val="00E9359A"/>
    <w:rsid w:val="00E93AC8"/>
    <w:rsid w:val="00E944C9"/>
    <w:rsid w:val="00E94E23"/>
    <w:rsid w:val="00E954B2"/>
    <w:rsid w:val="00E95934"/>
    <w:rsid w:val="00E95D4B"/>
    <w:rsid w:val="00EA24AE"/>
    <w:rsid w:val="00EA255F"/>
    <w:rsid w:val="00EA36DD"/>
    <w:rsid w:val="00EB1750"/>
    <w:rsid w:val="00EB199F"/>
    <w:rsid w:val="00EB1C28"/>
    <w:rsid w:val="00EB3A88"/>
    <w:rsid w:val="00EB6608"/>
    <w:rsid w:val="00EC23F7"/>
    <w:rsid w:val="00EC4BD8"/>
    <w:rsid w:val="00EC5510"/>
    <w:rsid w:val="00EC63EB"/>
    <w:rsid w:val="00EC6D31"/>
    <w:rsid w:val="00EC77D8"/>
    <w:rsid w:val="00EC7831"/>
    <w:rsid w:val="00ED2692"/>
    <w:rsid w:val="00ED412F"/>
    <w:rsid w:val="00ED7F4D"/>
    <w:rsid w:val="00EF1262"/>
    <w:rsid w:val="00EF14DF"/>
    <w:rsid w:val="00EF36B2"/>
    <w:rsid w:val="00EF7735"/>
    <w:rsid w:val="00F0021C"/>
    <w:rsid w:val="00F10D73"/>
    <w:rsid w:val="00F11E46"/>
    <w:rsid w:val="00F1680C"/>
    <w:rsid w:val="00F201EC"/>
    <w:rsid w:val="00F208A9"/>
    <w:rsid w:val="00F23643"/>
    <w:rsid w:val="00F266F1"/>
    <w:rsid w:val="00F36D12"/>
    <w:rsid w:val="00F40B89"/>
    <w:rsid w:val="00F41D75"/>
    <w:rsid w:val="00F467B4"/>
    <w:rsid w:val="00F5139D"/>
    <w:rsid w:val="00F53538"/>
    <w:rsid w:val="00F53997"/>
    <w:rsid w:val="00F547DC"/>
    <w:rsid w:val="00F61A20"/>
    <w:rsid w:val="00F620EF"/>
    <w:rsid w:val="00F624D7"/>
    <w:rsid w:val="00F63DAC"/>
    <w:rsid w:val="00F6400F"/>
    <w:rsid w:val="00F66F25"/>
    <w:rsid w:val="00F70503"/>
    <w:rsid w:val="00F70C45"/>
    <w:rsid w:val="00F7454F"/>
    <w:rsid w:val="00F761CD"/>
    <w:rsid w:val="00F77988"/>
    <w:rsid w:val="00F77F48"/>
    <w:rsid w:val="00F818E6"/>
    <w:rsid w:val="00F82A1F"/>
    <w:rsid w:val="00F8764F"/>
    <w:rsid w:val="00F95E0F"/>
    <w:rsid w:val="00F962AF"/>
    <w:rsid w:val="00F97E56"/>
    <w:rsid w:val="00FA14A0"/>
    <w:rsid w:val="00FA1D54"/>
    <w:rsid w:val="00FA2E7A"/>
    <w:rsid w:val="00FA756F"/>
    <w:rsid w:val="00FB0F40"/>
    <w:rsid w:val="00FB1A98"/>
    <w:rsid w:val="00FB30F1"/>
    <w:rsid w:val="00FB3441"/>
    <w:rsid w:val="00FB472D"/>
    <w:rsid w:val="00FB53E7"/>
    <w:rsid w:val="00FB5517"/>
    <w:rsid w:val="00FB6191"/>
    <w:rsid w:val="00FB7350"/>
    <w:rsid w:val="00FB7488"/>
    <w:rsid w:val="00FC73A6"/>
    <w:rsid w:val="00FC7723"/>
    <w:rsid w:val="00FE1C3C"/>
    <w:rsid w:val="00FE3169"/>
    <w:rsid w:val="00FE3C5A"/>
    <w:rsid w:val="00FF1F36"/>
    <w:rsid w:val="00FF38DD"/>
    <w:rsid w:val="00FF7835"/>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2">
    <w:name w:val="heading 2"/>
    <w:basedOn w:val="Parastais"/>
    <w:next w:val="Parastais"/>
    <w:link w:val="Virsraksts2Rakstz"/>
    <w:qFormat/>
    <w:rsid w:val="005F71DA"/>
    <w:pPr>
      <w:keepNext/>
      <w:spacing w:before="240" w:after="60"/>
      <w:outlineLvl w:val="1"/>
    </w:pPr>
    <w:rPr>
      <w:rFonts w:ascii="Cambria" w:hAnsi="Cambria"/>
      <w:b/>
      <w:bCs/>
      <w:i/>
      <w:i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s">
    <w:name w:val="Body Text"/>
    <w:basedOn w:val="Parastai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eastAsia="en-US" w:bidi="ar-SA"/>
    </w:rPr>
  </w:style>
  <w:style w:type="paragraph" w:styleId="Sarakstarindkopa">
    <w:name w:val="List Paragraph"/>
    <w:basedOn w:val="Parastais"/>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styleId="ParastaisWeb">
    <w:name w:val="Normal (Web)"/>
    <w:basedOn w:val="Parastais"/>
    <w:uiPriority w:val="99"/>
    <w:unhideWhenUsed/>
    <w:rsid w:val="00BA5934"/>
    <w:pPr>
      <w:spacing w:before="100" w:beforeAutospacing="1" w:after="100" w:afterAutospacing="1"/>
    </w:pPr>
    <w:rPr>
      <w:rFonts w:ascii="Verdana" w:hAnsi="Verdana"/>
      <w:sz w:val="18"/>
      <w:szCs w:val="18"/>
    </w:rPr>
  </w:style>
  <w:style w:type="paragraph" w:styleId="Pamattekstsaratkpi">
    <w:name w:val="Body Text Indent"/>
    <w:basedOn w:val="Parastais"/>
    <w:link w:val="PamattekstsaratkpiRakstz"/>
    <w:uiPriority w:val="99"/>
    <w:rsid w:val="0098140B"/>
    <w:pPr>
      <w:spacing w:after="120"/>
      <w:ind w:left="283"/>
    </w:pPr>
    <w:rPr>
      <w:noProof/>
      <w:sz w:val="28"/>
      <w:szCs w:val="20"/>
      <w:lang w:eastAsia="en-US"/>
    </w:rPr>
  </w:style>
  <w:style w:type="character" w:customStyle="1" w:styleId="PamattekstsaratkpiRakstz">
    <w:name w:val="Pamatteksts ar atkāpi Rakstz."/>
    <w:link w:val="Pamattekstsaratkpi"/>
    <w:uiPriority w:val="99"/>
    <w:rsid w:val="0098140B"/>
    <w:rPr>
      <w:noProof/>
      <w:sz w:val="28"/>
      <w:lang w:eastAsia="en-US"/>
    </w:rPr>
  </w:style>
  <w:style w:type="paragraph" w:customStyle="1" w:styleId="tvhtml">
    <w:name w:val="tv_html"/>
    <w:basedOn w:val="Parastais"/>
    <w:rsid w:val="002A1530"/>
    <w:pPr>
      <w:spacing w:before="100" w:beforeAutospacing="1" w:after="100" w:afterAutospacing="1"/>
    </w:pPr>
    <w:rPr>
      <w:rFonts w:ascii="Verdana" w:hAnsi="Verdana"/>
      <w:sz w:val="17"/>
      <w:szCs w:val="17"/>
    </w:rPr>
  </w:style>
  <w:style w:type="paragraph" w:customStyle="1" w:styleId="tv2071">
    <w:name w:val="tv2071"/>
    <w:basedOn w:val="Parastais"/>
    <w:rsid w:val="00577981"/>
    <w:pPr>
      <w:spacing w:after="567" w:line="360" w:lineRule="auto"/>
      <w:jc w:val="center"/>
    </w:pPr>
    <w:rPr>
      <w:rFonts w:ascii="Verdana" w:hAnsi="Verdana"/>
      <w:b/>
      <w:bCs/>
      <w:sz w:val="18"/>
      <w:szCs w:val="18"/>
    </w:rPr>
  </w:style>
  <w:style w:type="paragraph" w:customStyle="1" w:styleId="tv2131">
    <w:name w:val="tv2131"/>
    <w:basedOn w:val="Parastais"/>
    <w:rsid w:val="00C77851"/>
    <w:pPr>
      <w:spacing w:before="240" w:line="360" w:lineRule="auto"/>
      <w:ind w:firstLine="300"/>
      <w:jc w:val="both"/>
    </w:pPr>
    <w:rPr>
      <w:rFonts w:ascii="Verdana" w:eastAsia="Calibri" w:hAnsi="Verdana"/>
      <w:sz w:val="18"/>
      <w:szCs w:val="18"/>
    </w:rPr>
  </w:style>
  <w:style w:type="character" w:customStyle="1" w:styleId="c1">
    <w:name w:val="c1"/>
    <w:rsid w:val="00D34454"/>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500186">
      <w:bodyDiv w:val="1"/>
      <w:marLeft w:val="0"/>
      <w:marRight w:val="0"/>
      <w:marTop w:val="0"/>
      <w:marBottom w:val="0"/>
      <w:divBdr>
        <w:top w:val="none" w:sz="0" w:space="0" w:color="auto"/>
        <w:left w:val="none" w:sz="0" w:space="0" w:color="auto"/>
        <w:bottom w:val="none" w:sz="0" w:space="0" w:color="auto"/>
        <w:right w:val="none" w:sz="0" w:space="0" w:color="auto"/>
      </w:divBdr>
    </w:div>
    <w:div w:id="1479496459">
      <w:bodyDiv w:val="1"/>
      <w:marLeft w:val="0"/>
      <w:marRight w:val="0"/>
      <w:marTop w:val="0"/>
      <w:marBottom w:val="0"/>
      <w:divBdr>
        <w:top w:val="none" w:sz="0" w:space="0" w:color="auto"/>
        <w:left w:val="none" w:sz="0" w:space="0" w:color="auto"/>
        <w:bottom w:val="none" w:sz="0" w:space="0" w:color="auto"/>
        <w:right w:val="none" w:sz="0" w:space="0" w:color="auto"/>
      </w:divBdr>
    </w:div>
    <w:div w:id="1775977601">
      <w:bodyDiv w:val="1"/>
      <w:marLeft w:val="0"/>
      <w:marRight w:val="0"/>
      <w:marTop w:val="0"/>
      <w:marBottom w:val="0"/>
      <w:divBdr>
        <w:top w:val="none" w:sz="0" w:space="0" w:color="auto"/>
        <w:left w:val="none" w:sz="0" w:space="0" w:color="auto"/>
        <w:bottom w:val="none" w:sz="0" w:space="0" w:color="auto"/>
        <w:right w:val="none" w:sz="0" w:space="0" w:color="auto"/>
      </w:divBdr>
    </w:div>
    <w:div w:id="2093771210">
      <w:bodyDiv w:val="1"/>
      <w:marLeft w:val="42"/>
      <w:marRight w:val="42"/>
      <w:marTop w:val="85"/>
      <w:marBottom w:val="85"/>
      <w:divBdr>
        <w:top w:val="none" w:sz="0" w:space="0" w:color="auto"/>
        <w:left w:val="none" w:sz="0" w:space="0" w:color="auto"/>
        <w:bottom w:val="none" w:sz="0" w:space="0" w:color="auto"/>
        <w:right w:val="none" w:sz="0" w:space="0" w:color="auto"/>
      </w:divBdr>
      <w:divsChild>
        <w:div w:id="77302075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4494"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kumi.lv/doc.php?id=9449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9449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kumi.lv/doc.php?id=55567" TargetMode="External"/><Relationship Id="rId4" Type="http://schemas.openxmlformats.org/officeDocument/2006/relationships/webSettings" Target="webSettings.xml"/><Relationship Id="rId9" Type="http://schemas.openxmlformats.org/officeDocument/2006/relationships/hyperlink" Target="http://www.likumi.lv/doc.php?id=94494"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11761</Words>
  <Characters>6704</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Ministru kabineta noteikumu projekts „Atmežošanas kompensācijas noteikšanas kritēriji, aprēķināšanas un atlīdzināšanas kārtība”Ministru kabineta noteikumu projekts „Atmežošanas kompensācijas noteikšanas kritēriji, aprēķināšanas un atlīdzināšanas kārtība”</vt:lpstr>
    </vt:vector>
  </TitlesOfParts>
  <Company>zm</Company>
  <LinksUpToDate>false</LinksUpToDate>
  <CharactersWithSpaces>18429</CharactersWithSpaces>
  <SharedDoc>false</SharedDoc>
  <HLinks>
    <vt:vector size="24" baseType="variant">
      <vt:variant>
        <vt:i4>4784148</vt:i4>
      </vt:variant>
      <vt:variant>
        <vt:i4>9</vt:i4>
      </vt:variant>
      <vt:variant>
        <vt:i4>0</vt:i4>
      </vt:variant>
      <vt:variant>
        <vt:i4>5</vt:i4>
      </vt:variant>
      <vt:variant>
        <vt:lpwstr>http://www.likumi.lv/doc.php?id=55567</vt:lpwstr>
      </vt:variant>
      <vt:variant>
        <vt:lpwstr/>
      </vt:variant>
      <vt:variant>
        <vt:i4>4653081</vt:i4>
      </vt:variant>
      <vt:variant>
        <vt:i4>6</vt:i4>
      </vt:variant>
      <vt:variant>
        <vt:i4>0</vt:i4>
      </vt:variant>
      <vt:variant>
        <vt:i4>5</vt:i4>
      </vt:variant>
      <vt:variant>
        <vt:lpwstr>http://www.likumi.lv/doc.php?id=94494</vt:lpwstr>
      </vt:variant>
      <vt:variant>
        <vt:lpwstr/>
      </vt:variant>
      <vt:variant>
        <vt:i4>4653081</vt:i4>
      </vt:variant>
      <vt:variant>
        <vt:i4>3</vt:i4>
      </vt:variant>
      <vt:variant>
        <vt:i4>0</vt:i4>
      </vt:variant>
      <vt:variant>
        <vt:i4>5</vt:i4>
      </vt:variant>
      <vt:variant>
        <vt:lpwstr>http://www.likumi.lv/doc.php?id=94494</vt:lpwstr>
      </vt:variant>
      <vt:variant>
        <vt:lpwstr/>
      </vt:variant>
      <vt:variant>
        <vt:i4>4653081</vt:i4>
      </vt:variant>
      <vt:variant>
        <vt:i4>0</vt:i4>
      </vt:variant>
      <vt:variant>
        <vt:i4>0</vt:i4>
      </vt:variant>
      <vt:variant>
        <vt:i4>5</vt:i4>
      </vt:variant>
      <vt:variant>
        <vt:lpwstr>http://www.likumi.lv/doc.php?id=94494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„Atmežošanas kompensācijas noteikšanas kritēriji, aprēķināšanas un atlīdzināšanas kārtība”Ministru kabineta noteikumu projekts „Atmežošanas kompensācijas noteikšanas kritēriji, aprēķināšanas un atlīdzināšanas kārtība”</dc:title>
  <dc:subject>Anotācija</dc:subject>
  <dc:creator>Lāsma Āboliņa</dc:creator>
  <cp:keywords/>
  <dc:description>67027285, Lasma.Abolina@zm.gov.lv</dc:description>
  <cp:lastModifiedBy>Renārs Žagars</cp:lastModifiedBy>
  <cp:revision>5</cp:revision>
  <cp:lastPrinted>2012-11-29T08:42:00Z</cp:lastPrinted>
  <dcterms:created xsi:type="dcterms:W3CDTF">2012-12-06T09:23:00Z</dcterms:created>
  <dcterms:modified xsi:type="dcterms:W3CDTF">2012-12-06T11:26:00Z</dcterms:modified>
</cp:coreProperties>
</file>