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7E" w:rsidRDefault="00F37F7E" w:rsidP="00F37F7E">
      <w:pPr>
        <w:pStyle w:val="Kjene"/>
        <w:jc w:val="center"/>
        <w:outlineLvl w:val="0"/>
        <w:rPr>
          <w:sz w:val="28"/>
          <w:szCs w:val="28"/>
        </w:rPr>
      </w:pPr>
      <w:bookmarkStart w:id="0" w:name="OLE_LINK6"/>
      <w:bookmarkStart w:id="1" w:name="OLE_LINK7"/>
    </w:p>
    <w:bookmarkEnd w:id="0"/>
    <w:bookmarkEnd w:id="1"/>
    <w:p w:rsidR="00D23392" w:rsidRPr="00596B72" w:rsidRDefault="00D23392" w:rsidP="000641B6">
      <w:pPr>
        <w:jc w:val="center"/>
        <w:rPr>
          <w:sz w:val="28"/>
          <w:szCs w:val="28"/>
        </w:rPr>
      </w:pPr>
      <w:r w:rsidRPr="00596B72">
        <w:rPr>
          <w:b/>
          <w:sz w:val="28"/>
          <w:szCs w:val="28"/>
        </w:rPr>
        <w:t xml:space="preserve">Ministru kabineta </w:t>
      </w:r>
      <w:r w:rsidR="006A6F92">
        <w:rPr>
          <w:b/>
          <w:sz w:val="28"/>
          <w:szCs w:val="28"/>
        </w:rPr>
        <w:t>rīkojuma</w:t>
      </w:r>
      <w:r w:rsidRPr="00596B72">
        <w:rPr>
          <w:b/>
          <w:sz w:val="28"/>
          <w:szCs w:val="28"/>
        </w:rPr>
        <w:t xml:space="preserve"> projekta </w:t>
      </w:r>
      <w:r w:rsidR="006A6F92">
        <w:rPr>
          <w:b/>
          <w:sz w:val="28"/>
          <w:szCs w:val="28"/>
        </w:rPr>
        <w:t>„</w:t>
      </w:r>
      <w:r w:rsidR="006A6F92" w:rsidRPr="006A6F92">
        <w:rPr>
          <w:b/>
          <w:bCs/>
          <w:sz w:val="28"/>
        </w:rPr>
        <w:t>Par finanšu līdzekļu piešķiršanu no valsts budžeta programmas „Līdzekļi neparedzētiem gadījumiem”</w:t>
      </w:r>
      <w:r w:rsidR="006A6F92">
        <w:rPr>
          <w:b/>
          <w:bCs/>
          <w:sz w:val="28"/>
        </w:rPr>
        <w:t>”</w:t>
      </w:r>
    </w:p>
    <w:p w:rsidR="00C61DFA" w:rsidRPr="00C70A58" w:rsidRDefault="00D23392" w:rsidP="00C70A58">
      <w:pPr>
        <w:pStyle w:val="naisc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6B72">
        <w:rPr>
          <w:b/>
          <w:bCs/>
          <w:sz w:val="28"/>
          <w:szCs w:val="28"/>
        </w:rPr>
        <w:t>sākotnējās ietekmes novērtējuma ziņojums (anotācija)</w:t>
      </w:r>
    </w:p>
    <w:tbl>
      <w:tblPr>
        <w:tblW w:w="5655" w:type="pct"/>
        <w:jc w:val="center"/>
        <w:tblInd w:w="-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"/>
        <w:gridCol w:w="450"/>
        <w:gridCol w:w="2168"/>
        <w:gridCol w:w="794"/>
        <w:gridCol w:w="471"/>
        <w:gridCol w:w="1445"/>
        <w:gridCol w:w="1445"/>
        <w:gridCol w:w="1445"/>
        <w:gridCol w:w="2273"/>
      </w:tblGrid>
      <w:tr w:rsidR="00F37F7E" w:rsidRPr="00906B31" w:rsidTr="00074BF1">
        <w:trPr>
          <w:jc w:val="center"/>
        </w:trPr>
        <w:tc>
          <w:tcPr>
            <w:tcW w:w="5000" w:type="pct"/>
            <w:gridSpan w:val="9"/>
          </w:tcPr>
          <w:p w:rsidR="00F37F7E" w:rsidRPr="00787D30" w:rsidRDefault="00F37F7E" w:rsidP="00F37F7E">
            <w:pPr>
              <w:pStyle w:val="naisnod"/>
              <w:spacing w:before="0" w:beforeAutospacing="0" w:after="0" w:afterAutospacing="0"/>
              <w:jc w:val="center"/>
            </w:pPr>
            <w:r w:rsidRPr="00906B31">
              <w:rPr>
                <w:b/>
                <w:bCs/>
              </w:rPr>
              <w:t xml:space="preserve">I. </w:t>
            </w:r>
            <w:r w:rsidR="00DA41B1">
              <w:rPr>
                <w:b/>
                <w:bCs/>
              </w:rPr>
              <w:t>Tiesību akta projekta izstrādes nepieciešamība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</w:tcPr>
          <w:p w:rsidR="00EE2F67" w:rsidRPr="00787D30" w:rsidRDefault="00EE2F67" w:rsidP="00F37F7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787D30">
              <w:t xml:space="preserve">1. </w:t>
            </w:r>
          </w:p>
        </w:tc>
        <w:tc>
          <w:tcPr>
            <w:tcW w:w="1410" w:type="pct"/>
            <w:gridSpan w:val="2"/>
          </w:tcPr>
          <w:p w:rsidR="00EE2F67" w:rsidRPr="00787D30" w:rsidRDefault="00EE2F67" w:rsidP="00F37F7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Pamatojums</w:t>
            </w:r>
          </w:p>
        </w:tc>
        <w:tc>
          <w:tcPr>
            <w:tcW w:w="3370" w:type="pct"/>
            <w:gridSpan w:val="5"/>
          </w:tcPr>
          <w:p w:rsidR="00EE2F67" w:rsidRPr="000B4B7F" w:rsidRDefault="00583C70" w:rsidP="00716A1E">
            <w:pPr>
              <w:jc w:val="both"/>
            </w:pPr>
            <w:r w:rsidRPr="00583C70">
              <w:t xml:space="preserve">Ministru kabineta 2009.gada </w:t>
            </w:r>
            <w:r>
              <w:t>22.decembra noteikumu</w:t>
            </w:r>
            <w:r w:rsidRPr="00583C70">
              <w:t xml:space="preserve"> Nr.1644 „</w:t>
            </w:r>
            <w:r w:rsidRPr="00583C70">
              <w:rPr>
                <w:bCs/>
              </w:rPr>
              <w:t>Kārtība, kādā pieprasa un izlieto budžeta programmas „Līdzekļi neparedzētiem gadījumiem” līdzekļus”</w:t>
            </w:r>
            <w:r>
              <w:rPr>
                <w:bCs/>
              </w:rPr>
              <w:t xml:space="preserve"> </w:t>
            </w:r>
            <w:r w:rsidR="00716A1E">
              <w:rPr>
                <w:bCs/>
              </w:rPr>
              <w:t>2.punkts</w:t>
            </w:r>
            <w:r>
              <w:rPr>
                <w:bCs/>
              </w:rPr>
              <w:t>.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</w:tcPr>
          <w:p w:rsidR="00EE2F67" w:rsidRPr="00906B31" w:rsidRDefault="00EE2F67" w:rsidP="00F37F7E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906B31">
              <w:rPr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1410" w:type="pct"/>
            <w:gridSpan w:val="2"/>
          </w:tcPr>
          <w:p w:rsidR="00EE2F67" w:rsidRPr="00906B31" w:rsidRDefault="00EE2F67" w:rsidP="00F37F7E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83765">
              <w:rPr>
                <w:b w:val="0"/>
                <w:color w:val="000000"/>
                <w:sz w:val="24"/>
                <w:szCs w:val="24"/>
              </w:rPr>
              <w:t>Pašreizējā situācija un problēmas</w:t>
            </w:r>
          </w:p>
        </w:tc>
        <w:tc>
          <w:tcPr>
            <w:tcW w:w="3370" w:type="pct"/>
            <w:gridSpan w:val="5"/>
            <w:tcBorders>
              <w:bottom w:val="single" w:sz="4" w:space="0" w:color="auto"/>
            </w:tcBorders>
          </w:tcPr>
          <w:p w:rsidR="00F32E4B" w:rsidRPr="00F32E4B" w:rsidRDefault="00C924B8" w:rsidP="007F7CB3">
            <w:pPr>
              <w:jc w:val="both"/>
              <w:rPr>
                <w:bCs/>
              </w:rPr>
            </w:pPr>
            <w:r>
              <w:rPr>
                <w:bCs/>
              </w:rPr>
              <w:t>Tā kā</w:t>
            </w:r>
            <w:r w:rsidR="007F7CB3">
              <w:rPr>
                <w:bCs/>
              </w:rPr>
              <w:t xml:space="preserve"> </w:t>
            </w:r>
            <w:r w:rsidR="00202E15">
              <w:rPr>
                <w:bCs/>
              </w:rPr>
              <w:t xml:space="preserve">2012.gada novembrī Latvijā tika konstatēts klasiskais cūku mēris mežacūku populācijā, </w:t>
            </w:r>
            <w:r w:rsidR="007F7CB3">
              <w:rPr>
                <w:bCs/>
              </w:rPr>
              <w:t xml:space="preserve">Pārtikas un veterinārais dienests inficētajā teritorijā turpina klasiskā cūku mēra uzraudzības pasākumus. </w:t>
            </w:r>
          </w:p>
          <w:p w:rsidR="00202E15" w:rsidRDefault="00F32E4B" w:rsidP="00F32E4B">
            <w:pPr>
              <w:jc w:val="both"/>
              <w:rPr>
                <w:bCs/>
              </w:rPr>
            </w:pPr>
            <w:r w:rsidRPr="00F32E4B">
              <w:rPr>
                <w:bCs/>
              </w:rPr>
              <w:t xml:space="preserve">Pašlaik notiek klasiskā cūku mēra </w:t>
            </w:r>
            <w:r w:rsidR="00202E15">
              <w:rPr>
                <w:bCs/>
              </w:rPr>
              <w:t xml:space="preserve">seroloģiskās un </w:t>
            </w:r>
            <w:proofErr w:type="spellStart"/>
            <w:r w:rsidR="00202E15">
              <w:rPr>
                <w:bCs/>
              </w:rPr>
              <w:t>virusoloģiskās</w:t>
            </w:r>
            <w:proofErr w:type="spellEnd"/>
            <w:r w:rsidR="00202E15">
              <w:rPr>
                <w:bCs/>
              </w:rPr>
              <w:t xml:space="preserve"> uzraudzības</w:t>
            </w:r>
            <w:r w:rsidRPr="00F32E4B">
              <w:rPr>
                <w:bCs/>
              </w:rPr>
              <w:t xml:space="preserve"> pasākumi, lai </w:t>
            </w:r>
            <w:r w:rsidR="00202E15">
              <w:rPr>
                <w:bCs/>
              </w:rPr>
              <w:t xml:space="preserve">sekotu infekcijas slimības attīstības un izplatības gaitai. Uzraudzības rezultātā (ņemot vērā laboratoriskos izmeklējumus) </w:t>
            </w:r>
            <w:r w:rsidR="00374281">
              <w:rPr>
                <w:bCs/>
              </w:rPr>
              <w:t xml:space="preserve">inficētā teritorija </w:t>
            </w:r>
            <w:r w:rsidR="00202E15">
              <w:rPr>
                <w:bCs/>
              </w:rPr>
              <w:t>ir paplašinājusies no 2000 līdz 9000 km</w:t>
            </w:r>
            <w:r w:rsidR="00202E15" w:rsidRPr="00202E15">
              <w:rPr>
                <w:bCs/>
                <w:vertAlign w:val="superscript"/>
              </w:rPr>
              <w:t>2</w:t>
            </w:r>
            <w:r w:rsidR="00202E15">
              <w:rPr>
                <w:bCs/>
              </w:rPr>
              <w:t xml:space="preserve">. Līdz šim nav novēroti turpmāki slimības uzliesmojumi mājas cūkām, bet mežacūku seroloģiskā uzraudzība liecina par to, ka slimība varētu izplatīties mežacūku populācijā. </w:t>
            </w:r>
          </w:p>
          <w:p w:rsidR="00202E15" w:rsidRDefault="00202E15" w:rsidP="00F32E4B">
            <w:pPr>
              <w:jc w:val="both"/>
              <w:rPr>
                <w:bCs/>
              </w:rPr>
            </w:pPr>
            <w:r>
              <w:rPr>
                <w:bCs/>
              </w:rPr>
              <w:t>Eiropas Komisijas eksperti savā atzinumā norādīja veicamos pasākumus, kuros ietilpst nošauto mežacūku skait</w:t>
            </w:r>
            <w:r w:rsidR="00374281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="00374281">
              <w:rPr>
                <w:bCs/>
              </w:rPr>
              <w:t xml:space="preserve">palielināšana </w:t>
            </w:r>
            <w:r>
              <w:rPr>
                <w:bCs/>
              </w:rPr>
              <w:t>un to laboratorisk</w:t>
            </w:r>
            <w:r w:rsidR="00374281">
              <w:rPr>
                <w:bCs/>
              </w:rPr>
              <w:t>a</w:t>
            </w:r>
            <w:r>
              <w:rPr>
                <w:bCs/>
              </w:rPr>
              <w:t xml:space="preserve"> izmeklēšan</w:t>
            </w:r>
            <w:r w:rsidR="00374281">
              <w:rPr>
                <w:bCs/>
              </w:rPr>
              <w:t>a</w:t>
            </w:r>
            <w:r>
              <w:rPr>
                <w:bCs/>
              </w:rPr>
              <w:t xml:space="preserve">, kā arī </w:t>
            </w:r>
            <w:r w:rsidR="00374281">
              <w:rPr>
                <w:bCs/>
              </w:rPr>
              <w:t>pastiprināta</w:t>
            </w:r>
            <w:r w:rsidR="00374281" w:rsidDel="00374281">
              <w:rPr>
                <w:bCs/>
              </w:rPr>
              <w:t xml:space="preserve"> </w:t>
            </w:r>
            <w:r>
              <w:rPr>
                <w:bCs/>
              </w:rPr>
              <w:t>inficētās teritorijas novietņu uzraudzīb</w:t>
            </w:r>
            <w:r w:rsidR="00374281">
              <w:rPr>
                <w:bCs/>
              </w:rPr>
              <w:t>a</w:t>
            </w:r>
            <w:r>
              <w:rPr>
                <w:bCs/>
              </w:rPr>
              <w:t>.</w:t>
            </w:r>
          </w:p>
          <w:p w:rsidR="00202E15" w:rsidRDefault="00202E15" w:rsidP="00F32E4B">
            <w:pPr>
              <w:jc w:val="both"/>
              <w:rPr>
                <w:bCs/>
              </w:rPr>
            </w:pPr>
            <w:r>
              <w:rPr>
                <w:bCs/>
              </w:rPr>
              <w:t>Aprēķinot veicamo darbu izmaksas</w:t>
            </w:r>
            <w:r w:rsidR="0055146B">
              <w:rPr>
                <w:bCs/>
              </w:rPr>
              <w:t>,</w:t>
            </w:r>
            <w:r>
              <w:rPr>
                <w:bCs/>
              </w:rPr>
              <w:t xml:space="preserve"> ir konstatēts, ka </w:t>
            </w:r>
            <w:r w:rsidR="0055146B">
              <w:rPr>
                <w:bCs/>
              </w:rPr>
              <w:t xml:space="preserve">aprēķina rezultāti </w:t>
            </w:r>
            <w:r>
              <w:rPr>
                <w:bCs/>
              </w:rPr>
              <w:t xml:space="preserve">stipri pārsniedz plānotās prognozes infekcijas slimības seroloģiskai un </w:t>
            </w:r>
            <w:proofErr w:type="spellStart"/>
            <w:r>
              <w:rPr>
                <w:bCs/>
              </w:rPr>
              <w:t>virusoloģiskai</w:t>
            </w:r>
            <w:proofErr w:type="spellEnd"/>
            <w:r>
              <w:rPr>
                <w:bCs/>
              </w:rPr>
              <w:t xml:space="preserve"> uzraudzībai. </w:t>
            </w:r>
          </w:p>
          <w:p w:rsidR="0055146B" w:rsidRDefault="0055146B" w:rsidP="00F32E4B">
            <w:pPr>
              <w:jc w:val="both"/>
              <w:rPr>
                <w:bCs/>
              </w:rPr>
            </w:pPr>
            <w:r>
              <w:rPr>
                <w:bCs/>
              </w:rPr>
              <w:t xml:space="preserve">Zemkopības ministrija iepriekš norādīja, ka </w:t>
            </w:r>
            <w:r w:rsidRPr="00F32E4B">
              <w:rPr>
                <w:bCs/>
              </w:rPr>
              <w:t>neparedzēti izdevumi radīsies arī 2013.gada pirmajā pusē.</w:t>
            </w:r>
          </w:p>
          <w:p w:rsidR="00F32E4B" w:rsidRPr="00F32E4B" w:rsidRDefault="00F32E4B" w:rsidP="00F32E4B">
            <w:pPr>
              <w:jc w:val="both"/>
              <w:rPr>
                <w:bCs/>
              </w:rPr>
            </w:pPr>
            <w:r w:rsidRPr="00F32E4B">
              <w:rPr>
                <w:bCs/>
              </w:rPr>
              <w:t>Klasiskā cūku mēra apkarošanas pasākumos ir iesaistīts Pārtikas un veterinārais dienests</w:t>
            </w:r>
            <w:r w:rsidR="00374281">
              <w:rPr>
                <w:bCs/>
              </w:rPr>
              <w:t xml:space="preserve"> un</w:t>
            </w:r>
            <w:r w:rsidRPr="00F32E4B">
              <w:rPr>
                <w:bCs/>
              </w:rPr>
              <w:t xml:space="preserve"> valsts zinātniskais institūts „Pārtikas drošības, dzīvnieku veselības un vides zinātniskais institūts „BIOR””</w:t>
            </w:r>
            <w:r w:rsidR="009A3369">
              <w:rPr>
                <w:bCs/>
              </w:rPr>
              <w:t>.</w:t>
            </w:r>
          </w:p>
          <w:p w:rsidR="0055146B" w:rsidRDefault="00F32E4B" w:rsidP="0055146B">
            <w:pPr>
              <w:jc w:val="both"/>
              <w:rPr>
                <w:bCs/>
              </w:rPr>
            </w:pPr>
            <w:r w:rsidRPr="00F32E4B">
              <w:rPr>
                <w:bCs/>
              </w:rPr>
              <w:t xml:space="preserve">Infekcijas slimības apkarošanas pasākumi turpināsies tik ilgi, </w:t>
            </w:r>
            <w:r w:rsidR="00374281">
              <w:rPr>
                <w:bCs/>
              </w:rPr>
              <w:t>līdz</w:t>
            </w:r>
            <w:r w:rsidRPr="00F32E4B">
              <w:rPr>
                <w:bCs/>
              </w:rPr>
              <w:t xml:space="preserve"> vairs netiks novēroti klasiskā cūku mēra uzliesmojumi</w:t>
            </w:r>
            <w:r w:rsidR="0055146B">
              <w:rPr>
                <w:bCs/>
              </w:rPr>
              <w:t xml:space="preserve"> un mežacūku uzraudzības pasākumu laikā netiks atklāta vīrusa klātbūtne</w:t>
            </w:r>
            <w:r w:rsidRPr="00F32E4B">
              <w:rPr>
                <w:bCs/>
              </w:rPr>
              <w:t xml:space="preserve">. </w:t>
            </w:r>
          </w:p>
          <w:p w:rsidR="003309E0" w:rsidRPr="000B4B7F" w:rsidRDefault="00F32E4B" w:rsidP="0055146B">
            <w:pPr>
              <w:jc w:val="both"/>
            </w:pPr>
            <w:r w:rsidRPr="00F32E4B">
              <w:rPr>
                <w:bCs/>
              </w:rPr>
              <w:t>Saskaņā ar Padomes 2009.gada 25.maija Lēmuma 2009/470/EK par izdevumiem veterinārijas jomā 3.pantu dalībvalsts var pretendēt uz to izdevumu daļēju segšanu, kuri radušies konkrētas dzīvnieku infekcijas apkarošanas rezultātā.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</w:tcPr>
          <w:p w:rsidR="00EE2F67" w:rsidRPr="00683765" w:rsidRDefault="00EE2F67" w:rsidP="00F37F7E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83765">
              <w:rPr>
                <w:b w:val="0"/>
                <w:sz w:val="24"/>
                <w:szCs w:val="24"/>
              </w:rPr>
              <w:t>3.</w:t>
            </w:r>
            <w:r w:rsidRPr="00683765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pct"/>
            <w:gridSpan w:val="2"/>
          </w:tcPr>
          <w:p w:rsidR="00EE2F67" w:rsidRPr="00683765" w:rsidRDefault="00EE2F67" w:rsidP="00F37F7E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83765">
              <w:rPr>
                <w:b w:val="0"/>
                <w:color w:val="000000"/>
                <w:sz w:val="24"/>
                <w:szCs w:val="24"/>
              </w:rPr>
              <w:t>Saistītie politikas ietekmes novērtējumi un pētījumi</w:t>
            </w:r>
          </w:p>
        </w:tc>
        <w:tc>
          <w:tcPr>
            <w:tcW w:w="3370" w:type="pct"/>
            <w:gridSpan w:val="5"/>
            <w:tcBorders>
              <w:bottom w:val="single" w:sz="4" w:space="0" w:color="auto"/>
            </w:tcBorders>
          </w:tcPr>
          <w:p w:rsidR="00EE2F67" w:rsidRPr="00DF3721" w:rsidRDefault="008C1B9E" w:rsidP="00F37F7E">
            <w:pPr>
              <w:jc w:val="both"/>
            </w:pPr>
            <w:r>
              <w:t>Projekts šo jomu neskar.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2D50B7" w:rsidRPr="00683765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Pr="00683765">
              <w:t xml:space="preserve">. </w:t>
            </w:r>
          </w:p>
        </w:tc>
        <w:tc>
          <w:tcPr>
            <w:tcW w:w="1410" w:type="pct"/>
            <w:gridSpan w:val="2"/>
            <w:tcBorders>
              <w:right w:val="single" w:sz="4" w:space="0" w:color="auto"/>
            </w:tcBorders>
          </w:tcPr>
          <w:p w:rsidR="002D50B7" w:rsidRPr="00683765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Tiesiskā regulējuma mērķis un būtība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4B" w:rsidRPr="00F32E4B" w:rsidRDefault="00F32E4B" w:rsidP="00F32E4B">
            <w:pPr>
              <w:jc w:val="both"/>
            </w:pPr>
            <w:r w:rsidRPr="00F32E4B">
              <w:t>Ir sagatavots Ministru kabineta rīkojuma projekts „</w:t>
            </w:r>
            <w:r w:rsidRPr="00F32E4B">
              <w:rPr>
                <w:bCs/>
              </w:rPr>
              <w:t xml:space="preserve">Par finanšu līdzekļu piešķiršanu no valsts budžeta programmas „Līdzekļi neparedzētiem gadījumiem”” (turpmāk – rīkojuma projekts), </w:t>
            </w:r>
            <w:r w:rsidRPr="00F32E4B">
              <w:t xml:space="preserve">kurā noteikts uzdevums Finanšu ministrijai </w:t>
            </w:r>
            <w:r w:rsidRPr="00F32E4B">
              <w:rPr>
                <w:bCs/>
              </w:rPr>
              <w:t xml:space="preserve">no valsts budžeta programmas 02.00.00 „Līdzekļi neparedzētiem gadījumiem” piešķirt Zemkopības ministrijai </w:t>
            </w:r>
            <w:r w:rsidR="00E60C1F" w:rsidRPr="00C70A58">
              <w:rPr>
                <w:bCs/>
                <w:iCs/>
              </w:rPr>
              <w:t>2</w:t>
            </w:r>
            <w:r w:rsidR="009F435E" w:rsidRPr="00C70A58">
              <w:rPr>
                <w:bCs/>
                <w:iCs/>
              </w:rPr>
              <w:t>4</w:t>
            </w:r>
            <w:r w:rsidR="008C0765" w:rsidRPr="00C70A58">
              <w:rPr>
                <w:bCs/>
                <w:iCs/>
              </w:rPr>
              <w:t>5</w:t>
            </w:r>
            <w:r w:rsidR="00E60C1F" w:rsidRPr="00C70A58">
              <w:rPr>
                <w:bCs/>
                <w:iCs/>
              </w:rPr>
              <w:t> 7</w:t>
            </w:r>
            <w:r w:rsidR="008C0765" w:rsidRPr="00C70A58">
              <w:rPr>
                <w:bCs/>
                <w:iCs/>
              </w:rPr>
              <w:t>74</w:t>
            </w:r>
            <w:r w:rsidR="00E60C1F" w:rsidRPr="00E60C1F">
              <w:rPr>
                <w:b/>
                <w:bCs/>
                <w:iCs/>
              </w:rPr>
              <w:t xml:space="preserve"> </w:t>
            </w:r>
            <w:r w:rsidRPr="00F32E4B">
              <w:t>latu</w:t>
            </w:r>
            <w:r w:rsidR="00E60C1F">
              <w:t>s</w:t>
            </w:r>
            <w:r w:rsidRPr="00F32E4B">
              <w:t>, lai nodrošinātu klasiskā cūku mēra uzraudzības pasākumus mežacūku populācijā.</w:t>
            </w:r>
          </w:p>
          <w:p w:rsidR="00B46F39" w:rsidRPr="002D50B7" w:rsidRDefault="00F32E4B" w:rsidP="00F32E4B">
            <w:pPr>
              <w:jc w:val="both"/>
            </w:pPr>
            <w:r w:rsidRPr="00F32E4B">
              <w:t>Šīs anotācijas I sadaļas 2.punktā minētās problēmas noteikumu projekts atrisinās pilnībā.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2D50B7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>
              <w:t xml:space="preserve">5. </w:t>
            </w:r>
          </w:p>
        </w:tc>
        <w:tc>
          <w:tcPr>
            <w:tcW w:w="1410" w:type="pct"/>
            <w:gridSpan w:val="2"/>
            <w:tcBorders>
              <w:right w:val="single" w:sz="4" w:space="0" w:color="auto"/>
            </w:tcBorders>
          </w:tcPr>
          <w:p w:rsidR="002D50B7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 xml:space="preserve">Projekta izstrādē iesaistītās </w:t>
            </w:r>
            <w:r w:rsidRPr="000A0D36">
              <w:rPr>
                <w:color w:val="000000"/>
              </w:rPr>
              <w:lastRenderedPageBreak/>
              <w:t>institūcijas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7" w:rsidRDefault="00D23392" w:rsidP="00074BF1">
            <w:pPr>
              <w:pStyle w:val="naiskr"/>
              <w:jc w:val="both"/>
              <w:rPr>
                <w:color w:val="000000"/>
              </w:rPr>
            </w:pPr>
            <w:r w:rsidRPr="00596B72">
              <w:lastRenderedPageBreak/>
              <w:t>Pārtikas un veterinārais dienests</w:t>
            </w:r>
            <w:r w:rsidR="00074BF1">
              <w:t xml:space="preserve"> un valsts zinātniskais institūts </w:t>
            </w:r>
            <w:r w:rsidR="00074BF1" w:rsidRPr="00074BF1">
              <w:lastRenderedPageBreak/>
              <w:t xml:space="preserve">„Pārtikas drošības, dzīvnieku veselības un vides zinātniskais institūts </w:t>
            </w:r>
            <w:r w:rsidR="00074BF1" w:rsidRPr="00074BF1">
              <w:rPr>
                <w:bCs/>
              </w:rPr>
              <w:t>„BIOR””</w:t>
            </w:r>
            <w:r w:rsidR="008C1B9E">
              <w:t>.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2D50B7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6. </w:t>
            </w:r>
          </w:p>
        </w:tc>
        <w:tc>
          <w:tcPr>
            <w:tcW w:w="1410" w:type="pct"/>
            <w:gridSpan w:val="2"/>
            <w:tcBorders>
              <w:right w:val="single" w:sz="4" w:space="0" w:color="auto"/>
            </w:tcBorders>
          </w:tcPr>
          <w:p w:rsidR="002D50B7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7" w:rsidRDefault="008C1B9E" w:rsidP="00F37F7E">
            <w:pPr>
              <w:jc w:val="both"/>
            </w:pPr>
            <w:r>
              <w:t>Projekts šo jomu neskar.</w:t>
            </w:r>
          </w:p>
        </w:tc>
      </w:tr>
      <w:tr w:rsidR="00B92329" w:rsidRPr="00906B31" w:rsidTr="00074BF1">
        <w:trPr>
          <w:trHeight w:val="232"/>
          <w:jc w:val="center"/>
        </w:trPr>
        <w:tc>
          <w:tcPr>
            <w:tcW w:w="220" w:type="pct"/>
            <w:gridSpan w:val="2"/>
          </w:tcPr>
          <w:p w:rsidR="002D50B7" w:rsidRPr="00787D30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>
              <w:t>7</w:t>
            </w:r>
            <w:r w:rsidRPr="00787D30">
              <w:t xml:space="preserve">. </w:t>
            </w:r>
          </w:p>
        </w:tc>
        <w:tc>
          <w:tcPr>
            <w:tcW w:w="1410" w:type="pct"/>
            <w:gridSpan w:val="2"/>
          </w:tcPr>
          <w:p w:rsidR="002D50B7" w:rsidRPr="00787D30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 w:rsidRPr="00787D30">
              <w:t>Cita informācija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</w:tcBorders>
          </w:tcPr>
          <w:p w:rsidR="002D50B7" w:rsidRDefault="00F21E37" w:rsidP="00F37F7E">
            <w:pPr>
              <w:pStyle w:val="naiskr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t>Zemkopības ministrija ir sagatavojusi informatīvo ziņojumu „</w:t>
            </w:r>
            <w:r w:rsidRPr="00F21E37">
              <w:rPr>
                <w:iCs/>
              </w:rPr>
              <w:t>Par finanšu līdzekļu piešķiršanu dzīvnieku infekcijas slimību uzraudzības programmas „Klasiskā cūku mēra uzraudzības un apkarošanas programma” īstenošanai 2013.gadā”</w:t>
            </w:r>
            <w:r>
              <w:rPr>
                <w:iCs/>
              </w:rPr>
              <w:t xml:space="preserve">, kurā informē Ministru kabinetu </w:t>
            </w:r>
            <w:r w:rsidR="00374281">
              <w:rPr>
                <w:iCs/>
              </w:rPr>
              <w:t xml:space="preserve">par </w:t>
            </w:r>
            <w:r w:rsidRPr="00F21E37">
              <w:rPr>
                <w:iCs/>
              </w:rPr>
              <w:t>jaunas programmas „Klasiskā cūku mēra uzraudzības un apkarošanas programma” izveidi</w:t>
            </w:r>
            <w:r>
              <w:rPr>
                <w:iCs/>
              </w:rPr>
              <w:t xml:space="preserve"> un šīs programmas īstenošanu 2013.gadā. Programmas kopīgais finansējums </w:t>
            </w:r>
            <w:r w:rsidR="00374281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F21E37">
              <w:rPr>
                <w:bCs/>
                <w:iCs/>
              </w:rPr>
              <w:t>1</w:t>
            </w:r>
            <w:r w:rsidR="00374281">
              <w:rPr>
                <w:bCs/>
                <w:iCs/>
              </w:rPr>
              <w:t> </w:t>
            </w:r>
            <w:r w:rsidRPr="00F21E37">
              <w:rPr>
                <w:bCs/>
                <w:iCs/>
              </w:rPr>
              <w:t>792 954</w:t>
            </w:r>
            <w:r>
              <w:rPr>
                <w:b/>
                <w:bCs/>
                <w:iCs/>
              </w:rPr>
              <w:t xml:space="preserve"> </w:t>
            </w:r>
            <w:r w:rsidRPr="00F21E37">
              <w:rPr>
                <w:bCs/>
                <w:iCs/>
              </w:rPr>
              <w:t>lat</w:t>
            </w:r>
            <w:r w:rsidR="00374281">
              <w:rPr>
                <w:bCs/>
                <w:iCs/>
              </w:rPr>
              <w:t>i</w:t>
            </w:r>
            <w:r w:rsidRPr="00F21E37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Lielāko programmas finansējuma daļu </w:t>
            </w:r>
            <w:r w:rsidR="00374281">
              <w:rPr>
                <w:bCs/>
                <w:iCs/>
              </w:rPr>
              <w:t>veido</w:t>
            </w:r>
            <w:r>
              <w:rPr>
                <w:bCs/>
                <w:iCs/>
              </w:rPr>
              <w:t xml:space="preserve"> vakcīnas iegādes un izlikšanas izmaksas, kā arī laboratoriskie pakalpojumi mājas </w:t>
            </w:r>
            <w:r w:rsidR="00374281">
              <w:rPr>
                <w:bCs/>
                <w:iCs/>
              </w:rPr>
              <w:t xml:space="preserve">cūku </w:t>
            </w:r>
            <w:r>
              <w:rPr>
                <w:bCs/>
                <w:iCs/>
              </w:rPr>
              <w:t xml:space="preserve">un mežacūku seroloģiskai un </w:t>
            </w:r>
            <w:proofErr w:type="spellStart"/>
            <w:r>
              <w:rPr>
                <w:bCs/>
                <w:iCs/>
              </w:rPr>
              <w:t>virusoloģiskai</w:t>
            </w:r>
            <w:proofErr w:type="spellEnd"/>
            <w:r>
              <w:rPr>
                <w:bCs/>
                <w:iCs/>
              </w:rPr>
              <w:t xml:space="preserve"> uzraudzībai. </w:t>
            </w:r>
          </w:p>
          <w:p w:rsidR="00F21E37" w:rsidRPr="00787D30" w:rsidRDefault="00E60C1F" w:rsidP="00374281">
            <w:pPr>
              <w:pStyle w:val="naiskr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Tiek plānots, ka programmai „Klasiskā cūku mēra </w:t>
            </w:r>
            <w:r w:rsidR="0042726D">
              <w:rPr>
                <w:bCs/>
                <w:iCs/>
              </w:rPr>
              <w:t xml:space="preserve">uzraudzības un apkarošanas programma” </w:t>
            </w:r>
            <w:r>
              <w:rPr>
                <w:bCs/>
                <w:iCs/>
              </w:rPr>
              <w:t xml:space="preserve">finanšu līdzekļi tiks piešķirti </w:t>
            </w:r>
            <w:r w:rsidR="0042726D">
              <w:rPr>
                <w:bCs/>
                <w:iCs/>
              </w:rPr>
              <w:t>2013.gada pirmā ceturkšņa beigās</w:t>
            </w:r>
            <w:r w:rsidR="00374281">
              <w:rPr>
                <w:bCs/>
                <w:iCs/>
              </w:rPr>
              <w:t>, tāpēc</w:t>
            </w:r>
            <w:r w:rsidR="0042726D">
              <w:rPr>
                <w:bCs/>
                <w:iCs/>
              </w:rPr>
              <w:t xml:space="preserve"> uzraudzības un apkarošanas pasākumu turpināšanai nekavējoties nepieciešami finanšu līdzekļi. </w:t>
            </w:r>
            <w:r w:rsidR="00374281">
              <w:rPr>
                <w:bCs/>
                <w:iCs/>
              </w:rPr>
              <w:t xml:space="preserve">Notikumiem </w:t>
            </w:r>
            <w:r w:rsidR="0042726D">
              <w:rPr>
                <w:bCs/>
                <w:iCs/>
              </w:rPr>
              <w:t>attīst</w:t>
            </w:r>
            <w:r w:rsidR="00374281">
              <w:rPr>
                <w:bCs/>
                <w:iCs/>
              </w:rPr>
              <w:t>oties</w:t>
            </w:r>
            <w:r w:rsidR="0042726D">
              <w:rPr>
                <w:bCs/>
                <w:iCs/>
              </w:rPr>
              <w:t xml:space="preserve"> </w:t>
            </w:r>
            <w:r w:rsidR="00374281">
              <w:rPr>
                <w:bCs/>
                <w:iCs/>
              </w:rPr>
              <w:t>labvēlīgi</w:t>
            </w:r>
            <w:r w:rsidR="0042726D">
              <w:rPr>
                <w:bCs/>
                <w:iCs/>
              </w:rPr>
              <w:t xml:space="preserve"> (slimības uzliesmojumi vairs netiek novēroti, samazinās laboratorisko izmeklējumu apmērs, līdz ar to samazinās arī izmaksas par pakalpojumiem un netiek turpināti līgumi ar veterinārārstiem un tehnisko personālu)</w:t>
            </w:r>
            <w:r w:rsidR="00374281">
              <w:rPr>
                <w:bCs/>
                <w:iCs/>
              </w:rPr>
              <w:t>,</w:t>
            </w:r>
            <w:r w:rsidR="0042726D">
              <w:rPr>
                <w:bCs/>
                <w:iCs/>
              </w:rPr>
              <w:t xml:space="preserve"> tiek plānots, ka netiks izmantoti visi pieprasītie finanšu resursi „Klasiskā cūku mēra uzraudzības un apkarošanas programmas” īstenošanai.  </w:t>
            </w:r>
          </w:p>
        </w:tc>
      </w:tr>
      <w:tr w:rsidR="002D50B7" w:rsidRPr="00906B31" w:rsidTr="00074BF1">
        <w:trPr>
          <w:jc w:val="center"/>
        </w:trPr>
        <w:tc>
          <w:tcPr>
            <w:tcW w:w="5000" w:type="pct"/>
            <w:gridSpan w:val="9"/>
          </w:tcPr>
          <w:p w:rsidR="002D50B7" w:rsidRPr="00787D30" w:rsidRDefault="002D50B7" w:rsidP="00F37F7E">
            <w:pPr>
              <w:pStyle w:val="naisnod"/>
              <w:spacing w:before="0" w:beforeAutospacing="0" w:after="0" w:afterAutospacing="0"/>
              <w:jc w:val="center"/>
            </w:pPr>
            <w:r w:rsidRPr="00906B31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06B3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Tiesību </w:t>
            </w:r>
            <w:r w:rsidRPr="00906B31">
              <w:rPr>
                <w:b/>
                <w:bCs/>
              </w:rPr>
              <w:t>akt</w:t>
            </w:r>
            <w:r>
              <w:rPr>
                <w:b/>
                <w:bCs/>
              </w:rPr>
              <w:t>a projekta ietekme uz sabiedrību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</w:tcPr>
          <w:p w:rsidR="002D50B7" w:rsidRPr="00787D30" w:rsidRDefault="002D50B7" w:rsidP="00F37F7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787D30">
              <w:t xml:space="preserve">1. </w:t>
            </w:r>
          </w:p>
        </w:tc>
        <w:tc>
          <w:tcPr>
            <w:tcW w:w="1410" w:type="pct"/>
            <w:gridSpan w:val="2"/>
          </w:tcPr>
          <w:p w:rsidR="002D50B7" w:rsidRPr="00787D30" w:rsidRDefault="002D50B7" w:rsidP="00F37F7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Sabiedrības </w:t>
            </w:r>
            <w:proofErr w:type="spellStart"/>
            <w:r>
              <w:rPr>
                <w:color w:val="000000"/>
              </w:rPr>
              <w:t>mērķgrupa</w:t>
            </w:r>
            <w:proofErr w:type="spellEnd"/>
          </w:p>
        </w:tc>
        <w:tc>
          <w:tcPr>
            <w:tcW w:w="3370" w:type="pct"/>
            <w:gridSpan w:val="5"/>
          </w:tcPr>
          <w:p w:rsidR="002D50B7" w:rsidRPr="00BC46BE" w:rsidRDefault="00074BF1" w:rsidP="00D112F5">
            <w:pPr>
              <w:jc w:val="both"/>
            </w:pPr>
            <w:r>
              <w:t xml:space="preserve">Projekts šo jomu neskar. 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</w:tcPr>
          <w:p w:rsidR="002D50B7" w:rsidRDefault="002D50B7" w:rsidP="00D112F5">
            <w:pPr>
              <w:jc w:val="both"/>
            </w:pPr>
            <w:r>
              <w:t xml:space="preserve"> 2. </w:t>
            </w:r>
          </w:p>
        </w:tc>
        <w:tc>
          <w:tcPr>
            <w:tcW w:w="1410" w:type="pct"/>
            <w:gridSpan w:val="2"/>
          </w:tcPr>
          <w:p w:rsidR="002D50B7" w:rsidRDefault="002D50B7" w:rsidP="00D112F5">
            <w:pPr>
              <w:jc w:val="both"/>
            </w:pPr>
            <w:r>
              <w:t xml:space="preserve">Citas sabiedrības grupas (bez </w:t>
            </w:r>
            <w:proofErr w:type="spellStart"/>
            <w:r>
              <w:t>mērķgrupas</w:t>
            </w:r>
            <w:proofErr w:type="spellEnd"/>
            <w:r>
              <w:t>), kuras tiesiskais regulējums arī ietekmē vai varētu ietekmēt</w:t>
            </w:r>
          </w:p>
        </w:tc>
        <w:tc>
          <w:tcPr>
            <w:tcW w:w="3370" w:type="pct"/>
            <w:gridSpan w:val="5"/>
            <w:tcBorders>
              <w:bottom w:val="single" w:sz="4" w:space="0" w:color="auto"/>
            </w:tcBorders>
          </w:tcPr>
          <w:p w:rsidR="002D50B7" w:rsidRDefault="00263598" w:rsidP="00D112F5">
            <w:pPr>
              <w:jc w:val="both"/>
            </w:pPr>
            <w:r>
              <w:t>Projekts šo jomu neskar.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</w:tcPr>
          <w:p w:rsidR="002D50B7" w:rsidRDefault="002D50B7" w:rsidP="00D112F5">
            <w:pPr>
              <w:jc w:val="both"/>
            </w:pPr>
            <w:r>
              <w:t xml:space="preserve"> 3. </w:t>
            </w:r>
          </w:p>
        </w:tc>
        <w:tc>
          <w:tcPr>
            <w:tcW w:w="1410" w:type="pct"/>
            <w:gridSpan w:val="2"/>
          </w:tcPr>
          <w:p w:rsidR="002D50B7" w:rsidRDefault="002D50B7" w:rsidP="00D112F5">
            <w:pPr>
              <w:jc w:val="both"/>
            </w:pPr>
            <w:r>
              <w:t>Tiesiskā regulējuma finansiālā ietekme</w:t>
            </w:r>
          </w:p>
        </w:tc>
        <w:tc>
          <w:tcPr>
            <w:tcW w:w="3370" w:type="pct"/>
            <w:gridSpan w:val="5"/>
            <w:tcBorders>
              <w:bottom w:val="single" w:sz="4" w:space="0" w:color="auto"/>
            </w:tcBorders>
          </w:tcPr>
          <w:p w:rsidR="00F32E4B" w:rsidRPr="00F32E4B" w:rsidRDefault="00F32E4B" w:rsidP="00F32E4B">
            <w:pPr>
              <w:jc w:val="both"/>
            </w:pPr>
            <w:r w:rsidRPr="00F32E4B">
              <w:t xml:space="preserve">Saskaņā ar rīkojuma projektu </w:t>
            </w:r>
            <w:r w:rsidRPr="00F32E4B">
              <w:rPr>
                <w:bCs/>
              </w:rPr>
              <w:tab/>
            </w:r>
            <w:r w:rsidRPr="00F32E4B">
              <w:t xml:space="preserve">Finanšu ministrijai </w:t>
            </w:r>
            <w:r w:rsidRPr="00F32E4B">
              <w:rPr>
                <w:bCs/>
              </w:rPr>
              <w:t xml:space="preserve">no valsts budžeta programmas 02.00.00 „Līdzekļi neparedzētiem gadījumiem” piešķirt Zemkopības ministrijai </w:t>
            </w:r>
            <w:r w:rsidR="0042726D" w:rsidRPr="00C70A58">
              <w:rPr>
                <w:bCs/>
                <w:iCs/>
              </w:rPr>
              <w:t>2</w:t>
            </w:r>
            <w:r w:rsidR="009F435E" w:rsidRPr="00C70A58">
              <w:rPr>
                <w:bCs/>
                <w:iCs/>
              </w:rPr>
              <w:t>4</w:t>
            </w:r>
            <w:r w:rsidR="008C0765" w:rsidRPr="00C70A58">
              <w:rPr>
                <w:bCs/>
                <w:iCs/>
              </w:rPr>
              <w:t>5</w:t>
            </w:r>
            <w:r w:rsidR="0042726D" w:rsidRPr="00C70A58">
              <w:rPr>
                <w:bCs/>
                <w:iCs/>
              </w:rPr>
              <w:t> 7</w:t>
            </w:r>
            <w:r w:rsidR="008C0765" w:rsidRPr="00C70A58">
              <w:rPr>
                <w:bCs/>
                <w:iCs/>
              </w:rPr>
              <w:t>74</w:t>
            </w:r>
            <w:r w:rsidR="0042726D" w:rsidRPr="0042726D">
              <w:rPr>
                <w:b/>
                <w:bCs/>
                <w:iCs/>
              </w:rPr>
              <w:t xml:space="preserve"> </w:t>
            </w:r>
            <w:r w:rsidRPr="00F32E4B">
              <w:t>latu</w:t>
            </w:r>
            <w:r w:rsidR="00374281">
              <w:t>s</w:t>
            </w:r>
            <w:r w:rsidRPr="00F32E4B">
              <w:t>, lai nodrošinātu klasiskā cūku mēra uzra</w:t>
            </w:r>
            <w:r w:rsidR="00E62FDF">
              <w:t xml:space="preserve">udzības pasākumus mājas </w:t>
            </w:r>
            <w:r w:rsidRPr="00F32E4B">
              <w:t>mežacūku populācijā, no tiem:</w:t>
            </w:r>
          </w:p>
          <w:p w:rsidR="00F32E4B" w:rsidRPr="00F32E4B" w:rsidRDefault="00374281" w:rsidP="00F32E4B">
            <w:pPr>
              <w:jc w:val="both"/>
            </w:pPr>
            <w:r>
              <w:rPr>
                <w:bCs/>
              </w:rPr>
              <w:t xml:space="preserve">1) </w:t>
            </w:r>
            <w:r w:rsidR="00E62FDF" w:rsidRPr="00C70A58">
              <w:rPr>
                <w:bCs/>
                <w:iCs/>
              </w:rPr>
              <w:t>1</w:t>
            </w:r>
            <w:r w:rsidR="009F435E" w:rsidRPr="00C70A58">
              <w:rPr>
                <w:bCs/>
                <w:iCs/>
              </w:rPr>
              <w:t>40</w:t>
            </w:r>
            <w:r w:rsidR="00E62FDF" w:rsidRPr="00C70A58">
              <w:rPr>
                <w:bCs/>
                <w:iCs/>
              </w:rPr>
              <w:t xml:space="preserve"> 080</w:t>
            </w:r>
            <w:r w:rsidR="00E62FDF" w:rsidRPr="00E62FDF">
              <w:rPr>
                <w:bCs/>
                <w:iCs/>
              </w:rPr>
              <w:t xml:space="preserve"> </w:t>
            </w:r>
            <w:r w:rsidR="00F32E4B" w:rsidRPr="00F32E4B">
              <w:t>latu</w:t>
            </w:r>
            <w:r w:rsidRPr="00F32E4B">
              <w:t xml:space="preserve"> Pārtikas un veterinārajam dienestam </w:t>
            </w:r>
            <w:r>
              <w:t>(turpmāk – PVD)</w:t>
            </w:r>
            <w:r w:rsidR="00F32E4B" w:rsidRPr="00F32E4B">
              <w:t>;</w:t>
            </w:r>
          </w:p>
          <w:p w:rsidR="002D50B7" w:rsidRPr="0069696D" w:rsidRDefault="00374281" w:rsidP="00374281">
            <w:pPr>
              <w:jc w:val="both"/>
              <w:rPr>
                <w:bCs/>
              </w:rPr>
            </w:pPr>
            <w:r>
              <w:rPr>
                <w:bCs/>
              </w:rPr>
              <w:t>2)</w:t>
            </w:r>
            <w:r w:rsidR="00F32E4B" w:rsidRPr="00F32E4B">
              <w:t xml:space="preserve"> </w:t>
            </w:r>
            <w:r w:rsidRPr="00C70A58">
              <w:rPr>
                <w:bCs/>
                <w:iCs/>
              </w:rPr>
              <w:t>105 694</w:t>
            </w:r>
            <w:r w:rsidRPr="0042726D">
              <w:rPr>
                <w:b/>
                <w:bCs/>
                <w:iCs/>
              </w:rPr>
              <w:t xml:space="preserve"> </w:t>
            </w:r>
            <w:r w:rsidRPr="00F32E4B">
              <w:rPr>
                <w:bCs/>
              </w:rPr>
              <w:t>latus</w:t>
            </w:r>
            <w:r w:rsidRPr="00F32E4B">
              <w:t xml:space="preserve"> </w:t>
            </w:r>
            <w:r w:rsidR="00F32E4B" w:rsidRPr="00F32E4B">
              <w:t xml:space="preserve">valsts zinātniskajam institūtam „Pārtikas drošības, dzīvnieku veselības un vides zinātniskais institūts </w:t>
            </w:r>
            <w:r w:rsidR="00F32E4B" w:rsidRPr="00F32E4B">
              <w:rPr>
                <w:bCs/>
              </w:rPr>
              <w:t>„BIOR””.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2D50B7" w:rsidRDefault="002D50B7" w:rsidP="00D112F5">
            <w:pPr>
              <w:jc w:val="both"/>
            </w:pPr>
            <w:r>
              <w:t xml:space="preserve"> 4. </w:t>
            </w:r>
          </w:p>
        </w:tc>
        <w:tc>
          <w:tcPr>
            <w:tcW w:w="1410" w:type="pct"/>
            <w:gridSpan w:val="2"/>
            <w:tcBorders>
              <w:right w:val="single" w:sz="4" w:space="0" w:color="auto"/>
            </w:tcBorders>
          </w:tcPr>
          <w:p w:rsidR="002D50B7" w:rsidRDefault="002D50B7" w:rsidP="00D112F5">
            <w:pPr>
              <w:jc w:val="both"/>
            </w:pPr>
            <w:r>
              <w:t>Tiesiskā regulējuma nefinansiālā ietekme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7" w:rsidRDefault="00074BF1" w:rsidP="00074BF1">
            <w:pPr>
              <w:jc w:val="both"/>
            </w:pPr>
            <w:r>
              <w:t xml:space="preserve">Projekts šo jomu neskar. 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2D50B7" w:rsidRDefault="002D50B7" w:rsidP="00D112F5">
            <w:pPr>
              <w:jc w:val="both"/>
            </w:pPr>
            <w:r>
              <w:t> 5.</w:t>
            </w:r>
          </w:p>
        </w:tc>
        <w:tc>
          <w:tcPr>
            <w:tcW w:w="1410" w:type="pct"/>
            <w:gridSpan w:val="2"/>
            <w:tcBorders>
              <w:right w:val="single" w:sz="4" w:space="0" w:color="auto"/>
            </w:tcBorders>
          </w:tcPr>
          <w:p w:rsidR="002D50B7" w:rsidRDefault="002D50B7" w:rsidP="00D112F5">
            <w:pPr>
              <w:jc w:val="both"/>
            </w:pPr>
            <w:r>
              <w:t>Administratīvās procedūras raksturojums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7" w:rsidRPr="001841F1" w:rsidRDefault="00074BF1" w:rsidP="00D112F5">
            <w:pPr>
              <w:jc w:val="both"/>
            </w:pPr>
            <w:r>
              <w:t>Projekts šo jomu neskar</w:t>
            </w:r>
            <w:r w:rsidR="001841F1" w:rsidRPr="001841F1">
              <w:t>.</w:t>
            </w:r>
          </w:p>
        </w:tc>
      </w:tr>
      <w:tr w:rsidR="00B92329" w:rsidRPr="00906B31" w:rsidTr="00074BF1">
        <w:trPr>
          <w:jc w:val="center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2D50B7" w:rsidRDefault="002D50B7" w:rsidP="00D112F5">
            <w:pPr>
              <w:jc w:val="both"/>
            </w:pPr>
            <w:r>
              <w:t>6.  </w:t>
            </w:r>
          </w:p>
        </w:tc>
        <w:tc>
          <w:tcPr>
            <w:tcW w:w="1410" w:type="pct"/>
            <w:gridSpan w:val="2"/>
            <w:tcBorders>
              <w:right w:val="single" w:sz="4" w:space="0" w:color="auto"/>
            </w:tcBorders>
          </w:tcPr>
          <w:p w:rsidR="002D50B7" w:rsidRDefault="002D50B7" w:rsidP="00D112F5">
            <w:pPr>
              <w:jc w:val="both"/>
            </w:pPr>
            <w:r>
              <w:t>Administratīvo izmaksu monetārs novērtējums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7" w:rsidRDefault="008C1B9E" w:rsidP="00D112F5">
            <w:pPr>
              <w:jc w:val="both"/>
            </w:pPr>
            <w:r>
              <w:t>Projekts šo jomu neskar.</w:t>
            </w:r>
          </w:p>
        </w:tc>
      </w:tr>
      <w:tr w:rsidR="00B92329" w:rsidRPr="00906B31" w:rsidTr="00074BF1">
        <w:trPr>
          <w:trHeight w:val="232"/>
          <w:jc w:val="center"/>
        </w:trPr>
        <w:tc>
          <w:tcPr>
            <w:tcW w:w="220" w:type="pct"/>
            <w:gridSpan w:val="2"/>
          </w:tcPr>
          <w:p w:rsidR="002D50B7" w:rsidRDefault="002D50B7" w:rsidP="00D112F5">
            <w:pPr>
              <w:jc w:val="both"/>
            </w:pPr>
            <w:r>
              <w:t>7.  </w:t>
            </w:r>
          </w:p>
        </w:tc>
        <w:tc>
          <w:tcPr>
            <w:tcW w:w="1410" w:type="pct"/>
            <w:gridSpan w:val="2"/>
          </w:tcPr>
          <w:p w:rsidR="002D50B7" w:rsidRDefault="002D50B7" w:rsidP="00D112F5">
            <w:pPr>
              <w:jc w:val="both"/>
            </w:pPr>
            <w:r>
              <w:t>Cita informācija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</w:tcBorders>
          </w:tcPr>
          <w:p w:rsidR="002D50B7" w:rsidRDefault="002D50B7" w:rsidP="00D112F5">
            <w:pPr>
              <w:jc w:val="both"/>
            </w:pPr>
            <w:r>
              <w:t>Nav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4994" w:type="pct"/>
            <w:gridSpan w:val="8"/>
          </w:tcPr>
          <w:p w:rsidR="00834CCB" w:rsidRDefault="00834CCB" w:rsidP="00186D1F">
            <w:pPr>
              <w:jc w:val="center"/>
            </w:pPr>
            <w:r w:rsidRPr="0080264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34CCB" w:rsidRPr="00802643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  <w:vMerge w:val="restart"/>
          </w:tcPr>
          <w:p w:rsidR="00834CCB" w:rsidRDefault="00834CCB" w:rsidP="00186D1F">
            <w:pPr>
              <w:jc w:val="center"/>
            </w:pPr>
            <w:r w:rsidRPr="00802643">
              <w:rPr>
                <w:b/>
                <w:bCs/>
              </w:rPr>
              <w:t>Rādītāji</w:t>
            </w:r>
          </w:p>
        </w:tc>
        <w:tc>
          <w:tcPr>
            <w:tcW w:w="1290" w:type="pct"/>
            <w:gridSpan w:val="3"/>
            <w:vMerge w:val="restart"/>
          </w:tcPr>
          <w:p w:rsidR="00834CCB" w:rsidRDefault="00834CCB" w:rsidP="00186D1F">
            <w:pPr>
              <w:jc w:val="center"/>
            </w:pPr>
            <w:r>
              <w:rPr>
                <w:b/>
                <w:bCs/>
              </w:rPr>
              <w:t>2013</w:t>
            </w:r>
            <w:r w:rsidRPr="00802643">
              <w:rPr>
                <w:b/>
                <w:bCs/>
              </w:rPr>
              <w:t>.gads</w:t>
            </w:r>
          </w:p>
        </w:tc>
        <w:tc>
          <w:tcPr>
            <w:tcW w:w="2458" w:type="pct"/>
            <w:gridSpan w:val="3"/>
          </w:tcPr>
          <w:p w:rsidR="00834CCB" w:rsidRPr="00802643" w:rsidRDefault="00834CCB" w:rsidP="00186D1F">
            <w:pPr>
              <w:tabs>
                <w:tab w:val="left" w:pos="3480"/>
              </w:tabs>
              <w:jc w:val="center"/>
              <w:rPr>
                <w:b/>
              </w:rPr>
            </w:pPr>
            <w:r w:rsidRPr="00802643">
              <w:rPr>
                <w:b/>
              </w:rPr>
              <w:t>Turpmākie trīs gadi (tūkst. latu)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1290" w:type="pct"/>
            <w:gridSpan w:val="3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 w:rsidRPr="00802643">
              <w:rPr>
                <w:b/>
                <w:bCs/>
              </w:rPr>
              <w:t>n+1</w:t>
            </w:r>
            <w:r>
              <w:rPr>
                <w:b/>
                <w:bCs/>
              </w:rPr>
              <w:t xml:space="preserve"> (2014</w:t>
            </w:r>
            <w:r w:rsidRPr="00802643">
              <w:rPr>
                <w:b/>
                <w:bCs/>
              </w:rPr>
              <w:t>.gads)</w:t>
            </w:r>
          </w:p>
        </w:tc>
        <w:tc>
          <w:tcPr>
            <w:tcW w:w="688" w:type="pct"/>
          </w:tcPr>
          <w:p w:rsidR="00834CCB" w:rsidRPr="00802643" w:rsidRDefault="00834CCB" w:rsidP="00186D1F">
            <w:pPr>
              <w:jc w:val="center"/>
              <w:rPr>
                <w:b/>
                <w:bCs/>
              </w:rPr>
            </w:pPr>
            <w:r w:rsidRPr="00802643">
              <w:rPr>
                <w:b/>
                <w:bCs/>
              </w:rPr>
              <w:t xml:space="preserve">n+2 </w:t>
            </w:r>
          </w:p>
          <w:p w:rsidR="00834CCB" w:rsidRDefault="00834CCB" w:rsidP="00186D1F">
            <w:pPr>
              <w:jc w:val="center"/>
            </w:pPr>
            <w:r>
              <w:rPr>
                <w:b/>
                <w:bCs/>
              </w:rPr>
              <w:t>(2015</w:t>
            </w:r>
            <w:r w:rsidRPr="00802643">
              <w:rPr>
                <w:b/>
                <w:bCs/>
              </w:rPr>
              <w:t>.gads)</w:t>
            </w:r>
          </w:p>
        </w:tc>
        <w:tc>
          <w:tcPr>
            <w:tcW w:w="1082" w:type="pct"/>
          </w:tcPr>
          <w:p w:rsidR="00834CCB" w:rsidRPr="00802643" w:rsidRDefault="00834CCB" w:rsidP="00186D1F">
            <w:pPr>
              <w:ind w:right="4"/>
              <w:jc w:val="center"/>
              <w:rPr>
                <w:b/>
                <w:bCs/>
              </w:rPr>
            </w:pPr>
            <w:r w:rsidRPr="00802643">
              <w:rPr>
                <w:b/>
                <w:bCs/>
              </w:rPr>
              <w:t>n+3</w:t>
            </w:r>
          </w:p>
          <w:p w:rsidR="00834CCB" w:rsidRDefault="00834CCB" w:rsidP="00186D1F">
            <w:pPr>
              <w:ind w:right="4"/>
              <w:jc w:val="center"/>
            </w:pPr>
            <w:r>
              <w:rPr>
                <w:b/>
                <w:bCs/>
              </w:rPr>
              <w:t>(2016</w:t>
            </w:r>
            <w:r w:rsidRPr="00802643">
              <w:rPr>
                <w:b/>
                <w:bCs/>
              </w:rPr>
              <w:t>.gads)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both"/>
            </w:pPr>
            <w:r>
              <w:t> Saskaņā ar valsts budžetu kārtējam gadam</w:t>
            </w:r>
          </w:p>
        </w:tc>
        <w:tc>
          <w:tcPr>
            <w:tcW w:w="688" w:type="pct"/>
          </w:tcPr>
          <w:p w:rsidR="00834CCB" w:rsidRDefault="00834CCB" w:rsidP="00186D1F">
            <w:pPr>
              <w:ind w:left="-61"/>
              <w:jc w:val="both"/>
            </w:pPr>
            <w:r>
              <w:t> I</w:t>
            </w:r>
            <w:smartTag w:uri="urn:schemas-microsoft-com:office:smarttags" w:element="PersonName">
              <w:r>
                <w:t>zm</w:t>
              </w:r>
            </w:smartTag>
            <w:r>
              <w:t>aiņas kārtējā gadā, salīdzinot ar budžetu kārtējam gadam</w:t>
            </w:r>
          </w:p>
        </w:tc>
        <w:tc>
          <w:tcPr>
            <w:tcW w:w="688" w:type="pct"/>
          </w:tcPr>
          <w:p w:rsidR="00834CCB" w:rsidRDefault="00834CCB" w:rsidP="00186D1F">
            <w:pPr>
              <w:ind w:left="-108"/>
              <w:jc w:val="both"/>
            </w:pPr>
            <w:r>
              <w:t>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2012.gadu</w:t>
            </w:r>
          </w:p>
        </w:tc>
        <w:tc>
          <w:tcPr>
            <w:tcW w:w="688" w:type="pct"/>
          </w:tcPr>
          <w:p w:rsidR="00834CCB" w:rsidRDefault="00834CCB" w:rsidP="00186D1F">
            <w:pPr>
              <w:tabs>
                <w:tab w:val="left" w:pos="0"/>
              </w:tabs>
              <w:ind w:right="-108"/>
              <w:jc w:val="both"/>
            </w:pPr>
            <w:r>
              <w:t>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2012. gadu</w:t>
            </w:r>
          </w:p>
        </w:tc>
        <w:tc>
          <w:tcPr>
            <w:tcW w:w="1082" w:type="pct"/>
          </w:tcPr>
          <w:p w:rsidR="00834CCB" w:rsidRDefault="00834CCB" w:rsidP="00186D1F">
            <w:pPr>
              <w:jc w:val="both"/>
            </w:pPr>
            <w:r>
              <w:t> 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2012. gadu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center"/>
            </w:pPr>
            <w:r>
              <w:t>1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  <w:r>
              <w:t>2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5</w:t>
            </w: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  <w:r>
              <w:t>6</w:t>
            </w:r>
          </w:p>
        </w:tc>
      </w:tr>
      <w:tr w:rsidR="00834CCB" w:rsidRPr="004C0C3E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4994" w:type="pct"/>
            <w:gridSpan w:val="8"/>
          </w:tcPr>
          <w:p w:rsidR="00834CCB" w:rsidRPr="004C0C3E" w:rsidRDefault="00834CCB" w:rsidP="00186D1F">
            <w:pPr>
              <w:jc w:val="both"/>
              <w:rPr>
                <w:i/>
              </w:rPr>
            </w:pPr>
            <w:r w:rsidRPr="004C0C3E">
              <w:rPr>
                <w:i/>
              </w:rPr>
              <w:t>Finanšu līdzekļu aprēķins norādīts anotācijas pielikumā</w:t>
            </w:r>
          </w:p>
        </w:tc>
      </w:tr>
      <w:tr w:rsidR="00834CCB" w:rsidRPr="00212257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1. Budžeta ieņēmumi:</w:t>
            </w:r>
          </w:p>
        </w:tc>
        <w:tc>
          <w:tcPr>
            <w:tcW w:w="602" w:type="pct"/>
            <w:gridSpan w:val="2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1082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1.1. valsts pamatbudžets, tai skaitā ieņēmumi no maksas pakalpojumiem un citi pašu ieņēmumi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1.2. valsts speciālais budžets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1.3. pašvaldību budžets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RPr="00212257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2. Budžeta izdevumi:</w:t>
            </w:r>
          </w:p>
        </w:tc>
        <w:tc>
          <w:tcPr>
            <w:tcW w:w="602" w:type="pct"/>
            <w:gridSpan w:val="2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>
              <w:rPr>
                <w:b/>
              </w:rPr>
              <w:t>245,8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1082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2.1. valsts pamatbudžets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245,8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  <w:r>
              <w:t>0,0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2.2. valsts speciālais budžets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2.3. pašvaldību budžets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RPr="00212257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3. Finansiālā ietekme:</w:t>
            </w:r>
          </w:p>
        </w:tc>
        <w:tc>
          <w:tcPr>
            <w:tcW w:w="602" w:type="pct"/>
            <w:gridSpan w:val="2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>
              <w:rPr>
                <w:b/>
              </w:rPr>
              <w:t>–245,8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1082" w:type="pct"/>
          </w:tcPr>
          <w:p w:rsidR="00834CCB" w:rsidRPr="00212257" w:rsidRDefault="00834CCB" w:rsidP="00186D1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</w:tr>
      <w:tr w:rsidR="00834CCB" w:rsidRPr="00212257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3.1. valsts pamatbudžets</w:t>
            </w:r>
          </w:p>
        </w:tc>
        <w:tc>
          <w:tcPr>
            <w:tcW w:w="602" w:type="pct"/>
            <w:gridSpan w:val="2"/>
          </w:tcPr>
          <w:p w:rsidR="00834CCB" w:rsidRPr="00212257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>
              <w:t>–245,8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  <w:tc>
          <w:tcPr>
            <w:tcW w:w="1082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3.2. speciālais budžets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3.3. pašvaldību budžets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RPr="00212257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  <w:vMerge w:val="restart"/>
          </w:tcPr>
          <w:p w:rsidR="00834CCB" w:rsidRDefault="00834CCB" w:rsidP="00186D1F">
            <w:pPr>
              <w:jc w:val="both"/>
            </w:pPr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602" w:type="pct"/>
            <w:gridSpan w:val="2"/>
            <w:vMerge w:val="restar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  <w:tc>
          <w:tcPr>
            <w:tcW w:w="1082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02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02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RPr="00212257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5. Precizēta finansiālā ietekme:</w:t>
            </w:r>
          </w:p>
        </w:tc>
        <w:tc>
          <w:tcPr>
            <w:tcW w:w="602" w:type="pct"/>
            <w:gridSpan w:val="2"/>
            <w:vMerge w:val="restar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>
              <w:t>–245,8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  <w:tc>
          <w:tcPr>
            <w:tcW w:w="688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  <w:tc>
          <w:tcPr>
            <w:tcW w:w="1082" w:type="pct"/>
          </w:tcPr>
          <w:p w:rsidR="00834CCB" w:rsidRPr="00212257" w:rsidRDefault="00834CCB" w:rsidP="00186D1F">
            <w:pPr>
              <w:jc w:val="center"/>
            </w:pPr>
            <w:r w:rsidRPr="00212257">
              <w:t>0,0</w:t>
            </w: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5.1. valsts pamatbudžets</w:t>
            </w:r>
          </w:p>
        </w:tc>
        <w:tc>
          <w:tcPr>
            <w:tcW w:w="602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tabs>
                <w:tab w:val="left" w:pos="660"/>
                <w:tab w:val="center" w:pos="731"/>
              </w:tabs>
              <w:jc w:val="center"/>
            </w:pP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5.2. speciālais budžets</w:t>
            </w:r>
          </w:p>
        </w:tc>
        <w:tc>
          <w:tcPr>
            <w:tcW w:w="602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 5.3. pašvaldību budžets</w:t>
            </w:r>
          </w:p>
        </w:tc>
        <w:tc>
          <w:tcPr>
            <w:tcW w:w="602" w:type="pct"/>
            <w:gridSpan w:val="2"/>
            <w:vMerge/>
          </w:tcPr>
          <w:p w:rsidR="00834CCB" w:rsidRDefault="00834CCB" w:rsidP="00186D1F">
            <w:pPr>
              <w:jc w:val="both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688" w:type="pct"/>
          </w:tcPr>
          <w:p w:rsidR="00834CCB" w:rsidRDefault="00834CCB" w:rsidP="00186D1F">
            <w:pPr>
              <w:jc w:val="center"/>
            </w:pPr>
          </w:p>
        </w:tc>
        <w:tc>
          <w:tcPr>
            <w:tcW w:w="1082" w:type="pct"/>
          </w:tcPr>
          <w:p w:rsidR="00834CCB" w:rsidRDefault="00834CCB" w:rsidP="00186D1F">
            <w:pPr>
              <w:jc w:val="center"/>
            </w:pP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6. 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pStyle w:val="naisf"/>
              <w:spacing w:before="0" w:after="0"/>
            </w:pPr>
          </w:p>
        </w:tc>
        <w:tc>
          <w:tcPr>
            <w:tcW w:w="688" w:type="pct"/>
          </w:tcPr>
          <w:p w:rsidR="00834CCB" w:rsidRDefault="00834CCB" w:rsidP="00186D1F">
            <w:pPr>
              <w:pStyle w:val="naisf"/>
              <w:spacing w:before="0" w:after="0"/>
            </w:pPr>
          </w:p>
        </w:tc>
        <w:tc>
          <w:tcPr>
            <w:tcW w:w="688" w:type="pct"/>
          </w:tcPr>
          <w:p w:rsidR="00834CCB" w:rsidRDefault="00834CCB" w:rsidP="00186D1F">
            <w:pPr>
              <w:pStyle w:val="naisf"/>
              <w:spacing w:before="0" w:after="0"/>
            </w:pPr>
          </w:p>
        </w:tc>
        <w:tc>
          <w:tcPr>
            <w:tcW w:w="688" w:type="pct"/>
          </w:tcPr>
          <w:p w:rsidR="00834CCB" w:rsidRDefault="00834CCB" w:rsidP="00186D1F">
            <w:pPr>
              <w:pStyle w:val="naisf"/>
              <w:spacing w:before="0" w:after="0"/>
            </w:pPr>
          </w:p>
        </w:tc>
        <w:tc>
          <w:tcPr>
            <w:tcW w:w="1082" w:type="pct"/>
          </w:tcPr>
          <w:p w:rsidR="00834CCB" w:rsidRDefault="00834CCB" w:rsidP="00186D1F">
            <w:pPr>
              <w:pStyle w:val="naisf"/>
              <w:spacing w:before="0" w:after="0"/>
            </w:pPr>
          </w:p>
        </w:tc>
      </w:tr>
      <w:tr w:rsidR="00834CCB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t>6.1. Detalizēts ieņēmumu aprēķins</w:t>
            </w:r>
          </w:p>
        </w:tc>
        <w:tc>
          <w:tcPr>
            <w:tcW w:w="602" w:type="pct"/>
            <w:gridSpan w:val="2"/>
          </w:tcPr>
          <w:p w:rsidR="00834CCB" w:rsidRDefault="00834CCB" w:rsidP="00186D1F">
            <w:pPr>
              <w:pStyle w:val="naisf"/>
              <w:spacing w:before="0" w:after="0"/>
            </w:pPr>
          </w:p>
        </w:tc>
        <w:tc>
          <w:tcPr>
            <w:tcW w:w="688" w:type="pct"/>
          </w:tcPr>
          <w:p w:rsidR="00834CCB" w:rsidRDefault="00834CCB" w:rsidP="00186D1F">
            <w:pPr>
              <w:pStyle w:val="naisf"/>
              <w:spacing w:before="0" w:after="0"/>
            </w:pPr>
          </w:p>
        </w:tc>
        <w:tc>
          <w:tcPr>
            <w:tcW w:w="688" w:type="pct"/>
          </w:tcPr>
          <w:p w:rsidR="00834CCB" w:rsidRDefault="00834CCB" w:rsidP="00186D1F">
            <w:pPr>
              <w:pStyle w:val="naisf"/>
              <w:spacing w:before="0" w:after="0"/>
            </w:pPr>
          </w:p>
        </w:tc>
        <w:tc>
          <w:tcPr>
            <w:tcW w:w="688" w:type="pct"/>
          </w:tcPr>
          <w:p w:rsidR="00834CCB" w:rsidRDefault="00834CCB" w:rsidP="00186D1F">
            <w:pPr>
              <w:pStyle w:val="naisf"/>
              <w:spacing w:before="0" w:after="0"/>
            </w:pPr>
          </w:p>
        </w:tc>
        <w:tc>
          <w:tcPr>
            <w:tcW w:w="1082" w:type="pct"/>
          </w:tcPr>
          <w:p w:rsidR="00834CCB" w:rsidRDefault="00834CCB" w:rsidP="00186D1F">
            <w:pPr>
              <w:pStyle w:val="naisf"/>
              <w:spacing w:before="0" w:after="0"/>
            </w:pPr>
          </w:p>
        </w:tc>
      </w:tr>
      <w:tr w:rsidR="00834CCB" w:rsidRPr="00C92242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Pr="00C92242" w:rsidRDefault="00834CCB" w:rsidP="00186D1F">
            <w:pPr>
              <w:jc w:val="both"/>
            </w:pPr>
            <w:r>
              <w:t>6.2. D</w:t>
            </w:r>
            <w:r w:rsidRPr="00614A47">
              <w:t>etalizēts izdevumu aprēķins</w:t>
            </w:r>
            <w:r>
              <w:t xml:space="preserve">. </w:t>
            </w:r>
            <w:r w:rsidRPr="00C92242">
              <w:t xml:space="preserve">Saskaņā ar Ministru kabineta </w:t>
            </w:r>
            <w:r w:rsidRPr="00C92242">
              <w:lastRenderedPageBreak/>
              <w:t xml:space="preserve">rīkojuma projektu nepieciešamais finansējums no budžeta programmas 02.00.00 „Līdzekļi neparedzētajiem gadījumiem” </w:t>
            </w:r>
            <w:r w:rsidRPr="00C92242">
              <w:rPr>
                <w:bCs/>
                <w:iCs/>
              </w:rPr>
              <w:t xml:space="preserve">klasiskā cūku mēra uzraudzības pasākumu </w:t>
            </w:r>
            <w:r w:rsidRPr="00C92242">
              <w:rPr>
                <w:iCs/>
              </w:rPr>
              <w:t>nodrošināšanai</w:t>
            </w:r>
            <w:r w:rsidRPr="00C92242">
              <w:t xml:space="preserve"> mājas cūku un mežacūku populācijā </w:t>
            </w:r>
            <w:r>
              <w:t>veido</w:t>
            </w:r>
            <w:r w:rsidRPr="00C92242">
              <w:t>:</w:t>
            </w:r>
          </w:p>
          <w:p w:rsidR="00834CCB" w:rsidRPr="00C92242" w:rsidRDefault="00834CCB" w:rsidP="00186D1F">
            <w:pPr>
              <w:jc w:val="both"/>
              <w:rPr>
                <w:b/>
              </w:rPr>
            </w:pPr>
            <w:r w:rsidRPr="00C92242">
              <w:rPr>
                <w:b/>
              </w:rPr>
              <w:t>6.2.1. finansējums PVD</w:t>
            </w:r>
            <w:r>
              <w:rPr>
                <w:b/>
              </w:rPr>
              <w:t xml:space="preserve"> </w:t>
            </w:r>
            <w:r w:rsidRPr="00C92242">
              <w:rPr>
                <w:b/>
              </w:rPr>
              <w:t>– Ls 115</w:t>
            </w:r>
            <w:r>
              <w:rPr>
                <w:b/>
              </w:rPr>
              <w:t> </w:t>
            </w:r>
            <w:r w:rsidRPr="00C92242">
              <w:rPr>
                <w:b/>
              </w:rPr>
              <w:t>080</w:t>
            </w:r>
            <w:r>
              <w:rPr>
                <w:b/>
              </w:rPr>
              <w:t>:</w:t>
            </w:r>
          </w:p>
          <w:p w:rsidR="00834CCB" w:rsidRPr="00C70A58" w:rsidRDefault="00834CCB" w:rsidP="00186D1F">
            <w:pPr>
              <w:jc w:val="both"/>
            </w:pPr>
            <w:r w:rsidRPr="00C70A58">
              <w:t>6.2.1.1. mežacūku nomedīšana:</w:t>
            </w:r>
          </w:p>
          <w:p w:rsidR="00834CCB" w:rsidRPr="00C70A58" w:rsidRDefault="00834CCB" w:rsidP="00186D1F">
            <w:pPr>
              <w:jc w:val="both"/>
            </w:pPr>
            <w:r w:rsidRPr="00C70A58">
              <w:t>6.2.1.1.1. samaksa veterinārārstiem;</w:t>
            </w:r>
          </w:p>
          <w:p w:rsidR="00834CCB" w:rsidRPr="00C92242" w:rsidRDefault="00834CCB" w:rsidP="00186D1F">
            <w:pPr>
              <w:jc w:val="both"/>
            </w:pPr>
            <w:r w:rsidRPr="00C70A58">
              <w:t xml:space="preserve">6.2.1.1.2. mežacūku </w:t>
            </w:r>
            <w:proofErr w:type="spellStart"/>
            <w:r w:rsidRPr="00C70A58">
              <w:t>depopulācija</w:t>
            </w:r>
            <w:proofErr w:type="spellEnd"/>
            <w:r w:rsidRPr="00C70A58">
              <w:t xml:space="preserve"> inficētajā teritorijā;</w:t>
            </w:r>
          </w:p>
          <w:p w:rsidR="00834CCB" w:rsidRPr="00C92242" w:rsidRDefault="00834CCB" w:rsidP="00186D1F">
            <w:pPr>
              <w:jc w:val="both"/>
            </w:pPr>
            <w:r w:rsidRPr="00C92242">
              <w:t>6.2.2.2.</w:t>
            </w:r>
            <w:r>
              <w:t xml:space="preserve"> v</w:t>
            </w:r>
            <w:r w:rsidRPr="00C92242">
              <w:t>eterinārārsta pārbaudes dažāda tipa cūku novietnēs (PVD noteiktajā biežumā) inficētajā teritorijā (t.sk. aizdomu gadījumos)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t xml:space="preserve">6.2.2.3. </w:t>
            </w:r>
            <w:r>
              <w:t>a</w:t>
            </w:r>
            <w:r w:rsidRPr="00C92242">
              <w:t>sins paraugu noņemšana mājas cūkām (t.sk. aizdomu gadījumos)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t>6.2.2.4</w:t>
            </w:r>
            <w:r w:rsidRPr="00B17F69">
              <w:t>.</w:t>
            </w:r>
            <w:r>
              <w:t xml:space="preserve"> a</w:t>
            </w:r>
            <w:r w:rsidRPr="00B17F69">
              <w:t xml:space="preserve">prīkojums klasiskā cūku mēra apkarošanai, paraugu noņemšanai un personīgās </w:t>
            </w:r>
            <w:proofErr w:type="spellStart"/>
            <w:r w:rsidRPr="00B17F69">
              <w:t>biodrošības</w:t>
            </w:r>
            <w:proofErr w:type="spellEnd"/>
            <w:r w:rsidRPr="00B17F69">
              <w:t xml:space="preserve"> nodrošināšana</w:t>
            </w:r>
            <w:r>
              <w:t>i;</w:t>
            </w:r>
          </w:p>
          <w:p w:rsidR="00834CCB" w:rsidRPr="00C92242" w:rsidRDefault="00834CCB" w:rsidP="00186D1F">
            <w:pPr>
              <w:jc w:val="both"/>
            </w:pPr>
            <w:r w:rsidRPr="00C92242">
              <w:t>6.2.2.5</w:t>
            </w:r>
            <w:r w:rsidRPr="00B17F69">
              <w:t>.</w:t>
            </w:r>
            <w:r>
              <w:t xml:space="preserve"> b</w:t>
            </w:r>
            <w:r w:rsidRPr="00B17F69">
              <w:t>rīdinājuma zīmes karantīnas zonas norobežošanai</w:t>
            </w:r>
            <w:r>
              <w:t>;</w:t>
            </w:r>
          </w:p>
          <w:p w:rsidR="00834CCB" w:rsidRDefault="00834CCB" w:rsidP="00186D1F">
            <w:pPr>
              <w:jc w:val="both"/>
            </w:pPr>
            <w:r w:rsidRPr="00C92242">
              <w:t>6.2.2.6.</w:t>
            </w:r>
            <w:r>
              <w:t xml:space="preserve"> </w:t>
            </w:r>
            <w:proofErr w:type="spellStart"/>
            <w:r>
              <w:t>v</w:t>
            </w:r>
            <w:r w:rsidRPr="00B17F69">
              <w:t>akutaineri</w:t>
            </w:r>
            <w:proofErr w:type="spellEnd"/>
            <w:r w:rsidRPr="00B17F69">
              <w:t xml:space="preserve"> asins paraugiem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t>6.2</w:t>
            </w:r>
            <w:r w:rsidRPr="00B17F69">
              <w:t>.2.7.</w:t>
            </w:r>
            <w:r>
              <w:t xml:space="preserve"> m</w:t>
            </w:r>
            <w:r w:rsidRPr="00B17F69">
              <w:t>etāla troses cūku fiksēšanai</w:t>
            </w:r>
            <w:r>
              <w:t>;</w:t>
            </w:r>
          </w:p>
          <w:p w:rsidR="00834CCB" w:rsidRDefault="00834CCB" w:rsidP="00186D1F">
            <w:pPr>
              <w:jc w:val="both"/>
            </w:pPr>
            <w:r w:rsidRPr="00C92242">
              <w:t>6.2.2.8.</w:t>
            </w:r>
            <w:r>
              <w:t xml:space="preserve"> v</w:t>
            </w:r>
            <w:r w:rsidRPr="00B17F69">
              <w:t xml:space="preserve">irsstundu darba </w:t>
            </w:r>
            <w:r>
              <w:t>sa</w:t>
            </w:r>
            <w:r w:rsidRPr="00B17F69">
              <w:t>maksa iesaistītajam PVD personālam</w:t>
            </w:r>
            <w:r>
              <w:t>;</w:t>
            </w:r>
          </w:p>
          <w:p w:rsidR="00834CCB" w:rsidRDefault="00834CCB" w:rsidP="00186D1F">
            <w:pPr>
              <w:jc w:val="both"/>
            </w:pPr>
            <w:r>
              <w:t>6.2.2.9. u</w:t>
            </w:r>
            <w:r w:rsidRPr="00B17F69">
              <w:t xml:space="preserve">zņēmuma līgumi veterinārārstiem par darbu veikšanu </w:t>
            </w:r>
            <w:r w:rsidRPr="00B17F69">
              <w:lastRenderedPageBreak/>
              <w:t>karantīnas zonā (10 veterinārārsti 30 dienas strādā par 30 Ls/dienā)</w:t>
            </w:r>
            <w:r>
              <w:t>;</w:t>
            </w:r>
          </w:p>
          <w:p w:rsidR="00834CCB" w:rsidRDefault="00834CCB" w:rsidP="00186D1F">
            <w:pPr>
              <w:jc w:val="both"/>
            </w:pPr>
            <w:r>
              <w:t>6.2.2.10. u</w:t>
            </w:r>
            <w:r w:rsidRPr="00B17F69">
              <w:t>zņēmuma līgumi tehniskajam personālam par darbu veikšanu karantīnas zonā (10 darbinieki strādā 30 dienas par 20 Ls/dienā)</w:t>
            </w:r>
            <w:r>
              <w:t>;</w:t>
            </w:r>
          </w:p>
          <w:p w:rsidR="00834CCB" w:rsidRDefault="00834CCB" w:rsidP="00186D1F">
            <w:pPr>
              <w:jc w:val="both"/>
            </w:pPr>
            <w:r>
              <w:t>6.2.2.11. k</w:t>
            </w:r>
            <w:r w:rsidRPr="00B17F69">
              <w:t>omandējuma izmaksas (dienas nauda un naktsmītne) (28 dienas</w:t>
            </w:r>
            <w:r>
              <w:t xml:space="preserve"> </w:t>
            </w:r>
            <w:r w:rsidRPr="00B17F69">
              <w:t>x</w:t>
            </w:r>
            <w:r>
              <w:t xml:space="preserve"> </w:t>
            </w:r>
            <w:r w:rsidRPr="00B17F69">
              <w:t>Ls 24 ( Ls 4 dienas nauda, Ls 20 viesnīca 1 cilvēkam)</w:t>
            </w:r>
            <w:r>
              <w:t>;</w:t>
            </w:r>
          </w:p>
          <w:p w:rsidR="00834CCB" w:rsidRDefault="00834CCB" w:rsidP="00186D1F">
            <w:pPr>
              <w:jc w:val="both"/>
            </w:pPr>
            <w:r>
              <w:t>6.2.2.12. d</w:t>
            </w:r>
            <w:r w:rsidRPr="00B17F69">
              <w:t>egviela (1000 km mēnesī uz vienu a/m (8 litri uz 100 km))</w:t>
            </w:r>
            <w:r>
              <w:t>;</w:t>
            </w:r>
          </w:p>
          <w:p w:rsidR="00834CCB" w:rsidRPr="00B17F69" w:rsidRDefault="00834CCB" w:rsidP="00186D1F">
            <w:pPr>
              <w:jc w:val="both"/>
            </w:pPr>
            <w:r>
              <w:t>6.2.2.13</w:t>
            </w:r>
            <w:r w:rsidRPr="00B17F69">
              <w:t>.</w:t>
            </w:r>
            <w:r>
              <w:t xml:space="preserve"> p</w:t>
            </w:r>
            <w:r w:rsidRPr="00B17F69">
              <w:t>ortatīvās iekārtas (pulverizatori) dezinfekcijas veikšanai</w:t>
            </w:r>
            <w:r>
              <w:t>;</w:t>
            </w:r>
          </w:p>
          <w:p w:rsidR="00834CCB" w:rsidRPr="00B17F69" w:rsidRDefault="00834CCB" w:rsidP="00186D1F">
            <w:pPr>
              <w:jc w:val="both"/>
            </w:pPr>
            <w:r w:rsidRPr="00B17F69">
              <w:t>6.2.2.14.</w:t>
            </w:r>
            <w:r>
              <w:t xml:space="preserve"> d</w:t>
            </w:r>
            <w:r w:rsidRPr="00B17F69">
              <w:t>ezinfekcijas līdzekļi</w:t>
            </w:r>
            <w:r>
              <w:t>;</w:t>
            </w:r>
          </w:p>
          <w:p w:rsidR="00834CCB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  <w:rPr>
                <w:b/>
              </w:rPr>
            </w:pPr>
            <w:r w:rsidRPr="00C92242">
              <w:rPr>
                <w:b/>
              </w:rPr>
              <w:t>6.2.2.</w:t>
            </w:r>
            <w:r>
              <w:rPr>
                <w:b/>
              </w:rPr>
              <w:t xml:space="preserve"> </w:t>
            </w:r>
            <w:r w:rsidRPr="00C92242">
              <w:rPr>
                <w:b/>
              </w:rPr>
              <w:t>finansējums</w:t>
            </w:r>
            <w:r>
              <w:rPr>
                <w:b/>
                <w:iCs/>
              </w:rPr>
              <w:t xml:space="preserve"> v</w:t>
            </w:r>
            <w:r w:rsidRPr="00C92242">
              <w:rPr>
                <w:b/>
                <w:iCs/>
              </w:rPr>
              <w:t xml:space="preserve">alsts zinātniskajam institūtam „Pārtikas drošības, dzīvnieku veselības un vides zinātniskais institūts </w:t>
            </w:r>
            <w:r w:rsidRPr="00C92242">
              <w:rPr>
                <w:b/>
              </w:rPr>
              <w:t>BIOR – Ls 101</w:t>
            </w:r>
            <w:r>
              <w:rPr>
                <w:b/>
              </w:rPr>
              <w:t> </w:t>
            </w:r>
            <w:r w:rsidRPr="00C92242">
              <w:rPr>
                <w:b/>
              </w:rPr>
              <w:t>659</w:t>
            </w:r>
            <w:r>
              <w:rPr>
                <w:b/>
              </w:rPr>
              <w:t>:</w:t>
            </w:r>
            <w:r w:rsidRPr="00C92242">
              <w:rPr>
                <w:b/>
              </w:rPr>
              <w:t xml:space="preserve"> </w:t>
            </w:r>
          </w:p>
          <w:p w:rsidR="00834CCB" w:rsidRDefault="00834CCB" w:rsidP="00186D1F">
            <w:pPr>
              <w:jc w:val="both"/>
            </w:pPr>
            <w:r w:rsidRPr="00C92242">
              <w:t>6.2.2.1.</w:t>
            </w:r>
            <w:r>
              <w:t xml:space="preserve"> l</w:t>
            </w:r>
            <w:r w:rsidRPr="00C92242">
              <w:t>aboratoriskie izmeklējumi</w:t>
            </w:r>
            <w:r>
              <w:t>:</w:t>
            </w:r>
          </w:p>
          <w:p w:rsidR="00834CCB" w:rsidRDefault="00834CCB" w:rsidP="00186D1F">
            <w:pPr>
              <w:jc w:val="both"/>
            </w:pPr>
            <w:r>
              <w:t>6.2.2.1.1.</w:t>
            </w:r>
            <w:r w:rsidRPr="00C92242">
              <w:t xml:space="preserve"> (antivielas) ELISA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>
              <w:t xml:space="preserve">6.2.2.1.2. (ierosinātājs) </w:t>
            </w:r>
            <w:proofErr w:type="spellStart"/>
            <w:r>
              <w:t>parazitoloģiski</w:t>
            </w:r>
            <w:proofErr w:type="spellEnd"/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t>6.2.2.2.</w:t>
            </w:r>
            <w:r>
              <w:t xml:space="preserve"> l</w:t>
            </w:r>
            <w:r w:rsidRPr="00C92242">
              <w:t xml:space="preserve">aboratoriskie izmeklējumi </w:t>
            </w:r>
            <w:r>
              <w:t>–</w:t>
            </w:r>
            <w:r w:rsidRPr="00C92242">
              <w:t xml:space="preserve"> </w:t>
            </w:r>
            <w:r>
              <w:t>n</w:t>
            </w:r>
            <w:r w:rsidRPr="00C92242">
              <w:t xml:space="preserve">eitralizējošais ar </w:t>
            </w:r>
            <w:proofErr w:type="spellStart"/>
            <w:r w:rsidRPr="00C92242">
              <w:t>peroksidāzi</w:t>
            </w:r>
            <w:proofErr w:type="spellEnd"/>
            <w:r w:rsidRPr="00C92242">
              <w:t xml:space="preserve"> saistīto antivielu tests (NPLA)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t>6.2.2.3.</w:t>
            </w:r>
            <w:r>
              <w:t xml:space="preserve"> l</w:t>
            </w:r>
            <w:r w:rsidRPr="00C92242">
              <w:t xml:space="preserve">aboratoriskie izmeklējumi </w:t>
            </w:r>
            <w:r>
              <w:t>–</w:t>
            </w:r>
            <w:r w:rsidRPr="00C92242">
              <w:t xml:space="preserve"> antigēna noteikšana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t>6.2.2.4.</w:t>
            </w:r>
            <w:r>
              <w:t xml:space="preserve"> v</w:t>
            </w:r>
            <w:r w:rsidRPr="00C92242">
              <w:t>īrusa ģenētiskā materiāla noteikšana PCR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lastRenderedPageBreak/>
              <w:t xml:space="preserve">6.2.2.5. </w:t>
            </w:r>
            <w:r>
              <w:t>v</w:t>
            </w:r>
            <w:r w:rsidRPr="00C92242">
              <w:t>īrusu specifiskā ģenētiskā materiāla genoma sekvences noteikšana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t xml:space="preserve">6.2.2.6. </w:t>
            </w:r>
            <w:r>
              <w:t>k</w:t>
            </w:r>
            <w:r w:rsidRPr="00C92242">
              <w:t>lasiskā cūku mēra vīrusa izolācija šūnu kultūrās</w:t>
            </w:r>
            <w:r>
              <w:t>;</w:t>
            </w:r>
          </w:p>
          <w:p w:rsidR="00834CCB" w:rsidRPr="00C92242" w:rsidRDefault="00834CCB" w:rsidP="00186D1F">
            <w:pPr>
              <w:jc w:val="both"/>
            </w:pPr>
            <w:r w:rsidRPr="00C92242">
              <w:t>6.2.2.7.</w:t>
            </w:r>
            <w:r>
              <w:t xml:space="preserve"> s</w:t>
            </w:r>
            <w:r w:rsidRPr="00B17F69">
              <w:t>amaksa par virsstundu darbu iesaistītajam ZI BIOR personālam (alga un piemaksa)</w:t>
            </w:r>
            <w:r>
              <w:t>.</w:t>
            </w:r>
          </w:p>
          <w:p w:rsidR="00834CCB" w:rsidRPr="00C92242" w:rsidRDefault="00834CCB" w:rsidP="00186D1F">
            <w:pPr>
              <w:jc w:val="both"/>
            </w:pPr>
          </w:p>
        </w:tc>
        <w:tc>
          <w:tcPr>
            <w:tcW w:w="602" w:type="pct"/>
            <w:gridSpan w:val="2"/>
          </w:tcPr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4905C8" w:rsidRDefault="00834CCB" w:rsidP="00186D1F">
            <w:pPr>
              <w:jc w:val="center"/>
              <w:rPr>
                <w:b/>
              </w:rPr>
            </w:pPr>
            <w:r w:rsidRPr="004905C8">
              <w:rPr>
                <w:b/>
              </w:rPr>
              <w:t>0,0</w:t>
            </w: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Default="00834CCB" w:rsidP="00186D1F">
            <w:pPr>
              <w:jc w:val="both"/>
            </w:pPr>
          </w:p>
          <w:p w:rsidR="00834CCB" w:rsidRPr="004905C8" w:rsidRDefault="00834CCB" w:rsidP="00186D1F">
            <w:pPr>
              <w:jc w:val="center"/>
              <w:rPr>
                <w:b/>
              </w:rPr>
            </w:pPr>
          </w:p>
          <w:p w:rsidR="00834CCB" w:rsidRPr="004905C8" w:rsidRDefault="00834CCB" w:rsidP="00186D1F">
            <w:pPr>
              <w:jc w:val="center"/>
              <w:rPr>
                <w:b/>
              </w:rPr>
            </w:pPr>
            <w:r w:rsidRPr="004905C8">
              <w:rPr>
                <w:b/>
              </w:rPr>
              <w:t>0,0</w:t>
            </w: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  <w:p w:rsidR="00834CCB" w:rsidRPr="00C92242" w:rsidRDefault="00834CCB" w:rsidP="00186D1F">
            <w:pPr>
              <w:jc w:val="both"/>
            </w:pPr>
          </w:p>
        </w:tc>
        <w:tc>
          <w:tcPr>
            <w:tcW w:w="688" w:type="pct"/>
            <w:vAlign w:val="center"/>
          </w:tcPr>
          <w:p w:rsidR="00834CCB" w:rsidRPr="009A3369" w:rsidRDefault="00834CCB" w:rsidP="00186D1F">
            <w:pPr>
              <w:jc w:val="center"/>
              <w:rPr>
                <w:b/>
              </w:rPr>
            </w:pPr>
            <w:r w:rsidRPr="009A3369">
              <w:rPr>
                <w:b/>
              </w:rPr>
              <w:lastRenderedPageBreak/>
              <w:t>2</w:t>
            </w:r>
            <w:r>
              <w:rPr>
                <w:b/>
              </w:rPr>
              <w:t>45</w:t>
            </w:r>
            <w:r w:rsidRPr="009A3369">
              <w:rPr>
                <w:b/>
              </w:rPr>
              <w:t>,</w:t>
            </w:r>
            <w:r>
              <w:rPr>
                <w:b/>
              </w:rPr>
              <w:t>8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B17F69" w:rsidRDefault="00834CCB" w:rsidP="00186D1F">
            <w:pPr>
              <w:jc w:val="center"/>
              <w:rPr>
                <w:b/>
              </w:rPr>
            </w:pPr>
            <w:r w:rsidRPr="00B17F69">
              <w:rPr>
                <w:b/>
              </w:rPr>
              <w:t>1</w:t>
            </w:r>
            <w:r>
              <w:rPr>
                <w:b/>
              </w:rPr>
              <w:t>40</w:t>
            </w:r>
            <w:r w:rsidRPr="00B17F69">
              <w:rPr>
                <w:b/>
              </w:rPr>
              <w:t>,1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 w:rsidRPr="00C92242">
              <w:t>15,0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25,0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2,0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0,3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15,0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1,0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2,9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1,3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32,9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11,2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7,4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13,4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9,6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0,5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2,6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A34C40" w:rsidRDefault="00834CCB" w:rsidP="00186D1F">
            <w:pPr>
              <w:jc w:val="center"/>
              <w:rPr>
                <w:b/>
              </w:rPr>
            </w:pPr>
            <w:r w:rsidRPr="00A34C40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A34C40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41,6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4,0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3,6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0,3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41,3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1,0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 w:rsidRPr="00C92242">
              <w:t>0,8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13,0</w:t>
            </w:r>
          </w:p>
        </w:tc>
        <w:tc>
          <w:tcPr>
            <w:tcW w:w="688" w:type="pct"/>
            <w:vAlign w:val="center"/>
          </w:tcPr>
          <w:p w:rsidR="00834CCB" w:rsidRPr="009F435E" w:rsidRDefault="00834CCB" w:rsidP="00186D1F">
            <w:pPr>
              <w:jc w:val="center"/>
              <w:rPr>
                <w:b/>
              </w:rPr>
            </w:pPr>
            <w:r w:rsidRPr="009F435E">
              <w:rPr>
                <w:b/>
              </w:rPr>
              <w:lastRenderedPageBreak/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B17F69" w:rsidRDefault="00834CCB" w:rsidP="00186D1F">
            <w:pPr>
              <w:jc w:val="center"/>
              <w:rPr>
                <w:b/>
              </w:rPr>
            </w:pPr>
            <w:r w:rsidRPr="00B17F69">
              <w:rPr>
                <w:b/>
              </w:rP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A34C40" w:rsidRDefault="00834CCB" w:rsidP="00186D1F">
            <w:pPr>
              <w:jc w:val="center"/>
              <w:rPr>
                <w:b/>
              </w:rPr>
            </w:pPr>
            <w:r w:rsidRPr="00A34C40">
              <w:rPr>
                <w:b/>
              </w:rP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688" w:type="pct"/>
            <w:vAlign w:val="center"/>
          </w:tcPr>
          <w:p w:rsidR="00834CCB" w:rsidRPr="009F435E" w:rsidRDefault="00834CCB" w:rsidP="00186D1F">
            <w:pPr>
              <w:jc w:val="center"/>
              <w:rPr>
                <w:b/>
              </w:rPr>
            </w:pPr>
            <w:r w:rsidRPr="009F435E">
              <w:rPr>
                <w:b/>
              </w:rPr>
              <w:lastRenderedPageBreak/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B17F69" w:rsidRDefault="00834CCB" w:rsidP="00186D1F">
            <w:pPr>
              <w:jc w:val="center"/>
              <w:rPr>
                <w:b/>
              </w:rPr>
            </w:pPr>
            <w:r w:rsidRPr="00B17F69">
              <w:rPr>
                <w:b/>
              </w:rP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A34C40" w:rsidRDefault="00834CCB" w:rsidP="00186D1F">
            <w:pPr>
              <w:jc w:val="center"/>
              <w:rPr>
                <w:b/>
              </w:rPr>
            </w:pPr>
            <w:r w:rsidRPr="00A34C40">
              <w:rPr>
                <w:b/>
              </w:rP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</w:tc>
        <w:tc>
          <w:tcPr>
            <w:tcW w:w="1082" w:type="pct"/>
            <w:vAlign w:val="center"/>
          </w:tcPr>
          <w:p w:rsidR="00834CCB" w:rsidRPr="009F435E" w:rsidRDefault="00834CCB" w:rsidP="00186D1F">
            <w:pPr>
              <w:jc w:val="center"/>
              <w:rPr>
                <w:b/>
              </w:rPr>
            </w:pPr>
            <w:r w:rsidRPr="009F435E">
              <w:rPr>
                <w:b/>
              </w:rPr>
              <w:lastRenderedPageBreak/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B17F69" w:rsidRDefault="00834CCB" w:rsidP="00186D1F">
            <w:pPr>
              <w:jc w:val="center"/>
              <w:rPr>
                <w:b/>
              </w:rPr>
            </w:pPr>
            <w:r w:rsidRPr="00B17F69">
              <w:rPr>
                <w:b/>
              </w:rP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A34C40" w:rsidRDefault="00834CCB" w:rsidP="00186D1F">
            <w:pPr>
              <w:jc w:val="center"/>
              <w:rPr>
                <w:b/>
              </w:rPr>
            </w:pPr>
            <w:r w:rsidRPr="00A34C40">
              <w:rPr>
                <w:b/>
              </w:rP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</w:p>
          <w:p w:rsidR="00834CCB" w:rsidRDefault="00834CCB" w:rsidP="00186D1F">
            <w:pPr>
              <w:jc w:val="center"/>
            </w:pPr>
            <w:r w:rsidRPr="00C92242">
              <w:t>0,0</w:t>
            </w:r>
          </w:p>
          <w:p w:rsidR="00834CCB" w:rsidRDefault="00834CCB" w:rsidP="00186D1F">
            <w:pPr>
              <w:jc w:val="center"/>
            </w:pPr>
          </w:p>
          <w:p w:rsidR="00834CCB" w:rsidRPr="00C92242" w:rsidRDefault="00834CCB" w:rsidP="00186D1F">
            <w:pPr>
              <w:jc w:val="center"/>
            </w:pPr>
            <w:r>
              <w:t>0,0</w:t>
            </w:r>
          </w:p>
        </w:tc>
      </w:tr>
      <w:tr w:rsidR="00834CCB" w:rsidRPr="00212257" w:rsidTr="00186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6" w:type="pct"/>
        </w:trPr>
        <w:tc>
          <w:tcPr>
            <w:tcW w:w="1246" w:type="pct"/>
            <w:gridSpan w:val="2"/>
          </w:tcPr>
          <w:p w:rsidR="00834CCB" w:rsidRDefault="00834CCB" w:rsidP="00186D1F">
            <w:pPr>
              <w:jc w:val="both"/>
            </w:pPr>
            <w:r>
              <w:lastRenderedPageBreak/>
              <w:t>7. Cita informācija</w:t>
            </w:r>
          </w:p>
        </w:tc>
        <w:tc>
          <w:tcPr>
            <w:tcW w:w="3748" w:type="pct"/>
            <w:gridSpan w:val="6"/>
          </w:tcPr>
          <w:p w:rsidR="00834CCB" w:rsidRDefault="00834CCB" w:rsidP="00186D1F">
            <w:pPr>
              <w:jc w:val="both"/>
              <w:rPr>
                <w:sz w:val="23"/>
                <w:szCs w:val="23"/>
              </w:rPr>
            </w:pPr>
            <w:r w:rsidRPr="00FC0781">
              <w:rPr>
                <w:sz w:val="23"/>
                <w:szCs w:val="23"/>
              </w:rPr>
              <w:t xml:space="preserve">Saskaņā ar Ministru kabineta rīkojuma projektu papildus nepieciešamais finansējums </w:t>
            </w:r>
            <w:r w:rsidRPr="00FC0781">
              <w:rPr>
                <w:iCs/>
                <w:sz w:val="23"/>
                <w:szCs w:val="23"/>
              </w:rPr>
              <w:t>klasiskā cūku mēra uzraudzības pasākumus mājas cūku un mežacūku populācijā</w:t>
            </w:r>
            <w:r w:rsidRPr="00FC0781">
              <w:rPr>
                <w:sz w:val="23"/>
                <w:szCs w:val="23"/>
              </w:rPr>
              <w:t xml:space="preserve"> nodrošināšanai </w:t>
            </w:r>
            <w:r>
              <w:rPr>
                <w:sz w:val="23"/>
                <w:szCs w:val="23"/>
              </w:rPr>
              <w:t>ir Ls</w:t>
            </w:r>
            <w:r w:rsidRPr="00FC078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241 739, tostarp finansējums:</w:t>
            </w:r>
          </w:p>
          <w:p w:rsidR="00834CCB" w:rsidRPr="00C70A58" w:rsidRDefault="00834CCB" w:rsidP="00186D1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C70A58">
              <w:rPr>
                <w:sz w:val="23"/>
                <w:szCs w:val="23"/>
              </w:rPr>
              <w:t>PVD – Ls 140 080 (EKK 1100 „Atalgojums” – Ls 41 550; EKK 1200 „Darba devēja valsts sociālās apdrošināšanas obligātās iemaksas, sociāla rakstura pabalsti un kompensācijas” – Ls 10 010; EKK 2000 „Preces un pakalpojumi” – Ls 88 520);</w:t>
            </w:r>
          </w:p>
          <w:p w:rsidR="00834CCB" w:rsidRPr="00C70A58" w:rsidRDefault="00834CCB" w:rsidP="00186D1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C70A58">
              <w:rPr>
                <w:sz w:val="23"/>
                <w:szCs w:val="23"/>
              </w:rPr>
              <w:t>BIOR – Ls 105 694 (EKK 1100 „Atalgojums” – Ls 10 467; EKK 1200 „Darba devēja valsts sociālās apdrošināšanas obligātās iemaksas, sociāla rakstura pabalsti un kompensācijas” – Ls 2522; EKK 2000 „Preces un pakalpojumi” – Ls 92 705).</w:t>
            </w:r>
          </w:p>
          <w:p w:rsidR="00834CCB" w:rsidRPr="00212257" w:rsidRDefault="00834CCB" w:rsidP="00186D1F">
            <w:pPr>
              <w:jc w:val="both"/>
              <w:rPr>
                <w:sz w:val="23"/>
                <w:szCs w:val="23"/>
              </w:rPr>
            </w:pPr>
            <w:r w:rsidRPr="00FC0781">
              <w:rPr>
                <w:sz w:val="23"/>
                <w:szCs w:val="23"/>
              </w:rPr>
              <w:t>Detalizētu izdevumu pozīciju a</w:t>
            </w:r>
            <w:r>
              <w:rPr>
                <w:sz w:val="23"/>
                <w:szCs w:val="23"/>
              </w:rPr>
              <w:t>tšifrējumu skatīt pielikumā</w:t>
            </w:r>
            <w:r w:rsidRPr="00FC0781">
              <w:rPr>
                <w:sz w:val="23"/>
                <w:szCs w:val="23"/>
              </w:rPr>
              <w:t>.</w:t>
            </w:r>
          </w:p>
        </w:tc>
      </w:tr>
    </w:tbl>
    <w:p w:rsidR="00F61BA5" w:rsidRPr="004C0C3E" w:rsidRDefault="004C0C3E" w:rsidP="004B28A8">
      <w:pPr>
        <w:rPr>
          <w:i/>
        </w:rPr>
      </w:pPr>
      <w:bookmarkStart w:id="2" w:name="_GoBack"/>
      <w:bookmarkEnd w:id="2"/>
      <w:r>
        <w:rPr>
          <w:i/>
        </w:rPr>
        <w:t xml:space="preserve">Anotācijas </w:t>
      </w:r>
      <w:r w:rsidR="00F32E4B">
        <w:rPr>
          <w:i/>
        </w:rPr>
        <w:t>IV, V un VI sadaļa – projekts šīs jomas</w:t>
      </w:r>
      <w:r>
        <w:rPr>
          <w:i/>
        </w:rPr>
        <w:t xml:space="preserve"> neskar. </w:t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1"/>
        <w:gridCol w:w="4230"/>
      </w:tblGrid>
      <w:tr w:rsidR="0056482D" w:rsidRPr="00596B72" w:rsidTr="00B92329">
        <w:tc>
          <w:tcPr>
            <w:tcW w:w="5000" w:type="pct"/>
            <w:gridSpan w:val="2"/>
          </w:tcPr>
          <w:p w:rsidR="0056482D" w:rsidRPr="00596B72" w:rsidRDefault="0056482D" w:rsidP="0071371E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96B7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56482D" w:rsidRPr="00596B72" w:rsidTr="00B92329">
        <w:tc>
          <w:tcPr>
            <w:tcW w:w="2984" w:type="pct"/>
          </w:tcPr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1. Projekta izpildē iesaistītās institūcijas</w:t>
            </w:r>
          </w:p>
        </w:tc>
        <w:tc>
          <w:tcPr>
            <w:tcW w:w="2016" w:type="pct"/>
          </w:tcPr>
          <w:p w:rsidR="0056482D" w:rsidRPr="00596B72" w:rsidRDefault="0056482D" w:rsidP="00B14609">
            <w:pPr>
              <w:pStyle w:val="Kjene"/>
              <w:tabs>
                <w:tab w:val="clear" w:pos="4153"/>
                <w:tab w:val="clear" w:pos="8306"/>
              </w:tabs>
              <w:ind w:right="-108"/>
              <w:jc w:val="both"/>
            </w:pPr>
            <w:r w:rsidRPr="00596B72">
              <w:t>Pā</w:t>
            </w:r>
            <w:r w:rsidR="00DA41B1">
              <w:t>rtikas un veterinārais dienests</w:t>
            </w:r>
            <w:r w:rsidR="00323527">
              <w:t xml:space="preserve"> un valsts zinātniskais institūts</w:t>
            </w:r>
            <w:r w:rsidR="00323527" w:rsidRPr="00323527">
              <w:t xml:space="preserve"> „Pārtikas drošības, dzīvnieku veselības un vides zinātniskais institūts </w:t>
            </w:r>
            <w:r w:rsidR="00323527" w:rsidRPr="00323527">
              <w:rPr>
                <w:bCs/>
              </w:rPr>
              <w:t>„BIOR””</w:t>
            </w:r>
          </w:p>
        </w:tc>
      </w:tr>
      <w:tr w:rsidR="0056482D" w:rsidRPr="00596B72" w:rsidTr="00B92329">
        <w:tc>
          <w:tcPr>
            <w:tcW w:w="2984" w:type="pct"/>
          </w:tcPr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2. Projekta izpildes ietekme uz pārvaldes funkcijām</w:t>
            </w:r>
          </w:p>
        </w:tc>
        <w:tc>
          <w:tcPr>
            <w:tcW w:w="2016" w:type="pct"/>
          </w:tcPr>
          <w:p w:rsidR="0056482D" w:rsidRPr="00596B72" w:rsidRDefault="0056482D" w:rsidP="00B92329">
            <w:pPr>
              <w:pStyle w:val="Kjene"/>
              <w:tabs>
                <w:tab w:val="clear" w:pos="4153"/>
                <w:tab w:val="clear" w:pos="8306"/>
              </w:tabs>
              <w:ind w:right="33"/>
              <w:jc w:val="both"/>
            </w:pPr>
            <w:r w:rsidRPr="00596B72">
              <w:t xml:space="preserve">Noteikumu </w:t>
            </w:r>
            <w:r w:rsidR="00C83060">
              <w:t xml:space="preserve">projekta </w:t>
            </w:r>
            <w:r w:rsidRPr="00596B72">
              <w:t>prasību izpildei nav nepieciešams paplašināt Pārtikas un veterinārā dienesta</w:t>
            </w:r>
            <w:r w:rsidR="00DA41B1">
              <w:t xml:space="preserve"> </w:t>
            </w:r>
            <w:r w:rsidR="00323527">
              <w:t>un valsts zinātniskā institūta</w:t>
            </w:r>
            <w:r w:rsidR="00323527" w:rsidRPr="00323527">
              <w:t xml:space="preserve"> „Pārtikas drošības, dzīvnieku veselības un vides zinātniskais institūts </w:t>
            </w:r>
            <w:r w:rsidR="00323527" w:rsidRPr="00323527">
              <w:rPr>
                <w:bCs/>
              </w:rPr>
              <w:t>„BIOR””</w:t>
            </w:r>
            <w:r w:rsidR="00323527">
              <w:rPr>
                <w:bCs/>
              </w:rPr>
              <w:t xml:space="preserve"> </w:t>
            </w:r>
            <w:r w:rsidR="00DA41B1">
              <w:t>funkcijas</w:t>
            </w:r>
            <w:r w:rsidRPr="00596B72">
              <w:t>.</w:t>
            </w:r>
          </w:p>
        </w:tc>
      </w:tr>
      <w:tr w:rsidR="0056482D" w:rsidRPr="00596B72" w:rsidTr="00B92329">
        <w:tc>
          <w:tcPr>
            <w:tcW w:w="2984" w:type="pct"/>
          </w:tcPr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3. Projekta izpildes ietekme uz pārvaldes institucionālo struktūru</w:t>
            </w:r>
          </w:p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Jaunu institūciju izveide</w:t>
            </w:r>
          </w:p>
        </w:tc>
        <w:tc>
          <w:tcPr>
            <w:tcW w:w="2016" w:type="pct"/>
          </w:tcPr>
          <w:p w:rsidR="0056482D" w:rsidRPr="00596B72" w:rsidRDefault="00B03744" w:rsidP="00B14609">
            <w:pPr>
              <w:pStyle w:val="Kjene"/>
              <w:tabs>
                <w:tab w:val="clear" w:pos="4153"/>
                <w:tab w:val="clear" w:pos="8306"/>
              </w:tabs>
              <w:ind w:right="-108"/>
              <w:jc w:val="both"/>
            </w:pPr>
            <w:r>
              <w:t>Projekts šo jomu neskar</w:t>
            </w:r>
            <w:r w:rsidR="0056482D" w:rsidRPr="00596B72">
              <w:t>.</w:t>
            </w:r>
          </w:p>
        </w:tc>
      </w:tr>
      <w:tr w:rsidR="0056482D" w:rsidRPr="00596B72" w:rsidTr="00B92329">
        <w:tc>
          <w:tcPr>
            <w:tcW w:w="2984" w:type="pct"/>
          </w:tcPr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4. Projekta izpildes ietekme uz pārvaldes institucionālo struktūru</w:t>
            </w:r>
          </w:p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Esošu institūciju likvidācija</w:t>
            </w:r>
          </w:p>
        </w:tc>
        <w:tc>
          <w:tcPr>
            <w:tcW w:w="2016" w:type="pct"/>
          </w:tcPr>
          <w:p w:rsidR="0056482D" w:rsidRPr="00596B72" w:rsidRDefault="00B03744" w:rsidP="00B14609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</w:rPr>
            </w:pPr>
            <w:r>
              <w:t>Projekts šo jomu neskar</w:t>
            </w:r>
            <w:r w:rsidR="0056482D" w:rsidRPr="00596B72">
              <w:t>.</w:t>
            </w:r>
          </w:p>
        </w:tc>
      </w:tr>
      <w:tr w:rsidR="0056482D" w:rsidRPr="00596B72" w:rsidTr="00B92329">
        <w:trPr>
          <w:trHeight w:val="554"/>
        </w:trPr>
        <w:tc>
          <w:tcPr>
            <w:tcW w:w="2984" w:type="pct"/>
          </w:tcPr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5. Projekta izpildes ietekme uz pārvaldes institucionālo struktūru</w:t>
            </w:r>
          </w:p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Esošu institūciju reorganizācija</w:t>
            </w:r>
          </w:p>
        </w:tc>
        <w:tc>
          <w:tcPr>
            <w:tcW w:w="2016" w:type="pct"/>
          </w:tcPr>
          <w:p w:rsidR="0056482D" w:rsidRPr="00596B72" w:rsidRDefault="00B03744" w:rsidP="00B14609">
            <w:pPr>
              <w:jc w:val="both"/>
              <w:rPr>
                <w:rFonts w:eastAsia="Arial Unicode MS"/>
              </w:rPr>
            </w:pPr>
            <w:r>
              <w:t>Projekts šo jomu neskar</w:t>
            </w:r>
            <w:r w:rsidR="0056482D" w:rsidRPr="00596B72">
              <w:t>.</w:t>
            </w:r>
          </w:p>
        </w:tc>
      </w:tr>
      <w:tr w:rsidR="0056482D" w:rsidRPr="00596B72" w:rsidTr="00B92329">
        <w:trPr>
          <w:trHeight w:val="70"/>
        </w:trPr>
        <w:tc>
          <w:tcPr>
            <w:tcW w:w="2984" w:type="pct"/>
          </w:tcPr>
          <w:p w:rsidR="0056482D" w:rsidRPr="00596B72" w:rsidRDefault="0056482D" w:rsidP="00B14609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596B72">
              <w:rPr>
                <w:lang w:val="lv-LV"/>
              </w:rPr>
              <w:t>6. Cita informācija</w:t>
            </w:r>
          </w:p>
        </w:tc>
        <w:tc>
          <w:tcPr>
            <w:tcW w:w="2016" w:type="pct"/>
          </w:tcPr>
          <w:p w:rsidR="0056482D" w:rsidRPr="00596B72" w:rsidRDefault="0056482D" w:rsidP="00B14609">
            <w:pPr>
              <w:rPr>
                <w:rFonts w:eastAsia="Arial Unicode MS"/>
              </w:rPr>
            </w:pPr>
            <w:r w:rsidRPr="00596B72">
              <w:t>Nav</w:t>
            </w:r>
          </w:p>
        </w:tc>
      </w:tr>
    </w:tbl>
    <w:p w:rsidR="00F37F7E" w:rsidRPr="00CA4937" w:rsidRDefault="00FE3584" w:rsidP="002E7FA0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 w:rsidR="00F37F7E">
        <w:rPr>
          <w:sz w:val="28"/>
          <w:szCs w:val="28"/>
        </w:rPr>
        <w:tab/>
      </w:r>
      <w:r w:rsidR="00F37F7E">
        <w:rPr>
          <w:sz w:val="28"/>
          <w:szCs w:val="28"/>
        </w:rPr>
        <w:tab/>
      </w:r>
      <w:r w:rsidR="00F37F7E">
        <w:rPr>
          <w:sz w:val="28"/>
          <w:szCs w:val="28"/>
        </w:rPr>
        <w:tab/>
      </w:r>
      <w:r w:rsidR="00F37F7E">
        <w:rPr>
          <w:sz w:val="28"/>
          <w:szCs w:val="28"/>
        </w:rPr>
        <w:tab/>
      </w:r>
      <w:r w:rsidR="00F37F7E" w:rsidRPr="00CA4937">
        <w:rPr>
          <w:sz w:val="28"/>
          <w:szCs w:val="28"/>
        </w:rPr>
        <w:tab/>
      </w:r>
      <w:r w:rsidR="00F37F7E" w:rsidRPr="00CA4937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323527" w:rsidRPr="00C70A58" w:rsidRDefault="00323527" w:rsidP="0056482D">
      <w:pPr>
        <w:rPr>
          <w:sz w:val="20"/>
          <w:szCs w:val="20"/>
        </w:rPr>
      </w:pPr>
      <w:r w:rsidRPr="00C70A58">
        <w:rPr>
          <w:sz w:val="20"/>
          <w:szCs w:val="20"/>
        </w:rPr>
        <w:t>2012.11.29. 9:08</w:t>
      </w:r>
    </w:p>
    <w:p w:rsidR="00AD2F38" w:rsidRDefault="00AD2F38" w:rsidP="0056482D">
      <w:fldSimple w:instr=" NUMWORDS   \* MERGEFORMAT ">
        <w:r>
          <w:rPr>
            <w:noProof/>
          </w:rPr>
          <w:t>1449</w:t>
        </w:r>
      </w:fldSimple>
    </w:p>
    <w:p w:rsidR="0056482D" w:rsidRPr="003738C0" w:rsidRDefault="0056482D" w:rsidP="0056482D">
      <w:pPr>
        <w:rPr>
          <w:sz w:val="20"/>
          <w:szCs w:val="20"/>
        </w:rPr>
      </w:pPr>
      <w:r w:rsidRPr="003738C0">
        <w:rPr>
          <w:sz w:val="20"/>
          <w:szCs w:val="20"/>
        </w:rPr>
        <w:t>O.Vecuma-Veco</w:t>
      </w:r>
    </w:p>
    <w:p w:rsidR="0056482D" w:rsidRPr="003738C0" w:rsidRDefault="0056482D" w:rsidP="0056482D">
      <w:pPr>
        <w:rPr>
          <w:sz w:val="20"/>
          <w:szCs w:val="20"/>
        </w:rPr>
      </w:pPr>
      <w:r w:rsidRPr="003738C0">
        <w:rPr>
          <w:sz w:val="20"/>
          <w:szCs w:val="20"/>
        </w:rPr>
        <w:t xml:space="preserve">67027551, </w:t>
      </w:r>
      <w:hyperlink r:id="rId8" w:history="1">
        <w:r w:rsidRPr="003738C0">
          <w:rPr>
            <w:rStyle w:val="Hipersaite"/>
            <w:sz w:val="20"/>
            <w:szCs w:val="20"/>
          </w:rPr>
          <w:t>Olita.Vecuma-Veco@zm.gov.lv</w:t>
        </w:r>
      </w:hyperlink>
    </w:p>
    <w:sectPr w:rsidR="0056482D" w:rsidRPr="003738C0" w:rsidSect="00DA41B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26" w:rsidRDefault="00CF4C26" w:rsidP="00F37F7E">
      <w:pPr>
        <w:pStyle w:val="naiskr"/>
      </w:pPr>
      <w:r>
        <w:separator/>
      </w:r>
    </w:p>
  </w:endnote>
  <w:endnote w:type="continuationSeparator" w:id="0">
    <w:p w:rsidR="00CF4C26" w:rsidRDefault="00CF4C26" w:rsidP="00F37F7E">
      <w:pPr>
        <w:pStyle w:val="naisk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69" w:rsidRPr="00735DB7" w:rsidRDefault="00B17F69" w:rsidP="00735DB7">
    <w:pPr>
      <w:jc w:val="both"/>
      <w:rPr>
        <w:sz w:val="20"/>
        <w:szCs w:val="20"/>
        <w:lang w:val="fi-FI"/>
      </w:rPr>
    </w:pPr>
    <w:r>
      <w:rPr>
        <w:sz w:val="20"/>
        <w:szCs w:val="20"/>
      </w:rPr>
      <w:t xml:space="preserve">ZMAnot_100113_neparedzētie gadījumi KCM; </w:t>
    </w:r>
    <w:r w:rsidRPr="00323527">
      <w:rPr>
        <w:sz w:val="20"/>
        <w:szCs w:val="20"/>
      </w:rPr>
      <w:t>Ministru kabineta rīkojuma projekta „Par finanšu līdzekļu piešķiršanu no valsts budžeta programmas „Līdzekļi neparedzētiem gadījumiem</w:t>
    </w:r>
    <w:r w:rsidRPr="00323527">
      <w:rPr>
        <w:sz w:val="20"/>
        <w:szCs w:val="20"/>
        <w:lang w:val="fi-FI"/>
      </w:rPr>
      <w:t xml:space="preserve">” sākotnējās ietekmes novērtējuma ziņojums (anotācija)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69" w:rsidRPr="0056482D" w:rsidRDefault="00B17F69" w:rsidP="0056482D">
    <w:pPr>
      <w:jc w:val="both"/>
      <w:rPr>
        <w:sz w:val="20"/>
        <w:szCs w:val="20"/>
        <w:lang w:val="fi-FI"/>
      </w:rPr>
    </w:pPr>
    <w:r>
      <w:rPr>
        <w:sz w:val="20"/>
        <w:szCs w:val="20"/>
      </w:rPr>
      <w:t>ZMAnot_100113</w:t>
    </w:r>
    <w:r w:rsidRPr="0056482D">
      <w:rPr>
        <w:sz w:val="20"/>
        <w:szCs w:val="20"/>
      </w:rPr>
      <w:t>_</w:t>
    </w:r>
    <w:r>
      <w:rPr>
        <w:sz w:val="20"/>
        <w:szCs w:val="20"/>
      </w:rPr>
      <w:t>neparedzētie gadījumi KCM</w:t>
    </w:r>
    <w:r w:rsidRPr="0056482D">
      <w:rPr>
        <w:sz w:val="20"/>
        <w:szCs w:val="20"/>
      </w:rPr>
      <w:t xml:space="preserve">; </w:t>
    </w:r>
    <w:r>
      <w:rPr>
        <w:sz w:val="20"/>
        <w:szCs w:val="20"/>
      </w:rPr>
      <w:t>Ministru kabineta rīkojuma projekta „Par finanšu līdzekļu piešķiršanu no valsts budžeta programmas „Līdzekļi neparedzētiem gadījumiem</w:t>
    </w:r>
    <w:r>
      <w:rPr>
        <w:sz w:val="20"/>
        <w:szCs w:val="20"/>
        <w:lang w:val="fi-FI"/>
      </w:rPr>
      <w:t xml:space="preserve">” sākotnējās ietekmes novērtējuma ziņojums (anotācija)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26" w:rsidRDefault="00CF4C26" w:rsidP="00F37F7E">
      <w:pPr>
        <w:pStyle w:val="naiskr"/>
      </w:pPr>
      <w:r>
        <w:separator/>
      </w:r>
    </w:p>
  </w:footnote>
  <w:footnote w:type="continuationSeparator" w:id="0">
    <w:p w:rsidR="00CF4C26" w:rsidRDefault="00CF4C26" w:rsidP="00F37F7E">
      <w:pPr>
        <w:pStyle w:val="naisk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69" w:rsidRDefault="005824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17F6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17F69" w:rsidRDefault="00B17F6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69" w:rsidRDefault="005824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17F6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D2F38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B17F69" w:rsidRDefault="00B17F6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02C9"/>
    <w:multiLevelType w:val="hybridMultilevel"/>
    <w:tmpl w:val="74185FAC"/>
    <w:lvl w:ilvl="0" w:tplc="042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1E38"/>
    <w:multiLevelType w:val="hybridMultilevel"/>
    <w:tmpl w:val="EF9A7B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367D"/>
    <w:multiLevelType w:val="hybridMultilevel"/>
    <w:tmpl w:val="580C512A"/>
    <w:lvl w:ilvl="0" w:tplc="042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47F19"/>
    <w:multiLevelType w:val="hybridMultilevel"/>
    <w:tmpl w:val="69AEA48A"/>
    <w:lvl w:ilvl="0" w:tplc="3454CFB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7E"/>
    <w:rsid w:val="000048BF"/>
    <w:rsid w:val="000242CD"/>
    <w:rsid w:val="000244B4"/>
    <w:rsid w:val="000410AD"/>
    <w:rsid w:val="000641B6"/>
    <w:rsid w:val="00074BF1"/>
    <w:rsid w:val="0008472A"/>
    <w:rsid w:val="000B4C2F"/>
    <w:rsid w:val="000C3BFF"/>
    <w:rsid w:val="000C4826"/>
    <w:rsid w:val="000D7729"/>
    <w:rsid w:val="000E19A9"/>
    <w:rsid w:val="000E5FB3"/>
    <w:rsid w:val="00126317"/>
    <w:rsid w:val="00131E9F"/>
    <w:rsid w:val="00153387"/>
    <w:rsid w:val="00161812"/>
    <w:rsid w:val="0016219F"/>
    <w:rsid w:val="00182012"/>
    <w:rsid w:val="001841F1"/>
    <w:rsid w:val="001A21FA"/>
    <w:rsid w:val="001A284C"/>
    <w:rsid w:val="001B1897"/>
    <w:rsid w:val="001B6383"/>
    <w:rsid w:val="001C3D95"/>
    <w:rsid w:val="001D0EB8"/>
    <w:rsid w:val="001E78D6"/>
    <w:rsid w:val="00202E15"/>
    <w:rsid w:val="002034CA"/>
    <w:rsid w:val="00212257"/>
    <w:rsid w:val="00223DAC"/>
    <w:rsid w:val="00246A41"/>
    <w:rsid w:val="002550FC"/>
    <w:rsid w:val="00263598"/>
    <w:rsid w:val="002A3F18"/>
    <w:rsid w:val="002A7BC6"/>
    <w:rsid w:val="002C3121"/>
    <w:rsid w:val="002D50B7"/>
    <w:rsid w:val="002E7FA0"/>
    <w:rsid w:val="0030480A"/>
    <w:rsid w:val="0031157F"/>
    <w:rsid w:val="00323527"/>
    <w:rsid w:val="00324F41"/>
    <w:rsid w:val="003309E0"/>
    <w:rsid w:val="00337AE4"/>
    <w:rsid w:val="00355777"/>
    <w:rsid w:val="00363DB7"/>
    <w:rsid w:val="00363DF8"/>
    <w:rsid w:val="003723BE"/>
    <w:rsid w:val="003738C0"/>
    <w:rsid w:val="00374281"/>
    <w:rsid w:val="003818B3"/>
    <w:rsid w:val="00391D60"/>
    <w:rsid w:val="003B02BB"/>
    <w:rsid w:val="003B4D0C"/>
    <w:rsid w:val="003D36F6"/>
    <w:rsid w:val="003E1D53"/>
    <w:rsid w:val="003E672D"/>
    <w:rsid w:val="003F753E"/>
    <w:rsid w:val="00411FDE"/>
    <w:rsid w:val="00414614"/>
    <w:rsid w:val="00421391"/>
    <w:rsid w:val="0042726D"/>
    <w:rsid w:val="00452ABC"/>
    <w:rsid w:val="004548A5"/>
    <w:rsid w:val="0047491E"/>
    <w:rsid w:val="004905C8"/>
    <w:rsid w:val="004966B8"/>
    <w:rsid w:val="004B28A8"/>
    <w:rsid w:val="004B7160"/>
    <w:rsid w:val="004C0C3E"/>
    <w:rsid w:val="004D64BE"/>
    <w:rsid w:val="004E650B"/>
    <w:rsid w:val="004F718C"/>
    <w:rsid w:val="00501828"/>
    <w:rsid w:val="00511012"/>
    <w:rsid w:val="00513790"/>
    <w:rsid w:val="005141D6"/>
    <w:rsid w:val="005251F3"/>
    <w:rsid w:val="005338D8"/>
    <w:rsid w:val="0055146B"/>
    <w:rsid w:val="00560C94"/>
    <w:rsid w:val="0056482D"/>
    <w:rsid w:val="005660EB"/>
    <w:rsid w:val="0057022E"/>
    <w:rsid w:val="0057338F"/>
    <w:rsid w:val="005824EA"/>
    <w:rsid w:val="00583C70"/>
    <w:rsid w:val="005A577A"/>
    <w:rsid w:val="005A6D73"/>
    <w:rsid w:val="005A7680"/>
    <w:rsid w:val="005C4A42"/>
    <w:rsid w:val="005C7614"/>
    <w:rsid w:val="005E0EAA"/>
    <w:rsid w:val="006056ED"/>
    <w:rsid w:val="00614A47"/>
    <w:rsid w:val="00614C4E"/>
    <w:rsid w:val="00616BAD"/>
    <w:rsid w:val="00637FEF"/>
    <w:rsid w:val="006600EC"/>
    <w:rsid w:val="006602BB"/>
    <w:rsid w:val="00670114"/>
    <w:rsid w:val="00680AE5"/>
    <w:rsid w:val="0069696D"/>
    <w:rsid w:val="006A5A1C"/>
    <w:rsid w:val="006A6F92"/>
    <w:rsid w:val="006C1FB8"/>
    <w:rsid w:val="006D1354"/>
    <w:rsid w:val="006D7B14"/>
    <w:rsid w:val="006E00AF"/>
    <w:rsid w:val="006E5195"/>
    <w:rsid w:val="006E7289"/>
    <w:rsid w:val="00702355"/>
    <w:rsid w:val="0071167F"/>
    <w:rsid w:val="0071371E"/>
    <w:rsid w:val="007152AE"/>
    <w:rsid w:val="00716A1E"/>
    <w:rsid w:val="00735DB7"/>
    <w:rsid w:val="00741A5B"/>
    <w:rsid w:val="00772CF3"/>
    <w:rsid w:val="0078349C"/>
    <w:rsid w:val="00785431"/>
    <w:rsid w:val="007A614C"/>
    <w:rsid w:val="007C175C"/>
    <w:rsid w:val="007F7CB3"/>
    <w:rsid w:val="00821E97"/>
    <w:rsid w:val="00832C26"/>
    <w:rsid w:val="00834CCB"/>
    <w:rsid w:val="0084146B"/>
    <w:rsid w:val="00845677"/>
    <w:rsid w:val="00854605"/>
    <w:rsid w:val="008561EF"/>
    <w:rsid w:val="00863577"/>
    <w:rsid w:val="00874EF1"/>
    <w:rsid w:val="0088200F"/>
    <w:rsid w:val="008928F5"/>
    <w:rsid w:val="008A5E04"/>
    <w:rsid w:val="008C0765"/>
    <w:rsid w:val="008C1B9E"/>
    <w:rsid w:val="008C3CEB"/>
    <w:rsid w:val="008C4045"/>
    <w:rsid w:val="009078B5"/>
    <w:rsid w:val="0091543D"/>
    <w:rsid w:val="00915FF3"/>
    <w:rsid w:val="00930EA9"/>
    <w:rsid w:val="00972C35"/>
    <w:rsid w:val="00975B87"/>
    <w:rsid w:val="009A3369"/>
    <w:rsid w:val="009B2522"/>
    <w:rsid w:val="009B7E20"/>
    <w:rsid w:val="009F344C"/>
    <w:rsid w:val="009F435E"/>
    <w:rsid w:val="00A06AFA"/>
    <w:rsid w:val="00A239C9"/>
    <w:rsid w:val="00A3274F"/>
    <w:rsid w:val="00A34C40"/>
    <w:rsid w:val="00A405A1"/>
    <w:rsid w:val="00A544FB"/>
    <w:rsid w:val="00A57656"/>
    <w:rsid w:val="00A6055F"/>
    <w:rsid w:val="00A84141"/>
    <w:rsid w:val="00A85A56"/>
    <w:rsid w:val="00AA12C1"/>
    <w:rsid w:val="00AA68FF"/>
    <w:rsid w:val="00AB2EBB"/>
    <w:rsid w:val="00AC7E4A"/>
    <w:rsid w:val="00AD2F38"/>
    <w:rsid w:val="00AD32D7"/>
    <w:rsid w:val="00AE1A31"/>
    <w:rsid w:val="00B03744"/>
    <w:rsid w:val="00B1392F"/>
    <w:rsid w:val="00B14609"/>
    <w:rsid w:val="00B17F69"/>
    <w:rsid w:val="00B20A1E"/>
    <w:rsid w:val="00B42FE7"/>
    <w:rsid w:val="00B46B32"/>
    <w:rsid w:val="00B46F39"/>
    <w:rsid w:val="00B472C4"/>
    <w:rsid w:val="00B84709"/>
    <w:rsid w:val="00B86B3E"/>
    <w:rsid w:val="00B92329"/>
    <w:rsid w:val="00BA4109"/>
    <w:rsid w:val="00BD688A"/>
    <w:rsid w:val="00BE6367"/>
    <w:rsid w:val="00C02216"/>
    <w:rsid w:val="00C07EA9"/>
    <w:rsid w:val="00C25246"/>
    <w:rsid w:val="00C45FA2"/>
    <w:rsid w:val="00C57354"/>
    <w:rsid w:val="00C61DFA"/>
    <w:rsid w:val="00C70A58"/>
    <w:rsid w:val="00C83060"/>
    <w:rsid w:val="00C92242"/>
    <w:rsid w:val="00C924B8"/>
    <w:rsid w:val="00CA1076"/>
    <w:rsid w:val="00CC7A70"/>
    <w:rsid w:val="00CD2939"/>
    <w:rsid w:val="00CD5C1D"/>
    <w:rsid w:val="00CF4C26"/>
    <w:rsid w:val="00D06A61"/>
    <w:rsid w:val="00D112F5"/>
    <w:rsid w:val="00D23392"/>
    <w:rsid w:val="00D2368A"/>
    <w:rsid w:val="00D43246"/>
    <w:rsid w:val="00D54DDC"/>
    <w:rsid w:val="00D96765"/>
    <w:rsid w:val="00DA0B19"/>
    <w:rsid w:val="00DA41B1"/>
    <w:rsid w:val="00DB42F3"/>
    <w:rsid w:val="00DE46F6"/>
    <w:rsid w:val="00DF4CAC"/>
    <w:rsid w:val="00E043F1"/>
    <w:rsid w:val="00E41447"/>
    <w:rsid w:val="00E51CAB"/>
    <w:rsid w:val="00E52319"/>
    <w:rsid w:val="00E60C1F"/>
    <w:rsid w:val="00E62FDF"/>
    <w:rsid w:val="00E739A6"/>
    <w:rsid w:val="00E831FE"/>
    <w:rsid w:val="00EB0084"/>
    <w:rsid w:val="00ED2BC0"/>
    <w:rsid w:val="00ED3F12"/>
    <w:rsid w:val="00EE2F67"/>
    <w:rsid w:val="00F21E37"/>
    <w:rsid w:val="00F32E4B"/>
    <w:rsid w:val="00F37F7E"/>
    <w:rsid w:val="00F45D9A"/>
    <w:rsid w:val="00F479E8"/>
    <w:rsid w:val="00F61BA5"/>
    <w:rsid w:val="00FE3584"/>
    <w:rsid w:val="00FE5053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F37F7E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56482D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ais"/>
    <w:next w:val="Parastais"/>
    <w:qFormat/>
    <w:rsid w:val="0056482D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ai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ai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ais"/>
    <w:link w:val="GalveneRakstz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semiHidden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rsid w:val="00F37F7E"/>
    <w:rPr>
      <w:rFonts w:cs="Times New Roman"/>
    </w:rPr>
  </w:style>
  <w:style w:type="paragraph" w:styleId="Kjene">
    <w:name w:val="footer"/>
    <w:basedOn w:val="Parastai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rsid w:val="000D7729"/>
    <w:rPr>
      <w:color w:val="0000FF"/>
      <w:u w:val="single"/>
    </w:rPr>
  </w:style>
  <w:style w:type="paragraph" w:customStyle="1" w:styleId="naislab">
    <w:name w:val="naislab"/>
    <w:basedOn w:val="Parastais"/>
    <w:rsid w:val="00D23392"/>
    <w:pPr>
      <w:spacing w:before="100" w:beforeAutospacing="1" w:after="100" w:afterAutospacing="1"/>
    </w:pPr>
    <w:rPr>
      <w:lang w:val="en-GB" w:eastAsia="en-US"/>
    </w:rPr>
  </w:style>
  <w:style w:type="paragraph" w:styleId="ParastaisWeb">
    <w:name w:val="Normal (Web)"/>
    <w:basedOn w:val="Parastais"/>
    <w:rsid w:val="0056482D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Komentraatsauce">
    <w:name w:val="annotation reference"/>
    <w:rsid w:val="008C1B9E"/>
    <w:rPr>
      <w:sz w:val="16"/>
      <w:szCs w:val="16"/>
    </w:rPr>
  </w:style>
  <w:style w:type="paragraph" w:styleId="Komentrateksts">
    <w:name w:val="annotation text"/>
    <w:basedOn w:val="Parastais"/>
    <w:rsid w:val="008C1B9E"/>
    <w:rPr>
      <w:sz w:val="20"/>
      <w:szCs w:val="20"/>
    </w:rPr>
  </w:style>
  <w:style w:type="paragraph" w:styleId="Balonteksts">
    <w:name w:val="Balloon Text"/>
    <w:basedOn w:val="Parastais"/>
    <w:semiHidden/>
    <w:rsid w:val="008C1B9E"/>
    <w:rPr>
      <w:rFonts w:ascii="Tahoma" w:hAnsi="Tahoma" w:cs="Tahoma"/>
      <w:sz w:val="16"/>
      <w:szCs w:val="16"/>
    </w:rPr>
  </w:style>
  <w:style w:type="character" w:styleId="Izteiksmgs">
    <w:name w:val="Strong"/>
    <w:qFormat/>
    <w:rsid w:val="008928F5"/>
    <w:rPr>
      <w:b/>
      <w:bCs/>
    </w:rPr>
  </w:style>
  <w:style w:type="paragraph" w:styleId="Sarakstarindkopa">
    <w:name w:val="List Paragraph"/>
    <w:basedOn w:val="Parastais"/>
    <w:uiPriority w:val="34"/>
    <w:qFormat/>
    <w:rsid w:val="004C0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37F7E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56482D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qFormat/>
    <w:rsid w:val="0056482D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semiHidden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rsid w:val="000D7729"/>
    <w:rPr>
      <w:color w:val="0000FF"/>
      <w:u w:val="single"/>
    </w:rPr>
  </w:style>
  <w:style w:type="paragraph" w:customStyle="1" w:styleId="naislab">
    <w:name w:val="naislab"/>
    <w:basedOn w:val="Parasts"/>
    <w:rsid w:val="00D23392"/>
    <w:pPr>
      <w:spacing w:before="100" w:beforeAutospacing="1" w:after="100" w:afterAutospacing="1"/>
    </w:pPr>
    <w:rPr>
      <w:lang w:val="en-GB" w:eastAsia="en-US"/>
    </w:rPr>
  </w:style>
  <w:style w:type="paragraph" w:styleId="Paraststmeklis">
    <w:name w:val="Normal (Web)"/>
    <w:basedOn w:val="Parasts"/>
    <w:rsid w:val="0056482D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Komentraatsauce">
    <w:name w:val="annotation reference"/>
    <w:rsid w:val="008C1B9E"/>
    <w:rPr>
      <w:sz w:val="16"/>
      <w:szCs w:val="16"/>
    </w:rPr>
  </w:style>
  <w:style w:type="paragraph" w:styleId="Komentrateksts">
    <w:name w:val="annotation text"/>
    <w:basedOn w:val="Parasts"/>
    <w:rsid w:val="008C1B9E"/>
    <w:rPr>
      <w:sz w:val="20"/>
      <w:szCs w:val="20"/>
    </w:rPr>
  </w:style>
  <w:style w:type="paragraph" w:styleId="Balonteksts">
    <w:name w:val="Balloon Text"/>
    <w:basedOn w:val="Parasts"/>
    <w:semiHidden/>
    <w:rsid w:val="008C1B9E"/>
    <w:rPr>
      <w:rFonts w:ascii="Tahoma" w:hAnsi="Tahoma" w:cs="Tahoma"/>
      <w:sz w:val="16"/>
      <w:szCs w:val="16"/>
    </w:rPr>
  </w:style>
  <w:style w:type="character" w:styleId="Izteiksmgs">
    <w:name w:val="Strong"/>
    <w:qFormat/>
    <w:rsid w:val="008928F5"/>
    <w:rPr>
      <w:b/>
      <w:bCs/>
    </w:rPr>
  </w:style>
  <w:style w:type="paragraph" w:styleId="Sarakstarindkopa">
    <w:name w:val="List Paragraph"/>
    <w:basedOn w:val="Parasts"/>
    <w:uiPriority w:val="34"/>
    <w:qFormat/>
    <w:rsid w:val="004C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5465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80416465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8994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753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1573006536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1730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358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1352414739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15495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Vecuma-Veco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A46D-6E4E-42D6-B001-3EC41457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1541</Words>
  <Characters>10402</Characters>
  <Application>Microsoft Office Word</Application>
  <DocSecurity>0</DocSecurity>
  <Lines>1155</Lines>
  <Paragraphs>351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Kampilobakteriozes uzraudzības, kontroles  un apkarošanas kārtība</vt:lpstr>
      <vt:lpstr>Kampilobakteriozes uzraudzības, kontroles  un apkarošanas kārtība</vt:lpstr>
    </vt:vector>
  </TitlesOfParts>
  <Company>Zemkopības ministrija</Company>
  <LinksUpToDate>false</LinksUpToDate>
  <CharactersWithSpaces>11592</CharactersWithSpaces>
  <SharedDoc>false</SharedDoc>
  <HLinks>
    <vt:vector size="6" baseType="variant">
      <vt:variant>
        <vt:i4>3735624</vt:i4>
      </vt:variant>
      <vt:variant>
        <vt:i4>3</vt:i4>
      </vt:variant>
      <vt:variant>
        <vt:i4>0</vt:i4>
      </vt:variant>
      <vt:variant>
        <vt:i4>5</vt:i4>
      </vt:variant>
      <vt:variant>
        <vt:lpwstr>mailto:Olita.Vecuma-Veco@zm.gov.lv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Kampilobakteriozes uzraudzības, kontroles  un apkarošanas kārtība</dc:title>
  <dc:subject>Anotācija</dc:subject>
  <dc:creator>Olita Vecuma-Veco</dc:creator>
  <dc:description>Olita.Vecuma-Veco@zm.gov.lv, 67027551</dc:description>
  <cp:lastModifiedBy>Renārs Žagars</cp:lastModifiedBy>
  <cp:revision>4</cp:revision>
  <cp:lastPrinted>2013-01-10T14:59:00Z</cp:lastPrinted>
  <dcterms:created xsi:type="dcterms:W3CDTF">2013-01-11T11:09:00Z</dcterms:created>
  <dcterms:modified xsi:type="dcterms:W3CDTF">2013-01-11T13:03:00Z</dcterms:modified>
</cp:coreProperties>
</file>