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AB" w:rsidRPr="001A17A6" w:rsidRDefault="007D6DAB" w:rsidP="00F47012">
      <w:pPr>
        <w:pStyle w:val="naisc"/>
        <w:spacing w:before="0" w:beforeAutospacing="0" w:after="0" w:afterAutospacing="0"/>
        <w:jc w:val="center"/>
        <w:rPr>
          <w:b/>
          <w:bCs/>
          <w:sz w:val="28"/>
          <w:szCs w:val="28"/>
        </w:rPr>
      </w:pPr>
      <w:bookmarkStart w:id="0" w:name="OLE_LINK3"/>
      <w:bookmarkStart w:id="1" w:name="OLE_LINK4"/>
      <w:bookmarkStart w:id="2" w:name="OLE_LINK1"/>
      <w:bookmarkStart w:id="3" w:name="OLE_LINK2"/>
      <w:r w:rsidRPr="001A17A6">
        <w:rPr>
          <w:b/>
          <w:bCs/>
          <w:sz w:val="28"/>
          <w:szCs w:val="28"/>
        </w:rPr>
        <w:t>Ministru kabineta noteikumu projekta</w:t>
      </w:r>
    </w:p>
    <w:bookmarkEnd w:id="0"/>
    <w:bookmarkEnd w:id="1"/>
    <w:p w:rsidR="007D6DAB" w:rsidRPr="00F47012" w:rsidRDefault="007D6DAB" w:rsidP="00F47012">
      <w:pPr>
        <w:jc w:val="center"/>
        <w:rPr>
          <w:rFonts w:ascii="Verdana" w:hAnsi="Verdana"/>
          <w:b/>
          <w:bCs/>
          <w:sz w:val="28"/>
          <w:szCs w:val="28"/>
        </w:rPr>
      </w:pPr>
      <w:r w:rsidRPr="001A17A6">
        <w:rPr>
          <w:b/>
          <w:bCs/>
          <w:sz w:val="28"/>
          <w:szCs w:val="28"/>
        </w:rPr>
        <w:t>„</w:t>
      </w:r>
      <w:r>
        <w:rPr>
          <w:b/>
          <w:bCs/>
          <w:sz w:val="28"/>
          <w:szCs w:val="28"/>
        </w:rPr>
        <w:t>Grozījumi Ministru kabineta 2011</w:t>
      </w:r>
      <w:r w:rsidRPr="001A17A6">
        <w:rPr>
          <w:b/>
          <w:bCs/>
          <w:sz w:val="28"/>
          <w:szCs w:val="28"/>
        </w:rPr>
        <w:t>.g</w:t>
      </w:r>
      <w:r>
        <w:rPr>
          <w:b/>
          <w:bCs/>
          <w:sz w:val="28"/>
          <w:szCs w:val="28"/>
        </w:rPr>
        <w:t>ada 30.augusta noteikumos Nr.669</w:t>
      </w:r>
      <w:r w:rsidRPr="001A17A6">
        <w:rPr>
          <w:b/>
          <w:bCs/>
          <w:sz w:val="28"/>
          <w:szCs w:val="28"/>
        </w:rPr>
        <w:t xml:space="preserve"> </w:t>
      </w:r>
      <w:r w:rsidRPr="00F86C5B">
        <w:rPr>
          <w:b/>
          <w:bCs/>
          <w:sz w:val="28"/>
          <w:szCs w:val="28"/>
        </w:rPr>
        <w:t>„</w:t>
      </w:r>
      <w:r>
        <w:rPr>
          <w:b/>
          <w:bCs/>
          <w:sz w:val="28"/>
          <w:szCs w:val="28"/>
        </w:rPr>
        <w:t xml:space="preserve">Noteikumi par traktortehnikas un tās piekabju reģistrācijas valsts nodevu”” </w:t>
      </w:r>
      <w:r w:rsidRPr="001A17A6">
        <w:rPr>
          <w:b/>
          <w:sz w:val="28"/>
          <w:szCs w:val="28"/>
        </w:rPr>
        <w:t xml:space="preserve">sākotnējās ietekmes novērtējuma </w:t>
      </w:r>
      <w:smartTag w:uri="schemas-tilde-lv/tildestengine" w:element="veidnes">
        <w:smartTagPr>
          <w:attr w:name="id" w:val="-1"/>
          <w:attr w:name="baseform" w:val="ziņojums"/>
          <w:attr w:name="text" w:val="ziņojums"/>
        </w:smartTagPr>
        <w:r w:rsidRPr="001A17A6">
          <w:rPr>
            <w:b/>
            <w:sz w:val="28"/>
            <w:szCs w:val="28"/>
          </w:rPr>
          <w:t>ziņojums</w:t>
        </w:r>
      </w:smartTag>
      <w:r w:rsidRPr="001A17A6">
        <w:rPr>
          <w:sz w:val="28"/>
          <w:szCs w:val="28"/>
        </w:rPr>
        <w:t xml:space="preserve"> </w:t>
      </w:r>
      <w:r w:rsidRPr="001A17A6">
        <w:rPr>
          <w:b/>
          <w:bCs/>
          <w:sz w:val="28"/>
          <w:szCs w:val="28"/>
        </w:rPr>
        <w:t>(anotācija</w:t>
      </w:r>
      <w:r w:rsidRPr="001A17A6">
        <w:rPr>
          <w:b/>
          <w:sz w:val="28"/>
          <w:szCs w:val="28"/>
        </w:rPr>
        <w:t>)</w:t>
      </w:r>
      <w:bookmarkEnd w:id="2"/>
      <w:bookmarkEnd w:id="3"/>
    </w:p>
    <w:p w:rsidR="007D6DAB" w:rsidRPr="001A17A6" w:rsidRDefault="007D6DAB" w:rsidP="00604BFA"/>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620"/>
      </w:tblGrid>
      <w:tr w:rsidR="007D6DAB" w:rsidRPr="001A17A6" w:rsidTr="0062486A">
        <w:tc>
          <w:tcPr>
            <w:tcW w:w="9485" w:type="dxa"/>
            <w:gridSpan w:val="3"/>
            <w:vAlign w:val="center"/>
          </w:tcPr>
          <w:p w:rsidR="007D6DAB" w:rsidRPr="001A17A6" w:rsidRDefault="007D6DAB">
            <w:pPr>
              <w:pStyle w:val="naisnod"/>
              <w:spacing w:before="0" w:after="0"/>
              <w:rPr>
                <w:highlight w:val="yellow"/>
              </w:rPr>
            </w:pPr>
            <w:r w:rsidRPr="001A17A6">
              <w:t>I. Tiesību akta projekta izstrādes nepieciešamība</w:t>
            </w:r>
          </w:p>
        </w:tc>
      </w:tr>
      <w:tr w:rsidR="007D6DAB" w:rsidRPr="001A17A6" w:rsidTr="0062486A">
        <w:trPr>
          <w:trHeight w:val="630"/>
        </w:trPr>
        <w:tc>
          <w:tcPr>
            <w:tcW w:w="550" w:type="dxa"/>
          </w:tcPr>
          <w:p w:rsidR="007D6DAB" w:rsidRPr="001A17A6" w:rsidRDefault="007D6DAB">
            <w:pPr>
              <w:pStyle w:val="naiskr"/>
              <w:spacing w:before="0" w:after="0"/>
            </w:pPr>
            <w:r w:rsidRPr="001A17A6">
              <w:t>1.</w:t>
            </w:r>
          </w:p>
        </w:tc>
        <w:tc>
          <w:tcPr>
            <w:tcW w:w="4315" w:type="dxa"/>
          </w:tcPr>
          <w:p w:rsidR="007D6DAB" w:rsidRPr="001A17A6" w:rsidRDefault="007D6DAB">
            <w:pPr>
              <w:pStyle w:val="naiskr"/>
              <w:spacing w:before="0" w:after="0"/>
              <w:ind w:hanging="10"/>
            </w:pPr>
            <w:r w:rsidRPr="001A17A6">
              <w:t>Pamatojums</w:t>
            </w:r>
          </w:p>
        </w:tc>
        <w:tc>
          <w:tcPr>
            <w:tcW w:w="4620" w:type="dxa"/>
          </w:tcPr>
          <w:p w:rsidR="007D6DAB" w:rsidRPr="00F47012" w:rsidRDefault="007D6DAB" w:rsidP="005A1DE4">
            <w:pPr>
              <w:pStyle w:val="naiskr"/>
              <w:spacing w:before="0" w:after="0"/>
              <w:ind w:hanging="5"/>
              <w:jc w:val="both"/>
            </w:pPr>
            <w:r w:rsidRPr="001A17A6">
              <w:t>Normatīvā akta projekts</w:t>
            </w:r>
            <w:r>
              <w:t xml:space="preserve"> </w:t>
            </w:r>
            <w:r w:rsidRPr="0021067B">
              <w:rPr>
                <w:bCs/>
              </w:rPr>
              <w:t>„</w:t>
            </w:r>
            <w:r>
              <w:rPr>
                <w:bCs/>
              </w:rPr>
              <w:t>Grozījumi Ministru kabineta 2011.gada 30.augusta noteikumos Nr.669</w:t>
            </w:r>
            <w:r w:rsidRPr="0021067B">
              <w:rPr>
                <w:bCs/>
              </w:rPr>
              <w:t xml:space="preserve"> „</w:t>
            </w:r>
            <w:r>
              <w:rPr>
                <w:color w:val="000000"/>
              </w:rPr>
              <w:t>Noteikumi par traktortehnikas un tās piekabju reģistrācijas valsts nodevu</w:t>
            </w:r>
            <w:r w:rsidRPr="0021067B">
              <w:rPr>
                <w:bCs/>
              </w:rPr>
              <w:t>””</w:t>
            </w:r>
            <w:r>
              <w:rPr>
                <w:bCs/>
              </w:rPr>
              <w:t xml:space="preserve"> (turpmāk – noteikumu projekts)</w:t>
            </w:r>
            <w:r w:rsidRPr="001A17A6">
              <w:t xml:space="preserve"> ir sagatavots, pamatojoties uz </w:t>
            </w:r>
            <w:r>
              <w:t>Ceļu satiksmes likuma 10.</w:t>
            </w:r>
            <w:r>
              <w:rPr>
                <w:vertAlign w:val="superscript"/>
              </w:rPr>
              <w:t>1</w:t>
            </w:r>
            <w:r>
              <w:t>pantu</w:t>
            </w:r>
            <w:r w:rsidRPr="001A17A6">
              <w:t>.</w:t>
            </w:r>
          </w:p>
        </w:tc>
      </w:tr>
      <w:tr w:rsidR="007D6DAB" w:rsidRPr="001A17A6" w:rsidTr="0062486A">
        <w:trPr>
          <w:trHeight w:val="472"/>
        </w:trPr>
        <w:tc>
          <w:tcPr>
            <w:tcW w:w="550" w:type="dxa"/>
          </w:tcPr>
          <w:p w:rsidR="007D6DAB" w:rsidRPr="001A17A6" w:rsidRDefault="007D6DAB">
            <w:pPr>
              <w:pStyle w:val="naiskr"/>
              <w:spacing w:before="0" w:after="0"/>
            </w:pPr>
            <w:r w:rsidRPr="001A17A6">
              <w:t>2.</w:t>
            </w:r>
          </w:p>
        </w:tc>
        <w:tc>
          <w:tcPr>
            <w:tcW w:w="4315" w:type="dxa"/>
          </w:tcPr>
          <w:p w:rsidR="007D6DAB" w:rsidRPr="001A17A6" w:rsidRDefault="007D6DAB">
            <w:pPr>
              <w:pStyle w:val="naiskr"/>
              <w:tabs>
                <w:tab w:val="left" w:pos="170"/>
              </w:tabs>
              <w:spacing w:before="0" w:after="0"/>
            </w:pPr>
            <w:r w:rsidRPr="001A17A6">
              <w:t>Pašreizējā situācija un problēmas</w:t>
            </w:r>
          </w:p>
        </w:tc>
        <w:tc>
          <w:tcPr>
            <w:tcW w:w="4620" w:type="dxa"/>
          </w:tcPr>
          <w:p w:rsidR="007D6DAB" w:rsidRDefault="007D6DAB" w:rsidP="00F3343D">
            <w:pPr>
              <w:jc w:val="both"/>
              <w:rPr>
                <w:color w:val="000000"/>
              </w:rPr>
            </w:pPr>
            <w:r>
              <w:t xml:space="preserve">Noteikumu projekts </w:t>
            </w:r>
            <w:r>
              <w:rPr>
                <w:color w:val="000000"/>
              </w:rPr>
              <w:t>ir precizējams atbilstoši faktiskajai situācijai.</w:t>
            </w:r>
          </w:p>
          <w:p w:rsidR="007D6DAB" w:rsidRDefault="007D6DAB" w:rsidP="00C12AFC">
            <w:pPr>
              <w:jc w:val="both"/>
              <w:rPr>
                <w:color w:val="000000"/>
              </w:rPr>
            </w:pPr>
            <w:r>
              <w:rPr>
                <w:color w:val="000000"/>
              </w:rPr>
              <w:t xml:space="preserve">Ministru kabineta 2012.gada 18.decembra sēdē ir pieņemts Ministru kabineta noteikumu  projekts „Valsts tehniskas uzraudzības aģentūras nolikums”, kas </w:t>
            </w:r>
            <w:r w:rsidRPr="00C12AFC">
              <w:rPr>
                <w:color w:val="000000"/>
              </w:rPr>
              <w:t>paredz, ka</w:t>
            </w:r>
            <w:r>
              <w:rPr>
                <w:color w:val="000000"/>
              </w:rPr>
              <w:t>,</w:t>
            </w:r>
            <w:r w:rsidRPr="00C12AFC">
              <w:rPr>
                <w:color w:val="000000"/>
              </w:rPr>
              <w:t xml:space="preserve"> sākot no 2013.gada 1.janvāra</w:t>
            </w:r>
            <w:r>
              <w:rPr>
                <w:color w:val="000000"/>
              </w:rPr>
              <w:t>,</w:t>
            </w:r>
            <w:r w:rsidRPr="00C12AFC">
              <w:rPr>
                <w:color w:val="000000"/>
              </w:rPr>
              <w:t xml:space="preserve"> valsts aģentūra „Valsts tehniskās uzraudzības aģentūra” </w:t>
            </w:r>
            <w:r>
              <w:rPr>
                <w:color w:val="000000"/>
              </w:rPr>
              <w:t>turpina darboties</w:t>
            </w:r>
            <w:r w:rsidRPr="00C12AFC">
              <w:rPr>
                <w:color w:val="000000"/>
              </w:rPr>
              <w:t xml:space="preserve"> tiešās valsts pārvaldes iestād</w:t>
            </w:r>
            <w:r>
              <w:rPr>
                <w:color w:val="000000"/>
              </w:rPr>
              <w:t>es statusā</w:t>
            </w:r>
            <w:r w:rsidRPr="00C12AFC">
              <w:rPr>
                <w:color w:val="000000"/>
              </w:rPr>
              <w:t>.</w:t>
            </w:r>
          </w:p>
          <w:p w:rsidR="007D6DAB" w:rsidRPr="00C35A08" w:rsidRDefault="007D6DAB" w:rsidP="00C35A08">
            <w:pPr>
              <w:jc w:val="both"/>
            </w:pPr>
            <w:r w:rsidRPr="00C35A08">
              <w:t>Latvija 2010.gada 1.martā ir ratificējusi Apvienoto Nāciju Organizācijas konvenciju „Par personu ar invaliditāti tiesībām” (spēkā kopš 2010.gada 1.marta). Minētajā konvencijā tiek lietots termins „persona ar invaliditāti”. Tāpat jānorāda, ka 2011.gada 1.janvārī spēkā stājies Invaliditātes likums, kura 1.panta 8.punktā tiek lietots termins „persona ar invaliditāti”.</w:t>
            </w:r>
          </w:p>
          <w:p w:rsidR="007D6DAB" w:rsidRPr="0005179F" w:rsidRDefault="007D6DAB" w:rsidP="00C12AFC">
            <w:pPr>
              <w:pStyle w:val="Vienkrsteksts"/>
              <w:jc w:val="both"/>
              <w:rPr>
                <w:rFonts w:ascii="Times New Roman" w:hAnsi="Times New Roman"/>
                <w:sz w:val="24"/>
                <w:szCs w:val="24"/>
              </w:rPr>
            </w:pPr>
            <w:r w:rsidRPr="0005179F">
              <w:rPr>
                <w:rFonts w:ascii="Times New Roman" w:hAnsi="Times New Roman"/>
                <w:sz w:val="24"/>
                <w:szCs w:val="24"/>
              </w:rPr>
              <w:t xml:space="preserve">Ministru kabinets 2012.gada 26.jūnijā pieņēma Ministru kabineta noteikumus Nr.450 „Noteikumi par invaliditāti apliecinoša dokumenta paraugu, dokumenta izsniegšanas un uzskaites kārtību” (turpmāk – noteikumi Nr.450), kas stājās spēkā ar </w:t>
            </w:r>
            <w:r w:rsidR="009B535C">
              <w:rPr>
                <w:rFonts w:ascii="Times New Roman" w:hAnsi="Times New Roman"/>
                <w:sz w:val="24"/>
                <w:szCs w:val="24"/>
              </w:rPr>
              <w:t>2012.</w:t>
            </w:r>
            <w:r w:rsidRPr="0005179F">
              <w:rPr>
                <w:rFonts w:ascii="Times New Roman" w:hAnsi="Times New Roman"/>
                <w:sz w:val="24"/>
                <w:szCs w:val="24"/>
              </w:rPr>
              <w:t>gada 1.novembri. Noteikumos Nr.450 tiek lietots  termins „invaliditātes apliecība”, kas aizstāj terminu „invalīda apliecība”.</w:t>
            </w:r>
          </w:p>
          <w:p w:rsidR="007D6DAB" w:rsidRPr="0005179F" w:rsidRDefault="007D6DAB" w:rsidP="00C12AFC">
            <w:pPr>
              <w:pStyle w:val="Vienkrsteksts"/>
              <w:jc w:val="both"/>
              <w:rPr>
                <w:rFonts w:ascii="Times New Roman" w:hAnsi="Times New Roman"/>
                <w:sz w:val="24"/>
                <w:szCs w:val="24"/>
              </w:rPr>
            </w:pPr>
            <w:r w:rsidRPr="0005179F">
              <w:rPr>
                <w:rFonts w:ascii="Times New Roman" w:hAnsi="Times New Roman"/>
                <w:sz w:val="24"/>
                <w:szCs w:val="24"/>
              </w:rPr>
              <w:t>Tāpēc visos Ministru kabineta noteikumos, kuros tiek lietots termins „invalīda apliecība”,  ir jāizdara grozījumi, lai to aizstātu ar terminu „invaliditātes apliecība”.</w:t>
            </w:r>
          </w:p>
          <w:p w:rsidR="007D6DAB" w:rsidRPr="0005179F" w:rsidRDefault="007D6DAB" w:rsidP="00C12AFC">
            <w:pPr>
              <w:pStyle w:val="Vienkrsteksts"/>
              <w:jc w:val="both"/>
              <w:rPr>
                <w:rFonts w:ascii="Times New Roman" w:hAnsi="Times New Roman"/>
                <w:sz w:val="24"/>
                <w:szCs w:val="24"/>
              </w:rPr>
            </w:pPr>
            <w:r w:rsidRPr="0005179F">
              <w:rPr>
                <w:rFonts w:ascii="Times New Roman" w:hAnsi="Times New Roman"/>
                <w:sz w:val="24"/>
                <w:szCs w:val="24"/>
              </w:rPr>
              <w:t xml:space="preserve">2012.gada 26.jūnija Ministru kabineta sēdes  </w:t>
            </w:r>
            <w:proofErr w:type="spellStart"/>
            <w:r w:rsidRPr="0005179F">
              <w:rPr>
                <w:rFonts w:ascii="Times New Roman" w:hAnsi="Times New Roman"/>
                <w:sz w:val="24"/>
                <w:szCs w:val="24"/>
              </w:rPr>
              <w:t>protokollēmuma</w:t>
            </w:r>
            <w:proofErr w:type="spellEnd"/>
            <w:r w:rsidRPr="0005179F">
              <w:rPr>
                <w:rFonts w:ascii="Times New Roman" w:hAnsi="Times New Roman"/>
                <w:sz w:val="24"/>
                <w:szCs w:val="24"/>
              </w:rPr>
              <w:t xml:space="preserve"> (prot.Nr.36 13.§) 2.punkts paredz Labklājības ministrijai sagatavot un labklājības ministram noteiktā kārtībā iesniegt izskatīšanai Ministru kabinetā grozījumus </w:t>
            </w:r>
            <w:r w:rsidRPr="0005179F">
              <w:rPr>
                <w:rFonts w:ascii="Times New Roman" w:hAnsi="Times New Roman"/>
                <w:sz w:val="24"/>
                <w:szCs w:val="24"/>
              </w:rPr>
              <w:lastRenderedPageBreak/>
              <w:t>normatīvajos aktos, kuros nepieciešams aizstāt terminu „invalīda apliecība” ar terminu „invaliditātes apliecība”.</w:t>
            </w:r>
          </w:p>
          <w:p w:rsidR="007D6DAB" w:rsidRPr="0005179F" w:rsidRDefault="007D6DAB" w:rsidP="00C12AFC">
            <w:pPr>
              <w:pStyle w:val="Vienkrsteksts"/>
              <w:jc w:val="both"/>
              <w:rPr>
                <w:rFonts w:ascii="Times New Roman" w:hAnsi="Times New Roman"/>
                <w:sz w:val="24"/>
                <w:szCs w:val="24"/>
              </w:rPr>
            </w:pPr>
            <w:r w:rsidRPr="0005179F">
              <w:rPr>
                <w:rFonts w:ascii="Times New Roman" w:hAnsi="Times New Roman"/>
                <w:sz w:val="24"/>
                <w:szCs w:val="24"/>
              </w:rPr>
              <w:t>Lai izpildītu Labklājības ministrijai doto uzdevumu, Zemkopības ministrija precizē noteikumu projektu.</w:t>
            </w:r>
          </w:p>
        </w:tc>
      </w:tr>
      <w:tr w:rsidR="007D6DAB" w:rsidRPr="001A17A6" w:rsidTr="0062486A">
        <w:trPr>
          <w:trHeight w:val="712"/>
        </w:trPr>
        <w:tc>
          <w:tcPr>
            <w:tcW w:w="550" w:type="dxa"/>
          </w:tcPr>
          <w:p w:rsidR="007D6DAB" w:rsidRPr="001A17A6" w:rsidRDefault="007D6DAB">
            <w:pPr>
              <w:pStyle w:val="naiskr"/>
              <w:spacing w:before="0" w:after="0"/>
            </w:pPr>
            <w:r w:rsidRPr="001A17A6">
              <w:lastRenderedPageBreak/>
              <w:t>3.</w:t>
            </w:r>
          </w:p>
        </w:tc>
        <w:tc>
          <w:tcPr>
            <w:tcW w:w="4315" w:type="dxa"/>
          </w:tcPr>
          <w:p w:rsidR="007D6DAB" w:rsidRPr="001A17A6" w:rsidRDefault="007D6DAB">
            <w:pPr>
              <w:pStyle w:val="naiskr"/>
              <w:spacing w:before="0" w:after="0"/>
            </w:pPr>
            <w:r w:rsidRPr="001A17A6">
              <w:t>Saistītie politikas ietekmes novērtējumi un pētījumi</w:t>
            </w:r>
          </w:p>
        </w:tc>
        <w:tc>
          <w:tcPr>
            <w:tcW w:w="4620" w:type="dxa"/>
          </w:tcPr>
          <w:p w:rsidR="007D6DAB" w:rsidRPr="0005179F" w:rsidRDefault="007D6DAB">
            <w:pPr>
              <w:pStyle w:val="Vresteksts"/>
              <w:rPr>
                <w:sz w:val="24"/>
                <w:szCs w:val="24"/>
                <w:highlight w:val="yellow"/>
              </w:rPr>
            </w:pPr>
            <w:r w:rsidRPr="0005179F">
              <w:rPr>
                <w:sz w:val="24"/>
                <w:szCs w:val="24"/>
              </w:rPr>
              <w:t>Projekts šo jomu neskar.</w:t>
            </w:r>
          </w:p>
        </w:tc>
      </w:tr>
      <w:tr w:rsidR="007D6DAB" w:rsidRPr="001A17A6" w:rsidTr="0062486A">
        <w:trPr>
          <w:trHeight w:val="384"/>
        </w:trPr>
        <w:tc>
          <w:tcPr>
            <w:tcW w:w="550" w:type="dxa"/>
          </w:tcPr>
          <w:p w:rsidR="007D6DAB" w:rsidRPr="001A17A6" w:rsidRDefault="007D6DAB">
            <w:pPr>
              <w:pStyle w:val="naiskr"/>
              <w:spacing w:before="0" w:after="0"/>
            </w:pPr>
            <w:r w:rsidRPr="001A17A6">
              <w:t>4.</w:t>
            </w:r>
          </w:p>
        </w:tc>
        <w:tc>
          <w:tcPr>
            <w:tcW w:w="4315" w:type="dxa"/>
          </w:tcPr>
          <w:p w:rsidR="007D6DAB" w:rsidRPr="001A17A6" w:rsidRDefault="007D6DAB">
            <w:pPr>
              <w:pStyle w:val="naiskr"/>
              <w:spacing w:before="0" w:after="0"/>
            </w:pPr>
            <w:r w:rsidRPr="001A17A6">
              <w:t>Tiesiskā regulējuma mērķis un būtība</w:t>
            </w:r>
          </w:p>
        </w:tc>
        <w:tc>
          <w:tcPr>
            <w:tcW w:w="4620" w:type="dxa"/>
          </w:tcPr>
          <w:p w:rsidR="007D6DAB" w:rsidRDefault="007D6DAB" w:rsidP="00A86017">
            <w:pPr>
              <w:pStyle w:val="naiskr"/>
              <w:spacing w:before="0" w:after="0"/>
              <w:jc w:val="both"/>
            </w:pPr>
            <w:r>
              <w:t>N</w:t>
            </w:r>
            <w:r w:rsidRPr="001A17A6">
              <w:t xml:space="preserve">oteikumu projekts sagatavots, lai </w:t>
            </w:r>
            <w:r>
              <w:t>aizstātu valsts iestādes nosaukumā vārdus „valsts aģentūra” ar vārdiem „ iestāde”.</w:t>
            </w:r>
          </w:p>
          <w:p w:rsidR="007D6DAB" w:rsidRDefault="007D6DAB" w:rsidP="00C12AFC">
            <w:pPr>
              <w:pStyle w:val="naiskr"/>
              <w:spacing w:before="0" w:after="0"/>
              <w:jc w:val="both"/>
            </w:pPr>
            <w:r>
              <w:t xml:space="preserve">Atbilstoši </w:t>
            </w:r>
            <w:r w:rsidR="009B535C">
              <w:t>n</w:t>
            </w:r>
            <w:r>
              <w:t>oteikumiem Nr.450</w:t>
            </w:r>
            <w:bookmarkStart w:id="4" w:name="_GoBack"/>
            <w:bookmarkEnd w:id="4"/>
            <w:r>
              <w:t xml:space="preserve"> precizēts invaliditātes apliecības nosaukums.</w:t>
            </w:r>
          </w:p>
          <w:p w:rsidR="007D6DAB" w:rsidRPr="00B97893" w:rsidRDefault="007D6DAB" w:rsidP="004047CC">
            <w:pPr>
              <w:pStyle w:val="naiskr"/>
              <w:spacing w:before="0" w:after="0"/>
              <w:jc w:val="both"/>
            </w:pPr>
            <w:r>
              <w:t>Atbilstoši Invaliditātes likuma terminoloģijai noteikumu projektā precizēts termins „persona ar invaliditāti”.</w:t>
            </w:r>
          </w:p>
        </w:tc>
      </w:tr>
      <w:tr w:rsidR="007D6DAB" w:rsidRPr="001A17A6" w:rsidTr="0062486A">
        <w:trPr>
          <w:trHeight w:val="476"/>
        </w:trPr>
        <w:tc>
          <w:tcPr>
            <w:tcW w:w="550" w:type="dxa"/>
          </w:tcPr>
          <w:p w:rsidR="007D6DAB" w:rsidRPr="001A17A6" w:rsidRDefault="007D6DAB">
            <w:pPr>
              <w:pStyle w:val="naiskr"/>
              <w:spacing w:before="0" w:after="0"/>
            </w:pPr>
            <w:r w:rsidRPr="001A17A6">
              <w:t>5.</w:t>
            </w:r>
          </w:p>
        </w:tc>
        <w:tc>
          <w:tcPr>
            <w:tcW w:w="4315" w:type="dxa"/>
          </w:tcPr>
          <w:p w:rsidR="007D6DAB" w:rsidRPr="001A17A6" w:rsidRDefault="007D6DAB">
            <w:pPr>
              <w:pStyle w:val="naiskr"/>
              <w:spacing w:before="0" w:after="0"/>
            </w:pPr>
            <w:r w:rsidRPr="001A17A6">
              <w:t>Projekta izstrādē iesaistītās institūcijas</w:t>
            </w:r>
          </w:p>
        </w:tc>
        <w:tc>
          <w:tcPr>
            <w:tcW w:w="4620" w:type="dxa"/>
          </w:tcPr>
          <w:p w:rsidR="007D6DAB" w:rsidRPr="001A17A6" w:rsidRDefault="007D6DAB" w:rsidP="00BE0949">
            <w:pPr>
              <w:pStyle w:val="naiskr"/>
              <w:spacing w:before="0" w:after="0"/>
              <w:jc w:val="both"/>
            </w:pPr>
            <w:r w:rsidRPr="001A17A6">
              <w:t>Zemkopības ministrija</w:t>
            </w:r>
            <w:r>
              <w:t xml:space="preserve"> un</w:t>
            </w:r>
            <w:r w:rsidRPr="001A17A6">
              <w:t xml:space="preserve"> valsts aģentūra „Valsts tehniskās uzraudzības aģentūra”</w:t>
            </w:r>
            <w:r>
              <w:t>.</w:t>
            </w:r>
          </w:p>
        </w:tc>
      </w:tr>
      <w:tr w:rsidR="007D6DAB" w:rsidRPr="001A17A6" w:rsidTr="0062486A">
        <w:trPr>
          <w:trHeight w:val="698"/>
        </w:trPr>
        <w:tc>
          <w:tcPr>
            <w:tcW w:w="550" w:type="dxa"/>
          </w:tcPr>
          <w:p w:rsidR="007D6DAB" w:rsidRPr="001A17A6" w:rsidRDefault="007D6DAB">
            <w:pPr>
              <w:pStyle w:val="naiskr"/>
              <w:spacing w:before="0" w:after="0"/>
            </w:pPr>
            <w:r w:rsidRPr="001A17A6">
              <w:t>6.</w:t>
            </w:r>
          </w:p>
        </w:tc>
        <w:tc>
          <w:tcPr>
            <w:tcW w:w="4315" w:type="dxa"/>
          </w:tcPr>
          <w:p w:rsidR="007D6DAB" w:rsidRPr="001A17A6" w:rsidRDefault="007D6DAB">
            <w:pPr>
              <w:pStyle w:val="naiskr"/>
              <w:spacing w:before="0" w:after="0"/>
              <w:rPr>
                <w:i/>
              </w:rPr>
            </w:pPr>
            <w:r w:rsidRPr="001A17A6">
              <w:t>Iemesli, kādēļ netika nodrošināta sabiedrības līdzdalība</w:t>
            </w:r>
          </w:p>
        </w:tc>
        <w:tc>
          <w:tcPr>
            <w:tcW w:w="4620" w:type="dxa"/>
          </w:tcPr>
          <w:p w:rsidR="007D6DAB" w:rsidRPr="0005179F" w:rsidRDefault="007D6DAB">
            <w:pPr>
              <w:pStyle w:val="Vresteksts"/>
              <w:rPr>
                <w:sz w:val="24"/>
                <w:szCs w:val="24"/>
              </w:rPr>
            </w:pPr>
            <w:r w:rsidRPr="0005179F">
              <w:rPr>
                <w:sz w:val="24"/>
                <w:szCs w:val="24"/>
              </w:rPr>
              <w:t>Projekts šo jomu neskar.</w:t>
            </w:r>
          </w:p>
        </w:tc>
      </w:tr>
      <w:tr w:rsidR="007D6DAB" w:rsidRPr="001A17A6" w:rsidTr="0062486A">
        <w:tc>
          <w:tcPr>
            <w:tcW w:w="550" w:type="dxa"/>
          </w:tcPr>
          <w:p w:rsidR="007D6DAB" w:rsidRPr="001A17A6" w:rsidRDefault="007D6DAB">
            <w:pPr>
              <w:pStyle w:val="naiskr"/>
              <w:spacing w:before="0" w:after="0"/>
            </w:pPr>
            <w:r w:rsidRPr="001A17A6">
              <w:t>7.</w:t>
            </w:r>
          </w:p>
        </w:tc>
        <w:tc>
          <w:tcPr>
            <w:tcW w:w="4315" w:type="dxa"/>
          </w:tcPr>
          <w:p w:rsidR="007D6DAB" w:rsidRPr="001A17A6" w:rsidRDefault="007D6DAB">
            <w:pPr>
              <w:pStyle w:val="naiskr"/>
              <w:spacing w:before="0" w:after="0"/>
            </w:pPr>
            <w:r w:rsidRPr="001A17A6">
              <w:t>Cita informācija</w:t>
            </w:r>
          </w:p>
        </w:tc>
        <w:tc>
          <w:tcPr>
            <w:tcW w:w="4620" w:type="dxa"/>
          </w:tcPr>
          <w:p w:rsidR="007D6DAB" w:rsidRPr="001A17A6" w:rsidRDefault="007D6DAB">
            <w:pPr>
              <w:pStyle w:val="naiskr"/>
              <w:spacing w:before="0" w:after="0"/>
            </w:pPr>
            <w:r w:rsidRPr="001A17A6">
              <w:t>Nav</w:t>
            </w:r>
          </w:p>
        </w:tc>
      </w:tr>
    </w:tbl>
    <w:p w:rsidR="007D6DAB" w:rsidRPr="001A17A6" w:rsidRDefault="007D6DAB" w:rsidP="00EA63C5">
      <w:pPr>
        <w:rPr>
          <w:highlight w:val="yellow"/>
        </w:rPr>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5"/>
        <w:gridCol w:w="4855"/>
        <w:gridCol w:w="4025"/>
      </w:tblGrid>
      <w:tr w:rsidR="007D6DAB" w:rsidRPr="001A17A6" w:rsidTr="0062486A">
        <w:trPr>
          <w:trHeight w:val="537"/>
        </w:trPr>
        <w:tc>
          <w:tcPr>
            <w:tcW w:w="9605" w:type="dxa"/>
            <w:gridSpan w:val="3"/>
            <w:vAlign w:val="center"/>
          </w:tcPr>
          <w:p w:rsidR="007D6DAB" w:rsidRPr="001A17A6" w:rsidRDefault="007D6DAB">
            <w:pPr>
              <w:pStyle w:val="naisnod"/>
              <w:spacing w:before="0" w:after="0"/>
              <w:rPr>
                <w:highlight w:val="yellow"/>
              </w:rPr>
            </w:pPr>
            <w:r w:rsidRPr="001A17A6">
              <w:t>II. Tiesību akta projekta ietekme uz sabiedrību</w:t>
            </w:r>
          </w:p>
        </w:tc>
      </w:tr>
      <w:tr w:rsidR="007D6DAB" w:rsidRPr="001A17A6" w:rsidTr="0062486A">
        <w:trPr>
          <w:trHeight w:val="467"/>
        </w:trPr>
        <w:tc>
          <w:tcPr>
            <w:tcW w:w="725" w:type="dxa"/>
          </w:tcPr>
          <w:p w:rsidR="007D6DAB" w:rsidRPr="001A17A6" w:rsidRDefault="007D6DAB">
            <w:pPr>
              <w:pStyle w:val="naiskr"/>
              <w:spacing w:before="0" w:after="0"/>
            </w:pPr>
            <w:r w:rsidRPr="001A17A6">
              <w:t>1.</w:t>
            </w:r>
          </w:p>
        </w:tc>
        <w:tc>
          <w:tcPr>
            <w:tcW w:w="4855" w:type="dxa"/>
          </w:tcPr>
          <w:p w:rsidR="007D6DAB" w:rsidRPr="001A17A6" w:rsidRDefault="007D6DAB">
            <w:pPr>
              <w:pStyle w:val="naiskr"/>
              <w:spacing w:before="0" w:after="0"/>
            </w:pPr>
            <w:r w:rsidRPr="001A17A6">
              <w:t xml:space="preserve">Sabiedrības </w:t>
            </w:r>
            <w:proofErr w:type="spellStart"/>
            <w:r w:rsidRPr="001A17A6">
              <w:t>mērķgrupa</w:t>
            </w:r>
            <w:proofErr w:type="spellEnd"/>
          </w:p>
        </w:tc>
        <w:tc>
          <w:tcPr>
            <w:tcW w:w="4025" w:type="dxa"/>
          </w:tcPr>
          <w:p w:rsidR="007D6DAB" w:rsidRPr="001A17A6" w:rsidRDefault="007D6DAB" w:rsidP="00C12AFC">
            <w:pPr>
              <w:spacing w:line="270" w:lineRule="atLeast"/>
              <w:jc w:val="both"/>
            </w:pPr>
            <w:r>
              <w:t>Traktortehnikas īpašnieki, t.sk. personas ar invaliditātes apliecībām</w:t>
            </w:r>
          </w:p>
        </w:tc>
      </w:tr>
      <w:tr w:rsidR="007D6DAB" w:rsidRPr="001A17A6" w:rsidTr="0062486A">
        <w:trPr>
          <w:trHeight w:val="523"/>
        </w:trPr>
        <w:tc>
          <w:tcPr>
            <w:tcW w:w="725" w:type="dxa"/>
          </w:tcPr>
          <w:p w:rsidR="007D6DAB" w:rsidRPr="001A17A6" w:rsidRDefault="007D6DAB">
            <w:pPr>
              <w:pStyle w:val="naiskr"/>
              <w:spacing w:before="0" w:after="0"/>
            </w:pPr>
            <w:r w:rsidRPr="001A17A6">
              <w:t>2.</w:t>
            </w:r>
          </w:p>
        </w:tc>
        <w:tc>
          <w:tcPr>
            <w:tcW w:w="4855" w:type="dxa"/>
          </w:tcPr>
          <w:p w:rsidR="007D6DAB" w:rsidRPr="001A17A6" w:rsidRDefault="007D6DAB">
            <w:pPr>
              <w:pStyle w:val="naiskr"/>
              <w:spacing w:before="0" w:after="0"/>
            </w:pPr>
            <w:r w:rsidRPr="001A17A6">
              <w:t xml:space="preserve">Citas sabiedrības grupas (bez </w:t>
            </w:r>
            <w:proofErr w:type="spellStart"/>
            <w:r w:rsidRPr="001A17A6">
              <w:t>mērķgrupas</w:t>
            </w:r>
            <w:proofErr w:type="spellEnd"/>
            <w:r w:rsidRPr="001A17A6">
              <w:t>), kuras tiesiskais regulējums arī ietekmē vai varētu ietekmēt</w:t>
            </w:r>
          </w:p>
        </w:tc>
        <w:tc>
          <w:tcPr>
            <w:tcW w:w="4025" w:type="dxa"/>
          </w:tcPr>
          <w:p w:rsidR="007D6DAB" w:rsidRPr="001A17A6" w:rsidRDefault="007D6DAB">
            <w:pPr>
              <w:pStyle w:val="naiskr"/>
              <w:spacing w:before="0" w:after="0"/>
              <w:rPr>
                <w:highlight w:val="yellow"/>
              </w:rPr>
            </w:pPr>
            <w:r w:rsidRPr="001A17A6">
              <w:t>Projekts šo jomu neskar.</w:t>
            </w:r>
          </w:p>
        </w:tc>
      </w:tr>
      <w:tr w:rsidR="007D6DAB" w:rsidRPr="001A17A6" w:rsidTr="0062486A">
        <w:trPr>
          <w:trHeight w:val="517"/>
        </w:trPr>
        <w:tc>
          <w:tcPr>
            <w:tcW w:w="725" w:type="dxa"/>
          </w:tcPr>
          <w:p w:rsidR="007D6DAB" w:rsidRPr="001A17A6" w:rsidRDefault="007D6DAB">
            <w:pPr>
              <w:pStyle w:val="naiskr"/>
              <w:spacing w:before="0" w:after="0"/>
            </w:pPr>
            <w:r w:rsidRPr="001A17A6">
              <w:t>3.</w:t>
            </w:r>
          </w:p>
        </w:tc>
        <w:tc>
          <w:tcPr>
            <w:tcW w:w="4855" w:type="dxa"/>
          </w:tcPr>
          <w:p w:rsidR="007D6DAB" w:rsidRPr="001A17A6" w:rsidRDefault="007D6DAB">
            <w:pPr>
              <w:pStyle w:val="naiskr"/>
              <w:spacing w:before="0" w:after="0"/>
            </w:pPr>
            <w:r w:rsidRPr="001A17A6">
              <w:t>Tiesiskā regulējuma finansiālā ietekme</w:t>
            </w:r>
          </w:p>
        </w:tc>
        <w:tc>
          <w:tcPr>
            <w:tcW w:w="4025" w:type="dxa"/>
          </w:tcPr>
          <w:p w:rsidR="007D6DAB" w:rsidRPr="001A17A6" w:rsidRDefault="007D6DAB">
            <w:pPr>
              <w:pStyle w:val="naiskr"/>
              <w:spacing w:before="0" w:after="0"/>
            </w:pPr>
            <w:r w:rsidRPr="001A17A6">
              <w:t>Projekts šo jomu neskar.</w:t>
            </w:r>
          </w:p>
        </w:tc>
      </w:tr>
      <w:tr w:rsidR="007D6DAB" w:rsidRPr="001A17A6" w:rsidTr="0062486A">
        <w:trPr>
          <w:trHeight w:val="517"/>
        </w:trPr>
        <w:tc>
          <w:tcPr>
            <w:tcW w:w="725" w:type="dxa"/>
          </w:tcPr>
          <w:p w:rsidR="007D6DAB" w:rsidRPr="001A17A6" w:rsidRDefault="007D6DAB">
            <w:pPr>
              <w:pStyle w:val="naiskr"/>
              <w:spacing w:before="0" w:after="0"/>
            </w:pPr>
            <w:r w:rsidRPr="001A17A6">
              <w:t>4.</w:t>
            </w:r>
          </w:p>
        </w:tc>
        <w:tc>
          <w:tcPr>
            <w:tcW w:w="4855" w:type="dxa"/>
          </w:tcPr>
          <w:p w:rsidR="007D6DAB" w:rsidRPr="001A17A6" w:rsidRDefault="007D6DAB">
            <w:pPr>
              <w:pStyle w:val="naiskr"/>
              <w:spacing w:before="0" w:after="0"/>
            </w:pPr>
            <w:r w:rsidRPr="001A17A6">
              <w:t>Tiesiskā regulējuma nefinansiālā ietekme</w:t>
            </w:r>
          </w:p>
        </w:tc>
        <w:tc>
          <w:tcPr>
            <w:tcW w:w="4025" w:type="dxa"/>
          </w:tcPr>
          <w:p w:rsidR="007D6DAB" w:rsidRPr="001A17A6" w:rsidRDefault="007D6DAB">
            <w:pPr>
              <w:pStyle w:val="naiskr"/>
              <w:spacing w:before="0" w:after="0"/>
              <w:jc w:val="both"/>
            </w:pPr>
            <w:r w:rsidRPr="001A17A6">
              <w:t>Projekts šo jomu neskar.</w:t>
            </w:r>
          </w:p>
        </w:tc>
      </w:tr>
      <w:tr w:rsidR="007D6DAB" w:rsidRPr="001A17A6" w:rsidTr="00D14E16">
        <w:trPr>
          <w:trHeight w:val="352"/>
        </w:trPr>
        <w:tc>
          <w:tcPr>
            <w:tcW w:w="725" w:type="dxa"/>
          </w:tcPr>
          <w:p w:rsidR="007D6DAB" w:rsidRPr="001A17A6" w:rsidRDefault="007D6DAB">
            <w:pPr>
              <w:pStyle w:val="naiskr"/>
              <w:spacing w:before="0" w:after="0"/>
            </w:pPr>
            <w:r w:rsidRPr="001A17A6">
              <w:t>5.</w:t>
            </w:r>
          </w:p>
        </w:tc>
        <w:tc>
          <w:tcPr>
            <w:tcW w:w="4855" w:type="dxa"/>
          </w:tcPr>
          <w:p w:rsidR="007D6DAB" w:rsidRPr="001A17A6" w:rsidRDefault="007D6DAB">
            <w:pPr>
              <w:pStyle w:val="naiskr"/>
              <w:spacing w:before="0" w:after="0"/>
            </w:pPr>
            <w:r w:rsidRPr="001A17A6">
              <w:t>Administratīvās procedūras raksturojums</w:t>
            </w:r>
          </w:p>
        </w:tc>
        <w:tc>
          <w:tcPr>
            <w:tcW w:w="4025" w:type="dxa"/>
          </w:tcPr>
          <w:p w:rsidR="007D6DAB" w:rsidRPr="001A17A6" w:rsidRDefault="007D6DAB" w:rsidP="00720A0D">
            <w:pPr>
              <w:jc w:val="both"/>
              <w:rPr>
                <w:highlight w:val="yellow"/>
              </w:rPr>
            </w:pPr>
            <w:r w:rsidRPr="001A17A6">
              <w:t>Projekts šo jomu neskar.</w:t>
            </w:r>
          </w:p>
        </w:tc>
      </w:tr>
      <w:tr w:rsidR="007D6DAB" w:rsidRPr="001A17A6" w:rsidTr="0062486A">
        <w:trPr>
          <w:trHeight w:val="357"/>
        </w:trPr>
        <w:tc>
          <w:tcPr>
            <w:tcW w:w="725" w:type="dxa"/>
          </w:tcPr>
          <w:p w:rsidR="007D6DAB" w:rsidRPr="001A17A6" w:rsidRDefault="007D6DAB">
            <w:pPr>
              <w:pStyle w:val="naiskr"/>
              <w:spacing w:before="0" w:after="0"/>
            </w:pPr>
            <w:r w:rsidRPr="001A17A6">
              <w:t>6.</w:t>
            </w:r>
          </w:p>
        </w:tc>
        <w:tc>
          <w:tcPr>
            <w:tcW w:w="4855" w:type="dxa"/>
          </w:tcPr>
          <w:p w:rsidR="007D6DAB" w:rsidRPr="001A17A6" w:rsidRDefault="007D6DAB">
            <w:pPr>
              <w:pStyle w:val="naiskr"/>
              <w:spacing w:before="0" w:after="0"/>
            </w:pPr>
            <w:r w:rsidRPr="001A17A6">
              <w:t>Administratīvo i</w:t>
            </w:r>
            <w:smartTag w:uri="urn:schemas-microsoft-com:office:smarttags" w:element="PersonName">
              <w:r w:rsidRPr="001A17A6">
                <w:t>zm</w:t>
              </w:r>
            </w:smartTag>
            <w:r w:rsidRPr="001A17A6">
              <w:t>aksu monetārs novērtējums</w:t>
            </w:r>
          </w:p>
        </w:tc>
        <w:tc>
          <w:tcPr>
            <w:tcW w:w="4025" w:type="dxa"/>
          </w:tcPr>
          <w:p w:rsidR="007D6DAB" w:rsidRPr="001A17A6" w:rsidRDefault="007D6DAB">
            <w:pPr>
              <w:pStyle w:val="naiskr"/>
              <w:spacing w:before="0" w:after="0"/>
              <w:jc w:val="both"/>
            </w:pPr>
            <w:r w:rsidRPr="001A17A6">
              <w:t>Projekts šo jomu neskar.</w:t>
            </w:r>
          </w:p>
        </w:tc>
      </w:tr>
    </w:tbl>
    <w:p w:rsidR="00F55F43" w:rsidRDefault="007D6DAB" w:rsidP="006B01BB">
      <w:pPr>
        <w:pStyle w:val="ParastaisWeb"/>
        <w:spacing w:before="0" w:beforeAutospacing="0" w:after="0" w:afterAutospacing="0"/>
        <w:rPr>
          <w:i/>
        </w:rPr>
      </w:pPr>
      <w:r>
        <w:rPr>
          <w:i/>
        </w:rPr>
        <w:t>Anotācijas III, I</w:t>
      </w:r>
      <w:r w:rsidRPr="001910B3">
        <w:rPr>
          <w:i/>
        </w:rPr>
        <w:t xml:space="preserve">V </w:t>
      </w:r>
      <w:r>
        <w:rPr>
          <w:i/>
        </w:rPr>
        <w:t xml:space="preserve">un V </w:t>
      </w:r>
      <w:r w:rsidRPr="001910B3">
        <w:rPr>
          <w:i/>
        </w:rPr>
        <w:t>sadaļa – nav attiecināms.</w:t>
      </w:r>
    </w:p>
    <w:p w:rsidR="00F55F43" w:rsidRDefault="00F55F43" w:rsidP="006B01BB">
      <w:pPr>
        <w:pStyle w:val="ParastaisWeb"/>
        <w:spacing w:before="0" w:beforeAutospacing="0" w:after="0" w:afterAutospacing="0"/>
        <w:rPr>
          <w:i/>
        </w:rPr>
      </w:pPr>
    </w:p>
    <w:tbl>
      <w:tblPr>
        <w:tblW w:w="9663" w:type="dxa"/>
        <w:tblInd w:w="-176" w:type="dxa"/>
        <w:tblLook w:val="0000"/>
      </w:tblPr>
      <w:tblGrid>
        <w:gridCol w:w="686"/>
        <w:gridCol w:w="4087"/>
        <w:gridCol w:w="4890"/>
      </w:tblGrid>
      <w:tr w:rsidR="00F55F43" w:rsidRPr="001A17A6" w:rsidTr="00F55F43">
        <w:tc>
          <w:tcPr>
            <w:tcW w:w="686" w:type="dxa"/>
            <w:tcBorders>
              <w:top w:val="single" w:sz="4" w:space="0" w:color="auto"/>
              <w:left w:val="single" w:sz="4" w:space="0" w:color="auto"/>
              <w:bottom w:val="single" w:sz="4" w:space="0" w:color="auto"/>
              <w:right w:val="single" w:sz="4" w:space="0" w:color="auto"/>
            </w:tcBorders>
          </w:tcPr>
          <w:p w:rsidR="00F55F43" w:rsidRPr="001A17A6" w:rsidRDefault="00F55F43" w:rsidP="00F55F43">
            <w:pPr>
              <w:pStyle w:val="naisnod"/>
              <w:spacing w:before="0" w:after="0"/>
              <w:ind w:right="57"/>
              <w:rPr>
                <w:highlight w:val="yellow"/>
              </w:rPr>
            </w:pPr>
          </w:p>
        </w:tc>
        <w:tc>
          <w:tcPr>
            <w:tcW w:w="8977" w:type="dxa"/>
            <w:gridSpan w:val="2"/>
            <w:tcBorders>
              <w:top w:val="single" w:sz="4" w:space="0" w:color="auto"/>
              <w:left w:val="single" w:sz="4" w:space="0" w:color="auto"/>
              <w:bottom w:val="single" w:sz="4" w:space="0" w:color="auto"/>
              <w:right w:val="single" w:sz="4" w:space="0" w:color="auto"/>
            </w:tcBorders>
          </w:tcPr>
          <w:p w:rsidR="00F55F43" w:rsidRPr="001A17A6" w:rsidRDefault="00F55F43" w:rsidP="00F55F43">
            <w:pPr>
              <w:pStyle w:val="naisnod"/>
              <w:ind w:right="57"/>
              <w:rPr>
                <w:highlight w:val="yellow"/>
              </w:rPr>
            </w:pPr>
            <w:r w:rsidRPr="001A17A6">
              <w:t>VI. Sabiedrības līdzdalība un šīs līdzdalības rezultāti</w:t>
            </w:r>
          </w:p>
        </w:tc>
      </w:tr>
      <w:tr w:rsidR="007D6DAB" w:rsidRPr="001A17A6" w:rsidTr="00F55F43">
        <w:trPr>
          <w:trHeight w:val="553"/>
        </w:trPr>
        <w:tc>
          <w:tcPr>
            <w:tcW w:w="686" w:type="dxa"/>
            <w:tcBorders>
              <w:top w:val="single" w:sz="4" w:space="0" w:color="auto"/>
              <w:left w:val="single" w:sz="4" w:space="0" w:color="auto"/>
              <w:bottom w:val="single" w:sz="4" w:space="0" w:color="auto"/>
              <w:right w:val="single" w:sz="4" w:space="0" w:color="auto"/>
            </w:tcBorders>
          </w:tcPr>
          <w:p w:rsidR="007D6DAB" w:rsidRPr="001A17A6" w:rsidRDefault="007D6DAB">
            <w:pPr>
              <w:pStyle w:val="naiskr"/>
              <w:spacing w:before="0" w:after="0"/>
              <w:ind w:left="57" w:right="57"/>
              <w:rPr>
                <w:bCs/>
              </w:rPr>
            </w:pPr>
            <w:r w:rsidRPr="001A17A6">
              <w:rPr>
                <w:bCs/>
              </w:rPr>
              <w:t>1.</w:t>
            </w:r>
          </w:p>
        </w:tc>
        <w:tc>
          <w:tcPr>
            <w:tcW w:w="4087" w:type="dxa"/>
            <w:tcBorders>
              <w:top w:val="single" w:sz="4" w:space="0" w:color="auto"/>
              <w:left w:val="single" w:sz="4" w:space="0" w:color="auto"/>
              <w:bottom w:val="single" w:sz="4" w:space="0" w:color="auto"/>
              <w:right w:val="single" w:sz="4" w:space="0" w:color="auto"/>
            </w:tcBorders>
          </w:tcPr>
          <w:p w:rsidR="007D6DAB" w:rsidRPr="001A17A6" w:rsidRDefault="007D6DAB">
            <w:pPr>
              <w:pStyle w:val="naiskr"/>
              <w:tabs>
                <w:tab w:val="left" w:pos="170"/>
              </w:tabs>
              <w:spacing w:before="0" w:after="0"/>
              <w:ind w:left="57" w:right="57"/>
            </w:pPr>
            <w:r w:rsidRPr="001A17A6">
              <w:t>Sabiedrības informēšana par projekta izstrādes uzsākšanu</w:t>
            </w:r>
          </w:p>
        </w:tc>
        <w:tc>
          <w:tcPr>
            <w:tcW w:w="4890" w:type="dxa"/>
            <w:tcBorders>
              <w:top w:val="single" w:sz="4" w:space="0" w:color="auto"/>
              <w:left w:val="single" w:sz="4" w:space="0" w:color="auto"/>
              <w:bottom w:val="single" w:sz="4" w:space="0" w:color="auto"/>
              <w:right w:val="single" w:sz="4" w:space="0" w:color="auto"/>
            </w:tcBorders>
          </w:tcPr>
          <w:p w:rsidR="007D6DAB" w:rsidRPr="001A17A6" w:rsidRDefault="007D6DAB" w:rsidP="00152C31">
            <w:pPr>
              <w:pStyle w:val="naiskr"/>
              <w:spacing w:before="0" w:after="0"/>
              <w:ind w:left="57" w:right="57"/>
              <w:jc w:val="both"/>
              <w:rPr>
                <w:highlight w:val="yellow"/>
              </w:rPr>
            </w:pPr>
            <w:r>
              <w:rPr>
                <w:iCs/>
              </w:rPr>
              <w:t>I</w:t>
            </w:r>
            <w:r w:rsidRPr="001A17A6">
              <w:rPr>
                <w:iCs/>
              </w:rPr>
              <w:t xml:space="preserve">nformācija </w:t>
            </w:r>
            <w:r>
              <w:rPr>
                <w:iCs/>
              </w:rPr>
              <w:t>p</w:t>
            </w:r>
            <w:r w:rsidRPr="001A17A6">
              <w:rPr>
                <w:iCs/>
              </w:rPr>
              <w:t xml:space="preserve">ar normatīvā akta projektu nosūtīta </w:t>
            </w:r>
            <w:r w:rsidRPr="001A17A6">
              <w:t xml:space="preserve">uz sociālo partneru e-pasta adresēm, kā arī ir ievietota </w:t>
            </w:r>
            <w:r>
              <w:t xml:space="preserve">Zemkopības ministrijas </w:t>
            </w:r>
            <w:r w:rsidRPr="001A17A6">
              <w:t xml:space="preserve">tīmekļa vietnē </w:t>
            </w:r>
            <w:proofErr w:type="spellStart"/>
            <w:r w:rsidRPr="001A17A6">
              <w:t>www.zm.gov.lv</w:t>
            </w:r>
            <w:proofErr w:type="spellEnd"/>
            <w:r>
              <w:t>.</w:t>
            </w:r>
          </w:p>
        </w:tc>
      </w:tr>
      <w:tr w:rsidR="007D6DAB" w:rsidRPr="001A17A6" w:rsidTr="00F55F43">
        <w:trPr>
          <w:trHeight w:val="339"/>
        </w:trPr>
        <w:tc>
          <w:tcPr>
            <w:tcW w:w="686" w:type="dxa"/>
            <w:tcBorders>
              <w:top w:val="single" w:sz="4" w:space="0" w:color="auto"/>
              <w:left w:val="single" w:sz="4" w:space="0" w:color="auto"/>
              <w:right w:val="single" w:sz="4" w:space="0" w:color="auto"/>
            </w:tcBorders>
          </w:tcPr>
          <w:p w:rsidR="007D6DAB" w:rsidRPr="001A17A6" w:rsidRDefault="007D6DAB">
            <w:pPr>
              <w:pStyle w:val="naiskr"/>
              <w:spacing w:before="0" w:after="0"/>
              <w:ind w:left="57" w:right="57"/>
              <w:rPr>
                <w:bCs/>
              </w:rPr>
            </w:pPr>
            <w:r w:rsidRPr="001A17A6">
              <w:rPr>
                <w:bCs/>
              </w:rPr>
              <w:t>2.</w:t>
            </w:r>
          </w:p>
        </w:tc>
        <w:tc>
          <w:tcPr>
            <w:tcW w:w="4087" w:type="dxa"/>
            <w:tcBorders>
              <w:top w:val="single" w:sz="4" w:space="0" w:color="auto"/>
              <w:left w:val="single" w:sz="4" w:space="0" w:color="auto"/>
              <w:right w:val="single" w:sz="4" w:space="0" w:color="auto"/>
            </w:tcBorders>
          </w:tcPr>
          <w:p w:rsidR="007D6DAB" w:rsidRPr="001A17A6" w:rsidRDefault="007D6DAB">
            <w:pPr>
              <w:pStyle w:val="naiskr"/>
              <w:spacing w:before="0" w:after="0"/>
              <w:ind w:left="57" w:right="57"/>
            </w:pPr>
            <w:r w:rsidRPr="001A17A6">
              <w:t xml:space="preserve">Sabiedrības līdzdalība projekta izstrādē </w:t>
            </w:r>
          </w:p>
        </w:tc>
        <w:tc>
          <w:tcPr>
            <w:tcW w:w="4890" w:type="dxa"/>
            <w:tcBorders>
              <w:top w:val="single" w:sz="4" w:space="0" w:color="auto"/>
              <w:left w:val="single" w:sz="4" w:space="0" w:color="auto"/>
              <w:right w:val="single" w:sz="4" w:space="0" w:color="auto"/>
            </w:tcBorders>
          </w:tcPr>
          <w:p w:rsidR="007D6DAB" w:rsidRPr="001A17A6" w:rsidRDefault="007D6DAB" w:rsidP="00377893">
            <w:pPr>
              <w:pStyle w:val="naiskr"/>
              <w:spacing w:before="0" w:after="0"/>
              <w:ind w:left="57" w:right="57"/>
              <w:jc w:val="both"/>
              <w:rPr>
                <w:highlight w:val="yellow"/>
              </w:rPr>
            </w:pPr>
            <w:r>
              <w:t>2012.gada 8.novembrī noteikumu projekts nosūtīts saskaņošanai</w:t>
            </w:r>
            <w:r w:rsidRPr="001A17A6">
              <w:t xml:space="preserve"> </w:t>
            </w:r>
            <w:r>
              <w:t xml:space="preserve">biedrībām „Zemnieku Saeima”, „Lauksaimnieku organizāciju sadarbības padome”, „Lauksaimniecības tehnikas ražotāju un tirgotāju asociācija”, kā </w:t>
            </w:r>
            <w:r>
              <w:lastRenderedPageBreak/>
              <w:t>arī Latvijas lauksaimniecības kooperatīvu asociācijai.</w:t>
            </w:r>
          </w:p>
        </w:tc>
      </w:tr>
      <w:tr w:rsidR="007D6DAB" w:rsidRPr="001A17A6" w:rsidTr="00F55F43">
        <w:trPr>
          <w:trHeight w:val="375"/>
        </w:trPr>
        <w:tc>
          <w:tcPr>
            <w:tcW w:w="686" w:type="dxa"/>
            <w:tcBorders>
              <w:top w:val="single" w:sz="4" w:space="0" w:color="auto"/>
              <w:left w:val="single" w:sz="4" w:space="0" w:color="auto"/>
              <w:bottom w:val="single" w:sz="4" w:space="0" w:color="auto"/>
              <w:right w:val="single" w:sz="4" w:space="0" w:color="auto"/>
            </w:tcBorders>
          </w:tcPr>
          <w:p w:rsidR="007D6DAB" w:rsidRPr="001A17A6" w:rsidRDefault="007D6DAB" w:rsidP="00F55F43">
            <w:pPr>
              <w:pStyle w:val="naiskr"/>
              <w:spacing w:before="0" w:after="0"/>
              <w:ind w:right="57"/>
              <w:rPr>
                <w:bCs/>
              </w:rPr>
            </w:pPr>
            <w:r w:rsidRPr="001A17A6">
              <w:rPr>
                <w:bCs/>
              </w:rPr>
              <w:lastRenderedPageBreak/>
              <w:t>3.</w:t>
            </w:r>
          </w:p>
        </w:tc>
        <w:tc>
          <w:tcPr>
            <w:tcW w:w="4087" w:type="dxa"/>
            <w:tcBorders>
              <w:top w:val="single" w:sz="4" w:space="0" w:color="auto"/>
              <w:left w:val="single" w:sz="4" w:space="0" w:color="auto"/>
              <w:bottom w:val="single" w:sz="4" w:space="0" w:color="auto"/>
              <w:right w:val="single" w:sz="4" w:space="0" w:color="auto"/>
            </w:tcBorders>
          </w:tcPr>
          <w:p w:rsidR="007D6DAB" w:rsidRPr="001A17A6" w:rsidRDefault="007D6DAB">
            <w:pPr>
              <w:pStyle w:val="naiskr"/>
              <w:spacing w:before="0" w:after="0"/>
              <w:ind w:left="57" w:right="57"/>
            </w:pPr>
            <w:r w:rsidRPr="001A17A6">
              <w:t xml:space="preserve">Sabiedrības līdzdalības rezultāti </w:t>
            </w:r>
          </w:p>
        </w:tc>
        <w:tc>
          <w:tcPr>
            <w:tcW w:w="4890" w:type="dxa"/>
            <w:tcBorders>
              <w:top w:val="single" w:sz="4" w:space="0" w:color="auto"/>
              <w:left w:val="single" w:sz="4" w:space="0" w:color="auto"/>
              <w:bottom w:val="single" w:sz="4" w:space="0" w:color="auto"/>
              <w:right w:val="single" w:sz="4" w:space="0" w:color="auto"/>
            </w:tcBorders>
          </w:tcPr>
          <w:p w:rsidR="007D6DAB" w:rsidRPr="00011B85" w:rsidRDefault="007D6DAB" w:rsidP="006F5179">
            <w:pPr>
              <w:pStyle w:val="naiskr"/>
              <w:spacing w:before="0" w:after="0"/>
              <w:ind w:right="57"/>
              <w:jc w:val="both"/>
            </w:pPr>
            <w:r w:rsidRPr="006F5179">
              <w:t>Par noteikumu projektu iebildumi no sabiedriskajām organizācijām</w:t>
            </w:r>
            <w:r>
              <w:t xml:space="preserve"> nav</w:t>
            </w:r>
            <w:r w:rsidRPr="006F5179">
              <w:t xml:space="preserve"> saņemti.</w:t>
            </w:r>
          </w:p>
        </w:tc>
      </w:tr>
      <w:tr w:rsidR="007D6DAB" w:rsidRPr="001A17A6" w:rsidTr="00F55F43">
        <w:trPr>
          <w:trHeight w:val="363"/>
        </w:trPr>
        <w:tc>
          <w:tcPr>
            <w:tcW w:w="686" w:type="dxa"/>
            <w:tcBorders>
              <w:top w:val="single" w:sz="4" w:space="0" w:color="auto"/>
              <w:left w:val="single" w:sz="4" w:space="0" w:color="auto"/>
              <w:bottom w:val="single" w:sz="4" w:space="0" w:color="auto"/>
              <w:right w:val="single" w:sz="4" w:space="0" w:color="auto"/>
            </w:tcBorders>
          </w:tcPr>
          <w:p w:rsidR="007D6DAB" w:rsidRPr="001A17A6" w:rsidRDefault="007D6DAB" w:rsidP="00F55F43">
            <w:pPr>
              <w:pStyle w:val="naiskr"/>
              <w:spacing w:before="0" w:after="0"/>
              <w:ind w:right="57"/>
              <w:rPr>
                <w:bCs/>
              </w:rPr>
            </w:pPr>
            <w:r w:rsidRPr="001A17A6">
              <w:rPr>
                <w:bCs/>
              </w:rPr>
              <w:t>4.</w:t>
            </w:r>
          </w:p>
        </w:tc>
        <w:tc>
          <w:tcPr>
            <w:tcW w:w="4087" w:type="dxa"/>
            <w:tcBorders>
              <w:top w:val="single" w:sz="4" w:space="0" w:color="auto"/>
              <w:left w:val="single" w:sz="4" w:space="0" w:color="auto"/>
              <w:bottom w:val="single" w:sz="4" w:space="0" w:color="auto"/>
              <w:right w:val="single" w:sz="4" w:space="0" w:color="auto"/>
            </w:tcBorders>
          </w:tcPr>
          <w:p w:rsidR="007D6DAB" w:rsidRPr="001A17A6" w:rsidRDefault="007D6DAB">
            <w:pPr>
              <w:pStyle w:val="naiskr"/>
              <w:spacing w:before="0" w:after="0"/>
              <w:ind w:left="57" w:right="57"/>
            </w:pPr>
            <w:r w:rsidRPr="001A17A6">
              <w:t>Saeimas un ekspertu līdzdalība</w:t>
            </w:r>
          </w:p>
        </w:tc>
        <w:tc>
          <w:tcPr>
            <w:tcW w:w="4890" w:type="dxa"/>
            <w:tcBorders>
              <w:top w:val="single" w:sz="4" w:space="0" w:color="auto"/>
              <w:left w:val="single" w:sz="4" w:space="0" w:color="auto"/>
              <w:bottom w:val="single" w:sz="4" w:space="0" w:color="auto"/>
              <w:right w:val="single" w:sz="4" w:space="0" w:color="auto"/>
            </w:tcBorders>
          </w:tcPr>
          <w:p w:rsidR="007D6DAB" w:rsidRPr="001A17A6" w:rsidRDefault="007D6DAB">
            <w:pPr>
              <w:pStyle w:val="naiskr"/>
              <w:spacing w:before="0" w:after="0"/>
              <w:ind w:left="57" w:right="57"/>
              <w:jc w:val="both"/>
            </w:pPr>
            <w:r w:rsidRPr="001A17A6">
              <w:t>Projekts šo jomu neskar.</w:t>
            </w:r>
          </w:p>
        </w:tc>
      </w:tr>
      <w:tr w:rsidR="00F55F43" w:rsidRPr="001A17A6" w:rsidTr="00F55F43">
        <w:trPr>
          <w:trHeight w:val="176"/>
        </w:trPr>
        <w:tc>
          <w:tcPr>
            <w:tcW w:w="686" w:type="dxa"/>
            <w:tcBorders>
              <w:top w:val="single" w:sz="4" w:space="0" w:color="auto"/>
              <w:left w:val="single" w:sz="4" w:space="0" w:color="auto"/>
              <w:right w:val="single" w:sz="4" w:space="0" w:color="auto"/>
            </w:tcBorders>
          </w:tcPr>
          <w:p w:rsidR="00F55F43" w:rsidRPr="001A17A6" w:rsidRDefault="00F55F43" w:rsidP="00F55F43">
            <w:pPr>
              <w:pStyle w:val="naiskr"/>
              <w:ind w:left="57" w:right="57"/>
              <w:rPr>
                <w:bCs/>
              </w:rPr>
            </w:pPr>
          </w:p>
        </w:tc>
        <w:tc>
          <w:tcPr>
            <w:tcW w:w="4087" w:type="dxa"/>
            <w:tcBorders>
              <w:top w:val="single" w:sz="4" w:space="0" w:color="auto"/>
              <w:left w:val="single" w:sz="4" w:space="0" w:color="auto"/>
              <w:right w:val="single" w:sz="4" w:space="0" w:color="auto"/>
            </w:tcBorders>
          </w:tcPr>
          <w:p w:rsidR="00F55F43" w:rsidRPr="001A17A6" w:rsidRDefault="00F55F43" w:rsidP="00F55F43">
            <w:pPr>
              <w:pStyle w:val="naiskr"/>
              <w:ind w:left="57" w:right="57"/>
            </w:pPr>
          </w:p>
        </w:tc>
        <w:tc>
          <w:tcPr>
            <w:tcW w:w="4890" w:type="dxa"/>
            <w:tcBorders>
              <w:top w:val="single" w:sz="4" w:space="0" w:color="auto"/>
              <w:left w:val="single" w:sz="4" w:space="0" w:color="auto"/>
              <w:right w:val="single" w:sz="4" w:space="0" w:color="auto"/>
            </w:tcBorders>
          </w:tcPr>
          <w:p w:rsidR="00F55F43" w:rsidRPr="001A17A6" w:rsidRDefault="00F55F43" w:rsidP="00F55F43">
            <w:pPr>
              <w:pStyle w:val="naiskr"/>
              <w:ind w:left="57" w:right="57"/>
              <w:jc w:val="both"/>
            </w:pPr>
          </w:p>
        </w:tc>
      </w:tr>
      <w:tr w:rsidR="007D6DAB" w:rsidRPr="001A17A6" w:rsidTr="00F55F43">
        <w:trPr>
          <w:trHeight w:val="476"/>
        </w:trPr>
        <w:tc>
          <w:tcPr>
            <w:tcW w:w="686" w:type="dxa"/>
            <w:tcBorders>
              <w:left w:val="single" w:sz="4" w:space="0" w:color="auto"/>
              <w:bottom w:val="single" w:sz="4" w:space="0" w:color="auto"/>
              <w:right w:val="single" w:sz="4" w:space="0" w:color="auto"/>
            </w:tcBorders>
          </w:tcPr>
          <w:p w:rsidR="007D6DAB" w:rsidRPr="001A17A6" w:rsidRDefault="007D6DAB" w:rsidP="00F55F43">
            <w:pPr>
              <w:pStyle w:val="naiskr"/>
              <w:spacing w:before="0" w:after="0"/>
              <w:ind w:right="57"/>
              <w:rPr>
                <w:bCs/>
              </w:rPr>
            </w:pPr>
            <w:r w:rsidRPr="001A17A6">
              <w:rPr>
                <w:bCs/>
              </w:rPr>
              <w:t>5.</w:t>
            </w:r>
          </w:p>
        </w:tc>
        <w:tc>
          <w:tcPr>
            <w:tcW w:w="4087" w:type="dxa"/>
            <w:tcBorders>
              <w:left w:val="single" w:sz="4" w:space="0" w:color="auto"/>
              <w:bottom w:val="single" w:sz="4" w:space="0" w:color="auto"/>
              <w:right w:val="single" w:sz="4" w:space="0" w:color="auto"/>
            </w:tcBorders>
          </w:tcPr>
          <w:p w:rsidR="007D6DAB" w:rsidRPr="001A17A6" w:rsidRDefault="007D6DAB" w:rsidP="00F55F43">
            <w:pPr>
              <w:pStyle w:val="naiskr"/>
              <w:spacing w:before="0" w:after="0"/>
              <w:ind w:right="57"/>
            </w:pPr>
            <w:r w:rsidRPr="001A17A6">
              <w:t>Cita informācija</w:t>
            </w:r>
          </w:p>
          <w:p w:rsidR="007D6DAB" w:rsidRPr="001A17A6" w:rsidRDefault="007D6DAB">
            <w:pPr>
              <w:pStyle w:val="naiskr"/>
              <w:spacing w:before="0" w:after="0"/>
              <w:ind w:left="57" w:right="57"/>
            </w:pPr>
          </w:p>
        </w:tc>
        <w:tc>
          <w:tcPr>
            <w:tcW w:w="4890" w:type="dxa"/>
            <w:tcBorders>
              <w:left w:val="single" w:sz="4" w:space="0" w:color="auto"/>
              <w:bottom w:val="single" w:sz="4" w:space="0" w:color="auto"/>
              <w:right w:val="single" w:sz="4" w:space="0" w:color="auto"/>
            </w:tcBorders>
          </w:tcPr>
          <w:p w:rsidR="007D6DAB" w:rsidRPr="001A17A6" w:rsidRDefault="007D6DAB">
            <w:pPr>
              <w:pStyle w:val="naiskr"/>
              <w:spacing w:before="0" w:after="0"/>
              <w:ind w:left="57" w:right="57"/>
              <w:jc w:val="both"/>
            </w:pPr>
            <w:r w:rsidRPr="001A17A6">
              <w:t>Nav.</w:t>
            </w:r>
          </w:p>
        </w:tc>
      </w:tr>
    </w:tbl>
    <w:p w:rsidR="007D6DAB" w:rsidRPr="001A17A6" w:rsidRDefault="007D6DAB">
      <w:pPr>
        <w:rPr>
          <w:highlight w:val="yellow"/>
        </w:rPr>
      </w:pPr>
    </w:p>
    <w:tbl>
      <w:tblPr>
        <w:tblW w:w="9461"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9"/>
        <w:gridCol w:w="4065"/>
        <w:gridCol w:w="4917"/>
      </w:tblGrid>
      <w:tr w:rsidR="007D6DAB" w:rsidRPr="001A17A6" w:rsidTr="0062486A">
        <w:trPr>
          <w:jc w:val="center"/>
        </w:trPr>
        <w:tc>
          <w:tcPr>
            <w:tcW w:w="9461" w:type="dxa"/>
            <w:gridSpan w:val="3"/>
          </w:tcPr>
          <w:p w:rsidR="007D6DAB" w:rsidRPr="001A17A6" w:rsidRDefault="007D6DAB">
            <w:pPr>
              <w:pStyle w:val="naisnod"/>
              <w:spacing w:before="0" w:after="0"/>
              <w:ind w:left="57" w:right="57"/>
              <w:rPr>
                <w:highlight w:val="yellow"/>
              </w:rPr>
            </w:pPr>
            <w:r w:rsidRPr="001A17A6">
              <w:t>VII. Tiesību akta projekta izpildes nodrošināšana un tās ietekme uz institūcijām</w:t>
            </w:r>
          </w:p>
        </w:tc>
      </w:tr>
      <w:tr w:rsidR="007D6DAB" w:rsidRPr="001A17A6" w:rsidTr="004F3565">
        <w:trPr>
          <w:trHeight w:val="427"/>
          <w:jc w:val="center"/>
        </w:trPr>
        <w:tc>
          <w:tcPr>
            <w:tcW w:w="479" w:type="dxa"/>
          </w:tcPr>
          <w:p w:rsidR="007D6DAB" w:rsidRPr="001A17A6" w:rsidRDefault="007D6DAB">
            <w:pPr>
              <w:pStyle w:val="naisnod"/>
              <w:spacing w:before="0" w:after="0"/>
              <w:ind w:left="57" w:right="57"/>
              <w:jc w:val="left"/>
              <w:rPr>
                <w:b w:val="0"/>
              </w:rPr>
            </w:pPr>
            <w:r w:rsidRPr="001A17A6">
              <w:rPr>
                <w:b w:val="0"/>
              </w:rPr>
              <w:t>1.</w:t>
            </w:r>
          </w:p>
        </w:tc>
        <w:tc>
          <w:tcPr>
            <w:tcW w:w="4065" w:type="dxa"/>
          </w:tcPr>
          <w:p w:rsidR="007D6DAB" w:rsidRPr="001A17A6" w:rsidRDefault="007D6DAB">
            <w:pPr>
              <w:pStyle w:val="naisf"/>
              <w:spacing w:before="0" w:after="0"/>
              <w:ind w:left="57" w:right="57" w:firstLine="0"/>
              <w:jc w:val="left"/>
            </w:pPr>
            <w:r w:rsidRPr="001A17A6">
              <w:t xml:space="preserve">Projekta izpildē iesaistītās institūcijas </w:t>
            </w:r>
          </w:p>
        </w:tc>
        <w:tc>
          <w:tcPr>
            <w:tcW w:w="4917" w:type="dxa"/>
          </w:tcPr>
          <w:p w:rsidR="007D6DAB" w:rsidRPr="001A17A6" w:rsidRDefault="007D6DAB" w:rsidP="00BE0949">
            <w:pPr>
              <w:pStyle w:val="naisnod"/>
              <w:spacing w:before="0" w:after="0"/>
              <w:ind w:left="57" w:right="57"/>
              <w:jc w:val="both"/>
              <w:rPr>
                <w:b w:val="0"/>
                <w:highlight w:val="yellow"/>
              </w:rPr>
            </w:pPr>
            <w:r w:rsidRPr="001A17A6">
              <w:rPr>
                <w:b w:val="0"/>
                <w:iCs/>
              </w:rPr>
              <w:t xml:space="preserve">Normatīvā akta projekta izpildi nodrošinās </w:t>
            </w:r>
            <w:r w:rsidRPr="001A17A6">
              <w:rPr>
                <w:b w:val="0"/>
              </w:rPr>
              <w:t>valsts  aģentūra „Valsts tehniskās uzraudzības aģentūra”.</w:t>
            </w:r>
            <w:r w:rsidRPr="001A17A6">
              <w:t xml:space="preserve"> </w:t>
            </w:r>
          </w:p>
        </w:tc>
      </w:tr>
      <w:tr w:rsidR="007D6DAB" w:rsidRPr="001A17A6" w:rsidTr="004F3565">
        <w:trPr>
          <w:trHeight w:val="463"/>
          <w:jc w:val="center"/>
        </w:trPr>
        <w:tc>
          <w:tcPr>
            <w:tcW w:w="479" w:type="dxa"/>
          </w:tcPr>
          <w:p w:rsidR="007D6DAB" w:rsidRPr="001A17A6" w:rsidRDefault="007D6DAB">
            <w:pPr>
              <w:pStyle w:val="naisnod"/>
              <w:spacing w:before="0" w:after="0"/>
              <w:ind w:left="57" w:right="57"/>
              <w:jc w:val="left"/>
              <w:rPr>
                <w:b w:val="0"/>
              </w:rPr>
            </w:pPr>
            <w:r w:rsidRPr="001A17A6">
              <w:rPr>
                <w:b w:val="0"/>
              </w:rPr>
              <w:t>2.</w:t>
            </w:r>
          </w:p>
        </w:tc>
        <w:tc>
          <w:tcPr>
            <w:tcW w:w="4065" w:type="dxa"/>
          </w:tcPr>
          <w:p w:rsidR="007D6DAB" w:rsidRPr="001A17A6" w:rsidRDefault="007D6DAB">
            <w:pPr>
              <w:pStyle w:val="naisf"/>
              <w:spacing w:before="0" w:after="0"/>
              <w:ind w:left="57" w:right="57" w:firstLine="0"/>
              <w:jc w:val="left"/>
            </w:pPr>
            <w:r w:rsidRPr="001A17A6">
              <w:t xml:space="preserve">Projekta izpildes ietekme uz pārvaldes funkcijām </w:t>
            </w:r>
          </w:p>
        </w:tc>
        <w:tc>
          <w:tcPr>
            <w:tcW w:w="4917" w:type="dxa"/>
          </w:tcPr>
          <w:p w:rsidR="007D6DAB" w:rsidRPr="001A17A6" w:rsidRDefault="007D6DAB" w:rsidP="00430E31">
            <w:pPr>
              <w:pStyle w:val="naisnod"/>
              <w:spacing w:before="0" w:after="0"/>
              <w:ind w:left="57" w:right="57"/>
              <w:jc w:val="both"/>
              <w:rPr>
                <w:b w:val="0"/>
              </w:rPr>
            </w:pPr>
            <w:r w:rsidRPr="001A17A6">
              <w:rPr>
                <w:b w:val="0"/>
                <w:iCs/>
              </w:rPr>
              <w:t>Funkcijas un uzdevumus normatīvā akta projekta izpilde neietekmēs.</w:t>
            </w:r>
          </w:p>
        </w:tc>
      </w:tr>
      <w:tr w:rsidR="007D6DAB" w:rsidRPr="001A17A6" w:rsidTr="004F3565">
        <w:trPr>
          <w:trHeight w:val="725"/>
          <w:jc w:val="center"/>
        </w:trPr>
        <w:tc>
          <w:tcPr>
            <w:tcW w:w="479" w:type="dxa"/>
          </w:tcPr>
          <w:p w:rsidR="007D6DAB" w:rsidRPr="001A17A6" w:rsidRDefault="007D6DAB">
            <w:pPr>
              <w:pStyle w:val="naisnod"/>
              <w:spacing w:before="0" w:after="0"/>
              <w:ind w:left="57" w:right="57"/>
              <w:jc w:val="left"/>
              <w:rPr>
                <w:b w:val="0"/>
              </w:rPr>
            </w:pPr>
            <w:r w:rsidRPr="001A17A6">
              <w:rPr>
                <w:b w:val="0"/>
              </w:rPr>
              <w:t>3.</w:t>
            </w:r>
          </w:p>
        </w:tc>
        <w:tc>
          <w:tcPr>
            <w:tcW w:w="4065" w:type="dxa"/>
          </w:tcPr>
          <w:p w:rsidR="007D6DAB" w:rsidRPr="001A17A6" w:rsidRDefault="007D6DAB">
            <w:pPr>
              <w:pStyle w:val="naisf"/>
              <w:spacing w:before="0" w:after="0"/>
              <w:ind w:left="57" w:right="57" w:firstLine="0"/>
              <w:jc w:val="left"/>
            </w:pPr>
            <w:r w:rsidRPr="001A17A6">
              <w:t>Projekta izpildes ietekme uz pārvaldes institucionālo struktūru.</w:t>
            </w:r>
          </w:p>
          <w:p w:rsidR="007D6DAB" w:rsidRPr="001A17A6" w:rsidRDefault="007D6DAB">
            <w:pPr>
              <w:pStyle w:val="naisf"/>
              <w:spacing w:before="0" w:after="0"/>
              <w:ind w:left="57" w:right="57" w:firstLine="0"/>
              <w:jc w:val="left"/>
            </w:pPr>
            <w:r w:rsidRPr="001A17A6">
              <w:t>Jaunu institūciju izveide</w:t>
            </w:r>
          </w:p>
        </w:tc>
        <w:tc>
          <w:tcPr>
            <w:tcW w:w="4917" w:type="dxa"/>
          </w:tcPr>
          <w:p w:rsidR="007D6DAB" w:rsidRPr="001A17A6" w:rsidRDefault="007D6DAB" w:rsidP="00430E31">
            <w:pPr>
              <w:pStyle w:val="naisnod"/>
              <w:spacing w:before="0" w:after="0"/>
              <w:ind w:left="57" w:right="57"/>
              <w:jc w:val="both"/>
              <w:rPr>
                <w:b w:val="0"/>
              </w:rPr>
            </w:pPr>
            <w:r w:rsidRPr="001A17A6">
              <w:rPr>
                <w:b w:val="0"/>
                <w:iCs/>
              </w:rPr>
              <w:t>Saistībā ar projekta izpildi nebūs nepieciešams veidot jaunas institūcijas.</w:t>
            </w:r>
          </w:p>
        </w:tc>
      </w:tr>
      <w:tr w:rsidR="007D6DAB" w:rsidRPr="001A17A6" w:rsidTr="004F3565">
        <w:trPr>
          <w:trHeight w:val="780"/>
          <w:jc w:val="center"/>
        </w:trPr>
        <w:tc>
          <w:tcPr>
            <w:tcW w:w="479" w:type="dxa"/>
          </w:tcPr>
          <w:p w:rsidR="007D6DAB" w:rsidRPr="001A17A6" w:rsidRDefault="007D6DAB">
            <w:pPr>
              <w:pStyle w:val="naisnod"/>
              <w:spacing w:before="0" w:after="0"/>
              <w:ind w:left="57" w:right="57"/>
              <w:jc w:val="left"/>
              <w:rPr>
                <w:b w:val="0"/>
              </w:rPr>
            </w:pPr>
            <w:r w:rsidRPr="001A17A6">
              <w:rPr>
                <w:b w:val="0"/>
              </w:rPr>
              <w:t>4.</w:t>
            </w:r>
          </w:p>
        </w:tc>
        <w:tc>
          <w:tcPr>
            <w:tcW w:w="4065" w:type="dxa"/>
          </w:tcPr>
          <w:p w:rsidR="007D6DAB" w:rsidRPr="001A17A6" w:rsidRDefault="007D6DAB">
            <w:pPr>
              <w:pStyle w:val="naisf"/>
              <w:spacing w:before="0" w:after="0"/>
              <w:ind w:left="57" w:right="57" w:firstLine="0"/>
              <w:jc w:val="left"/>
            </w:pPr>
            <w:r w:rsidRPr="001A17A6">
              <w:t>Projekta izpildes ietekme uz pārvaldes institucionālo struktūru.</w:t>
            </w:r>
          </w:p>
          <w:p w:rsidR="007D6DAB" w:rsidRPr="001A17A6" w:rsidRDefault="007D6DAB">
            <w:pPr>
              <w:pStyle w:val="naisf"/>
              <w:spacing w:before="0" w:after="0"/>
              <w:ind w:left="57" w:right="57" w:firstLine="0"/>
              <w:jc w:val="left"/>
            </w:pPr>
            <w:r w:rsidRPr="001A17A6">
              <w:t>Esošu institūciju likvidācija</w:t>
            </w:r>
          </w:p>
        </w:tc>
        <w:tc>
          <w:tcPr>
            <w:tcW w:w="4917" w:type="dxa"/>
          </w:tcPr>
          <w:p w:rsidR="007D6DAB" w:rsidRPr="001A17A6" w:rsidRDefault="007D6DAB" w:rsidP="00430E31">
            <w:pPr>
              <w:pStyle w:val="naisnod"/>
              <w:spacing w:before="0" w:after="0"/>
              <w:ind w:left="57" w:right="57"/>
              <w:jc w:val="both"/>
              <w:rPr>
                <w:b w:val="0"/>
              </w:rPr>
            </w:pPr>
            <w:r w:rsidRPr="001A17A6">
              <w:rPr>
                <w:b w:val="0"/>
                <w:iCs/>
              </w:rPr>
              <w:t>Saistībā ar projekta izpildi nav plānots likvidēt esošu institūciju.</w:t>
            </w:r>
          </w:p>
        </w:tc>
      </w:tr>
      <w:tr w:rsidR="007D6DAB" w:rsidRPr="001A17A6" w:rsidTr="004F3565">
        <w:trPr>
          <w:trHeight w:val="703"/>
          <w:jc w:val="center"/>
        </w:trPr>
        <w:tc>
          <w:tcPr>
            <w:tcW w:w="479" w:type="dxa"/>
          </w:tcPr>
          <w:p w:rsidR="007D6DAB" w:rsidRPr="001A17A6" w:rsidRDefault="007D6DAB">
            <w:pPr>
              <w:pStyle w:val="naisnod"/>
              <w:spacing w:before="0" w:after="0"/>
              <w:ind w:left="57" w:right="57"/>
              <w:jc w:val="left"/>
              <w:rPr>
                <w:b w:val="0"/>
              </w:rPr>
            </w:pPr>
            <w:r w:rsidRPr="001A17A6">
              <w:rPr>
                <w:b w:val="0"/>
              </w:rPr>
              <w:t>5.</w:t>
            </w:r>
          </w:p>
        </w:tc>
        <w:tc>
          <w:tcPr>
            <w:tcW w:w="4065" w:type="dxa"/>
          </w:tcPr>
          <w:p w:rsidR="007D6DAB" w:rsidRPr="001A17A6" w:rsidRDefault="007D6DAB">
            <w:pPr>
              <w:pStyle w:val="naisf"/>
              <w:spacing w:before="0" w:after="0"/>
              <w:ind w:left="57" w:right="57" w:firstLine="0"/>
              <w:jc w:val="left"/>
            </w:pPr>
            <w:r w:rsidRPr="001A17A6">
              <w:t>Projekta izpildes ietekme uz pārvaldes institucionālo struktūru.</w:t>
            </w:r>
          </w:p>
          <w:p w:rsidR="007D6DAB" w:rsidRPr="001A17A6" w:rsidRDefault="007D6DAB">
            <w:pPr>
              <w:pStyle w:val="naisf"/>
              <w:spacing w:before="0" w:after="0"/>
              <w:ind w:left="57" w:right="57" w:firstLine="0"/>
              <w:jc w:val="left"/>
            </w:pPr>
            <w:r w:rsidRPr="001A17A6">
              <w:t>Esošu institūciju reorganizācija</w:t>
            </w:r>
          </w:p>
        </w:tc>
        <w:tc>
          <w:tcPr>
            <w:tcW w:w="4917" w:type="dxa"/>
          </w:tcPr>
          <w:p w:rsidR="007D6DAB" w:rsidRPr="001A17A6" w:rsidRDefault="007D6DAB" w:rsidP="00430E31">
            <w:pPr>
              <w:pStyle w:val="naisnod"/>
              <w:spacing w:before="0" w:after="0"/>
              <w:ind w:left="57" w:right="57"/>
              <w:jc w:val="both"/>
              <w:rPr>
                <w:b w:val="0"/>
              </w:rPr>
            </w:pPr>
            <w:r w:rsidRPr="001A17A6">
              <w:rPr>
                <w:b w:val="0"/>
                <w:iCs/>
              </w:rPr>
              <w:t>Saistībā ar projekta izpildi nav plānots reorganizēt esošu institūciju vai arī apvienot esošas institūcijas.</w:t>
            </w:r>
          </w:p>
        </w:tc>
      </w:tr>
      <w:tr w:rsidR="007D6DAB" w:rsidRPr="001A17A6" w:rsidTr="004F3565">
        <w:trPr>
          <w:trHeight w:val="476"/>
          <w:jc w:val="center"/>
        </w:trPr>
        <w:tc>
          <w:tcPr>
            <w:tcW w:w="479" w:type="dxa"/>
          </w:tcPr>
          <w:p w:rsidR="007D6DAB" w:rsidRPr="001A17A6" w:rsidRDefault="007D6DAB">
            <w:pPr>
              <w:pStyle w:val="naiskr"/>
              <w:spacing w:before="0" w:after="0"/>
              <w:ind w:left="57" w:right="57"/>
            </w:pPr>
            <w:r w:rsidRPr="001A17A6">
              <w:t>6.</w:t>
            </w:r>
          </w:p>
        </w:tc>
        <w:tc>
          <w:tcPr>
            <w:tcW w:w="4065" w:type="dxa"/>
          </w:tcPr>
          <w:p w:rsidR="007D6DAB" w:rsidRPr="001A17A6" w:rsidRDefault="007D6DAB">
            <w:pPr>
              <w:pStyle w:val="naiskr"/>
              <w:spacing w:before="0" w:after="0"/>
              <w:ind w:left="57" w:right="57"/>
            </w:pPr>
            <w:r w:rsidRPr="001A17A6">
              <w:t>Cita informācija</w:t>
            </w:r>
          </w:p>
        </w:tc>
        <w:tc>
          <w:tcPr>
            <w:tcW w:w="4917" w:type="dxa"/>
          </w:tcPr>
          <w:p w:rsidR="007D6DAB" w:rsidRPr="001A17A6" w:rsidRDefault="007D6DAB">
            <w:pPr>
              <w:pStyle w:val="naiskr"/>
              <w:spacing w:before="0" w:after="0"/>
              <w:ind w:left="57" w:right="57"/>
            </w:pPr>
            <w:r w:rsidRPr="001A17A6">
              <w:t>Nav.</w:t>
            </w:r>
          </w:p>
        </w:tc>
      </w:tr>
    </w:tbl>
    <w:p w:rsidR="007D6DAB" w:rsidRDefault="007D6DAB" w:rsidP="006A6016">
      <w:pPr>
        <w:ind w:firstLine="720"/>
        <w:rPr>
          <w:sz w:val="28"/>
          <w:szCs w:val="28"/>
        </w:rPr>
      </w:pPr>
    </w:p>
    <w:p w:rsidR="007D6DAB" w:rsidRDefault="007D6DAB" w:rsidP="006A6016">
      <w:pPr>
        <w:ind w:firstLine="720"/>
        <w:rPr>
          <w:sz w:val="28"/>
          <w:szCs w:val="28"/>
        </w:rPr>
      </w:pPr>
    </w:p>
    <w:p w:rsidR="007D6DAB" w:rsidRPr="006A6016" w:rsidRDefault="007D6DAB" w:rsidP="006A6016">
      <w:pPr>
        <w:ind w:firstLine="720"/>
        <w:rPr>
          <w:sz w:val="28"/>
          <w:szCs w:val="28"/>
        </w:rPr>
      </w:pPr>
      <w:r w:rsidRPr="001A17A6">
        <w:rPr>
          <w:sz w:val="28"/>
          <w:szCs w:val="28"/>
        </w:rPr>
        <w:t>Zemkopības ministre</w:t>
      </w:r>
      <w:r w:rsidRPr="001A17A6">
        <w:rPr>
          <w:sz w:val="28"/>
          <w:szCs w:val="28"/>
        </w:rPr>
        <w:tab/>
      </w:r>
      <w:r w:rsidRPr="001A17A6">
        <w:rPr>
          <w:sz w:val="28"/>
          <w:szCs w:val="28"/>
        </w:rPr>
        <w:tab/>
      </w:r>
      <w:r w:rsidRPr="001A17A6">
        <w:rPr>
          <w:sz w:val="28"/>
          <w:szCs w:val="28"/>
        </w:rPr>
        <w:tab/>
      </w:r>
      <w:r w:rsidRPr="001A17A6">
        <w:rPr>
          <w:sz w:val="28"/>
          <w:szCs w:val="28"/>
        </w:rPr>
        <w:tab/>
      </w:r>
      <w:r w:rsidRPr="001A17A6">
        <w:rPr>
          <w:sz w:val="28"/>
          <w:szCs w:val="28"/>
        </w:rPr>
        <w:tab/>
      </w:r>
      <w:r w:rsidRPr="001A17A6">
        <w:rPr>
          <w:sz w:val="28"/>
          <w:szCs w:val="28"/>
        </w:rPr>
        <w:tab/>
        <w:t>L.Straujuma</w:t>
      </w: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7D6DAB" w:rsidRDefault="007D6DAB" w:rsidP="00684628">
      <w:pPr>
        <w:rPr>
          <w:sz w:val="20"/>
          <w:szCs w:val="20"/>
          <w:lang w:eastAsia="en-US"/>
        </w:rPr>
      </w:pPr>
    </w:p>
    <w:p w:rsidR="00DA5A34" w:rsidRDefault="00DA5A34" w:rsidP="00684628">
      <w:pPr>
        <w:rPr>
          <w:sz w:val="20"/>
          <w:szCs w:val="20"/>
          <w:lang w:eastAsia="en-US"/>
        </w:rPr>
      </w:pPr>
      <w:r>
        <w:rPr>
          <w:sz w:val="20"/>
          <w:szCs w:val="20"/>
          <w:lang w:eastAsia="en-US"/>
        </w:rPr>
        <w:t>2013.01.10. 16:47</w:t>
      </w:r>
    </w:p>
    <w:p w:rsidR="00DA5A34" w:rsidRPr="00DA5A34" w:rsidRDefault="00DA5A34" w:rsidP="00684628">
      <w:pPr>
        <w:rPr>
          <w:sz w:val="20"/>
          <w:szCs w:val="20"/>
        </w:rPr>
      </w:pPr>
      <w:fldSimple w:instr=" NUMWORDS   \* MERGEFORMAT ">
        <w:r w:rsidRPr="00DA5A34">
          <w:rPr>
            <w:noProof/>
            <w:sz w:val="20"/>
            <w:szCs w:val="20"/>
          </w:rPr>
          <w:t>629</w:t>
        </w:r>
      </w:fldSimple>
    </w:p>
    <w:p w:rsidR="007D6DAB" w:rsidRPr="00215893" w:rsidRDefault="007D6DAB" w:rsidP="00684628">
      <w:pPr>
        <w:rPr>
          <w:sz w:val="20"/>
          <w:szCs w:val="20"/>
        </w:rPr>
      </w:pPr>
      <w:r w:rsidRPr="00215893">
        <w:rPr>
          <w:sz w:val="20"/>
          <w:szCs w:val="20"/>
        </w:rPr>
        <w:t>G.Melkins</w:t>
      </w:r>
    </w:p>
    <w:p w:rsidR="007D6DAB" w:rsidRPr="00215893" w:rsidRDefault="007D6DAB" w:rsidP="00880E3B">
      <w:pPr>
        <w:rPr>
          <w:sz w:val="20"/>
          <w:szCs w:val="20"/>
        </w:rPr>
      </w:pPr>
      <w:r w:rsidRPr="00215893">
        <w:rPr>
          <w:sz w:val="20"/>
          <w:szCs w:val="20"/>
        </w:rPr>
        <w:t>67027207, Gints.Melkins@zm.gov.lv</w:t>
      </w:r>
    </w:p>
    <w:sectPr w:rsidR="007D6DAB" w:rsidRPr="00215893" w:rsidSect="00DA5A34">
      <w:headerReference w:type="even" r:id="rId6"/>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1A" w:rsidRDefault="007B1D1A">
      <w:pPr>
        <w:pStyle w:val="naisnod"/>
      </w:pPr>
      <w:r>
        <w:separator/>
      </w:r>
    </w:p>
  </w:endnote>
  <w:endnote w:type="continuationSeparator" w:id="0">
    <w:p w:rsidR="007B1D1A" w:rsidRDefault="007B1D1A">
      <w:pPr>
        <w:pStyle w:val="naisno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AB" w:rsidRPr="00DE482A" w:rsidRDefault="007D6DAB" w:rsidP="00940BB1">
    <w:pPr>
      <w:pStyle w:val="Kjene"/>
      <w:jc w:val="both"/>
    </w:pPr>
    <w:r w:rsidRPr="00A9521A">
      <w:rPr>
        <w:sz w:val="20"/>
      </w:rPr>
      <w:t>ZM</w:t>
    </w:r>
    <w:r w:rsidR="00F55F43">
      <w:rPr>
        <w:sz w:val="20"/>
      </w:rPr>
      <w:t>Anot_10</w:t>
    </w:r>
    <w:r>
      <w:rPr>
        <w:sz w:val="20"/>
      </w:rPr>
      <w:t>0113_nodeva</w:t>
    </w:r>
    <w:r w:rsidRPr="00A9521A">
      <w:rPr>
        <w:sz w:val="20"/>
      </w:rPr>
      <w:t xml:space="preserve">; </w:t>
    </w:r>
    <w:r>
      <w:rPr>
        <w:sz w:val="20"/>
      </w:rPr>
      <w:t>Grozījumi Ministru kabineta 2011.gada 30.augusta noteikumos Nr.669</w:t>
    </w:r>
    <w:r w:rsidRPr="00A9521A">
      <w:rPr>
        <w:sz w:val="20"/>
      </w:rPr>
      <w:t xml:space="preserve"> „</w:t>
    </w:r>
    <w:r>
      <w:rPr>
        <w:sz w:val="20"/>
      </w:rPr>
      <w:t>Noteikumi par traktortehnikas un tās piekabju reģistrācijas valsts nodevu</w:t>
    </w:r>
    <w:r>
      <w:rPr>
        <w:color w:val="000000"/>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4" w:rsidRPr="00DE482A" w:rsidRDefault="00DA5A34" w:rsidP="00DA5A34">
    <w:pPr>
      <w:pStyle w:val="Kjene"/>
      <w:jc w:val="both"/>
    </w:pPr>
    <w:r w:rsidRPr="00A9521A">
      <w:rPr>
        <w:sz w:val="20"/>
      </w:rPr>
      <w:t>ZM</w:t>
    </w:r>
    <w:r>
      <w:rPr>
        <w:sz w:val="20"/>
      </w:rPr>
      <w:t>Anot_100113_nodeva</w:t>
    </w:r>
    <w:r w:rsidRPr="00A9521A">
      <w:rPr>
        <w:sz w:val="20"/>
      </w:rPr>
      <w:t xml:space="preserve">; </w:t>
    </w:r>
    <w:r>
      <w:rPr>
        <w:sz w:val="20"/>
      </w:rPr>
      <w:t>Grozījumi Ministru kabineta 2011.gada 30.augusta noteikumos Nr.669</w:t>
    </w:r>
    <w:r w:rsidRPr="00A9521A">
      <w:rPr>
        <w:sz w:val="20"/>
      </w:rPr>
      <w:t xml:space="preserve"> „</w:t>
    </w:r>
    <w:r>
      <w:rPr>
        <w:sz w:val="20"/>
      </w:rPr>
      <w:t>Noteikumi par traktortehnikas un tās piekabju reģistrācijas valsts nodevu</w:t>
    </w:r>
    <w:r>
      <w:rPr>
        <w:color w:val="00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1A" w:rsidRDefault="007B1D1A">
      <w:pPr>
        <w:pStyle w:val="naisnod"/>
      </w:pPr>
      <w:r>
        <w:separator/>
      </w:r>
    </w:p>
  </w:footnote>
  <w:footnote w:type="continuationSeparator" w:id="0">
    <w:p w:rsidR="007B1D1A" w:rsidRDefault="007B1D1A">
      <w:pPr>
        <w:pStyle w:val="naisno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AB" w:rsidRDefault="00AC08D5">
    <w:pPr>
      <w:pStyle w:val="Galvene"/>
      <w:framePr w:wrap="around" w:vAnchor="text" w:hAnchor="margin" w:xAlign="center" w:y="1"/>
      <w:rPr>
        <w:rStyle w:val="Lappusesnumurs"/>
      </w:rPr>
    </w:pPr>
    <w:r>
      <w:rPr>
        <w:rStyle w:val="Lappusesnumurs"/>
      </w:rPr>
      <w:fldChar w:fldCharType="begin"/>
    </w:r>
    <w:r w:rsidR="007D6DAB">
      <w:rPr>
        <w:rStyle w:val="Lappusesnumurs"/>
      </w:rPr>
      <w:instrText xml:space="preserve">PAGE  </w:instrText>
    </w:r>
    <w:r>
      <w:rPr>
        <w:rStyle w:val="Lappusesnumurs"/>
      </w:rPr>
      <w:fldChar w:fldCharType="end"/>
    </w:r>
  </w:p>
  <w:p w:rsidR="007D6DAB" w:rsidRDefault="007D6DA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AB" w:rsidRDefault="00AC08D5">
    <w:pPr>
      <w:pStyle w:val="Galvene"/>
      <w:framePr w:wrap="around" w:vAnchor="text" w:hAnchor="margin" w:xAlign="center" w:y="1"/>
      <w:rPr>
        <w:rStyle w:val="Lappusesnumurs"/>
      </w:rPr>
    </w:pPr>
    <w:r>
      <w:rPr>
        <w:rStyle w:val="Lappusesnumurs"/>
      </w:rPr>
      <w:fldChar w:fldCharType="begin"/>
    </w:r>
    <w:r w:rsidR="007D6DAB">
      <w:rPr>
        <w:rStyle w:val="Lappusesnumurs"/>
      </w:rPr>
      <w:instrText xml:space="preserve">PAGE  </w:instrText>
    </w:r>
    <w:r>
      <w:rPr>
        <w:rStyle w:val="Lappusesnumurs"/>
      </w:rPr>
      <w:fldChar w:fldCharType="separate"/>
    </w:r>
    <w:r w:rsidR="00DA5A34">
      <w:rPr>
        <w:rStyle w:val="Lappusesnumurs"/>
        <w:noProof/>
      </w:rPr>
      <w:t>3</w:t>
    </w:r>
    <w:r>
      <w:rPr>
        <w:rStyle w:val="Lappusesnumurs"/>
      </w:rPr>
      <w:fldChar w:fldCharType="end"/>
    </w:r>
  </w:p>
  <w:p w:rsidR="007D6DAB" w:rsidRDefault="007D6DA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4957"/>
    <w:rsid w:val="00004A0E"/>
    <w:rsid w:val="00011B85"/>
    <w:rsid w:val="000158CE"/>
    <w:rsid w:val="00021323"/>
    <w:rsid w:val="00023B79"/>
    <w:rsid w:val="00025889"/>
    <w:rsid w:val="00030DC1"/>
    <w:rsid w:val="000320E9"/>
    <w:rsid w:val="000336DF"/>
    <w:rsid w:val="00033794"/>
    <w:rsid w:val="00036EA1"/>
    <w:rsid w:val="00043C60"/>
    <w:rsid w:val="0004707F"/>
    <w:rsid w:val="0004743D"/>
    <w:rsid w:val="0005179F"/>
    <w:rsid w:val="0005271E"/>
    <w:rsid w:val="00056924"/>
    <w:rsid w:val="000571C9"/>
    <w:rsid w:val="000573BE"/>
    <w:rsid w:val="00060405"/>
    <w:rsid w:val="0007415F"/>
    <w:rsid w:val="0009009B"/>
    <w:rsid w:val="00095D75"/>
    <w:rsid w:val="000A5D11"/>
    <w:rsid w:val="000B012A"/>
    <w:rsid w:val="000B0879"/>
    <w:rsid w:val="000B343F"/>
    <w:rsid w:val="000C02A2"/>
    <w:rsid w:val="000C63F3"/>
    <w:rsid w:val="000C6955"/>
    <w:rsid w:val="000D2FC5"/>
    <w:rsid w:val="000D613D"/>
    <w:rsid w:val="000D64FA"/>
    <w:rsid w:val="000E0F3F"/>
    <w:rsid w:val="000E6D34"/>
    <w:rsid w:val="000F1746"/>
    <w:rsid w:val="000F239A"/>
    <w:rsid w:val="000F476D"/>
    <w:rsid w:val="000F6BB5"/>
    <w:rsid w:val="00107D69"/>
    <w:rsid w:val="0011167D"/>
    <w:rsid w:val="00113214"/>
    <w:rsid w:val="00113EC3"/>
    <w:rsid w:val="001236C7"/>
    <w:rsid w:val="00124AE2"/>
    <w:rsid w:val="001308BD"/>
    <w:rsid w:val="00132B84"/>
    <w:rsid w:val="0013425C"/>
    <w:rsid w:val="00140A0D"/>
    <w:rsid w:val="00146D2B"/>
    <w:rsid w:val="001510C5"/>
    <w:rsid w:val="00152A12"/>
    <w:rsid w:val="00152C31"/>
    <w:rsid w:val="00183686"/>
    <w:rsid w:val="00186233"/>
    <w:rsid w:val="001910B3"/>
    <w:rsid w:val="0019352B"/>
    <w:rsid w:val="001A17A6"/>
    <w:rsid w:val="001A5364"/>
    <w:rsid w:val="001A664D"/>
    <w:rsid w:val="001B4E7D"/>
    <w:rsid w:val="001B6F0F"/>
    <w:rsid w:val="001C482B"/>
    <w:rsid w:val="001D2071"/>
    <w:rsid w:val="001D262D"/>
    <w:rsid w:val="001D7BAE"/>
    <w:rsid w:val="001F5ADB"/>
    <w:rsid w:val="00200C4F"/>
    <w:rsid w:val="00202A18"/>
    <w:rsid w:val="002064A7"/>
    <w:rsid w:val="0021067B"/>
    <w:rsid w:val="002116A3"/>
    <w:rsid w:val="00212124"/>
    <w:rsid w:val="00215893"/>
    <w:rsid w:val="002256DD"/>
    <w:rsid w:val="00233386"/>
    <w:rsid w:val="00240B48"/>
    <w:rsid w:val="0024264D"/>
    <w:rsid w:val="002549E4"/>
    <w:rsid w:val="00257CD4"/>
    <w:rsid w:val="00263821"/>
    <w:rsid w:val="00270DEE"/>
    <w:rsid w:val="00274248"/>
    <w:rsid w:val="00274466"/>
    <w:rsid w:val="002777A0"/>
    <w:rsid w:val="002943F9"/>
    <w:rsid w:val="00295688"/>
    <w:rsid w:val="002A1F6A"/>
    <w:rsid w:val="002A511C"/>
    <w:rsid w:val="002A78A4"/>
    <w:rsid w:val="002B3CFE"/>
    <w:rsid w:val="002C627B"/>
    <w:rsid w:val="002D38BB"/>
    <w:rsid w:val="002D69FF"/>
    <w:rsid w:val="002D6BB0"/>
    <w:rsid w:val="002E5F6A"/>
    <w:rsid w:val="002F4D17"/>
    <w:rsid w:val="003040EA"/>
    <w:rsid w:val="00305A02"/>
    <w:rsid w:val="00312096"/>
    <w:rsid w:val="0032203D"/>
    <w:rsid w:val="00324F21"/>
    <w:rsid w:val="00336F40"/>
    <w:rsid w:val="00340BA5"/>
    <w:rsid w:val="0034363E"/>
    <w:rsid w:val="0034792C"/>
    <w:rsid w:val="00351213"/>
    <w:rsid w:val="00362B6A"/>
    <w:rsid w:val="0036420A"/>
    <w:rsid w:val="00366DA7"/>
    <w:rsid w:val="00377893"/>
    <w:rsid w:val="00377F5D"/>
    <w:rsid w:val="00380244"/>
    <w:rsid w:val="003915AB"/>
    <w:rsid w:val="003925A7"/>
    <w:rsid w:val="00392C12"/>
    <w:rsid w:val="00394DFC"/>
    <w:rsid w:val="00396387"/>
    <w:rsid w:val="0039714E"/>
    <w:rsid w:val="003A0732"/>
    <w:rsid w:val="003A2719"/>
    <w:rsid w:val="003A274F"/>
    <w:rsid w:val="003C15DF"/>
    <w:rsid w:val="003C24AE"/>
    <w:rsid w:val="003C2D43"/>
    <w:rsid w:val="003C4049"/>
    <w:rsid w:val="003D22B0"/>
    <w:rsid w:val="003D33E9"/>
    <w:rsid w:val="003D6104"/>
    <w:rsid w:val="003D6AAD"/>
    <w:rsid w:val="003E0326"/>
    <w:rsid w:val="003E4108"/>
    <w:rsid w:val="003E43AF"/>
    <w:rsid w:val="003F5862"/>
    <w:rsid w:val="004047CC"/>
    <w:rsid w:val="00404F74"/>
    <w:rsid w:val="00411D43"/>
    <w:rsid w:val="004161E5"/>
    <w:rsid w:val="00420D79"/>
    <w:rsid w:val="00430E31"/>
    <w:rsid w:val="00435BB6"/>
    <w:rsid w:val="00445A96"/>
    <w:rsid w:val="00445EA3"/>
    <w:rsid w:val="00446440"/>
    <w:rsid w:val="004557C5"/>
    <w:rsid w:val="00456C58"/>
    <w:rsid w:val="004632C3"/>
    <w:rsid w:val="00485F0A"/>
    <w:rsid w:val="00495998"/>
    <w:rsid w:val="00497369"/>
    <w:rsid w:val="004A1774"/>
    <w:rsid w:val="004B0FB4"/>
    <w:rsid w:val="004B1233"/>
    <w:rsid w:val="004B737C"/>
    <w:rsid w:val="004C0D13"/>
    <w:rsid w:val="004C19F9"/>
    <w:rsid w:val="004D3F66"/>
    <w:rsid w:val="004E5816"/>
    <w:rsid w:val="004F19B9"/>
    <w:rsid w:val="004F2472"/>
    <w:rsid w:val="004F302C"/>
    <w:rsid w:val="004F3565"/>
    <w:rsid w:val="005009B2"/>
    <w:rsid w:val="00510DE7"/>
    <w:rsid w:val="00521F0A"/>
    <w:rsid w:val="00526262"/>
    <w:rsid w:val="00526EF3"/>
    <w:rsid w:val="00534211"/>
    <w:rsid w:val="005447A9"/>
    <w:rsid w:val="00550BFB"/>
    <w:rsid w:val="00553C8A"/>
    <w:rsid w:val="00555C4A"/>
    <w:rsid w:val="00557C25"/>
    <w:rsid w:val="00565AC8"/>
    <w:rsid w:val="0058311F"/>
    <w:rsid w:val="00584B8F"/>
    <w:rsid w:val="005855B1"/>
    <w:rsid w:val="005A12A9"/>
    <w:rsid w:val="005A1DE4"/>
    <w:rsid w:val="005A5045"/>
    <w:rsid w:val="005B37EC"/>
    <w:rsid w:val="005C706F"/>
    <w:rsid w:val="005D1365"/>
    <w:rsid w:val="005D2E36"/>
    <w:rsid w:val="005D46BC"/>
    <w:rsid w:val="005E0EDC"/>
    <w:rsid w:val="005F03A4"/>
    <w:rsid w:val="005F3935"/>
    <w:rsid w:val="005F788F"/>
    <w:rsid w:val="006033BF"/>
    <w:rsid w:val="00604BFA"/>
    <w:rsid w:val="00606377"/>
    <w:rsid w:val="006230CF"/>
    <w:rsid w:val="0062486A"/>
    <w:rsid w:val="00631007"/>
    <w:rsid w:val="00642850"/>
    <w:rsid w:val="00646958"/>
    <w:rsid w:val="00651CC6"/>
    <w:rsid w:val="00654C8B"/>
    <w:rsid w:val="006562EF"/>
    <w:rsid w:val="0065630E"/>
    <w:rsid w:val="006605F5"/>
    <w:rsid w:val="006606C3"/>
    <w:rsid w:val="00670388"/>
    <w:rsid w:val="0067267D"/>
    <w:rsid w:val="00674552"/>
    <w:rsid w:val="00674C54"/>
    <w:rsid w:val="00684628"/>
    <w:rsid w:val="00686F59"/>
    <w:rsid w:val="006A137F"/>
    <w:rsid w:val="006A3DA3"/>
    <w:rsid w:val="006A6016"/>
    <w:rsid w:val="006A62D8"/>
    <w:rsid w:val="006B01BB"/>
    <w:rsid w:val="006B112F"/>
    <w:rsid w:val="006C060F"/>
    <w:rsid w:val="006D2B36"/>
    <w:rsid w:val="006D388A"/>
    <w:rsid w:val="006D4BB7"/>
    <w:rsid w:val="006E2615"/>
    <w:rsid w:val="006F3427"/>
    <w:rsid w:val="006F5179"/>
    <w:rsid w:val="006F69EE"/>
    <w:rsid w:val="0070413A"/>
    <w:rsid w:val="007069B3"/>
    <w:rsid w:val="007179CC"/>
    <w:rsid w:val="00720A0D"/>
    <w:rsid w:val="007353A6"/>
    <w:rsid w:val="007356D2"/>
    <w:rsid w:val="00737F79"/>
    <w:rsid w:val="00740A86"/>
    <w:rsid w:val="00744957"/>
    <w:rsid w:val="00753217"/>
    <w:rsid w:val="00756F3B"/>
    <w:rsid w:val="00766A2C"/>
    <w:rsid w:val="007753F0"/>
    <w:rsid w:val="00775FC4"/>
    <w:rsid w:val="00777704"/>
    <w:rsid w:val="00780AB7"/>
    <w:rsid w:val="00787176"/>
    <w:rsid w:val="007A127C"/>
    <w:rsid w:val="007B1D1A"/>
    <w:rsid w:val="007B2F00"/>
    <w:rsid w:val="007C4FDA"/>
    <w:rsid w:val="007C74D0"/>
    <w:rsid w:val="007C77BC"/>
    <w:rsid w:val="007D24A3"/>
    <w:rsid w:val="007D6DAB"/>
    <w:rsid w:val="007F079B"/>
    <w:rsid w:val="007F4BFF"/>
    <w:rsid w:val="00815E6B"/>
    <w:rsid w:val="0081767D"/>
    <w:rsid w:val="008233E3"/>
    <w:rsid w:val="00824C47"/>
    <w:rsid w:val="0082563E"/>
    <w:rsid w:val="00825DC2"/>
    <w:rsid w:val="00826E46"/>
    <w:rsid w:val="0083254E"/>
    <w:rsid w:val="00842D09"/>
    <w:rsid w:val="008453BA"/>
    <w:rsid w:val="00845E00"/>
    <w:rsid w:val="00851D4C"/>
    <w:rsid w:val="0085680E"/>
    <w:rsid w:val="008673BF"/>
    <w:rsid w:val="00876831"/>
    <w:rsid w:val="00880E3B"/>
    <w:rsid w:val="00891D5C"/>
    <w:rsid w:val="008A4C45"/>
    <w:rsid w:val="008B2380"/>
    <w:rsid w:val="008B368D"/>
    <w:rsid w:val="008C0C88"/>
    <w:rsid w:val="008C29C4"/>
    <w:rsid w:val="008D37B8"/>
    <w:rsid w:val="008E0742"/>
    <w:rsid w:val="008E37C8"/>
    <w:rsid w:val="008F6546"/>
    <w:rsid w:val="00915E00"/>
    <w:rsid w:val="00926EDF"/>
    <w:rsid w:val="00930F63"/>
    <w:rsid w:val="009357B8"/>
    <w:rsid w:val="00940BB1"/>
    <w:rsid w:val="009458C6"/>
    <w:rsid w:val="009519D4"/>
    <w:rsid w:val="00953069"/>
    <w:rsid w:val="0095614C"/>
    <w:rsid w:val="00957B99"/>
    <w:rsid w:val="00963B57"/>
    <w:rsid w:val="00965A60"/>
    <w:rsid w:val="00974C8B"/>
    <w:rsid w:val="009770C6"/>
    <w:rsid w:val="009836FD"/>
    <w:rsid w:val="0098468B"/>
    <w:rsid w:val="009859CA"/>
    <w:rsid w:val="009928EC"/>
    <w:rsid w:val="00993EC1"/>
    <w:rsid w:val="009A0539"/>
    <w:rsid w:val="009A36EE"/>
    <w:rsid w:val="009A628B"/>
    <w:rsid w:val="009B535C"/>
    <w:rsid w:val="009B730F"/>
    <w:rsid w:val="009C0F41"/>
    <w:rsid w:val="009C6AAD"/>
    <w:rsid w:val="009E6D68"/>
    <w:rsid w:val="009E6F5F"/>
    <w:rsid w:val="009F020D"/>
    <w:rsid w:val="009F0BCA"/>
    <w:rsid w:val="009F149F"/>
    <w:rsid w:val="009F567C"/>
    <w:rsid w:val="009F6F1D"/>
    <w:rsid w:val="00A014F4"/>
    <w:rsid w:val="00A01EFF"/>
    <w:rsid w:val="00A1548D"/>
    <w:rsid w:val="00A16380"/>
    <w:rsid w:val="00A16649"/>
    <w:rsid w:val="00A16A5E"/>
    <w:rsid w:val="00A327E6"/>
    <w:rsid w:val="00A529F6"/>
    <w:rsid w:val="00A55D3C"/>
    <w:rsid w:val="00A650BA"/>
    <w:rsid w:val="00A74BDA"/>
    <w:rsid w:val="00A82B17"/>
    <w:rsid w:val="00A86017"/>
    <w:rsid w:val="00A86484"/>
    <w:rsid w:val="00A91E67"/>
    <w:rsid w:val="00A920B9"/>
    <w:rsid w:val="00A9521A"/>
    <w:rsid w:val="00A96CFE"/>
    <w:rsid w:val="00AA447F"/>
    <w:rsid w:val="00AB2652"/>
    <w:rsid w:val="00AB3341"/>
    <w:rsid w:val="00AB5CB6"/>
    <w:rsid w:val="00AB6FB3"/>
    <w:rsid w:val="00AC08D5"/>
    <w:rsid w:val="00AC161F"/>
    <w:rsid w:val="00AC1989"/>
    <w:rsid w:val="00AD4231"/>
    <w:rsid w:val="00AE0A42"/>
    <w:rsid w:val="00AE18D3"/>
    <w:rsid w:val="00AE198F"/>
    <w:rsid w:val="00AE3A9F"/>
    <w:rsid w:val="00B00ECF"/>
    <w:rsid w:val="00B0519A"/>
    <w:rsid w:val="00B1204B"/>
    <w:rsid w:val="00B12962"/>
    <w:rsid w:val="00B23F47"/>
    <w:rsid w:val="00B335CC"/>
    <w:rsid w:val="00B35D85"/>
    <w:rsid w:val="00B363AD"/>
    <w:rsid w:val="00B3711E"/>
    <w:rsid w:val="00B41BC6"/>
    <w:rsid w:val="00B44888"/>
    <w:rsid w:val="00B468DC"/>
    <w:rsid w:val="00B47920"/>
    <w:rsid w:val="00B50B22"/>
    <w:rsid w:val="00B54F55"/>
    <w:rsid w:val="00B57C69"/>
    <w:rsid w:val="00B73BDB"/>
    <w:rsid w:val="00B73D80"/>
    <w:rsid w:val="00B74EEC"/>
    <w:rsid w:val="00B86C5E"/>
    <w:rsid w:val="00B876B0"/>
    <w:rsid w:val="00B90BBB"/>
    <w:rsid w:val="00B90C0B"/>
    <w:rsid w:val="00B9614B"/>
    <w:rsid w:val="00B97893"/>
    <w:rsid w:val="00B97EE6"/>
    <w:rsid w:val="00BA1128"/>
    <w:rsid w:val="00BA3E30"/>
    <w:rsid w:val="00BA433D"/>
    <w:rsid w:val="00BC13AE"/>
    <w:rsid w:val="00BD2242"/>
    <w:rsid w:val="00BE0513"/>
    <w:rsid w:val="00BE0949"/>
    <w:rsid w:val="00BE41A1"/>
    <w:rsid w:val="00BF4A2D"/>
    <w:rsid w:val="00BF5403"/>
    <w:rsid w:val="00C02369"/>
    <w:rsid w:val="00C027CC"/>
    <w:rsid w:val="00C03898"/>
    <w:rsid w:val="00C05B0F"/>
    <w:rsid w:val="00C125DA"/>
    <w:rsid w:val="00C12AFC"/>
    <w:rsid w:val="00C12C0B"/>
    <w:rsid w:val="00C14824"/>
    <w:rsid w:val="00C159F4"/>
    <w:rsid w:val="00C2425A"/>
    <w:rsid w:val="00C2541A"/>
    <w:rsid w:val="00C25866"/>
    <w:rsid w:val="00C26CD0"/>
    <w:rsid w:val="00C27D87"/>
    <w:rsid w:val="00C316B4"/>
    <w:rsid w:val="00C35A08"/>
    <w:rsid w:val="00C4120C"/>
    <w:rsid w:val="00C50445"/>
    <w:rsid w:val="00C50CAA"/>
    <w:rsid w:val="00C51A93"/>
    <w:rsid w:val="00C55B2F"/>
    <w:rsid w:val="00C60896"/>
    <w:rsid w:val="00C61F92"/>
    <w:rsid w:val="00C63AD3"/>
    <w:rsid w:val="00C65E1A"/>
    <w:rsid w:val="00C677E6"/>
    <w:rsid w:val="00C67E4E"/>
    <w:rsid w:val="00C76A3C"/>
    <w:rsid w:val="00C80D0E"/>
    <w:rsid w:val="00C86BDE"/>
    <w:rsid w:val="00C87CF7"/>
    <w:rsid w:val="00C9140C"/>
    <w:rsid w:val="00C9390B"/>
    <w:rsid w:val="00C96420"/>
    <w:rsid w:val="00C97E37"/>
    <w:rsid w:val="00CA3CE5"/>
    <w:rsid w:val="00CB78DF"/>
    <w:rsid w:val="00CC0823"/>
    <w:rsid w:val="00CC0D13"/>
    <w:rsid w:val="00CD328A"/>
    <w:rsid w:val="00CE5752"/>
    <w:rsid w:val="00CE5A6A"/>
    <w:rsid w:val="00CE7705"/>
    <w:rsid w:val="00D0295E"/>
    <w:rsid w:val="00D02DD2"/>
    <w:rsid w:val="00D11062"/>
    <w:rsid w:val="00D137AE"/>
    <w:rsid w:val="00D13A46"/>
    <w:rsid w:val="00D14E16"/>
    <w:rsid w:val="00D15557"/>
    <w:rsid w:val="00D208D7"/>
    <w:rsid w:val="00D2152A"/>
    <w:rsid w:val="00D25821"/>
    <w:rsid w:val="00D35ECD"/>
    <w:rsid w:val="00D54F8E"/>
    <w:rsid w:val="00D57D4A"/>
    <w:rsid w:val="00D61CE1"/>
    <w:rsid w:val="00D9108B"/>
    <w:rsid w:val="00DA5A34"/>
    <w:rsid w:val="00DB0397"/>
    <w:rsid w:val="00DB69D0"/>
    <w:rsid w:val="00DC0418"/>
    <w:rsid w:val="00DC0C4B"/>
    <w:rsid w:val="00DC58CB"/>
    <w:rsid w:val="00DD3DBF"/>
    <w:rsid w:val="00DD67F2"/>
    <w:rsid w:val="00DE176D"/>
    <w:rsid w:val="00DE482A"/>
    <w:rsid w:val="00DF22BF"/>
    <w:rsid w:val="00DF6E13"/>
    <w:rsid w:val="00E0117C"/>
    <w:rsid w:val="00E23B10"/>
    <w:rsid w:val="00E2651B"/>
    <w:rsid w:val="00E3003D"/>
    <w:rsid w:val="00E45335"/>
    <w:rsid w:val="00E46137"/>
    <w:rsid w:val="00E62A2F"/>
    <w:rsid w:val="00E67802"/>
    <w:rsid w:val="00E702E0"/>
    <w:rsid w:val="00E72B90"/>
    <w:rsid w:val="00E73D17"/>
    <w:rsid w:val="00E74367"/>
    <w:rsid w:val="00E91E2D"/>
    <w:rsid w:val="00E95153"/>
    <w:rsid w:val="00EA63C5"/>
    <w:rsid w:val="00EA6FB1"/>
    <w:rsid w:val="00EB16A5"/>
    <w:rsid w:val="00EC3929"/>
    <w:rsid w:val="00ED6C52"/>
    <w:rsid w:val="00ED766F"/>
    <w:rsid w:val="00EE1B4B"/>
    <w:rsid w:val="00EE68A3"/>
    <w:rsid w:val="00EF6AC4"/>
    <w:rsid w:val="00F00966"/>
    <w:rsid w:val="00F03108"/>
    <w:rsid w:val="00F133A2"/>
    <w:rsid w:val="00F13402"/>
    <w:rsid w:val="00F163AB"/>
    <w:rsid w:val="00F22B6C"/>
    <w:rsid w:val="00F312B4"/>
    <w:rsid w:val="00F31E04"/>
    <w:rsid w:val="00F3343D"/>
    <w:rsid w:val="00F44B3D"/>
    <w:rsid w:val="00F47012"/>
    <w:rsid w:val="00F53AF2"/>
    <w:rsid w:val="00F55F43"/>
    <w:rsid w:val="00F611CD"/>
    <w:rsid w:val="00F61224"/>
    <w:rsid w:val="00F61CDC"/>
    <w:rsid w:val="00F67F73"/>
    <w:rsid w:val="00F71DB3"/>
    <w:rsid w:val="00F81D13"/>
    <w:rsid w:val="00F86C5B"/>
    <w:rsid w:val="00F924A6"/>
    <w:rsid w:val="00F95E82"/>
    <w:rsid w:val="00FA2FC7"/>
    <w:rsid w:val="00FA73E6"/>
    <w:rsid w:val="00FB04C2"/>
    <w:rsid w:val="00FB18B8"/>
    <w:rsid w:val="00FB2D8B"/>
    <w:rsid w:val="00FB6934"/>
    <w:rsid w:val="00FB6AB7"/>
    <w:rsid w:val="00FC1367"/>
    <w:rsid w:val="00FC4D40"/>
    <w:rsid w:val="00FC6A1B"/>
    <w:rsid w:val="00FD388E"/>
    <w:rsid w:val="00FD3B9D"/>
    <w:rsid w:val="00FD6A6E"/>
    <w:rsid w:val="00FF7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16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uiPriority w:val="99"/>
    <w:rsid w:val="00A16649"/>
    <w:pPr>
      <w:spacing w:before="100" w:beforeAutospacing="1" w:after="100" w:afterAutospacing="1"/>
    </w:pPr>
  </w:style>
  <w:style w:type="paragraph" w:customStyle="1" w:styleId="CharCharRakstzRakstzCharChar">
    <w:name w:val="Char Char Rakstz. Rakstz. Char Char"/>
    <w:basedOn w:val="Parastais"/>
    <w:autoRedefine/>
    <w:uiPriority w:val="99"/>
    <w:rsid w:val="00A16649"/>
    <w:pPr>
      <w:spacing w:before="40"/>
    </w:pPr>
    <w:rPr>
      <w:lang w:val="pl-PL" w:eastAsia="pl-PL"/>
    </w:rPr>
  </w:style>
  <w:style w:type="paragraph" w:customStyle="1" w:styleId="naisnod">
    <w:name w:val="naisnod"/>
    <w:basedOn w:val="Parastais"/>
    <w:uiPriority w:val="99"/>
    <w:rsid w:val="00A16649"/>
    <w:pPr>
      <w:spacing w:before="150" w:after="150"/>
      <w:jc w:val="center"/>
    </w:pPr>
    <w:rPr>
      <w:b/>
      <w:bCs/>
    </w:rPr>
  </w:style>
  <w:style w:type="paragraph" w:customStyle="1" w:styleId="naiskr">
    <w:name w:val="naiskr"/>
    <w:basedOn w:val="Parastais"/>
    <w:uiPriority w:val="99"/>
    <w:rsid w:val="00A16649"/>
    <w:pPr>
      <w:spacing w:before="75" w:after="75"/>
    </w:pPr>
  </w:style>
  <w:style w:type="paragraph" w:styleId="Vresteksts">
    <w:name w:val="footnote text"/>
    <w:basedOn w:val="Parastais"/>
    <w:link w:val="VrestekstsRakstz"/>
    <w:uiPriority w:val="99"/>
    <w:semiHidden/>
    <w:rsid w:val="00A16649"/>
    <w:rPr>
      <w:sz w:val="20"/>
      <w:szCs w:val="20"/>
    </w:rPr>
  </w:style>
  <w:style w:type="character" w:customStyle="1" w:styleId="VrestekstsRakstz">
    <w:name w:val="Vēres teksts Rakstz."/>
    <w:link w:val="Vresteksts"/>
    <w:uiPriority w:val="99"/>
    <w:semiHidden/>
    <w:locked/>
    <w:rsid w:val="00F00966"/>
    <w:rPr>
      <w:sz w:val="20"/>
    </w:rPr>
  </w:style>
  <w:style w:type="paragraph" w:styleId="Pamatteksts">
    <w:name w:val="Body Text"/>
    <w:basedOn w:val="Parastais"/>
    <w:link w:val="PamattekstsRakstz"/>
    <w:uiPriority w:val="99"/>
    <w:rsid w:val="00A16649"/>
    <w:pPr>
      <w:jc w:val="right"/>
    </w:pPr>
    <w:rPr>
      <w:szCs w:val="20"/>
    </w:rPr>
  </w:style>
  <w:style w:type="character" w:customStyle="1" w:styleId="PamattekstsRakstz">
    <w:name w:val="Pamatteksts Rakstz."/>
    <w:link w:val="Pamatteksts"/>
    <w:uiPriority w:val="99"/>
    <w:semiHidden/>
    <w:locked/>
    <w:rsid w:val="00F00966"/>
    <w:rPr>
      <w:sz w:val="24"/>
    </w:rPr>
  </w:style>
  <w:style w:type="character" w:styleId="Izclums">
    <w:name w:val="Emphasis"/>
    <w:uiPriority w:val="99"/>
    <w:qFormat/>
    <w:rsid w:val="00A16649"/>
    <w:rPr>
      <w:rFonts w:cs="Times New Roman"/>
      <w:i/>
    </w:rPr>
  </w:style>
  <w:style w:type="paragraph" w:customStyle="1" w:styleId="naisf">
    <w:name w:val="naisf"/>
    <w:basedOn w:val="Parastais"/>
    <w:uiPriority w:val="99"/>
    <w:rsid w:val="00A16649"/>
    <w:pPr>
      <w:spacing w:before="75" w:after="75"/>
      <w:ind w:firstLine="375"/>
      <w:jc w:val="both"/>
    </w:pPr>
  </w:style>
  <w:style w:type="table" w:styleId="Reatabula">
    <w:name w:val="Table Grid"/>
    <w:basedOn w:val="Parastatabula"/>
    <w:uiPriority w:val="99"/>
    <w:rsid w:val="00A1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uiPriority w:val="99"/>
    <w:qFormat/>
    <w:rsid w:val="00A16649"/>
    <w:rPr>
      <w:rFonts w:cs="Times New Roman"/>
      <w:b/>
    </w:rPr>
  </w:style>
  <w:style w:type="paragraph" w:styleId="Pamattekstsaratkpi">
    <w:name w:val="Body Text Indent"/>
    <w:basedOn w:val="Parastais"/>
    <w:link w:val="PamattekstsaratkpiRakstz"/>
    <w:uiPriority w:val="99"/>
    <w:rsid w:val="00A16649"/>
    <w:pPr>
      <w:spacing w:after="120"/>
      <w:ind w:left="283"/>
    </w:pPr>
    <w:rPr>
      <w:szCs w:val="20"/>
    </w:rPr>
  </w:style>
  <w:style w:type="character" w:customStyle="1" w:styleId="PamattekstsaratkpiRakstz">
    <w:name w:val="Pamatteksts ar atkāpi Rakstz."/>
    <w:link w:val="Pamattekstsaratkpi"/>
    <w:uiPriority w:val="99"/>
    <w:semiHidden/>
    <w:locked/>
    <w:rsid w:val="00F00966"/>
    <w:rPr>
      <w:sz w:val="24"/>
    </w:rPr>
  </w:style>
  <w:style w:type="paragraph" w:styleId="Galvene">
    <w:name w:val="header"/>
    <w:basedOn w:val="Parastais"/>
    <w:link w:val="GalveneRakstz"/>
    <w:uiPriority w:val="99"/>
    <w:rsid w:val="00A16649"/>
    <w:pPr>
      <w:tabs>
        <w:tab w:val="center" w:pos="4153"/>
        <w:tab w:val="right" w:pos="8306"/>
      </w:tabs>
    </w:pPr>
    <w:rPr>
      <w:szCs w:val="20"/>
    </w:rPr>
  </w:style>
  <w:style w:type="character" w:customStyle="1" w:styleId="GalveneRakstz">
    <w:name w:val="Galvene Rakstz."/>
    <w:link w:val="Galvene"/>
    <w:uiPriority w:val="99"/>
    <w:semiHidden/>
    <w:locked/>
    <w:rsid w:val="00F00966"/>
    <w:rPr>
      <w:sz w:val="24"/>
    </w:rPr>
  </w:style>
  <w:style w:type="paragraph" w:styleId="Kjene">
    <w:name w:val="footer"/>
    <w:basedOn w:val="Parastais"/>
    <w:link w:val="KjeneRakstz"/>
    <w:uiPriority w:val="99"/>
    <w:rsid w:val="00A16649"/>
    <w:pPr>
      <w:tabs>
        <w:tab w:val="center" w:pos="4153"/>
        <w:tab w:val="right" w:pos="8306"/>
      </w:tabs>
    </w:pPr>
    <w:rPr>
      <w:szCs w:val="20"/>
    </w:rPr>
  </w:style>
  <w:style w:type="character" w:customStyle="1" w:styleId="KjeneRakstz">
    <w:name w:val="Kājene Rakstz."/>
    <w:link w:val="Kjene"/>
    <w:uiPriority w:val="99"/>
    <w:semiHidden/>
    <w:locked/>
    <w:rsid w:val="00F00966"/>
    <w:rPr>
      <w:sz w:val="24"/>
    </w:rPr>
  </w:style>
  <w:style w:type="character" w:styleId="Lappusesnumurs">
    <w:name w:val="page number"/>
    <w:uiPriority w:val="99"/>
    <w:rsid w:val="00A16649"/>
    <w:rPr>
      <w:rFonts w:cs="Times New Roman"/>
    </w:rPr>
  </w:style>
  <w:style w:type="paragraph" w:styleId="Komentrateksts">
    <w:name w:val="annotation text"/>
    <w:basedOn w:val="Parastais"/>
    <w:link w:val="KomentratekstsRakstz"/>
    <w:uiPriority w:val="99"/>
    <w:rsid w:val="00A16649"/>
    <w:rPr>
      <w:sz w:val="20"/>
      <w:szCs w:val="20"/>
    </w:rPr>
  </w:style>
  <w:style w:type="character" w:customStyle="1" w:styleId="KomentratekstsRakstz">
    <w:name w:val="Komentāra teksts Rakstz."/>
    <w:link w:val="Komentrateksts"/>
    <w:uiPriority w:val="99"/>
    <w:semiHidden/>
    <w:locked/>
    <w:rsid w:val="00F00966"/>
    <w:rPr>
      <w:sz w:val="20"/>
    </w:rPr>
  </w:style>
  <w:style w:type="character" w:styleId="Komentraatsauce">
    <w:name w:val="annotation reference"/>
    <w:uiPriority w:val="99"/>
    <w:semiHidden/>
    <w:rsid w:val="00A16649"/>
    <w:rPr>
      <w:rFonts w:cs="Times New Roman"/>
      <w:sz w:val="16"/>
    </w:rPr>
  </w:style>
  <w:style w:type="paragraph" w:styleId="Balonteksts">
    <w:name w:val="Balloon Text"/>
    <w:basedOn w:val="Parastais"/>
    <w:link w:val="BalontekstsRakstz"/>
    <w:uiPriority w:val="99"/>
    <w:semiHidden/>
    <w:rsid w:val="00A16649"/>
    <w:rPr>
      <w:sz w:val="2"/>
      <w:szCs w:val="20"/>
    </w:rPr>
  </w:style>
  <w:style w:type="character" w:customStyle="1" w:styleId="BalontekstsRakstz">
    <w:name w:val="Balonteksts Rakstz."/>
    <w:link w:val="Balonteksts"/>
    <w:uiPriority w:val="99"/>
    <w:semiHidden/>
    <w:locked/>
    <w:rsid w:val="00F00966"/>
    <w:rPr>
      <w:sz w:val="2"/>
    </w:rPr>
  </w:style>
  <w:style w:type="paragraph" w:styleId="Komentratma">
    <w:name w:val="annotation subject"/>
    <w:basedOn w:val="Komentrateksts"/>
    <w:next w:val="Komentrateksts"/>
    <w:link w:val="KomentratmaRakstz"/>
    <w:uiPriority w:val="99"/>
    <w:semiHidden/>
    <w:rsid w:val="00A16649"/>
    <w:rPr>
      <w:b/>
    </w:rPr>
  </w:style>
  <w:style w:type="character" w:customStyle="1" w:styleId="KomentratmaRakstz">
    <w:name w:val="Komentāra tēma Rakstz."/>
    <w:link w:val="Komentratma"/>
    <w:uiPriority w:val="99"/>
    <w:semiHidden/>
    <w:locked/>
    <w:rsid w:val="00F00966"/>
    <w:rPr>
      <w:b/>
      <w:sz w:val="20"/>
    </w:rPr>
  </w:style>
  <w:style w:type="paragraph" w:styleId="ParastaisWeb">
    <w:name w:val="Normal (Web)"/>
    <w:basedOn w:val="Parastais"/>
    <w:uiPriority w:val="99"/>
    <w:rsid w:val="00456C58"/>
    <w:pPr>
      <w:spacing w:before="100" w:beforeAutospacing="1" w:after="100" w:afterAutospacing="1"/>
    </w:pPr>
  </w:style>
  <w:style w:type="character" w:customStyle="1" w:styleId="apple-converted-space">
    <w:name w:val="apple-converted-space"/>
    <w:uiPriority w:val="99"/>
    <w:rsid w:val="000F476D"/>
  </w:style>
  <w:style w:type="character" w:styleId="Hipersaite">
    <w:name w:val="Hyperlink"/>
    <w:uiPriority w:val="99"/>
    <w:rsid w:val="00B41BC6"/>
    <w:rPr>
      <w:rFonts w:cs="Times New Roman"/>
      <w:color w:val="0000FF"/>
      <w:u w:val="single"/>
    </w:rPr>
  </w:style>
  <w:style w:type="character" w:styleId="Izmantotahipersaite">
    <w:name w:val="FollowedHyperlink"/>
    <w:uiPriority w:val="99"/>
    <w:rsid w:val="00B41BC6"/>
    <w:rPr>
      <w:rFonts w:cs="Times New Roman"/>
      <w:color w:val="800080"/>
      <w:u w:val="single"/>
    </w:rPr>
  </w:style>
  <w:style w:type="paragraph" w:customStyle="1" w:styleId="naislab">
    <w:name w:val="naislab"/>
    <w:basedOn w:val="Parastais"/>
    <w:uiPriority w:val="99"/>
    <w:rsid w:val="007D24A3"/>
    <w:pPr>
      <w:spacing w:before="100" w:beforeAutospacing="1" w:after="100" w:afterAutospacing="1"/>
    </w:pPr>
  </w:style>
  <w:style w:type="paragraph" w:customStyle="1" w:styleId="RakstzRakstzRakstzCharChar">
    <w:name w:val="Rakstz. Rakstz. Rakstz. Char Char"/>
    <w:basedOn w:val="Parastais"/>
    <w:uiPriority w:val="99"/>
    <w:rsid w:val="007D24A3"/>
    <w:pPr>
      <w:spacing w:before="40"/>
    </w:pPr>
    <w:rPr>
      <w:lang w:val="pl-PL" w:eastAsia="pl-PL"/>
    </w:rPr>
  </w:style>
  <w:style w:type="paragraph" w:customStyle="1" w:styleId="tvhtml">
    <w:name w:val="tv_html"/>
    <w:basedOn w:val="Parastais"/>
    <w:uiPriority w:val="99"/>
    <w:rsid w:val="006D2B36"/>
    <w:pPr>
      <w:spacing w:before="100" w:beforeAutospacing="1" w:after="100" w:afterAutospacing="1"/>
    </w:pPr>
    <w:rPr>
      <w:rFonts w:ascii="Verdana" w:hAnsi="Verdana"/>
      <w:sz w:val="18"/>
      <w:szCs w:val="18"/>
    </w:rPr>
  </w:style>
  <w:style w:type="character" w:customStyle="1" w:styleId="tvhtml1">
    <w:name w:val="tv_html1"/>
    <w:uiPriority w:val="99"/>
    <w:rsid w:val="00011B85"/>
    <w:rPr>
      <w:rFonts w:ascii="Verdana" w:hAnsi="Verdana"/>
      <w:sz w:val="18"/>
    </w:rPr>
  </w:style>
  <w:style w:type="paragraph" w:styleId="Vienkrsteksts">
    <w:name w:val="Plain Text"/>
    <w:basedOn w:val="Parastais"/>
    <w:link w:val="VienkrstekstsRakstz"/>
    <w:uiPriority w:val="99"/>
    <w:rsid w:val="00C12AFC"/>
    <w:rPr>
      <w:rFonts w:ascii="Consolas" w:hAnsi="Consolas"/>
      <w:sz w:val="21"/>
      <w:szCs w:val="21"/>
      <w:lang w:eastAsia="en-US"/>
    </w:rPr>
  </w:style>
  <w:style w:type="character" w:customStyle="1" w:styleId="VienkrstekstsRakstz">
    <w:name w:val="Vienkāršs teksts Rakstz."/>
    <w:link w:val="Vienkrsteksts"/>
    <w:uiPriority w:val="99"/>
    <w:locked/>
    <w:rsid w:val="00C12AFC"/>
    <w:rPr>
      <w:rFonts w:ascii="Consolas" w:hAnsi="Consolas"/>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9549609">
      <w:marLeft w:val="0"/>
      <w:marRight w:val="0"/>
      <w:marTop w:val="0"/>
      <w:marBottom w:val="0"/>
      <w:divBdr>
        <w:top w:val="none" w:sz="0" w:space="0" w:color="auto"/>
        <w:left w:val="none" w:sz="0" w:space="0" w:color="auto"/>
        <w:bottom w:val="none" w:sz="0" w:space="0" w:color="auto"/>
        <w:right w:val="none" w:sz="0" w:space="0" w:color="auto"/>
      </w:divBdr>
    </w:div>
    <w:div w:id="1019549612">
      <w:marLeft w:val="0"/>
      <w:marRight w:val="0"/>
      <w:marTop w:val="0"/>
      <w:marBottom w:val="0"/>
      <w:divBdr>
        <w:top w:val="none" w:sz="0" w:space="0" w:color="auto"/>
        <w:left w:val="none" w:sz="0" w:space="0" w:color="auto"/>
        <w:bottom w:val="none" w:sz="0" w:space="0" w:color="auto"/>
        <w:right w:val="none" w:sz="0" w:space="0" w:color="auto"/>
      </w:divBdr>
      <w:divsChild>
        <w:div w:id="10195496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549614">
      <w:marLeft w:val="0"/>
      <w:marRight w:val="0"/>
      <w:marTop w:val="0"/>
      <w:marBottom w:val="0"/>
      <w:divBdr>
        <w:top w:val="none" w:sz="0" w:space="0" w:color="auto"/>
        <w:left w:val="none" w:sz="0" w:space="0" w:color="auto"/>
        <w:bottom w:val="none" w:sz="0" w:space="0" w:color="auto"/>
        <w:right w:val="none" w:sz="0" w:space="0" w:color="auto"/>
      </w:divBdr>
    </w:div>
    <w:div w:id="1019549615">
      <w:marLeft w:val="0"/>
      <w:marRight w:val="0"/>
      <w:marTop w:val="0"/>
      <w:marBottom w:val="0"/>
      <w:divBdr>
        <w:top w:val="none" w:sz="0" w:space="0" w:color="auto"/>
        <w:left w:val="none" w:sz="0" w:space="0" w:color="auto"/>
        <w:bottom w:val="none" w:sz="0" w:space="0" w:color="auto"/>
        <w:right w:val="none" w:sz="0" w:space="0" w:color="auto"/>
      </w:divBdr>
    </w:div>
    <w:div w:id="1019549616">
      <w:marLeft w:val="0"/>
      <w:marRight w:val="0"/>
      <w:marTop w:val="0"/>
      <w:marBottom w:val="0"/>
      <w:divBdr>
        <w:top w:val="none" w:sz="0" w:space="0" w:color="auto"/>
        <w:left w:val="none" w:sz="0" w:space="0" w:color="auto"/>
        <w:bottom w:val="none" w:sz="0" w:space="0" w:color="auto"/>
        <w:right w:val="none" w:sz="0" w:space="0" w:color="auto"/>
      </w:divBdr>
      <w:divsChild>
        <w:div w:id="101954961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549620">
      <w:marLeft w:val="45"/>
      <w:marRight w:val="45"/>
      <w:marTop w:val="90"/>
      <w:marBottom w:val="90"/>
      <w:divBdr>
        <w:top w:val="none" w:sz="0" w:space="0" w:color="auto"/>
        <w:left w:val="none" w:sz="0" w:space="0" w:color="auto"/>
        <w:bottom w:val="none" w:sz="0" w:space="0" w:color="auto"/>
        <w:right w:val="none" w:sz="0" w:space="0" w:color="auto"/>
      </w:divBdr>
      <w:divsChild>
        <w:div w:id="1019549618">
          <w:marLeft w:val="0"/>
          <w:marRight w:val="0"/>
          <w:marTop w:val="240"/>
          <w:marBottom w:val="0"/>
          <w:divBdr>
            <w:top w:val="none" w:sz="0" w:space="0" w:color="auto"/>
            <w:left w:val="none" w:sz="0" w:space="0" w:color="auto"/>
            <w:bottom w:val="none" w:sz="0" w:space="0" w:color="auto"/>
            <w:right w:val="none" w:sz="0" w:space="0" w:color="auto"/>
          </w:divBdr>
        </w:div>
      </w:divsChild>
    </w:div>
    <w:div w:id="1019549621">
      <w:marLeft w:val="0"/>
      <w:marRight w:val="0"/>
      <w:marTop w:val="0"/>
      <w:marBottom w:val="0"/>
      <w:divBdr>
        <w:top w:val="none" w:sz="0" w:space="0" w:color="auto"/>
        <w:left w:val="none" w:sz="0" w:space="0" w:color="auto"/>
        <w:bottom w:val="none" w:sz="0" w:space="0" w:color="auto"/>
        <w:right w:val="none" w:sz="0" w:space="0" w:color="auto"/>
      </w:divBdr>
      <w:divsChild>
        <w:div w:id="10195496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9549622">
      <w:marLeft w:val="38"/>
      <w:marRight w:val="38"/>
      <w:marTop w:val="75"/>
      <w:marBottom w:val="75"/>
      <w:divBdr>
        <w:top w:val="none" w:sz="0" w:space="0" w:color="auto"/>
        <w:left w:val="none" w:sz="0" w:space="0" w:color="auto"/>
        <w:bottom w:val="none" w:sz="0" w:space="0" w:color="auto"/>
        <w:right w:val="none" w:sz="0" w:space="0" w:color="auto"/>
      </w:divBdr>
      <w:divsChild>
        <w:div w:id="1019549611">
          <w:marLeft w:val="0"/>
          <w:marRight w:val="0"/>
          <w:marTop w:val="0"/>
          <w:marBottom w:val="567"/>
          <w:divBdr>
            <w:top w:val="none" w:sz="0" w:space="0" w:color="auto"/>
            <w:left w:val="none" w:sz="0" w:space="0" w:color="auto"/>
            <w:bottom w:val="none" w:sz="0" w:space="0" w:color="auto"/>
            <w:right w:val="none" w:sz="0" w:space="0" w:color="auto"/>
          </w:divBdr>
        </w:div>
      </w:divsChild>
    </w:div>
    <w:div w:id="1019549624">
      <w:marLeft w:val="0"/>
      <w:marRight w:val="0"/>
      <w:marTop w:val="0"/>
      <w:marBottom w:val="0"/>
      <w:divBdr>
        <w:top w:val="none" w:sz="0" w:space="0" w:color="auto"/>
        <w:left w:val="none" w:sz="0" w:space="0" w:color="auto"/>
        <w:bottom w:val="none" w:sz="0" w:space="0" w:color="auto"/>
        <w:right w:val="none" w:sz="0" w:space="0" w:color="auto"/>
      </w:divBdr>
      <w:divsChild>
        <w:div w:id="1019549623">
          <w:marLeft w:val="0"/>
          <w:marRight w:val="0"/>
          <w:marTop w:val="0"/>
          <w:marBottom w:val="0"/>
          <w:divBdr>
            <w:top w:val="none" w:sz="0" w:space="0" w:color="auto"/>
            <w:left w:val="none" w:sz="0" w:space="0" w:color="auto"/>
            <w:bottom w:val="none" w:sz="0" w:space="0" w:color="auto"/>
            <w:right w:val="none" w:sz="0" w:space="0" w:color="auto"/>
          </w:divBdr>
          <w:divsChild>
            <w:div w:id="1019549625">
              <w:marLeft w:val="0"/>
              <w:marRight w:val="0"/>
              <w:marTop w:val="250"/>
              <w:marBottom w:val="0"/>
              <w:divBdr>
                <w:top w:val="none" w:sz="0" w:space="0" w:color="auto"/>
                <w:left w:val="none" w:sz="0" w:space="0" w:color="auto"/>
                <w:bottom w:val="none" w:sz="0" w:space="0" w:color="auto"/>
                <w:right w:val="none" w:sz="0" w:space="0" w:color="auto"/>
              </w:divBdr>
              <w:divsChild>
                <w:div w:id="1019549608">
                  <w:marLeft w:val="0"/>
                  <w:marRight w:val="13"/>
                  <w:marTop w:val="0"/>
                  <w:marBottom w:val="0"/>
                  <w:divBdr>
                    <w:top w:val="none" w:sz="0" w:space="0" w:color="auto"/>
                    <w:left w:val="none" w:sz="0" w:space="0" w:color="auto"/>
                    <w:bottom w:val="none" w:sz="0" w:space="0" w:color="auto"/>
                    <w:right w:val="none" w:sz="0" w:space="0" w:color="auto"/>
                  </w:divBdr>
                  <w:divsChild>
                    <w:div w:id="1019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4830</Characters>
  <Application>Microsoft Office Word</Application>
  <DocSecurity>0</DocSecurity>
  <Lines>210</Lines>
  <Paragraphs>107</Paragraphs>
  <ScaleCrop>false</ScaleCrop>
  <Company>ZM</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30.augusta noteikumos Nr.669 "Noteikumi par traktortehnikas un tās piekabju reģistrācijas valsts nodevu" sākotnējās ietekmes novērtējuma ziņojums </dc:title>
  <dc:subject>Anotācija</dc:subject>
  <dc:creator>Gints Melkins</dc:creator>
  <cp:keywords/>
  <dc:description>Gints.Melkins@zm.gov.lv67027207</dc:description>
  <cp:lastModifiedBy>Renārs Žagars</cp:lastModifiedBy>
  <cp:revision>3</cp:revision>
  <cp:lastPrinted>2012-02-06T11:30:00Z</cp:lastPrinted>
  <dcterms:created xsi:type="dcterms:W3CDTF">2013-01-10T10:00:00Z</dcterms:created>
  <dcterms:modified xsi:type="dcterms:W3CDTF">2013-01-10T14:47:00Z</dcterms:modified>
</cp:coreProperties>
</file>