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81" w:rsidRPr="003D2A75" w:rsidRDefault="00320B81" w:rsidP="008967DC">
      <w:pPr>
        <w:jc w:val="center"/>
        <w:rPr>
          <w:b/>
          <w:sz w:val="28"/>
        </w:rPr>
      </w:pPr>
      <w:r w:rsidRPr="003D2A75">
        <w:rPr>
          <w:b/>
          <w:sz w:val="28"/>
        </w:rPr>
        <w:t xml:space="preserve">Ministru kabineta noteikumu projekta </w:t>
      </w:r>
    </w:p>
    <w:p w:rsidR="00320B81" w:rsidRPr="003D2A75" w:rsidRDefault="00320B81" w:rsidP="008967DC">
      <w:pPr>
        <w:jc w:val="center"/>
        <w:rPr>
          <w:b/>
          <w:sz w:val="28"/>
        </w:rPr>
      </w:pPr>
      <w:bookmarkStart w:id="0" w:name="OLE_LINK5"/>
      <w:bookmarkStart w:id="1" w:name="OLE_LINK6"/>
      <w:r w:rsidRPr="003D2A75">
        <w:rPr>
          <w:rStyle w:val="Izteiksmgs"/>
          <w:color w:val="000000"/>
          <w:sz w:val="28"/>
        </w:rPr>
        <w:t>„</w:t>
      </w:r>
      <w:r w:rsidR="00D24706">
        <w:rPr>
          <w:b/>
          <w:bCs/>
          <w:color w:val="000000"/>
          <w:sz w:val="28"/>
        </w:rPr>
        <w:t>Grozījum</w:t>
      </w:r>
      <w:r w:rsidR="002F7232">
        <w:rPr>
          <w:b/>
          <w:bCs/>
          <w:color w:val="000000"/>
          <w:sz w:val="28"/>
        </w:rPr>
        <w:t>i Ministru kabineta 2009.gada 17</w:t>
      </w:r>
      <w:r w:rsidR="00D24706">
        <w:rPr>
          <w:b/>
          <w:bCs/>
          <w:color w:val="000000"/>
          <w:sz w:val="28"/>
        </w:rPr>
        <w:t>.jū</w:t>
      </w:r>
      <w:r w:rsidR="002F7232">
        <w:rPr>
          <w:b/>
          <w:bCs/>
          <w:color w:val="000000"/>
          <w:sz w:val="28"/>
        </w:rPr>
        <w:t>n</w:t>
      </w:r>
      <w:r w:rsidR="00D24706">
        <w:rPr>
          <w:b/>
          <w:bCs/>
          <w:color w:val="000000"/>
          <w:sz w:val="28"/>
        </w:rPr>
        <w:t>ija noteikumos Nr.</w:t>
      </w:r>
      <w:r w:rsidR="002F7232">
        <w:rPr>
          <w:b/>
          <w:bCs/>
          <w:color w:val="000000"/>
          <w:sz w:val="28"/>
        </w:rPr>
        <w:t>573</w:t>
      </w:r>
      <w:r w:rsidR="005A5B54" w:rsidRPr="005A5B54">
        <w:rPr>
          <w:b/>
          <w:bCs/>
          <w:color w:val="000000"/>
          <w:sz w:val="28"/>
        </w:rPr>
        <w:t xml:space="preserve"> „</w:t>
      </w:r>
      <w:r w:rsidR="002F7232" w:rsidRPr="002F7232">
        <w:rPr>
          <w:b/>
          <w:bCs/>
          <w:color w:val="000000"/>
          <w:sz w:val="28"/>
        </w:rPr>
        <w:t>Kārtība, kādā administrē Eiropas Lauksaimniecības garantiju fondu, Eiropas Lauksaimniecības fondu lauku attīstībai un Eiropas Zivsaimniecības fondu, kā arī valsts un Eiropas Savienības atbalstu lauksaimniecībai, lauku un zivsaimniecības attīstībai</w:t>
      </w:r>
      <w:r w:rsidR="005A5B54" w:rsidRPr="005A5B54">
        <w:rPr>
          <w:b/>
          <w:bCs/>
          <w:color w:val="000000"/>
          <w:sz w:val="28"/>
        </w:rPr>
        <w:t>”</w:t>
      </w:r>
      <w:r w:rsidRPr="003D2A75">
        <w:rPr>
          <w:b/>
          <w:sz w:val="28"/>
        </w:rPr>
        <w:t xml:space="preserve">” sākotnējās ietekmes novērtējuma </w:t>
      </w:r>
      <w:smartTag w:uri="schemas-tilde-lv/tildestengine" w:element="veidnes">
        <w:smartTagPr>
          <w:attr w:name="id" w:val="-1"/>
          <w:attr w:name="baseform" w:val="ziņojums"/>
          <w:attr w:name="text" w:val="ziņojums"/>
        </w:smartTagPr>
        <w:r w:rsidRPr="003D2A75">
          <w:rPr>
            <w:b/>
            <w:sz w:val="28"/>
          </w:rPr>
          <w:t>ziņojums</w:t>
        </w:r>
      </w:smartTag>
      <w:r w:rsidRPr="003D2A75">
        <w:rPr>
          <w:b/>
          <w:sz w:val="28"/>
        </w:rPr>
        <w:t xml:space="preserve"> (anotācija)</w:t>
      </w:r>
      <w:bookmarkEnd w:id="0"/>
      <w:bookmarkEnd w:id="1"/>
    </w:p>
    <w:p w:rsidR="00B30E58" w:rsidRDefault="00B30E58" w:rsidP="002F7232">
      <w:pPr>
        <w:pStyle w:val="naislab"/>
        <w:spacing w:before="0" w:after="0"/>
        <w:jc w:val="left"/>
        <w:outlineLvl w:val="0"/>
        <w:rPr>
          <w:sz w:val="28"/>
          <w:szCs w:val="28"/>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544"/>
        <w:gridCol w:w="5670"/>
      </w:tblGrid>
      <w:tr w:rsidR="001F71F0" w:rsidRPr="001F71F0" w:rsidTr="009F581B">
        <w:tc>
          <w:tcPr>
            <w:tcW w:w="9716" w:type="dxa"/>
            <w:gridSpan w:val="3"/>
          </w:tcPr>
          <w:p w:rsidR="008C0C16" w:rsidRPr="001F71F0" w:rsidRDefault="008C0C16" w:rsidP="003074D4">
            <w:pPr>
              <w:pStyle w:val="naislab"/>
              <w:spacing w:before="0" w:after="0"/>
              <w:jc w:val="center"/>
              <w:outlineLvl w:val="0"/>
              <w:rPr>
                <w:b/>
              </w:rPr>
            </w:pPr>
            <w:r w:rsidRPr="001F71F0">
              <w:rPr>
                <w:b/>
              </w:rPr>
              <w:t>I. Tiesību akta projekta izstrādes nepieciešamība</w:t>
            </w:r>
          </w:p>
        </w:tc>
      </w:tr>
      <w:tr w:rsidR="001F71F0" w:rsidRPr="001F71F0" w:rsidTr="009F581B">
        <w:tc>
          <w:tcPr>
            <w:tcW w:w="502" w:type="dxa"/>
          </w:tcPr>
          <w:p w:rsidR="008C0C16" w:rsidRPr="001F71F0" w:rsidRDefault="008C0C16" w:rsidP="003074D4">
            <w:pPr>
              <w:pStyle w:val="naislab"/>
              <w:spacing w:before="0" w:after="0"/>
              <w:jc w:val="center"/>
              <w:outlineLvl w:val="0"/>
            </w:pPr>
            <w:r w:rsidRPr="001F71F0">
              <w:t>1.</w:t>
            </w:r>
          </w:p>
        </w:tc>
        <w:tc>
          <w:tcPr>
            <w:tcW w:w="3544" w:type="dxa"/>
          </w:tcPr>
          <w:p w:rsidR="008C0C16" w:rsidRPr="001F71F0" w:rsidRDefault="008C0C16" w:rsidP="003074D4">
            <w:pPr>
              <w:pStyle w:val="naislab"/>
              <w:spacing w:before="0" w:after="0"/>
              <w:jc w:val="both"/>
              <w:outlineLvl w:val="0"/>
            </w:pPr>
            <w:r w:rsidRPr="001F71F0">
              <w:t>Pamatojums</w:t>
            </w:r>
          </w:p>
        </w:tc>
        <w:tc>
          <w:tcPr>
            <w:tcW w:w="5670" w:type="dxa"/>
          </w:tcPr>
          <w:p w:rsidR="005A5B54" w:rsidRPr="001F71F0" w:rsidRDefault="009F581B" w:rsidP="003777E0">
            <w:pPr>
              <w:pStyle w:val="naislab"/>
              <w:numPr>
                <w:ilvl w:val="0"/>
                <w:numId w:val="9"/>
              </w:numPr>
              <w:spacing w:before="0" w:after="0"/>
              <w:ind w:left="34" w:firstLine="425"/>
              <w:jc w:val="both"/>
              <w:outlineLvl w:val="0"/>
            </w:pPr>
            <w:proofErr w:type="spellStart"/>
            <w:r w:rsidRPr="001F71F0">
              <w:rPr>
                <w:i/>
                <w:iCs/>
              </w:rPr>
              <w:t>Euro</w:t>
            </w:r>
            <w:proofErr w:type="spellEnd"/>
            <w:r w:rsidRPr="001F71F0">
              <w:rPr>
                <w:i/>
                <w:iCs/>
              </w:rPr>
              <w:t xml:space="preserve"> </w:t>
            </w:r>
            <w:r w:rsidRPr="001F71F0">
              <w:t>ieviešanas kārtības likuma 30.panta pirmā daļa, Ministru kabineta</w:t>
            </w:r>
            <w:r w:rsidR="005A5B54" w:rsidRPr="001F71F0">
              <w:t xml:space="preserve"> (turpmāk – MK)</w:t>
            </w:r>
            <w:r w:rsidRPr="001F71F0">
              <w:t xml:space="preserve"> 2012.gada 27.jūnija rīkojuma Nr.282 „Par „Koncepciju par normatīvo aktu sakārtošanu saistībā ar eiro ieviešanu Latvijā”” 7.1.apakšpunkts</w:t>
            </w:r>
            <w:r w:rsidR="00423A61" w:rsidRPr="001F71F0">
              <w:t>.</w:t>
            </w:r>
          </w:p>
          <w:p w:rsidR="00391A9F" w:rsidRPr="001F71F0" w:rsidRDefault="007072A1" w:rsidP="00CF530C">
            <w:pPr>
              <w:pStyle w:val="naislab"/>
              <w:numPr>
                <w:ilvl w:val="0"/>
                <w:numId w:val="9"/>
              </w:numPr>
              <w:spacing w:before="0" w:after="0"/>
              <w:ind w:left="34" w:firstLine="425"/>
              <w:jc w:val="both"/>
              <w:outlineLvl w:val="0"/>
            </w:pPr>
            <w:r w:rsidRPr="001F71F0">
              <w:t>Lauksaimniecības un lauku attīstības likuma 5.panta septīt</w:t>
            </w:r>
            <w:r w:rsidR="002E6562" w:rsidRPr="001F71F0">
              <w:t>ā</w:t>
            </w:r>
            <w:r w:rsidRPr="001F71F0">
              <w:t>, astot</w:t>
            </w:r>
            <w:r w:rsidR="002E6562" w:rsidRPr="001F71F0">
              <w:t>ā</w:t>
            </w:r>
            <w:r w:rsidRPr="001F71F0">
              <w:t xml:space="preserve"> un devīt</w:t>
            </w:r>
            <w:r w:rsidR="002E6562" w:rsidRPr="001F71F0">
              <w:t>ā</w:t>
            </w:r>
            <w:r w:rsidRPr="001F71F0">
              <w:t xml:space="preserve"> daļ</w:t>
            </w:r>
            <w:r w:rsidR="002E6562" w:rsidRPr="001F71F0">
              <w:t>a</w:t>
            </w:r>
            <w:r w:rsidRPr="001F71F0">
              <w:t xml:space="preserve"> un 13.panta septīt</w:t>
            </w:r>
            <w:r w:rsidR="002E6562" w:rsidRPr="001F71F0">
              <w:t>ā</w:t>
            </w:r>
            <w:r w:rsidRPr="001F71F0">
              <w:t xml:space="preserve"> daļ</w:t>
            </w:r>
            <w:r w:rsidR="002E6562" w:rsidRPr="001F71F0">
              <w:t>a</w:t>
            </w:r>
            <w:r w:rsidRPr="001F71F0">
              <w:t>.</w:t>
            </w:r>
          </w:p>
        </w:tc>
      </w:tr>
      <w:tr w:rsidR="001F71F0" w:rsidRPr="001F71F0" w:rsidTr="009F581B">
        <w:tc>
          <w:tcPr>
            <w:tcW w:w="502" w:type="dxa"/>
          </w:tcPr>
          <w:p w:rsidR="001470A9" w:rsidRPr="001F71F0" w:rsidRDefault="001470A9" w:rsidP="003074D4">
            <w:pPr>
              <w:pStyle w:val="naislab"/>
              <w:spacing w:before="0" w:after="0"/>
              <w:jc w:val="center"/>
              <w:outlineLvl w:val="0"/>
            </w:pPr>
            <w:r w:rsidRPr="001F71F0">
              <w:t>2.</w:t>
            </w:r>
          </w:p>
        </w:tc>
        <w:tc>
          <w:tcPr>
            <w:tcW w:w="3544" w:type="dxa"/>
          </w:tcPr>
          <w:p w:rsidR="009F581B" w:rsidRPr="001F71F0" w:rsidRDefault="009F581B" w:rsidP="009F581B">
            <w:pPr>
              <w:pStyle w:val="naiskr"/>
              <w:spacing w:before="0" w:after="0"/>
              <w:ind w:hanging="10"/>
            </w:pPr>
            <w:r w:rsidRPr="001F71F0">
              <w:t>Pašreizējā situācija un problēmas</w:t>
            </w:r>
          </w:p>
          <w:p w:rsidR="001470A9" w:rsidRPr="001F71F0" w:rsidRDefault="009F581B" w:rsidP="009F581B">
            <w:pPr>
              <w:pStyle w:val="naislab"/>
              <w:spacing w:before="0" w:after="0"/>
              <w:jc w:val="both"/>
              <w:outlineLvl w:val="0"/>
            </w:pPr>
            <w:r w:rsidRPr="001F71F0">
              <w:t>raksturojums</w:t>
            </w:r>
          </w:p>
        </w:tc>
        <w:tc>
          <w:tcPr>
            <w:tcW w:w="5670" w:type="dxa"/>
          </w:tcPr>
          <w:p w:rsidR="002D53F2" w:rsidRPr="001F71F0" w:rsidRDefault="00423A61" w:rsidP="00923786">
            <w:pPr>
              <w:pStyle w:val="Default"/>
              <w:numPr>
                <w:ilvl w:val="0"/>
                <w:numId w:val="10"/>
              </w:numPr>
              <w:ind w:left="34" w:firstLine="425"/>
              <w:jc w:val="both"/>
              <w:rPr>
                <w:color w:val="auto"/>
              </w:rPr>
            </w:pPr>
            <w:r w:rsidRPr="001F71F0">
              <w:rPr>
                <w:color w:val="auto"/>
              </w:rPr>
              <w:t>Tā kā no</w:t>
            </w:r>
            <w:r w:rsidR="00D3003E" w:rsidRPr="001F71F0">
              <w:rPr>
                <w:color w:val="auto"/>
              </w:rPr>
              <w:t xml:space="preserve"> 2014.gada 1.janvār</w:t>
            </w:r>
            <w:r w:rsidRPr="001F71F0">
              <w:rPr>
                <w:color w:val="auto"/>
              </w:rPr>
              <w:t>a</w:t>
            </w:r>
            <w:r w:rsidR="00D3003E" w:rsidRPr="001F71F0">
              <w:rPr>
                <w:color w:val="auto"/>
              </w:rPr>
              <w:t xml:space="preserve"> Latvijā plānots ieviest </w:t>
            </w:r>
            <w:r w:rsidR="00D3003E" w:rsidRPr="001F71F0">
              <w:rPr>
                <w:iCs/>
                <w:color w:val="auto"/>
              </w:rPr>
              <w:t>e</w:t>
            </w:r>
            <w:r w:rsidRPr="001F71F0">
              <w:rPr>
                <w:iCs/>
                <w:color w:val="auto"/>
              </w:rPr>
              <w:t>iro</w:t>
            </w:r>
            <w:r w:rsidR="00D3003E" w:rsidRPr="001F71F0">
              <w:rPr>
                <w:color w:val="auto"/>
              </w:rPr>
              <w:t xml:space="preserve">, ir </w:t>
            </w:r>
            <w:r w:rsidRPr="001F71F0">
              <w:rPr>
                <w:color w:val="auto"/>
              </w:rPr>
              <w:t xml:space="preserve">jāizdara </w:t>
            </w:r>
            <w:r w:rsidR="00D3003E" w:rsidRPr="001F71F0">
              <w:rPr>
                <w:color w:val="auto"/>
              </w:rPr>
              <w:t>grozījum</w:t>
            </w:r>
            <w:r w:rsidRPr="001F71F0">
              <w:rPr>
                <w:color w:val="auto"/>
              </w:rPr>
              <w:t>i</w:t>
            </w:r>
            <w:r w:rsidR="00D3003E" w:rsidRPr="001F71F0">
              <w:rPr>
                <w:color w:val="auto"/>
              </w:rPr>
              <w:t xml:space="preserve"> </w:t>
            </w:r>
            <w:r w:rsidR="00C84350" w:rsidRPr="001F71F0">
              <w:rPr>
                <w:bCs/>
                <w:color w:val="auto"/>
              </w:rPr>
              <w:t>2009</w:t>
            </w:r>
            <w:r w:rsidR="005A5B54" w:rsidRPr="001F71F0">
              <w:rPr>
                <w:bCs/>
                <w:color w:val="auto"/>
              </w:rPr>
              <w:t>.gada 1</w:t>
            </w:r>
            <w:r w:rsidR="002F7232" w:rsidRPr="001F71F0">
              <w:rPr>
                <w:bCs/>
                <w:color w:val="auto"/>
              </w:rPr>
              <w:t>7</w:t>
            </w:r>
            <w:r w:rsidR="00C84350" w:rsidRPr="001F71F0">
              <w:rPr>
                <w:bCs/>
                <w:color w:val="auto"/>
              </w:rPr>
              <w:t>.jū</w:t>
            </w:r>
            <w:r w:rsidR="002F7232" w:rsidRPr="001F71F0">
              <w:rPr>
                <w:bCs/>
                <w:color w:val="auto"/>
              </w:rPr>
              <w:t>n</w:t>
            </w:r>
            <w:r w:rsidR="00C84350" w:rsidRPr="001F71F0">
              <w:rPr>
                <w:bCs/>
                <w:color w:val="auto"/>
              </w:rPr>
              <w:t xml:space="preserve">ija </w:t>
            </w:r>
            <w:r w:rsidR="00ED67C3" w:rsidRPr="001F71F0">
              <w:rPr>
                <w:bCs/>
                <w:color w:val="auto"/>
              </w:rPr>
              <w:t>M</w:t>
            </w:r>
            <w:r w:rsidRPr="001F71F0">
              <w:rPr>
                <w:bCs/>
                <w:color w:val="auto"/>
              </w:rPr>
              <w:t>inistru kabineta</w:t>
            </w:r>
            <w:r w:rsidR="00ED67C3" w:rsidRPr="001F71F0">
              <w:rPr>
                <w:bCs/>
                <w:color w:val="auto"/>
              </w:rPr>
              <w:t xml:space="preserve"> </w:t>
            </w:r>
            <w:r w:rsidR="00C84350" w:rsidRPr="001F71F0">
              <w:rPr>
                <w:bCs/>
                <w:color w:val="auto"/>
              </w:rPr>
              <w:t>noteikumos Nr.</w:t>
            </w:r>
            <w:r w:rsidR="002F7232" w:rsidRPr="001F71F0">
              <w:rPr>
                <w:bCs/>
                <w:color w:val="auto"/>
              </w:rPr>
              <w:t>573</w:t>
            </w:r>
            <w:r w:rsidR="005A5B54" w:rsidRPr="001F71F0">
              <w:rPr>
                <w:bCs/>
                <w:color w:val="auto"/>
              </w:rPr>
              <w:t xml:space="preserve"> „</w:t>
            </w:r>
            <w:r w:rsidR="002F7232" w:rsidRPr="001F71F0">
              <w:rPr>
                <w:bCs/>
                <w:color w:val="auto"/>
              </w:rPr>
              <w:t>Kārtība, kādā administrē Eiropas Lauksaimniecības garantiju fondu, Eiropas Lauksaimniecības fondu lauku attīstībai un Eiropas Zivsaimniecības fondu, kā arī valsts un Eiropas Savienības atbalstu lauksaimniecībai, lauku un zivsaimniecības attīstībai</w:t>
            </w:r>
            <w:r w:rsidR="005A5B54" w:rsidRPr="001F71F0">
              <w:rPr>
                <w:bCs/>
                <w:color w:val="auto"/>
              </w:rPr>
              <w:t>”</w:t>
            </w:r>
            <w:r w:rsidR="00ED67C3" w:rsidRPr="001F71F0">
              <w:rPr>
                <w:bCs/>
                <w:color w:val="auto"/>
              </w:rPr>
              <w:t xml:space="preserve"> (turpmāk – </w:t>
            </w:r>
            <w:r w:rsidRPr="001F71F0">
              <w:rPr>
                <w:bCs/>
                <w:color w:val="auto"/>
              </w:rPr>
              <w:t>n</w:t>
            </w:r>
            <w:r w:rsidR="00ED67C3" w:rsidRPr="001F71F0">
              <w:rPr>
                <w:bCs/>
                <w:color w:val="auto"/>
              </w:rPr>
              <w:t>oteikumi</w:t>
            </w:r>
            <w:r w:rsidRPr="001F71F0">
              <w:rPr>
                <w:bCs/>
                <w:color w:val="auto"/>
              </w:rPr>
              <w:t xml:space="preserve"> Nr.573</w:t>
            </w:r>
            <w:r w:rsidR="00ED67C3" w:rsidRPr="001F71F0">
              <w:rPr>
                <w:bCs/>
                <w:color w:val="auto"/>
              </w:rPr>
              <w:t>)</w:t>
            </w:r>
            <w:r w:rsidR="00D3003E" w:rsidRPr="001F71F0">
              <w:rPr>
                <w:color w:val="auto"/>
              </w:rPr>
              <w:t xml:space="preserve">, </w:t>
            </w:r>
            <w:r w:rsidR="00270693" w:rsidRPr="001F71F0">
              <w:rPr>
                <w:color w:val="auto"/>
              </w:rPr>
              <w:t>kuros latos izteiktā naudas summa</w:t>
            </w:r>
            <w:r w:rsidR="00ED67C3" w:rsidRPr="001F71F0">
              <w:rPr>
                <w:color w:val="auto"/>
              </w:rPr>
              <w:t xml:space="preserve"> jākonvertē uz e</w:t>
            </w:r>
            <w:r w:rsidRPr="001F71F0">
              <w:rPr>
                <w:color w:val="auto"/>
              </w:rPr>
              <w:t>i</w:t>
            </w:r>
            <w:r w:rsidR="00ED67C3" w:rsidRPr="001F71F0">
              <w:rPr>
                <w:color w:val="auto"/>
              </w:rPr>
              <w:t>ro</w:t>
            </w:r>
            <w:r w:rsidRPr="001F71F0">
              <w:rPr>
                <w:color w:val="auto"/>
              </w:rPr>
              <w:t>.</w:t>
            </w:r>
            <w:r w:rsidR="00880840" w:rsidRPr="001F71F0">
              <w:rPr>
                <w:color w:val="auto"/>
              </w:rPr>
              <w:t xml:space="preserve"> </w:t>
            </w:r>
          </w:p>
          <w:p w:rsidR="003777E0" w:rsidRPr="001F71F0" w:rsidRDefault="003777E0" w:rsidP="00423A61">
            <w:pPr>
              <w:pStyle w:val="Default"/>
              <w:numPr>
                <w:ilvl w:val="0"/>
                <w:numId w:val="10"/>
              </w:numPr>
              <w:ind w:left="34" w:firstLine="425"/>
              <w:jc w:val="both"/>
              <w:rPr>
                <w:color w:val="auto"/>
              </w:rPr>
            </w:pPr>
            <w:r w:rsidRPr="001F71F0">
              <w:rPr>
                <w:color w:val="auto"/>
              </w:rPr>
              <w:t xml:space="preserve">Ņemot vērā apstiprinātos grozījumus </w:t>
            </w:r>
            <w:r w:rsidR="002E6562" w:rsidRPr="001F71F0">
              <w:rPr>
                <w:color w:val="auto"/>
              </w:rPr>
              <w:t xml:space="preserve">MK </w:t>
            </w:r>
            <w:r w:rsidR="004C6ED2" w:rsidRPr="001F71F0">
              <w:rPr>
                <w:color w:val="auto"/>
              </w:rPr>
              <w:t xml:space="preserve">2009.gada 19.oktobra rīkojumā Nr.714 „Par Pārtikas un veterinārā dienesta un valsts aģentūras „Latvijas zivju resursu aģentūra” reorganizāciju un valsts zinātniskā institūta „Pārtikas drošības, dzīvnieku veselības un vides zinātniskais institūts” izveidi” un </w:t>
            </w:r>
            <w:r w:rsidR="002E6562" w:rsidRPr="001F71F0">
              <w:rPr>
                <w:color w:val="auto"/>
              </w:rPr>
              <w:t xml:space="preserve">MK </w:t>
            </w:r>
            <w:r w:rsidR="004C6ED2" w:rsidRPr="001F71F0">
              <w:rPr>
                <w:color w:val="auto"/>
              </w:rPr>
              <w:t>2012.gada 18.decembra noteikumus Nr.878 „Lauksaimniecības datu centra nolikums”</w:t>
            </w:r>
            <w:r w:rsidRPr="001F71F0">
              <w:rPr>
                <w:color w:val="auto"/>
              </w:rPr>
              <w:t xml:space="preserve">, </w:t>
            </w:r>
            <w:r w:rsidR="00423A61" w:rsidRPr="001F71F0">
              <w:rPr>
                <w:color w:val="auto"/>
              </w:rPr>
              <w:t>jāizdara</w:t>
            </w:r>
            <w:r w:rsidRPr="001F71F0">
              <w:rPr>
                <w:color w:val="auto"/>
              </w:rPr>
              <w:t xml:space="preserve"> grozījum</w:t>
            </w:r>
            <w:r w:rsidR="00423A61" w:rsidRPr="001F71F0">
              <w:rPr>
                <w:color w:val="auto"/>
              </w:rPr>
              <w:t>i</w:t>
            </w:r>
            <w:r w:rsidRPr="001F71F0">
              <w:rPr>
                <w:color w:val="auto"/>
              </w:rPr>
              <w:t xml:space="preserve"> </w:t>
            </w:r>
            <w:r w:rsidR="00423A61" w:rsidRPr="001F71F0">
              <w:rPr>
                <w:color w:val="auto"/>
              </w:rPr>
              <w:t>n</w:t>
            </w:r>
            <w:r w:rsidRPr="001F71F0">
              <w:rPr>
                <w:color w:val="auto"/>
              </w:rPr>
              <w:t>oteikumos</w:t>
            </w:r>
            <w:r w:rsidR="00423A61" w:rsidRPr="001F71F0">
              <w:rPr>
                <w:color w:val="auto"/>
              </w:rPr>
              <w:t xml:space="preserve"> Nr.573</w:t>
            </w:r>
            <w:r w:rsidR="007072A1" w:rsidRPr="001F71F0">
              <w:rPr>
                <w:color w:val="auto"/>
              </w:rPr>
              <w:t>, precizējot iestāžu nosaukumus</w:t>
            </w:r>
            <w:r w:rsidRPr="001F71F0">
              <w:rPr>
                <w:color w:val="auto"/>
              </w:rPr>
              <w:t>.</w:t>
            </w:r>
          </w:p>
          <w:p w:rsidR="002D53F2" w:rsidRPr="001F71F0" w:rsidRDefault="007072A1" w:rsidP="005254AB">
            <w:pPr>
              <w:pStyle w:val="Default"/>
              <w:numPr>
                <w:ilvl w:val="0"/>
                <w:numId w:val="10"/>
              </w:numPr>
              <w:ind w:left="34" w:firstLine="141"/>
              <w:jc w:val="both"/>
              <w:rPr>
                <w:color w:val="auto"/>
              </w:rPr>
            </w:pPr>
            <w:r w:rsidRPr="001F71F0">
              <w:rPr>
                <w:color w:val="auto"/>
              </w:rPr>
              <w:t>Projekta 1.3.</w:t>
            </w:r>
            <w:r w:rsidR="002E6562" w:rsidRPr="001F71F0">
              <w:rPr>
                <w:color w:val="auto"/>
              </w:rPr>
              <w:t>apakš</w:t>
            </w:r>
            <w:r w:rsidRPr="001F71F0">
              <w:rPr>
                <w:color w:val="auto"/>
              </w:rPr>
              <w:t xml:space="preserve">punkts paredz izteikt jaunā redakcijā noteikumu </w:t>
            </w:r>
            <w:r w:rsidR="002E6562" w:rsidRPr="001F71F0">
              <w:rPr>
                <w:color w:val="auto"/>
              </w:rPr>
              <w:t>Nr.</w:t>
            </w:r>
            <w:r w:rsidRPr="001F71F0">
              <w:rPr>
                <w:color w:val="auto"/>
              </w:rPr>
              <w:t xml:space="preserve">573 29. </w:t>
            </w:r>
            <w:r w:rsidR="002E6562" w:rsidRPr="001F71F0">
              <w:rPr>
                <w:color w:val="auto"/>
              </w:rPr>
              <w:t>u</w:t>
            </w:r>
            <w:r w:rsidRPr="001F71F0">
              <w:rPr>
                <w:color w:val="auto"/>
              </w:rPr>
              <w:t>n 30.punktu</w:t>
            </w:r>
            <w:r w:rsidR="002E6562" w:rsidRPr="001F71F0">
              <w:rPr>
                <w:color w:val="auto"/>
              </w:rPr>
              <w:t>, proti,</w:t>
            </w:r>
            <w:r w:rsidRPr="001F71F0">
              <w:rPr>
                <w:color w:val="auto"/>
              </w:rPr>
              <w:t xml:space="preserve"> ja</w:t>
            </w:r>
            <w:r w:rsidR="00B56C45" w:rsidRPr="001F71F0">
              <w:rPr>
                <w:color w:val="auto"/>
              </w:rPr>
              <w:t xml:space="preserve"> atbalsta pretendents uz atbalstu pretendē pirmo reizi</w:t>
            </w:r>
            <w:r w:rsidR="00395025" w:rsidRPr="001F71F0">
              <w:rPr>
                <w:color w:val="auto"/>
              </w:rPr>
              <w:t xml:space="preserve"> vai vēlas </w:t>
            </w:r>
            <w:r w:rsidR="002E6562" w:rsidRPr="001F71F0">
              <w:rPr>
                <w:color w:val="auto"/>
              </w:rPr>
              <w:t>izdarīt</w:t>
            </w:r>
            <w:r w:rsidR="00395025" w:rsidRPr="001F71F0">
              <w:rPr>
                <w:color w:val="auto"/>
              </w:rPr>
              <w:t xml:space="preserve"> izmaiņas esošajos klienta datos</w:t>
            </w:r>
            <w:r w:rsidR="00B56C45" w:rsidRPr="001F71F0">
              <w:rPr>
                <w:color w:val="auto"/>
              </w:rPr>
              <w:t>,</w:t>
            </w:r>
            <w:r w:rsidR="00395025" w:rsidRPr="001F71F0">
              <w:rPr>
                <w:color w:val="auto"/>
              </w:rPr>
              <w:t xml:space="preserve"> </w:t>
            </w:r>
            <w:r w:rsidR="00B56C45" w:rsidRPr="001F71F0">
              <w:rPr>
                <w:color w:val="auto"/>
              </w:rPr>
              <w:t xml:space="preserve">tam </w:t>
            </w:r>
            <w:r w:rsidR="00BC6128" w:rsidRPr="001F71F0">
              <w:rPr>
                <w:color w:val="auto"/>
              </w:rPr>
              <w:t>zemkopības nozares iestādē</w:t>
            </w:r>
            <w:r w:rsidR="00B56C45" w:rsidRPr="001F71F0">
              <w:rPr>
                <w:color w:val="auto"/>
              </w:rPr>
              <w:t xml:space="preserve"> jāiesniedz aizpildīta veidlapa, lai reģistrētos </w:t>
            </w:r>
            <w:r w:rsidR="00BC6128" w:rsidRPr="001F71F0">
              <w:rPr>
                <w:color w:val="auto"/>
              </w:rPr>
              <w:t>zemkopības nozares informācijas sistēmā</w:t>
            </w:r>
            <w:r w:rsidR="002D53F2" w:rsidRPr="001F71F0">
              <w:rPr>
                <w:color w:val="auto"/>
              </w:rPr>
              <w:t xml:space="preserve"> vai </w:t>
            </w:r>
            <w:r w:rsidR="002E6562" w:rsidRPr="001F71F0">
              <w:rPr>
                <w:color w:val="auto"/>
              </w:rPr>
              <w:t>izdarī</w:t>
            </w:r>
            <w:r w:rsidR="002D53F2" w:rsidRPr="001F71F0">
              <w:rPr>
                <w:color w:val="auto"/>
              </w:rPr>
              <w:t xml:space="preserve">tu izmaiņas </w:t>
            </w:r>
            <w:r w:rsidR="00BC6128" w:rsidRPr="001F71F0">
              <w:rPr>
                <w:color w:val="auto"/>
              </w:rPr>
              <w:t xml:space="preserve">klienta </w:t>
            </w:r>
            <w:r w:rsidR="002D53F2" w:rsidRPr="001F71F0">
              <w:rPr>
                <w:color w:val="auto"/>
              </w:rPr>
              <w:t>datos.</w:t>
            </w:r>
          </w:p>
          <w:p w:rsidR="00362351" w:rsidRPr="001F71F0" w:rsidRDefault="00A14991" w:rsidP="00362351">
            <w:pPr>
              <w:pStyle w:val="Default"/>
              <w:jc w:val="both"/>
              <w:rPr>
                <w:color w:val="auto"/>
              </w:rPr>
            </w:pPr>
            <w:r w:rsidRPr="001F71F0">
              <w:rPr>
                <w:color w:val="auto"/>
              </w:rPr>
              <w:t xml:space="preserve">Pamatojoties uz </w:t>
            </w:r>
            <w:r w:rsidR="00F0504F">
              <w:rPr>
                <w:color w:val="auto"/>
              </w:rPr>
              <w:t xml:space="preserve">MK </w:t>
            </w:r>
            <w:r w:rsidR="00CF530C" w:rsidRPr="001F71F0">
              <w:rPr>
                <w:color w:val="auto"/>
              </w:rPr>
              <w:t xml:space="preserve">2013.gada 23.marta noteikumos Nr. 161 „Noteikumi par vienoto zemkopības nozares informācijas sistēmu” (turpmāk </w:t>
            </w:r>
            <w:r w:rsidR="00F0504F">
              <w:rPr>
                <w:color w:val="auto"/>
              </w:rPr>
              <w:t>–</w:t>
            </w:r>
            <w:r w:rsidR="00CF530C" w:rsidRPr="001F71F0">
              <w:rPr>
                <w:color w:val="auto"/>
              </w:rPr>
              <w:t xml:space="preserve"> </w:t>
            </w:r>
            <w:r w:rsidRPr="001F71F0">
              <w:rPr>
                <w:color w:val="auto"/>
              </w:rPr>
              <w:t xml:space="preserve">MKN </w:t>
            </w:r>
            <w:r w:rsidR="00F0504F">
              <w:rPr>
                <w:color w:val="auto"/>
              </w:rPr>
              <w:t xml:space="preserve">Nr. </w:t>
            </w:r>
            <w:r w:rsidRPr="001F71F0">
              <w:rPr>
                <w:color w:val="auto"/>
              </w:rPr>
              <w:t>161</w:t>
            </w:r>
            <w:r w:rsidR="00CF530C" w:rsidRPr="001F71F0">
              <w:rPr>
                <w:color w:val="auto"/>
              </w:rPr>
              <w:t>)</w:t>
            </w:r>
            <w:r w:rsidRPr="001F71F0">
              <w:rPr>
                <w:color w:val="auto"/>
              </w:rPr>
              <w:t xml:space="preserve"> noteikto kārtību, tika izveidota integrēta valsts </w:t>
            </w:r>
            <w:r w:rsidRPr="001F71F0">
              <w:rPr>
                <w:color w:val="auto"/>
              </w:rPr>
              <w:lastRenderedPageBreak/>
              <w:t>informācijas sistēma, kurā ietilpst Zemkopības ministrijas padotībā esošo iestāžu (turpmāk – zemkopības nozares iestādes) klientu reģistrs, dokumentu vadības sistēma, Zemkopības ministrijas portāls, elektronisko pakalpojumu sistēma, resursu vadības sistēma, autentifikācijas risinājums, un datu apmaiņas risinājums. Šajā sistēmā iekļauj datus par personām, kuras izmanto zemkopības nozares iestāžu pakalpojumus vai kuru īpašumā vai valdījumā ir zemkopības nozares iestādēs reģistrēti objekti.</w:t>
            </w:r>
          </w:p>
          <w:p w:rsidR="00362351" w:rsidRPr="001F71F0" w:rsidRDefault="002E6562" w:rsidP="00362351">
            <w:pPr>
              <w:pStyle w:val="Default"/>
              <w:jc w:val="both"/>
              <w:rPr>
                <w:color w:val="auto"/>
              </w:rPr>
            </w:pPr>
            <w:r w:rsidRPr="001F71F0">
              <w:rPr>
                <w:color w:val="auto"/>
              </w:rPr>
              <w:t>Ievērojot</w:t>
            </w:r>
            <w:r w:rsidR="00A14991" w:rsidRPr="001F71F0">
              <w:rPr>
                <w:color w:val="auto"/>
              </w:rPr>
              <w:t xml:space="preserve"> iepriekšminēto</w:t>
            </w:r>
            <w:r w:rsidRPr="001F71F0">
              <w:rPr>
                <w:color w:val="auto"/>
              </w:rPr>
              <w:t xml:space="preserve"> un</w:t>
            </w:r>
            <w:r w:rsidR="00A14991" w:rsidRPr="001F71F0">
              <w:rPr>
                <w:color w:val="auto"/>
              </w:rPr>
              <w:t xml:space="preserve"> to, ka turpmāk reģistrēšanās LAD klientu reģistrā notiks </w:t>
            </w:r>
            <w:r w:rsidR="003A1317" w:rsidRPr="001F71F0">
              <w:rPr>
                <w:color w:val="auto"/>
              </w:rPr>
              <w:t xml:space="preserve">vienoti </w:t>
            </w:r>
            <w:r w:rsidR="00A14991" w:rsidRPr="001F71F0">
              <w:rPr>
                <w:color w:val="auto"/>
              </w:rPr>
              <w:t>ar reģistrēšanos vienotajā zemkopības ministrijas nozares sistēmā (LAD klienti ir arī vienotas informācijas sistēmas klienti</w:t>
            </w:r>
            <w:r w:rsidRPr="001F71F0">
              <w:rPr>
                <w:color w:val="auto"/>
              </w:rPr>
              <w:t>,</w:t>
            </w:r>
            <w:r w:rsidR="00A14991" w:rsidRPr="001F71F0">
              <w:rPr>
                <w:color w:val="auto"/>
              </w:rPr>
              <w:t xml:space="preserve"> un otr</w:t>
            </w:r>
            <w:r w:rsidR="003A1317" w:rsidRPr="001F71F0">
              <w:rPr>
                <w:color w:val="auto"/>
              </w:rPr>
              <w:t>ādi) un pēc vienotām veidlapām</w:t>
            </w:r>
            <w:r w:rsidR="00033699" w:rsidRPr="001F71F0">
              <w:rPr>
                <w:color w:val="auto"/>
              </w:rPr>
              <w:t>, nepieciešami grozījumi noteikumos</w:t>
            </w:r>
            <w:r w:rsidR="00C71011" w:rsidRPr="001F71F0">
              <w:rPr>
                <w:color w:val="auto"/>
              </w:rPr>
              <w:t>:</w:t>
            </w:r>
          </w:p>
          <w:p w:rsidR="00C71011" w:rsidRPr="001F71F0" w:rsidRDefault="00C71011" w:rsidP="00C71011">
            <w:pPr>
              <w:pStyle w:val="Default"/>
              <w:numPr>
                <w:ilvl w:val="1"/>
                <w:numId w:val="10"/>
              </w:numPr>
              <w:ind w:left="34" w:hanging="34"/>
              <w:jc w:val="both"/>
              <w:rPr>
                <w:color w:val="auto"/>
              </w:rPr>
            </w:pPr>
            <w:r w:rsidRPr="001F71F0">
              <w:rPr>
                <w:color w:val="auto"/>
              </w:rPr>
              <w:t>nosakot, ka</w:t>
            </w:r>
            <w:r w:rsidR="00F0504F">
              <w:rPr>
                <w:color w:val="auto"/>
              </w:rPr>
              <w:t>,</w:t>
            </w:r>
            <w:r w:rsidRPr="001F71F0">
              <w:rPr>
                <w:color w:val="auto"/>
              </w:rPr>
              <w:t xml:space="preserve"> </w:t>
            </w:r>
            <w:r w:rsidR="00BC6128" w:rsidRPr="001F71F0">
              <w:rPr>
                <w:color w:val="auto"/>
              </w:rPr>
              <w:t>pirmo reizi piesakoties uz atbalstu, atbalsta pretendentam jāreģistrējas kā klientam vienotajā zemkopības nozares informācijas sistēmā</w:t>
            </w:r>
            <w:r w:rsidRPr="001F71F0">
              <w:rPr>
                <w:color w:val="auto"/>
              </w:rPr>
              <w:t xml:space="preserve">, </w:t>
            </w:r>
            <w:r w:rsidR="00F0504F">
              <w:rPr>
                <w:color w:val="auto"/>
              </w:rPr>
              <w:t>kā arī</w:t>
            </w:r>
            <w:r w:rsidRPr="001F71F0">
              <w:rPr>
                <w:color w:val="auto"/>
              </w:rPr>
              <w:t xml:space="preserve"> izmaiņu </w:t>
            </w:r>
            <w:r w:rsidR="002E6562" w:rsidRPr="001F71F0">
              <w:rPr>
                <w:color w:val="auto"/>
              </w:rPr>
              <w:t>izdarī</w:t>
            </w:r>
            <w:r w:rsidRPr="001F71F0">
              <w:rPr>
                <w:color w:val="auto"/>
              </w:rPr>
              <w:t xml:space="preserve">šana klienta reģistrācijas veidlapās notiek atbilstoši </w:t>
            </w:r>
            <w:r w:rsidR="00CF530C" w:rsidRPr="001F71F0">
              <w:rPr>
                <w:color w:val="auto"/>
              </w:rPr>
              <w:t xml:space="preserve">MKN </w:t>
            </w:r>
            <w:r w:rsidR="002E6562" w:rsidRPr="001F71F0">
              <w:rPr>
                <w:color w:val="auto"/>
              </w:rPr>
              <w:t>Nr.</w:t>
            </w:r>
            <w:r w:rsidRPr="001F71F0">
              <w:rPr>
                <w:color w:val="auto"/>
              </w:rPr>
              <w:t>161 noteiktajai kārtībai, iesniedzot attiecīg</w:t>
            </w:r>
            <w:r w:rsidR="00F0504F">
              <w:rPr>
                <w:color w:val="auto"/>
              </w:rPr>
              <w:t>u</w:t>
            </w:r>
            <w:r w:rsidRPr="001F71F0">
              <w:rPr>
                <w:color w:val="auto"/>
              </w:rPr>
              <w:t xml:space="preserve"> klientu reģistrācijas veidlapu;</w:t>
            </w:r>
          </w:p>
          <w:p w:rsidR="00C71011" w:rsidRPr="001F71F0" w:rsidRDefault="002E6562" w:rsidP="001B3AB3">
            <w:pPr>
              <w:pStyle w:val="Default"/>
              <w:numPr>
                <w:ilvl w:val="1"/>
                <w:numId w:val="10"/>
              </w:numPr>
              <w:ind w:left="34" w:hanging="34"/>
              <w:jc w:val="both"/>
              <w:rPr>
                <w:color w:val="auto"/>
              </w:rPr>
            </w:pPr>
            <w:r w:rsidRPr="001F71F0">
              <w:rPr>
                <w:color w:val="auto"/>
              </w:rPr>
              <w:t>līdz ar</w:t>
            </w:r>
            <w:r w:rsidR="00C71011" w:rsidRPr="001F71F0">
              <w:rPr>
                <w:color w:val="auto"/>
              </w:rPr>
              <w:t xml:space="preserve"> vienot</w:t>
            </w:r>
            <w:r w:rsidR="001B3AB3" w:rsidRPr="001F71F0">
              <w:rPr>
                <w:color w:val="auto"/>
              </w:rPr>
              <w:t>o</w:t>
            </w:r>
            <w:r w:rsidR="00C71011" w:rsidRPr="001F71F0">
              <w:rPr>
                <w:color w:val="auto"/>
              </w:rPr>
              <w:t xml:space="preserve"> </w:t>
            </w:r>
            <w:r w:rsidR="001B3AB3" w:rsidRPr="001F71F0">
              <w:rPr>
                <w:color w:val="auto"/>
              </w:rPr>
              <w:t xml:space="preserve">reģistrēšanos </w:t>
            </w:r>
            <w:r w:rsidR="00C71011" w:rsidRPr="001F71F0">
              <w:rPr>
                <w:color w:val="auto"/>
              </w:rPr>
              <w:t>LAD klientu reģistrā</w:t>
            </w:r>
            <w:r w:rsidRPr="001F71F0">
              <w:rPr>
                <w:color w:val="auto"/>
              </w:rPr>
              <w:t xml:space="preserve"> un</w:t>
            </w:r>
            <w:r w:rsidR="00C71011" w:rsidRPr="001F71F0">
              <w:rPr>
                <w:color w:val="auto"/>
              </w:rPr>
              <w:t xml:space="preserve"> izmaiņu </w:t>
            </w:r>
            <w:r w:rsidRPr="001F71F0">
              <w:rPr>
                <w:color w:val="auto"/>
              </w:rPr>
              <w:t>izdarī</w:t>
            </w:r>
            <w:r w:rsidR="00C71011" w:rsidRPr="001F71F0">
              <w:rPr>
                <w:color w:val="auto"/>
              </w:rPr>
              <w:t>ša</w:t>
            </w:r>
            <w:r w:rsidR="001B3AB3" w:rsidRPr="001F71F0">
              <w:rPr>
                <w:color w:val="auto"/>
              </w:rPr>
              <w:t>nu</w:t>
            </w:r>
            <w:r w:rsidR="00C71011" w:rsidRPr="001F71F0">
              <w:rPr>
                <w:color w:val="auto"/>
              </w:rPr>
              <w:t xml:space="preserve"> klienta reģistrācijas veidlapās </w:t>
            </w:r>
            <w:r w:rsidR="001B3AB3" w:rsidRPr="001F71F0">
              <w:rPr>
                <w:color w:val="auto"/>
              </w:rPr>
              <w:t xml:space="preserve">ar reģistrēšanos vienotajā zemkopības nozares informācijas sistēmā un izmaiņu izdarīšanu </w:t>
            </w:r>
            <w:r w:rsidR="00C71011" w:rsidRPr="001F71F0">
              <w:rPr>
                <w:color w:val="auto"/>
              </w:rPr>
              <w:t>svītro</w:t>
            </w:r>
            <w:r w:rsidRPr="001F71F0">
              <w:rPr>
                <w:color w:val="auto"/>
              </w:rPr>
              <w:t>jams</w:t>
            </w:r>
            <w:r w:rsidR="00C71011" w:rsidRPr="001F71F0">
              <w:rPr>
                <w:color w:val="auto"/>
              </w:rPr>
              <w:t xml:space="preserve"> noteikumu </w:t>
            </w:r>
            <w:r w:rsidRPr="001F71F0">
              <w:rPr>
                <w:color w:val="auto"/>
              </w:rPr>
              <w:t xml:space="preserve">Nr.573 </w:t>
            </w:r>
            <w:r w:rsidR="00C71011" w:rsidRPr="001F71F0">
              <w:rPr>
                <w:color w:val="auto"/>
              </w:rPr>
              <w:t>1. un 2.pielikum</w:t>
            </w:r>
            <w:r w:rsidRPr="001F71F0">
              <w:rPr>
                <w:color w:val="auto"/>
              </w:rPr>
              <w:t>s</w:t>
            </w:r>
            <w:r w:rsidR="00C71011" w:rsidRPr="001F71F0">
              <w:rPr>
                <w:color w:val="auto"/>
              </w:rPr>
              <w:t>.</w:t>
            </w:r>
          </w:p>
        </w:tc>
      </w:tr>
      <w:tr w:rsidR="001F71F0" w:rsidRPr="001F71F0" w:rsidTr="009F581B">
        <w:tc>
          <w:tcPr>
            <w:tcW w:w="502" w:type="dxa"/>
          </w:tcPr>
          <w:p w:rsidR="001470A9" w:rsidRPr="001F71F0" w:rsidRDefault="001470A9" w:rsidP="003074D4">
            <w:pPr>
              <w:pStyle w:val="naislab"/>
              <w:spacing w:before="0" w:after="0"/>
              <w:jc w:val="center"/>
              <w:outlineLvl w:val="0"/>
            </w:pPr>
            <w:r w:rsidRPr="001F71F0">
              <w:lastRenderedPageBreak/>
              <w:t>3.</w:t>
            </w:r>
          </w:p>
        </w:tc>
        <w:tc>
          <w:tcPr>
            <w:tcW w:w="3544" w:type="dxa"/>
          </w:tcPr>
          <w:p w:rsidR="001470A9" w:rsidRPr="001F71F0" w:rsidRDefault="001470A9" w:rsidP="003074D4">
            <w:pPr>
              <w:pStyle w:val="naislab"/>
              <w:spacing w:before="0" w:after="0"/>
              <w:jc w:val="both"/>
              <w:outlineLvl w:val="0"/>
            </w:pPr>
            <w:r w:rsidRPr="001F71F0">
              <w:t>Saistītie politikas ietekmes novērtējumi un pētījumi</w:t>
            </w:r>
          </w:p>
        </w:tc>
        <w:tc>
          <w:tcPr>
            <w:tcW w:w="5670" w:type="dxa"/>
          </w:tcPr>
          <w:p w:rsidR="001470A9" w:rsidRPr="001F71F0" w:rsidRDefault="002D65A0" w:rsidP="003074D4">
            <w:pPr>
              <w:jc w:val="both"/>
            </w:pPr>
            <w:r w:rsidRPr="001F71F0">
              <w:rPr>
                <w:iCs/>
              </w:rPr>
              <w:t>Projekts šo jomu neskar</w:t>
            </w:r>
            <w:r w:rsidR="00500665" w:rsidRPr="001F71F0">
              <w:rPr>
                <w:iCs/>
              </w:rPr>
              <w:t>.</w:t>
            </w:r>
          </w:p>
        </w:tc>
      </w:tr>
      <w:tr w:rsidR="001F71F0" w:rsidRPr="001F71F0" w:rsidTr="009F581B">
        <w:tc>
          <w:tcPr>
            <w:tcW w:w="502" w:type="dxa"/>
          </w:tcPr>
          <w:p w:rsidR="001470A9" w:rsidRPr="001F71F0" w:rsidRDefault="001470A9" w:rsidP="003074D4">
            <w:pPr>
              <w:pStyle w:val="naislab"/>
              <w:spacing w:before="0" w:after="0"/>
              <w:jc w:val="center"/>
              <w:outlineLvl w:val="0"/>
            </w:pPr>
            <w:r w:rsidRPr="001F71F0">
              <w:t>4.</w:t>
            </w:r>
          </w:p>
        </w:tc>
        <w:tc>
          <w:tcPr>
            <w:tcW w:w="3544" w:type="dxa"/>
          </w:tcPr>
          <w:p w:rsidR="001470A9" w:rsidRPr="001F71F0" w:rsidRDefault="001470A9" w:rsidP="003074D4">
            <w:pPr>
              <w:pStyle w:val="naislab"/>
              <w:spacing w:before="0" w:after="0"/>
              <w:jc w:val="both"/>
              <w:outlineLvl w:val="0"/>
            </w:pPr>
            <w:r w:rsidRPr="001F71F0">
              <w:t>Tiesiskā regulējuma mērķis un būtība</w:t>
            </w:r>
          </w:p>
        </w:tc>
        <w:tc>
          <w:tcPr>
            <w:tcW w:w="5670" w:type="dxa"/>
          </w:tcPr>
          <w:p w:rsidR="000160A4" w:rsidRPr="001F71F0" w:rsidRDefault="000160A4" w:rsidP="00270693">
            <w:pPr>
              <w:pStyle w:val="Default"/>
              <w:jc w:val="both"/>
              <w:rPr>
                <w:bCs/>
                <w:color w:val="auto"/>
              </w:rPr>
            </w:pPr>
            <w:r w:rsidRPr="001F71F0">
              <w:rPr>
                <w:bCs/>
                <w:color w:val="auto"/>
              </w:rPr>
              <w:t>Šī projekta mērķis ir pielāgot noteikumus</w:t>
            </w:r>
            <w:r w:rsidR="00423A61" w:rsidRPr="001F71F0">
              <w:rPr>
                <w:bCs/>
                <w:color w:val="auto"/>
              </w:rPr>
              <w:t xml:space="preserve"> Nr.573</w:t>
            </w:r>
            <w:r w:rsidRPr="001F71F0">
              <w:rPr>
                <w:bCs/>
                <w:color w:val="auto"/>
              </w:rPr>
              <w:t>:</w:t>
            </w:r>
          </w:p>
          <w:p w:rsidR="00AD143E" w:rsidRPr="001F71F0" w:rsidRDefault="002E6562" w:rsidP="00CF530C">
            <w:pPr>
              <w:pStyle w:val="Default"/>
              <w:jc w:val="both"/>
              <w:rPr>
                <w:bCs/>
                <w:color w:val="auto"/>
              </w:rPr>
            </w:pPr>
            <w:r w:rsidRPr="001F71F0">
              <w:rPr>
                <w:bCs/>
                <w:color w:val="auto"/>
              </w:rPr>
              <w:t>1) </w:t>
            </w:r>
            <w:r w:rsidR="00270693" w:rsidRPr="001F71F0">
              <w:rPr>
                <w:bCs/>
                <w:color w:val="auto"/>
              </w:rPr>
              <w:t>e</w:t>
            </w:r>
            <w:r w:rsidR="00423A61" w:rsidRPr="001F71F0">
              <w:rPr>
                <w:bCs/>
                <w:color w:val="auto"/>
              </w:rPr>
              <w:t>i</w:t>
            </w:r>
            <w:r w:rsidR="00923786" w:rsidRPr="001F71F0">
              <w:rPr>
                <w:bCs/>
                <w:color w:val="auto"/>
              </w:rPr>
              <w:t xml:space="preserve">ro ieviešanai, </w:t>
            </w:r>
            <w:r w:rsidR="00270693" w:rsidRPr="001F71F0">
              <w:rPr>
                <w:bCs/>
                <w:color w:val="auto"/>
              </w:rPr>
              <w:t>ai</w:t>
            </w:r>
            <w:r w:rsidR="000160A4" w:rsidRPr="001F71F0">
              <w:rPr>
                <w:bCs/>
                <w:color w:val="auto"/>
              </w:rPr>
              <w:t xml:space="preserve">zstājot to tekstā latus ar </w:t>
            </w:r>
            <w:proofErr w:type="spellStart"/>
            <w:r w:rsidR="000160A4" w:rsidRPr="001F71F0">
              <w:rPr>
                <w:bCs/>
                <w:i/>
                <w:color w:val="auto"/>
              </w:rPr>
              <w:t>e</w:t>
            </w:r>
            <w:r w:rsidR="00D57E5E" w:rsidRPr="001F71F0">
              <w:rPr>
                <w:bCs/>
                <w:i/>
                <w:color w:val="auto"/>
              </w:rPr>
              <w:t>u</w:t>
            </w:r>
            <w:r w:rsidR="000160A4" w:rsidRPr="001F71F0">
              <w:rPr>
                <w:bCs/>
                <w:i/>
                <w:color w:val="auto"/>
              </w:rPr>
              <w:t>ro</w:t>
            </w:r>
            <w:proofErr w:type="spellEnd"/>
            <w:r w:rsidR="00423A61" w:rsidRPr="001F71F0">
              <w:rPr>
                <w:bCs/>
                <w:color w:val="auto"/>
              </w:rPr>
              <w:t xml:space="preserve"> atbilstoši Eiropas Savienības tiesību aktos noteiktajām robežvērtībām</w:t>
            </w:r>
            <w:r w:rsidR="00D57E5E" w:rsidRPr="001F71F0">
              <w:rPr>
                <w:bCs/>
                <w:color w:val="auto"/>
              </w:rPr>
              <w:t>.</w:t>
            </w:r>
          </w:p>
          <w:p w:rsidR="00AD143E" w:rsidRPr="001F71F0" w:rsidRDefault="00AD143E" w:rsidP="00AD143E">
            <w:pPr>
              <w:pStyle w:val="Default"/>
              <w:tabs>
                <w:tab w:val="left" w:pos="34"/>
              </w:tabs>
              <w:ind w:left="34"/>
              <w:jc w:val="both"/>
              <w:rPr>
                <w:bCs/>
                <w:color w:val="auto"/>
              </w:rPr>
            </w:pPr>
            <w:r w:rsidRPr="001F71F0">
              <w:rPr>
                <w:bCs/>
                <w:color w:val="auto"/>
              </w:rPr>
              <w:t>Lai arī normas tiek grozītas saskaņā ar Eiropas Savienības tiesību aktos noteikto, tās nav personām nelabvēlīgākas par sākotnējo tiesību normu latos un nerada vērā ņemamu negatīvu ietekmi uz valsts budžetu.</w:t>
            </w:r>
          </w:p>
          <w:p w:rsidR="00AD143E" w:rsidRPr="001F71F0" w:rsidRDefault="00AD143E" w:rsidP="00AD143E">
            <w:pPr>
              <w:pStyle w:val="Default"/>
              <w:jc w:val="both"/>
              <w:rPr>
                <w:bCs/>
                <w:color w:val="auto"/>
              </w:rPr>
            </w:pPr>
            <w:r w:rsidRPr="001F71F0">
              <w:rPr>
                <w:bCs/>
                <w:color w:val="auto"/>
              </w:rPr>
              <w:t xml:space="preserve">Grozījumi izdarīti saskaņā ar Komisijas </w:t>
            </w:r>
            <w:r w:rsidR="009524A1" w:rsidRPr="001F71F0">
              <w:rPr>
                <w:bCs/>
                <w:color w:val="auto"/>
              </w:rPr>
              <w:t>2006. gada 21.</w:t>
            </w:r>
            <w:r w:rsidR="00F0504F">
              <w:rPr>
                <w:bCs/>
                <w:color w:val="auto"/>
              </w:rPr>
              <w:t> </w:t>
            </w:r>
            <w:r w:rsidR="009524A1" w:rsidRPr="001F71F0">
              <w:rPr>
                <w:bCs/>
                <w:color w:val="auto"/>
              </w:rPr>
              <w:t xml:space="preserve">jūnija </w:t>
            </w:r>
            <w:r w:rsidRPr="001F71F0">
              <w:rPr>
                <w:bCs/>
                <w:color w:val="auto"/>
              </w:rPr>
              <w:t>Regulas 885/2006</w:t>
            </w:r>
            <w:r w:rsidR="002E6562" w:rsidRPr="001F71F0">
              <w:rPr>
                <w:bCs/>
                <w:color w:val="auto"/>
              </w:rPr>
              <w:t>,</w:t>
            </w:r>
            <w:r w:rsidRPr="001F71F0">
              <w:rPr>
                <w:bCs/>
                <w:color w:val="auto"/>
              </w:rPr>
              <w:t xml:space="preserve"> ar ko nosaka sīki izstrādātus noteikumus par to, kā piemērot Padomes Regulu (EK) Nr. 1290/2005 attiecībā uz maksājumu aģentūru un citu struktūru akreditāciju un ELGF un ELFLA grāmatojumu noskaidrošanu</w:t>
            </w:r>
            <w:r w:rsidR="002143E4" w:rsidRPr="001F71F0">
              <w:rPr>
                <w:bCs/>
                <w:color w:val="auto"/>
              </w:rPr>
              <w:t xml:space="preserve"> (turpmāk – Regula 885/2006)</w:t>
            </w:r>
            <w:r w:rsidR="002E6562" w:rsidRPr="001F71F0">
              <w:rPr>
                <w:bCs/>
                <w:color w:val="auto"/>
              </w:rPr>
              <w:t>,</w:t>
            </w:r>
            <w:r w:rsidRPr="001F71F0">
              <w:rPr>
                <w:bCs/>
                <w:color w:val="auto"/>
              </w:rPr>
              <w:t xml:space="preserve"> 5a. pant</w:t>
            </w:r>
            <w:r w:rsidR="002E6562" w:rsidRPr="001F71F0">
              <w:rPr>
                <w:bCs/>
                <w:color w:val="auto"/>
              </w:rPr>
              <w:t>u</w:t>
            </w:r>
            <w:r w:rsidRPr="001F71F0">
              <w:rPr>
                <w:bCs/>
                <w:color w:val="auto"/>
              </w:rPr>
              <w:t>, k</w:t>
            </w:r>
            <w:r w:rsidR="002E6562" w:rsidRPr="001F71F0">
              <w:rPr>
                <w:bCs/>
                <w:color w:val="auto"/>
              </w:rPr>
              <w:t>uros</w:t>
            </w:r>
            <w:r w:rsidRPr="001F71F0">
              <w:rPr>
                <w:bCs/>
                <w:color w:val="auto"/>
              </w:rPr>
              <w:t xml:space="preserve"> no</w:t>
            </w:r>
            <w:r w:rsidR="002E6562" w:rsidRPr="001F71F0">
              <w:rPr>
                <w:bCs/>
                <w:color w:val="auto"/>
              </w:rPr>
              <w:t>teikts</w:t>
            </w:r>
            <w:r w:rsidRPr="001F71F0">
              <w:rPr>
                <w:bCs/>
                <w:color w:val="auto"/>
              </w:rPr>
              <w:t xml:space="preserve"> 100 </w:t>
            </w:r>
            <w:proofErr w:type="spellStart"/>
            <w:r w:rsidRPr="001F71F0">
              <w:rPr>
                <w:bCs/>
                <w:i/>
                <w:color w:val="auto"/>
              </w:rPr>
              <w:t>euro</w:t>
            </w:r>
            <w:proofErr w:type="spellEnd"/>
            <w:r w:rsidRPr="001F71F0">
              <w:rPr>
                <w:bCs/>
                <w:color w:val="auto"/>
              </w:rPr>
              <w:t xml:space="preserve"> slieksni</w:t>
            </w:r>
            <w:r w:rsidR="00F0504F">
              <w:rPr>
                <w:bCs/>
                <w:color w:val="auto"/>
              </w:rPr>
              <w:t>s</w:t>
            </w:r>
            <w:r w:rsidRPr="001F71F0">
              <w:rPr>
                <w:bCs/>
                <w:color w:val="auto"/>
              </w:rPr>
              <w:t xml:space="preserve">, </w:t>
            </w:r>
            <w:r w:rsidR="002E6562" w:rsidRPr="001F71F0">
              <w:rPr>
                <w:bCs/>
                <w:color w:val="auto"/>
              </w:rPr>
              <w:t>kad</w:t>
            </w:r>
            <w:r w:rsidRPr="001F71F0">
              <w:rPr>
                <w:bCs/>
                <w:color w:val="auto"/>
              </w:rPr>
              <w:t xml:space="preserve"> dalībvalsts var pieņemt lēmumu neturpināt atgūšanas procedūru. Ievērojot minēto, kā arī lai nodrošinātu vienotu pieeju gan Eiropas </w:t>
            </w:r>
            <w:r w:rsidRPr="001F71F0">
              <w:rPr>
                <w:bCs/>
                <w:color w:val="auto"/>
              </w:rPr>
              <w:lastRenderedPageBreak/>
              <w:t>Lauksaimniecības fonda lauku attīstībai gan Eiropas Lauksaimniecības garantiju fonda, gan Eiropas Zivsaimniecības fonda ieviešanas nolūkā</w:t>
            </w:r>
            <w:r w:rsidR="002143E4" w:rsidRPr="001F71F0">
              <w:rPr>
                <w:bCs/>
                <w:color w:val="auto"/>
              </w:rPr>
              <w:t xml:space="preserve"> un </w:t>
            </w:r>
            <w:r w:rsidR="00F0504F">
              <w:rPr>
                <w:bCs/>
                <w:color w:val="auto"/>
              </w:rPr>
              <w:t>pama</w:t>
            </w:r>
            <w:r w:rsidR="002143E4" w:rsidRPr="001F71F0">
              <w:rPr>
                <w:bCs/>
                <w:color w:val="auto"/>
              </w:rPr>
              <w:t>to</w:t>
            </w:r>
            <w:r w:rsidR="00F0504F">
              <w:rPr>
                <w:bCs/>
                <w:color w:val="auto"/>
              </w:rPr>
              <w:t>jo</w:t>
            </w:r>
            <w:r w:rsidR="002143E4" w:rsidRPr="001F71F0">
              <w:rPr>
                <w:bCs/>
                <w:color w:val="auto"/>
              </w:rPr>
              <w:t>ties uz</w:t>
            </w:r>
            <w:r w:rsidR="002143E4" w:rsidRPr="001F71F0">
              <w:rPr>
                <w:color w:val="auto"/>
              </w:rPr>
              <w:t xml:space="preserve"> Padomes 2006. gada 27. jūlija </w:t>
            </w:r>
            <w:r w:rsidR="00F0504F">
              <w:rPr>
                <w:color w:val="auto"/>
              </w:rPr>
              <w:t>R</w:t>
            </w:r>
            <w:r w:rsidR="002143E4" w:rsidRPr="001F71F0">
              <w:rPr>
                <w:color w:val="auto"/>
              </w:rPr>
              <w:t xml:space="preserve">egulā (EK) Nr. 1198/2006 par Eiropas Zivsaimniecības fondu </w:t>
            </w:r>
            <w:r w:rsidR="002143E4" w:rsidRPr="001F71F0">
              <w:rPr>
                <w:bCs/>
                <w:color w:val="auto"/>
              </w:rPr>
              <w:t xml:space="preserve">(turpmāk </w:t>
            </w:r>
            <w:r w:rsidR="00F0504F">
              <w:rPr>
                <w:bCs/>
                <w:color w:val="auto"/>
              </w:rPr>
              <w:t>–</w:t>
            </w:r>
            <w:r w:rsidR="002143E4" w:rsidRPr="001F71F0">
              <w:rPr>
                <w:bCs/>
                <w:color w:val="auto"/>
              </w:rPr>
              <w:t xml:space="preserve"> Regula 1198/2006) noteiktajiem pamatprincipiem (dalībvalstij jāņem vērā neatbilstību būtība un nopietnība un EZF nodarīt</w:t>
            </w:r>
            <w:r w:rsidR="00F0504F">
              <w:rPr>
                <w:bCs/>
                <w:color w:val="auto"/>
              </w:rPr>
              <w:t>ie</w:t>
            </w:r>
            <w:r w:rsidR="002143E4" w:rsidRPr="001F71F0">
              <w:rPr>
                <w:bCs/>
                <w:color w:val="auto"/>
              </w:rPr>
              <w:t xml:space="preserve"> finansiāl</w:t>
            </w:r>
            <w:r w:rsidR="00F0504F">
              <w:rPr>
                <w:bCs/>
                <w:color w:val="auto"/>
              </w:rPr>
              <w:t>ie</w:t>
            </w:r>
            <w:r w:rsidR="002143E4" w:rsidRPr="001F71F0">
              <w:rPr>
                <w:bCs/>
                <w:color w:val="auto"/>
              </w:rPr>
              <w:t xml:space="preserve"> zaudējum</w:t>
            </w:r>
            <w:r w:rsidR="00F0504F">
              <w:rPr>
                <w:bCs/>
                <w:color w:val="auto"/>
              </w:rPr>
              <w:t>i</w:t>
            </w:r>
            <w:r w:rsidR="002143E4" w:rsidRPr="001F71F0">
              <w:rPr>
                <w:bCs/>
                <w:color w:val="auto"/>
              </w:rPr>
              <w:t xml:space="preserve">), </w:t>
            </w:r>
            <w:r w:rsidRPr="001F71F0">
              <w:rPr>
                <w:bCs/>
                <w:color w:val="auto"/>
              </w:rPr>
              <w:t>šī norma piemērojama arī Eiropas Zivsaimniecības fonda neatbilstoši veikto izdevumu atgūšanas procesā</w:t>
            </w:r>
            <w:r w:rsidR="002E6562" w:rsidRPr="001F71F0">
              <w:rPr>
                <w:bCs/>
                <w:color w:val="auto"/>
              </w:rPr>
              <w:t>;</w:t>
            </w:r>
          </w:p>
          <w:p w:rsidR="0069231F" w:rsidRPr="001F71F0" w:rsidRDefault="002E6562" w:rsidP="00CF530C">
            <w:pPr>
              <w:pStyle w:val="Default"/>
              <w:ind w:left="34"/>
              <w:jc w:val="both"/>
              <w:rPr>
                <w:bCs/>
                <w:color w:val="auto"/>
              </w:rPr>
            </w:pPr>
            <w:r w:rsidRPr="001F71F0">
              <w:rPr>
                <w:bCs/>
                <w:color w:val="auto"/>
              </w:rPr>
              <w:t>2) </w:t>
            </w:r>
            <w:r w:rsidR="000160A4" w:rsidRPr="001F71F0">
              <w:rPr>
                <w:bCs/>
                <w:color w:val="auto"/>
              </w:rPr>
              <w:t xml:space="preserve">grozījumiem </w:t>
            </w:r>
            <w:r w:rsidRPr="001F71F0">
              <w:rPr>
                <w:bCs/>
                <w:color w:val="auto"/>
              </w:rPr>
              <w:t xml:space="preserve">MK </w:t>
            </w:r>
            <w:r w:rsidR="0069231F" w:rsidRPr="001F71F0">
              <w:rPr>
                <w:bCs/>
                <w:color w:val="auto"/>
              </w:rPr>
              <w:t xml:space="preserve">2009.gada 19.oktobra rīkojumā Nr.714 „Par Pārtikas un veterinārā dienesta un valsts aģentūras „Latvijas zivju resursu aģentūra” reorganizāciju un valsts zinātniskā institūta „Pārtikas drošības, dzīvnieku veselības un vides zinātniskais institūts” izveidi” un </w:t>
            </w:r>
            <w:r w:rsidRPr="001F71F0">
              <w:rPr>
                <w:bCs/>
                <w:color w:val="auto"/>
              </w:rPr>
              <w:t xml:space="preserve">MK </w:t>
            </w:r>
            <w:r w:rsidR="0069231F" w:rsidRPr="001F71F0">
              <w:rPr>
                <w:bCs/>
                <w:color w:val="auto"/>
              </w:rPr>
              <w:t>2012.gada 18.decembra noteikumos Nr.878 „Lauksaimniecības datu centra nolikums”</w:t>
            </w:r>
            <w:r w:rsidRPr="001F71F0">
              <w:rPr>
                <w:bCs/>
                <w:color w:val="auto"/>
              </w:rPr>
              <w:t>.</w:t>
            </w:r>
          </w:p>
          <w:p w:rsidR="000160A4" w:rsidRPr="001F71F0" w:rsidRDefault="00423A61" w:rsidP="000160A4">
            <w:pPr>
              <w:pStyle w:val="Default"/>
              <w:jc w:val="both"/>
              <w:rPr>
                <w:bCs/>
                <w:color w:val="auto"/>
              </w:rPr>
            </w:pPr>
            <w:r w:rsidRPr="001F71F0">
              <w:rPr>
                <w:bCs/>
                <w:color w:val="auto"/>
              </w:rPr>
              <w:t xml:space="preserve">Tā kā </w:t>
            </w:r>
            <w:r w:rsidR="002E6562" w:rsidRPr="001F71F0">
              <w:rPr>
                <w:bCs/>
                <w:color w:val="auto"/>
              </w:rPr>
              <w:t xml:space="preserve">ar </w:t>
            </w:r>
            <w:r w:rsidR="000160A4" w:rsidRPr="001F71F0">
              <w:rPr>
                <w:bCs/>
                <w:color w:val="auto"/>
              </w:rPr>
              <w:t xml:space="preserve">Ministru kabineta 2012.gada 3.augusta rīkojumu Nr.369 „Grozījums Ministru kabineta 2009.gada 19.oktobra rīkojumā Nr.714 „Par Pārtikas un veterinārā dienesta un valsts aģentūras „Latvijas zivju resursu aģentūra” reorganizāciju un valsts zinātniskā institūta „Pārtikas drošības, dzīvnieku veselības un vides zinātniskais institūts” izveidi” Zemkopības ministrijas padotības iestādes – valsts zinātniskā institūta „Pārtikas drošības, dzīvnieku veselības un vides zinātniskais institūts” – nosaukums </w:t>
            </w:r>
            <w:r w:rsidRPr="001F71F0">
              <w:rPr>
                <w:bCs/>
                <w:color w:val="auto"/>
              </w:rPr>
              <w:t xml:space="preserve">ir papildināts </w:t>
            </w:r>
            <w:r w:rsidR="000160A4" w:rsidRPr="001F71F0">
              <w:rPr>
                <w:bCs/>
                <w:color w:val="auto"/>
              </w:rPr>
              <w:t>ar abreviatūru „BIOR”</w:t>
            </w:r>
            <w:r w:rsidRPr="001F71F0">
              <w:rPr>
                <w:bCs/>
                <w:color w:val="auto"/>
              </w:rPr>
              <w:t>, at</w:t>
            </w:r>
            <w:r w:rsidR="002E6562" w:rsidRPr="001F71F0">
              <w:rPr>
                <w:bCs/>
                <w:color w:val="auto"/>
              </w:rPr>
              <w:t>tiecīg</w:t>
            </w:r>
            <w:r w:rsidRPr="001F71F0">
              <w:rPr>
                <w:bCs/>
                <w:color w:val="auto"/>
              </w:rPr>
              <w:t>i grozījumi nepieciešami ar</w:t>
            </w:r>
            <w:r w:rsidR="007072A1" w:rsidRPr="001F71F0">
              <w:rPr>
                <w:bCs/>
                <w:color w:val="auto"/>
              </w:rPr>
              <w:t>ī</w:t>
            </w:r>
            <w:r w:rsidRPr="001F71F0">
              <w:rPr>
                <w:bCs/>
                <w:color w:val="auto"/>
              </w:rPr>
              <w:t xml:space="preserve"> noteikumos Nr.573.</w:t>
            </w:r>
          </w:p>
          <w:p w:rsidR="00227FFB" w:rsidRPr="001F71F0" w:rsidRDefault="00423A61" w:rsidP="00423A61">
            <w:pPr>
              <w:pStyle w:val="Default"/>
              <w:jc w:val="both"/>
              <w:rPr>
                <w:bCs/>
                <w:color w:val="auto"/>
              </w:rPr>
            </w:pPr>
            <w:r w:rsidRPr="001F71F0">
              <w:rPr>
                <w:bCs/>
                <w:color w:val="auto"/>
              </w:rPr>
              <w:t>A</w:t>
            </w:r>
            <w:r w:rsidR="000160A4" w:rsidRPr="001F71F0">
              <w:rPr>
                <w:bCs/>
                <w:color w:val="auto"/>
              </w:rPr>
              <w:t xml:space="preserve">tbilstoši </w:t>
            </w:r>
            <w:r w:rsidR="00D43D55" w:rsidRPr="001F71F0">
              <w:rPr>
                <w:bCs/>
                <w:color w:val="auto"/>
              </w:rPr>
              <w:t>apstiprinātajiem Ministru kabineta 2012.gada 18.decembra noteikumiem Nr.878 „Lauksaimniecības datu centra nolikums”</w:t>
            </w:r>
            <w:r w:rsidR="000160A4" w:rsidRPr="001F71F0">
              <w:rPr>
                <w:bCs/>
                <w:color w:val="auto"/>
              </w:rPr>
              <w:t xml:space="preserve"> nepieciešams precizējum</w:t>
            </w:r>
            <w:r w:rsidRPr="001F71F0">
              <w:rPr>
                <w:bCs/>
                <w:color w:val="auto"/>
              </w:rPr>
              <w:t>s noteikumu Nr.573</w:t>
            </w:r>
            <w:r w:rsidR="000160A4" w:rsidRPr="001F71F0">
              <w:rPr>
                <w:bCs/>
                <w:color w:val="auto"/>
              </w:rPr>
              <w:t xml:space="preserve"> 15.</w:t>
            </w:r>
            <w:r w:rsidR="00D43D55" w:rsidRPr="001F71F0">
              <w:rPr>
                <w:bCs/>
                <w:color w:val="auto"/>
                <w:vertAlign w:val="superscript"/>
              </w:rPr>
              <w:t>1</w:t>
            </w:r>
            <w:r w:rsidR="000160A4" w:rsidRPr="001F71F0">
              <w:rPr>
                <w:bCs/>
                <w:color w:val="auto"/>
              </w:rPr>
              <w:t xml:space="preserve"> punktā, </w:t>
            </w:r>
            <w:r w:rsidRPr="001F71F0">
              <w:rPr>
                <w:bCs/>
                <w:color w:val="auto"/>
              </w:rPr>
              <w:t xml:space="preserve">jo </w:t>
            </w:r>
            <w:r w:rsidR="000160A4" w:rsidRPr="001F71F0">
              <w:rPr>
                <w:bCs/>
                <w:color w:val="auto"/>
              </w:rPr>
              <w:t xml:space="preserve">Lauksaimniecības datu centrs </w:t>
            </w:r>
            <w:r w:rsidRPr="001F71F0">
              <w:rPr>
                <w:bCs/>
                <w:color w:val="auto"/>
              </w:rPr>
              <w:t xml:space="preserve">patlaban </w:t>
            </w:r>
            <w:r w:rsidR="000160A4" w:rsidRPr="001F71F0">
              <w:rPr>
                <w:bCs/>
                <w:color w:val="auto"/>
              </w:rPr>
              <w:t>ir tiešās valsts pārvaldes iestāde</w:t>
            </w:r>
            <w:r w:rsidRPr="001F71F0">
              <w:rPr>
                <w:bCs/>
                <w:color w:val="auto"/>
              </w:rPr>
              <w:t>, nevis aģentūra.</w:t>
            </w:r>
          </w:p>
          <w:p w:rsidR="00D12A71" w:rsidRPr="001F71F0" w:rsidRDefault="007072A1" w:rsidP="006550FA">
            <w:pPr>
              <w:pStyle w:val="Default"/>
              <w:ind w:left="34"/>
              <w:jc w:val="both"/>
              <w:rPr>
                <w:bCs/>
                <w:color w:val="auto"/>
              </w:rPr>
            </w:pPr>
            <w:r w:rsidRPr="001F71F0">
              <w:rPr>
                <w:bCs/>
                <w:color w:val="auto"/>
              </w:rPr>
              <w:t xml:space="preserve">Projekts </w:t>
            </w:r>
            <w:r w:rsidR="002E6562" w:rsidRPr="001F71F0">
              <w:rPr>
                <w:bCs/>
                <w:color w:val="auto"/>
              </w:rPr>
              <w:t xml:space="preserve">arī </w:t>
            </w:r>
            <w:r w:rsidRPr="001F71F0">
              <w:rPr>
                <w:bCs/>
                <w:color w:val="auto"/>
              </w:rPr>
              <w:t>sagatavots</w:t>
            </w:r>
            <w:r w:rsidR="00D57E5E" w:rsidRPr="001F71F0">
              <w:rPr>
                <w:bCs/>
                <w:color w:val="auto"/>
              </w:rPr>
              <w:t>, lai nodrošinātu</w:t>
            </w:r>
            <w:r w:rsidR="00F0504F">
              <w:rPr>
                <w:bCs/>
                <w:color w:val="auto"/>
              </w:rPr>
              <w:t xml:space="preserve"> noteikumu Nr. </w:t>
            </w:r>
            <w:r w:rsidR="003A1317" w:rsidRPr="001F71F0">
              <w:rPr>
                <w:bCs/>
                <w:color w:val="auto"/>
              </w:rPr>
              <w:t>537 atbilstību vienotajai klientu reģistrēšanai zemkopības nozares informācijas sistēmā</w:t>
            </w:r>
            <w:r w:rsidR="006550FA" w:rsidRPr="001F71F0">
              <w:rPr>
                <w:bCs/>
                <w:color w:val="auto"/>
              </w:rPr>
              <w:t xml:space="preserve">, </w:t>
            </w:r>
            <w:r w:rsidR="002E6562" w:rsidRPr="001F71F0">
              <w:rPr>
                <w:bCs/>
                <w:color w:val="auto"/>
              </w:rPr>
              <w:t>novērstu</w:t>
            </w:r>
            <w:r w:rsidR="00D57E5E" w:rsidRPr="001F71F0">
              <w:rPr>
                <w:bCs/>
                <w:color w:val="auto"/>
              </w:rPr>
              <w:t xml:space="preserve"> </w:t>
            </w:r>
            <w:r w:rsidR="00F0504F">
              <w:rPr>
                <w:bCs/>
                <w:color w:val="auto"/>
              </w:rPr>
              <w:t>daž</w:t>
            </w:r>
            <w:r w:rsidR="007A51AE" w:rsidRPr="001F71F0">
              <w:rPr>
                <w:bCs/>
                <w:color w:val="auto"/>
              </w:rPr>
              <w:t xml:space="preserve">u </w:t>
            </w:r>
            <w:r w:rsidR="00D57E5E" w:rsidRPr="001F71F0">
              <w:rPr>
                <w:bCs/>
                <w:color w:val="auto"/>
              </w:rPr>
              <w:t>normu dublēšan</w:t>
            </w:r>
            <w:r w:rsidR="002E6562" w:rsidRPr="001F71F0">
              <w:rPr>
                <w:bCs/>
                <w:color w:val="auto"/>
              </w:rPr>
              <w:t>os</w:t>
            </w:r>
            <w:r w:rsidR="006550FA" w:rsidRPr="001F71F0">
              <w:rPr>
                <w:bCs/>
                <w:color w:val="auto"/>
              </w:rPr>
              <w:t xml:space="preserve"> un lai nodrošinātu atbalsta saņēmēju informētību, ka turpmāk reģistrēšanās LAD klientu reģistrā tiks veikta</w:t>
            </w:r>
            <w:r w:rsidR="00F0504F">
              <w:rPr>
                <w:bCs/>
                <w:color w:val="auto"/>
              </w:rPr>
              <w:t>, klientam</w:t>
            </w:r>
            <w:r w:rsidR="006550FA" w:rsidRPr="001F71F0">
              <w:rPr>
                <w:bCs/>
                <w:color w:val="auto"/>
              </w:rPr>
              <w:t xml:space="preserve"> automātiski reģistrējoties vienotajā zemkopības nozares informācijas sistēmā.</w:t>
            </w:r>
            <w:r w:rsidR="007A51AE" w:rsidRPr="001F71F0">
              <w:rPr>
                <w:bCs/>
                <w:color w:val="auto"/>
              </w:rPr>
              <w:t>.</w:t>
            </w:r>
          </w:p>
        </w:tc>
      </w:tr>
      <w:tr w:rsidR="001F71F0" w:rsidRPr="001F71F0" w:rsidTr="009F581B">
        <w:tc>
          <w:tcPr>
            <w:tcW w:w="502" w:type="dxa"/>
          </w:tcPr>
          <w:p w:rsidR="001470A9" w:rsidRPr="001F71F0" w:rsidRDefault="001470A9" w:rsidP="003074D4">
            <w:pPr>
              <w:pStyle w:val="naislab"/>
              <w:spacing w:before="0" w:after="0"/>
              <w:jc w:val="center"/>
              <w:outlineLvl w:val="0"/>
            </w:pPr>
            <w:r w:rsidRPr="001F71F0">
              <w:lastRenderedPageBreak/>
              <w:t>5.</w:t>
            </w:r>
          </w:p>
        </w:tc>
        <w:tc>
          <w:tcPr>
            <w:tcW w:w="3544" w:type="dxa"/>
          </w:tcPr>
          <w:p w:rsidR="001470A9" w:rsidRPr="001F71F0" w:rsidRDefault="001470A9" w:rsidP="003074D4">
            <w:pPr>
              <w:pStyle w:val="naislab"/>
              <w:spacing w:before="0" w:after="0"/>
              <w:jc w:val="both"/>
              <w:outlineLvl w:val="0"/>
            </w:pPr>
            <w:r w:rsidRPr="001F71F0">
              <w:t>Projekta izstrādē iesaistītās institūcijas</w:t>
            </w:r>
          </w:p>
        </w:tc>
        <w:tc>
          <w:tcPr>
            <w:tcW w:w="5670" w:type="dxa"/>
          </w:tcPr>
          <w:p w:rsidR="001470A9" w:rsidRPr="001F71F0" w:rsidRDefault="008919DA" w:rsidP="00E167E1">
            <w:pPr>
              <w:pStyle w:val="naiskr"/>
              <w:spacing w:before="0" w:after="0"/>
              <w:rPr>
                <w:iCs/>
              </w:rPr>
            </w:pPr>
            <w:r w:rsidRPr="001F71F0">
              <w:rPr>
                <w:iCs/>
              </w:rPr>
              <w:t>Zemkopības ministrija</w:t>
            </w:r>
            <w:r w:rsidR="002E6562" w:rsidRPr="001F71F0">
              <w:rPr>
                <w:iCs/>
              </w:rPr>
              <w:t xml:space="preserve"> un</w:t>
            </w:r>
            <w:r w:rsidR="00BE0002" w:rsidRPr="001F71F0">
              <w:rPr>
                <w:iCs/>
              </w:rPr>
              <w:t xml:space="preserve"> Lauku atbalsta dienests</w:t>
            </w:r>
          </w:p>
        </w:tc>
      </w:tr>
      <w:tr w:rsidR="001F71F0" w:rsidRPr="001F71F0" w:rsidTr="009F581B">
        <w:tc>
          <w:tcPr>
            <w:tcW w:w="502" w:type="dxa"/>
          </w:tcPr>
          <w:p w:rsidR="001470A9" w:rsidRPr="001F71F0" w:rsidRDefault="001470A9" w:rsidP="003074D4">
            <w:pPr>
              <w:pStyle w:val="naislab"/>
              <w:spacing w:before="0" w:after="0"/>
              <w:jc w:val="center"/>
              <w:outlineLvl w:val="0"/>
            </w:pPr>
            <w:r w:rsidRPr="001F71F0">
              <w:t>6.</w:t>
            </w:r>
          </w:p>
        </w:tc>
        <w:tc>
          <w:tcPr>
            <w:tcW w:w="3544" w:type="dxa"/>
          </w:tcPr>
          <w:p w:rsidR="001470A9" w:rsidRPr="001F71F0" w:rsidRDefault="001470A9" w:rsidP="003074D4">
            <w:pPr>
              <w:pStyle w:val="naislab"/>
              <w:spacing w:before="0" w:after="0"/>
              <w:jc w:val="both"/>
              <w:outlineLvl w:val="0"/>
            </w:pPr>
            <w:r w:rsidRPr="001F71F0">
              <w:t xml:space="preserve">Iemesli, kādēļ netika nodrošināta </w:t>
            </w:r>
            <w:r w:rsidRPr="001F71F0">
              <w:lastRenderedPageBreak/>
              <w:t>sabiedrības līdzdalība</w:t>
            </w:r>
          </w:p>
        </w:tc>
        <w:tc>
          <w:tcPr>
            <w:tcW w:w="5670" w:type="dxa"/>
          </w:tcPr>
          <w:p w:rsidR="001470A9" w:rsidRPr="001F71F0" w:rsidRDefault="008919DA" w:rsidP="003074D4">
            <w:pPr>
              <w:jc w:val="both"/>
            </w:pPr>
            <w:r w:rsidRPr="001F71F0">
              <w:lastRenderedPageBreak/>
              <w:t xml:space="preserve">Sabiedrības līdzdalība projekta izstrādē netika </w:t>
            </w:r>
            <w:r w:rsidRPr="001F71F0">
              <w:lastRenderedPageBreak/>
              <w:t>nodrošināta, jo projekts nemaina pastāvošo tiesisko regulējumu pēc būtības.</w:t>
            </w:r>
          </w:p>
        </w:tc>
      </w:tr>
      <w:tr w:rsidR="001F71F0" w:rsidRPr="001F71F0" w:rsidTr="009F581B">
        <w:tc>
          <w:tcPr>
            <w:tcW w:w="502" w:type="dxa"/>
          </w:tcPr>
          <w:p w:rsidR="001470A9" w:rsidRPr="001F71F0" w:rsidRDefault="001470A9" w:rsidP="003074D4">
            <w:pPr>
              <w:pStyle w:val="naislab"/>
              <w:spacing w:before="0" w:after="0"/>
              <w:jc w:val="center"/>
              <w:outlineLvl w:val="0"/>
            </w:pPr>
            <w:r w:rsidRPr="001F71F0">
              <w:lastRenderedPageBreak/>
              <w:t>7.</w:t>
            </w:r>
          </w:p>
        </w:tc>
        <w:tc>
          <w:tcPr>
            <w:tcW w:w="3544" w:type="dxa"/>
          </w:tcPr>
          <w:p w:rsidR="001470A9" w:rsidRPr="001F71F0" w:rsidRDefault="001470A9" w:rsidP="003074D4">
            <w:pPr>
              <w:pStyle w:val="naislab"/>
              <w:spacing w:before="0" w:after="0"/>
              <w:jc w:val="both"/>
              <w:outlineLvl w:val="0"/>
            </w:pPr>
            <w:r w:rsidRPr="001F71F0">
              <w:t>Cita informācija</w:t>
            </w:r>
          </w:p>
        </w:tc>
        <w:tc>
          <w:tcPr>
            <w:tcW w:w="5670" w:type="dxa"/>
          </w:tcPr>
          <w:p w:rsidR="001470A9" w:rsidRPr="001F71F0" w:rsidRDefault="002E6562" w:rsidP="0081742B">
            <w:pPr>
              <w:tabs>
                <w:tab w:val="left" w:pos="5279"/>
              </w:tabs>
              <w:ind w:left="34" w:right="31"/>
              <w:jc w:val="both"/>
            </w:pPr>
            <w:r w:rsidRPr="001F71F0">
              <w:t>–</w:t>
            </w:r>
          </w:p>
        </w:tc>
      </w:tr>
    </w:tbl>
    <w:p w:rsidR="003B4E5D" w:rsidRDefault="003B4E5D" w:rsidP="008C0C16"/>
    <w:tbl>
      <w:tblPr>
        <w:tblW w:w="9416"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1292"/>
        <w:gridCol w:w="1340"/>
        <w:gridCol w:w="1391"/>
        <w:gridCol w:w="1391"/>
        <w:gridCol w:w="1391"/>
      </w:tblGrid>
      <w:tr w:rsidR="00E16C64" w:rsidRPr="001C2D98" w:rsidTr="005A1C18">
        <w:trPr>
          <w:trHeight w:val="652"/>
          <w:jc w:val="center"/>
        </w:trPr>
        <w:tc>
          <w:tcPr>
            <w:tcW w:w="9416" w:type="dxa"/>
            <w:gridSpan w:val="6"/>
          </w:tcPr>
          <w:p w:rsidR="00E16C64" w:rsidRPr="001C2D98" w:rsidRDefault="00E16C64" w:rsidP="00E16C64">
            <w:pPr>
              <w:pStyle w:val="naisnod"/>
              <w:spacing w:before="0" w:after="0"/>
              <w:rPr>
                <w:i/>
                <w:color w:val="000000" w:themeColor="text1"/>
              </w:rPr>
            </w:pPr>
            <w:r w:rsidRPr="001C2D98">
              <w:rPr>
                <w:color w:val="000000" w:themeColor="text1"/>
              </w:rPr>
              <w:br w:type="page"/>
              <w:t>III. Tiesību akta projekta ietekme uz valsts budžetu un pašvaldību budžetiem</w:t>
            </w:r>
          </w:p>
        </w:tc>
      </w:tr>
      <w:tr w:rsidR="00E16C64" w:rsidRPr="001C2D98" w:rsidTr="005A1C18">
        <w:trPr>
          <w:jc w:val="center"/>
        </w:trPr>
        <w:tc>
          <w:tcPr>
            <w:tcW w:w="2611" w:type="dxa"/>
            <w:vMerge w:val="restart"/>
            <w:vAlign w:val="center"/>
          </w:tcPr>
          <w:p w:rsidR="00E16C64" w:rsidRPr="001C2D98" w:rsidRDefault="00E16C64" w:rsidP="00E16C64">
            <w:pPr>
              <w:pStyle w:val="naisf"/>
              <w:spacing w:before="0" w:after="0"/>
              <w:ind w:firstLine="0"/>
              <w:jc w:val="center"/>
              <w:rPr>
                <w:b/>
                <w:color w:val="000000" w:themeColor="text1"/>
              </w:rPr>
            </w:pPr>
            <w:r w:rsidRPr="001C2D98">
              <w:rPr>
                <w:b/>
                <w:color w:val="000000" w:themeColor="text1"/>
              </w:rPr>
              <w:t>Rādītāji</w:t>
            </w:r>
          </w:p>
        </w:tc>
        <w:tc>
          <w:tcPr>
            <w:tcW w:w="2632" w:type="dxa"/>
            <w:gridSpan w:val="2"/>
            <w:vMerge w:val="restart"/>
            <w:vAlign w:val="center"/>
          </w:tcPr>
          <w:p w:rsidR="00E16C64" w:rsidRPr="001C2D98" w:rsidRDefault="00E16C64" w:rsidP="00E16C64">
            <w:pPr>
              <w:pStyle w:val="naisf"/>
              <w:spacing w:before="0" w:after="0"/>
              <w:ind w:firstLine="0"/>
              <w:jc w:val="center"/>
              <w:rPr>
                <w:b/>
                <w:color w:val="000000" w:themeColor="text1"/>
              </w:rPr>
            </w:pPr>
            <w:r w:rsidRPr="001C2D98">
              <w:rPr>
                <w:b/>
                <w:color w:val="000000" w:themeColor="text1"/>
              </w:rPr>
              <w:t>2013.gads</w:t>
            </w:r>
          </w:p>
        </w:tc>
        <w:tc>
          <w:tcPr>
            <w:tcW w:w="4173" w:type="dxa"/>
            <w:gridSpan w:val="3"/>
            <w:vAlign w:val="center"/>
          </w:tcPr>
          <w:p w:rsidR="00E16C64" w:rsidRPr="001C2D98" w:rsidRDefault="00E16C64" w:rsidP="00E16C64">
            <w:pPr>
              <w:pStyle w:val="naisf"/>
              <w:spacing w:before="0" w:after="0"/>
              <w:ind w:firstLine="0"/>
              <w:jc w:val="center"/>
              <w:rPr>
                <w:b/>
                <w:i/>
                <w:color w:val="000000" w:themeColor="text1"/>
              </w:rPr>
            </w:pPr>
            <w:r w:rsidRPr="001C2D98">
              <w:rPr>
                <w:color w:val="000000" w:themeColor="text1"/>
              </w:rPr>
              <w:t xml:space="preserve">Turpmākie trīs gadi (tūkst. </w:t>
            </w:r>
            <w:proofErr w:type="spellStart"/>
            <w:r w:rsidRPr="001C2D98">
              <w:rPr>
                <w:i/>
                <w:color w:val="000000" w:themeColor="text1"/>
              </w:rPr>
              <w:t>euro</w:t>
            </w:r>
            <w:proofErr w:type="spellEnd"/>
            <w:r w:rsidRPr="001C2D98">
              <w:rPr>
                <w:color w:val="000000" w:themeColor="text1"/>
              </w:rPr>
              <w:t>)</w:t>
            </w:r>
          </w:p>
        </w:tc>
      </w:tr>
      <w:tr w:rsidR="00E16C64" w:rsidRPr="001C2D98" w:rsidTr="005A1C18">
        <w:trPr>
          <w:jc w:val="center"/>
        </w:trPr>
        <w:tc>
          <w:tcPr>
            <w:tcW w:w="2611" w:type="dxa"/>
            <w:vMerge/>
            <w:vAlign w:val="center"/>
          </w:tcPr>
          <w:p w:rsidR="00E16C64" w:rsidRPr="001C2D98" w:rsidRDefault="00E16C64" w:rsidP="00E16C64">
            <w:pPr>
              <w:pStyle w:val="naisf"/>
              <w:spacing w:before="0" w:after="0"/>
              <w:ind w:firstLine="0"/>
              <w:jc w:val="center"/>
              <w:rPr>
                <w:b/>
                <w:i/>
                <w:color w:val="000000" w:themeColor="text1"/>
              </w:rPr>
            </w:pPr>
          </w:p>
        </w:tc>
        <w:tc>
          <w:tcPr>
            <w:tcW w:w="2632" w:type="dxa"/>
            <w:gridSpan w:val="2"/>
            <w:vMerge/>
            <w:vAlign w:val="center"/>
          </w:tcPr>
          <w:p w:rsidR="00E16C64" w:rsidRPr="001C2D98" w:rsidRDefault="00E16C64" w:rsidP="00E16C64">
            <w:pPr>
              <w:pStyle w:val="naisf"/>
              <w:spacing w:before="0" w:after="0"/>
              <w:ind w:firstLine="0"/>
              <w:jc w:val="center"/>
              <w:rPr>
                <w:b/>
                <w:i/>
                <w:color w:val="000000" w:themeColor="text1"/>
              </w:rPr>
            </w:pPr>
          </w:p>
        </w:tc>
        <w:tc>
          <w:tcPr>
            <w:tcW w:w="1391" w:type="dxa"/>
            <w:vAlign w:val="center"/>
          </w:tcPr>
          <w:p w:rsidR="00E16C64" w:rsidRPr="001C2D98" w:rsidRDefault="00E16C64" w:rsidP="00E16C64">
            <w:pPr>
              <w:pStyle w:val="naisf"/>
              <w:spacing w:before="0" w:after="0"/>
              <w:ind w:firstLine="0"/>
              <w:jc w:val="center"/>
              <w:rPr>
                <w:b/>
                <w:i/>
                <w:color w:val="000000" w:themeColor="text1"/>
              </w:rPr>
            </w:pPr>
            <w:r w:rsidRPr="001C2D98">
              <w:rPr>
                <w:b/>
                <w:color w:val="000000" w:themeColor="text1"/>
              </w:rPr>
              <w:t>2014.gads</w:t>
            </w:r>
          </w:p>
        </w:tc>
        <w:tc>
          <w:tcPr>
            <w:tcW w:w="1391" w:type="dxa"/>
            <w:vAlign w:val="center"/>
          </w:tcPr>
          <w:p w:rsidR="00E16C64" w:rsidRPr="001C2D98" w:rsidRDefault="00E16C64" w:rsidP="00E16C64">
            <w:pPr>
              <w:pStyle w:val="naisf"/>
              <w:spacing w:before="0" w:after="0"/>
              <w:ind w:firstLine="0"/>
              <w:jc w:val="center"/>
              <w:rPr>
                <w:b/>
                <w:i/>
                <w:color w:val="000000" w:themeColor="text1"/>
              </w:rPr>
            </w:pPr>
            <w:r w:rsidRPr="001C2D98">
              <w:rPr>
                <w:b/>
                <w:color w:val="000000" w:themeColor="text1"/>
              </w:rPr>
              <w:t>2015.gads</w:t>
            </w:r>
          </w:p>
        </w:tc>
        <w:tc>
          <w:tcPr>
            <w:tcW w:w="1391" w:type="dxa"/>
            <w:vAlign w:val="center"/>
          </w:tcPr>
          <w:p w:rsidR="00E16C64" w:rsidRPr="001C2D98" w:rsidRDefault="00E16C64" w:rsidP="00E16C64">
            <w:pPr>
              <w:pStyle w:val="naisf"/>
              <w:spacing w:before="0" w:after="0"/>
              <w:ind w:firstLine="0"/>
              <w:jc w:val="center"/>
              <w:rPr>
                <w:b/>
                <w:i/>
                <w:color w:val="000000" w:themeColor="text1"/>
              </w:rPr>
            </w:pPr>
            <w:r w:rsidRPr="001C2D98">
              <w:rPr>
                <w:b/>
                <w:color w:val="000000" w:themeColor="text1"/>
              </w:rPr>
              <w:t>2016.gads</w:t>
            </w:r>
          </w:p>
        </w:tc>
      </w:tr>
      <w:tr w:rsidR="00E16C64" w:rsidRPr="001C2D98" w:rsidTr="005A1C18">
        <w:trPr>
          <w:jc w:val="center"/>
        </w:trPr>
        <w:tc>
          <w:tcPr>
            <w:tcW w:w="2611" w:type="dxa"/>
            <w:vMerge/>
            <w:vAlign w:val="center"/>
          </w:tcPr>
          <w:p w:rsidR="00E16C64" w:rsidRPr="001C2D98" w:rsidRDefault="00E16C64" w:rsidP="00E16C64">
            <w:pPr>
              <w:pStyle w:val="naisf"/>
              <w:spacing w:before="0" w:after="0"/>
              <w:ind w:firstLine="0"/>
              <w:jc w:val="center"/>
              <w:rPr>
                <w:b/>
                <w:i/>
                <w:color w:val="000000" w:themeColor="text1"/>
              </w:rPr>
            </w:pPr>
          </w:p>
        </w:tc>
        <w:tc>
          <w:tcPr>
            <w:tcW w:w="1292" w:type="dxa"/>
            <w:vAlign w:val="center"/>
          </w:tcPr>
          <w:p w:rsidR="00E16C64" w:rsidRPr="001C2D98" w:rsidRDefault="00E16C64" w:rsidP="00E16C64">
            <w:pPr>
              <w:pStyle w:val="naisf"/>
              <w:spacing w:before="0" w:after="0"/>
              <w:ind w:firstLine="0"/>
              <w:jc w:val="center"/>
              <w:rPr>
                <w:b/>
                <w:i/>
                <w:color w:val="000000" w:themeColor="text1"/>
              </w:rPr>
            </w:pPr>
            <w:r w:rsidRPr="001C2D98">
              <w:rPr>
                <w:color w:val="000000" w:themeColor="text1"/>
              </w:rPr>
              <w:t>Saskaņā ar valsts budžetu kārtējam gadam</w:t>
            </w:r>
          </w:p>
        </w:tc>
        <w:tc>
          <w:tcPr>
            <w:tcW w:w="1340" w:type="dxa"/>
            <w:vAlign w:val="center"/>
          </w:tcPr>
          <w:p w:rsidR="00E16C64" w:rsidRPr="001C2D98" w:rsidRDefault="00E16C64" w:rsidP="00E16C64">
            <w:pPr>
              <w:pStyle w:val="naisf"/>
              <w:spacing w:before="0" w:after="0"/>
              <w:ind w:firstLine="0"/>
              <w:jc w:val="center"/>
              <w:rPr>
                <w:b/>
                <w:i/>
                <w:color w:val="000000" w:themeColor="text1"/>
              </w:rPr>
            </w:pPr>
            <w:r w:rsidRPr="001C2D98">
              <w:rPr>
                <w:color w:val="000000" w:themeColor="text1"/>
              </w:rPr>
              <w:t>Izmaiņas kārtējā gadā, salīdzinot ar budžetu kārtējam gadam</w:t>
            </w:r>
          </w:p>
        </w:tc>
        <w:tc>
          <w:tcPr>
            <w:tcW w:w="1391" w:type="dxa"/>
            <w:vAlign w:val="center"/>
          </w:tcPr>
          <w:p w:rsidR="00E16C64" w:rsidRPr="001C2D98" w:rsidRDefault="00E16C64" w:rsidP="00E16C64">
            <w:pPr>
              <w:pStyle w:val="naisf"/>
              <w:spacing w:before="0" w:after="0"/>
              <w:ind w:firstLine="0"/>
              <w:jc w:val="center"/>
              <w:rPr>
                <w:b/>
                <w:i/>
                <w:color w:val="000000" w:themeColor="text1"/>
              </w:rPr>
            </w:pPr>
            <w:r w:rsidRPr="001C2D98">
              <w:rPr>
                <w:color w:val="000000" w:themeColor="text1"/>
              </w:rPr>
              <w:t>Izmaiņas, salīdzinot ar kārtējo 2013.gadu</w:t>
            </w:r>
          </w:p>
        </w:tc>
        <w:tc>
          <w:tcPr>
            <w:tcW w:w="1391" w:type="dxa"/>
            <w:vAlign w:val="center"/>
          </w:tcPr>
          <w:p w:rsidR="00E16C64" w:rsidRPr="001C2D98" w:rsidRDefault="00E16C64" w:rsidP="00E16C64">
            <w:pPr>
              <w:pStyle w:val="naisf"/>
              <w:spacing w:before="0" w:after="0"/>
              <w:ind w:firstLine="0"/>
              <w:jc w:val="center"/>
              <w:rPr>
                <w:b/>
                <w:i/>
                <w:color w:val="000000" w:themeColor="text1"/>
              </w:rPr>
            </w:pPr>
            <w:r w:rsidRPr="001C2D98">
              <w:rPr>
                <w:color w:val="000000" w:themeColor="text1"/>
              </w:rPr>
              <w:t>Izmaiņas, salīdzinot ar kārtējo 2013.gadu</w:t>
            </w:r>
          </w:p>
        </w:tc>
        <w:tc>
          <w:tcPr>
            <w:tcW w:w="1391" w:type="dxa"/>
            <w:vAlign w:val="center"/>
          </w:tcPr>
          <w:p w:rsidR="00E16C64" w:rsidRPr="001C2D98" w:rsidRDefault="00E16C64" w:rsidP="00E16C64">
            <w:pPr>
              <w:pStyle w:val="naisf"/>
              <w:spacing w:before="0" w:after="0"/>
              <w:ind w:firstLine="0"/>
              <w:jc w:val="center"/>
              <w:rPr>
                <w:b/>
                <w:i/>
                <w:color w:val="000000" w:themeColor="text1"/>
              </w:rPr>
            </w:pPr>
            <w:r w:rsidRPr="001C2D98">
              <w:rPr>
                <w:color w:val="000000" w:themeColor="text1"/>
              </w:rPr>
              <w:t>Izmaiņas, salīdzinot ar kārtējo 2013.gadu</w:t>
            </w:r>
          </w:p>
        </w:tc>
      </w:tr>
      <w:tr w:rsidR="00E16C64" w:rsidRPr="001C2D98" w:rsidTr="005A1C18">
        <w:trPr>
          <w:jc w:val="center"/>
        </w:trPr>
        <w:tc>
          <w:tcPr>
            <w:tcW w:w="2611" w:type="dxa"/>
            <w:vAlign w:val="center"/>
          </w:tcPr>
          <w:p w:rsidR="00E16C64" w:rsidRPr="001C2D98" w:rsidRDefault="00E16C64" w:rsidP="00E16C64">
            <w:pPr>
              <w:pStyle w:val="naisf"/>
              <w:spacing w:before="0" w:after="0"/>
              <w:ind w:firstLine="0"/>
              <w:jc w:val="center"/>
              <w:rPr>
                <w:bCs/>
                <w:color w:val="000000" w:themeColor="text1"/>
              </w:rPr>
            </w:pPr>
            <w:r w:rsidRPr="001C2D98">
              <w:rPr>
                <w:bCs/>
                <w:color w:val="000000" w:themeColor="text1"/>
              </w:rPr>
              <w:t>1</w:t>
            </w:r>
          </w:p>
        </w:tc>
        <w:tc>
          <w:tcPr>
            <w:tcW w:w="1292" w:type="dxa"/>
            <w:vAlign w:val="center"/>
          </w:tcPr>
          <w:p w:rsidR="00E16C64" w:rsidRPr="001C2D98" w:rsidRDefault="00E16C64" w:rsidP="00E16C64">
            <w:pPr>
              <w:pStyle w:val="naisf"/>
              <w:spacing w:before="0" w:after="0"/>
              <w:ind w:firstLine="0"/>
              <w:jc w:val="center"/>
              <w:rPr>
                <w:bCs/>
                <w:color w:val="000000" w:themeColor="text1"/>
              </w:rPr>
            </w:pPr>
            <w:r w:rsidRPr="001C2D98">
              <w:rPr>
                <w:bCs/>
                <w:color w:val="000000" w:themeColor="text1"/>
              </w:rPr>
              <w:t>2</w:t>
            </w:r>
          </w:p>
        </w:tc>
        <w:tc>
          <w:tcPr>
            <w:tcW w:w="1340" w:type="dxa"/>
            <w:vAlign w:val="center"/>
          </w:tcPr>
          <w:p w:rsidR="00E16C64" w:rsidRPr="001C2D98" w:rsidRDefault="00E16C64" w:rsidP="00E16C64">
            <w:pPr>
              <w:pStyle w:val="naisf"/>
              <w:spacing w:before="0" w:after="0"/>
              <w:ind w:firstLine="0"/>
              <w:jc w:val="center"/>
              <w:rPr>
                <w:bCs/>
                <w:color w:val="000000" w:themeColor="text1"/>
              </w:rPr>
            </w:pPr>
            <w:r w:rsidRPr="001C2D98">
              <w:rPr>
                <w:bCs/>
                <w:color w:val="000000" w:themeColor="text1"/>
              </w:rPr>
              <w:t>3</w:t>
            </w:r>
          </w:p>
        </w:tc>
        <w:tc>
          <w:tcPr>
            <w:tcW w:w="1391" w:type="dxa"/>
            <w:vAlign w:val="center"/>
          </w:tcPr>
          <w:p w:rsidR="00E16C64" w:rsidRPr="001C2D98" w:rsidRDefault="00E16C64" w:rsidP="00E16C64">
            <w:pPr>
              <w:pStyle w:val="naisf"/>
              <w:spacing w:before="0" w:after="0"/>
              <w:ind w:firstLine="0"/>
              <w:jc w:val="center"/>
              <w:rPr>
                <w:bCs/>
                <w:color w:val="000000" w:themeColor="text1"/>
              </w:rPr>
            </w:pPr>
            <w:r w:rsidRPr="001C2D98">
              <w:rPr>
                <w:bCs/>
                <w:color w:val="000000" w:themeColor="text1"/>
              </w:rPr>
              <w:t>4</w:t>
            </w:r>
          </w:p>
        </w:tc>
        <w:tc>
          <w:tcPr>
            <w:tcW w:w="1391" w:type="dxa"/>
            <w:vAlign w:val="center"/>
          </w:tcPr>
          <w:p w:rsidR="00E16C64" w:rsidRPr="001C2D98" w:rsidRDefault="00E16C64" w:rsidP="00E16C64">
            <w:pPr>
              <w:pStyle w:val="naisf"/>
              <w:spacing w:before="0" w:after="0"/>
              <w:ind w:firstLine="0"/>
              <w:jc w:val="center"/>
              <w:rPr>
                <w:bCs/>
                <w:color w:val="000000" w:themeColor="text1"/>
              </w:rPr>
            </w:pPr>
            <w:r w:rsidRPr="001C2D98">
              <w:rPr>
                <w:bCs/>
                <w:color w:val="000000" w:themeColor="text1"/>
              </w:rPr>
              <w:t>5</w:t>
            </w:r>
          </w:p>
        </w:tc>
        <w:tc>
          <w:tcPr>
            <w:tcW w:w="1391" w:type="dxa"/>
            <w:vAlign w:val="center"/>
          </w:tcPr>
          <w:p w:rsidR="00E16C64" w:rsidRPr="001C2D98" w:rsidRDefault="00E16C64" w:rsidP="00E16C64">
            <w:pPr>
              <w:pStyle w:val="naisf"/>
              <w:spacing w:before="0" w:after="0"/>
              <w:ind w:firstLine="0"/>
              <w:jc w:val="center"/>
              <w:rPr>
                <w:bCs/>
                <w:color w:val="000000" w:themeColor="text1"/>
              </w:rPr>
            </w:pPr>
            <w:r w:rsidRPr="001C2D98">
              <w:rPr>
                <w:bCs/>
                <w:color w:val="000000" w:themeColor="text1"/>
              </w:rPr>
              <w:t>6</w:t>
            </w:r>
          </w:p>
        </w:tc>
      </w:tr>
      <w:tr w:rsidR="00E16C64" w:rsidRPr="001C2D98" w:rsidTr="005A1C18">
        <w:trPr>
          <w:jc w:val="center"/>
        </w:trPr>
        <w:tc>
          <w:tcPr>
            <w:tcW w:w="2611" w:type="dxa"/>
          </w:tcPr>
          <w:p w:rsidR="00E16C64" w:rsidRPr="001C2D98" w:rsidRDefault="00E16C64" w:rsidP="00E16C64">
            <w:pPr>
              <w:pStyle w:val="naisf"/>
              <w:spacing w:before="0" w:after="0"/>
              <w:ind w:firstLine="0"/>
              <w:rPr>
                <w:i/>
                <w:color w:val="000000" w:themeColor="text1"/>
              </w:rPr>
            </w:pPr>
            <w:r w:rsidRPr="001C2D98">
              <w:rPr>
                <w:color w:val="000000" w:themeColor="text1"/>
              </w:rPr>
              <w:t>1. Budžeta ieņēmumi:</w:t>
            </w:r>
          </w:p>
        </w:tc>
        <w:tc>
          <w:tcPr>
            <w:tcW w:w="1292" w:type="dxa"/>
          </w:tcPr>
          <w:p w:rsidR="00E16C64" w:rsidRPr="001C2D98" w:rsidRDefault="00E16C64" w:rsidP="00E16C64">
            <w:pPr>
              <w:pStyle w:val="naisf"/>
              <w:spacing w:before="0" w:after="0"/>
              <w:ind w:firstLine="0"/>
              <w:rPr>
                <w:b/>
                <w:i/>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pStyle w:val="naisf"/>
              <w:spacing w:before="0" w:after="0"/>
              <w:ind w:firstLine="0"/>
              <w:rPr>
                <w:i/>
                <w:color w:val="000000" w:themeColor="text1"/>
              </w:rPr>
            </w:pPr>
            <w:r w:rsidRPr="001C2D98">
              <w:rPr>
                <w:color w:val="000000" w:themeColor="text1"/>
              </w:rPr>
              <w:t>1.1. valsts pamatbudžets, tai skaitā ieņēmumi no maksas pakalpojumiem un citi pašu ieņēmumi</w:t>
            </w:r>
          </w:p>
        </w:tc>
        <w:tc>
          <w:tcPr>
            <w:tcW w:w="1292" w:type="dxa"/>
          </w:tcPr>
          <w:p w:rsidR="00E16C64" w:rsidRPr="001C2D98" w:rsidRDefault="00E16C64" w:rsidP="00E16C64">
            <w:pPr>
              <w:pStyle w:val="naisf"/>
              <w:spacing w:before="0" w:after="0"/>
              <w:ind w:firstLine="0"/>
              <w:rPr>
                <w:b/>
                <w:i/>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pStyle w:val="naisf"/>
              <w:spacing w:before="0" w:after="0"/>
              <w:ind w:firstLine="0"/>
              <w:rPr>
                <w:i/>
                <w:color w:val="000000" w:themeColor="text1"/>
              </w:rPr>
            </w:pPr>
            <w:r w:rsidRPr="001C2D98">
              <w:rPr>
                <w:color w:val="000000" w:themeColor="text1"/>
              </w:rPr>
              <w:t>1.2. valsts speciālais budžets</w:t>
            </w:r>
          </w:p>
        </w:tc>
        <w:tc>
          <w:tcPr>
            <w:tcW w:w="1292" w:type="dxa"/>
          </w:tcPr>
          <w:p w:rsidR="00E16C64" w:rsidRPr="001C2D98" w:rsidRDefault="00E16C64" w:rsidP="00E16C64">
            <w:pPr>
              <w:pStyle w:val="naisf"/>
              <w:spacing w:before="0" w:after="0"/>
              <w:ind w:firstLine="0"/>
              <w:rPr>
                <w:b/>
                <w:i/>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pStyle w:val="naisf"/>
              <w:spacing w:before="0" w:after="0"/>
              <w:ind w:firstLine="0"/>
              <w:rPr>
                <w:i/>
                <w:color w:val="000000" w:themeColor="text1"/>
              </w:rPr>
            </w:pPr>
            <w:r w:rsidRPr="001C2D98">
              <w:rPr>
                <w:color w:val="000000" w:themeColor="text1"/>
              </w:rPr>
              <w:t>1.3. pašvaldību budžets</w:t>
            </w:r>
          </w:p>
        </w:tc>
        <w:tc>
          <w:tcPr>
            <w:tcW w:w="1292" w:type="dxa"/>
          </w:tcPr>
          <w:p w:rsidR="00E16C64" w:rsidRPr="001C2D98" w:rsidRDefault="00E16C64" w:rsidP="00E16C64">
            <w:pPr>
              <w:pStyle w:val="naisf"/>
              <w:spacing w:before="0" w:after="0"/>
              <w:ind w:firstLine="0"/>
              <w:rPr>
                <w:b/>
                <w:i/>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2. Budžeta izdevumi:</w:t>
            </w:r>
          </w:p>
        </w:tc>
        <w:tc>
          <w:tcPr>
            <w:tcW w:w="1292" w:type="dxa"/>
          </w:tcPr>
          <w:p w:rsidR="00E16C64" w:rsidRPr="001C2D98" w:rsidRDefault="00E16C64" w:rsidP="00E16C64">
            <w:pPr>
              <w:pStyle w:val="naisf"/>
              <w:spacing w:before="0" w:after="0"/>
              <w:ind w:firstLine="0"/>
              <w:rPr>
                <w:b/>
                <w:i/>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2.1. valsts pamatbudžets</w:t>
            </w:r>
          </w:p>
        </w:tc>
        <w:tc>
          <w:tcPr>
            <w:tcW w:w="1292" w:type="dxa"/>
          </w:tcPr>
          <w:p w:rsidR="00E16C64" w:rsidRPr="001C2D98" w:rsidRDefault="00E16C64" w:rsidP="00E16C64">
            <w:pPr>
              <w:pStyle w:val="naisf"/>
              <w:spacing w:before="0" w:after="0"/>
              <w:ind w:firstLine="0"/>
              <w:jc w:val="left"/>
              <w:rPr>
                <w:color w:val="000000" w:themeColor="text1"/>
              </w:rPr>
            </w:pPr>
          </w:p>
        </w:tc>
        <w:tc>
          <w:tcPr>
            <w:tcW w:w="1340" w:type="dxa"/>
          </w:tcPr>
          <w:p w:rsidR="00E16C64" w:rsidRPr="001C2D98" w:rsidRDefault="00E16C64" w:rsidP="00E16C64">
            <w:pPr>
              <w:pStyle w:val="naisf"/>
              <w:spacing w:before="0" w:after="0"/>
              <w:ind w:firstLine="0"/>
              <w:jc w:val="left"/>
              <w:rPr>
                <w:color w:val="000000" w:themeColor="text1"/>
              </w:rPr>
            </w:pPr>
          </w:p>
        </w:tc>
        <w:tc>
          <w:tcPr>
            <w:tcW w:w="1391" w:type="dxa"/>
          </w:tcPr>
          <w:p w:rsidR="00E16C64" w:rsidRPr="001C2D98" w:rsidRDefault="00E16C64" w:rsidP="00E16C64">
            <w:pPr>
              <w:pStyle w:val="naisf"/>
              <w:spacing w:before="0" w:after="0"/>
              <w:ind w:firstLine="0"/>
              <w:jc w:val="left"/>
              <w:rPr>
                <w:color w:val="000000" w:themeColor="text1"/>
              </w:rPr>
            </w:pPr>
          </w:p>
        </w:tc>
        <w:tc>
          <w:tcPr>
            <w:tcW w:w="1391" w:type="dxa"/>
          </w:tcPr>
          <w:p w:rsidR="00E16C64" w:rsidRPr="001C2D98" w:rsidRDefault="00E16C64" w:rsidP="00E16C64">
            <w:pPr>
              <w:pStyle w:val="naisf"/>
              <w:spacing w:before="0" w:after="0"/>
              <w:ind w:firstLine="0"/>
              <w:jc w:val="left"/>
              <w:rPr>
                <w:color w:val="000000" w:themeColor="text1"/>
              </w:rPr>
            </w:pPr>
          </w:p>
        </w:tc>
        <w:tc>
          <w:tcPr>
            <w:tcW w:w="1391" w:type="dxa"/>
          </w:tcPr>
          <w:p w:rsidR="00E16C64" w:rsidRPr="001C2D98" w:rsidRDefault="00E16C64" w:rsidP="00E16C64">
            <w:pPr>
              <w:pStyle w:val="naisf"/>
              <w:spacing w:before="0" w:after="0"/>
              <w:ind w:firstLine="0"/>
              <w:jc w:val="left"/>
              <w:rPr>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2.2. valsts speciālais budžets</w:t>
            </w:r>
          </w:p>
        </w:tc>
        <w:tc>
          <w:tcPr>
            <w:tcW w:w="1292" w:type="dxa"/>
          </w:tcPr>
          <w:p w:rsidR="00E16C64" w:rsidRPr="001C2D98" w:rsidRDefault="00E16C64" w:rsidP="00E16C64">
            <w:pPr>
              <w:pStyle w:val="naisf"/>
              <w:spacing w:before="0" w:after="0"/>
              <w:ind w:firstLine="0"/>
              <w:rPr>
                <w:b/>
                <w:i/>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 xml:space="preserve">2.3. pašvaldību budžets </w:t>
            </w:r>
          </w:p>
        </w:tc>
        <w:tc>
          <w:tcPr>
            <w:tcW w:w="1292" w:type="dxa"/>
          </w:tcPr>
          <w:p w:rsidR="00E16C64" w:rsidRPr="001C2D98" w:rsidRDefault="00E16C64" w:rsidP="00E16C64">
            <w:pPr>
              <w:pStyle w:val="naisf"/>
              <w:spacing w:before="0" w:after="0"/>
              <w:ind w:firstLine="0"/>
              <w:rPr>
                <w:b/>
                <w:i/>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3. Finansiālā ietekme:</w:t>
            </w:r>
          </w:p>
        </w:tc>
        <w:tc>
          <w:tcPr>
            <w:tcW w:w="1292" w:type="dxa"/>
            <w:shd w:val="clear" w:color="auto" w:fill="auto"/>
            <w:vAlign w:val="center"/>
          </w:tcPr>
          <w:p w:rsidR="00E16C64" w:rsidRPr="001C2D98" w:rsidRDefault="00E16C64" w:rsidP="00E16C64">
            <w:pPr>
              <w:pStyle w:val="naisf"/>
              <w:spacing w:before="0" w:after="0"/>
              <w:ind w:firstLine="0"/>
              <w:jc w:val="center"/>
              <w:rPr>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3.1. valsts pamatbudžets</w:t>
            </w:r>
          </w:p>
        </w:tc>
        <w:tc>
          <w:tcPr>
            <w:tcW w:w="1292" w:type="dxa"/>
            <w:shd w:val="clear" w:color="auto" w:fill="auto"/>
          </w:tcPr>
          <w:p w:rsidR="00E16C64" w:rsidRPr="001C2D98" w:rsidRDefault="00E16C64" w:rsidP="00E16C64">
            <w:pPr>
              <w:pStyle w:val="naisf"/>
              <w:spacing w:before="0" w:after="0"/>
              <w:ind w:firstLine="0"/>
              <w:rPr>
                <w:i/>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3.2. speciālais budžets</w:t>
            </w:r>
          </w:p>
        </w:tc>
        <w:tc>
          <w:tcPr>
            <w:tcW w:w="1292" w:type="dxa"/>
            <w:shd w:val="clear" w:color="auto" w:fill="auto"/>
          </w:tcPr>
          <w:p w:rsidR="00E16C64" w:rsidRPr="001C2D98" w:rsidRDefault="00E16C64" w:rsidP="00E16C64">
            <w:pPr>
              <w:pStyle w:val="naisf"/>
              <w:spacing w:before="0" w:after="0"/>
              <w:ind w:firstLine="0"/>
              <w:rPr>
                <w:i/>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 xml:space="preserve">3.3. pašvaldību budžets </w:t>
            </w:r>
          </w:p>
        </w:tc>
        <w:tc>
          <w:tcPr>
            <w:tcW w:w="1292" w:type="dxa"/>
            <w:shd w:val="clear" w:color="auto" w:fill="auto"/>
          </w:tcPr>
          <w:p w:rsidR="00E16C64" w:rsidRPr="001C2D98" w:rsidRDefault="00E16C64" w:rsidP="00E16C64">
            <w:pPr>
              <w:pStyle w:val="naisf"/>
              <w:spacing w:before="0" w:after="0"/>
              <w:ind w:firstLine="0"/>
              <w:rPr>
                <w:i/>
                <w:color w:val="000000" w:themeColor="text1"/>
              </w:rPr>
            </w:pP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vMerge w:val="restart"/>
          </w:tcPr>
          <w:p w:rsidR="00E16C64" w:rsidRPr="001C2D98" w:rsidRDefault="00E16C64" w:rsidP="00E16C64">
            <w:pPr>
              <w:jc w:val="both"/>
              <w:rPr>
                <w:color w:val="000000" w:themeColor="text1"/>
              </w:rPr>
            </w:pPr>
            <w:r w:rsidRPr="001C2D98">
              <w:rPr>
                <w:color w:val="000000" w:themeColor="text1"/>
              </w:rPr>
              <w:t>4. Finanšu līdzekļi papildu izde</w:t>
            </w:r>
            <w:r w:rsidRPr="001C2D98">
              <w:rPr>
                <w:color w:val="000000" w:themeColor="text1"/>
              </w:rPr>
              <w:softHyphen/>
              <w:t>vumu finansēšanai (kompensējošu izdevumu samazinājumu norāda ar "+" zīmi)</w:t>
            </w:r>
          </w:p>
        </w:tc>
        <w:tc>
          <w:tcPr>
            <w:tcW w:w="1292" w:type="dxa"/>
            <w:vMerge w:val="restart"/>
          </w:tcPr>
          <w:p w:rsidR="00E16C64" w:rsidRPr="001C2D98" w:rsidRDefault="00E16C64" w:rsidP="00E16C64">
            <w:pPr>
              <w:pStyle w:val="naisf"/>
              <w:spacing w:before="0" w:after="0"/>
              <w:ind w:firstLine="0"/>
              <w:jc w:val="center"/>
              <w:rPr>
                <w:i/>
                <w:color w:val="000000" w:themeColor="text1"/>
              </w:rPr>
            </w:pPr>
            <w:r w:rsidRPr="001C2D98">
              <w:rPr>
                <w:color w:val="000000" w:themeColor="text1"/>
              </w:rPr>
              <w:t>X</w:t>
            </w:r>
          </w:p>
        </w:tc>
        <w:tc>
          <w:tcPr>
            <w:tcW w:w="1340" w:type="dxa"/>
          </w:tcPr>
          <w:p w:rsidR="00E16C64" w:rsidRPr="001C2D98" w:rsidRDefault="00E16C64" w:rsidP="00E16C64">
            <w:pPr>
              <w:pStyle w:val="naisf"/>
              <w:spacing w:before="0" w:after="0"/>
              <w:ind w:firstLine="0"/>
              <w:jc w:val="left"/>
              <w:rPr>
                <w:b/>
                <w:i/>
                <w:color w:val="000000" w:themeColor="text1"/>
              </w:rPr>
            </w:pPr>
          </w:p>
        </w:tc>
        <w:tc>
          <w:tcPr>
            <w:tcW w:w="1391" w:type="dxa"/>
          </w:tcPr>
          <w:p w:rsidR="00E16C64" w:rsidRPr="001C2D98" w:rsidRDefault="00E16C64" w:rsidP="00E16C64">
            <w:pPr>
              <w:pStyle w:val="naisf"/>
              <w:spacing w:before="0" w:after="0"/>
              <w:ind w:firstLine="0"/>
              <w:jc w:val="left"/>
              <w:rPr>
                <w:b/>
                <w:i/>
                <w:color w:val="000000" w:themeColor="text1"/>
              </w:rPr>
            </w:pPr>
          </w:p>
        </w:tc>
        <w:tc>
          <w:tcPr>
            <w:tcW w:w="1391" w:type="dxa"/>
          </w:tcPr>
          <w:p w:rsidR="00E16C64" w:rsidRPr="001C2D98" w:rsidRDefault="00E16C64" w:rsidP="00E16C64">
            <w:pPr>
              <w:pStyle w:val="naisf"/>
              <w:spacing w:before="0" w:after="0"/>
              <w:ind w:firstLine="0"/>
              <w:jc w:val="left"/>
              <w:rPr>
                <w:b/>
                <w:i/>
                <w:color w:val="000000" w:themeColor="text1"/>
              </w:rPr>
            </w:pPr>
          </w:p>
        </w:tc>
        <w:tc>
          <w:tcPr>
            <w:tcW w:w="1391" w:type="dxa"/>
          </w:tcPr>
          <w:p w:rsidR="00E16C64" w:rsidRPr="001C2D98" w:rsidRDefault="00E16C64" w:rsidP="00E16C64">
            <w:pPr>
              <w:pStyle w:val="naisf"/>
              <w:spacing w:before="0" w:after="0"/>
              <w:ind w:firstLine="0"/>
              <w:jc w:val="left"/>
              <w:rPr>
                <w:b/>
                <w:i/>
                <w:color w:val="000000" w:themeColor="text1"/>
              </w:rPr>
            </w:pPr>
          </w:p>
        </w:tc>
      </w:tr>
      <w:tr w:rsidR="00E16C64" w:rsidRPr="001C2D98" w:rsidTr="005A1C18">
        <w:trPr>
          <w:jc w:val="center"/>
        </w:trPr>
        <w:tc>
          <w:tcPr>
            <w:tcW w:w="2611" w:type="dxa"/>
            <w:vMerge/>
          </w:tcPr>
          <w:p w:rsidR="00E16C64" w:rsidRPr="001C2D98" w:rsidRDefault="00E16C64" w:rsidP="00E16C64">
            <w:pPr>
              <w:jc w:val="both"/>
              <w:rPr>
                <w:color w:val="000000" w:themeColor="text1"/>
              </w:rPr>
            </w:pPr>
          </w:p>
        </w:tc>
        <w:tc>
          <w:tcPr>
            <w:tcW w:w="1292" w:type="dxa"/>
            <w:vMerge/>
          </w:tcPr>
          <w:p w:rsidR="00E16C64" w:rsidRPr="001C2D98" w:rsidRDefault="00E16C64" w:rsidP="00E16C64">
            <w:pPr>
              <w:pStyle w:val="naisf"/>
              <w:spacing w:before="0" w:after="0"/>
              <w:ind w:firstLine="0"/>
              <w:jc w:val="center"/>
              <w:rPr>
                <w:i/>
                <w:color w:val="000000" w:themeColor="text1"/>
              </w:rPr>
            </w:pPr>
          </w:p>
        </w:tc>
        <w:tc>
          <w:tcPr>
            <w:tcW w:w="1340" w:type="dxa"/>
          </w:tcPr>
          <w:p w:rsidR="00E16C64" w:rsidRPr="001C2D98" w:rsidRDefault="00E16C64" w:rsidP="00E16C64">
            <w:pPr>
              <w:pStyle w:val="naisf"/>
              <w:spacing w:before="0" w:after="0"/>
              <w:ind w:firstLine="0"/>
              <w:jc w:val="left"/>
              <w:rPr>
                <w:b/>
                <w:i/>
                <w:color w:val="000000" w:themeColor="text1"/>
              </w:rPr>
            </w:pPr>
          </w:p>
        </w:tc>
        <w:tc>
          <w:tcPr>
            <w:tcW w:w="1391" w:type="dxa"/>
          </w:tcPr>
          <w:p w:rsidR="00E16C64" w:rsidRPr="001C2D98" w:rsidRDefault="00E16C64" w:rsidP="00E16C64">
            <w:pPr>
              <w:pStyle w:val="naisf"/>
              <w:spacing w:before="0" w:after="0"/>
              <w:ind w:firstLine="0"/>
              <w:jc w:val="left"/>
              <w:rPr>
                <w:b/>
                <w:i/>
                <w:color w:val="000000" w:themeColor="text1"/>
              </w:rPr>
            </w:pPr>
          </w:p>
        </w:tc>
        <w:tc>
          <w:tcPr>
            <w:tcW w:w="1391" w:type="dxa"/>
          </w:tcPr>
          <w:p w:rsidR="00E16C64" w:rsidRPr="001C2D98" w:rsidRDefault="00E16C64" w:rsidP="00E16C64">
            <w:pPr>
              <w:pStyle w:val="naisf"/>
              <w:spacing w:before="0" w:after="0"/>
              <w:ind w:firstLine="0"/>
              <w:jc w:val="left"/>
              <w:rPr>
                <w:b/>
                <w:i/>
                <w:color w:val="000000" w:themeColor="text1"/>
              </w:rPr>
            </w:pPr>
          </w:p>
        </w:tc>
        <w:tc>
          <w:tcPr>
            <w:tcW w:w="1391" w:type="dxa"/>
          </w:tcPr>
          <w:p w:rsidR="00E16C64" w:rsidRPr="001C2D98" w:rsidRDefault="00E16C64" w:rsidP="00E16C64">
            <w:pPr>
              <w:pStyle w:val="naisf"/>
              <w:spacing w:before="0" w:after="0"/>
              <w:ind w:firstLine="0"/>
              <w:jc w:val="left"/>
              <w:rPr>
                <w:b/>
                <w:i/>
                <w:color w:val="000000" w:themeColor="text1"/>
              </w:rPr>
            </w:pPr>
          </w:p>
        </w:tc>
      </w:tr>
      <w:tr w:rsidR="00E16C64" w:rsidRPr="001C2D98" w:rsidTr="005A1C18">
        <w:trPr>
          <w:jc w:val="center"/>
        </w:trPr>
        <w:tc>
          <w:tcPr>
            <w:tcW w:w="2611" w:type="dxa"/>
            <w:vMerge/>
          </w:tcPr>
          <w:p w:rsidR="00E16C64" w:rsidRPr="001C2D98" w:rsidRDefault="00E16C64" w:rsidP="00E16C64">
            <w:pPr>
              <w:jc w:val="both"/>
              <w:rPr>
                <w:color w:val="000000" w:themeColor="text1"/>
              </w:rPr>
            </w:pPr>
          </w:p>
        </w:tc>
        <w:tc>
          <w:tcPr>
            <w:tcW w:w="1292" w:type="dxa"/>
            <w:vMerge/>
          </w:tcPr>
          <w:p w:rsidR="00E16C64" w:rsidRPr="001C2D98" w:rsidRDefault="00E16C64" w:rsidP="00E16C64">
            <w:pPr>
              <w:pStyle w:val="naisf"/>
              <w:spacing w:before="0" w:after="0"/>
              <w:ind w:firstLine="0"/>
              <w:jc w:val="center"/>
              <w:rPr>
                <w:i/>
                <w:color w:val="000000" w:themeColor="text1"/>
              </w:rPr>
            </w:pPr>
          </w:p>
        </w:tc>
        <w:tc>
          <w:tcPr>
            <w:tcW w:w="1340" w:type="dxa"/>
          </w:tcPr>
          <w:p w:rsidR="00E16C64" w:rsidRPr="001C2D98" w:rsidRDefault="00E16C64" w:rsidP="00E16C64">
            <w:pPr>
              <w:pStyle w:val="naisf"/>
              <w:spacing w:before="0" w:after="0"/>
              <w:ind w:firstLine="0"/>
              <w:jc w:val="left"/>
              <w:rPr>
                <w:b/>
                <w:i/>
                <w:color w:val="000000" w:themeColor="text1"/>
              </w:rPr>
            </w:pPr>
          </w:p>
        </w:tc>
        <w:tc>
          <w:tcPr>
            <w:tcW w:w="1391" w:type="dxa"/>
          </w:tcPr>
          <w:p w:rsidR="00E16C64" w:rsidRPr="001C2D98" w:rsidRDefault="00E16C64" w:rsidP="00E16C64">
            <w:pPr>
              <w:pStyle w:val="naisf"/>
              <w:spacing w:before="0" w:after="0"/>
              <w:ind w:firstLine="0"/>
              <w:jc w:val="left"/>
              <w:rPr>
                <w:b/>
                <w:i/>
                <w:color w:val="000000" w:themeColor="text1"/>
              </w:rPr>
            </w:pPr>
          </w:p>
        </w:tc>
        <w:tc>
          <w:tcPr>
            <w:tcW w:w="1391" w:type="dxa"/>
          </w:tcPr>
          <w:p w:rsidR="00E16C64" w:rsidRPr="001C2D98" w:rsidRDefault="00E16C64" w:rsidP="00E16C64">
            <w:pPr>
              <w:pStyle w:val="naisf"/>
              <w:spacing w:before="0" w:after="0"/>
              <w:ind w:firstLine="0"/>
              <w:jc w:val="left"/>
              <w:rPr>
                <w:b/>
                <w:i/>
                <w:color w:val="000000" w:themeColor="text1"/>
              </w:rPr>
            </w:pPr>
          </w:p>
        </w:tc>
        <w:tc>
          <w:tcPr>
            <w:tcW w:w="1391" w:type="dxa"/>
          </w:tcPr>
          <w:p w:rsidR="00E16C64" w:rsidRPr="001C2D98" w:rsidRDefault="00E16C64" w:rsidP="00E16C64">
            <w:pPr>
              <w:pStyle w:val="naisf"/>
              <w:spacing w:before="0" w:after="0"/>
              <w:ind w:firstLine="0"/>
              <w:jc w:val="left"/>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5. Precizēta finansiālā ietekme:</w:t>
            </w:r>
          </w:p>
        </w:tc>
        <w:tc>
          <w:tcPr>
            <w:tcW w:w="1292" w:type="dxa"/>
            <w:vMerge w:val="restart"/>
          </w:tcPr>
          <w:p w:rsidR="00E16C64" w:rsidRPr="001C2D98" w:rsidRDefault="00E16C64" w:rsidP="00E16C64">
            <w:pPr>
              <w:pStyle w:val="naisf"/>
              <w:spacing w:before="0" w:after="0"/>
              <w:ind w:firstLine="0"/>
              <w:jc w:val="center"/>
              <w:rPr>
                <w:i/>
                <w:color w:val="000000" w:themeColor="text1"/>
              </w:rPr>
            </w:pPr>
            <w:r w:rsidRPr="001C2D98">
              <w:rPr>
                <w:color w:val="000000" w:themeColor="text1"/>
              </w:rPr>
              <w:t>X</w:t>
            </w:r>
          </w:p>
        </w:tc>
        <w:tc>
          <w:tcPr>
            <w:tcW w:w="1340"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c>
          <w:tcPr>
            <w:tcW w:w="1391" w:type="dxa"/>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5.1. valsts pamatbudžets</w:t>
            </w:r>
          </w:p>
        </w:tc>
        <w:tc>
          <w:tcPr>
            <w:tcW w:w="1292" w:type="dxa"/>
            <w:vMerge/>
            <w:vAlign w:val="center"/>
          </w:tcPr>
          <w:p w:rsidR="00E16C64" w:rsidRPr="001C2D98" w:rsidRDefault="00E16C64" w:rsidP="00E16C64">
            <w:pPr>
              <w:pStyle w:val="naisf"/>
              <w:spacing w:before="0" w:after="0"/>
              <w:ind w:firstLine="0"/>
              <w:jc w:val="center"/>
              <w:rPr>
                <w:i/>
                <w:color w:val="000000" w:themeColor="text1"/>
              </w:rPr>
            </w:pPr>
          </w:p>
        </w:tc>
        <w:tc>
          <w:tcPr>
            <w:tcW w:w="1340"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c>
          <w:tcPr>
            <w:tcW w:w="1391"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c>
          <w:tcPr>
            <w:tcW w:w="1391"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c>
          <w:tcPr>
            <w:tcW w:w="1391"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5.2. speciālais budžets</w:t>
            </w:r>
          </w:p>
        </w:tc>
        <w:tc>
          <w:tcPr>
            <w:tcW w:w="1292" w:type="dxa"/>
            <w:vMerge/>
            <w:vAlign w:val="center"/>
          </w:tcPr>
          <w:p w:rsidR="00E16C64" w:rsidRPr="001C2D98" w:rsidRDefault="00E16C64" w:rsidP="00E16C64">
            <w:pPr>
              <w:pStyle w:val="naisf"/>
              <w:spacing w:before="0" w:after="0"/>
              <w:ind w:firstLine="0"/>
              <w:jc w:val="center"/>
              <w:rPr>
                <w:i/>
                <w:color w:val="000000" w:themeColor="text1"/>
              </w:rPr>
            </w:pPr>
          </w:p>
        </w:tc>
        <w:tc>
          <w:tcPr>
            <w:tcW w:w="1340"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c>
          <w:tcPr>
            <w:tcW w:w="1391"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c>
          <w:tcPr>
            <w:tcW w:w="1391"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c>
          <w:tcPr>
            <w:tcW w:w="1391"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 xml:space="preserve">5.3. pašvaldību budžets </w:t>
            </w:r>
          </w:p>
        </w:tc>
        <w:tc>
          <w:tcPr>
            <w:tcW w:w="1292" w:type="dxa"/>
            <w:vMerge/>
            <w:vAlign w:val="center"/>
          </w:tcPr>
          <w:p w:rsidR="00E16C64" w:rsidRPr="001C2D98" w:rsidRDefault="00E16C64" w:rsidP="00E16C64">
            <w:pPr>
              <w:pStyle w:val="naisf"/>
              <w:spacing w:before="0" w:after="0"/>
              <w:ind w:firstLine="0"/>
              <w:jc w:val="center"/>
              <w:rPr>
                <w:i/>
                <w:color w:val="000000" w:themeColor="text1"/>
              </w:rPr>
            </w:pPr>
          </w:p>
        </w:tc>
        <w:tc>
          <w:tcPr>
            <w:tcW w:w="1340"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c>
          <w:tcPr>
            <w:tcW w:w="1391"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c>
          <w:tcPr>
            <w:tcW w:w="1391"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c>
          <w:tcPr>
            <w:tcW w:w="1391" w:type="dxa"/>
          </w:tcPr>
          <w:p w:rsidR="00E16C64" w:rsidRPr="001C2D98" w:rsidRDefault="00E16C64" w:rsidP="00E16C64">
            <w:pPr>
              <w:pStyle w:val="naisf"/>
              <w:spacing w:before="0" w:after="0"/>
              <w:ind w:firstLine="0"/>
              <w:rPr>
                <w:color w:val="000000" w:themeColor="text1"/>
              </w:rPr>
            </w:pPr>
            <w:r w:rsidRPr="001C2D98">
              <w:rPr>
                <w:color w:val="000000" w:themeColor="text1"/>
              </w:rPr>
              <w:t>0</w:t>
            </w: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6. Detalizēts ieņēmumu un izdevu</w:t>
            </w:r>
            <w:r w:rsidRPr="001C2D98">
              <w:rPr>
                <w:color w:val="000000" w:themeColor="text1"/>
              </w:rPr>
              <w:softHyphen/>
              <w:t xml:space="preserve">mu aprēķins </w:t>
            </w:r>
            <w:r w:rsidRPr="001C2D98">
              <w:rPr>
                <w:color w:val="000000" w:themeColor="text1"/>
              </w:rPr>
              <w:lastRenderedPageBreak/>
              <w:t>(ja nepieciešams, detalizētu ieņēmumu un izdevumu aprēķinu var pievienot anotācijas pielikumā):</w:t>
            </w:r>
          </w:p>
        </w:tc>
        <w:tc>
          <w:tcPr>
            <w:tcW w:w="6805" w:type="dxa"/>
            <w:gridSpan w:val="5"/>
          </w:tcPr>
          <w:p w:rsidR="00E16C64" w:rsidRPr="001C2D98" w:rsidRDefault="00E16C64" w:rsidP="00E77301">
            <w:pPr>
              <w:pStyle w:val="naisf"/>
              <w:spacing w:before="0" w:after="0"/>
              <w:ind w:firstLine="0"/>
              <w:rPr>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lastRenderedPageBreak/>
              <w:t>6.1. detalizēts ieņēmumu aprēķins</w:t>
            </w:r>
          </w:p>
        </w:tc>
        <w:tc>
          <w:tcPr>
            <w:tcW w:w="6805" w:type="dxa"/>
            <w:gridSpan w:val="5"/>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6.2. detalizēts izdevumu aprēķins</w:t>
            </w:r>
          </w:p>
        </w:tc>
        <w:tc>
          <w:tcPr>
            <w:tcW w:w="6805" w:type="dxa"/>
            <w:gridSpan w:val="5"/>
          </w:tcPr>
          <w:p w:rsidR="00E16C64" w:rsidRPr="001C2D98" w:rsidRDefault="00E16C64" w:rsidP="00E16C64">
            <w:pPr>
              <w:pStyle w:val="naisf"/>
              <w:spacing w:before="0" w:after="0"/>
              <w:ind w:firstLine="0"/>
              <w:rPr>
                <w:b/>
                <w:i/>
                <w:color w:val="000000" w:themeColor="text1"/>
              </w:rPr>
            </w:pPr>
          </w:p>
        </w:tc>
      </w:tr>
      <w:tr w:rsidR="00E16C64" w:rsidRPr="001C2D98" w:rsidTr="005A1C18">
        <w:trPr>
          <w:jc w:val="center"/>
        </w:trPr>
        <w:tc>
          <w:tcPr>
            <w:tcW w:w="2611" w:type="dxa"/>
          </w:tcPr>
          <w:p w:rsidR="00E16C64" w:rsidRPr="001C2D98" w:rsidRDefault="00E16C64" w:rsidP="00E16C64">
            <w:pPr>
              <w:jc w:val="both"/>
              <w:rPr>
                <w:color w:val="000000" w:themeColor="text1"/>
              </w:rPr>
            </w:pPr>
            <w:r w:rsidRPr="001C2D98">
              <w:rPr>
                <w:color w:val="000000" w:themeColor="text1"/>
              </w:rPr>
              <w:t>7. Cita informācija</w:t>
            </w:r>
          </w:p>
        </w:tc>
        <w:tc>
          <w:tcPr>
            <w:tcW w:w="6805" w:type="dxa"/>
            <w:gridSpan w:val="5"/>
          </w:tcPr>
          <w:p w:rsidR="00E16C64" w:rsidRPr="001C2D98" w:rsidRDefault="00191174" w:rsidP="0081742B">
            <w:pPr>
              <w:pStyle w:val="naisf"/>
              <w:spacing w:before="0" w:after="0"/>
              <w:ind w:firstLine="0"/>
              <w:rPr>
                <w:color w:val="000000" w:themeColor="text1"/>
                <w:highlight w:val="yellow"/>
              </w:rPr>
            </w:pPr>
            <w:r w:rsidRPr="001C2D98">
              <w:rPr>
                <w:color w:val="000000"/>
              </w:rPr>
              <w:t>Grozījumu ietekmi (iespējamo ieņēmumu samazinājumu vai izdevumu palielinājumu) iespējams segt no esošā budžeta, nemainot attiecīgajās budžeta programmās vai apakšprogrammās finansējuma sadalījumu pa ieņēmumu, izdevumu vai finansēšanas klasifikācijas kodiem</w:t>
            </w:r>
            <w:r w:rsidR="0081742B" w:rsidRPr="001C2D98">
              <w:rPr>
                <w:color w:val="000000"/>
              </w:rPr>
              <w:t>.</w:t>
            </w:r>
          </w:p>
        </w:tc>
      </w:tr>
    </w:tbl>
    <w:p w:rsidR="006B10F4" w:rsidRDefault="006B10F4" w:rsidP="00D10F81">
      <w:pPr>
        <w:rPr>
          <w:b/>
          <w:i/>
          <w:iCs/>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1332"/>
        <w:gridCol w:w="1739"/>
        <w:gridCol w:w="2425"/>
        <w:gridCol w:w="3277"/>
      </w:tblGrid>
      <w:tr w:rsidR="00A37356" w:rsidRPr="00A37356" w:rsidTr="00CC7FAF">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1C2D98" w:rsidRPr="00A37356" w:rsidRDefault="001C2D98" w:rsidP="00CC7FAF">
            <w:pPr>
              <w:spacing w:before="100" w:beforeAutospacing="1" w:after="100" w:afterAutospacing="1"/>
              <w:jc w:val="center"/>
            </w:pPr>
            <w:r w:rsidRPr="00A37356">
              <w:rPr>
                <w:b/>
                <w:bCs/>
              </w:rPr>
              <w:t>V. Tiesību akta projekta atbilstība Latvijas Republikas starptautiskajām saistībām</w:t>
            </w:r>
          </w:p>
        </w:tc>
      </w:tr>
      <w:tr w:rsidR="00A37356" w:rsidRPr="00A37356" w:rsidTr="00CC7FAF">
        <w:tc>
          <w:tcPr>
            <w:tcW w:w="293" w:type="pct"/>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rPr>
                <w:rFonts w:ascii="Verdana" w:hAnsi="Verdana"/>
                <w:sz w:val="18"/>
                <w:szCs w:val="18"/>
              </w:rPr>
            </w:pPr>
            <w:r w:rsidRPr="00A37356">
              <w:rPr>
                <w:rFonts w:ascii="Verdana" w:hAnsi="Verdana"/>
                <w:sz w:val="18"/>
                <w:szCs w:val="18"/>
              </w:rPr>
              <w:t>1.</w:t>
            </w:r>
          </w:p>
        </w:tc>
        <w:tc>
          <w:tcPr>
            <w:tcW w:w="1805" w:type="pct"/>
            <w:gridSpan w:val="2"/>
            <w:tcBorders>
              <w:top w:val="outset" w:sz="6" w:space="0" w:color="auto"/>
              <w:left w:val="outset" w:sz="6" w:space="0" w:color="auto"/>
              <w:bottom w:val="outset" w:sz="6" w:space="0" w:color="auto"/>
              <w:right w:val="outset" w:sz="6" w:space="0" w:color="auto"/>
            </w:tcBorders>
            <w:hideMark/>
          </w:tcPr>
          <w:p w:rsidR="001C2D98" w:rsidRPr="00A37356" w:rsidRDefault="001C2D98" w:rsidP="00CC7FAF">
            <w:r w:rsidRPr="00A37356">
              <w:t>Saistības pret Eiropas Savienību</w:t>
            </w:r>
          </w:p>
        </w:tc>
        <w:tc>
          <w:tcPr>
            <w:tcW w:w="2902" w:type="pct"/>
            <w:gridSpan w:val="2"/>
            <w:tcBorders>
              <w:top w:val="outset" w:sz="6" w:space="0" w:color="auto"/>
              <w:left w:val="outset" w:sz="6" w:space="0" w:color="auto"/>
              <w:bottom w:val="outset" w:sz="6" w:space="0" w:color="auto"/>
              <w:right w:val="outset" w:sz="6" w:space="0" w:color="auto"/>
            </w:tcBorders>
            <w:hideMark/>
          </w:tcPr>
          <w:p w:rsidR="001C2D98" w:rsidRPr="00A37356" w:rsidRDefault="001C2D98" w:rsidP="0076754E">
            <w:pPr>
              <w:pStyle w:val="Sarakstarindkopa"/>
              <w:numPr>
                <w:ilvl w:val="0"/>
                <w:numId w:val="17"/>
              </w:numPr>
              <w:jc w:val="both"/>
            </w:pPr>
            <w:r w:rsidRPr="00A37356">
              <w:t xml:space="preserve">Regula </w:t>
            </w:r>
            <w:r w:rsidR="00D71EE6" w:rsidRPr="00A37356">
              <w:t>885</w:t>
            </w:r>
            <w:r w:rsidRPr="00A37356">
              <w:t>/200</w:t>
            </w:r>
            <w:r w:rsidR="00D71EE6" w:rsidRPr="00A37356">
              <w:t>6</w:t>
            </w:r>
            <w:r w:rsidR="0076754E" w:rsidRPr="00A37356">
              <w:t>;</w:t>
            </w:r>
          </w:p>
          <w:p w:rsidR="0076754E" w:rsidRPr="00A37356" w:rsidRDefault="00211D2E" w:rsidP="0076754E">
            <w:pPr>
              <w:pStyle w:val="Sarakstarindkopa"/>
              <w:numPr>
                <w:ilvl w:val="0"/>
                <w:numId w:val="17"/>
              </w:numPr>
              <w:jc w:val="both"/>
            </w:pPr>
            <w:r w:rsidRPr="00A37356">
              <w:t>Regula 1198/2006</w:t>
            </w:r>
          </w:p>
        </w:tc>
      </w:tr>
      <w:tr w:rsidR="00A37356" w:rsidRPr="00A37356" w:rsidTr="00CC7FAF">
        <w:tc>
          <w:tcPr>
            <w:tcW w:w="293" w:type="pct"/>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line="360" w:lineRule="auto"/>
              <w:rPr>
                <w:rFonts w:ascii="Verdana" w:hAnsi="Verdana"/>
                <w:sz w:val="18"/>
                <w:szCs w:val="18"/>
              </w:rPr>
            </w:pPr>
            <w:r w:rsidRPr="00A37356">
              <w:rPr>
                <w:rFonts w:ascii="Verdana" w:hAnsi="Verdana"/>
                <w:sz w:val="18"/>
                <w:szCs w:val="18"/>
              </w:rPr>
              <w:t>2.</w:t>
            </w:r>
          </w:p>
        </w:tc>
        <w:tc>
          <w:tcPr>
            <w:tcW w:w="1805" w:type="pct"/>
            <w:gridSpan w:val="2"/>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line="360" w:lineRule="auto"/>
            </w:pPr>
            <w:r w:rsidRPr="00A37356">
              <w:t>Citas starptautiskās saistības</w:t>
            </w:r>
          </w:p>
        </w:tc>
        <w:tc>
          <w:tcPr>
            <w:tcW w:w="2902" w:type="pct"/>
            <w:gridSpan w:val="2"/>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line="360" w:lineRule="auto"/>
            </w:pPr>
            <w:r w:rsidRPr="00A37356">
              <w:t>Projekts šo jomu neskar.</w:t>
            </w:r>
          </w:p>
        </w:tc>
      </w:tr>
      <w:tr w:rsidR="00A37356" w:rsidRPr="00A37356" w:rsidTr="00CC7FAF">
        <w:tc>
          <w:tcPr>
            <w:tcW w:w="293" w:type="pct"/>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line="360" w:lineRule="auto"/>
              <w:rPr>
                <w:rFonts w:ascii="Verdana" w:hAnsi="Verdana"/>
                <w:sz w:val="18"/>
                <w:szCs w:val="18"/>
              </w:rPr>
            </w:pPr>
            <w:r w:rsidRPr="00A37356">
              <w:rPr>
                <w:rFonts w:ascii="Verdana" w:hAnsi="Verdana"/>
                <w:sz w:val="18"/>
                <w:szCs w:val="18"/>
              </w:rPr>
              <w:t>3.</w:t>
            </w:r>
          </w:p>
        </w:tc>
        <w:tc>
          <w:tcPr>
            <w:tcW w:w="1805" w:type="pct"/>
            <w:gridSpan w:val="2"/>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line="360" w:lineRule="auto"/>
            </w:pPr>
            <w:r w:rsidRPr="00A37356">
              <w:t>Cita informācija</w:t>
            </w:r>
          </w:p>
        </w:tc>
        <w:tc>
          <w:tcPr>
            <w:tcW w:w="2902" w:type="pct"/>
            <w:gridSpan w:val="2"/>
            <w:tcBorders>
              <w:top w:val="outset" w:sz="6" w:space="0" w:color="auto"/>
              <w:left w:val="outset" w:sz="6" w:space="0" w:color="auto"/>
              <w:bottom w:val="outset" w:sz="6" w:space="0" w:color="auto"/>
              <w:right w:val="outset" w:sz="6" w:space="0" w:color="auto"/>
            </w:tcBorders>
            <w:hideMark/>
          </w:tcPr>
          <w:tbl>
            <w:tblPr>
              <w:tblStyle w:val="Reatabula"/>
              <w:tblW w:w="0" w:type="auto"/>
              <w:tblLook w:val="04A0"/>
            </w:tblPr>
            <w:tblGrid>
              <w:gridCol w:w="1965"/>
              <w:gridCol w:w="1763"/>
              <w:gridCol w:w="1903"/>
            </w:tblGrid>
            <w:tr w:rsidR="00A37356" w:rsidRPr="00A37356" w:rsidTr="00EF04BB">
              <w:tc>
                <w:tcPr>
                  <w:tcW w:w="1724" w:type="dxa"/>
                </w:tcPr>
                <w:p w:rsidR="00EF04BB" w:rsidRPr="00A37356" w:rsidRDefault="00EF04BB" w:rsidP="00CC7FAF">
                  <w:pPr>
                    <w:spacing w:before="100" w:beforeAutospacing="1" w:after="100" w:afterAutospacing="1"/>
                  </w:pPr>
                  <w:r w:rsidRPr="00A37356">
                    <w:t>Eiropas Savienības tiesību akta:</w:t>
                  </w:r>
                </w:p>
              </w:tc>
              <w:tc>
                <w:tcPr>
                  <w:tcW w:w="1724" w:type="dxa"/>
                </w:tcPr>
                <w:p w:rsidR="00EF04BB" w:rsidRPr="00A37356" w:rsidRDefault="00EF04BB" w:rsidP="00CC7FAF">
                  <w:pPr>
                    <w:spacing w:before="100" w:beforeAutospacing="1" w:after="100" w:afterAutospacing="1"/>
                  </w:pPr>
                  <w:r w:rsidRPr="00A37356">
                    <w:t>Projekta:</w:t>
                  </w:r>
                </w:p>
              </w:tc>
              <w:tc>
                <w:tcPr>
                  <w:tcW w:w="1725" w:type="dxa"/>
                </w:tcPr>
                <w:p w:rsidR="00EF04BB" w:rsidRPr="00A37356" w:rsidRDefault="00E71230" w:rsidP="00CC7FAF">
                  <w:pPr>
                    <w:spacing w:before="100" w:beforeAutospacing="1" w:after="100" w:afterAutospacing="1"/>
                  </w:pPr>
                  <w:r w:rsidRPr="00A37356">
                    <w:t>Atbilstība</w:t>
                  </w:r>
                </w:p>
              </w:tc>
            </w:tr>
            <w:tr w:rsidR="00A37356" w:rsidRPr="00A37356" w:rsidTr="00EF04BB">
              <w:tc>
                <w:tcPr>
                  <w:tcW w:w="1724" w:type="dxa"/>
                </w:tcPr>
                <w:p w:rsidR="00EF04BB" w:rsidRPr="00A37356" w:rsidRDefault="00EF04BB" w:rsidP="00EF04BB">
                  <w:pPr>
                    <w:pStyle w:val="Sarakstarindkopa"/>
                    <w:numPr>
                      <w:ilvl w:val="0"/>
                      <w:numId w:val="25"/>
                    </w:numPr>
                    <w:ind w:left="2" w:firstLine="0"/>
                  </w:pPr>
                  <w:r w:rsidRPr="00A37356">
                    <w:t>885/2006 5.a pants;</w:t>
                  </w:r>
                </w:p>
                <w:p w:rsidR="00EF04BB" w:rsidRPr="00A37356" w:rsidRDefault="00EF04BB" w:rsidP="00EF04BB">
                  <w:pPr>
                    <w:pStyle w:val="Sarakstarindkopa"/>
                    <w:numPr>
                      <w:ilvl w:val="0"/>
                      <w:numId w:val="25"/>
                    </w:numPr>
                    <w:ind w:left="2" w:firstLine="0"/>
                  </w:pPr>
                  <w:r w:rsidRPr="00A37356">
                    <w:t>1198/2006 96.panta 2.punkts.</w:t>
                  </w:r>
                </w:p>
              </w:tc>
              <w:tc>
                <w:tcPr>
                  <w:tcW w:w="1724" w:type="dxa"/>
                </w:tcPr>
                <w:p w:rsidR="00EF04BB" w:rsidRPr="00A37356" w:rsidRDefault="00EF04BB" w:rsidP="00CC7FAF">
                  <w:pPr>
                    <w:spacing w:before="100" w:beforeAutospacing="1" w:after="100" w:afterAutospacing="1"/>
                  </w:pPr>
                  <w:r w:rsidRPr="00A37356">
                    <w:t>1.4.</w:t>
                  </w:r>
                  <w:r w:rsidR="00F0504F">
                    <w:t>apakš</w:t>
                  </w:r>
                  <w:r w:rsidRPr="00A37356">
                    <w:t>punkts</w:t>
                  </w:r>
                </w:p>
              </w:tc>
              <w:tc>
                <w:tcPr>
                  <w:tcW w:w="1725" w:type="dxa"/>
                </w:tcPr>
                <w:p w:rsidR="00E71230" w:rsidRPr="00A37356" w:rsidRDefault="00E71230" w:rsidP="00CC7FAF">
                  <w:pPr>
                    <w:spacing w:before="100" w:beforeAutospacing="1" w:after="100" w:afterAutospacing="1"/>
                  </w:pPr>
                  <w:r w:rsidRPr="00A37356">
                    <w:t xml:space="preserve">1) </w:t>
                  </w:r>
                  <w:r w:rsidR="00F0504F">
                    <w:t>a</w:t>
                  </w:r>
                  <w:r w:rsidRPr="00A37356">
                    <w:t>tbilst;</w:t>
                  </w:r>
                </w:p>
                <w:p w:rsidR="00E71230" w:rsidRPr="00A37356" w:rsidRDefault="00E71230" w:rsidP="00CC7FAF">
                  <w:pPr>
                    <w:spacing w:before="100" w:beforeAutospacing="1" w:after="100" w:afterAutospacing="1"/>
                  </w:pPr>
                  <w:r w:rsidRPr="00A37356">
                    <w:t xml:space="preserve">2) </w:t>
                  </w:r>
                  <w:r w:rsidR="00F0504F">
                    <w:t>a</w:t>
                  </w:r>
                  <w:r w:rsidRPr="00A37356">
                    <w:t>tbilst noteiktajiem pamatprincipiem.</w:t>
                  </w:r>
                </w:p>
              </w:tc>
            </w:tr>
          </w:tbl>
          <w:p w:rsidR="001C2D98" w:rsidRPr="00A37356" w:rsidRDefault="001C2D98" w:rsidP="00CC7FAF">
            <w:pPr>
              <w:spacing w:before="100" w:beforeAutospacing="1" w:after="100" w:afterAutospacing="1"/>
            </w:pPr>
          </w:p>
        </w:tc>
      </w:tr>
      <w:tr w:rsidR="00A37356" w:rsidRPr="00A37356" w:rsidTr="00CC7FAF">
        <w:trPr>
          <w:trHeight w:val="510"/>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1C2D98" w:rsidRPr="00A37356" w:rsidRDefault="001C2D98" w:rsidP="00CC7FAF">
            <w:pPr>
              <w:spacing w:before="100" w:beforeAutospacing="1" w:after="100" w:afterAutospacing="1"/>
              <w:jc w:val="center"/>
            </w:pPr>
            <w:r w:rsidRPr="00A37356">
              <w:rPr>
                <w:b/>
                <w:bCs/>
              </w:rPr>
              <w:t>1.tabula</w:t>
            </w:r>
            <w:r w:rsidRPr="00A37356">
              <w:rPr>
                <w:b/>
                <w:bCs/>
              </w:rPr>
              <w:br/>
              <w:t>Tiesību akta projekta atbilstība ES tiesību aktiem</w:t>
            </w:r>
          </w:p>
        </w:tc>
      </w:tr>
      <w:tr w:rsidR="00A37356" w:rsidRPr="00A37356" w:rsidTr="00CC7FAF">
        <w:tc>
          <w:tcPr>
            <w:tcW w:w="963" w:type="pct"/>
            <w:gridSpan w:val="2"/>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line="360" w:lineRule="auto"/>
            </w:pPr>
            <w:r w:rsidRPr="00A37356">
              <w:t>Attiecīgā ES tiesību akta datums, numurs un nosaukums</w:t>
            </w:r>
          </w:p>
        </w:tc>
        <w:tc>
          <w:tcPr>
            <w:tcW w:w="4037" w:type="pct"/>
            <w:gridSpan w:val="3"/>
            <w:tcBorders>
              <w:top w:val="outset" w:sz="6" w:space="0" w:color="auto"/>
              <w:left w:val="outset" w:sz="6" w:space="0" w:color="auto"/>
              <w:bottom w:val="outset" w:sz="6" w:space="0" w:color="auto"/>
              <w:right w:val="outset" w:sz="6" w:space="0" w:color="auto"/>
            </w:tcBorders>
            <w:hideMark/>
          </w:tcPr>
          <w:p w:rsidR="00D71EE6" w:rsidRPr="00A37356" w:rsidRDefault="009E2A06" w:rsidP="009E2A06">
            <w:pPr>
              <w:pStyle w:val="Sarakstarindkopa"/>
              <w:numPr>
                <w:ilvl w:val="0"/>
                <w:numId w:val="17"/>
              </w:numPr>
              <w:jc w:val="both"/>
            </w:pPr>
            <w:r w:rsidRPr="00A37356">
              <w:t>Regula 885/2006</w:t>
            </w:r>
            <w:r w:rsidR="0076754E" w:rsidRPr="00A37356">
              <w:t>;</w:t>
            </w:r>
          </w:p>
          <w:p w:rsidR="001C2D98" w:rsidRPr="00A37356" w:rsidRDefault="009E2A06" w:rsidP="009E2A06">
            <w:pPr>
              <w:pStyle w:val="Sarakstarindkopa"/>
              <w:numPr>
                <w:ilvl w:val="0"/>
                <w:numId w:val="17"/>
              </w:numPr>
              <w:jc w:val="both"/>
            </w:pPr>
            <w:r w:rsidRPr="00A37356">
              <w:t>Regula 1198/2006</w:t>
            </w:r>
          </w:p>
        </w:tc>
      </w:tr>
      <w:tr w:rsidR="00A37356" w:rsidRPr="00A37356" w:rsidTr="00CC7FAF">
        <w:tc>
          <w:tcPr>
            <w:tcW w:w="963" w:type="pct"/>
            <w:gridSpan w:val="2"/>
            <w:tcBorders>
              <w:top w:val="outset" w:sz="6" w:space="0" w:color="auto"/>
              <w:left w:val="outset" w:sz="6" w:space="0" w:color="auto"/>
              <w:bottom w:val="outset" w:sz="6" w:space="0" w:color="auto"/>
              <w:right w:val="outset" w:sz="6" w:space="0" w:color="auto"/>
            </w:tcBorders>
            <w:vAlign w:val="center"/>
            <w:hideMark/>
          </w:tcPr>
          <w:p w:rsidR="001C2D98" w:rsidRPr="00A37356" w:rsidRDefault="001C2D98" w:rsidP="00CC7FAF">
            <w:pPr>
              <w:spacing w:before="100" w:beforeAutospacing="1" w:after="100" w:afterAutospacing="1"/>
              <w:jc w:val="center"/>
            </w:pPr>
            <w:r w:rsidRPr="00A37356">
              <w:t>A</w:t>
            </w:r>
          </w:p>
        </w:tc>
        <w:tc>
          <w:tcPr>
            <w:tcW w:w="903" w:type="pct"/>
            <w:tcBorders>
              <w:top w:val="outset" w:sz="6" w:space="0" w:color="auto"/>
              <w:left w:val="outset" w:sz="6" w:space="0" w:color="auto"/>
              <w:bottom w:val="outset" w:sz="6" w:space="0" w:color="auto"/>
              <w:right w:val="outset" w:sz="6" w:space="0" w:color="auto"/>
            </w:tcBorders>
            <w:vAlign w:val="center"/>
            <w:hideMark/>
          </w:tcPr>
          <w:p w:rsidR="001C2D98" w:rsidRPr="00A37356" w:rsidRDefault="001C2D98" w:rsidP="00CC7FAF">
            <w:pPr>
              <w:spacing w:before="100" w:beforeAutospacing="1" w:after="100" w:afterAutospacing="1"/>
              <w:jc w:val="center"/>
            </w:pPr>
            <w:r w:rsidRPr="00A37356">
              <w:t>B</w:t>
            </w:r>
          </w:p>
        </w:tc>
        <w:tc>
          <w:tcPr>
            <w:tcW w:w="1333" w:type="pct"/>
            <w:tcBorders>
              <w:top w:val="outset" w:sz="6" w:space="0" w:color="auto"/>
              <w:left w:val="outset" w:sz="6" w:space="0" w:color="auto"/>
              <w:bottom w:val="outset" w:sz="6" w:space="0" w:color="auto"/>
              <w:right w:val="outset" w:sz="6" w:space="0" w:color="auto"/>
            </w:tcBorders>
            <w:vAlign w:val="center"/>
            <w:hideMark/>
          </w:tcPr>
          <w:p w:rsidR="001C2D98" w:rsidRPr="00A37356" w:rsidRDefault="001C2D98" w:rsidP="00CC7FAF">
            <w:pPr>
              <w:spacing w:before="100" w:beforeAutospacing="1" w:after="100" w:afterAutospacing="1"/>
              <w:jc w:val="center"/>
            </w:pPr>
            <w:r w:rsidRPr="00A37356">
              <w:t>C</w:t>
            </w:r>
          </w:p>
        </w:tc>
        <w:tc>
          <w:tcPr>
            <w:tcW w:w="1801" w:type="pct"/>
            <w:tcBorders>
              <w:top w:val="outset" w:sz="6" w:space="0" w:color="auto"/>
              <w:left w:val="outset" w:sz="6" w:space="0" w:color="auto"/>
              <w:bottom w:val="outset" w:sz="6" w:space="0" w:color="auto"/>
              <w:right w:val="outset" w:sz="6" w:space="0" w:color="auto"/>
            </w:tcBorders>
            <w:vAlign w:val="center"/>
            <w:hideMark/>
          </w:tcPr>
          <w:p w:rsidR="001C2D98" w:rsidRPr="00A37356" w:rsidRDefault="001C2D98" w:rsidP="00CC7FAF">
            <w:pPr>
              <w:spacing w:before="100" w:beforeAutospacing="1" w:after="100" w:afterAutospacing="1"/>
              <w:jc w:val="center"/>
            </w:pPr>
            <w:r w:rsidRPr="00A37356">
              <w:t>D</w:t>
            </w:r>
          </w:p>
        </w:tc>
      </w:tr>
      <w:tr w:rsidR="00A37356" w:rsidRPr="00A37356" w:rsidTr="00CC7FAF">
        <w:tc>
          <w:tcPr>
            <w:tcW w:w="963" w:type="pct"/>
            <w:gridSpan w:val="2"/>
            <w:tcBorders>
              <w:top w:val="outset" w:sz="6" w:space="0" w:color="auto"/>
              <w:left w:val="outset" w:sz="6" w:space="0" w:color="auto"/>
              <w:bottom w:val="outset" w:sz="6" w:space="0" w:color="auto"/>
              <w:right w:val="outset" w:sz="6" w:space="0" w:color="auto"/>
            </w:tcBorders>
            <w:hideMark/>
          </w:tcPr>
          <w:p w:rsidR="001C2D98" w:rsidRPr="00A37356" w:rsidRDefault="00F0504F" w:rsidP="0076754E">
            <w:pPr>
              <w:pStyle w:val="Sarakstarindkopa"/>
              <w:numPr>
                <w:ilvl w:val="0"/>
                <w:numId w:val="18"/>
              </w:numPr>
              <w:spacing w:line="360" w:lineRule="auto"/>
            </w:pPr>
            <w:r>
              <w:t xml:space="preserve">Regulas </w:t>
            </w:r>
            <w:r w:rsidR="0076754E" w:rsidRPr="00A37356">
              <w:t>885/2006 5.a pants;</w:t>
            </w:r>
          </w:p>
          <w:p w:rsidR="0076754E" w:rsidRPr="00A37356" w:rsidRDefault="00F0504F" w:rsidP="0076754E">
            <w:pPr>
              <w:pStyle w:val="Sarakstarindkopa"/>
              <w:numPr>
                <w:ilvl w:val="0"/>
                <w:numId w:val="18"/>
              </w:numPr>
              <w:spacing w:line="360" w:lineRule="auto"/>
            </w:pPr>
            <w:r>
              <w:t xml:space="preserve">Regulas </w:t>
            </w:r>
            <w:r w:rsidR="00211D2E" w:rsidRPr="00A37356">
              <w:t xml:space="preserve">1198/2006 </w:t>
            </w:r>
            <w:r w:rsidR="00211D2E" w:rsidRPr="00A37356">
              <w:lastRenderedPageBreak/>
              <w:t>96.panta 2.punkts</w:t>
            </w:r>
          </w:p>
        </w:tc>
        <w:tc>
          <w:tcPr>
            <w:tcW w:w="903" w:type="pct"/>
            <w:tcBorders>
              <w:top w:val="outset" w:sz="6" w:space="0" w:color="auto"/>
              <w:left w:val="outset" w:sz="6" w:space="0" w:color="auto"/>
              <w:bottom w:val="outset" w:sz="6" w:space="0" w:color="auto"/>
              <w:right w:val="outset" w:sz="6" w:space="0" w:color="auto"/>
            </w:tcBorders>
            <w:hideMark/>
          </w:tcPr>
          <w:p w:rsidR="0076754E" w:rsidRPr="00A37356" w:rsidRDefault="001C2D98" w:rsidP="0076754E">
            <w:pPr>
              <w:spacing w:line="360" w:lineRule="auto"/>
              <w:jc w:val="both"/>
            </w:pPr>
            <w:r w:rsidRPr="00A37356">
              <w:lastRenderedPageBreak/>
              <w:t>Noteikumu projekta 1.</w:t>
            </w:r>
            <w:r w:rsidR="0076754E" w:rsidRPr="00A37356">
              <w:t>4.</w:t>
            </w:r>
            <w:r w:rsidR="00F0504F">
              <w:t>apakš</w:t>
            </w:r>
            <w:r w:rsidRPr="00A37356">
              <w:t>punkts</w:t>
            </w:r>
          </w:p>
        </w:tc>
        <w:tc>
          <w:tcPr>
            <w:tcW w:w="1333" w:type="pct"/>
            <w:tcBorders>
              <w:top w:val="outset" w:sz="6" w:space="0" w:color="auto"/>
              <w:left w:val="outset" w:sz="6" w:space="0" w:color="auto"/>
              <w:bottom w:val="outset" w:sz="6" w:space="0" w:color="auto"/>
              <w:right w:val="outset" w:sz="6" w:space="0" w:color="auto"/>
            </w:tcBorders>
            <w:hideMark/>
          </w:tcPr>
          <w:p w:rsidR="001C2D98" w:rsidRPr="00A37356" w:rsidRDefault="001C2D98" w:rsidP="00211D2E">
            <w:pPr>
              <w:pStyle w:val="Sarakstarindkopa"/>
              <w:numPr>
                <w:ilvl w:val="0"/>
                <w:numId w:val="24"/>
              </w:numPr>
              <w:spacing w:line="360" w:lineRule="auto"/>
              <w:ind w:left="174" w:firstLine="0"/>
              <w:jc w:val="both"/>
            </w:pPr>
            <w:r w:rsidRPr="00A37356">
              <w:t>ES tiesību aktā noteiktais tiek pārņemts pilnībā</w:t>
            </w:r>
            <w:r w:rsidR="0076754E" w:rsidRPr="00A37356">
              <w:t>;</w:t>
            </w:r>
          </w:p>
          <w:p w:rsidR="001C2D98" w:rsidRPr="00A37356" w:rsidRDefault="00F0504F" w:rsidP="00211D2E">
            <w:pPr>
              <w:pStyle w:val="Sarakstarindkopa"/>
              <w:numPr>
                <w:ilvl w:val="0"/>
                <w:numId w:val="24"/>
              </w:numPr>
              <w:spacing w:line="360" w:lineRule="auto"/>
              <w:ind w:left="174" w:firstLine="0"/>
              <w:jc w:val="both"/>
            </w:pPr>
            <w:r>
              <w:t>saistībā ar</w:t>
            </w:r>
            <w:r w:rsidR="00211D2E" w:rsidRPr="00A37356">
              <w:t xml:space="preserve"> EZF ES tiesību aktā nav </w:t>
            </w:r>
            <w:r w:rsidR="00211D2E" w:rsidRPr="00A37356">
              <w:lastRenderedPageBreak/>
              <w:t>paredzētas detalizētas norādes attiecībā uz neatbilstoši veikto izdevumu summu, ko dalībvalsts neatgūst, taču</w:t>
            </w:r>
            <w:r>
              <w:t>,</w:t>
            </w:r>
            <w:r w:rsidR="00211D2E" w:rsidRPr="00A37356">
              <w:t xml:space="preserve"> ņemot Regulā 1198/2006 noteiktos pamatprincipus (dalībvalstij jāņem vērā neatbilstību būtība un nopietnība un EZF nodarīt</w:t>
            </w:r>
            <w:r>
              <w:t>ie</w:t>
            </w:r>
            <w:r w:rsidR="00211D2E" w:rsidRPr="00A37356">
              <w:t xml:space="preserve"> finansiāl</w:t>
            </w:r>
            <w:r>
              <w:t>ie</w:t>
            </w:r>
            <w:r w:rsidR="00211D2E" w:rsidRPr="00A37356">
              <w:t xml:space="preserve"> zaudējum</w:t>
            </w:r>
            <w:r>
              <w:t>i</w:t>
            </w:r>
            <w:r w:rsidR="00211D2E" w:rsidRPr="00A37356">
              <w:t>), tiek piemērotas Regulā 885/2006 (ELFLA un ELGF) noteiktās normas par neatbilstoši veikto izdevumu summu, ko dalībvalsts neatgūst.</w:t>
            </w:r>
          </w:p>
        </w:tc>
        <w:tc>
          <w:tcPr>
            <w:tcW w:w="1801" w:type="pct"/>
            <w:tcBorders>
              <w:top w:val="outset" w:sz="6" w:space="0" w:color="auto"/>
              <w:left w:val="outset" w:sz="6" w:space="0" w:color="auto"/>
              <w:bottom w:val="outset" w:sz="6" w:space="0" w:color="auto"/>
              <w:right w:val="outset" w:sz="6" w:space="0" w:color="auto"/>
            </w:tcBorders>
            <w:hideMark/>
          </w:tcPr>
          <w:p w:rsidR="0076754E" w:rsidRPr="00A37356" w:rsidRDefault="00E22688" w:rsidP="00F0504F">
            <w:pPr>
              <w:spacing w:line="360" w:lineRule="auto"/>
              <w:jc w:val="both"/>
            </w:pPr>
            <w:r w:rsidRPr="00A37356">
              <w:lastRenderedPageBreak/>
              <w:t>Noteikumu projekt</w:t>
            </w:r>
            <w:r w:rsidR="00F0504F">
              <w:t>s</w:t>
            </w:r>
            <w:r w:rsidRPr="00A37356">
              <w:t xml:space="preserve"> neparedz stingrākas prasības kā ES tiesību akt</w:t>
            </w:r>
            <w:r w:rsidR="00F0504F">
              <w:t>s</w:t>
            </w:r>
            <w:r w:rsidRPr="00A37356">
              <w:t xml:space="preserve">. </w:t>
            </w:r>
          </w:p>
        </w:tc>
      </w:tr>
      <w:tr w:rsidR="00A37356" w:rsidRPr="00A37356" w:rsidTr="00CC7FAF">
        <w:tc>
          <w:tcPr>
            <w:tcW w:w="963" w:type="pct"/>
            <w:gridSpan w:val="2"/>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line="360" w:lineRule="auto"/>
            </w:pPr>
            <w:r w:rsidRPr="00A37356">
              <w:lastRenderedPageBreak/>
              <w:t xml:space="preserve">Kā ir izmantota ES tiesību aktā paredzētā rīcības brīvība dalībvalstij pārņemt vai ieviest noteiktas ES tiesību akta normas? </w:t>
            </w:r>
          </w:p>
          <w:p w:rsidR="001C2D98" w:rsidRPr="00A37356" w:rsidRDefault="001C2D98" w:rsidP="00CC7FAF">
            <w:pPr>
              <w:spacing w:before="100" w:beforeAutospacing="1" w:after="100" w:afterAutospacing="1"/>
            </w:pPr>
            <w:r w:rsidRPr="00A37356">
              <w:t>Kādēļ?</w:t>
            </w:r>
          </w:p>
        </w:tc>
        <w:tc>
          <w:tcPr>
            <w:tcW w:w="4037" w:type="pct"/>
            <w:gridSpan w:val="3"/>
            <w:tcBorders>
              <w:top w:val="outset" w:sz="6" w:space="0" w:color="auto"/>
              <w:left w:val="outset" w:sz="6" w:space="0" w:color="auto"/>
              <w:bottom w:val="outset" w:sz="6" w:space="0" w:color="auto"/>
              <w:right w:val="outset" w:sz="6" w:space="0" w:color="auto"/>
            </w:tcBorders>
            <w:hideMark/>
          </w:tcPr>
          <w:p w:rsidR="0076754E" w:rsidRPr="00A37356" w:rsidRDefault="00F0504F" w:rsidP="00D430EE">
            <w:pPr>
              <w:pStyle w:val="Sarakstarindkopa"/>
              <w:numPr>
                <w:ilvl w:val="0"/>
                <w:numId w:val="21"/>
              </w:numPr>
              <w:spacing w:line="360" w:lineRule="auto"/>
              <w:ind w:left="71" w:firstLine="0"/>
              <w:jc w:val="both"/>
            </w:pPr>
            <w:r>
              <w:t>Saistībā</w:t>
            </w:r>
            <w:r w:rsidR="001C2D98" w:rsidRPr="00A37356">
              <w:t xml:space="preserve"> uz ELFLA un ELGF ES tiesību aktā nav paredzēta rīcības brīvība attiecībā uz </w:t>
            </w:r>
            <w:r w:rsidR="0076754E" w:rsidRPr="00A37356">
              <w:t xml:space="preserve">neatbilstoši veikto izdevumu summu, ko dalībvalsts neatgūst (šī summa ir 100 </w:t>
            </w:r>
            <w:proofErr w:type="spellStart"/>
            <w:r w:rsidR="0076754E" w:rsidRPr="00A37356">
              <w:t>euro</w:t>
            </w:r>
            <w:proofErr w:type="spellEnd"/>
            <w:r w:rsidR="0076754E" w:rsidRPr="00A37356">
              <w:t>);</w:t>
            </w:r>
          </w:p>
          <w:p w:rsidR="001C2D98" w:rsidRPr="00A37356" w:rsidRDefault="001C2D98" w:rsidP="00CC7FAF">
            <w:pPr>
              <w:spacing w:line="360" w:lineRule="auto"/>
              <w:jc w:val="both"/>
            </w:pPr>
            <w:r w:rsidRPr="00A37356">
              <w:t xml:space="preserve">2) </w:t>
            </w:r>
            <w:r w:rsidR="00F0504F">
              <w:t>saistībā ar</w:t>
            </w:r>
            <w:r w:rsidRPr="00A37356">
              <w:t xml:space="preserve"> EZF ES tiesību aktā nav paredzētas detalizētas norādes </w:t>
            </w:r>
            <w:r w:rsidR="00D430EE" w:rsidRPr="00A37356">
              <w:t>attiecībā uz neatbilstoši veikto izdevumu summu, ko dalībvalsts neatgūst, taču</w:t>
            </w:r>
            <w:r w:rsidR="00F0504F">
              <w:t>,</w:t>
            </w:r>
            <w:r w:rsidR="00D430EE" w:rsidRPr="00A37356">
              <w:t xml:space="preserve"> ņemot Regulā 1198/2006 noteiktos pamatprincipus (dalībvalstij jāņem vērā neatbilstību būtība un nopietnība un EZF nodarīt</w:t>
            </w:r>
            <w:r w:rsidR="00F0504F">
              <w:t>ie</w:t>
            </w:r>
            <w:r w:rsidR="00D430EE" w:rsidRPr="00A37356">
              <w:t xml:space="preserve"> finansiāl</w:t>
            </w:r>
            <w:r w:rsidR="00F0504F">
              <w:t>ie</w:t>
            </w:r>
            <w:r w:rsidR="00D430EE" w:rsidRPr="00A37356">
              <w:t xml:space="preserve"> zaudējum</w:t>
            </w:r>
            <w:r w:rsidR="00F0504F">
              <w:t>i</w:t>
            </w:r>
            <w:r w:rsidR="00D430EE" w:rsidRPr="00A37356">
              <w:t>), tiek piemērotas Regulā 885/2006 (ELFLA un ELGF) noteiktās normas par neatbilstoši veikto izdevumu summu, ko dalībvalsts neatgūst.</w:t>
            </w:r>
          </w:p>
        </w:tc>
      </w:tr>
      <w:tr w:rsidR="00A37356" w:rsidRPr="00A37356" w:rsidTr="00CC7FAF">
        <w:tc>
          <w:tcPr>
            <w:tcW w:w="963" w:type="pct"/>
            <w:gridSpan w:val="2"/>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line="360" w:lineRule="auto"/>
            </w:pPr>
            <w:r w:rsidRPr="00A37356">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7" w:type="pct"/>
            <w:gridSpan w:val="3"/>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line="360" w:lineRule="auto"/>
            </w:pPr>
            <w:r w:rsidRPr="00A37356">
              <w:t>Nav.</w:t>
            </w:r>
          </w:p>
        </w:tc>
      </w:tr>
      <w:tr w:rsidR="00A37356" w:rsidRPr="00A37356" w:rsidTr="00CC7FAF">
        <w:tc>
          <w:tcPr>
            <w:tcW w:w="963" w:type="pct"/>
            <w:gridSpan w:val="2"/>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line="360" w:lineRule="auto"/>
            </w:pPr>
            <w:r w:rsidRPr="00A37356">
              <w:t>Cita informācija</w:t>
            </w:r>
          </w:p>
        </w:tc>
        <w:tc>
          <w:tcPr>
            <w:tcW w:w="4037" w:type="pct"/>
            <w:gridSpan w:val="3"/>
            <w:tcBorders>
              <w:top w:val="outset" w:sz="6" w:space="0" w:color="auto"/>
              <w:left w:val="outset" w:sz="6" w:space="0" w:color="auto"/>
              <w:bottom w:val="outset" w:sz="6" w:space="0" w:color="auto"/>
              <w:right w:val="outset" w:sz="6" w:space="0" w:color="auto"/>
            </w:tcBorders>
            <w:hideMark/>
          </w:tcPr>
          <w:p w:rsidR="001C2D98" w:rsidRPr="00A37356" w:rsidRDefault="001C2D98" w:rsidP="00CC7FAF">
            <w:pPr>
              <w:spacing w:before="100" w:beforeAutospacing="1" w:after="100" w:afterAutospacing="1"/>
              <w:jc w:val="both"/>
            </w:pPr>
            <w:r w:rsidRPr="00A37356">
              <w:t xml:space="preserve">Nav </w:t>
            </w:r>
          </w:p>
        </w:tc>
      </w:tr>
    </w:tbl>
    <w:p w:rsidR="001C2D98" w:rsidRDefault="001C2D98" w:rsidP="00D10F81">
      <w:pPr>
        <w:rPr>
          <w:b/>
          <w:i/>
          <w:iCs/>
          <w:sz w:val="28"/>
          <w:szCs w:val="28"/>
        </w:rPr>
      </w:pPr>
    </w:p>
    <w:p w:rsidR="001C2D98" w:rsidRDefault="001C2D98" w:rsidP="00D10F81">
      <w:pPr>
        <w:rPr>
          <w:b/>
          <w:i/>
          <w:iCs/>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33"/>
        <w:gridCol w:w="2975"/>
        <w:gridCol w:w="5773"/>
      </w:tblGrid>
      <w:tr w:rsidR="003D29B5" w:rsidRPr="001C2D98" w:rsidTr="00F17953">
        <w:tc>
          <w:tcPr>
            <w:tcW w:w="5000" w:type="pct"/>
            <w:gridSpan w:val="3"/>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pPr>
              <w:pStyle w:val="naisc"/>
              <w:spacing w:before="0" w:after="0"/>
              <w:rPr>
                <w:b/>
                <w:bCs/>
              </w:rPr>
            </w:pPr>
            <w:r w:rsidRPr="001C2D98">
              <w:rPr>
                <w:b/>
                <w:bCs/>
              </w:rPr>
              <w:t>VII. Tiesību akta projekta izpildes nodrošināšana un tās ietekme uz institūcijām</w:t>
            </w:r>
          </w:p>
        </w:tc>
      </w:tr>
      <w:tr w:rsidR="003D29B5" w:rsidRPr="001C2D98" w:rsidTr="00F17953">
        <w:tc>
          <w:tcPr>
            <w:tcW w:w="287"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pPr>
              <w:pStyle w:val="ParastaisWeb"/>
              <w:spacing w:before="0" w:beforeAutospacing="0" w:after="0" w:afterAutospacing="0"/>
            </w:pPr>
            <w:r w:rsidRPr="001C2D98">
              <w:t>1.</w:t>
            </w:r>
          </w:p>
        </w:tc>
        <w:tc>
          <w:tcPr>
            <w:tcW w:w="1603"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r w:rsidRPr="001C2D98">
              <w:t>Projekta izpildē iesaistītās institūcijas</w:t>
            </w:r>
          </w:p>
        </w:tc>
        <w:tc>
          <w:tcPr>
            <w:tcW w:w="3110"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864898">
            <w:pPr>
              <w:jc w:val="both"/>
            </w:pPr>
            <w:r w:rsidRPr="001C2D98">
              <w:rPr>
                <w:bCs/>
              </w:rPr>
              <w:t>Lauku atbalsta dienests</w:t>
            </w:r>
          </w:p>
        </w:tc>
      </w:tr>
      <w:tr w:rsidR="003D29B5" w:rsidRPr="001C2D98" w:rsidTr="00F17953">
        <w:tc>
          <w:tcPr>
            <w:tcW w:w="287"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pPr>
              <w:pStyle w:val="ParastaisWeb"/>
              <w:spacing w:before="0" w:beforeAutospacing="0" w:after="0" w:afterAutospacing="0"/>
            </w:pPr>
            <w:r w:rsidRPr="001C2D98">
              <w:t>2.</w:t>
            </w:r>
          </w:p>
        </w:tc>
        <w:tc>
          <w:tcPr>
            <w:tcW w:w="1603"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r w:rsidRPr="001C2D98">
              <w:t>Projekta izpildes ietekme uz pārvaldes funkcijām</w:t>
            </w:r>
          </w:p>
        </w:tc>
        <w:tc>
          <w:tcPr>
            <w:tcW w:w="3110"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r w:rsidRPr="001C2D98">
              <w:t>Projekts šo jomu neskar.</w:t>
            </w:r>
          </w:p>
        </w:tc>
      </w:tr>
      <w:tr w:rsidR="003D29B5" w:rsidRPr="001C2D98" w:rsidTr="00F17953">
        <w:tc>
          <w:tcPr>
            <w:tcW w:w="287"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pPr>
              <w:pStyle w:val="ParastaisWeb"/>
              <w:spacing w:before="0" w:beforeAutospacing="0" w:after="0" w:afterAutospacing="0"/>
            </w:pPr>
            <w:r w:rsidRPr="001C2D98">
              <w:t>3.</w:t>
            </w:r>
          </w:p>
        </w:tc>
        <w:tc>
          <w:tcPr>
            <w:tcW w:w="1603"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r w:rsidRPr="001C2D98">
              <w:t>Projekta izpildes ietekme uz pārvaldes institucionālo struktūru.</w:t>
            </w:r>
          </w:p>
          <w:p w:rsidR="003D29B5" w:rsidRPr="001C2D98" w:rsidRDefault="003D29B5" w:rsidP="00F17953">
            <w:r w:rsidRPr="001C2D98">
              <w:t>Jaunu institūciju izveide</w:t>
            </w:r>
          </w:p>
        </w:tc>
        <w:tc>
          <w:tcPr>
            <w:tcW w:w="3110"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r w:rsidRPr="001C2D98">
              <w:t>Projekts šo jomu neskar.</w:t>
            </w:r>
          </w:p>
        </w:tc>
      </w:tr>
      <w:tr w:rsidR="003D29B5" w:rsidRPr="001C2D98" w:rsidTr="00F17953">
        <w:tc>
          <w:tcPr>
            <w:tcW w:w="287"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pPr>
              <w:pStyle w:val="ParastaisWeb"/>
              <w:spacing w:before="0" w:beforeAutospacing="0" w:after="0" w:afterAutospacing="0"/>
            </w:pPr>
            <w:r w:rsidRPr="001C2D98">
              <w:t>4.</w:t>
            </w:r>
          </w:p>
        </w:tc>
        <w:tc>
          <w:tcPr>
            <w:tcW w:w="1603"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r w:rsidRPr="001C2D98">
              <w:t>Projekta izpildes ietekme uz pārvaldes institucionālo struktūru.</w:t>
            </w:r>
          </w:p>
          <w:p w:rsidR="003D29B5" w:rsidRPr="001C2D98" w:rsidRDefault="003D29B5" w:rsidP="00F17953">
            <w:r w:rsidRPr="001C2D98">
              <w:t>Esošu institūciju likvidācija</w:t>
            </w:r>
          </w:p>
        </w:tc>
        <w:tc>
          <w:tcPr>
            <w:tcW w:w="3110"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r w:rsidRPr="001C2D98">
              <w:t>Projekts šo jomu neskar.</w:t>
            </w:r>
          </w:p>
        </w:tc>
      </w:tr>
      <w:tr w:rsidR="003D29B5" w:rsidRPr="001C2D98" w:rsidTr="00F17953">
        <w:tc>
          <w:tcPr>
            <w:tcW w:w="287"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pPr>
              <w:pStyle w:val="ParastaisWeb"/>
              <w:spacing w:before="0" w:beforeAutospacing="0" w:after="0" w:afterAutospacing="0"/>
            </w:pPr>
            <w:r w:rsidRPr="001C2D98">
              <w:lastRenderedPageBreak/>
              <w:t>5.</w:t>
            </w:r>
          </w:p>
        </w:tc>
        <w:tc>
          <w:tcPr>
            <w:tcW w:w="1603"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r w:rsidRPr="001C2D98">
              <w:t>Projekta izpildes ietekme uz pārvaldes institucionālo struktūru.</w:t>
            </w:r>
          </w:p>
          <w:p w:rsidR="003D29B5" w:rsidRPr="001C2D98" w:rsidRDefault="003D29B5" w:rsidP="00F17953">
            <w:r w:rsidRPr="001C2D98">
              <w:t>Esošu institūciju reorganizācija</w:t>
            </w:r>
          </w:p>
        </w:tc>
        <w:tc>
          <w:tcPr>
            <w:tcW w:w="3110"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r w:rsidRPr="001C2D98">
              <w:t>Projekts šo jomu neskar.</w:t>
            </w:r>
          </w:p>
        </w:tc>
      </w:tr>
      <w:tr w:rsidR="003D29B5" w:rsidRPr="001C2D98" w:rsidTr="00F17953">
        <w:tc>
          <w:tcPr>
            <w:tcW w:w="287"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pPr>
              <w:pStyle w:val="ParastaisWeb"/>
              <w:spacing w:before="0" w:beforeAutospacing="0" w:after="0" w:afterAutospacing="0"/>
            </w:pPr>
            <w:r w:rsidRPr="001C2D98">
              <w:t>6.</w:t>
            </w:r>
          </w:p>
        </w:tc>
        <w:tc>
          <w:tcPr>
            <w:tcW w:w="1603"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pPr>
              <w:pStyle w:val="ParastaisWeb"/>
              <w:spacing w:before="0" w:beforeAutospacing="0" w:after="0" w:afterAutospacing="0"/>
            </w:pPr>
            <w:r w:rsidRPr="001C2D98">
              <w:t>Cita informācija</w:t>
            </w:r>
          </w:p>
        </w:tc>
        <w:tc>
          <w:tcPr>
            <w:tcW w:w="3110" w:type="pct"/>
            <w:tcBorders>
              <w:top w:val="outset" w:sz="6" w:space="0" w:color="auto"/>
              <w:left w:val="outset" w:sz="6" w:space="0" w:color="auto"/>
              <w:bottom w:val="outset" w:sz="6" w:space="0" w:color="auto"/>
              <w:right w:val="outset" w:sz="6" w:space="0" w:color="auto"/>
            </w:tcBorders>
            <w:shd w:val="clear" w:color="auto" w:fill="auto"/>
          </w:tcPr>
          <w:p w:rsidR="003D29B5" w:rsidRPr="001C2D98" w:rsidRDefault="003D29B5" w:rsidP="00F17953">
            <w:r w:rsidRPr="001C2D98">
              <w:t>Nav</w:t>
            </w:r>
          </w:p>
        </w:tc>
      </w:tr>
    </w:tbl>
    <w:p w:rsidR="003D29B5" w:rsidRDefault="003D29B5" w:rsidP="00D10F81">
      <w:pPr>
        <w:rPr>
          <w:b/>
          <w:i/>
          <w:iCs/>
          <w:sz w:val="28"/>
          <w:szCs w:val="28"/>
        </w:rPr>
      </w:pPr>
    </w:p>
    <w:p w:rsidR="00B12A30" w:rsidRDefault="006B10F4" w:rsidP="00D10F81">
      <w:pPr>
        <w:rPr>
          <w:sz w:val="28"/>
          <w:szCs w:val="28"/>
        </w:rPr>
      </w:pPr>
      <w:r w:rsidRPr="00B61A96">
        <w:rPr>
          <w:b/>
          <w:i/>
          <w:iCs/>
          <w:sz w:val="28"/>
          <w:szCs w:val="28"/>
        </w:rPr>
        <w:t>Anotācijas</w:t>
      </w:r>
      <w:r>
        <w:rPr>
          <w:b/>
          <w:i/>
          <w:iCs/>
          <w:sz w:val="28"/>
          <w:szCs w:val="28"/>
        </w:rPr>
        <w:t xml:space="preserve"> II, IV </w:t>
      </w:r>
      <w:r w:rsidR="003D29B5">
        <w:rPr>
          <w:b/>
          <w:i/>
          <w:iCs/>
          <w:sz w:val="28"/>
          <w:szCs w:val="28"/>
        </w:rPr>
        <w:t xml:space="preserve">un </w:t>
      </w:r>
      <w:r>
        <w:rPr>
          <w:b/>
          <w:i/>
          <w:iCs/>
          <w:sz w:val="28"/>
          <w:szCs w:val="28"/>
        </w:rPr>
        <w:t xml:space="preserve">VI </w:t>
      </w:r>
      <w:r w:rsidRPr="00B61A96">
        <w:rPr>
          <w:b/>
          <w:i/>
          <w:iCs/>
          <w:sz w:val="28"/>
          <w:szCs w:val="28"/>
        </w:rPr>
        <w:t>sadaļa – projekts šīs jomas neskar</w:t>
      </w:r>
      <w:r w:rsidR="00331C20">
        <w:rPr>
          <w:b/>
          <w:i/>
          <w:iCs/>
          <w:sz w:val="28"/>
          <w:szCs w:val="28"/>
        </w:rPr>
        <w:t>.</w:t>
      </w:r>
    </w:p>
    <w:p w:rsidR="006B10F4" w:rsidRDefault="006B10F4" w:rsidP="00D10F81">
      <w:pPr>
        <w:rPr>
          <w:sz w:val="28"/>
          <w:szCs w:val="28"/>
        </w:rPr>
      </w:pPr>
    </w:p>
    <w:p w:rsidR="008967DC" w:rsidRDefault="008967DC" w:rsidP="008967DC">
      <w:pPr>
        <w:ind w:firstLine="720"/>
        <w:rPr>
          <w:sz w:val="28"/>
          <w:szCs w:val="28"/>
        </w:rPr>
      </w:pPr>
    </w:p>
    <w:p w:rsidR="00AA11FE" w:rsidRPr="00D10F81" w:rsidRDefault="008967DC" w:rsidP="008967DC">
      <w:pPr>
        <w:ind w:firstLine="720"/>
        <w:rPr>
          <w:sz w:val="28"/>
          <w:szCs w:val="28"/>
        </w:rPr>
      </w:pPr>
      <w:r>
        <w:rPr>
          <w:sz w:val="28"/>
          <w:szCs w:val="28"/>
        </w:rPr>
        <w:t>Zemkopības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10F81">
        <w:rPr>
          <w:sz w:val="28"/>
          <w:szCs w:val="28"/>
        </w:rPr>
        <w:t>L.Straujuma</w:t>
      </w:r>
    </w:p>
    <w:p w:rsidR="003B3D50" w:rsidRDefault="003B3D50"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8967DC" w:rsidRDefault="008967DC" w:rsidP="008C0C16">
      <w:pPr>
        <w:rPr>
          <w:sz w:val="20"/>
          <w:szCs w:val="20"/>
        </w:rPr>
      </w:pPr>
    </w:p>
    <w:p w:rsidR="005E5956" w:rsidRDefault="005E5956" w:rsidP="008C0C16">
      <w:pPr>
        <w:rPr>
          <w:sz w:val="20"/>
          <w:szCs w:val="20"/>
        </w:rPr>
      </w:pPr>
      <w:r>
        <w:rPr>
          <w:sz w:val="20"/>
          <w:szCs w:val="20"/>
        </w:rPr>
        <w:t>2013.10.11. 8:45</w:t>
      </w:r>
    </w:p>
    <w:p w:rsidR="005E5956" w:rsidRDefault="005E5956" w:rsidP="008C0C16">
      <w:pPr>
        <w:rPr>
          <w:sz w:val="20"/>
          <w:szCs w:val="20"/>
        </w:rPr>
      </w:pPr>
      <w:fldSimple w:instr=" NUMWORDS   \* MERGEFORMAT ">
        <w:r>
          <w:rPr>
            <w:noProof/>
            <w:sz w:val="20"/>
            <w:szCs w:val="20"/>
          </w:rPr>
          <w:t>1453</w:t>
        </w:r>
      </w:fldSimple>
    </w:p>
    <w:p w:rsidR="008C0C16" w:rsidRPr="003D2A75" w:rsidRDefault="00EF7412" w:rsidP="008C0C16">
      <w:pPr>
        <w:rPr>
          <w:sz w:val="20"/>
          <w:szCs w:val="20"/>
          <w:lang w:val="pl-PL"/>
        </w:rPr>
      </w:pPr>
      <w:r>
        <w:rPr>
          <w:sz w:val="20"/>
          <w:szCs w:val="20"/>
          <w:lang w:val="pl-PL"/>
        </w:rPr>
        <w:t>I</w:t>
      </w:r>
      <w:r w:rsidR="003B3D50">
        <w:rPr>
          <w:sz w:val="20"/>
          <w:szCs w:val="20"/>
          <w:lang w:val="pl-PL"/>
        </w:rPr>
        <w:t>.</w:t>
      </w:r>
      <w:r>
        <w:rPr>
          <w:sz w:val="20"/>
          <w:szCs w:val="20"/>
          <w:lang w:val="pl-PL"/>
        </w:rPr>
        <w:t>Lāce</w:t>
      </w:r>
    </w:p>
    <w:p w:rsidR="000A15B9" w:rsidRPr="00883366" w:rsidRDefault="003B3D50">
      <w:pPr>
        <w:rPr>
          <w:sz w:val="20"/>
          <w:szCs w:val="20"/>
        </w:rPr>
      </w:pPr>
      <w:r>
        <w:rPr>
          <w:sz w:val="20"/>
          <w:szCs w:val="20"/>
          <w:lang w:val="pl-PL"/>
        </w:rPr>
        <w:t>67</w:t>
      </w:r>
      <w:r w:rsidR="00EF7412">
        <w:rPr>
          <w:sz w:val="20"/>
          <w:szCs w:val="20"/>
          <w:lang w:val="pl-PL"/>
        </w:rPr>
        <w:t>878639</w:t>
      </w:r>
      <w:r w:rsidR="008C0C16" w:rsidRPr="003D2A75">
        <w:rPr>
          <w:sz w:val="20"/>
          <w:szCs w:val="20"/>
          <w:lang w:val="pl-PL"/>
        </w:rPr>
        <w:t xml:space="preserve">, </w:t>
      </w:r>
      <w:r w:rsidR="00183B50" w:rsidRPr="008967DC">
        <w:rPr>
          <w:sz w:val="20"/>
          <w:szCs w:val="20"/>
          <w:lang w:val="pl-PL"/>
        </w:rPr>
        <w:t>Ilze.Lace@zm.gov.lv</w:t>
      </w:r>
    </w:p>
    <w:sectPr w:rsidR="000A15B9" w:rsidRPr="00883366" w:rsidSect="008967D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C4" w:rsidRDefault="00B448C4">
      <w:r>
        <w:separator/>
      </w:r>
    </w:p>
  </w:endnote>
  <w:endnote w:type="continuationSeparator" w:id="0">
    <w:p w:rsidR="00B448C4" w:rsidRDefault="00B44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6" w:rsidRPr="00D91B36" w:rsidRDefault="005E5956" w:rsidP="005E5956">
    <w:pPr>
      <w:tabs>
        <w:tab w:val="center" w:pos="4153"/>
        <w:tab w:val="right" w:pos="8306"/>
      </w:tabs>
      <w:spacing w:after="200" w:line="276" w:lineRule="auto"/>
      <w:jc w:val="both"/>
      <w:rPr>
        <w:sz w:val="20"/>
        <w:szCs w:val="20"/>
        <w:lang w:eastAsia="en-US"/>
      </w:rPr>
    </w:pPr>
    <w:proofErr w:type="spellStart"/>
    <w:r w:rsidRPr="00D91B36">
      <w:rPr>
        <w:sz w:val="20"/>
        <w:szCs w:val="20"/>
        <w:lang w:eastAsia="en-US"/>
      </w:rPr>
      <w:t>Z</w:t>
    </w:r>
    <w:r>
      <w:rPr>
        <w:sz w:val="20"/>
        <w:szCs w:val="20"/>
        <w:lang w:eastAsia="en-US"/>
      </w:rPr>
      <w:t>M</w:t>
    </w:r>
    <w:r>
      <w:rPr>
        <w:sz w:val="20"/>
        <w:szCs w:val="20"/>
        <w:lang w:eastAsia="en-US"/>
      </w:rPr>
      <w:t>An</w:t>
    </w:r>
    <w:proofErr w:type="spellEnd"/>
    <w:r w:rsidRPr="00D91B36">
      <w:rPr>
        <w:sz w:val="20"/>
        <w:szCs w:val="20"/>
        <w:lang w:eastAsia="en-US"/>
      </w:rPr>
      <w:t>ot_</w:t>
    </w:r>
    <w:r>
      <w:rPr>
        <w:sz w:val="20"/>
        <w:szCs w:val="20"/>
        <w:lang w:eastAsia="en-US"/>
      </w:rPr>
      <w:t>1110</w:t>
    </w:r>
    <w:r w:rsidRPr="00D91B36">
      <w:rPr>
        <w:sz w:val="20"/>
        <w:szCs w:val="20"/>
        <w:lang w:eastAsia="en-US"/>
      </w:rPr>
      <w:t>13</w:t>
    </w:r>
    <w:r w:rsidRPr="00D91B36">
      <w:rPr>
        <w:sz w:val="20"/>
        <w:szCs w:val="20"/>
        <w:lang w:eastAsia="en-US"/>
      </w:rPr>
      <w:t>_</w:t>
    </w:r>
    <w:proofErr w:type="spellStart"/>
    <w:r w:rsidRPr="00D91B36">
      <w:rPr>
        <w:sz w:val="20"/>
        <w:szCs w:val="20"/>
        <w:lang w:eastAsia="en-US"/>
      </w:rPr>
      <w:t>grozadminfondi</w:t>
    </w:r>
    <w:proofErr w:type="spellEnd"/>
    <w:r w:rsidRPr="00D91B36">
      <w:rPr>
        <w:sz w:val="20"/>
        <w:szCs w:val="20"/>
        <w:lang w:eastAsia="en-US"/>
      </w:rPr>
      <w:t>; Grozījumi Ministru kabineta 2009.gada 17.jūnija noteikumos Nr.573 "Kārtība, kādā administrē Eiropas Lauksaimniecības garantiju fondu, Eiropas Lauksaimniecības fondu lauku attīstībai un Eiropas Zivsaimniecības fondu, kā arī valsts un Eiropas Savienības atbalstu lauksaimniecībai, lauku un zivsaimniecības attīstībai"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36" w:rsidRPr="00D91B36" w:rsidRDefault="00D91B36" w:rsidP="00D91B36">
    <w:pPr>
      <w:tabs>
        <w:tab w:val="center" w:pos="4153"/>
        <w:tab w:val="right" w:pos="8306"/>
      </w:tabs>
      <w:spacing w:after="200" w:line="276" w:lineRule="auto"/>
      <w:jc w:val="both"/>
      <w:rPr>
        <w:sz w:val="20"/>
        <w:szCs w:val="20"/>
        <w:lang w:eastAsia="en-US"/>
      </w:rPr>
    </w:pPr>
    <w:proofErr w:type="spellStart"/>
    <w:r w:rsidRPr="00D91B36">
      <w:rPr>
        <w:sz w:val="20"/>
        <w:szCs w:val="20"/>
        <w:lang w:eastAsia="en-US"/>
      </w:rPr>
      <w:t>Z</w:t>
    </w:r>
    <w:r>
      <w:rPr>
        <w:sz w:val="20"/>
        <w:szCs w:val="20"/>
        <w:lang w:eastAsia="en-US"/>
      </w:rPr>
      <w:t>M</w:t>
    </w:r>
    <w:r>
      <w:rPr>
        <w:sz w:val="20"/>
        <w:szCs w:val="20"/>
        <w:lang w:eastAsia="en-US"/>
      </w:rPr>
      <w:t>A</w:t>
    </w:r>
    <w:r w:rsidR="0076568E">
      <w:rPr>
        <w:sz w:val="20"/>
        <w:szCs w:val="20"/>
        <w:lang w:eastAsia="en-US"/>
      </w:rPr>
      <w:t>n</w:t>
    </w:r>
    <w:proofErr w:type="spellEnd"/>
    <w:r w:rsidRPr="00D91B36">
      <w:rPr>
        <w:sz w:val="20"/>
        <w:szCs w:val="20"/>
        <w:lang w:eastAsia="en-US"/>
      </w:rPr>
      <w:t>ot_</w:t>
    </w:r>
    <w:r w:rsidR="005E5956">
      <w:rPr>
        <w:sz w:val="20"/>
        <w:szCs w:val="20"/>
        <w:lang w:eastAsia="en-US"/>
      </w:rPr>
      <w:t>1110</w:t>
    </w:r>
    <w:r w:rsidRPr="00D91B36">
      <w:rPr>
        <w:sz w:val="20"/>
        <w:szCs w:val="20"/>
        <w:lang w:eastAsia="en-US"/>
      </w:rPr>
      <w:t>13</w:t>
    </w:r>
    <w:r w:rsidRPr="00D91B36">
      <w:rPr>
        <w:sz w:val="20"/>
        <w:szCs w:val="20"/>
        <w:lang w:eastAsia="en-US"/>
      </w:rPr>
      <w:t>_</w:t>
    </w:r>
    <w:proofErr w:type="spellStart"/>
    <w:r w:rsidRPr="00D91B36">
      <w:rPr>
        <w:sz w:val="20"/>
        <w:szCs w:val="20"/>
        <w:lang w:eastAsia="en-US"/>
      </w:rPr>
      <w:t>grozadminfondi</w:t>
    </w:r>
    <w:proofErr w:type="spellEnd"/>
    <w:r w:rsidRPr="00D91B36">
      <w:rPr>
        <w:sz w:val="20"/>
        <w:szCs w:val="20"/>
        <w:lang w:eastAsia="en-US"/>
      </w:rPr>
      <w:t>; Grozījumi Ministru kabineta 2009.gada 17.jūnija noteikumos Nr.573 "Kārtība, kādā administrē Eiropas Lauksaimniecības garantiju fondu, Eiropas Lauksaimniecības fondu lauku attīstībai un Eiropas Zivsaimniecības fondu, kā arī valsts un Eiropas Savienības atbalstu lauksaimniecībai, lauku un zivsaimniecības attīstībai"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C4" w:rsidRDefault="00B448C4">
      <w:r>
        <w:separator/>
      </w:r>
    </w:p>
  </w:footnote>
  <w:footnote w:type="continuationSeparator" w:id="0">
    <w:p w:rsidR="00B448C4" w:rsidRDefault="00B44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A0" w:rsidRDefault="00254816" w:rsidP="008C0C16">
    <w:pPr>
      <w:pStyle w:val="Galvene"/>
      <w:framePr w:wrap="around" w:vAnchor="text" w:hAnchor="margin" w:xAlign="center" w:y="1"/>
      <w:rPr>
        <w:rStyle w:val="Lappusesnumurs"/>
      </w:rPr>
    </w:pPr>
    <w:r>
      <w:rPr>
        <w:rStyle w:val="Lappusesnumurs"/>
      </w:rPr>
      <w:fldChar w:fldCharType="begin"/>
    </w:r>
    <w:r w:rsidR="000E3CA0">
      <w:rPr>
        <w:rStyle w:val="Lappusesnumurs"/>
      </w:rPr>
      <w:instrText xml:space="preserve">PAGE  </w:instrText>
    </w:r>
    <w:r>
      <w:rPr>
        <w:rStyle w:val="Lappusesnumurs"/>
      </w:rPr>
      <w:fldChar w:fldCharType="end"/>
    </w:r>
  </w:p>
  <w:p w:rsidR="000E3CA0" w:rsidRDefault="000E3CA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A0" w:rsidRDefault="00254816" w:rsidP="008C0C16">
    <w:pPr>
      <w:pStyle w:val="Galvene"/>
      <w:framePr w:wrap="around" w:vAnchor="text" w:hAnchor="margin" w:xAlign="center" w:y="1"/>
      <w:rPr>
        <w:rStyle w:val="Lappusesnumurs"/>
      </w:rPr>
    </w:pPr>
    <w:r>
      <w:rPr>
        <w:rStyle w:val="Lappusesnumurs"/>
      </w:rPr>
      <w:fldChar w:fldCharType="begin"/>
    </w:r>
    <w:r w:rsidR="000E3CA0">
      <w:rPr>
        <w:rStyle w:val="Lappusesnumurs"/>
      </w:rPr>
      <w:instrText xml:space="preserve">PAGE  </w:instrText>
    </w:r>
    <w:r>
      <w:rPr>
        <w:rStyle w:val="Lappusesnumurs"/>
      </w:rPr>
      <w:fldChar w:fldCharType="separate"/>
    </w:r>
    <w:r w:rsidR="005E5956">
      <w:rPr>
        <w:rStyle w:val="Lappusesnumurs"/>
        <w:noProof/>
      </w:rPr>
      <w:t>8</w:t>
    </w:r>
    <w:r>
      <w:rPr>
        <w:rStyle w:val="Lappusesnumurs"/>
      </w:rPr>
      <w:fldChar w:fldCharType="end"/>
    </w:r>
  </w:p>
  <w:p w:rsidR="000E3CA0" w:rsidRDefault="000E3CA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551"/>
    <w:multiLevelType w:val="hybridMultilevel"/>
    <w:tmpl w:val="35382C3C"/>
    <w:lvl w:ilvl="0" w:tplc="65CCD34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2A3DF8"/>
    <w:multiLevelType w:val="hybridMultilevel"/>
    <w:tmpl w:val="08CA69E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01D55D7"/>
    <w:multiLevelType w:val="hybridMultilevel"/>
    <w:tmpl w:val="97DEC5E4"/>
    <w:lvl w:ilvl="0" w:tplc="AB5C6C5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CF72B9"/>
    <w:multiLevelType w:val="hybridMultilevel"/>
    <w:tmpl w:val="74D80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1B3FD4"/>
    <w:multiLevelType w:val="hybridMultilevel"/>
    <w:tmpl w:val="EBBC4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377367"/>
    <w:multiLevelType w:val="hybridMultilevel"/>
    <w:tmpl w:val="E158972A"/>
    <w:lvl w:ilvl="0" w:tplc="4ACCD6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5BA0562"/>
    <w:multiLevelType w:val="hybridMultilevel"/>
    <w:tmpl w:val="6570FE1A"/>
    <w:lvl w:ilvl="0" w:tplc="1BB678D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D729E6"/>
    <w:multiLevelType w:val="hybridMultilevel"/>
    <w:tmpl w:val="26E0D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786337"/>
    <w:multiLevelType w:val="hybridMultilevel"/>
    <w:tmpl w:val="0A70E326"/>
    <w:lvl w:ilvl="0" w:tplc="A4A848C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2C61DF"/>
    <w:multiLevelType w:val="multilevel"/>
    <w:tmpl w:val="92BC9EFA"/>
    <w:lvl w:ilvl="0">
      <w:start w:val="1"/>
      <w:numFmt w:val="decimal"/>
      <w:lvlText w:val="%1."/>
      <w:lvlJc w:val="left"/>
      <w:pPr>
        <w:ind w:left="450" w:hanging="450"/>
      </w:pPr>
      <w:rPr>
        <w:rFonts w:hint="default"/>
        <w:color w:val="auto"/>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10">
    <w:nsid w:val="33410D8A"/>
    <w:multiLevelType w:val="multilevel"/>
    <w:tmpl w:val="00C4D8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B6C5742"/>
    <w:multiLevelType w:val="hybridMultilevel"/>
    <w:tmpl w:val="05DE5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90493C"/>
    <w:multiLevelType w:val="hybridMultilevel"/>
    <w:tmpl w:val="1EECC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6830B8"/>
    <w:multiLevelType w:val="hybridMultilevel"/>
    <w:tmpl w:val="F168D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7183893"/>
    <w:multiLevelType w:val="hybridMultilevel"/>
    <w:tmpl w:val="05DE5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F823E4"/>
    <w:multiLevelType w:val="hybridMultilevel"/>
    <w:tmpl w:val="74D80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CA326E8"/>
    <w:multiLevelType w:val="hybridMultilevel"/>
    <w:tmpl w:val="258E0EB0"/>
    <w:lvl w:ilvl="0" w:tplc="956252F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FB97C4E"/>
    <w:multiLevelType w:val="hybridMultilevel"/>
    <w:tmpl w:val="F168D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2F80550"/>
    <w:multiLevelType w:val="hybridMultilevel"/>
    <w:tmpl w:val="980222E2"/>
    <w:lvl w:ilvl="0" w:tplc="9E96866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nsid w:val="63243A87"/>
    <w:multiLevelType w:val="hybridMultilevel"/>
    <w:tmpl w:val="09C666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B944D81"/>
    <w:multiLevelType w:val="hybridMultilevel"/>
    <w:tmpl w:val="09C666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2127BB"/>
    <w:multiLevelType w:val="hybridMultilevel"/>
    <w:tmpl w:val="74D80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34154FA"/>
    <w:multiLevelType w:val="hybridMultilevel"/>
    <w:tmpl w:val="16C86050"/>
    <w:lvl w:ilvl="0" w:tplc="7B9692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AAC6550"/>
    <w:multiLevelType w:val="hybridMultilevel"/>
    <w:tmpl w:val="E9E0D8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19"/>
  </w:num>
  <w:num w:numId="4">
    <w:abstractNumId w:val="12"/>
  </w:num>
  <w:num w:numId="5">
    <w:abstractNumId w:val="15"/>
  </w:num>
  <w:num w:numId="6">
    <w:abstractNumId w:val="11"/>
  </w:num>
  <w:num w:numId="7">
    <w:abstractNumId w:val="7"/>
  </w:num>
  <w:num w:numId="8">
    <w:abstractNumId w:val="13"/>
  </w:num>
  <w:num w:numId="9">
    <w:abstractNumId w:val="8"/>
  </w:num>
  <w:num w:numId="10">
    <w:abstractNumId w:val="10"/>
  </w:num>
  <w:num w:numId="11">
    <w:abstractNumId w:val="21"/>
  </w:num>
  <w:num w:numId="12">
    <w:abstractNumId w:val="20"/>
  </w:num>
  <w:num w:numId="13">
    <w:abstractNumId w:val="5"/>
  </w:num>
  <w:num w:numId="14">
    <w:abstractNumId w:val="0"/>
  </w:num>
  <w:num w:numId="15">
    <w:abstractNumId w:val="9"/>
  </w:num>
  <w:num w:numId="16">
    <w:abstractNumId w:val="17"/>
  </w:num>
  <w:num w:numId="17">
    <w:abstractNumId w:val="23"/>
  </w:num>
  <w:num w:numId="18">
    <w:abstractNumId w:val="14"/>
  </w:num>
  <w:num w:numId="19">
    <w:abstractNumId w:val="22"/>
  </w:num>
  <w:num w:numId="20">
    <w:abstractNumId w:val="6"/>
  </w:num>
  <w:num w:numId="21">
    <w:abstractNumId w:val="4"/>
  </w:num>
  <w:num w:numId="22">
    <w:abstractNumId w:val="18"/>
  </w:num>
  <w:num w:numId="23">
    <w:abstractNumId w:val="16"/>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0C16"/>
    <w:rsid w:val="00010FA0"/>
    <w:rsid w:val="00014A71"/>
    <w:rsid w:val="000160A4"/>
    <w:rsid w:val="00016FE9"/>
    <w:rsid w:val="0001767D"/>
    <w:rsid w:val="00025839"/>
    <w:rsid w:val="00027155"/>
    <w:rsid w:val="00030CD8"/>
    <w:rsid w:val="00030F41"/>
    <w:rsid w:val="00033699"/>
    <w:rsid w:val="00034AFC"/>
    <w:rsid w:val="00037689"/>
    <w:rsid w:val="00042708"/>
    <w:rsid w:val="00043429"/>
    <w:rsid w:val="000446F4"/>
    <w:rsid w:val="00045B35"/>
    <w:rsid w:val="000519D5"/>
    <w:rsid w:val="000519F8"/>
    <w:rsid w:val="000551DB"/>
    <w:rsid w:val="00056C3A"/>
    <w:rsid w:val="000660A3"/>
    <w:rsid w:val="0007176A"/>
    <w:rsid w:val="00072A53"/>
    <w:rsid w:val="0008145B"/>
    <w:rsid w:val="00084907"/>
    <w:rsid w:val="00091E07"/>
    <w:rsid w:val="00095FDB"/>
    <w:rsid w:val="000A04B8"/>
    <w:rsid w:val="000A15B9"/>
    <w:rsid w:val="000A196D"/>
    <w:rsid w:val="000A7B2A"/>
    <w:rsid w:val="000B087F"/>
    <w:rsid w:val="000B7F0F"/>
    <w:rsid w:val="000C0189"/>
    <w:rsid w:val="000C0AA9"/>
    <w:rsid w:val="000C18B3"/>
    <w:rsid w:val="000D0B1C"/>
    <w:rsid w:val="000D3276"/>
    <w:rsid w:val="000D33D4"/>
    <w:rsid w:val="000D347C"/>
    <w:rsid w:val="000E33C1"/>
    <w:rsid w:val="000E3537"/>
    <w:rsid w:val="000E3CA0"/>
    <w:rsid w:val="000F5137"/>
    <w:rsid w:val="000F5507"/>
    <w:rsid w:val="000F6538"/>
    <w:rsid w:val="00102404"/>
    <w:rsid w:val="0010367F"/>
    <w:rsid w:val="00103FFB"/>
    <w:rsid w:val="00104C3E"/>
    <w:rsid w:val="00107B33"/>
    <w:rsid w:val="00114B2C"/>
    <w:rsid w:val="00114D49"/>
    <w:rsid w:val="00114F7D"/>
    <w:rsid w:val="00115AE9"/>
    <w:rsid w:val="001164B8"/>
    <w:rsid w:val="001229E8"/>
    <w:rsid w:val="00123974"/>
    <w:rsid w:val="00125A1D"/>
    <w:rsid w:val="00127335"/>
    <w:rsid w:val="00133C28"/>
    <w:rsid w:val="00135F38"/>
    <w:rsid w:val="00137300"/>
    <w:rsid w:val="00137DAC"/>
    <w:rsid w:val="00140D52"/>
    <w:rsid w:val="00144F5A"/>
    <w:rsid w:val="001460FE"/>
    <w:rsid w:val="00146BE9"/>
    <w:rsid w:val="001470A9"/>
    <w:rsid w:val="001474B5"/>
    <w:rsid w:val="00155C68"/>
    <w:rsid w:val="00156667"/>
    <w:rsid w:val="00161F09"/>
    <w:rsid w:val="00164C5E"/>
    <w:rsid w:val="001666D7"/>
    <w:rsid w:val="00166D35"/>
    <w:rsid w:val="0017558F"/>
    <w:rsid w:val="00180F0F"/>
    <w:rsid w:val="001819AA"/>
    <w:rsid w:val="00181F7B"/>
    <w:rsid w:val="00183B50"/>
    <w:rsid w:val="00191174"/>
    <w:rsid w:val="001931C3"/>
    <w:rsid w:val="001A1034"/>
    <w:rsid w:val="001A13EF"/>
    <w:rsid w:val="001A2EEA"/>
    <w:rsid w:val="001A4906"/>
    <w:rsid w:val="001A4F3E"/>
    <w:rsid w:val="001A50DB"/>
    <w:rsid w:val="001B29CD"/>
    <w:rsid w:val="001B3AB3"/>
    <w:rsid w:val="001C1688"/>
    <w:rsid w:val="001C2C1B"/>
    <w:rsid w:val="001C2D98"/>
    <w:rsid w:val="001C4050"/>
    <w:rsid w:val="001C64AC"/>
    <w:rsid w:val="001C66D2"/>
    <w:rsid w:val="001D7A69"/>
    <w:rsid w:val="001E1037"/>
    <w:rsid w:val="001E1B85"/>
    <w:rsid w:val="001E5A32"/>
    <w:rsid w:val="001E7EA0"/>
    <w:rsid w:val="001E7F5F"/>
    <w:rsid w:val="001F07CD"/>
    <w:rsid w:val="001F15B1"/>
    <w:rsid w:val="001F6507"/>
    <w:rsid w:val="001F71F0"/>
    <w:rsid w:val="002022A6"/>
    <w:rsid w:val="002054CA"/>
    <w:rsid w:val="00205D9B"/>
    <w:rsid w:val="00211D2E"/>
    <w:rsid w:val="002143E4"/>
    <w:rsid w:val="00223FAD"/>
    <w:rsid w:val="00224A61"/>
    <w:rsid w:val="00225CB7"/>
    <w:rsid w:val="00227FFB"/>
    <w:rsid w:val="00236AC7"/>
    <w:rsid w:val="0024753B"/>
    <w:rsid w:val="002507B1"/>
    <w:rsid w:val="0025239A"/>
    <w:rsid w:val="00253916"/>
    <w:rsid w:val="00254816"/>
    <w:rsid w:val="00256448"/>
    <w:rsid w:val="002611F3"/>
    <w:rsid w:val="00270201"/>
    <w:rsid w:val="00270693"/>
    <w:rsid w:val="00271C7E"/>
    <w:rsid w:val="002733F6"/>
    <w:rsid w:val="00283528"/>
    <w:rsid w:val="00285453"/>
    <w:rsid w:val="002905E5"/>
    <w:rsid w:val="00295A5E"/>
    <w:rsid w:val="00295CE1"/>
    <w:rsid w:val="002A13D7"/>
    <w:rsid w:val="002A19C5"/>
    <w:rsid w:val="002A2085"/>
    <w:rsid w:val="002A4C35"/>
    <w:rsid w:val="002A551E"/>
    <w:rsid w:val="002A5CC7"/>
    <w:rsid w:val="002A7E22"/>
    <w:rsid w:val="002B307C"/>
    <w:rsid w:val="002B41BE"/>
    <w:rsid w:val="002B6EF4"/>
    <w:rsid w:val="002C3F17"/>
    <w:rsid w:val="002C665B"/>
    <w:rsid w:val="002C6959"/>
    <w:rsid w:val="002C6F2D"/>
    <w:rsid w:val="002D0AA6"/>
    <w:rsid w:val="002D53F2"/>
    <w:rsid w:val="002D65A0"/>
    <w:rsid w:val="002D75C7"/>
    <w:rsid w:val="002E6562"/>
    <w:rsid w:val="002F0505"/>
    <w:rsid w:val="002F2AED"/>
    <w:rsid w:val="002F7232"/>
    <w:rsid w:val="00304426"/>
    <w:rsid w:val="003044D6"/>
    <w:rsid w:val="003074D4"/>
    <w:rsid w:val="00310CAB"/>
    <w:rsid w:val="003124CF"/>
    <w:rsid w:val="00314A13"/>
    <w:rsid w:val="00320B81"/>
    <w:rsid w:val="00321761"/>
    <w:rsid w:val="00331595"/>
    <w:rsid w:val="00331C20"/>
    <w:rsid w:val="00335C3E"/>
    <w:rsid w:val="00337272"/>
    <w:rsid w:val="0036017C"/>
    <w:rsid w:val="0036125C"/>
    <w:rsid w:val="00361FF0"/>
    <w:rsid w:val="00362351"/>
    <w:rsid w:val="0037023F"/>
    <w:rsid w:val="003721BD"/>
    <w:rsid w:val="003777E0"/>
    <w:rsid w:val="00387C11"/>
    <w:rsid w:val="00390099"/>
    <w:rsid w:val="00390AAF"/>
    <w:rsid w:val="003919D1"/>
    <w:rsid w:val="00391A9F"/>
    <w:rsid w:val="00395025"/>
    <w:rsid w:val="00396A57"/>
    <w:rsid w:val="003A0C41"/>
    <w:rsid w:val="003A1317"/>
    <w:rsid w:val="003A1ED1"/>
    <w:rsid w:val="003A5A9F"/>
    <w:rsid w:val="003B0D36"/>
    <w:rsid w:val="003B2410"/>
    <w:rsid w:val="003B3D50"/>
    <w:rsid w:val="003B4E5D"/>
    <w:rsid w:val="003B7AF6"/>
    <w:rsid w:val="003C2937"/>
    <w:rsid w:val="003C4E23"/>
    <w:rsid w:val="003C5026"/>
    <w:rsid w:val="003C7320"/>
    <w:rsid w:val="003D0C1B"/>
    <w:rsid w:val="003D29B5"/>
    <w:rsid w:val="003D2A75"/>
    <w:rsid w:val="003D58C1"/>
    <w:rsid w:val="003E1E55"/>
    <w:rsid w:val="003E39B0"/>
    <w:rsid w:val="003F2AF7"/>
    <w:rsid w:val="003F670A"/>
    <w:rsid w:val="00403568"/>
    <w:rsid w:val="004048D4"/>
    <w:rsid w:val="004070A0"/>
    <w:rsid w:val="00407E25"/>
    <w:rsid w:val="00407F6D"/>
    <w:rsid w:val="00412D00"/>
    <w:rsid w:val="0041683B"/>
    <w:rsid w:val="00417F67"/>
    <w:rsid w:val="00421523"/>
    <w:rsid w:val="00423A61"/>
    <w:rsid w:val="0043515E"/>
    <w:rsid w:val="004366D8"/>
    <w:rsid w:val="00436830"/>
    <w:rsid w:val="00440346"/>
    <w:rsid w:val="00442D4B"/>
    <w:rsid w:val="00446A3B"/>
    <w:rsid w:val="00450691"/>
    <w:rsid w:val="00451538"/>
    <w:rsid w:val="004521F5"/>
    <w:rsid w:val="00453F67"/>
    <w:rsid w:val="00456507"/>
    <w:rsid w:val="00456557"/>
    <w:rsid w:val="00460076"/>
    <w:rsid w:val="0046041D"/>
    <w:rsid w:val="00465D68"/>
    <w:rsid w:val="00467368"/>
    <w:rsid w:val="0047394D"/>
    <w:rsid w:val="004744D4"/>
    <w:rsid w:val="00475F24"/>
    <w:rsid w:val="004874E4"/>
    <w:rsid w:val="00487F47"/>
    <w:rsid w:val="00494034"/>
    <w:rsid w:val="00496362"/>
    <w:rsid w:val="00496B9C"/>
    <w:rsid w:val="004973B3"/>
    <w:rsid w:val="004A488C"/>
    <w:rsid w:val="004A6A68"/>
    <w:rsid w:val="004B57FE"/>
    <w:rsid w:val="004B7CB7"/>
    <w:rsid w:val="004C17F6"/>
    <w:rsid w:val="004C6ED2"/>
    <w:rsid w:val="004D1AA3"/>
    <w:rsid w:val="004D5FE4"/>
    <w:rsid w:val="004E137A"/>
    <w:rsid w:val="004E1D98"/>
    <w:rsid w:val="004E5FFD"/>
    <w:rsid w:val="004E6473"/>
    <w:rsid w:val="004F7053"/>
    <w:rsid w:val="004F74F4"/>
    <w:rsid w:val="00500665"/>
    <w:rsid w:val="005148E2"/>
    <w:rsid w:val="00517942"/>
    <w:rsid w:val="00524027"/>
    <w:rsid w:val="005254AB"/>
    <w:rsid w:val="00525A07"/>
    <w:rsid w:val="005335E0"/>
    <w:rsid w:val="005345EE"/>
    <w:rsid w:val="005356CB"/>
    <w:rsid w:val="005378AD"/>
    <w:rsid w:val="0054374D"/>
    <w:rsid w:val="00553CE3"/>
    <w:rsid w:val="0056361B"/>
    <w:rsid w:val="005703DC"/>
    <w:rsid w:val="00570CAE"/>
    <w:rsid w:val="00576043"/>
    <w:rsid w:val="005800FD"/>
    <w:rsid w:val="00580340"/>
    <w:rsid w:val="00581028"/>
    <w:rsid w:val="005847B6"/>
    <w:rsid w:val="0059177B"/>
    <w:rsid w:val="00597025"/>
    <w:rsid w:val="0059794F"/>
    <w:rsid w:val="005A1702"/>
    <w:rsid w:val="005A1C18"/>
    <w:rsid w:val="005A1D94"/>
    <w:rsid w:val="005A5B54"/>
    <w:rsid w:val="005B5373"/>
    <w:rsid w:val="005C23FD"/>
    <w:rsid w:val="005C5BF8"/>
    <w:rsid w:val="005C6B09"/>
    <w:rsid w:val="005D1B38"/>
    <w:rsid w:val="005E2016"/>
    <w:rsid w:val="005E3BEF"/>
    <w:rsid w:val="005E5956"/>
    <w:rsid w:val="005E6EF5"/>
    <w:rsid w:val="006063EC"/>
    <w:rsid w:val="006068D6"/>
    <w:rsid w:val="00613CDF"/>
    <w:rsid w:val="00620A1D"/>
    <w:rsid w:val="006221E0"/>
    <w:rsid w:val="00622434"/>
    <w:rsid w:val="00627DEC"/>
    <w:rsid w:val="00634330"/>
    <w:rsid w:val="006413E5"/>
    <w:rsid w:val="00646022"/>
    <w:rsid w:val="006460FB"/>
    <w:rsid w:val="00652AAE"/>
    <w:rsid w:val="006550FA"/>
    <w:rsid w:val="00657DE4"/>
    <w:rsid w:val="006630F3"/>
    <w:rsid w:val="00664A29"/>
    <w:rsid w:val="00666F3A"/>
    <w:rsid w:val="00667E8E"/>
    <w:rsid w:val="0068489E"/>
    <w:rsid w:val="00691952"/>
    <w:rsid w:val="0069231F"/>
    <w:rsid w:val="00695F6E"/>
    <w:rsid w:val="006A216C"/>
    <w:rsid w:val="006A45CB"/>
    <w:rsid w:val="006A5BDB"/>
    <w:rsid w:val="006B0273"/>
    <w:rsid w:val="006B10F4"/>
    <w:rsid w:val="006B1236"/>
    <w:rsid w:val="006B26DA"/>
    <w:rsid w:val="006B5F36"/>
    <w:rsid w:val="006B69D9"/>
    <w:rsid w:val="006C5E24"/>
    <w:rsid w:val="006C6881"/>
    <w:rsid w:val="006D5016"/>
    <w:rsid w:val="006D5948"/>
    <w:rsid w:val="006D689A"/>
    <w:rsid w:val="006E1BCE"/>
    <w:rsid w:val="006E22EA"/>
    <w:rsid w:val="006F0F1F"/>
    <w:rsid w:val="007071DD"/>
    <w:rsid w:val="007072A1"/>
    <w:rsid w:val="00713A57"/>
    <w:rsid w:val="0071453A"/>
    <w:rsid w:val="00716F1B"/>
    <w:rsid w:val="00717C64"/>
    <w:rsid w:val="0072299D"/>
    <w:rsid w:val="00725173"/>
    <w:rsid w:val="00726803"/>
    <w:rsid w:val="00741C6E"/>
    <w:rsid w:val="00743BD0"/>
    <w:rsid w:val="0075081A"/>
    <w:rsid w:val="007560F0"/>
    <w:rsid w:val="00761007"/>
    <w:rsid w:val="00761140"/>
    <w:rsid w:val="00761F27"/>
    <w:rsid w:val="0076568E"/>
    <w:rsid w:val="0076754E"/>
    <w:rsid w:val="00767FF4"/>
    <w:rsid w:val="007805C4"/>
    <w:rsid w:val="00781603"/>
    <w:rsid w:val="0078254B"/>
    <w:rsid w:val="00785552"/>
    <w:rsid w:val="00786D2F"/>
    <w:rsid w:val="00796287"/>
    <w:rsid w:val="007A51AE"/>
    <w:rsid w:val="007C0125"/>
    <w:rsid w:val="007C16F0"/>
    <w:rsid w:val="007C5D3A"/>
    <w:rsid w:val="007C780E"/>
    <w:rsid w:val="007D00DC"/>
    <w:rsid w:val="007D0B72"/>
    <w:rsid w:val="007D3A37"/>
    <w:rsid w:val="007E6CE8"/>
    <w:rsid w:val="007F1974"/>
    <w:rsid w:val="00802D59"/>
    <w:rsid w:val="00805D3D"/>
    <w:rsid w:val="0080789D"/>
    <w:rsid w:val="008115FB"/>
    <w:rsid w:val="0081742B"/>
    <w:rsid w:val="008235DC"/>
    <w:rsid w:val="00823631"/>
    <w:rsid w:val="008316E3"/>
    <w:rsid w:val="00843F98"/>
    <w:rsid w:val="00846552"/>
    <w:rsid w:val="00846889"/>
    <w:rsid w:val="00851630"/>
    <w:rsid w:val="00851CD7"/>
    <w:rsid w:val="00853718"/>
    <w:rsid w:val="0085418B"/>
    <w:rsid w:val="00860515"/>
    <w:rsid w:val="00860997"/>
    <w:rsid w:val="0086362E"/>
    <w:rsid w:val="00864898"/>
    <w:rsid w:val="00873ED1"/>
    <w:rsid w:val="00880116"/>
    <w:rsid w:val="00880840"/>
    <w:rsid w:val="00882F0E"/>
    <w:rsid w:val="00883366"/>
    <w:rsid w:val="008866D9"/>
    <w:rsid w:val="008919DA"/>
    <w:rsid w:val="00892830"/>
    <w:rsid w:val="00892E83"/>
    <w:rsid w:val="008967DC"/>
    <w:rsid w:val="008A13F9"/>
    <w:rsid w:val="008A17E9"/>
    <w:rsid w:val="008A2380"/>
    <w:rsid w:val="008A5346"/>
    <w:rsid w:val="008A60AF"/>
    <w:rsid w:val="008B1611"/>
    <w:rsid w:val="008B3376"/>
    <w:rsid w:val="008B5B43"/>
    <w:rsid w:val="008C0C16"/>
    <w:rsid w:val="008C425A"/>
    <w:rsid w:val="008C5C61"/>
    <w:rsid w:val="008C76C7"/>
    <w:rsid w:val="008D212C"/>
    <w:rsid w:val="008D7DEB"/>
    <w:rsid w:val="008E5655"/>
    <w:rsid w:val="008E614B"/>
    <w:rsid w:val="008F09E1"/>
    <w:rsid w:val="008F63FC"/>
    <w:rsid w:val="008F68BA"/>
    <w:rsid w:val="00901254"/>
    <w:rsid w:val="00901740"/>
    <w:rsid w:val="00907BBE"/>
    <w:rsid w:val="0091439C"/>
    <w:rsid w:val="00923786"/>
    <w:rsid w:val="00923CC5"/>
    <w:rsid w:val="00924CAC"/>
    <w:rsid w:val="00926AD2"/>
    <w:rsid w:val="0093061F"/>
    <w:rsid w:val="009319AD"/>
    <w:rsid w:val="00943D22"/>
    <w:rsid w:val="00951466"/>
    <w:rsid w:val="009524A1"/>
    <w:rsid w:val="00954D48"/>
    <w:rsid w:val="0096043B"/>
    <w:rsid w:val="00965858"/>
    <w:rsid w:val="00974134"/>
    <w:rsid w:val="009775F5"/>
    <w:rsid w:val="00980F13"/>
    <w:rsid w:val="00981DF3"/>
    <w:rsid w:val="00985EF4"/>
    <w:rsid w:val="00986160"/>
    <w:rsid w:val="00990309"/>
    <w:rsid w:val="0099042A"/>
    <w:rsid w:val="0099066D"/>
    <w:rsid w:val="00990D29"/>
    <w:rsid w:val="00995EF3"/>
    <w:rsid w:val="0099678E"/>
    <w:rsid w:val="009A032E"/>
    <w:rsid w:val="009A6E61"/>
    <w:rsid w:val="009B2B08"/>
    <w:rsid w:val="009B5E5D"/>
    <w:rsid w:val="009C34A1"/>
    <w:rsid w:val="009C3867"/>
    <w:rsid w:val="009C669E"/>
    <w:rsid w:val="009C7559"/>
    <w:rsid w:val="009D1417"/>
    <w:rsid w:val="009D2B3A"/>
    <w:rsid w:val="009D3C49"/>
    <w:rsid w:val="009D4438"/>
    <w:rsid w:val="009E0860"/>
    <w:rsid w:val="009E2A06"/>
    <w:rsid w:val="009E594A"/>
    <w:rsid w:val="009E59BD"/>
    <w:rsid w:val="009E71BC"/>
    <w:rsid w:val="009F2F52"/>
    <w:rsid w:val="009F3273"/>
    <w:rsid w:val="009F5469"/>
    <w:rsid w:val="009F581B"/>
    <w:rsid w:val="009F5888"/>
    <w:rsid w:val="00A00081"/>
    <w:rsid w:val="00A021D2"/>
    <w:rsid w:val="00A04C5B"/>
    <w:rsid w:val="00A052EE"/>
    <w:rsid w:val="00A06C70"/>
    <w:rsid w:val="00A119F3"/>
    <w:rsid w:val="00A122E9"/>
    <w:rsid w:val="00A127FA"/>
    <w:rsid w:val="00A13B4C"/>
    <w:rsid w:val="00A14991"/>
    <w:rsid w:val="00A22291"/>
    <w:rsid w:val="00A3288E"/>
    <w:rsid w:val="00A333E9"/>
    <w:rsid w:val="00A34177"/>
    <w:rsid w:val="00A347CC"/>
    <w:rsid w:val="00A3588E"/>
    <w:rsid w:val="00A37356"/>
    <w:rsid w:val="00A40A3D"/>
    <w:rsid w:val="00A42911"/>
    <w:rsid w:val="00A43B8C"/>
    <w:rsid w:val="00A45924"/>
    <w:rsid w:val="00A5411F"/>
    <w:rsid w:val="00A547FA"/>
    <w:rsid w:val="00A55A20"/>
    <w:rsid w:val="00A615CE"/>
    <w:rsid w:val="00A648D1"/>
    <w:rsid w:val="00A73998"/>
    <w:rsid w:val="00A74C2C"/>
    <w:rsid w:val="00A75F02"/>
    <w:rsid w:val="00A77022"/>
    <w:rsid w:val="00A77E01"/>
    <w:rsid w:val="00A80CF4"/>
    <w:rsid w:val="00A81451"/>
    <w:rsid w:val="00A8424F"/>
    <w:rsid w:val="00A85B00"/>
    <w:rsid w:val="00A91700"/>
    <w:rsid w:val="00A93596"/>
    <w:rsid w:val="00A9622E"/>
    <w:rsid w:val="00AA11FE"/>
    <w:rsid w:val="00AB05C0"/>
    <w:rsid w:val="00AB6D9C"/>
    <w:rsid w:val="00AC2D4C"/>
    <w:rsid w:val="00AC3120"/>
    <w:rsid w:val="00AC4CB9"/>
    <w:rsid w:val="00AC524E"/>
    <w:rsid w:val="00AD143E"/>
    <w:rsid w:val="00AD3E25"/>
    <w:rsid w:val="00AE215A"/>
    <w:rsid w:val="00AE4AF1"/>
    <w:rsid w:val="00AE61F3"/>
    <w:rsid w:val="00AE79B5"/>
    <w:rsid w:val="00AF10A9"/>
    <w:rsid w:val="00AF1531"/>
    <w:rsid w:val="00AF1641"/>
    <w:rsid w:val="00AF2384"/>
    <w:rsid w:val="00AF2EDA"/>
    <w:rsid w:val="00AF490B"/>
    <w:rsid w:val="00AF6584"/>
    <w:rsid w:val="00AF710B"/>
    <w:rsid w:val="00B0097B"/>
    <w:rsid w:val="00B013B1"/>
    <w:rsid w:val="00B05C81"/>
    <w:rsid w:val="00B05E52"/>
    <w:rsid w:val="00B06B15"/>
    <w:rsid w:val="00B07244"/>
    <w:rsid w:val="00B12A30"/>
    <w:rsid w:val="00B14840"/>
    <w:rsid w:val="00B16E08"/>
    <w:rsid w:val="00B23056"/>
    <w:rsid w:val="00B302CC"/>
    <w:rsid w:val="00B30E58"/>
    <w:rsid w:val="00B32C5A"/>
    <w:rsid w:val="00B336A0"/>
    <w:rsid w:val="00B35A78"/>
    <w:rsid w:val="00B363C6"/>
    <w:rsid w:val="00B413B2"/>
    <w:rsid w:val="00B430CE"/>
    <w:rsid w:val="00B448C4"/>
    <w:rsid w:val="00B46048"/>
    <w:rsid w:val="00B50098"/>
    <w:rsid w:val="00B54CB6"/>
    <w:rsid w:val="00B56A22"/>
    <w:rsid w:val="00B56C45"/>
    <w:rsid w:val="00B654DA"/>
    <w:rsid w:val="00B71B44"/>
    <w:rsid w:val="00B812D0"/>
    <w:rsid w:val="00B851CF"/>
    <w:rsid w:val="00B90886"/>
    <w:rsid w:val="00BA172E"/>
    <w:rsid w:val="00BA1C6F"/>
    <w:rsid w:val="00BA254E"/>
    <w:rsid w:val="00BA4095"/>
    <w:rsid w:val="00BB274E"/>
    <w:rsid w:val="00BB45C2"/>
    <w:rsid w:val="00BB5122"/>
    <w:rsid w:val="00BB62FF"/>
    <w:rsid w:val="00BC0AFD"/>
    <w:rsid w:val="00BC3833"/>
    <w:rsid w:val="00BC6128"/>
    <w:rsid w:val="00BD05E9"/>
    <w:rsid w:val="00BD1BE3"/>
    <w:rsid w:val="00BD5C63"/>
    <w:rsid w:val="00BD6BAC"/>
    <w:rsid w:val="00BD7317"/>
    <w:rsid w:val="00BE0002"/>
    <w:rsid w:val="00BE7677"/>
    <w:rsid w:val="00BF0F0C"/>
    <w:rsid w:val="00BF1735"/>
    <w:rsid w:val="00BF2BDF"/>
    <w:rsid w:val="00C0575B"/>
    <w:rsid w:val="00C11B6F"/>
    <w:rsid w:val="00C1440E"/>
    <w:rsid w:val="00C14451"/>
    <w:rsid w:val="00C14BB5"/>
    <w:rsid w:val="00C25FCB"/>
    <w:rsid w:val="00C27DB7"/>
    <w:rsid w:val="00C30ED1"/>
    <w:rsid w:val="00C332B9"/>
    <w:rsid w:val="00C34D9D"/>
    <w:rsid w:val="00C4371E"/>
    <w:rsid w:val="00C44285"/>
    <w:rsid w:val="00C457C0"/>
    <w:rsid w:val="00C45B27"/>
    <w:rsid w:val="00C503C9"/>
    <w:rsid w:val="00C513D6"/>
    <w:rsid w:val="00C55938"/>
    <w:rsid w:val="00C57290"/>
    <w:rsid w:val="00C57B92"/>
    <w:rsid w:val="00C70FA4"/>
    <w:rsid w:val="00C71011"/>
    <w:rsid w:val="00C73605"/>
    <w:rsid w:val="00C7391E"/>
    <w:rsid w:val="00C769D1"/>
    <w:rsid w:val="00C807BD"/>
    <w:rsid w:val="00C84350"/>
    <w:rsid w:val="00C94003"/>
    <w:rsid w:val="00C96B84"/>
    <w:rsid w:val="00CA1FDE"/>
    <w:rsid w:val="00CB0E45"/>
    <w:rsid w:val="00CC33D0"/>
    <w:rsid w:val="00CC3CD0"/>
    <w:rsid w:val="00CC646C"/>
    <w:rsid w:val="00CD067A"/>
    <w:rsid w:val="00CE131F"/>
    <w:rsid w:val="00CE2C53"/>
    <w:rsid w:val="00CE3401"/>
    <w:rsid w:val="00CE490E"/>
    <w:rsid w:val="00CE4E48"/>
    <w:rsid w:val="00CE5AC0"/>
    <w:rsid w:val="00CF530C"/>
    <w:rsid w:val="00CF5D3D"/>
    <w:rsid w:val="00D05BB6"/>
    <w:rsid w:val="00D063DB"/>
    <w:rsid w:val="00D06BC6"/>
    <w:rsid w:val="00D10F81"/>
    <w:rsid w:val="00D12A71"/>
    <w:rsid w:val="00D14608"/>
    <w:rsid w:val="00D14CD2"/>
    <w:rsid w:val="00D24706"/>
    <w:rsid w:val="00D3003E"/>
    <w:rsid w:val="00D30C3D"/>
    <w:rsid w:val="00D30E03"/>
    <w:rsid w:val="00D3543A"/>
    <w:rsid w:val="00D372BC"/>
    <w:rsid w:val="00D378F7"/>
    <w:rsid w:val="00D430EE"/>
    <w:rsid w:val="00D43D55"/>
    <w:rsid w:val="00D57D80"/>
    <w:rsid w:val="00D57E5E"/>
    <w:rsid w:val="00D62D0D"/>
    <w:rsid w:val="00D71EE6"/>
    <w:rsid w:val="00D7213E"/>
    <w:rsid w:val="00D76D21"/>
    <w:rsid w:val="00D77CB1"/>
    <w:rsid w:val="00D82308"/>
    <w:rsid w:val="00D83C67"/>
    <w:rsid w:val="00D83D66"/>
    <w:rsid w:val="00D91B36"/>
    <w:rsid w:val="00DA3CCD"/>
    <w:rsid w:val="00DB0231"/>
    <w:rsid w:val="00DB2BBD"/>
    <w:rsid w:val="00DC0987"/>
    <w:rsid w:val="00DC444E"/>
    <w:rsid w:val="00DC7E49"/>
    <w:rsid w:val="00DD4DEE"/>
    <w:rsid w:val="00DD53A4"/>
    <w:rsid w:val="00DD5B10"/>
    <w:rsid w:val="00DE1CF3"/>
    <w:rsid w:val="00DE3841"/>
    <w:rsid w:val="00DE3A5E"/>
    <w:rsid w:val="00DE567C"/>
    <w:rsid w:val="00DF0CBF"/>
    <w:rsid w:val="00DF25E9"/>
    <w:rsid w:val="00DF287E"/>
    <w:rsid w:val="00DF63B7"/>
    <w:rsid w:val="00DF7B24"/>
    <w:rsid w:val="00E077E7"/>
    <w:rsid w:val="00E113AE"/>
    <w:rsid w:val="00E12349"/>
    <w:rsid w:val="00E14B9E"/>
    <w:rsid w:val="00E14CBC"/>
    <w:rsid w:val="00E167E1"/>
    <w:rsid w:val="00E16C64"/>
    <w:rsid w:val="00E218F5"/>
    <w:rsid w:val="00E21D90"/>
    <w:rsid w:val="00E22688"/>
    <w:rsid w:val="00E22CCA"/>
    <w:rsid w:val="00E2623E"/>
    <w:rsid w:val="00E45788"/>
    <w:rsid w:val="00E51E59"/>
    <w:rsid w:val="00E523EF"/>
    <w:rsid w:val="00E54990"/>
    <w:rsid w:val="00E62B66"/>
    <w:rsid w:val="00E63A66"/>
    <w:rsid w:val="00E65D72"/>
    <w:rsid w:val="00E71230"/>
    <w:rsid w:val="00E76CEB"/>
    <w:rsid w:val="00E77301"/>
    <w:rsid w:val="00E8100B"/>
    <w:rsid w:val="00E82643"/>
    <w:rsid w:val="00E86D9D"/>
    <w:rsid w:val="00E86DD3"/>
    <w:rsid w:val="00E933F5"/>
    <w:rsid w:val="00EA3820"/>
    <w:rsid w:val="00EA411D"/>
    <w:rsid w:val="00EA7106"/>
    <w:rsid w:val="00EA7443"/>
    <w:rsid w:val="00EB29A4"/>
    <w:rsid w:val="00EB3145"/>
    <w:rsid w:val="00EC67D8"/>
    <w:rsid w:val="00ED0669"/>
    <w:rsid w:val="00ED1A25"/>
    <w:rsid w:val="00ED34EA"/>
    <w:rsid w:val="00ED3569"/>
    <w:rsid w:val="00ED67C3"/>
    <w:rsid w:val="00ED6F68"/>
    <w:rsid w:val="00EE0347"/>
    <w:rsid w:val="00EE4C62"/>
    <w:rsid w:val="00EF04BB"/>
    <w:rsid w:val="00EF7412"/>
    <w:rsid w:val="00F007B7"/>
    <w:rsid w:val="00F0504F"/>
    <w:rsid w:val="00F10AA0"/>
    <w:rsid w:val="00F12BD7"/>
    <w:rsid w:val="00F13363"/>
    <w:rsid w:val="00F151BD"/>
    <w:rsid w:val="00F21CE6"/>
    <w:rsid w:val="00F22413"/>
    <w:rsid w:val="00F2412C"/>
    <w:rsid w:val="00F333B8"/>
    <w:rsid w:val="00F336F7"/>
    <w:rsid w:val="00F447B4"/>
    <w:rsid w:val="00F47520"/>
    <w:rsid w:val="00F47A43"/>
    <w:rsid w:val="00F576D8"/>
    <w:rsid w:val="00F61CD9"/>
    <w:rsid w:val="00F659F8"/>
    <w:rsid w:val="00F7057E"/>
    <w:rsid w:val="00F75305"/>
    <w:rsid w:val="00F7734E"/>
    <w:rsid w:val="00F77949"/>
    <w:rsid w:val="00F83B89"/>
    <w:rsid w:val="00F83FBD"/>
    <w:rsid w:val="00F86A98"/>
    <w:rsid w:val="00F92C7C"/>
    <w:rsid w:val="00F9711D"/>
    <w:rsid w:val="00FA2BD7"/>
    <w:rsid w:val="00FC4233"/>
    <w:rsid w:val="00FE1E56"/>
    <w:rsid w:val="00FE484B"/>
    <w:rsid w:val="00FE5186"/>
    <w:rsid w:val="00FF0CF3"/>
    <w:rsid w:val="00FF52C5"/>
    <w:rsid w:val="00FF616B"/>
    <w:rsid w:val="00FF7E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8C0C16"/>
    <w:pPr>
      <w:spacing w:before="75" w:after="75"/>
      <w:jc w:val="right"/>
    </w:pPr>
  </w:style>
  <w:style w:type="table" w:styleId="Reatabula">
    <w:name w:val="Table Grid"/>
    <w:basedOn w:val="Parastatabula"/>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rsid w:val="008C0C16"/>
    <w:pPr>
      <w:spacing w:before="75" w:after="75"/>
    </w:pPr>
  </w:style>
  <w:style w:type="paragraph" w:customStyle="1" w:styleId="naispant">
    <w:name w:val="naispant"/>
    <w:basedOn w:val="Parastais"/>
    <w:rsid w:val="008C0C16"/>
    <w:pPr>
      <w:spacing w:before="100" w:beforeAutospacing="1" w:after="100" w:afterAutospacing="1"/>
    </w:pPr>
  </w:style>
  <w:style w:type="paragraph" w:styleId="Galvene">
    <w:name w:val="header"/>
    <w:basedOn w:val="Parastais"/>
    <w:rsid w:val="008C0C16"/>
    <w:pPr>
      <w:tabs>
        <w:tab w:val="center" w:pos="4153"/>
        <w:tab w:val="right" w:pos="8306"/>
      </w:tabs>
    </w:pPr>
  </w:style>
  <w:style w:type="character" w:styleId="Lappusesnumurs">
    <w:name w:val="page number"/>
    <w:basedOn w:val="Noklusjumarindkopasfonts"/>
    <w:rsid w:val="008C0C16"/>
  </w:style>
  <w:style w:type="paragraph" w:customStyle="1" w:styleId="naisnod">
    <w:name w:val="naisnod"/>
    <w:basedOn w:val="Parastais"/>
    <w:rsid w:val="008C0C16"/>
    <w:pPr>
      <w:spacing w:before="150" w:after="150"/>
      <w:jc w:val="center"/>
    </w:pPr>
    <w:rPr>
      <w:b/>
      <w:bCs/>
    </w:rPr>
  </w:style>
  <w:style w:type="paragraph" w:customStyle="1" w:styleId="naisf">
    <w:name w:val="naisf"/>
    <w:basedOn w:val="Parastais"/>
    <w:rsid w:val="008C0C16"/>
    <w:pPr>
      <w:spacing w:before="75" w:after="75"/>
      <w:ind w:firstLine="375"/>
      <w:jc w:val="both"/>
    </w:pPr>
  </w:style>
  <w:style w:type="paragraph" w:customStyle="1" w:styleId="CharChar">
    <w:name w:val="Char Char"/>
    <w:basedOn w:val="Parastais"/>
    <w:rsid w:val="008C0C16"/>
    <w:pPr>
      <w:spacing w:before="40"/>
    </w:pPr>
    <w:rPr>
      <w:lang w:val="pl-PL" w:eastAsia="pl-PL"/>
    </w:rPr>
  </w:style>
  <w:style w:type="character" w:styleId="Izteiksmgs">
    <w:name w:val="Strong"/>
    <w:uiPriority w:val="22"/>
    <w:qFormat/>
    <w:rsid w:val="008C0C16"/>
    <w:rPr>
      <w:b/>
      <w:bCs/>
    </w:rPr>
  </w:style>
  <w:style w:type="paragraph" w:styleId="Kjene">
    <w:name w:val="footer"/>
    <w:basedOn w:val="Parastais"/>
    <w:link w:val="KjeneRakstz"/>
    <w:uiPriority w:val="99"/>
    <w:rsid w:val="008C0C16"/>
    <w:pPr>
      <w:tabs>
        <w:tab w:val="center" w:pos="4153"/>
        <w:tab w:val="right" w:pos="8306"/>
      </w:tabs>
    </w:pPr>
  </w:style>
  <w:style w:type="paragraph" w:customStyle="1" w:styleId="CharChar1">
    <w:name w:val="Char Char1"/>
    <w:basedOn w:val="Parastais"/>
    <w:rsid w:val="00CE131F"/>
    <w:pPr>
      <w:spacing w:before="40"/>
    </w:pPr>
    <w:rPr>
      <w:lang w:val="pl-PL" w:eastAsia="pl-PL"/>
    </w:rPr>
  </w:style>
  <w:style w:type="paragraph" w:styleId="Balonteksts">
    <w:name w:val="Balloon Text"/>
    <w:basedOn w:val="Parastais"/>
    <w:semiHidden/>
    <w:rsid w:val="00851630"/>
    <w:rPr>
      <w:rFonts w:ascii="Tahoma" w:hAnsi="Tahoma" w:cs="Tahoma"/>
      <w:sz w:val="16"/>
      <w:szCs w:val="16"/>
    </w:rPr>
  </w:style>
  <w:style w:type="paragraph" w:customStyle="1" w:styleId="RakstzRakstzCharChar">
    <w:name w:val="Rakstz. Rakstz. Char Char"/>
    <w:basedOn w:val="Parastais"/>
    <w:rsid w:val="00AE79B5"/>
    <w:pPr>
      <w:spacing w:before="120" w:after="160" w:line="240" w:lineRule="exact"/>
      <w:ind w:firstLine="720"/>
      <w:jc w:val="both"/>
    </w:pPr>
    <w:rPr>
      <w:rFonts w:ascii="Verdana" w:hAnsi="Verdana"/>
      <w:sz w:val="20"/>
      <w:szCs w:val="20"/>
      <w:lang w:val="en-US" w:eastAsia="en-US"/>
    </w:rPr>
  </w:style>
  <w:style w:type="paragraph" w:styleId="ParastaisWeb">
    <w:name w:val="Normal (Web)"/>
    <w:basedOn w:val="Parastais"/>
    <w:uiPriority w:val="99"/>
    <w:rsid w:val="005378AD"/>
    <w:pPr>
      <w:spacing w:before="100" w:beforeAutospacing="1" w:after="100" w:afterAutospacing="1"/>
    </w:pPr>
  </w:style>
  <w:style w:type="character" w:styleId="Hipersaite">
    <w:name w:val="Hyperlink"/>
    <w:uiPriority w:val="99"/>
    <w:unhideWhenUsed/>
    <w:rsid w:val="00E62B66"/>
    <w:rPr>
      <w:color w:val="0000FF"/>
      <w:u w:val="single"/>
    </w:rPr>
  </w:style>
  <w:style w:type="character" w:styleId="Komentraatsauce">
    <w:name w:val="annotation reference"/>
    <w:rsid w:val="00E62B66"/>
    <w:rPr>
      <w:sz w:val="16"/>
      <w:szCs w:val="16"/>
    </w:rPr>
  </w:style>
  <w:style w:type="paragraph" w:styleId="Komentrateksts">
    <w:name w:val="annotation text"/>
    <w:basedOn w:val="Parastais"/>
    <w:link w:val="KomentratekstsRakstz"/>
    <w:rsid w:val="00E62B66"/>
    <w:rPr>
      <w:sz w:val="20"/>
      <w:szCs w:val="20"/>
    </w:rPr>
  </w:style>
  <w:style w:type="character" w:customStyle="1" w:styleId="KomentratekstsRakstz">
    <w:name w:val="Komentāra teksts Rakstz."/>
    <w:basedOn w:val="Noklusjumarindkopasfonts"/>
    <w:link w:val="Komentrateksts"/>
    <w:rsid w:val="00E62B66"/>
  </w:style>
  <w:style w:type="paragraph" w:styleId="Komentratma">
    <w:name w:val="annotation subject"/>
    <w:basedOn w:val="Komentrateksts"/>
    <w:next w:val="Komentrateksts"/>
    <w:link w:val="KomentratmaRakstz"/>
    <w:rsid w:val="00E62B66"/>
    <w:rPr>
      <w:b/>
      <w:bCs/>
      <w:lang/>
    </w:rPr>
  </w:style>
  <w:style w:type="character" w:customStyle="1" w:styleId="KomentratmaRakstz">
    <w:name w:val="Komentāra tēma Rakstz."/>
    <w:link w:val="Komentratma"/>
    <w:rsid w:val="00E62B66"/>
    <w:rPr>
      <w:b/>
      <w:bCs/>
    </w:rPr>
  </w:style>
  <w:style w:type="paragraph" w:styleId="Sarakstarindkopa">
    <w:name w:val="List Paragraph"/>
    <w:basedOn w:val="Parastais"/>
    <w:uiPriority w:val="34"/>
    <w:qFormat/>
    <w:rsid w:val="00D30E03"/>
    <w:pPr>
      <w:spacing w:before="100" w:beforeAutospacing="1" w:after="100" w:afterAutospacing="1"/>
    </w:pPr>
  </w:style>
  <w:style w:type="paragraph" w:customStyle="1" w:styleId="Default">
    <w:name w:val="Default"/>
    <w:rsid w:val="00D3003E"/>
    <w:pPr>
      <w:autoSpaceDE w:val="0"/>
      <w:autoSpaceDN w:val="0"/>
      <w:adjustRightInd w:val="0"/>
    </w:pPr>
    <w:rPr>
      <w:color w:val="000000"/>
      <w:sz w:val="24"/>
      <w:szCs w:val="24"/>
    </w:rPr>
  </w:style>
  <w:style w:type="paragraph" w:styleId="Vresteksts">
    <w:name w:val="footnote text"/>
    <w:basedOn w:val="Parastais"/>
    <w:link w:val="VrestekstsRakstz"/>
    <w:unhideWhenUsed/>
    <w:rsid w:val="003B4E5D"/>
    <w:pPr>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rsid w:val="003B4E5D"/>
    <w:rPr>
      <w:rFonts w:ascii="Calibri" w:eastAsia="Calibri" w:hAnsi="Calibri"/>
      <w:lang w:eastAsia="en-US"/>
    </w:rPr>
  </w:style>
  <w:style w:type="character" w:styleId="Vresatsauce">
    <w:name w:val="footnote reference"/>
    <w:uiPriority w:val="99"/>
    <w:unhideWhenUsed/>
    <w:rsid w:val="003B4E5D"/>
    <w:rPr>
      <w:vertAlign w:val="superscript"/>
    </w:rPr>
  </w:style>
  <w:style w:type="character" w:customStyle="1" w:styleId="KjeneRakstz">
    <w:name w:val="Kājene Rakstz."/>
    <w:basedOn w:val="Noklusjumarindkopasfonts"/>
    <w:link w:val="Kjene"/>
    <w:uiPriority w:val="99"/>
    <w:rsid w:val="008A2380"/>
    <w:rPr>
      <w:sz w:val="24"/>
      <w:szCs w:val="24"/>
    </w:rPr>
  </w:style>
  <w:style w:type="paragraph" w:customStyle="1" w:styleId="naisc">
    <w:name w:val="naisc"/>
    <w:basedOn w:val="Parastais"/>
    <w:rsid w:val="003D29B5"/>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8C0C16"/>
    <w:pPr>
      <w:spacing w:before="75" w:after="75"/>
      <w:jc w:val="right"/>
    </w:pPr>
  </w:style>
  <w:style w:type="table" w:styleId="Reatabula">
    <w:name w:val="Table Grid"/>
    <w:basedOn w:val="Parastatabula"/>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rsid w:val="008C0C16"/>
    <w:pPr>
      <w:spacing w:before="75" w:after="75"/>
    </w:pPr>
  </w:style>
  <w:style w:type="paragraph" w:customStyle="1" w:styleId="naispant">
    <w:name w:val="naispant"/>
    <w:basedOn w:val="Parasts"/>
    <w:rsid w:val="008C0C16"/>
    <w:pPr>
      <w:spacing w:before="100" w:beforeAutospacing="1" w:after="100" w:afterAutospacing="1"/>
    </w:pPr>
  </w:style>
  <w:style w:type="paragraph" w:styleId="Galvene">
    <w:name w:val="header"/>
    <w:basedOn w:val="Parasts"/>
    <w:rsid w:val="008C0C16"/>
    <w:pPr>
      <w:tabs>
        <w:tab w:val="center" w:pos="4153"/>
        <w:tab w:val="right" w:pos="8306"/>
      </w:tabs>
    </w:pPr>
  </w:style>
  <w:style w:type="character" w:styleId="Lappusesnumurs">
    <w:name w:val="page number"/>
    <w:basedOn w:val="Noklusjumarindkopasfonts"/>
    <w:rsid w:val="008C0C16"/>
  </w:style>
  <w:style w:type="paragraph" w:customStyle="1" w:styleId="naisnod">
    <w:name w:val="naisnod"/>
    <w:basedOn w:val="Parasts"/>
    <w:rsid w:val="008C0C16"/>
    <w:pPr>
      <w:spacing w:before="150" w:after="150"/>
      <w:jc w:val="center"/>
    </w:pPr>
    <w:rPr>
      <w:b/>
      <w:bCs/>
    </w:rPr>
  </w:style>
  <w:style w:type="paragraph" w:customStyle="1" w:styleId="naisf">
    <w:name w:val="naisf"/>
    <w:basedOn w:val="Parasts"/>
    <w:rsid w:val="008C0C16"/>
    <w:pPr>
      <w:spacing w:before="75" w:after="75"/>
      <w:ind w:firstLine="375"/>
      <w:jc w:val="both"/>
    </w:pPr>
  </w:style>
  <w:style w:type="paragraph" w:customStyle="1" w:styleId="CharChar">
    <w:name w:val="Char Char"/>
    <w:basedOn w:val="Parasts"/>
    <w:rsid w:val="008C0C16"/>
    <w:pPr>
      <w:spacing w:before="40"/>
    </w:pPr>
    <w:rPr>
      <w:lang w:val="pl-PL" w:eastAsia="pl-PL"/>
    </w:rPr>
  </w:style>
  <w:style w:type="character" w:styleId="Izteiksmgs">
    <w:name w:val="Strong"/>
    <w:uiPriority w:val="22"/>
    <w:qFormat/>
    <w:rsid w:val="008C0C16"/>
    <w:rPr>
      <w:b/>
      <w:bCs/>
    </w:rPr>
  </w:style>
  <w:style w:type="paragraph" w:styleId="Kjene">
    <w:name w:val="footer"/>
    <w:basedOn w:val="Parasts"/>
    <w:link w:val="KjeneRakstz"/>
    <w:uiPriority w:val="99"/>
    <w:rsid w:val="008C0C16"/>
    <w:pPr>
      <w:tabs>
        <w:tab w:val="center" w:pos="4153"/>
        <w:tab w:val="right" w:pos="8306"/>
      </w:tabs>
    </w:pPr>
  </w:style>
  <w:style w:type="paragraph" w:customStyle="1" w:styleId="CharChar1">
    <w:name w:val="Char Char1"/>
    <w:basedOn w:val="Parasts"/>
    <w:rsid w:val="00CE131F"/>
    <w:pPr>
      <w:spacing w:before="40"/>
    </w:pPr>
    <w:rPr>
      <w:lang w:val="pl-PL" w:eastAsia="pl-PL"/>
    </w:rPr>
  </w:style>
  <w:style w:type="paragraph" w:styleId="Balonteksts">
    <w:name w:val="Balloon Text"/>
    <w:basedOn w:val="Parasts"/>
    <w:semiHidden/>
    <w:rsid w:val="00851630"/>
    <w:rPr>
      <w:rFonts w:ascii="Tahoma" w:hAnsi="Tahoma" w:cs="Tahoma"/>
      <w:sz w:val="16"/>
      <w:szCs w:val="16"/>
    </w:rPr>
  </w:style>
  <w:style w:type="paragraph" w:customStyle="1" w:styleId="RakstzRakstzCharChar">
    <w:name w:val="Rakstz. Rakstz. Char Char"/>
    <w:basedOn w:val="Parasts"/>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unhideWhenUsed/>
    <w:rsid w:val="00E62B66"/>
    <w:rPr>
      <w:color w:val="0000FF"/>
      <w:u w:val="single"/>
    </w:rPr>
  </w:style>
  <w:style w:type="character" w:styleId="Komentraatsauce">
    <w:name w:val="annotation reference"/>
    <w:rsid w:val="00E62B66"/>
    <w:rPr>
      <w:sz w:val="16"/>
      <w:szCs w:val="16"/>
    </w:rPr>
  </w:style>
  <w:style w:type="paragraph" w:styleId="Komentrateksts">
    <w:name w:val="annotation text"/>
    <w:basedOn w:val="Parasts"/>
    <w:link w:val="KomentratekstsRakstz"/>
    <w:rsid w:val="00E62B66"/>
    <w:rPr>
      <w:sz w:val="20"/>
      <w:szCs w:val="20"/>
    </w:rPr>
  </w:style>
  <w:style w:type="character" w:customStyle="1" w:styleId="KomentratekstsRakstz">
    <w:name w:val="Komentāra teksts Rakstz."/>
    <w:basedOn w:val="Noklusjumarindkopasfonts"/>
    <w:link w:val="Komentrateksts"/>
    <w:rsid w:val="00E62B66"/>
  </w:style>
  <w:style w:type="paragraph" w:styleId="Komentratma">
    <w:name w:val="annotation subject"/>
    <w:basedOn w:val="Komentrateksts"/>
    <w:next w:val="Komentrateksts"/>
    <w:link w:val="KomentratmaRakstz"/>
    <w:rsid w:val="00E62B66"/>
    <w:rPr>
      <w:b/>
      <w:bCs/>
      <w:lang w:val="x-none" w:eastAsia="x-none"/>
    </w:rPr>
  </w:style>
  <w:style w:type="character" w:customStyle="1" w:styleId="KomentratmaRakstz">
    <w:name w:val="Komentāra tēma Rakstz."/>
    <w:link w:val="Komentratma"/>
    <w:rsid w:val="00E62B66"/>
    <w:rPr>
      <w:b/>
      <w:bCs/>
    </w:rPr>
  </w:style>
  <w:style w:type="paragraph" w:styleId="Sarakstarindkopa">
    <w:name w:val="List Paragraph"/>
    <w:basedOn w:val="Parasts"/>
    <w:uiPriority w:val="34"/>
    <w:qFormat/>
    <w:rsid w:val="00D30E03"/>
    <w:pPr>
      <w:spacing w:before="100" w:beforeAutospacing="1" w:after="100" w:afterAutospacing="1"/>
    </w:pPr>
  </w:style>
  <w:style w:type="paragraph" w:customStyle="1" w:styleId="Default">
    <w:name w:val="Default"/>
    <w:rsid w:val="00D3003E"/>
    <w:pPr>
      <w:autoSpaceDE w:val="0"/>
      <w:autoSpaceDN w:val="0"/>
      <w:adjustRightInd w:val="0"/>
    </w:pPr>
    <w:rPr>
      <w:color w:val="000000"/>
      <w:sz w:val="24"/>
      <w:szCs w:val="24"/>
    </w:rPr>
  </w:style>
  <w:style w:type="paragraph" w:styleId="Vresteksts">
    <w:name w:val="footnote text"/>
    <w:basedOn w:val="Parasts"/>
    <w:link w:val="VrestekstsRakstz"/>
    <w:unhideWhenUsed/>
    <w:rsid w:val="003B4E5D"/>
    <w:pPr>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rsid w:val="003B4E5D"/>
    <w:rPr>
      <w:rFonts w:ascii="Calibri" w:eastAsia="Calibri" w:hAnsi="Calibri"/>
      <w:lang w:eastAsia="en-US"/>
    </w:rPr>
  </w:style>
  <w:style w:type="character" w:styleId="Vresatsauce">
    <w:name w:val="footnote reference"/>
    <w:uiPriority w:val="99"/>
    <w:unhideWhenUsed/>
    <w:rsid w:val="003B4E5D"/>
    <w:rPr>
      <w:vertAlign w:val="superscript"/>
    </w:rPr>
  </w:style>
  <w:style w:type="character" w:customStyle="1" w:styleId="KjeneRakstz">
    <w:name w:val="Kājene Rakstz."/>
    <w:basedOn w:val="Noklusjumarindkopasfonts"/>
    <w:link w:val="Kjene"/>
    <w:uiPriority w:val="99"/>
    <w:rsid w:val="008A2380"/>
    <w:rPr>
      <w:sz w:val="24"/>
      <w:szCs w:val="24"/>
    </w:rPr>
  </w:style>
  <w:style w:type="paragraph" w:customStyle="1" w:styleId="naisc">
    <w:name w:val="naisc"/>
    <w:basedOn w:val="Parasts"/>
    <w:rsid w:val="003D29B5"/>
    <w:pPr>
      <w:spacing w:before="75" w:after="75"/>
      <w:jc w:val="center"/>
    </w:pPr>
  </w:style>
</w:styles>
</file>

<file path=word/webSettings.xml><?xml version="1.0" encoding="utf-8"?>
<w:webSettings xmlns:r="http://schemas.openxmlformats.org/officeDocument/2006/relationships" xmlns:w="http://schemas.openxmlformats.org/wordprocessingml/2006/main">
  <w:divs>
    <w:div w:id="36007780">
      <w:bodyDiv w:val="1"/>
      <w:marLeft w:val="0"/>
      <w:marRight w:val="0"/>
      <w:marTop w:val="0"/>
      <w:marBottom w:val="0"/>
      <w:divBdr>
        <w:top w:val="none" w:sz="0" w:space="0" w:color="auto"/>
        <w:left w:val="none" w:sz="0" w:space="0" w:color="auto"/>
        <w:bottom w:val="none" w:sz="0" w:space="0" w:color="auto"/>
        <w:right w:val="none" w:sz="0" w:space="0" w:color="auto"/>
      </w:divBdr>
      <w:divsChild>
        <w:div w:id="478764906">
          <w:marLeft w:val="0"/>
          <w:marRight w:val="0"/>
          <w:marTop w:val="0"/>
          <w:marBottom w:val="0"/>
          <w:divBdr>
            <w:top w:val="none" w:sz="0" w:space="0" w:color="auto"/>
            <w:left w:val="none" w:sz="0" w:space="0" w:color="auto"/>
            <w:bottom w:val="none" w:sz="0" w:space="0" w:color="auto"/>
            <w:right w:val="none" w:sz="0" w:space="0" w:color="auto"/>
          </w:divBdr>
        </w:div>
      </w:divsChild>
    </w:div>
    <w:div w:id="479004702">
      <w:bodyDiv w:val="1"/>
      <w:marLeft w:val="0"/>
      <w:marRight w:val="0"/>
      <w:marTop w:val="0"/>
      <w:marBottom w:val="0"/>
      <w:divBdr>
        <w:top w:val="none" w:sz="0" w:space="0" w:color="auto"/>
        <w:left w:val="none" w:sz="0" w:space="0" w:color="auto"/>
        <w:bottom w:val="none" w:sz="0" w:space="0" w:color="auto"/>
        <w:right w:val="none" w:sz="0" w:space="0" w:color="auto"/>
      </w:divBdr>
    </w:div>
    <w:div w:id="1631594827">
      <w:bodyDiv w:val="1"/>
      <w:marLeft w:val="0"/>
      <w:marRight w:val="0"/>
      <w:marTop w:val="0"/>
      <w:marBottom w:val="0"/>
      <w:divBdr>
        <w:top w:val="none" w:sz="0" w:space="0" w:color="auto"/>
        <w:left w:val="none" w:sz="0" w:space="0" w:color="auto"/>
        <w:bottom w:val="none" w:sz="0" w:space="0" w:color="auto"/>
        <w:right w:val="none" w:sz="0" w:space="0" w:color="auto"/>
      </w:divBdr>
      <w:divsChild>
        <w:div w:id="533268730">
          <w:marLeft w:val="0"/>
          <w:marRight w:val="0"/>
          <w:marTop w:val="0"/>
          <w:marBottom w:val="0"/>
          <w:divBdr>
            <w:top w:val="none" w:sz="0" w:space="0" w:color="auto"/>
            <w:left w:val="none" w:sz="0" w:space="0" w:color="auto"/>
            <w:bottom w:val="none" w:sz="0" w:space="0" w:color="auto"/>
            <w:right w:val="none" w:sz="0" w:space="0" w:color="auto"/>
          </w:divBdr>
        </w:div>
        <w:div w:id="200022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73C5-4B54-4035-9C01-C3F9DBAC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1477</Words>
  <Characters>10302</Characters>
  <Application>Microsoft Office Word</Application>
  <DocSecurity>0</DocSecurity>
  <Lines>572</Lines>
  <Paragraphs>184</Paragraphs>
  <ScaleCrop>false</ScaleCrop>
  <HeadingPairs>
    <vt:vector size="2" baseType="variant">
      <vt:variant>
        <vt:lpstr>Nosaukums</vt:lpstr>
      </vt:variant>
      <vt:variant>
        <vt:i4>1</vt:i4>
      </vt:variant>
    </vt:vector>
  </HeadingPairs>
  <TitlesOfParts>
    <vt:vector size="1" baseType="lpstr">
      <vt:lpstr>Ministru kabineta noteikumu projekta „Kārtība, kādā piešķir, administrē un uzrauga valsts un Eiropas Savienības atbalstu augļu un dārzeņu piegādāšanai skolēniem vispārējās izglītības iestādēs” sākotnējās ietekmes novērtējuma ziņojums (ano</vt:lpstr>
    </vt:vector>
  </TitlesOfParts>
  <Company>ZM</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piešķir, administrē un uzrauga valsts un Eiropas Savienības atbalstu augļu un dārzeņu piegādāšanai skolēniem vispārējās izglītības iestādēs” sākotnējās ietekmes novērtējuma ziņojums (ano</dc:title>
  <dc:subject>Anotācija</dc:subject>
  <dc:creator>Janis.Krainis</dc:creator>
  <cp:lastModifiedBy>Renārs Žagars</cp:lastModifiedBy>
  <cp:revision>9</cp:revision>
  <cp:lastPrinted>2012-04-27T09:58:00Z</cp:lastPrinted>
  <dcterms:created xsi:type="dcterms:W3CDTF">2013-10-10T09:30:00Z</dcterms:created>
  <dcterms:modified xsi:type="dcterms:W3CDTF">2013-10-11T05:45:00Z</dcterms:modified>
</cp:coreProperties>
</file>