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42" w:rsidRPr="00F04F35" w:rsidRDefault="004B1F42" w:rsidP="00F04F35">
      <w:pPr>
        <w:spacing w:after="0" w:line="240" w:lineRule="auto"/>
        <w:jc w:val="center"/>
        <w:rPr>
          <w:rFonts w:ascii="Times New Roman" w:hAnsi="Times New Roman"/>
          <w:b/>
          <w:bCs/>
          <w:sz w:val="28"/>
          <w:szCs w:val="28"/>
          <w:lang w:eastAsia="lv-LV"/>
        </w:rPr>
      </w:pPr>
      <w:bookmarkStart w:id="0" w:name="OLE_LINK7"/>
      <w:bookmarkStart w:id="1" w:name="OLE_LINK8"/>
      <w:bookmarkStart w:id="2" w:name="OLE_LINK3"/>
      <w:bookmarkStart w:id="3" w:name="OLE_LINK4"/>
      <w:r w:rsidRPr="00F04F35">
        <w:rPr>
          <w:rFonts w:ascii="Times New Roman" w:hAnsi="Times New Roman"/>
          <w:b/>
          <w:bCs/>
          <w:sz w:val="28"/>
          <w:szCs w:val="28"/>
          <w:lang w:eastAsia="lv-LV"/>
        </w:rPr>
        <w:t xml:space="preserve">Ministru kabineta rīkojuma projekta </w:t>
      </w:r>
    </w:p>
    <w:p w:rsidR="004B1F42" w:rsidRPr="00F04F35" w:rsidRDefault="004B1F42" w:rsidP="00F04F35">
      <w:pPr>
        <w:spacing w:after="0" w:line="240" w:lineRule="auto"/>
        <w:jc w:val="center"/>
        <w:rPr>
          <w:rFonts w:ascii="Times New Roman" w:hAnsi="Times New Roman"/>
          <w:b/>
          <w:bCs/>
          <w:sz w:val="28"/>
          <w:szCs w:val="28"/>
          <w:lang w:eastAsia="lv-LV"/>
        </w:rPr>
      </w:pPr>
      <w:r w:rsidRPr="00F04F35">
        <w:rPr>
          <w:rFonts w:ascii="Times New Roman" w:hAnsi="Times New Roman"/>
          <w:b/>
          <w:bCs/>
          <w:sz w:val="28"/>
          <w:szCs w:val="28"/>
          <w:lang w:eastAsia="lv-LV"/>
        </w:rPr>
        <w:t>„</w:t>
      </w:r>
      <w:r w:rsidRPr="00F04F35">
        <w:rPr>
          <w:rFonts w:ascii="Times New Roman" w:hAnsi="Times New Roman"/>
          <w:b/>
          <w:sz w:val="28"/>
          <w:szCs w:val="28"/>
        </w:rPr>
        <w:t>Par jūras teritoriju noteikšanu akvakultūras darbībai nepieciešamo iekārtu ierīkošanai un ekspluatācijai</w:t>
      </w:r>
      <w:r w:rsidRPr="00F04F35">
        <w:rPr>
          <w:rFonts w:ascii="Times New Roman" w:hAnsi="Times New Roman"/>
          <w:b/>
          <w:bCs/>
          <w:sz w:val="28"/>
          <w:szCs w:val="28"/>
          <w:lang w:eastAsia="lv-LV"/>
        </w:rPr>
        <w:t>”</w:t>
      </w:r>
      <w:bookmarkEnd w:id="0"/>
      <w:bookmarkEnd w:id="1"/>
      <w:r w:rsidRPr="00F04F35">
        <w:rPr>
          <w:rFonts w:ascii="Times New Roman" w:hAnsi="Times New Roman"/>
          <w:b/>
          <w:bCs/>
          <w:sz w:val="28"/>
          <w:szCs w:val="28"/>
          <w:lang w:eastAsia="lv-LV"/>
        </w:rPr>
        <w:t xml:space="preserve"> sākotnējās ietekmes novērtējuma </w:t>
      </w:r>
      <w:smartTag w:uri="schemas-tilde-lv/tildestengine" w:element="veidnes">
        <w:smartTagPr>
          <w:attr w:name="id" w:val="-1"/>
          <w:attr w:name="baseform" w:val="ziņojums"/>
          <w:attr w:name="text" w:val="ziņojums"/>
        </w:smartTagPr>
        <w:r w:rsidRPr="00F04F35">
          <w:rPr>
            <w:rFonts w:ascii="Times New Roman" w:hAnsi="Times New Roman"/>
            <w:b/>
            <w:bCs/>
            <w:sz w:val="28"/>
            <w:szCs w:val="28"/>
            <w:lang w:eastAsia="lv-LV"/>
          </w:rPr>
          <w:t>ziņojums</w:t>
        </w:r>
      </w:smartTag>
      <w:r w:rsidRPr="00F04F35">
        <w:rPr>
          <w:rFonts w:ascii="Times New Roman" w:hAnsi="Times New Roman"/>
          <w:b/>
          <w:bCs/>
          <w:sz w:val="28"/>
          <w:szCs w:val="28"/>
          <w:lang w:eastAsia="lv-LV"/>
        </w:rPr>
        <w:t xml:space="preserve"> (anotācija)</w:t>
      </w:r>
      <w:bookmarkEnd w:id="2"/>
      <w:bookmarkEnd w:id="3"/>
    </w:p>
    <w:p w:rsidR="004B1F42" w:rsidRPr="00F04F35" w:rsidRDefault="004B1F42" w:rsidP="00F04F35">
      <w:pPr>
        <w:spacing w:after="0" w:line="240" w:lineRule="auto"/>
        <w:jc w:val="center"/>
        <w:rPr>
          <w:rFonts w:ascii="Times New Roman" w:hAnsi="Times New Roman"/>
          <w:b/>
          <w:bCs/>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19"/>
        <w:gridCol w:w="1642"/>
        <w:gridCol w:w="7170"/>
      </w:tblGrid>
      <w:tr w:rsidR="004B1F42" w:rsidRPr="00F04F35" w:rsidTr="00F04F35">
        <w:tc>
          <w:tcPr>
            <w:tcW w:w="5000" w:type="pct"/>
            <w:gridSpan w:val="3"/>
            <w:tcBorders>
              <w:top w:val="single" w:sz="6" w:space="0" w:color="auto"/>
              <w:left w:val="single" w:sz="6" w:space="0" w:color="auto"/>
              <w:bottom w:val="outset" w:sz="6" w:space="0" w:color="000000"/>
              <w:right w:val="single" w:sz="6" w:space="0" w:color="auto"/>
            </w:tcBorders>
            <w:vAlign w:val="center"/>
          </w:tcPr>
          <w:p w:rsidR="004B1F42" w:rsidRPr="00F04F35" w:rsidRDefault="004B1F42" w:rsidP="00F04F35">
            <w:pPr>
              <w:spacing w:after="0" w:line="240" w:lineRule="auto"/>
              <w:jc w:val="center"/>
              <w:rPr>
                <w:rFonts w:ascii="Times New Roman" w:hAnsi="Times New Roman"/>
                <w:b/>
                <w:bCs/>
                <w:sz w:val="24"/>
              </w:rPr>
            </w:pPr>
            <w:r w:rsidRPr="00F04F35">
              <w:rPr>
                <w:rFonts w:ascii="Times New Roman" w:hAnsi="Times New Roman"/>
                <w:sz w:val="24"/>
                <w:szCs w:val="24"/>
                <w:lang w:eastAsia="lv-LV"/>
              </w:rPr>
              <w:t>  </w:t>
            </w:r>
            <w:r w:rsidRPr="00F04F35">
              <w:rPr>
                <w:rFonts w:ascii="Times New Roman" w:hAnsi="Times New Roman"/>
                <w:b/>
                <w:sz w:val="24"/>
                <w:szCs w:val="24"/>
                <w:lang w:eastAsia="lv-LV"/>
              </w:rPr>
              <w:t>I. Tiesību akta projekta izstrādes nepieciešamība</w:t>
            </w:r>
          </w:p>
        </w:tc>
      </w:tr>
      <w:tr w:rsidR="004B1F42" w:rsidRPr="00F04F35" w:rsidTr="00F04F35">
        <w:tc>
          <w:tcPr>
            <w:tcW w:w="175" w:type="pct"/>
            <w:tcBorders>
              <w:top w:val="outset" w:sz="6" w:space="0" w:color="000000"/>
              <w:bottom w:val="outset" w:sz="6" w:space="0" w:color="000000"/>
              <w:right w:val="outset" w:sz="6" w:space="0" w:color="000000"/>
            </w:tcBorders>
          </w:tcPr>
          <w:p w:rsidR="004B1F42" w:rsidRPr="00F04F35" w:rsidRDefault="004B1F42" w:rsidP="00F04F35">
            <w:pPr>
              <w:spacing w:after="0" w:line="240" w:lineRule="auto"/>
              <w:rPr>
                <w:rFonts w:ascii="Times New Roman" w:hAnsi="Times New Roman"/>
                <w:sz w:val="24"/>
                <w:szCs w:val="24"/>
                <w:lang w:eastAsia="lv-LV"/>
              </w:rPr>
            </w:pPr>
            <w:r w:rsidRPr="00F04F35">
              <w:rPr>
                <w:rFonts w:ascii="Times New Roman" w:hAnsi="Times New Roman"/>
                <w:sz w:val="24"/>
                <w:szCs w:val="24"/>
                <w:lang w:eastAsia="lv-LV"/>
              </w:rPr>
              <w:t> 1.</w:t>
            </w:r>
          </w:p>
        </w:tc>
        <w:tc>
          <w:tcPr>
            <w:tcW w:w="899" w:type="pct"/>
            <w:tcBorders>
              <w:top w:val="outset" w:sz="6" w:space="0" w:color="000000"/>
              <w:left w:val="outset" w:sz="6" w:space="0" w:color="000000"/>
              <w:bottom w:val="outset" w:sz="6" w:space="0" w:color="000000"/>
              <w:right w:val="outset" w:sz="6" w:space="0" w:color="000000"/>
            </w:tcBorders>
          </w:tcPr>
          <w:p w:rsidR="004B1F42" w:rsidRPr="00F04F35" w:rsidRDefault="004B1F42" w:rsidP="00F04F35">
            <w:pPr>
              <w:spacing w:after="0" w:line="240" w:lineRule="auto"/>
              <w:rPr>
                <w:rFonts w:ascii="Times New Roman" w:hAnsi="Times New Roman"/>
                <w:sz w:val="24"/>
                <w:szCs w:val="24"/>
                <w:lang w:eastAsia="lv-LV"/>
              </w:rPr>
            </w:pPr>
            <w:r w:rsidRPr="00F04F35">
              <w:rPr>
                <w:rFonts w:ascii="Times New Roman" w:hAnsi="Times New Roman"/>
                <w:sz w:val="24"/>
                <w:szCs w:val="24"/>
                <w:lang w:eastAsia="lv-LV"/>
              </w:rPr>
              <w:t> Pamatojums</w:t>
            </w:r>
          </w:p>
        </w:tc>
        <w:tc>
          <w:tcPr>
            <w:tcW w:w="3927" w:type="pct"/>
            <w:tcBorders>
              <w:top w:val="outset" w:sz="6" w:space="0" w:color="000000"/>
              <w:left w:val="outset" w:sz="6" w:space="0" w:color="000000"/>
              <w:bottom w:val="outset" w:sz="6" w:space="0" w:color="000000"/>
            </w:tcBorders>
          </w:tcPr>
          <w:p w:rsidR="004B1F42" w:rsidRPr="00F04F35" w:rsidRDefault="004B1F42" w:rsidP="00F04F35">
            <w:pPr>
              <w:spacing w:after="0" w:line="240" w:lineRule="auto"/>
              <w:ind w:firstLine="666"/>
              <w:jc w:val="both"/>
              <w:rPr>
                <w:rFonts w:ascii="Times New Roman" w:hAnsi="Times New Roman"/>
                <w:b/>
                <w:bCs/>
                <w:i/>
                <w:sz w:val="24"/>
                <w:szCs w:val="24"/>
                <w:lang w:eastAsia="lv-LV"/>
              </w:rPr>
            </w:pPr>
            <w:r w:rsidRPr="00F04F35">
              <w:rPr>
                <w:rFonts w:ascii="Times New Roman" w:hAnsi="Times New Roman"/>
                <w:sz w:val="24"/>
                <w:szCs w:val="24"/>
              </w:rPr>
              <w:t>Ministru kabineta rīkojuma projekts sagatavots, pamatojoties uz Jūras vides aizsardzības un pārvaldības likuma 19. panta otro un trešo daļu.</w:t>
            </w:r>
          </w:p>
        </w:tc>
      </w:tr>
      <w:tr w:rsidR="004B1F42" w:rsidRPr="00F04F35" w:rsidTr="00F04F35">
        <w:tc>
          <w:tcPr>
            <w:tcW w:w="175" w:type="pct"/>
            <w:tcBorders>
              <w:top w:val="outset" w:sz="6" w:space="0" w:color="000000"/>
              <w:bottom w:val="outset" w:sz="6" w:space="0" w:color="000000"/>
              <w:right w:val="outset" w:sz="6" w:space="0" w:color="000000"/>
            </w:tcBorders>
          </w:tcPr>
          <w:p w:rsidR="004B1F42" w:rsidRPr="00F04F35" w:rsidRDefault="004B1F42" w:rsidP="00F04F35">
            <w:pPr>
              <w:spacing w:after="0" w:line="240" w:lineRule="auto"/>
              <w:rPr>
                <w:rFonts w:ascii="Times New Roman" w:hAnsi="Times New Roman"/>
                <w:sz w:val="24"/>
                <w:szCs w:val="24"/>
                <w:lang w:eastAsia="lv-LV"/>
              </w:rPr>
            </w:pPr>
            <w:r w:rsidRPr="00F04F35">
              <w:rPr>
                <w:rFonts w:ascii="Times New Roman" w:hAnsi="Times New Roman"/>
                <w:sz w:val="24"/>
                <w:szCs w:val="24"/>
                <w:lang w:eastAsia="lv-LV"/>
              </w:rPr>
              <w:t> 2.</w:t>
            </w:r>
          </w:p>
        </w:tc>
        <w:tc>
          <w:tcPr>
            <w:tcW w:w="899" w:type="pct"/>
            <w:tcBorders>
              <w:top w:val="outset" w:sz="6" w:space="0" w:color="000000"/>
              <w:left w:val="outset" w:sz="6" w:space="0" w:color="000000"/>
              <w:bottom w:val="outset" w:sz="6" w:space="0" w:color="000000"/>
              <w:right w:val="outset" w:sz="6" w:space="0" w:color="000000"/>
            </w:tcBorders>
          </w:tcPr>
          <w:p w:rsidR="004B1F42" w:rsidRPr="00F04F35" w:rsidRDefault="004B1F42" w:rsidP="00F04F35">
            <w:pPr>
              <w:spacing w:after="0" w:line="240" w:lineRule="auto"/>
              <w:rPr>
                <w:rFonts w:ascii="Times New Roman" w:hAnsi="Times New Roman"/>
                <w:sz w:val="24"/>
                <w:szCs w:val="24"/>
                <w:lang w:eastAsia="lv-LV"/>
              </w:rPr>
            </w:pPr>
            <w:r w:rsidRPr="00F04F35">
              <w:rPr>
                <w:rFonts w:ascii="Times New Roman" w:hAnsi="Times New Roman"/>
                <w:sz w:val="24"/>
                <w:szCs w:val="24"/>
                <w:lang w:eastAsia="lv-LV"/>
              </w:rPr>
              <w:t> Pašreizējā situācija un problēmas</w:t>
            </w:r>
          </w:p>
        </w:tc>
        <w:tc>
          <w:tcPr>
            <w:tcW w:w="3927" w:type="pct"/>
            <w:tcBorders>
              <w:top w:val="outset" w:sz="6" w:space="0" w:color="000000"/>
              <w:left w:val="outset" w:sz="6" w:space="0" w:color="000000"/>
              <w:bottom w:val="outset" w:sz="6" w:space="0" w:color="000000"/>
            </w:tcBorders>
          </w:tcPr>
          <w:p w:rsidR="004B1F42" w:rsidRPr="00F04F35" w:rsidRDefault="004B1F42" w:rsidP="00F04F35">
            <w:pPr>
              <w:autoSpaceDE w:val="0"/>
              <w:autoSpaceDN w:val="0"/>
              <w:adjustRightInd w:val="0"/>
              <w:spacing w:after="0" w:line="240" w:lineRule="auto"/>
              <w:ind w:firstLine="375"/>
              <w:jc w:val="both"/>
              <w:rPr>
                <w:rFonts w:ascii="Times New Roman" w:hAnsi="Times New Roman"/>
                <w:sz w:val="24"/>
                <w:szCs w:val="24"/>
              </w:rPr>
            </w:pPr>
            <w:r w:rsidRPr="00F04F35">
              <w:rPr>
                <w:rFonts w:ascii="Times New Roman" w:hAnsi="Times New Roman"/>
                <w:sz w:val="24"/>
                <w:szCs w:val="24"/>
              </w:rPr>
              <w:t>2013.gada 18.februārī Zemkopības ministrijā (turpmāk – ZM) vērsās SIA „</w:t>
            </w:r>
            <w:proofErr w:type="spellStart"/>
            <w:r w:rsidRPr="00F04F35">
              <w:rPr>
                <w:rFonts w:ascii="Times New Roman" w:hAnsi="Times New Roman"/>
                <w:sz w:val="24"/>
                <w:szCs w:val="24"/>
              </w:rPr>
              <w:t>Ekobaltika</w:t>
            </w:r>
            <w:proofErr w:type="spellEnd"/>
            <w:r w:rsidRPr="00F04F35">
              <w:rPr>
                <w:rFonts w:ascii="Times New Roman" w:hAnsi="Times New Roman"/>
                <w:sz w:val="24"/>
                <w:szCs w:val="24"/>
              </w:rPr>
              <w:t xml:space="preserve"> </w:t>
            </w:r>
            <w:proofErr w:type="spellStart"/>
            <w:r w:rsidRPr="00F04F35">
              <w:rPr>
                <w:rFonts w:ascii="Times New Roman" w:hAnsi="Times New Roman"/>
                <w:sz w:val="24"/>
                <w:szCs w:val="24"/>
              </w:rPr>
              <w:t>Group</w:t>
            </w:r>
            <w:proofErr w:type="spellEnd"/>
            <w:r w:rsidRPr="00F04F35">
              <w:rPr>
                <w:rFonts w:ascii="Times New Roman" w:hAnsi="Times New Roman"/>
                <w:sz w:val="24"/>
                <w:szCs w:val="24"/>
              </w:rPr>
              <w:t>” ar lūgumu astoņās Latvijas Republikas teritoriālās jūras vietās izveidot astoņas zemūdens akvakultūras audzētavas. Plānotā darbība būs saistīta ar iekārtu ierīkošanu un ekspluatāciju jūrā.</w:t>
            </w:r>
          </w:p>
          <w:p w:rsidR="004B1F42" w:rsidRPr="00F04F35" w:rsidRDefault="004B1F42" w:rsidP="00F04F35">
            <w:pPr>
              <w:autoSpaceDE w:val="0"/>
              <w:autoSpaceDN w:val="0"/>
              <w:adjustRightInd w:val="0"/>
              <w:spacing w:after="0" w:line="240" w:lineRule="auto"/>
              <w:ind w:firstLine="375"/>
              <w:jc w:val="both"/>
              <w:rPr>
                <w:rFonts w:ascii="Times New Roman" w:hAnsi="Times New Roman"/>
                <w:sz w:val="24"/>
                <w:szCs w:val="24"/>
              </w:rPr>
            </w:pPr>
            <w:r w:rsidRPr="00F04F35">
              <w:rPr>
                <w:rFonts w:ascii="Times New Roman" w:hAnsi="Times New Roman"/>
                <w:sz w:val="24"/>
                <w:szCs w:val="24"/>
              </w:rPr>
              <w:t xml:space="preserve">Teritoriālajai jūrai un ekskluzīvajai ekonomiskajai zonai administratīvajās tiesībās ir publiskas lietas statuss. Valstij ir pienākums nodrošināt, lai tās īpašumā esošās publiskās lietas tiktu izmantotas atbilstoši sabiedrības interesēm. Ievērojot vienlīdzības principu, valstij ir jānodrošina, lai ikvienam būtu vienlīdzīgas iespējas pretendēt uz publiskās lietas nodošanu sevišķajai izmantošanai. Attiecīgi Jūras vides aizsardzības un pārvaldības likums </w:t>
            </w:r>
            <w:r>
              <w:rPr>
                <w:rFonts w:ascii="Times New Roman" w:hAnsi="Times New Roman"/>
                <w:sz w:val="24"/>
                <w:szCs w:val="24"/>
              </w:rPr>
              <w:t xml:space="preserve">(turpmāk – JVAPL) </w:t>
            </w:r>
            <w:r w:rsidRPr="00F04F35">
              <w:rPr>
                <w:rFonts w:ascii="Times New Roman" w:hAnsi="Times New Roman"/>
                <w:sz w:val="24"/>
                <w:szCs w:val="24"/>
              </w:rPr>
              <w:t>paredz procedūru, kādā valsts var lemt par publiskās lietas jeb šajā gadījumā atļaujas vai licences laukuma jūrā nodošanu sevišķajai izmantošanai.</w:t>
            </w:r>
          </w:p>
          <w:p w:rsidR="004B1F42" w:rsidRPr="00F04F35" w:rsidRDefault="004B1F42" w:rsidP="00F04F35">
            <w:pPr>
              <w:autoSpaceDE w:val="0"/>
              <w:autoSpaceDN w:val="0"/>
              <w:adjustRightInd w:val="0"/>
              <w:spacing w:after="0" w:line="240" w:lineRule="auto"/>
              <w:ind w:firstLine="375"/>
              <w:jc w:val="both"/>
              <w:rPr>
                <w:rFonts w:ascii="Times New Roman" w:hAnsi="Times New Roman"/>
                <w:sz w:val="24"/>
                <w:szCs w:val="24"/>
              </w:rPr>
            </w:pPr>
            <w:r w:rsidRPr="00F04F35">
              <w:rPr>
                <w:rFonts w:ascii="Times New Roman" w:hAnsi="Times New Roman"/>
                <w:sz w:val="24"/>
                <w:szCs w:val="24"/>
              </w:rPr>
              <w:t xml:space="preserve">Saskaņā ar </w:t>
            </w:r>
            <w:r>
              <w:rPr>
                <w:rFonts w:ascii="Times New Roman" w:hAnsi="Times New Roman"/>
                <w:sz w:val="24"/>
                <w:szCs w:val="24"/>
              </w:rPr>
              <w:t>JVAPL</w:t>
            </w:r>
            <w:r w:rsidRPr="00F04F35">
              <w:rPr>
                <w:rFonts w:ascii="Times New Roman" w:hAnsi="Times New Roman"/>
                <w:sz w:val="24"/>
                <w:szCs w:val="24"/>
              </w:rPr>
              <w:t xml:space="preserve"> 19.panta otrās daļas 4.punktu atļauja vai licence (turpmāk – atļauja) ir nepieciešama iekārtu būvniecībai, ierīkošanai un ekspluatācijai jūrā atbilstoši šī likuma un būvniecību regulējošo normatīvo aktu prasībām. Savukārt šī likuma 19.panta trešā daļa nosaka to, ka, pirms Ministru kabinets (turpmāk – MK) pieņem lēmumu par atļaujas izsniegšanu jūras izmantošanai, tas ar ikreizēju rīkojumu nosaka konkrētu jūras teritoriju 19.panta otrās daļas 4.punktā noteikto darbību veikšanai. Tiesības izmantot atļaujas laukumu jūrā iegūst persona, kas uzvarējusi konkursā par tiesībām izmantot atļaujas laukumu jūrā. </w:t>
            </w:r>
          </w:p>
          <w:p w:rsidR="004B1F42" w:rsidRPr="00F04F35" w:rsidRDefault="004B1F42" w:rsidP="00F04F35">
            <w:pPr>
              <w:autoSpaceDE w:val="0"/>
              <w:autoSpaceDN w:val="0"/>
              <w:adjustRightInd w:val="0"/>
              <w:spacing w:after="0" w:line="240" w:lineRule="auto"/>
              <w:ind w:firstLine="375"/>
              <w:jc w:val="both"/>
              <w:rPr>
                <w:rFonts w:ascii="Times New Roman" w:hAnsi="Times New Roman"/>
                <w:sz w:val="24"/>
                <w:szCs w:val="24"/>
              </w:rPr>
            </w:pPr>
            <w:r w:rsidRPr="00F04F35">
              <w:rPr>
                <w:rFonts w:ascii="Times New Roman" w:hAnsi="Times New Roman"/>
                <w:sz w:val="24"/>
                <w:szCs w:val="24"/>
              </w:rPr>
              <w:t xml:space="preserve">Saskaņā ar </w:t>
            </w:r>
            <w:r>
              <w:rPr>
                <w:rFonts w:ascii="Times New Roman" w:hAnsi="Times New Roman"/>
                <w:sz w:val="24"/>
                <w:szCs w:val="24"/>
              </w:rPr>
              <w:t>JVAPL</w:t>
            </w:r>
            <w:r w:rsidRPr="00F04F35">
              <w:rPr>
                <w:rFonts w:ascii="Times New Roman" w:hAnsi="Times New Roman"/>
                <w:sz w:val="24"/>
                <w:szCs w:val="24"/>
              </w:rPr>
              <w:t xml:space="preserve"> 20.panta pirmās daļas 2.punktu un likuma „Par ietekmes uz vidi novērtējumu” 8.</w:t>
            </w:r>
            <w:r w:rsidRPr="00F04F35">
              <w:rPr>
                <w:rFonts w:ascii="Times New Roman" w:hAnsi="Times New Roman"/>
                <w:sz w:val="24"/>
                <w:szCs w:val="24"/>
                <w:vertAlign w:val="superscript"/>
              </w:rPr>
              <w:t>1</w:t>
            </w:r>
            <w:r w:rsidRPr="00F04F35">
              <w:rPr>
                <w:rFonts w:ascii="Times New Roman" w:hAnsi="Times New Roman"/>
                <w:sz w:val="24"/>
                <w:szCs w:val="24"/>
              </w:rPr>
              <w:t xml:space="preserve"> pantu persona, kas konkursa kārtībā ieguvusi tiesības izmantot atļaujas laukumu jūrā, piesaka paredzēto darbību Valsts vides dienestā. </w:t>
            </w:r>
          </w:p>
          <w:p w:rsidR="004B1F42" w:rsidRPr="00F04F35" w:rsidRDefault="004B1F42" w:rsidP="00F04F35">
            <w:pPr>
              <w:autoSpaceDE w:val="0"/>
              <w:autoSpaceDN w:val="0"/>
              <w:adjustRightInd w:val="0"/>
              <w:spacing w:after="0" w:line="240" w:lineRule="auto"/>
              <w:ind w:firstLine="375"/>
              <w:jc w:val="both"/>
              <w:rPr>
                <w:rFonts w:ascii="Times New Roman" w:hAnsi="Times New Roman"/>
                <w:sz w:val="24"/>
                <w:szCs w:val="24"/>
              </w:rPr>
            </w:pPr>
            <w:r>
              <w:rPr>
                <w:rFonts w:ascii="Times New Roman" w:hAnsi="Times New Roman"/>
                <w:sz w:val="24"/>
                <w:szCs w:val="24"/>
              </w:rPr>
              <w:t>JVAPL</w:t>
            </w:r>
            <w:r w:rsidRPr="00F04F35">
              <w:rPr>
                <w:rFonts w:ascii="Times New Roman" w:hAnsi="Times New Roman"/>
                <w:sz w:val="24"/>
                <w:szCs w:val="24"/>
              </w:rPr>
              <w:t xml:space="preserve"> 19. panta ceturtā daļa paredz, ka MK reglamentē kārtību, kādā nosakāms atļaujas laukums jūrā, kārtību, kādā rīkojams konkurss par tiesībām izmantot šo laukumu jūrā, kā arī prasības attiecībā uz būvju ierīkošanu, būvniecību jūrā un to ekspluatāciju u.c. jautājumus. Pagaidām mūsu valstī šāds regulējums nav izstrādāts, tāpēc, ievērojot minētā likuma pārejas noteikumu 8.punktu, kas nosaka, ka līdz jūras telpiskā plānojuma spēkā stāšanās dienai, ja citos normatīvajos aktos nav noteikts citādi, MK pieņem lēmumu par šā likuma 19. panta otrās daļas 4.punktā minēto darbību pieļaujamību attiecīgajā atļaujas laukumā Latvijas teritoriālajā jūrā, kontinentālajā šelfā un ekskluzīvajā ekonomiskajā zonā, ņemot vērā minētā likuma nosacījumus.</w:t>
            </w:r>
          </w:p>
          <w:p w:rsidR="004B1F42" w:rsidRPr="00F04F35" w:rsidRDefault="004B1F42" w:rsidP="00F04F35">
            <w:pPr>
              <w:autoSpaceDE w:val="0"/>
              <w:autoSpaceDN w:val="0"/>
              <w:adjustRightInd w:val="0"/>
              <w:spacing w:after="0" w:line="240" w:lineRule="auto"/>
              <w:ind w:firstLine="375"/>
              <w:jc w:val="both"/>
              <w:rPr>
                <w:rFonts w:ascii="Times New Roman" w:hAnsi="Times New Roman"/>
                <w:sz w:val="24"/>
                <w:szCs w:val="24"/>
              </w:rPr>
            </w:pPr>
            <w:r w:rsidRPr="00F04F35">
              <w:rPr>
                <w:rFonts w:ascii="Times New Roman" w:hAnsi="Times New Roman"/>
                <w:sz w:val="24"/>
                <w:szCs w:val="24"/>
              </w:rPr>
              <w:t xml:space="preserve">Ievērojot Aizsardzības ministrijas, Ekonomikas ministrijas, Vides ministrijas, Reģionālās attīstības un pašvaldību lietu ministrijas, ZM, Iekšlietu ministrijas un VAS „Latvijas Jūras administrācija” 2010.gada </w:t>
            </w:r>
            <w:r w:rsidRPr="00F04F35">
              <w:rPr>
                <w:rFonts w:ascii="Times New Roman" w:hAnsi="Times New Roman"/>
                <w:sz w:val="24"/>
                <w:szCs w:val="24"/>
              </w:rPr>
              <w:lastRenderedPageBreak/>
              <w:t>6.septembrī noslēgto starpresoru vienošanos Nr.1 „Par informācijas apmaiņu saimnieciskās darbības aprobežojumiem Latvijas Republikas teritoriālās jūras un ekskluzīvās ekonomiskās zonas izmantošanā” un tajā noteiktos principus, 2013. gada 2.aprīlī un 21. maijā ZM tika organizētas divas starpinstitūciju sanāksmes par SIA „</w:t>
            </w:r>
            <w:proofErr w:type="spellStart"/>
            <w:r w:rsidRPr="00F04F35">
              <w:rPr>
                <w:rFonts w:ascii="Times New Roman" w:hAnsi="Times New Roman"/>
                <w:sz w:val="24"/>
                <w:szCs w:val="24"/>
              </w:rPr>
              <w:t>Ekobaltika</w:t>
            </w:r>
            <w:proofErr w:type="spellEnd"/>
            <w:r w:rsidRPr="00F04F35">
              <w:rPr>
                <w:rFonts w:ascii="Times New Roman" w:hAnsi="Times New Roman"/>
                <w:sz w:val="24"/>
                <w:szCs w:val="24"/>
              </w:rPr>
              <w:t xml:space="preserve"> </w:t>
            </w:r>
            <w:proofErr w:type="spellStart"/>
            <w:r w:rsidRPr="00F04F35">
              <w:rPr>
                <w:rFonts w:ascii="Times New Roman" w:hAnsi="Times New Roman"/>
                <w:sz w:val="24"/>
                <w:szCs w:val="24"/>
              </w:rPr>
              <w:t>Group</w:t>
            </w:r>
            <w:proofErr w:type="spellEnd"/>
            <w:r w:rsidRPr="00F04F35">
              <w:rPr>
                <w:rFonts w:ascii="Times New Roman" w:hAnsi="Times New Roman"/>
                <w:sz w:val="24"/>
                <w:szCs w:val="24"/>
              </w:rPr>
              <w:t>” akvakultūras projekta iespējamo īstenošanu Latvijas Republikas teritoriālajos ūdeņos. Sanāksmēs piedalījās pārstāvji no ZM Zivsaimniecības departamenta, Pārtikas drošības, dzīvnieku veselības un vides zinātniskā institūta „BIOR” (turpmāk – BIOR), Vides aizsardzības un reģionālās attīstības ministrijas (turpmāk – VARAM), Valsts vides dienesta, VAS „Latvijas Jūras administrācija”, Ekonomikas ministrijas un Aizsardzības ministrijas. Otrajā no šīm sanāksmēm piedalījās arī SIA „</w:t>
            </w:r>
            <w:proofErr w:type="spellStart"/>
            <w:r w:rsidRPr="00F04F35">
              <w:rPr>
                <w:rFonts w:ascii="Times New Roman" w:hAnsi="Times New Roman"/>
                <w:sz w:val="24"/>
                <w:szCs w:val="24"/>
              </w:rPr>
              <w:t>Ekobaltika</w:t>
            </w:r>
            <w:proofErr w:type="spellEnd"/>
            <w:r w:rsidRPr="00F04F35">
              <w:rPr>
                <w:rFonts w:ascii="Times New Roman" w:hAnsi="Times New Roman"/>
                <w:sz w:val="24"/>
                <w:szCs w:val="24"/>
              </w:rPr>
              <w:t xml:space="preserve"> </w:t>
            </w:r>
            <w:proofErr w:type="spellStart"/>
            <w:r w:rsidRPr="00F04F35">
              <w:rPr>
                <w:rFonts w:ascii="Times New Roman" w:hAnsi="Times New Roman"/>
                <w:sz w:val="24"/>
                <w:szCs w:val="24"/>
              </w:rPr>
              <w:t>Group</w:t>
            </w:r>
            <w:proofErr w:type="spellEnd"/>
            <w:r w:rsidRPr="00F04F35">
              <w:rPr>
                <w:rFonts w:ascii="Times New Roman" w:hAnsi="Times New Roman"/>
                <w:sz w:val="24"/>
                <w:szCs w:val="24"/>
              </w:rPr>
              <w:t>” un sniedza skaidrojumu par savām iecerēm, pamatoja konkrēto jūras laukumu izvēli, kā arī atbildēja uz sanāksmes dalībnieku uzdotajiem jautājumiem. Sanāksmju laikā būtiski iebildumi par zemūdens akvakultūras audzētavu izveidei izvēlētajām teritorijām netika izvirzīti un tika atbalstīts ZM ierosinājums gatavot tālākai virzībai attiecīgu MK rīkojuma projektu par atļaujas vai licences laukumu noteikšanu jūrā akvakultūras darbību veikšanai. Tāpat tika nolemts pieprasīt SIA „</w:t>
            </w:r>
            <w:proofErr w:type="spellStart"/>
            <w:r w:rsidRPr="00F04F35">
              <w:rPr>
                <w:rFonts w:ascii="Times New Roman" w:hAnsi="Times New Roman"/>
                <w:sz w:val="24"/>
                <w:szCs w:val="24"/>
              </w:rPr>
              <w:t>Ekobaltika</w:t>
            </w:r>
            <w:proofErr w:type="spellEnd"/>
            <w:r w:rsidRPr="00F04F35">
              <w:rPr>
                <w:rFonts w:ascii="Times New Roman" w:hAnsi="Times New Roman"/>
                <w:sz w:val="24"/>
                <w:szCs w:val="24"/>
              </w:rPr>
              <w:t xml:space="preserve"> </w:t>
            </w:r>
            <w:proofErr w:type="spellStart"/>
            <w:r w:rsidRPr="00F04F35">
              <w:rPr>
                <w:rFonts w:ascii="Times New Roman" w:hAnsi="Times New Roman"/>
                <w:sz w:val="24"/>
                <w:szCs w:val="24"/>
              </w:rPr>
              <w:t>Group</w:t>
            </w:r>
            <w:proofErr w:type="spellEnd"/>
            <w:r w:rsidRPr="00F04F35">
              <w:rPr>
                <w:rFonts w:ascii="Times New Roman" w:hAnsi="Times New Roman"/>
                <w:sz w:val="24"/>
                <w:szCs w:val="24"/>
              </w:rPr>
              <w:t xml:space="preserve">” iesniegt precīzas koordinātas taisnstūra poligoniem jūrā 1984.gada Pasaules Ģeodēziskajā koordinātu sistēmā (WGS84). </w:t>
            </w:r>
          </w:p>
          <w:p w:rsidR="004B1F42" w:rsidRPr="00F04F35" w:rsidRDefault="004B1F42" w:rsidP="00F04F35">
            <w:pPr>
              <w:autoSpaceDE w:val="0"/>
              <w:autoSpaceDN w:val="0"/>
              <w:adjustRightInd w:val="0"/>
              <w:spacing w:after="0" w:line="240" w:lineRule="auto"/>
              <w:ind w:firstLine="375"/>
              <w:jc w:val="both"/>
              <w:rPr>
                <w:rFonts w:ascii="Times New Roman" w:hAnsi="Times New Roman"/>
                <w:sz w:val="24"/>
                <w:szCs w:val="24"/>
              </w:rPr>
            </w:pPr>
            <w:r w:rsidRPr="00F04F35">
              <w:rPr>
                <w:rFonts w:ascii="Times New Roman" w:hAnsi="Times New Roman"/>
                <w:sz w:val="24"/>
                <w:szCs w:val="24"/>
              </w:rPr>
              <w:t>Vienlaikus minēto sanāksmju dalībnieki apsprieda vairākas pastāvošās problēmas šādu laukumu noteikšanai jūrā, kamēr vēl nav izstrādāts MK regulējums, tai skaitā:</w:t>
            </w:r>
          </w:p>
          <w:p w:rsidR="004B1F42" w:rsidRPr="00F04F35" w:rsidRDefault="004B1F42" w:rsidP="00F04F35">
            <w:pPr>
              <w:numPr>
                <w:ilvl w:val="0"/>
                <w:numId w:val="1"/>
              </w:numPr>
              <w:autoSpaceDE w:val="0"/>
              <w:autoSpaceDN w:val="0"/>
              <w:adjustRightInd w:val="0"/>
              <w:spacing w:after="0" w:line="240" w:lineRule="auto"/>
              <w:jc w:val="both"/>
              <w:rPr>
                <w:rFonts w:ascii="Times New Roman" w:hAnsi="Times New Roman"/>
                <w:sz w:val="24"/>
                <w:szCs w:val="24"/>
              </w:rPr>
            </w:pPr>
            <w:r w:rsidRPr="00F04F35">
              <w:rPr>
                <w:rFonts w:ascii="Times New Roman" w:hAnsi="Times New Roman"/>
                <w:sz w:val="24"/>
                <w:szCs w:val="24"/>
              </w:rPr>
              <w:t>nav paredzēta kārtība, kā atļaujas laukums jūrā tiek noteikts;</w:t>
            </w:r>
          </w:p>
          <w:p w:rsidR="004B1F42" w:rsidRPr="00F04F35" w:rsidRDefault="004B1F42" w:rsidP="00F04F35">
            <w:pPr>
              <w:numPr>
                <w:ilvl w:val="0"/>
                <w:numId w:val="1"/>
              </w:numPr>
              <w:autoSpaceDE w:val="0"/>
              <w:autoSpaceDN w:val="0"/>
              <w:adjustRightInd w:val="0"/>
              <w:spacing w:after="0" w:line="240" w:lineRule="auto"/>
              <w:jc w:val="both"/>
              <w:rPr>
                <w:rFonts w:ascii="Times New Roman" w:hAnsi="Times New Roman"/>
                <w:sz w:val="24"/>
                <w:szCs w:val="24"/>
              </w:rPr>
            </w:pPr>
            <w:r w:rsidRPr="00F04F35">
              <w:rPr>
                <w:rFonts w:ascii="Times New Roman" w:hAnsi="Times New Roman"/>
                <w:sz w:val="24"/>
                <w:szCs w:val="24"/>
              </w:rPr>
              <w:t>nav noteikta kārtība, kādā rīkojams konkurss par tiesībām izmantot atļaujas laukumu jūrā;</w:t>
            </w:r>
          </w:p>
          <w:p w:rsidR="004B1F42" w:rsidRPr="00F04F35" w:rsidRDefault="004B1F42" w:rsidP="00F04F35">
            <w:pPr>
              <w:numPr>
                <w:ilvl w:val="0"/>
                <w:numId w:val="1"/>
              </w:numPr>
              <w:autoSpaceDE w:val="0"/>
              <w:autoSpaceDN w:val="0"/>
              <w:adjustRightInd w:val="0"/>
              <w:spacing w:after="0" w:line="240" w:lineRule="auto"/>
              <w:jc w:val="both"/>
              <w:rPr>
                <w:rFonts w:ascii="Times New Roman" w:hAnsi="Times New Roman"/>
                <w:sz w:val="24"/>
                <w:szCs w:val="24"/>
              </w:rPr>
            </w:pPr>
            <w:r w:rsidRPr="00F04F35">
              <w:rPr>
                <w:rFonts w:ascii="Times New Roman" w:hAnsi="Times New Roman"/>
                <w:sz w:val="24"/>
                <w:szCs w:val="24"/>
              </w:rPr>
              <w:t>nav noteikta kārtība, kādā izsniedzama, apturama vai anulējama atļauja laukuma jūrā izmantošanai;</w:t>
            </w:r>
          </w:p>
          <w:p w:rsidR="004B1F42" w:rsidRPr="00F04F35" w:rsidRDefault="004B1F42" w:rsidP="00F04F35">
            <w:pPr>
              <w:numPr>
                <w:ilvl w:val="0"/>
                <w:numId w:val="1"/>
              </w:numPr>
              <w:autoSpaceDE w:val="0"/>
              <w:autoSpaceDN w:val="0"/>
              <w:adjustRightInd w:val="0"/>
              <w:spacing w:after="0" w:line="240" w:lineRule="auto"/>
              <w:jc w:val="both"/>
              <w:rPr>
                <w:rFonts w:ascii="Times New Roman" w:hAnsi="Times New Roman"/>
                <w:sz w:val="24"/>
                <w:szCs w:val="24"/>
              </w:rPr>
            </w:pPr>
            <w:r w:rsidRPr="00F04F35">
              <w:rPr>
                <w:rFonts w:ascii="Times New Roman" w:hAnsi="Times New Roman"/>
                <w:sz w:val="24"/>
                <w:szCs w:val="24"/>
              </w:rPr>
              <w:t>nav noteikts ikgadējās valsts nodevas apmērs un tās maksāšanas kārtība.</w:t>
            </w:r>
          </w:p>
          <w:p w:rsidR="004B1F42" w:rsidRPr="00F04F35" w:rsidRDefault="004B1F42" w:rsidP="00F04F35">
            <w:pPr>
              <w:autoSpaceDE w:val="0"/>
              <w:autoSpaceDN w:val="0"/>
              <w:adjustRightInd w:val="0"/>
              <w:spacing w:after="0" w:line="240" w:lineRule="auto"/>
              <w:ind w:firstLine="375"/>
              <w:jc w:val="both"/>
              <w:rPr>
                <w:rFonts w:ascii="Times New Roman" w:hAnsi="Times New Roman"/>
                <w:sz w:val="24"/>
                <w:szCs w:val="24"/>
              </w:rPr>
            </w:pPr>
            <w:r w:rsidRPr="00F04F35">
              <w:rPr>
                <w:rFonts w:ascii="Times New Roman" w:hAnsi="Times New Roman"/>
                <w:sz w:val="24"/>
                <w:szCs w:val="24"/>
              </w:rPr>
              <w:t>2013. gada 10. jūnijā SIA „</w:t>
            </w:r>
            <w:proofErr w:type="spellStart"/>
            <w:r w:rsidRPr="00F04F35">
              <w:rPr>
                <w:rFonts w:ascii="Times New Roman" w:hAnsi="Times New Roman"/>
                <w:sz w:val="24"/>
                <w:szCs w:val="24"/>
              </w:rPr>
              <w:t>Ekobaltika</w:t>
            </w:r>
            <w:proofErr w:type="spellEnd"/>
            <w:r w:rsidRPr="00F04F35">
              <w:rPr>
                <w:rFonts w:ascii="Times New Roman" w:hAnsi="Times New Roman"/>
                <w:sz w:val="24"/>
                <w:szCs w:val="24"/>
              </w:rPr>
              <w:t xml:space="preserve"> </w:t>
            </w:r>
            <w:proofErr w:type="spellStart"/>
            <w:r w:rsidRPr="00F04F35">
              <w:rPr>
                <w:rFonts w:ascii="Times New Roman" w:hAnsi="Times New Roman"/>
                <w:sz w:val="24"/>
                <w:szCs w:val="24"/>
              </w:rPr>
              <w:t>Group</w:t>
            </w:r>
            <w:proofErr w:type="spellEnd"/>
            <w:r w:rsidRPr="00F04F35">
              <w:rPr>
                <w:rFonts w:ascii="Times New Roman" w:hAnsi="Times New Roman"/>
                <w:sz w:val="24"/>
                <w:szCs w:val="24"/>
              </w:rPr>
              <w:t xml:space="preserve">”, pamatojoties uz </w:t>
            </w:r>
            <w:r>
              <w:rPr>
                <w:rFonts w:ascii="Times New Roman" w:hAnsi="Times New Roman"/>
                <w:sz w:val="24"/>
                <w:szCs w:val="24"/>
              </w:rPr>
              <w:t>JVAPL</w:t>
            </w:r>
            <w:r w:rsidRPr="00F04F35">
              <w:rPr>
                <w:rFonts w:ascii="Times New Roman" w:hAnsi="Times New Roman"/>
                <w:sz w:val="24"/>
                <w:szCs w:val="24"/>
              </w:rPr>
              <w:t xml:space="preserve"> 19. panta otro un trešo daļu, iesniedza iesniegumu par astoņu atļauju laukumu noteikšanu Latvijas Republikas teritoriālajā jūrā. </w:t>
            </w:r>
          </w:p>
          <w:p w:rsidR="004B1F42" w:rsidRPr="00F04F35" w:rsidRDefault="004B1F42" w:rsidP="00F04F35">
            <w:pPr>
              <w:autoSpaceDE w:val="0"/>
              <w:autoSpaceDN w:val="0"/>
              <w:adjustRightInd w:val="0"/>
              <w:spacing w:after="0" w:line="240" w:lineRule="auto"/>
              <w:ind w:firstLine="375"/>
              <w:jc w:val="both"/>
              <w:rPr>
                <w:rFonts w:ascii="Times New Roman" w:hAnsi="Times New Roman"/>
                <w:sz w:val="24"/>
                <w:szCs w:val="24"/>
              </w:rPr>
            </w:pPr>
            <w:r w:rsidRPr="00F04F35">
              <w:rPr>
                <w:rFonts w:ascii="Times New Roman" w:hAnsi="Times New Roman"/>
                <w:sz w:val="24"/>
                <w:szCs w:val="24"/>
              </w:rPr>
              <w:t>Katrai zemūdens akvakultūras audzētavai SIA „</w:t>
            </w:r>
            <w:proofErr w:type="spellStart"/>
            <w:r w:rsidRPr="00F04F35">
              <w:rPr>
                <w:rFonts w:ascii="Times New Roman" w:hAnsi="Times New Roman"/>
                <w:sz w:val="24"/>
                <w:szCs w:val="24"/>
              </w:rPr>
              <w:t>Ekobaltika</w:t>
            </w:r>
            <w:proofErr w:type="spellEnd"/>
            <w:r w:rsidRPr="00F04F35">
              <w:rPr>
                <w:rFonts w:ascii="Times New Roman" w:hAnsi="Times New Roman"/>
                <w:sz w:val="24"/>
                <w:szCs w:val="24"/>
              </w:rPr>
              <w:t xml:space="preserve"> </w:t>
            </w:r>
            <w:proofErr w:type="spellStart"/>
            <w:r w:rsidRPr="00F04F35">
              <w:rPr>
                <w:rFonts w:ascii="Times New Roman" w:hAnsi="Times New Roman"/>
                <w:sz w:val="24"/>
                <w:szCs w:val="24"/>
              </w:rPr>
              <w:t>Group</w:t>
            </w:r>
            <w:proofErr w:type="spellEnd"/>
            <w:r w:rsidRPr="00F04F35">
              <w:rPr>
                <w:rFonts w:ascii="Times New Roman" w:hAnsi="Times New Roman"/>
                <w:sz w:val="24"/>
                <w:szCs w:val="24"/>
              </w:rPr>
              <w:t xml:space="preserve">” ierosināja teritoriju četru jūras kvadrātjūdžu platībā. </w:t>
            </w:r>
            <w:r w:rsidR="008F4080">
              <w:rPr>
                <w:rFonts w:ascii="Times New Roman" w:hAnsi="Times New Roman"/>
                <w:sz w:val="24"/>
                <w:szCs w:val="24"/>
              </w:rPr>
              <w:t>V</w:t>
            </w:r>
            <w:r w:rsidR="008F4080" w:rsidRPr="00F04F35">
              <w:rPr>
                <w:rFonts w:ascii="Times New Roman" w:hAnsi="Times New Roman"/>
                <w:sz w:val="24"/>
                <w:szCs w:val="24"/>
              </w:rPr>
              <w:t xml:space="preserve">ietas </w:t>
            </w:r>
            <w:r w:rsidR="008F4080">
              <w:rPr>
                <w:rFonts w:ascii="Times New Roman" w:hAnsi="Times New Roman"/>
                <w:sz w:val="24"/>
                <w:szCs w:val="24"/>
              </w:rPr>
              <w:t>a</w:t>
            </w:r>
            <w:r w:rsidRPr="00F04F35">
              <w:rPr>
                <w:rFonts w:ascii="Times New Roman" w:hAnsi="Times New Roman"/>
                <w:sz w:val="24"/>
                <w:szCs w:val="24"/>
              </w:rPr>
              <w:t>udzētavu izvietošanai tika izvēlētas, pamatojoties uz SIA „</w:t>
            </w:r>
            <w:proofErr w:type="spellStart"/>
            <w:r w:rsidRPr="00F04F35">
              <w:rPr>
                <w:rFonts w:ascii="Times New Roman" w:hAnsi="Times New Roman"/>
                <w:sz w:val="24"/>
                <w:szCs w:val="24"/>
              </w:rPr>
              <w:t>Ekobaltika</w:t>
            </w:r>
            <w:proofErr w:type="spellEnd"/>
            <w:r w:rsidRPr="00F04F35">
              <w:rPr>
                <w:rFonts w:ascii="Times New Roman" w:hAnsi="Times New Roman"/>
                <w:sz w:val="24"/>
                <w:szCs w:val="24"/>
              </w:rPr>
              <w:t>” datiem un pētījumiem, kas veikti un apkopoti kopš 1982.gada (pētījumu dati nav publiski pieejami, jo ir SIA „</w:t>
            </w:r>
            <w:proofErr w:type="spellStart"/>
            <w:r w:rsidRPr="00F04F35">
              <w:rPr>
                <w:rFonts w:ascii="Times New Roman" w:hAnsi="Times New Roman"/>
                <w:sz w:val="24"/>
                <w:szCs w:val="24"/>
              </w:rPr>
              <w:t>Ekobaltika</w:t>
            </w:r>
            <w:proofErr w:type="spellEnd"/>
            <w:r w:rsidRPr="00F04F35">
              <w:rPr>
                <w:rFonts w:ascii="Times New Roman" w:hAnsi="Times New Roman"/>
                <w:sz w:val="24"/>
                <w:szCs w:val="24"/>
              </w:rPr>
              <w:t>” īpašums). Kaut arī pagājušā gadsimta 80. gadu pieredze jūras akvakultūrā piekrastes ūdeņos nebija veiksmīga (linuma sprostus piekrastes ūdeņos ietekmēja viļņi, vētras u.c. dabiskie apstākļi), SIA „</w:t>
            </w:r>
            <w:proofErr w:type="spellStart"/>
            <w:r w:rsidRPr="00F04F35">
              <w:rPr>
                <w:rFonts w:ascii="Times New Roman" w:hAnsi="Times New Roman"/>
                <w:sz w:val="24"/>
                <w:szCs w:val="24"/>
              </w:rPr>
              <w:t>Ekobaltika</w:t>
            </w:r>
            <w:proofErr w:type="spellEnd"/>
            <w:r>
              <w:rPr>
                <w:rFonts w:ascii="Times New Roman" w:hAnsi="Times New Roman"/>
                <w:sz w:val="24"/>
                <w:szCs w:val="24"/>
              </w:rPr>
              <w:t xml:space="preserve"> </w:t>
            </w:r>
            <w:proofErr w:type="spellStart"/>
            <w:r>
              <w:rPr>
                <w:rFonts w:ascii="Times New Roman" w:hAnsi="Times New Roman"/>
                <w:sz w:val="24"/>
                <w:szCs w:val="24"/>
              </w:rPr>
              <w:t>Group</w:t>
            </w:r>
            <w:proofErr w:type="spellEnd"/>
            <w:r w:rsidRPr="00F04F35">
              <w:rPr>
                <w:rFonts w:ascii="Times New Roman" w:hAnsi="Times New Roman"/>
                <w:sz w:val="24"/>
                <w:szCs w:val="24"/>
              </w:rPr>
              <w:t>” norāda, ka ar attiecīgām mūsdienīgām audzēšanas tehnoloģijām, kas ir plānotā projekta īstenotāju rīcībā, būtu iespējams audzēt zivis dziļākos jūras ūdeņos. Tāpēc, izvēloties konkrētas teritorijas jūrā, SIA „</w:t>
            </w:r>
            <w:proofErr w:type="spellStart"/>
            <w:r w:rsidRPr="00F04F35">
              <w:rPr>
                <w:rFonts w:ascii="Times New Roman" w:hAnsi="Times New Roman"/>
                <w:sz w:val="24"/>
                <w:szCs w:val="24"/>
              </w:rPr>
              <w:t>Ekobaltika</w:t>
            </w:r>
            <w:proofErr w:type="spellEnd"/>
            <w:r>
              <w:rPr>
                <w:rFonts w:ascii="Times New Roman" w:hAnsi="Times New Roman"/>
                <w:sz w:val="24"/>
                <w:szCs w:val="24"/>
              </w:rPr>
              <w:t xml:space="preserve"> </w:t>
            </w:r>
            <w:proofErr w:type="spellStart"/>
            <w:r>
              <w:rPr>
                <w:rFonts w:ascii="Times New Roman" w:hAnsi="Times New Roman"/>
                <w:sz w:val="24"/>
                <w:szCs w:val="24"/>
              </w:rPr>
              <w:t>Group</w:t>
            </w:r>
            <w:proofErr w:type="spellEnd"/>
            <w:r w:rsidRPr="00F04F35">
              <w:rPr>
                <w:rFonts w:ascii="Times New Roman" w:hAnsi="Times New Roman"/>
                <w:sz w:val="24"/>
                <w:szCs w:val="24"/>
              </w:rPr>
              <w:t xml:space="preserve">” ir ņēmusi vērā zemūdens straumes un to pārmaiņas, kā arī šādu darbību veikšanai nepieciešamo jūras dziļumu ~ </w:t>
            </w:r>
            <w:smartTag w:uri="urn:schemas-microsoft-com:office:smarttags" w:element="metricconverter">
              <w:smartTagPr>
                <w:attr w:name="ProductID" w:val="35 metri"/>
              </w:smartTagPr>
              <w:smartTag w:uri="schemas-tilde-lv/tildestengine" w:element="metric2">
                <w:smartTagPr>
                  <w:attr w:name="metric_text" w:val="metri"/>
                  <w:attr w:name="metric_value" w:val="35"/>
                </w:smartTagPr>
                <w:r w:rsidRPr="00F04F35">
                  <w:rPr>
                    <w:rFonts w:ascii="Times New Roman" w:hAnsi="Times New Roman"/>
                    <w:sz w:val="24"/>
                    <w:szCs w:val="24"/>
                  </w:rPr>
                  <w:t>35 metri</w:t>
                </w:r>
              </w:smartTag>
            </w:smartTag>
            <w:r w:rsidRPr="00F04F35">
              <w:rPr>
                <w:rFonts w:ascii="Times New Roman" w:hAnsi="Times New Roman"/>
                <w:sz w:val="24"/>
                <w:szCs w:val="24"/>
              </w:rPr>
              <w:t xml:space="preserve">, lai igvāti (audzēšanas sprosti) pilnībā atrastos zem ūdens neatkarīgi no </w:t>
            </w:r>
            <w:proofErr w:type="spellStart"/>
            <w:r w:rsidRPr="00F04F35">
              <w:rPr>
                <w:rFonts w:ascii="Times New Roman" w:hAnsi="Times New Roman"/>
                <w:sz w:val="24"/>
                <w:szCs w:val="24"/>
              </w:rPr>
              <w:t>laikapstākļiem</w:t>
            </w:r>
            <w:proofErr w:type="spellEnd"/>
            <w:r w:rsidRPr="00F04F35">
              <w:rPr>
                <w:rFonts w:ascii="Times New Roman" w:hAnsi="Times New Roman"/>
                <w:sz w:val="24"/>
                <w:szCs w:val="24"/>
              </w:rPr>
              <w:t xml:space="preserve">, jo paredzētais zemūdens igvātu augstums ir </w:t>
            </w:r>
            <w:smartTag w:uri="urn:schemas-microsoft-com:office:smarttags" w:element="metricconverter">
              <w:smartTagPr>
                <w:attr w:name="ProductID" w:val="18 metri"/>
              </w:smartTagPr>
              <w:smartTag w:uri="schemas-tilde-lv/tildestengine" w:element="metric2">
                <w:smartTagPr>
                  <w:attr w:name="metric_text" w:val="metri"/>
                  <w:attr w:name="metric_value" w:val="18"/>
                </w:smartTagPr>
                <w:r w:rsidRPr="00F04F35">
                  <w:rPr>
                    <w:rFonts w:ascii="Times New Roman" w:hAnsi="Times New Roman"/>
                    <w:sz w:val="24"/>
                    <w:szCs w:val="24"/>
                  </w:rPr>
                  <w:t>18 metri</w:t>
                </w:r>
              </w:smartTag>
            </w:smartTag>
            <w:r w:rsidRPr="00F04F35">
              <w:rPr>
                <w:rFonts w:ascii="Times New Roman" w:hAnsi="Times New Roman"/>
                <w:sz w:val="24"/>
                <w:szCs w:val="24"/>
              </w:rPr>
              <w:t xml:space="preserve">. Pie šāda dziļuma tiek nodrošināta </w:t>
            </w:r>
            <w:r w:rsidRPr="00F04F35">
              <w:rPr>
                <w:rFonts w:ascii="Times New Roman" w:hAnsi="Times New Roman"/>
                <w:sz w:val="24"/>
                <w:szCs w:val="24"/>
              </w:rPr>
              <w:lastRenderedPageBreak/>
              <w:t>arī zemūdens audzētavas teritorijā nonākušo kuģu drošība.</w:t>
            </w:r>
            <w:r w:rsidRPr="00F04F35">
              <w:rPr>
                <w:rFonts w:ascii="Times New Roman" w:hAnsi="Times New Roman"/>
              </w:rPr>
              <w:t xml:space="preserve"> </w:t>
            </w:r>
            <w:r w:rsidRPr="00F04F35">
              <w:rPr>
                <w:rFonts w:ascii="Times New Roman" w:hAnsi="Times New Roman"/>
                <w:sz w:val="24"/>
                <w:szCs w:val="24"/>
              </w:rPr>
              <w:t xml:space="preserve">Projekta īstenotāji paredz, ka Baltijas jūras ūdeņu ekoloģiskajai drošībai tiks izmantotas </w:t>
            </w:r>
            <w:proofErr w:type="spellStart"/>
            <w:r w:rsidRPr="00F04F35">
              <w:rPr>
                <w:rFonts w:ascii="Times New Roman" w:hAnsi="Times New Roman"/>
                <w:sz w:val="24"/>
                <w:szCs w:val="24"/>
              </w:rPr>
              <w:t>aizsargsistēmas</w:t>
            </w:r>
            <w:proofErr w:type="spellEnd"/>
            <w:r w:rsidRPr="00F04F35">
              <w:rPr>
                <w:rFonts w:ascii="Times New Roman" w:hAnsi="Times New Roman"/>
                <w:sz w:val="24"/>
                <w:szCs w:val="24"/>
              </w:rPr>
              <w:t xml:space="preserve"> no ūdenszālēm, </w:t>
            </w:r>
            <w:proofErr w:type="spellStart"/>
            <w:r w:rsidRPr="00F04F35">
              <w:rPr>
                <w:rFonts w:ascii="Times New Roman" w:hAnsi="Times New Roman"/>
                <w:sz w:val="24"/>
                <w:szCs w:val="24"/>
              </w:rPr>
              <w:t>makroaļģēm</w:t>
            </w:r>
            <w:proofErr w:type="spellEnd"/>
            <w:r w:rsidRPr="00F04F35">
              <w:rPr>
                <w:rFonts w:ascii="Times New Roman" w:hAnsi="Times New Roman"/>
                <w:sz w:val="24"/>
                <w:szCs w:val="24"/>
              </w:rPr>
              <w:t xml:space="preserve">, </w:t>
            </w:r>
            <w:proofErr w:type="spellStart"/>
            <w:r w:rsidRPr="00F04F35">
              <w:rPr>
                <w:rFonts w:ascii="Times New Roman" w:hAnsi="Times New Roman"/>
                <w:sz w:val="24"/>
                <w:szCs w:val="24"/>
              </w:rPr>
              <w:t>mīdijām</w:t>
            </w:r>
            <w:proofErr w:type="spellEnd"/>
            <w:r w:rsidRPr="00F04F35">
              <w:rPr>
                <w:rFonts w:ascii="Times New Roman" w:hAnsi="Times New Roman"/>
                <w:sz w:val="24"/>
                <w:szCs w:val="24"/>
              </w:rPr>
              <w:t xml:space="preserve"> un citām akvakultūras sugām. Šo kultūru audzēšanai jūras dziļums var būt mazāks par </w:t>
            </w:r>
            <w:smartTag w:uri="urn:schemas-microsoft-com:office:smarttags" w:element="metricconverter">
              <w:smartTagPr>
                <w:attr w:name="ProductID" w:val="35 metriem"/>
              </w:smartTagPr>
              <w:r w:rsidRPr="00F04F35">
                <w:rPr>
                  <w:rFonts w:ascii="Times New Roman" w:hAnsi="Times New Roman"/>
                  <w:sz w:val="24"/>
                  <w:szCs w:val="24"/>
                </w:rPr>
                <w:t>35 metriem</w:t>
              </w:r>
            </w:smartTag>
            <w:r w:rsidRPr="00F04F35">
              <w:rPr>
                <w:rFonts w:ascii="Times New Roman" w:hAnsi="Times New Roman"/>
                <w:sz w:val="24"/>
                <w:szCs w:val="24"/>
              </w:rPr>
              <w:t>.</w:t>
            </w:r>
          </w:p>
          <w:p w:rsidR="004B1F42" w:rsidRPr="00F04F35" w:rsidRDefault="004B1F42" w:rsidP="00F04F35">
            <w:pPr>
              <w:autoSpaceDE w:val="0"/>
              <w:autoSpaceDN w:val="0"/>
              <w:adjustRightInd w:val="0"/>
              <w:spacing w:after="0" w:line="240" w:lineRule="auto"/>
              <w:ind w:firstLine="375"/>
              <w:jc w:val="both"/>
              <w:rPr>
                <w:rFonts w:ascii="Times New Roman" w:hAnsi="Times New Roman"/>
              </w:rPr>
            </w:pPr>
            <w:r w:rsidRPr="00F04F35">
              <w:rPr>
                <w:rFonts w:ascii="Times New Roman" w:hAnsi="Times New Roman"/>
                <w:sz w:val="24"/>
                <w:szCs w:val="24"/>
              </w:rPr>
              <w:t>2013.gada 16.septembrī SIA „</w:t>
            </w:r>
            <w:proofErr w:type="spellStart"/>
            <w:r w:rsidRPr="00F04F35">
              <w:rPr>
                <w:rFonts w:ascii="Times New Roman" w:hAnsi="Times New Roman"/>
                <w:sz w:val="24"/>
                <w:szCs w:val="24"/>
              </w:rPr>
              <w:t>Ekobaltika</w:t>
            </w:r>
            <w:proofErr w:type="spellEnd"/>
            <w:r w:rsidRPr="00F04F35">
              <w:rPr>
                <w:rFonts w:ascii="Times New Roman" w:hAnsi="Times New Roman"/>
                <w:sz w:val="24"/>
                <w:szCs w:val="24"/>
              </w:rPr>
              <w:t xml:space="preserve"> </w:t>
            </w:r>
            <w:proofErr w:type="spellStart"/>
            <w:r w:rsidRPr="00F04F35">
              <w:rPr>
                <w:rFonts w:ascii="Times New Roman" w:hAnsi="Times New Roman"/>
                <w:sz w:val="24"/>
                <w:szCs w:val="24"/>
              </w:rPr>
              <w:t>Group</w:t>
            </w:r>
            <w:proofErr w:type="spellEnd"/>
            <w:r w:rsidRPr="00F04F35">
              <w:rPr>
                <w:rFonts w:ascii="Times New Roman" w:hAnsi="Times New Roman"/>
                <w:sz w:val="24"/>
                <w:szCs w:val="24"/>
              </w:rPr>
              <w:t>” iesniedza precizētas laukumu stūru koordinātas, kas ir norādītas 1984.gada pasaules ģeodēziskajā koordinātu sistēmā WGS84 (</w:t>
            </w:r>
            <w:proofErr w:type="spellStart"/>
            <w:r w:rsidRPr="00F04F35">
              <w:rPr>
                <w:rFonts w:ascii="Times New Roman" w:hAnsi="Times New Roman"/>
                <w:i/>
                <w:sz w:val="24"/>
                <w:szCs w:val="24"/>
              </w:rPr>
              <w:t>World</w:t>
            </w:r>
            <w:proofErr w:type="spellEnd"/>
            <w:r w:rsidRPr="00F04F35">
              <w:rPr>
                <w:rFonts w:ascii="Times New Roman" w:hAnsi="Times New Roman"/>
                <w:i/>
                <w:sz w:val="24"/>
                <w:szCs w:val="24"/>
              </w:rPr>
              <w:t xml:space="preserve"> </w:t>
            </w:r>
            <w:proofErr w:type="spellStart"/>
            <w:r w:rsidRPr="00F04F35">
              <w:rPr>
                <w:rFonts w:ascii="Times New Roman" w:hAnsi="Times New Roman"/>
                <w:i/>
                <w:sz w:val="24"/>
                <w:szCs w:val="24"/>
              </w:rPr>
              <w:t>Geodetic</w:t>
            </w:r>
            <w:proofErr w:type="spellEnd"/>
            <w:r w:rsidRPr="00F04F35">
              <w:rPr>
                <w:rFonts w:ascii="Times New Roman" w:hAnsi="Times New Roman"/>
                <w:i/>
                <w:sz w:val="24"/>
                <w:szCs w:val="24"/>
              </w:rPr>
              <w:t xml:space="preserve"> </w:t>
            </w:r>
            <w:proofErr w:type="spellStart"/>
            <w:r w:rsidRPr="00F04F35">
              <w:rPr>
                <w:rFonts w:ascii="Times New Roman" w:hAnsi="Times New Roman"/>
                <w:i/>
                <w:sz w:val="24"/>
                <w:szCs w:val="24"/>
              </w:rPr>
              <w:t>System</w:t>
            </w:r>
            <w:proofErr w:type="spellEnd"/>
            <w:r w:rsidRPr="00F04F35">
              <w:rPr>
                <w:rFonts w:ascii="Times New Roman" w:hAnsi="Times New Roman"/>
                <w:sz w:val="24"/>
                <w:szCs w:val="24"/>
              </w:rPr>
              <w:t xml:space="preserve"> 1984) un </w:t>
            </w:r>
            <w:proofErr w:type="spellStart"/>
            <w:r w:rsidRPr="00F04F35">
              <w:rPr>
                <w:rFonts w:ascii="Times New Roman" w:hAnsi="Times New Roman"/>
                <w:sz w:val="24"/>
                <w:szCs w:val="24"/>
              </w:rPr>
              <w:t>Merkatora</w:t>
            </w:r>
            <w:proofErr w:type="spellEnd"/>
            <w:r w:rsidRPr="00F04F35">
              <w:rPr>
                <w:rFonts w:ascii="Times New Roman" w:hAnsi="Times New Roman"/>
                <w:sz w:val="24"/>
                <w:szCs w:val="24"/>
              </w:rPr>
              <w:t xml:space="preserve"> transversālās projekcijas plaknē (LKS92 TM), kā arī kartogrāfisko materiālu (1.pielikums), kurā ir attēlotas visas astoņas akvakultūras darbībām paredzētās jūras teritorijas. Materiāls ir sagatavots sadarbībā ar VAS „Latvijas Jūras administrācija”, ņemot vērā pašreizējo informāciju par citu jūras lietotāju esošajām un potenciālajām interesēm, lai tās savstarpēji nepārklātos un nekonfliktētu. </w:t>
            </w:r>
          </w:p>
          <w:p w:rsidR="004B1F42" w:rsidRPr="00F04F35" w:rsidRDefault="004B1F42" w:rsidP="00F04F35">
            <w:pPr>
              <w:pStyle w:val="western"/>
              <w:spacing w:before="0" w:beforeAutospacing="0" w:after="0" w:afterAutospacing="0"/>
              <w:ind w:firstLine="427"/>
              <w:jc w:val="both"/>
              <w:rPr>
                <w:lang w:val="lv-LV"/>
              </w:rPr>
            </w:pPr>
            <w:r w:rsidRPr="00F04F35">
              <w:rPr>
                <w:lang w:val="lv-LV"/>
              </w:rPr>
              <w:t xml:space="preserve">Rīkojuma projektā divi no paredzētajiem licences laukumiem (Nr.3 un </w:t>
            </w:r>
            <w:r>
              <w:rPr>
                <w:lang w:val="lv-LV"/>
              </w:rPr>
              <w:t>Nr.</w:t>
            </w:r>
            <w:r w:rsidRPr="00F04F35">
              <w:rPr>
                <w:lang w:val="lv-LV"/>
              </w:rPr>
              <w:t xml:space="preserve">4) atrodas aizsargājamajā jūras teritorijā „Rīgas līča rietumu piekraste”, kas ir iekļauta Eiropas nozīmes aizsargājamo dabas teritoriju </w:t>
            </w:r>
            <w:r w:rsidRPr="00F04F35">
              <w:rPr>
                <w:i/>
                <w:lang w:val="lv-LV"/>
              </w:rPr>
              <w:t xml:space="preserve">Natura2000 </w:t>
            </w:r>
            <w:r w:rsidRPr="00F04F35">
              <w:rPr>
                <w:lang w:val="lv-LV"/>
              </w:rPr>
              <w:t xml:space="preserve">tīklā. Atbilstoši </w:t>
            </w:r>
            <w:r>
              <w:rPr>
                <w:lang w:val="lv-LV"/>
              </w:rPr>
              <w:t xml:space="preserve">JVAPL </w:t>
            </w:r>
            <w:r w:rsidRPr="00F04F35">
              <w:rPr>
                <w:lang w:val="lv-LV"/>
              </w:rPr>
              <w:t xml:space="preserve"> 20.panta pirmās daļas 2.punktam un likuma „Par ietekmes un vidi novērtējumu” 8.</w:t>
            </w:r>
            <w:r w:rsidRPr="00F04F35">
              <w:rPr>
                <w:vertAlign w:val="superscript"/>
                <w:lang w:val="lv-LV"/>
              </w:rPr>
              <w:t>1</w:t>
            </w:r>
            <w:r w:rsidRPr="00F04F35">
              <w:rPr>
                <w:lang w:val="lv-LV"/>
              </w:rPr>
              <w:t xml:space="preserve"> pantam persona, kas konkursa kārtībā ieguvusi tiesības izmantot atļaujas vai licences laukumu jūrā, iesniedz Valsts vides dienestā iesniegumu paredzētās darbības jūrā sākotnējā ietekmes uz vidi izvērtējuma veikšanai vai iesniegumu tehnisko noteikumu saņemšanai atbilstoši Ministru kabineta 2004.gada 17.februāra noteikumu Nr.91 „Kārtība, kādā reģionālā vides pārvalde izdod tehniskos noteikumus paredzētajai darbībai, kurai nav nepieciešams ietekmes uz vidi novērtējums” pielikuma 1.2.apakšpunktam. Saskaņā ar likuma „Par īpaši aizsargājamām teritorijām” 43.panta 5.apakšpunktu paredzēto darbību atļauj veikt vai plānošanas dokumentu īstenot, ja tas negatīvi neietekmē Eiropas nozīmes aizsargājamās dabas teritorijas </w:t>
            </w:r>
            <w:r w:rsidRPr="00F04F35">
              <w:rPr>
                <w:i/>
                <w:iCs/>
                <w:lang w:val="lv-LV"/>
              </w:rPr>
              <w:t>(Natura2000)</w:t>
            </w:r>
            <w:r w:rsidRPr="00F04F35">
              <w:rPr>
                <w:lang w:val="lv-LV"/>
              </w:rPr>
              <w:t xml:space="preserve"> ekoloģiskās funkcijas, integritāti un nav pretrunā ar tās izveidošanas un aizsardzības mērķiem.</w:t>
            </w:r>
          </w:p>
          <w:p w:rsidR="004B1F42" w:rsidRPr="00F04F35" w:rsidRDefault="004B1F42" w:rsidP="00F04F35">
            <w:pPr>
              <w:autoSpaceDE w:val="0"/>
              <w:autoSpaceDN w:val="0"/>
              <w:adjustRightInd w:val="0"/>
              <w:spacing w:after="0" w:line="240" w:lineRule="auto"/>
              <w:ind w:firstLine="375"/>
              <w:jc w:val="both"/>
              <w:rPr>
                <w:rFonts w:ascii="Times New Roman" w:hAnsi="Times New Roman"/>
                <w:sz w:val="24"/>
                <w:szCs w:val="24"/>
              </w:rPr>
            </w:pPr>
            <w:r w:rsidRPr="00F04F35">
              <w:rPr>
                <w:rFonts w:ascii="Times New Roman" w:hAnsi="Times New Roman"/>
                <w:sz w:val="24"/>
                <w:szCs w:val="24"/>
              </w:rPr>
              <w:t xml:space="preserve">Projekta īstenotāji norāda, ka zemūdens audzētavu ierīkošanā un ekspluatācijā paredzēts izmantot ārvalstu zinātnieku un speciālistu zināšanas un pieredzi. Tiek plānota lašu dzimtas zivju – Baltijas sīgas, Atlantijas laša, varavīksnes foreles –, kā arī butes, mencas un citu zivju sugu audzēšana. Audzēšanas tehnoloģijas balstīsies uz Latvijas zinātnieku izstrādnēm par mineralizētā ūdens izmantošanu zivjaudzētavās un racionāli sabalansētas un dozētas zivju barošanas automatizāciju zemūdens igvātos. Nepārtraukti tiks veikts apkārtējās vides monitorings, pārmaiņu gadījumā informējot visas atbildīgās institūcijas. Jāņem arī vērā, ka, izmantojot integrētās </w:t>
            </w:r>
            <w:proofErr w:type="spellStart"/>
            <w:r w:rsidRPr="00F04F35">
              <w:rPr>
                <w:rFonts w:ascii="Times New Roman" w:hAnsi="Times New Roman"/>
                <w:sz w:val="24"/>
                <w:szCs w:val="24"/>
              </w:rPr>
              <w:t>multitrofiskās</w:t>
            </w:r>
            <w:proofErr w:type="spellEnd"/>
            <w:r w:rsidRPr="00F04F35">
              <w:rPr>
                <w:rFonts w:ascii="Times New Roman" w:hAnsi="Times New Roman"/>
                <w:sz w:val="24"/>
                <w:szCs w:val="24"/>
              </w:rPr>
              <w:t xml:space="preserve"> akvakultūras metodes (IMTA), audzētavu darbības ietekme uz apkārtējo vidi varētu tikt mazināta. Plānotais izaudzējamās zivju produkcijas apjoms tonnās vienā pieteiktajā teritorijā var sasniegt 3,5 tūkstošus tonnu.</w:t>
            </w:r>
          </w:p>
          <w:p w:rsidR="004B1F42" w:rsidRPr="00F04F35" w:rsidRDefault="004B1F42" w:rsidP="00F04F35">
            <w:pPr>
              <w:autoSpaceDE w:val="0"/>
              <w:autoSpaceDN w:val="0"/>
              <w:adjustRightInd w:val="0"/>
              <w:spacing w:after="0" w:line="240" w:lineRule="auto"/>
              <w:ind w:firstLine="375"/>
              <w:jc w:val="both"/>
              <w:rPr>
                <w:rFonts w:ascii="Times New Roman" w:hAnsi="Times New Roman"/>
                <w:sz w:val="24"/>
                <w:szCs w:val="24"/>
              </w:rPr>
            </w:pPr>
            <w:r w:rsidRPr="00F04F35">
              <w:rPr>
                <w:rFonts w:ascii="Times New Roman" w:hAnsi="Times New Roman"/>
                <w:sz w:val="24"/>
                <w:szCs w:val="24"/>
              </w:rPr>
              <w:t xml:space="preserve">Saskaņā ar MK rīkojuma projekta 2.pielikumu konkursa nolikumā ir paredzēts, ka pēc tam, kad konkursa uzvarētājs būs izpildījis </w:t>
            </w:r>
            <w:r>
              <w:rPr>
                <w:rFonts w:ascii="Times New Roman" w:hAnsi="Times New Roman"/>
                <w:sz w:val="24"/>
                <w:szCs w:val="24"/>
              </w:rPr>
              <w:t>JVAPL</w:t>
            </w:r>
            <w:r w:rsidRPr="00F04F35">
              <w:rPr>
                <w:rFonts w:ascii="Times New Roman" w:hAnsi="Times New Roman"/>
                <w:sz w:val="24"/>
                <w:szCs w:val="24"/>
              </w:rPr>
              <w:t xml:space="preserve"> 20.panta pirmās daļas 2.punktā un likuma „Par ietekmes un vidi novērtējumu” 8.</w:t>
            </w:r>
            <w:r w:rsidRPr="00F04F35">
              <w:rPr>
                <w:rFonts w:ascii="Times New Roman" w:hAnsi="Times New Roman"/>
                <w:sz w:val="24"/>
                <w:szCs w:val="24"/>
                <w:vertAlign w:val="superscript"/>
              </w:rPr>
              <w:t>1</w:t>
            </w:r>
            <w:r w:rsidRPr="00F04F35">
              <w:rPr>
                <w:rFonts w:ascii="Times New Roman" w:hAnsi="Times New Roman"/>
                <w:sz w:val="24"/>
                <w:szCs w:val="24"/>
              </w:rPr>
              <w:t xml:space="preserve"> pantā noteiktās prasības, ZM noteiktā kārtībā iesniegs Ministru kabinetā rīkojuma projektu par tiesību piešķiršanu konkursa uzvarētājam izmantot konkrētos atļaujas laukumus akvakultūras darbībai </w:t>
            </w:r>
            <w:r w:rsidRPr="00F04F35">
              <w:rPr>
                <w:rFonts w:ascii="Times New Roman" w:hAnsi="Times New Roman"/>
                <w:sz w:val="24"/>
                <w:szCs w:val="24"/>
              </w:rPr>
              <w:lastRenderedPageBreak/>
              <w:t>nepieciešamo iekārtu ierīkošanai un ekspluatācijai, paredzot atļaujas izmantošanas nosacījumus. Tajos tiks noteiktas prasības iekārtu uzstādīšanai, ekspluatācijai, kā arī ietverti jautājumi par sprādzienbīstamu priekšmetu konstatāciju uz jūras gultnes, akvakultūras iekārtu uzstādīšanas darbu avārijas seku likvidāciju jūrā u.c.</w:t>
            </w:r>
          </w:p>
          <w:p w:rsidR="004B1F42" w:rsidRPr="00F04F35" w:rsidRDefault="004B1F42" w:rsidP="00F04F35">
            <w:pPr>
              <w:autoSpaceDE w:val="0"/>
              <w:autoSpaceDN w:val="0"/>
              <w:adjustRightInd w:val="0"/>
              <w:spacing w:after="0" w:line="240" w:lineRule="auto"/>
              <w:ind w:firstLine="375"/>
              <w:jc w:val="both"/>
              <w:rPr>
                <w:rFonts w:ascii="Times New Roman" w:hAnsi="Times New Roman"/>
                <w:sz w:val="24"/>
                <w:szCs w:val="24"/>
              </w:rPr>
            </w:pPr>
            <w:r w:rsidRPr="00F04F35">
              <w:rPr>
                <w:rFonts w:ascii="Times New Roman" w:hAnsi="Times New Roman"/>
                <w:sz w:val="24"/>
                <w:szCs w:val="24"/>
              </w:rPr>
              <w:t xml:space="preserve">Saskaņā ar Latvijas </w:t>
            </w:r>
            <w:proofErr w:type="spellStart"/>
            <w:r w:rsidRPr="00F04F35">
              <w:rPr>
                <w:rFonts w:ascii="Times New Roman" w:hAnsi="Times New Roman"/>
                <w:sz w:val="24"/>
                <w:szCs w:val="24"/>
              </w:rPr>
              <w:t>Hidroekoloģijas</w:t>
            </w:r>
            <w:proofErr w:type="spellEnd"/>
            <w:r w:rsidRPr="00F04F35">
              <w:rPr>
                <w:rFonts w:ascii="Times New Roman" w:hAnsi="Times New Roman"/>
                <w:sz w:val="24"/>
                <w:szCs w:val="24"/>
              </w:rPr>
              <w:t xml:space="preserve"> institūta veikto Jūras vides stāvokļa sākotnējo novērtējumu Latvijas jūras ūdeņiem (apstiprināts ar Vides aizsardzības un reģionālās attīstības ministrijas 2013.gada 3.janvāra rīkojumu Nr.5) akvakultūra Latvijas Republikas jūras ūdeņos līdz šim nav bijusi attīstīta, jo tam nav piemērotu dabisko apstākļu. Tāpēc, kā norādīts ziņojumā, ekonomikas aktivitātēm saistībā ar jūras akvakultūru Latvijā ir tikai iespējamās izmantošanas vērtība (sk. Jūras ekosistēmas pakalpojums EP1.2: Vide un resursi jūras akvakultūrai izmantošanai). </w:t>
            </w:r>
          </w:p>
          <w:p w:rsidR="004B1F42" w:rsidRPr="0035646B" w:rsidRDefault="004B1F42" w:rsidP="00D87A05">
            <w:pPr>
              <w:autoSpaceDE w:val="0"/>
              <w:autoSpaceDN w:val="0"/>
              <w:adjustRightInd w:val="0"/>
              <w:spacing w:after="0" w:line="240" w:lineRule="auto"/>
              <w:ind w:firstLine="375"/>
              <w:jc w:val="both"/>
              <w:rPr>
                <w:rFonts w:ascii="Times New Roman" w:hAnsi="Times New Roman"/>
                <w:sz w:val="24"/>
                <w:szCs w:val="24"/>
              </w:rPr>
            </w:pPr>
            <w:r w:rsidRPr="0035646B">
              <w:rPr>
                <w:rFonts w:ascii="Times New Roman" w:hAnsi="Times New Roman"/>
                <w:sz w:val="24"/>
                <w:szCs w:val="24"/>
              </w:rPr>
              <w:t xml:space="preserve">Tā kā nav izdoti JVAPL 19.panta ceturtajā un piektajā daļā minētie normatīvie akti, 2013.gada 7.novembrī ZM tika rīkota sanāksme, lai ar iesaistītajām institūcijām diskutētu par </w:t>
            </w:r>
            <w:r w:rsidRPr="0035646B">
              <w:rPr>
                <w:rFonts w:ascii="Times New Roman" w:hAnsi="Times New Roman"/>
                <w:sz w:val="24"/>
              </w:rPr>
              <w:t xml:space="preserve">turpmāko rīcību </w:t>
            </w:r>
            <w:r w:rsidR="008F4080" w:rsidRPr="0035646B">
              <w:rPr>
                <w:rFonts w:ascii="Times New Roman" w:hAnsi="Times New Roman"/>
                <w:sz w:val="24"/>
              </w:rPr>
              <w:t xml:space="preserve">tā </w:t>
            </w:r>
            <w:r w:rsidRPr="0035646B">
              <w:rPr>
                <w:rFonts w:ascii="Times New Roman" w:hAnsi="Times New Roman"/>
                <w:sz w:val="24"/>
              </w:rPr>
              <w:t>normatīvā regulējuma sakārtošanā, kas saistīts ar jūras teritoriju izmantošanu saimnieciskajām darbībām (t.sk. akvakultūras darbībai nepieciešamo iekārtu ierīkošanu un ekspluatāciju jūrā).</w:t>
            </w:r>
            <w:r w:rsidRPr="0035646B">
              <w:rPr>
                <w:rFonts w:ascii="Times New Roman" w:hAnsi="Times New Roman"/>
                <w:sz w:val="24"/>
                <w:szCs w:val="24"/>
              </w:rPr>
              <w:t xml:space="preserve"> Sanāksmē,</w:t>
            </w:r>
            <w:r w:rsidRPr="0035646B">
              <w:rPr>
                <w:rFonts w:ascii="Times New Roman" w:hAnsi="Times New Roman"/>
                <w:sz w:val="24"/>
              </w:rPr>
              <w:t xml:space="preserve"> kurā piedalījās ZM, VARAM, Ekonomikas ministrijas, Valsts vides dienesta, Latvijas </w:t>
            </w:r>
            <w:proofErr w:type="spellStart"/>
            <w:r w:rsidRPr="0035646B">
              <w:rPr>
                <w:rFonts w:ascii="Times New Roman" w:hAnsi="Times New Roman"/>
                <w:sz w:val="24"/>
              </w:rPr>
              <w:t>Hidroekoloģijas</w:t>
            </w:r>
            <w:proofErr w:type="spellEnd"/>
            <w:r w:rsidRPr="0035646B">
              <w:rPr>
                <w:rFonts w:ascii="Times New Roman" w:hAnsi="Times New Roman"/>
                <w:sz w:val="24"/>
              </w:rPr>
              <w:t xml:space="preserve"> institūta un BIOR pārstāvji, tika nolemts, ka konkursa nolikumā būtu lietderīgi ietvert prasību par nepieciešamību ietekmes uz vidi novērtējuma veikšanai piesaistīt starptautiski atzītus novērtētājus vai ekspertus ar pieredzi attiecīgu projektu ietekmes uz vidi izvērtēšanā. Tāpat tika nolemts, ka Ekonomikas ministrija </w:t>
            </w:r>
            <w:r w:rsidRPr="0035646B">
              <w:rPr>
                <w:rFonts w:ascii="Times New Roman" w:hAnsi="Times New Roman"/>
                <w:sz w:val="24"/>
                <w:szCs w:val="24"/>
              </w:rPr>
              <w:t>sadarbībā ar attiecīgajām ministrijām vispirms gatavos JVAPL 19.panta piektajā daļā deleģētos MK noteikumus par valsts nodevu un pēc tam attiecīgi virzīs vispārīgos MK noteikumus ar JVAPL 19.panta ceturtajā daļā ietverto deleģējumu. Sanāksm</w:t>
            </w:r>
            <w:r w:rsidR="008F4080" w:rsidRPr="0035646B">
              <w:rPr>
                <w:rFonts w:ascii="Times New Roman" w:hAnsi="Times New Roman"/>
                <w:sz w:val="24"/>
                <w:szCs w:val="24"/>
              </w:rPr>
              <w:t>es dalībnieki</w:t>
            </w:r>
            <w:r w:rsidRPr="0035646B">
              <w:rPr>
                <w:rFonts w:ascii="Times New Roman" w:hAnsi="Times New Roman"/>
                <w:sz w:val="24"/>
                <w:szCs w:val="24"/>
              </w:rPr>
              <w:t xml:space="preserve"> vienojās, ka konkurss par jūras teritoriju izmantošanu akvakultūras darbībām būtu izsludināms ne ātrāk</w:t>
            </w:r>
            <w:r w:rsidR="008F4080" w:rsidRPr="0035646B">
              <w:rPr>
                <w:rFonts w:ascii="Times New Roman" w:hAnsi="Times New Roman"/>
                <w:sz w:val="24"/>
                <w:szCs w:val="24"/>
              </w:rPr>
              <w:t>,</w:t>
            </w:r>
            <w:bookmarkStart w:id="4" w:name="_GoBack"/>
            <w:bookmarkEnd w:id="4"/>
            <w:r w:rsidRPr="0035646B">
              <w:rPr>
                <w:rFonts w:ascii="Times New Roman" w:hAnsi="Times New Roman"/>
                <w:sz w:val="24"/>
                <w:szCs w:val="24"/>
              </w:rPr>
              <w:t xml:space="preserve"> kā spēkā stāsies MK noteikumi par valsts nodevu.</w:t>
            </w:r>
          </w:p>
        </w:tc>
      </w:tr>
      <w:tr w:rsidR="004B1F42" w:rsidRPr="00F04F35" w:rsidTr="00F04F35">
        <w:tc>
          <w:tcPr>
            <w:tcW w:w="175" w:type="pct"/>
            <w:tcBorders>
              <w:top w:val="outset" w:sz="6" w:space="0" w:color="000000"/>
              <w:bottom w:val="outset" w:sz="6" w:space="0" w:color="000000"/>
              <w:right w:val="outset" w:sz="6" w:space="0" w:color="000000"/>
            </w:tcBorders>
          </w:tcPr>
          <w:p w:rsidR="004B1F42" w:rsidRPr="00F04F35" w:rsidRDefault="004B1F42" w:rsidP="00F04F35">
            <w:pPr>
              <w:spacing w:after="0" w:line="240" w:lineRule="auto"/>
              <w:rPr>
                <w:rFonts w:ascii="Times New Roman" w:hAnsi="Times New Roman"/>
                <w:sz w:val="24"/>
                <w:szCs w:val="24"/>
                <w:lang w:eastAsia="lv-LV"/>
              </w:rPr>
            </w:pPr>
            <w:r w:rsidRPr="00F04F35">
              <w:rPr>
                <w:rFonts w:ascii="Times New Roman" w:hAnsi="Times New Roman"/>
                <w:sz w:val="24"/>
                <w:szCs w:val="24"/>
                <w:lang w:eastAsia="lv-LV"/>
              </w:rPr>
              <w:lastRenderedPageBreak/>
              <w:t> 3.</w:t>
            </w:r>
          </w:p>
        </w:tc>
        <w:tc>
          <w:tcPr>
            <w:tcW w:w="899" w:type="pct"/>
            <w:tcBorders>
              <w:top w:val="outset" w:sz="6" w:space="0" w:color="000000"/>
              <w:left w:val="outset" w:sz="6" w:space="0" w:color="000000"/>
              <w:bottom w:val="outset" w:sz="6" w:space="0" w:color="000000"/>
              <w:right w:val="outset" w:sz="6" w:space="0" w:color="000000"/>
            </w:tcBorders>
          </w:tcPr>
          <w:p w:rsidR="004B1F42" w:rsidRPr="00F04F35" w:rsidRDefault="004B1F42" w:rsidP="00F04F35">
            <w:pPr>
              <w:spacing w:after="0" w:line="240" w:lineRule="auto"/>
              <w:rPr>
                <w:rFonts w:ascii="Times New Roman" w:hAnsi="Times New Roman"/>
                <w:sz w:val="24"/>
                <w:szCs w:val="24"/>
                <w:lang w:eastAsia="lv-LV"/>
              </w:rPr>
            </w:pPr>
            <w:r w:rsidRPr="00F04F35">
              <w:rPr>
                <w:rFonts w:ascii="Times New Roman" w:hAnsi="Times New Roman"/>
                <w:sz w:val="24"/>
                <w:szCs w:val="24"/>
                <w:lang w:eastAsia="lv-LV"/>
              </w:rPr>
              <w:t> Saistītie politikas ietekmes novērtējumi un pētījumi</w:t>
            </w:r>
          </w:p>
        </w:tc>
        <w:tc>
          <w:tcPr>
            <w:tcW w:w="3927" w:type="pct"/>
            <w:tcBorders>
              <w:top w:val="outset" w:sz="6" w:space="0" w:color="000000"/>
              <w:left w:val="outset" w:sz="6" w:space="0" w:color="000000"/>
              <w:bottom w:val="outset" w:sz="6" w:space="0" w:color="000000"/>
            </w:tcBorders>
          </w:tcPr>
          <w:p w:rsidR="004B1F42" w:rsidRPr="00F04F35" w:rsidRDefault="004B1F42" w:rsidP="00F04F35">
            <w:pPr>
              <w:spacing w:after="0" w:line="240" w:lineRule="auto"/>
              <w:jc w:val="both"/>
              <w:rPr>
                <w:rFonts w:ascii="Times New Roman" w:hAnsi="Times New Roman"/>
                <w:sz w:val="24"/>
                <w:szCs w:val="24"/>
                <w:lang w:eastAsia="lv-LV"/>
              </w:rPr>
            </w:pPr>
            <w:r w:rsidRPr="00F04F35">
              <w:rPr>
                <w:rFonts w:ascii="Times New Roman" w:hAnsi="Times New Roman"/>
                <w:sz w:val="24"/>
                <w:szCs w:val="24"/>
              </w:rPr>
              <w:t xml:space="preserve">Latvijas </w:t>
            </w:r>
            <w:proofErr w:type="spellStart"/>
            <w:r w:rsidRPr="00F04F35">
              <w:rPr>
                <w:rFonts w:ascii="Times New Roman" w:hAnsi="Times New Roman"/>
                <w:sz w:val="24"/>
                <w:szCs w:val="24"/>
              </w:rPr>
              <w:t>Hidroekoloģijas</w:t>
            </w:r>
            <w:proofErr w:type="spellEnd"/>
            <w:r w:rsidRPr="00F04F35">
              <w:rPr>
                <w:rFonts w:ascii="Times New Roman" w:hAnsi="Times New Roman"/>
                <w:sz w:val="24"/>
                <w:szCs w:val="24"/>
              </w:rPr>
              <w:t xml:space="preserve"> institūta veiktais Jūras vides stāvokļa sākotnējais novērtējums Latvijas jūras ūdeņiem (apstiprināts ar Vides aizsardzības un reģionālās attīstības ministrijas 2013.gada 3.janvāra rīkojumu Nr.5 un iesniegts Eiropas Komisijā)</w:t>
            </w:r>
            <w:r w:rsidRPr="00F04F35">
              <w:rPr>
                <w:rFonts w:ascii="Times New Roman" w:hAnsi="Times New Roman"/>
                <w:sz w:val="24"/>
                <w:szCs w:val="24"/>
                <w:lang w:eastAsia="lv-LV"/>
              </w:rPr>
              <w:t xml:space="preserve">; pieejams </w:t>
            </w:r>
            <w:hyperlink r:id="rId7" w:history="1">
              <w:r w:rsidRPr="00F04F35">
                <w:rPr>
                  <w:rStyle w:val="Hipersaite"/>
                  <w:rFonts w:ascii="Times New Roman" w:hAnsi="Times New Roman"/>
                  <w:color w:val="auto"/>
                  <w:sz w:val="24"/>
                  <w:szCs w:val="24"/>
                  <w:lang w:eastAsia="lv-LV"/>
                </w:rPr>
                <w:t>www.lhei.lv</w:t>
              </w:r>
            </w:hyperlink>
            <w:r w:rsidRPr="00F04F35">
              <w:rPr>
                <w:rFonts w:ascii="Times New Roman" w:hAnsi="Times New Roman"/>
                <w:sz w:val="24"/>
                <w:szCs w:val="24"/>
                <w:lang w:eastAsia="lv-LV"/>
              </w:rPr>
              <w:t xml:space="preserve">. </w:t>
            </w:r>
          </w:p>
        </w:tc>
      </w:tr>
      <w:tr w:rsidR="004B1F42" w:rsidRPr="00F04F35" w:rsidTr="00F04F35">
        <w:tc>
          <w:tcPr>
            <w:tcW w:w="175" w:type="pct"/>
            <w:tcBorders>
              <w:top w:val="outset" w:sz="6" w:space="0" w:color="000000"/>
              <w:bottom w:val="outset" w:sz="6" w:space="0" w:color="000000"/>
              <w:right w:val="outset" w:sz="6" w:space="0" w:color="000000"/>
            </w:tcBorders>
          </w:tcPr>
          <w:p w:rsidR="004B1F42" w:rsidRPr="00F04F35" w:rsidRDefault="004B1F42" w:rsidP="00F04F35">
            <w:pPr>
              <w:spacing w:after="0" w:line="240" w:lineRule="auto"/>
              <w:rPr>
                <w:rFonts w:ascii="Times New Roman" w:hAnsi="Times New Roman"/>
                <w:sz w:val="24"/>
                <w:szCs w:val="24"/>
                <w:lang w:eastAsia="lv-LV"/>
              </w:rPr>
            </w:pPr>
            <w:r w:rsidRPr="00F04F35">
              <w:rPr>
                <w:rFonts w:ascii="Times New Roman" w:hAnsi="Times New Roman"/>
                <w:sz w:val="24"/>
                <w:szCs w:val="24"/>
                <w:lang w:eastAsia="lv-LV"/>
              </w:rPr>
              <w:t> 4.</w:t>
            </w:r>
          </w:p>
        </w:tc>
        <w:tc>
          <w:tcPr>
            <w:tcW w:w="899" w:type="pct"/>
            <w:tcBorders>
              <w:top w:val="outset" w:sz="6" w:space="0" w:color="000000"/>
              <w:left w:val="outset" w:sz="6" w:space="0" w:color="000000"/>
              <w:bottom w:val="outset" w:sz="6" w:space="0" w:color="000000"/>
              <w:right w:val="outset" w:sz="6" w:space="0" w:color="000000"/>
            </w:tcBorders>
          </w:tcPr>
          <w:p w:rsidR="004B1F42" w:rsidRPr="00F04F35" w:rsidRDefault="004B1F42" w:rsidP="00F04F35">
            <w:pPr>
              <w:spacing w:after="0" w:line="240" w:lineRule="auto"/>
              <w:contextualSpacing/>
              <w:rPr>
                <w:rFonts w:ascii="Times New Roman" w:hAnsi="Times New Roman"/>
                <w:sz w:val="24"/>
                <w:szCs w:val="24"/>
                <w:lang w:eastAsia="lv-LV"/>
              </w:rPr>
            </w:pPr>
            <w:r w:rsidRPr="00F04F35">
              <w:rPr>
                <w:rFonts w:ascii="Times New Roman" w:hAnsi="Times New Roman"/>
                <w:sz w:val="24"/>
                <w:szCs w:val="24"/>
                <w:lang w:eastAsia="lv-LV"/>
              </w:rPr>
              <w:t xml:space="preserve"> Tiesiskā regulējuma mērķis un </w:t>
            </w:r>
          </w:p>
          <w:p w:rsidR="004B1F42" w:rsidRPr="00F04F35" w:rsidRDefault="004B1F42" w:rsidP="00F04F35">
            <w:pPr>
              <w:spacing w:after="0" w:line="240" w:lineRule="auto"/>
              <w:contextualSpacing/>
              <w:rPr>
                <w:rFonts w:ascii="Times New Roman" w:hAnsi="Times New Roman"/>
                <w:sz w:val="24"/>
                <w:szCs w:val="24"/>
                <w:lang w:eastAsia="lv-LV"/>
              </w:rPr>
            </w:pPr>
            <w:r w:rsidRPr="00F04F35">
              <w:rPr>
                <w:rFonts w:ascii="Times New Roman" w:hAnsi="Times New Roman"/>
                <w:sz w:val="24"/>
                <w:szCs w:val="24"/>
                <w:lang w:eastAsia="lv-LV"/>
              </w:rPr>
              <w:t>būtība</w:t>
            </w:r>
          </w:p>
        </w:tc>
        <w:tc>
          <w:tcPr>
            <w:tcW w:w="3927" w:type="pct"/>
            <w:tcBorders>
              <w:top w:val="outset" w:sz="6" w:space="0" w:color="000000"/>
              <w:left w:val="outset" w:sz="6" w:space="0" w:color="000000"/>
              <w:bottom w:val="outset" w:sz="6" w:space="0" w:color="000000"/>
            </w:tcBorders>
          </w:tcPr>
          <w:p w:rsidR="004B1F42" w:rsidRPr="00F04F35" w:rsidRDefault="004B1F42" w:rsidP="00F04F35">
            <w:pPr>
              <w:spacing w:after="0" w:line="240" w:lineRule="auto"/>
              <w:ind w:firstLine="427"/>
              <w:contextualSpacing/>
              <w:jc w:val="both"/>
              <w:rPr>
                <w:rFonts w:ascii="Times New Roman" w:hAnsi="Times New Roman"/>
                <w:bCs/>
                <w:sz w:val="24"/>
                <w:szCs w:val="24"/>
              </w:rPr>
            </w:pPr>
            <w:r w:rsidRPr="00F04F35">
              <w:rPr>
                <w:rFonts w:ascii="Times New Roman" w:hAnsi="Times New Roman"/>
                <w:bCs/>
                <w:sz w:val="24"/>
                <w:szCs w:val="24"/>
              </w:rPr>
              <w:t xml:space="preserve">Rīkojuma projekta mērķis ir </w:t>
            </w:r>
            <w:r w:rsidRPr="00F04F35">
              <w:rPr>
                <w:rFonts w:ascii="Times New Roman" w:hAnsi="Times New Roman"/>
                <w:sz w:val="24"/>
                <w:szCs w:val="24"/>
              </w:rPr>
              <w:t>apstiprināt astoņas Latvijas Republikas teritoriālās jūras teritorijas to izmantošanai akvakultūras darbībām paredzētu iekārtu ierīkošanai un ekspluatācijai.</w:t>
            </w:r>
          </w:p>
          <w:p w:rsidR="004B1F42" w:rsidRPr="00F04F35" w:rsidRDefault="004B1F42" w:rsidP="00F04F35">
            <w:pPr>
              <w:spacing w:after="0" w:line="240" w:lineRule="auto"/>
              <w:ind w:firstLine="427"/>
              <w:contextualSpacing/>
              <w:jc w:val="both"/>
              <w:rPr>
                <w:rFonts w:ascii="Times New Roman" w:hAnsi="Times New Roman"/>
                <w:bCs/>
                <w:sz w:val="24"/>
                <w:szCs w:val="24"/>
              </w:rPr>
            </w:pPr>
            <w:r w:rsidRPr="00F04F35">
              <w:rPr>
                <w:rFonts w:ascii="Times New Roman" w:hAnsi="Times New Roman"/>
                <w:bCs/>
                <w:sz w:val="24"/>
                <w:szCs w:val="24"/>
              </w:rPr>
              <w:t>Rīkojuma projekts paredz attiecīgo jūras teritoriju izmantošanas tiesību piešķiršanu to izmantošanai iekārtu ierīkošanai un ekspluatācijai akvakultūras darbības veikšanai veikt konkursa kārtībā un attiecīgi apstiprināt šāda konkursa nolikumu.</w:t>
            </w:r>
          </w:p>
        </w:tc>
      </w:tr>
      <w:tr w:rsidR="004B1F42" w:rsidRPr="00F04F35" w:rsidTr="00F04F35">
        <w:tc>
          <w:tcPr>
            <w:tcW w:w="175" w:type="pct"/>
            <w:tcBorders>
              <w:top w:val="outset" w:sz="6" w:space="0" w:color="000000"/>
              <w:bottom w:val="outset" w:sz="6" w:space="0" w:color="000000"/>
              <w:right w:val="outset" w:sz="6" w:space="0" w:color="000000"/>
            </w:tcBorders>
          </w:tcPr>
          <w:p w:rsidR="004B1F42" w:rsidRPr="00F04F35" w:rsidRDefault="004B1F42" w:rsidP="00F04F35">
            <w:pPr>
              <w:spacing w:after="0" w:line="240" w:lineRule="auto"/>
              <w:rPr>
                <w:rFonts w:ascii="Times New Roman" w:hAnsi="Times New Roman"/>
                <w:sz w:val="24"/>
                <w:szCs w:val="24"/>
                <w:lang w:eastAsia="lv-LV"/>
              </w:rPr>
            </w:pPr>
            <w:r w:rsidRPr="00F04F35">
              <w:rPr>
                <w:rFonts w:ascii="Times New Roman" w:hAnsi="Times New Roman"/>
                <w:sz w:val="24"/>
                <w:szCs w:val="24"/>
                <w:lang w:eastAsia="lv-LV"/>
              </w:rPr>
              <w:t> 5.</w:t>
            </w:r>
          </w:p>
        </w:tc>
        <w:tc>
          <w:tcPr>
            <w:tcW w:w="899" w:type="pct"/>
            <w:tcBorders>
              <w:top w:val="outset" w:sz="6" w:space="0" w:color="000000"/>
              <w:left w:val="outset" w:sz="6" w:space="0" w:color="000000"/>
              <w:bottom w:val="outset" w:sz="6" w:space="0" w:color="000000"/>
              <w:right w:val="outset" w:sz="6" w:space="0" w:color="000000"/>
            </w:tcBorders>
          </w:tcPr>
          <w:p w:rsidR="004B1F42" w:rsidRPr="00F04F35" w:rsidRDefault="004B1F42" w:rsidP="00F04F35">
            <w:pPr>
              <w:spacing w:after="0" w:line="240" w:lineRule="auto"/>
              <w:rPr>
                <w:rFonts w:ascii="Times New Roman" w:hAnsi="Times New Roman"/>
                <w:sz w:val="24"/>
                <w:szCs w:val="24"/>
                <w:lang w:eastAsia="lv-LV"/>
              </w:rPr>
            </w:pPr>
            <w:r w:rsidRPr="00F04F35">
              <w:rPr>
                <w:rFonts w:ascii="Times New Roman" w:hAnsi="Times New Roman"/>
                <w:sz w:val="24"/>
                <w:szCs w:val="24"/>
                <w:lang w:eastAsia="lv-LV"/>
              </w:rPr>
              <w:t> Projekta izstrādē iesaistītās institūcijas</w:t>
            </w:r>
          </w:p>
        </w:tc>
        <w:tc>
          <w:tcPr>
            <w:tcW w:w="3927" w:type="pct"/>
            <w:tcBorders>
              <w:top w:val="outset" w:sz="6" w:space="0" w:color="000000"/>
              <w:left w:val="outset" w:sz="6" w:space="0" w:color="000000"/>
              <w:bottom w:val="outset" w:sz="6" w:space="0" w:color="000000"/>
            </w:tcBorders>
          </w:tcPr>
          <w:p w:rsidR="004B1F42" w:rsidRPr="00F04F35" w:rsidRDefault="004B1F42" w:rsidP="00F04F35">
            <w:pPr>
              <w:spacing w:after="0" w:line="240" w:lineRule="auto"/>
              <w:ind w:hanging="3"/>
              <w:jc w:val="both"/>
              <w:rPr>
                <w:rFonts w:ascii="Times New Roman" w:hAnsi="Times New Roman"/>
                <w:sz w:val="24"/>
                <w:szCs w:val="24"/>
                <w:lang w:eastAsia="lv-LV"/>
              </w:rPr>
            </w:pPr>
            <w:r w:rsidRPr="00F04F35">
              <w:rPr>
                <w:rFonts w:ascii="Times New Roman" w:hAnsi="Times New Roman"/>
                <w:sz w:val="24"/>
                <w:szCs w:val="24"/>
              </w:rPr>
              <w:t>Projekts šo jomu neskar</w:t>
            </w:r>
            <w:r w:rsidRPr="00F04F35">
              <w:rPr>
                <w:rFonts w:ascii="Times New Roman" w:hAnsi="Times New Roman"/>
                <w:sz w:val="24"/>
                <w:szCs w:val="24"/>
                <w:lang w:eastAsia="lv-LV"/>
              </w:rPr>
              <w:t>.</w:t>
            </w:r>
          </w:p>
        </w:tc>
      </w:tr>
      <w:tr w:rsidR="004B1F42" w:rsidRPr="00F04F35" w:rsidTr="00F04F35">
        <w:tc>
          <w:tcPr>
            <w:tcW w:w="175" w:type="pct"/>
            <w:tcBorders>
              <w:top w:val="outset" w:sz="6" w:space="0" w:color="000000"/>
              <w:bottom w:val="outset" w:sz="6" w:space="0" w:color="000000"/>
              <w:right w:val="outset" w:sz="6" w:space="0" w:color="000000"/>
            </w:tcBorders>
          </w:tcPr>
          <w:p w:rsidR="004B1F42" w:rsidRPr="00F04F35" w:rsidRDefault="004B1F42" w:rsidP="00F04F35">
            <w:pPr>
              <w:spacing w:after="0" w:line="240" w:lineRule="auto"/>
              <w:rPr>
                <w:rFonts w:ascii="Times New Roman" w:hAnsi="Times New Roman"/>
                <w:sz w:val="24"/>
                <w:szCs w:val="24"/>
                <w:lang w:eastAsia="lv-LV"/>
              </w:rPr>
            </w:pPr>
            <w:r w:rsidRPr="00F04F35">
              <w:rPr>
                <w:rFonts w:ascii="Times New Roman" w:hAnsi="Times New Roman"/>
                <w:sz w:val="24"/>
                <w:szCs w:val="24"/>
                <w:lang w:eastAsia="lv-LV"/>
              </w:rPr>
              <w:t> 6.</w:t>
            </w:r>
          </w:p>
        </w:tc>
        <w:tc>
          <w:tcPr>
            <w:tcW w:w="899" w:type="pct"/>
            <w:tcBorders>
              <w:top w:val="outset" w:sz="6" w:space="0" w:color="000000"/>
              <w:left w:val="outset" w:sz="6" w:space="0" w:color="000000"/>
              <w:bottom w:val="outset" w:sz="6" w:space="0" w:color="000000"/>
              <w:right w:val="outset" w:sz="6" w:space="0" w:color="000000"/>
            </w:tcBorders>
          </w:tcPr>
          <w:p w:rsidR="004B1F42" w:rsidRPr="00F04F35" w:rsidRDefault="004B1F42" w:rsidP="00F04F35">
            <w:pPr>
              <w:spacing w:after="0" w:line="240" w:lineRule="auto"/>
              <w:rPr>
                <w:rFonts w:ascii="Times New Roman" w:hAnsi="Times New Roman"/>
                <w:sz w:val="24"/>
                <w:szCs w:val="24"/>
                <w:lang w:eastAsia="lv-LV"/>
              </w:rPr>
            </w:pPr>
            <w:r w:rsidRPr="00F04F35">
              <w:rPr>
                <w:rFonts w:ascii="Times New Roman" w:hAnsi="Times New Roman"/>
                <w:sz w:val="24"/>
                <w:szCs w:val="24"/>
                <w:lang w:eastAsia="lv-LV"/>
              </w:rPr>
              <w:t xml:space="preserve">Iemesli, kādēļ </w:t>
            </w:r>
            <w:r w:rsidRPr="00F04F35">
              <w:rPr>
                <w:rFonts w:ascii="Times New Roman" w:hAnsi="Times New Roman"/>
                <w:sz w:val="24"/>
                <w:szCs w:val="24"/>
                <w:lang w:eastAsia="lv-LV"/>
              </w:rPr>
              <w:lastRenderedPageBreak/>
              <w:t>netika nodrošināta sabiedrības līdzdalība</w:t>
            </w:r>
          </w:p>
        </w:tc>
        <w:tc>
          <w:tcPr>
            <w:tcW w:w="3927" w:type="pct"/>
            <w:tcBorders>
              <w:top w:val="outset" w:sz="6" w:space="0" w:color="000000"/>
              <w:left w:val="outset" w:sz="6" w:space="0" w:color="000000"/>
              <w:bottom w:val="outset" w:sz="6" w:space="0" w:color="000000"/>
            </w:tcBorders>
          </w:tcPr>
          <w:p w:rsidR="004B1F42" w:rsidRPr="00F04F35" w:rsidRDefault="004B1F42" w:rsidP="00F04F35">
            <w:pPr>
              <w:spacing w:after="0" w:line="240" w:lineRule="auto"/>
              <w:ind w:hanging="3"/>
              <w:jc w:val="both"/>
              <w:rPr>
                <w:rFonts w:ascii="Times New Roman" w:hAnsi="Times New Roman"/>
                <w:sz w:val="24"/>
                <w:szCs w:val="24"/>
                <w:lang w:eastAsia="lv-LV"/>
              </w:rPr>
            </w:pPr>
            <w:r w:rsidRPr="00F04F35">
              <w:rPr>
                <w:rFonts w:ascii="Times New Roman" w:hAnsi="Times New Roman"/>
                <w:sz w:val="24"/>
                <w:szCs w:val="24"/>
              </w:rPr>
              <w:lastRenderedPageBreak/>
              <w:t>Projekts šo jomu neskar</w:t>
            </w:r>
            <w:r w:rsidRPr="00F04F35">
              <w:rPr>
                <w:rFonts w:ascii="Times New Roman" w:hAnsi="Times New Roman"/>
                <w:sz w:val="24"/>
                <w:szCs w:val="24"/>
                <w:lang w:eastAsia="lv-LV"/>
              </w:rPr>
              <w:t>.</w:t>
            </w:r>
          </w:p>
        </w:tc>
      </w:tr>
      <w:tr w:rsidR="004B1F42" w:rsidRPr="00F04F35" w:rsidTr="00F04F35">
        <w:tc>
          <w:tcPr>
            <w:tcW w:w="175" w:type="pct"/>
            <w:tcBorders>
              <w:top w:val="outset" w:sz="6" w:space="0" w:color="000000"/>
              <w:bottom w:val="outset" w:sz="6" w:space="0" w:color="000000"/>
              <w:right w:val="outset" w:sz="6" w:space="0" w:color="000000"/>
            </w:tcBorders>
          </w:tcPr>
          <w:p w:rsidR="004B1F42" w:rsidRPr="00F04F35" w:rsidRDefault="004B1F42" w:rsidP="00F04F35">
            <w:pPr>
              <w:spacing w:after="0" w:line="240" w:lineRule="auto"/>
              <w:rPr>
                <w:rFonts w:ascii="Times New Roman" w:hAnsi="Times New Roman"/>
                <w:sz w:val="24"/>
                <w:szCs w:val="24"/>
                <w:lang w:eastAsia="lv-LV"/>
              </w:rPr>
            </w:pPr>
            <w:r w:rsidRPr="00F04F35">
              <w:rPr>
                <w:rFonts w:ascii="Times New Roman" w:hAnsi="Times New Roman"/>
                <w:sz w:val="24"/>
                <w:szCs w:val="24"/>
                <w:lang w:eastAsia="lv-LV"/>
              </w:rPr>
              <w:lastRenderedPageBreak/>
              <w:t> 7.</w:t>
            </w:r>
          </w:p>
        </w:tc>
        <w:tc>
          <w:tcPr>
            <w:tcW w:w="899" w:type="pct"/>
            <w:tcBorders>
              <w:top w:val="outset" w:sz="6" w:space="0" w:color="000000"/>
              <w:left w:val="outset" w:sz="6" w:space="0" w:color="000000"/>
              <w:bottom w:val="outset" w:sz="6" w:space="0" w:color="000000"/>
              <w:right w:val="outset" w:sz="6" w:space="0" w:color="000000"/>
            </w:tcBorders>
          </w:tcPr>
          <w:p w:rsidR="004B1F42" w:rsidRPr="00F04F35" w:rsidRDefault="004B1F42" w:rsidP="00F04F35">
            <w:pPr>
              <w:spacing w:after="0" w:line="240" w:lineRule="auto"/>
              <w:rPr>
                <w:rFonts w:ascii="Times New Roman" w:hAnsi="Times New Roman"/>
                <w:sz w:val="24"/>
                <w:szCs w:val="24"/>
                <w:lang w:eastAsia="lv-LV"/>
              </w:rPr>
            </w:pPr>
            <w:r w:rsidRPr="00F04F35">
              <w:rPr>
                <w:rFonts w:ascii="Times New Roman" w:hAnsi="Times New Roman"/>
                <w:sz w:val="24"/>
                <w:szCs w:val="24"/>
                <w:lang w:eastAsia="lv-LV"/>
              </w:rPr>
              <w:t> Cita informācija</w:t>
            </w:r>
          </w:p>
        </w:tc>
        <w:tc>
          <w:tcPr>
            <w:tcW w:w="3927" w:type="pct"/>
            <w:tcBorders>
              <w:top w:val="outset" w:sz="6" w:space="0" w:color="000000"/>
              <w:left w:val="outset" w:sz="6" w:space="0" w:color="000000"/>
              <w:bottom w:val="outset" w:sz="6" w:space="0" w:color="000000"/>
            </w:tcBorders>
          </w:tcPr>
          <w:p w:rsidR="004B1F42" w:rsidRPr="00F04F35" w:rsidRDefault="004B1F42" w:rsidP="00F04F35">
            <w:pPr>
              <w:spacing w:after="0" w:line="240" w:lineRule="auto"/>
              <w:ind w:hanging="3"/>
              <w:jc w:val="both"/>
              <w:rPr>
                <w:rFonts w:ascii="Times New Roman" w:hAnsi="Times New Roman"/>
                <w:sz w:val="24"/>
                <w:szCs w:val="24"/>
                <w:lang w:eastAsia="lv-LV"/>
              </w:rPr>
            </w:pPr>
            <w:r w:rsidRPr="00F04F35">
              <w:rPr>
                <w:rFonts w:ascii="Times New Roman" w:hAnsi="Times New Roman"/>
                <w:sz w:val="24"/>
                <w:szCs w:val="24"/>
                <w:lang w:eastAsia="lv-LV"/>
              </w:rPr>
              <w:t> </w:t>
            </w:r>
            <w:r w:rsidRPr="00F04F35">
              <w:rPr>
                <w:rFonts w:ascii="Times New Roman" w:hAnsi="Times New Roman"/>
                <w:sz w:val="24"/>
                <w:szCs w:val="24"/>
              </w:rPr>
              <w:t>Nav.</w:t>
            </w:r>
          </w:p>
        </w:tc>
      </w:tr>
      <w:tr w:rsidR="004B1F42" w:rsidRPr="00F04F35" w:rsidTr="00F04F35">
        <w:tc>
          <w:tcPr>
            <w:tcW w:w="5000" w:type="pct"/>
            <w:gridSpan w:val="3"/>
            <w:tcBorders>
              <w:top w:val="outset" w:sz="6" w:space="0" w:color="000000"/>
              <w:bottom w:val="outset" w:sz="6" w:space="0" w:color="000000"/>
            </w:tcBorders>
          </w:tcPr>
          <w:p w:rsidR="004B1F42" w:rsidRPr="00F04F35" w:rsidRDefault="004B1F42" w:rsidP="00F04F35">
            <w:pPr>
              <w:pStyle w:val="naisc"/>
              <w:spacing w:before="0" w:beforeAutospacing="0" w:after="0" w:afterAutospacing="0"/>
              <w:jc w:val="center"/>
            </w:pPr>
            <w:r w:rsidRPr="00F04F35">
              <w:rPr>
                <w:b/>
                <w:bCs/>
              </w:rPr>
              <w:t>II. Tiesību akta projekta ietekme uz sabiedrību</w:t>
            </w:r>
          </w:p>
        </w:tc>
      </w:tr>
      <w:tr w:rsidR="004B1F42" w:rsidRPr="00F04F35" w:rsidTr="00F04F35">
        <w:tc>
          <w:tcPr>
            <w:tcW w:w="1073" w:type="pct"/>
            <w:gridSpan w:val="2"/>
            <w:tcBorders>
              <w:top w:val="outset" w:sz="6" w:space="0" w:color="000000"/>
              <w:bottom w:val="outset" w:sz="6" w:space="0" w:color="000000"/>
              <w:right w:val="outset" w:sz="6" w:space="0" w:color="000000"/>
            </w:tcBorders>
          </w:tcPr>
          <w:p w:rsidR="004B1F42" w:rsidRPr="00F04F35" w:rsidRDefault="004B1F42" w:rsidP="00F04F35">
            <w:pPr>
              <w:pStyle w:val="naiskr"/>
              <w:spacing w:before="0" w:beforeAutospacing="0" w:after="0" w:afterAutospacing="0"/>
            </w:pPr>
            <w:r w:rsidRPr="00F04F35">
              <w:t xml:space="preserve">1. Sabiedrības </w:t>
            </w:r>
            <w:proofErr w:type="spellStart"/>
            <w:r w:rsidRPr="00F04F35">
              <w:t>mērķgrupa</w:t>
            </w:r>
            <w:proofErr w:type="spellEnd"/>
          </w:p>
        </w:tc>
        <w:tc>
          <w:tcPr>
            <w:tcW w:w="3927" w:type="pct"/>
            <w:tcBorders>
              <w:top w:val="outset" w:sz="6" w:space="0" w:color="000000"/>
              <w:left w:val="outset" w:sz="6" w:space="0" w:color="000000"/>
              <w:bottom w:val="outset" w:sz="6" w:space="0" w:color="000000"/>
            </w:tcBorders>
          </w:tcPr>
          <w:p w:rsidR="004B1F42" w:rsidRPr="00F04F35" w:rsidRDefault="004B1F42" w:rsidP="00F04F35">
            <w:pPr>
              <w:spacing w:after="0" w:line="240" w:lineRule="auto"/>
              <w:jc w:val="both"/>
              <w:rPr>
                <w:rFonts w:ascii="Times New Roman" w:hAnsi="Times New Roman"/>
                <w:iCs/>
                <w:sz w:val="24"/>
              </w:rPr>
            </w:pPr>
            <w:r w:rsidRPr="00F04F35">
              <w:rPr>
                <w:rFonts w:ascii="Times New Roman" w:hAnsi="Times New Roman"/>
                <w:iCs/>
                <w:sz w:val="24"/>
              </w:rPr>
              <w:t>Akvakultūras uzņēmēji un zivju produkcijas patērētāji</w:t>
            </w:r>
          </w:p>
        </w:tc>
      </w:tr>
      <w:tr w:rsidR="004B1F42" w:rsidRPr="00F04F35" w:rsidTr="00F04F35">
        <w:tc>
          <w:tcPr>
            <w:tcW w:w="1073" w:type="pct"/>
            <w:gridSpan w:val="2"/>
            <w:tcBorders>
              <w:top w:val="outset" w:sz="6" w:space="0" w:color="000000"/>
              <w:bottom w:val="outset" w:sz="6" w:space="0" w:color="000000"/>
              <w:right w:val="outset" w:sz="6" w:space="0" w:color="000000"/>
            </w:tcBorders>
          </w:tcPr>
          <w:p w:rsidR="004B1F42" w:rsidRPr="00F04F35" w:rsidRDefault="004B1F42" w:rsidP="00F04F35">
            <w:pPr>
              <w:pStyle w:val="naiskr"/>
              <w:spacing w:before="0" w:beforeAutospacing="0" w:after="0" w:afterAutospacing="0"/>
            </w:pPr>
            <w:r w:rsidRPr="00F04F35">
              <w:t xml:space="preserve">2. Citas sabiedrības grupas (bez </w:t>
            </w:r>
            <w:proofErr w:type="spellStart"/>
            <w:r w:rsidRPr="00F04F35">
              <w:t>mērķgrupas</w:t>
            </w:r>
            <w:proofErr w:type="spellEnd"/>
            <w:r w:rsidRPr="00F04F35">
              <w:t xml:space="preserve">) kuras tiesiskais regulējums arī ietekmē vai varētu ietekmēt </w:t>
            </w:r>
          </w:p>
        </w:tc>
        <w:tc>
          <w:tcPr>
            <w:tcW w:w="3927" w:type="pct"/>
            <w:tcBorders>
              <w:top w:val="outset" w:sz="6" w:space="0" w:color="000000"/>
              <w:left w:val="outset" w:sz="6" w:space="0" w:color="000000"/>
              <w:bottom w:val="outset" w:sz="6" w:space="0" w:color="000000"/>
            </w:tcBorders>
          </w:tcPr>
          <w:p w:rsidR="004B1F42" w:rsidRPr="00F04F35" w:rsidRDefault="004B1F42" w:rsidP="00F04F35">
            <w:pPr>
              <w:tabs>
                <w:tab w:val="left" w:pos="720"/>
              </w:tabs>
              <w:spacing w:after="0" w:line="240" w:lineRule="auto"/>
              <w:jc w:val="both"/>
              <w:rPr>
                <w:rFonts w:ascii="Times New Roman" w:hAnsi="Times New Roman"/>
                <w:sz w:val="24"/>
                <w:szCs w:val="24"/>
              </w:rPr>
            </w:pPr>
            <w:r w:rsidRPr="00F04F35">
              <w:rPr>
                <w:rFonts w:ascii="Times New Roman" w:hAnsi="Times New Roman"/>
                <w:iCs/>
                <w:sz w:val="24"/>
                <w:szCs w:val="24"/>
              </w:rPr>
              <w:t>Citi jūras izmantotāji</w:t>
            </w:r>
          </w:p>
        </w:tc>
      </w:tr>
      <w:tr w:rsidR="004B1F42" w:rsidRPr="00F04F35" w:rsidTr="00F04F35">
        <w:tc>
          <w:tcPr>
            <w:tcW w:w="1073" w:type="pct"/>
            <w:gridSpan w:val="2"/>
            <w:tcBorders>
              <w:top w:val="outset" w:sz="6" w:space="0" w:color="000000"/>
              <w:bottom w:val="outset" w:sz="6" w:space="0" w:color="000000"/>
              <w:right w:val="outset" w:sz="6" w:space="0" w:color="000000"/>
            </w:tcBorders>
          </w:tcPr>
          <w:p w:rsidR="004B1F42" w:rsidRPr="00F04F35" w:rsidRDefault="004B1F42" w:rsidP="00F04F35">
            <w:pPr>
              <w:pStyle w:val="Stils"/>
              <w:spacing w:before="0" w:beforeAutospacing="0" w:after="0" w:afterAutospacing="0"/>
              <w:rPr>
                <w:rFonts w:ascii="Times New Roman" w:hAnsi="Times New Roman"/>
                <w:sz w:val="24"/>
                <w:szCs w:val="24"/>
              </w:rPr>
            </w:pPr>
            <w:r w:rsidRPr="00F04F35">
              <w:rPr>
                <w:rFonts w:ascii="Times New Roman" w:hAnsi="Times New Roman"/>
                <w:sz w:val="24"/>
                <w:szCs w:val="24"/>
              </w:rPr>
              <w:t>3. Tiesiskā regulējuma finansiālā ietekme</w:t>
            </w:r>
          </w:p>
        </w:tc>
        <w:tc>
          <w:tcPr>
            <w:tcW w:w="3927" w:type="pct"/>
            <w:tcBorders>
              <w:top w:val="outset" w:sz="6" w:space="0" w:color="000000"/>
              <w:left w:val="outset" w:sz="6" w:space="0" w:color="000000"/>
              <w:bottom w:val="outset" w:sz="6" w:space="0" w:color="000000"/>
            </w:tcBorders>
          </w:tcPr>
          <w:p w:rsidR="004B1F42" w:rsidRPr="00F04F35" w:rsidRDefault="004B1F42" w:rsidP="00F04F35">
            <w:pPr>
              <w:tabs>
                <w:tab w:val="left" w:pos="720"/>
              </w:tabs>
              <w:spacing w:after="0" w:line="240" w:lineRule="auto"/>
              <w:jc w:val="both"/>
              <w:rPr>
                <w:rFonts w:ascii="Times New Roman" w:hAnsi="Times New Roman"/>
                <w:sz w:val="24"/>
                <w:szCs w:val="24"/>
              </w:rPr>
            </w:pPr>
            <w:r w:rsidRPr="00F04F35">
              <w:rPr>
                <w:rFonts w:ascii="Times New Roman" w:hAnsi="Times New Roman"/>
                <w:iCs/>
                <w:sz w:val="24"/>
                <w:szCs w:val="24"/>
              </w:rPr>
              <w:t>Projekts šo jomu neskar</w:t>
            </w:r>
            <w:r w:rsidRPr="00F04F35">
              <w:rPr>
                <w:rFonts w:ascii="Times New Roman" w:hAnsi="Times New Roman"/>
                <w:bCs/>
                <w:iCs/>
                <w:sz w:val="24"/>
                <w:szCs w:val="24"/>
              </w:rPr>
              <w:t>.</w:t>
            </w:r>
          </w:p>
        </w:tc>
      </w:tr>
      <w:tr w:rsidR="004B1F42" w:rsidRPr="00F04F35" w:rsidTr="00F04F35">
        <w:tc>
          <w:tcPr>
            <w:tcW w:w="1073" w:type="pct"/>
            <w:gridSpan w:val="2"/>
            <w:tcBorders>
              <w:top w:val="outset" w:sz="6" w:space="0" w:color="000000"/>
              <w:bottom w:val="outset" w:sz="6" w:space="0" w:color="000000"/>
              <w:right w:val="outset" w:sz="6" w:space="0" w:color="000000"/>
            </w:tcBorders>
          </w:tcPr>
          <w:p w:rsidR="004B1F42" w:rsidRPr="00F04F35" w:rsidRDefault="004B1F42" w:rsidP="00F04F35">
            <w:pPr>
              <w:pStyle w:val="Stils"/>
              <w:spacing w:before="0" w:beforeAutospacing="0" w:after="0" w:afterAutospacing="0"/>
              <w:rPr>
                <w:rFonts w:ascii="Times New Roman" w:hAnsi="Times New Roman"/>
                <w:sz w:val="24"/>
                <w:szCs w:val="24"/>
              </w:rPr>
            </w:pPr>
            <w:r w:rsidRPr="00F04F35">
              <w:rPr>
                <w:rFonts w:ascii="Times New Roman" w:hAnsi="Times New Roman"/>
                <w:sz w:val="24"/>
                <w:szCs w:val="24"/>
              </w:rPr>
              <w:t>4. Tiesiskā regulējuma nefinansiālā ietekme</w:t>
            </w:r>
          </w:p>
        </w:tc>
        <w:tc>
          <w:tcPr>
            <w:tcW w:w="3927" w:type="pct"/>
            <w:tcBorders>
              <w:top w:val="outset" w:sz="6" w:space="0" w:color="000000"/>
              <w:left w:val="outset" w:sz="6" w:space="0" w:color="000000"/>
              <w:bottom w:val="outset" w:sz="6" w:space="0" w:color="000000"/>
            </w:tcBorders>
          </w:tcPr>
          <w:p w:rsidR="004B1F42" w:rsidRPr="00F04F35" w:rsidRDefault="004B1F42" w:rsidP="00F04F35">
            <w:pPr>
              <w:spacing w:after="0" w:line="240" w:lineRule="auto"/>
              <w:jc w:val="both"/>
              <w:rPr>
                <w:rFonts w:ascii="Times New Roman" w:hAnsi="Times New Roman"/>
                <w:sz w:val="24"/>
                <w:szCs w:val="24"/>
              </w:rPr>
            </w:pPr>
            <w:r w:rsidRPr="00F04F35">
              <w:rPr>
                <w:rFonts w:ascii="Times New Roman" w:hAnsi="Times New Roman"/>
                <w:iCs/>
                <w:sz w:val="24"/>
                <w:szCs w:val="24"/>
              </w:rPr>
              <w:t>Projekts šo jomu neskar</w:t>
            </w:r>
            <w:r w:rsidRPr="00F04F35">
              <w:rPr>
                <w:rFonts w:ascii="Times New Roman" w:hAnsi="Times New Roman"/>
                <w:bCs/>
                <w:iCs/>
                <w:sz w:val="24"/>
                <w:szCs w:val="24"/>
              </w:rPr>
              <w:t>.</w:t>
            </w:r>
          </w:p>
        </w:tc>
      </w:tr>
      <w:tr w:rsidR="004B1F42" w:rsidRPr="00F04F35" w:rsidTr="00F04F35">
        <w:tc>
          <w:tcPr>
            <w:tcW w:w="1073" w:type="pct"/>
            <w:gridSpan w:val="2"/>
            <w:tcBorders>
              <w:top w:val="outset" w:sz="6" w:space="0" w:color="000000"/>
              <w:bottom w:val="outset" w:sz="6" w:space="0" w:color="000000"/>
              <w:right w:val="outset" w:sz="6" w:space="0" w:color="000000"/>
            </w:tcBorders>
          </w:tcPr>
          <w:p w:rsidR="004B1F42" w:rsidRPr="00F04F35" w:rsidRDefault="004B1F42" w:rsidP="00F04F35">
            <w:pPr>
              <w:pStyle w:val="Stils"/>
              <w:spacing w:before="0" w:beforeAutospacing="0" w:after="0" w:afterAutospacing="0"/>
              <w:rPr>
                <w:rFonts w:ascii="Times New Roman" w:hAnsi="Times New Roman"/>
                <w:sz w:val="24"/>
                <w:szCs w:val="24"/>
              </w:rPr>
            </w:pPr>
            <w:r w:rsidRPr="00F04F35">
              <w:rPr>
                <w:rFonts w:ascii="Times New Roman" w:hAnsi="Times New Roman"/>
                <w:sz w:val="24"/>
                <w:szCs w:val="24"/>
              </w:rPr>
              <w:t>5. Administratīvās procedūras raksturojums</w:t>
            </w:r>
          </w:p>
        </w:tc>
        <w:tc>
          <w:tcPr>
            <w:tcW w:w="3927" w:type="pct"/>
            <w:tcBorders>
              <w:top w:val="outset" w:sz="6" w:space="0" w:color="000000"/>
              <w:left w:val="outset" w:sz="6" w:space="0" w:color="000000"/>
              <w:bottom w:val="outset" w:sz="6" w:space="0" w:color="000000"/>
            </w:tcBorders>
          </w:tcPr>
          <w:p w:rsidR="004B1F42" w:rsidRPr="00F04F35" w:rsidRDefault="004B1F42" w:rsidP="00F04F35">
            <w:pPr>
              <w:spacing w:after="0" w:line="240" w:lineRule="auto"/>
              <w:jc w:val="both"/>
              <w:rPr>
                <w:rFonts w:ascii="Times New Roman" w:hAnsi="Times New Roman"/>
                <w:sz w:val="24"/>
                <w:szCs w:val="24"/>
              </w:rPr>
            </w:pPr>
            <w:r w:rsidRPr="00F04F35">
              <w:rPr>
                <w:rFonts w:ascii="Times New Roman" w:hAnsi="Times New Roman"/>
                <w:iCs/>
                <w:sz w:val="24"/>
                <w:szCs w:val="24"/>
              </w:rPr>
              <w:t>Projekts šo jomu neskar</w:t>
            </w:r>
            <w:r w:rsidRPr="00F04F35">
              <w:rPr>
                <w:rFonts w:ascii="Times New Roman" w:hAnsi="Times New Roman"/>
                <w:bCs/>
                <w:iCs/>
                <w:sz w:val="24"/>
                <w:szCs w:val="24"/>
              </w:rPr>
              <w:t>.</w:t>
            </w:r>
          </w:p>
        </w:tc>
      </w:tr>
      <w:tr w:rsidR="004B1F42" w:rsidRPr="00F04F35" w:rsidTr="00F04F35">
        <w:tc>
          <w:tcPr>
            <w:tcW w:w="1073" w:type="pct"/>
            <w:gridSpan w:val="2"/>
            <w:tcBorders>
              <w:top w:val="outset" w:sz="6" w:space="0" w:color="000000"/>
              <w:bottom w:val="outset" w:sz="6" w:space="0" w:color="000000"/>
              <w:right w:val="outset" w:sz="6" w:space="0" w:color="000000"/>
            </w:tcBorders>
          </w:tcPr>
          <w:p w:rsidR="004B1F42" w:rsidRPr="00F04F35" w:rsidRDefault="004B1F42" w:rsidP="00F04F35">
            <w:pPr>
              <w:pStyle w:val="naiskr"/>
              <w:spacing w:before="0" w:beforeAutospacing="0" w:after="0" w:afterAutospacing="0"/>
            </w:pPr>
            <w:r w:rsidRPr="00F04F35">
              <w:t>6. Administratīvo izmaksu monetārs novērtējums</w:t>
            </w:r>
          </w:p>
        </w:tc>
        <w:tc>
          <w:tcPr>
            <w:tcW w:w="3927" w:type="pct"/>
            <w:tcBorders>
              <w:top w:val="outset" w:sz="6" w:space="0" w:color="000000"/>
              <w:left w:val="outset" w:sz="6" w:space="0" w:color="000000"/>
              <w:bottom w:val="outset" w:sz="6" w:space="0" w:color="000000"/>
            </w:tcBorders>
          </w:tcPr>
          <w:p w:rsidR="004B1F42" w:rsidRPr="00F04F35" w:rsidRDefault="004B1F42" w:rsidP="00F04F35">
            <w:pPr>
              <w:spacing w:after="0" w:line="240" w:lineRule="auto"/>
              <w:rPr>
                <w:rFonts w:ascii="Times New Roman" w:hAnsi="Times New Roman"/>
                <w:sz w:val="24"/>
                <w:szCs w:val="24"/>
              </w:rPr>
            </w:pPr>
            <w:r w:rsidRPr="00F04F35">
              <w:rPr>
                <w:rFonts w:ascii="Times New Roman" w:hAnsi="Times New Roman"/>
                <w:iCs/>
                <w:sz w:val="24"/>
                <w:szCs w:val="24"/>
              </w:rPr>
              <w:t>Projekts šo jomu neskar</w:t>
            </w:r>
            <w:r w:rsidRPr="00F04F35">
              <w:rPr>
                <w:rFonts w:ascii="Times New Roman" w:hAnsi="Times New Roman"/>
                <w:bCs/>
                <w:iCs/>
                <w:sz w:val="24"/>
                <w:szCs w:val="24"/>
              </w:rPr>
              <w:t>.</w:t>
            </w:r>
          </w:p>
        </w:tc>
      </w:tr>
      <w:tr w:rsidR="004B1F42" w:rsidRPr="00F04F35" w:rsidTr="00F04F35">
        <w:trPr>
          <w:trHeight w:hRule="exact" w:val="432"/>
        </w:trPr>
        <w:tc>
          <w:tcPr>
            <w:tcW w:w="1073" w:type="pct"/>
            <w:gridSpan w:val="2"/>
            <w:tcBorders>
              <w:top w:val="outset" w:sz="6" w:space="0" w:color="000000"/>
              <w:bottom w:val="outset" w:sz="6" w:space="0" w:color="000000"/>
              <w:right w:val="outset" w:sz="6" w:space="0" w:color="000000"/>
            </w:tcBorders>
          </w:tcPr>
          <w:p w:rsidR="004B1F42" w:rsidRPr="00F04F35" w:rsidRDefault="004B1F42" w:rsidP="00F04F35">
            <w:pPr>
              <w:pStyle w:val="naiskr"/>
              <w:spacing w:before="0" w:beforeAutospacing="0" w:after="0" w:afterAutospacing="0"/>
            </w:pPr>
            <w:r w:rsidRPr="00F04F35">
              <w:t>7. Cita ietekme</w:t>
            </w:r>
          </w:p>
        </w:tc>
        <w:tc>
          <w:tcPr>
            <w:tcW w:w="3927" w:type="pct"/>
            <w:tcBorders>
              <w:top w:val="outset" w:sz="6" w:space="0" w:color="000000"/>
              <w:left w:val="outset" w:sz="6" w:space="0" w:color="000000"/>
              <w:bottom w:val="outset" w:sz="6" w:space="0" w:color="000000"/>
            </w:tcBorders>
          </w:tcPr>
          <w:p w:rsidR="004B1F42" w:rsidRPr="00F04F35" w:rsidRDefault="004B1F42" w:rsidP="00F04F35">
            <w:pPr>
              <w:spacing w:after="0" w:line="240" w:lineRule="auto"/>
              <w:rPr>
                <w:rFonts w:ascii="Times New Roman" w:hAnsi="Times New Roman"/>
                <w:sz w:val="24"/>
                <w:szCs w:val="24"/>
              </w:rPr>
            </w:pPr>
            <w:r w:rsidRPr="00F04F35">
              <w:rPr>
                <w:rFonts w:ascii="Times New Roman" w:hAnsi="Times New Roman"/>
                <w:sz w:val="24"/>
                <w:szCs w:val="24"/>
              </w:rPr>
              <w:t>Nav.</w:t>
            </w:r>
          </w:p>
        </w:tc>
      </w:tr>
    </w:tbl>
    <w:p w:rsidR="004B1F42" w:rsidRPr="00F04F35" w:rsidRDefault="004B1F42" w:rsidP="00F04F35">
      <w:pPr>
        <w:spacing w:after="0" w:line="240" w:lineRule="auto"/>
        <w:rPr>
          <w:rFonts w:ascii="Times New Roman" w:hAnsi="Times New Roman"/>
          <w:b/>
          <w:bCs/>
          <w:sz w:val="28"/>
          <w:szCs w:val="28"/>
        </w:rPr>
      </w:pPr>
    </w:p>
    <w:p w:rsidR="004B1F42" w:rsidRPr="00F04F35" w:rsidRDefault="004B1F42" w:rsidP="00F04F35">
      <w:pPr>
        <w:spacing w:after="0" w:line="240" w:lineRule="auto"/>
        <w:rPr>
          <w:rFonts w:ascii="Times New Roman" w:hAnsi="Times New Roman"/>
          <w:b/>
          <w:sz w:val="24"/>
          <w:szCs w:val="24"/>
          <w:lang w:eastAsia="lv-LV"/>
        </w:rPr>
      </w:pPr>
      <w:r w:rsidRPr="00F04F35">
        <w:rPr>
          <w:rFonts w:ascii="Times New Roman" w:hAnsi="Times New Roman"/>
          <w:b/>
          <w:sz w:val="24"/>
          <w:szCs w:val="24"/>
        </w:rPr>
        <w:t>Anotācijas III, IV, V, VI un VII sadaļa</w:t>
      </w:r>
      <w:r w:rsidRPr="00F04F35">
        <w:rPr>
          <w:rFonts w:ascii="Times New Roman" w:hAnsi="Times New Roman"/>
          <w:sz w:val="24"/>
          <w:szCs w:val="24"/>
        </w:rPr>
        <w:t xml:space="preserve"> – projekts šīs jomas neskar</w:t>
      </w:r>
      <w:r w:rsidRPr="00F04F35">
        <w:rPr>
          <w:rFonts w:ascii="Times New Roman" w:hAnsi="Times New Roman"/>
          <w:sz w:val="24"/>
          <w:szCs w:val="24"/>
          <w:lang w:eastAsia="lv-LV"/>
        </w:rPr>
        <w:t>.</w:t>
      </w:r>
    </w:p>
    <w:p w:rsidR="004B1F42" w:rsidRPr="00F04F35" w:rsidRDefault="004B1F42" w:rsidP="00F04F35">
      <w:pPr>
        <w:spacing w:after="0" w:line="240" w:lineRule="auto"/>
        <w:rPr>
          <w:rFonts w:ascii="Times New Roman" w:hAnsi="Times New Roman"/>
          <w:sz w:val="26"/>
          <w:szCs w:val="26"/>
        </w:rPr>
      </w:pPr>
    </w:p>
    <w:p w:rsidR="00D34793" w:rsidRDefault="00D34793" w:rsidP="00F04F35">
      <w:pPr>
        <w:spacing w:after="0" w:line="240" w:lineRule="auto"/>
        <w:ind w:firstLine="720"/>
        <w:rPr>
          <w:rFonts w:ascii="Times New Roman" w:hAnsi="Times New Roman"/>
          <w:sz w:val="28"/>
          <w:szCs w:val="28"/>
        </w:rPr>
      </w:pPr>
    </w:p>
    <w:p w:rsidR="00D34793" w:rsidRDefault="00D34793" w:rsidP="00F04F35">
      <w:pPr>
        <w:spacing w:after="0" w:line="240" w:lineRule="auto"/>
        <w:ind w:firstLine="720"/>
        <w:rPr>
          <w:rFonts w:ascii="Times New Roman" w:hAnsi="Times New Roman"/>
          <w:sz w:val="28"/>
          <w:szCs w:val="28"/>
        </w:rPr>
      </w:pPr>
    </w:p>
    <w:p w:rsidR="004B1F42" w:rsidRPr="00F04F35" w:rsidRDefault="004B1F42" w:rsidP="00F04F35">
      <w:pPr>
        <w:spacing w:after="0" w:line="240" w:lineRule="auto"/>
        <w:ind w:firstLine="720"/>
        <w:rPr>
          <w:rFonts w:ascii="Times New Roman" w:hAnsi="Times New Roman"/>
          <w:sz w:val="28"/>
          <w:szCs w:val="28"/>
        </w:rPr>
      </w:pPr>
      <w:r w:rsidRPr="00F04F35">
        <w:rPr>
          <w:rFonts w:ascii="Times New Roman" w:hAnsi="Times New Roman"/>
          <w:sz w:val="28"/>
          <w:szCs w:val="28"/>
        </w:rPr>
        <w:t>Zemkopības ministre</w:t>
      </w:r>
      <w:r w:rsidRPr="00F04F35">
        <w:rPr>
          <w:rFonts w:ascii="Times New Roman" w:hAnsi="Times New Roman"/>
          <w:sz w:val="28"/>
          <w:szCs w:val="28"/>
        </w:rPr>
        <w:tab/>
      </w:r>
      <w:r w:rsidRPr="00F04F35">
        <w:rPr>
          <w:rFonts w:ascii="Times New Roman" w:hAnsi="Times New Roman"/>
          <w:sz w:val="28"/>
          <w:szCs w:val="28"/>
        </w:rPr>
        <w:tab/>
      </w:r>
      <w:r w:rsidRPr="00F04F35">
        <w:rPr>
          <w:rFonts w:ascii="Times New Roman" w:hAnsi="Times New Roman"/>
          <w:sz w:val="28"/>
          <w:szCs w:val="28"/>
        </w:rPr>
        <w:tab/>
      </w:r>
      <w:r w:rsidRPr="00F04F35">
        <w:rPr>
          <w:rFonts w:ascii="Times New Roman" w:hAnsi="Times New Roman"/>
          <w:sz w:val="28"/>
          <w:szCs w:val="28"/>
        </w:rPr>
        <w:tab/>
      </w:r>
      <w:r w:rsidRPr="00F04F35">
        <w:rPr>
          <w:rFonts w:ascii="Times New Roman" w:hAnsi="Times New Roman"/>
          <w:sz w:val="28"/>
          <w:szCs w:val="28"/>
        </w:rPr>
        <w:tab/>
      </w:r>
      <w:r w:rsidRPr="00F04F35">
        <w:rPr>
          <w:rFonts w:ascii="Times New Roman" w:hAnsi="Times New Roman"/>
          <w:sz w:val="28"/>
          <w:szCs w:val="28"/>
        </w:rPr>
        <w:tab/>
        <w:t>L.Straujuma</w:t>
      </w:r>
    </w:p>
    <w:p w:rsidR="004B1F42" w:rsidRDefault="004B1F42" w:rsidP="00F04F35">
      <w:pPr>
        <w:spacing w:after="0" w:line="240" w:lineRule="auto"/>
        <w:jc w:val="both"/>
        <w:rPr>
          <w:rFonts w:ascii="Times New Roman" w:hAnsi="Times New Roman"/>
          <w:sz w:val="20"/>
          <w:szCs w:val="20"/>
        </w:rPr>
      </w:pPr>
    </w:p>
    <w:p w:rsidR="004B1F42" w:rsidRDefault="004B1F42" w:rsidP="00F04F35">
      <w:pPr>
        <w:spacing w:after="0" w:line="240" w:lineRule="auto"/>
        <w:jc w:val="both"/>
        <w:rPr>
          <w:rFonts w:ascii="Times New Roman" w:hAnsi="Times New Roman"/>
          <w:sz w:val="20"/>
          <w:szCs w:val="20"/>
        </w:rPr>
      </w:pPr>
    </w:p>
    <w:p w:rsidR="004B1F42" w:rsidRDefault="004B1F42" w:rsidP="00F04F35">
      <w:pPr>
        <w:spacing w:after="0" w:line="240" w:lineRule="auto"/>
        <w:jc w:val="both"/>
        <w:rPr>
          <w:rFonts w:ascii="Times New Roman" w:hAnsi="Times New Roman"/>
          <w:sz w:val="20"/>
          <w:szCs w:val="20"/>
        </w:rPr>
      </w:pPr>
    </w:p>
    <w:p w:rsidR="00D34793" w:rsidRDefault="00D34793" w:rsidP="00F04F35">
      <w:pPr>
        <w:spacing w:after="0" w:line="240" w:lineRule="auto"/>
        <w:jc w:val="both"/>
        <w:rPr>
          <w:rFonts w:ascii="Times New Roman" w:hAnsi="Times New Roman"/>
          <w:sz w:val="20"/>
          <w:szCs w:val="20"/>
        </w:rPr>
      </w:pPr>
    </w:p>
    <w:p w:rsidR="00D34793" w:rsidRDefault="00D34793" w:rsidP="00F04F35">
      <w:pPr>
        <w:spacing w:after="0" w:line="240" w:lineRule="auto"/>
        <w:jc w:val="both"/>
        <w:rPr>
          <w:rFonts w:ascii="Times New Roman" w:hAnsi="Times New Roman"/>
          <w:sz w:val="20"/>
          <w:szCs w:val="20"/>
        </w:rPr>
      </w:pPr>
    </w:p>
    <w:p w:rsidR="00D34793" w:rsidRDefault="00D34793" w:rsidP="00F04F35">
      <w:pPr>
        <w:spacing w:after="0" w:line="240" w:lineRule="auto"/>
        <w:jc w:val="both"/>
        <w:rPr>
          <w:rFonts w:ascii="Times New Roman" w:hAnsi="Times New Roman"/>
          <w:sz w:val="20"/>
          <w:szCs w:val="20"/>
        </w:rPr>
      </w:pPr>
    </w:p>
    <w:p w:rsidR="00D34793" w:rsidRPr="00F04F35" w:rsidRDefault="00D34793" w:rsidP="00F04F35">
      <w:pPr>
        <w:spacing w:after="0" w:line="240" w:lineRule="auto"/>
        <w:jc w:val="both"/>
        <w:rPr>
          <w:rFonts w:ascii="Times New Roman" w:hAnsi="Times New Roman"/>
          <w:sz w:val="20"/>
          <w:szCs w:val="20"/>
        </w:rPr>
      </w:pPr>
    </w:p>
    <w:p w:rsidR="00D34793" w:rsidRDefault="00D34793" w:rsidP="00F04F35">
      <w:pPr>
        <w:spacing w:after="0" w:line="240" w:lineRule="auto"/>
        <w:rPr>
          <w:rFonts w:ascii="Times New Roman" w:hAnsi="Times New Roman"/>
          <w:bCs/>
          <w:sz w:val="20"/>
          <w:szCs w:val="20"/>
        </w:rPr>
      </w:pPr>
      <w:r>
        <w:rPr>
          <w:rFonts w:ascii="Times New Roman" w:hAnsi="Times New Roman"/>
          <w:bCs/>
          <w:sz w:val="20"/>
          <w:szCs w:val="20"/>
        </w:rPr>
        <w:t>2013.11.19. 16:30</w:t>
      </w:r>
    </w:p>
    <w:p w:rsidR="00D34793" w:rsidRPr="00D34793" w:rsidRDefault="00D34793" w:rsidP="00F04F35">
      <w:pPr>
        <w:spacing w:after="0" w:line="240" w:lineRule="auto"/>
        <w:rPr>
          <w:rFonts w:ascii="Times New Roman" w:hAnsi="Times New Roman"/>
          <w:sz w:val="20"/>
          <w:szCs w:val="20"/>
        </w:rPr>
      </w:pPr>
      <w:fldSimple w:instr=" NUMWORDS   \* MERGEFORMAT ">
        <w:r w:rsidRPr="00D34793">
          <w:rPr>
            <w:rFonts w:ascii="Times New Roman" w:hAnsi="Times New Roman"/>
            <w:noProof/>
            <w:sz w:val="20"/>
            <w:szCs w:val="20"/>
          </w:rPr>
          <w:t>1668</w:t>
        </w:r>
      </w:fldSimple>
    </w:p>
    <w:p w:rsidR="004B1F42" w:rsidRPr="00F04F35" w:rsidRDefault="004B1F42" w:rsidP="00F04F35">
      <w:pPr>
        <w:spacing w:after="0" w:line="240" w:lineRule="auto"/>
        <w:rPr>
          <w:rFonts w:ascii="Times New Roman" w:hAnsi="Times New Roman"/>
          <w:bCs/>
          <w:sz w:val="20"/>
          <w:szCs w:val="20"/>
        </w:rPr>
      </w:pPr>
      <w:proofErr w:type="spellStart"/>
      <w:r w:rsidRPr="00F04F35">
        <w:rPr>
          <w:rFonts w:ascii="Times New Roman" w:hAnsi="Times New Roman"/>
          <w:color w:val="000000"/>
          <w:sz w:val="20"/>
          <w:szCs w:val="20"/>
        </w:rPr>
        <w:t>I.Miķelsone</w:t>
      </w:r>
      <w:proofErr w:type="spellEnd"/>
    </w:p>
    <w:p w:rsidR="004B1F42" w:rsidRPr="00F04F35" w:rsidRDefault="004B1F42" w:rsidP="00F04F35">
      <w:pPr>
        <w:spacing w:after="0" w:line="240" w:lineRule="auto"/>
        <w:jc w:val="both"/>
        <w:rPr>
          <w:rFonts w:ascii="Times New Roman" w:hAnsi="Times New Roman"/>
          <w:sz w:val="20"/>
          <w:szCs w:val="20"/>
        </w:rPr>
      </w:pPr>
      <w:r w:rsidRPr="00F04F35">
        <w:rPr>
          <w:rFonts w:ascii="Times New Roman" w:hAnsi="Times New Roman"/>
          <w:sz w:val="20"/>
          <w:szCs w:val="20"/>
        </w:rPr>
        <w:t>67027525, Inese.Mikelsone@zm.gov.lv</w:t>
      </w:r>
    </w:p>
    <w:sectPr w:rsidR="004B1F42" w:rsidRPr="00F04F35" w:rsidSect="00D34793">
      <w:headerReference w:type="default" r:id="rId8"/>
      <w:footerReference w:type="default" r:id="rId9"/>
      <w:footerReference w:type="first" r:id="rId10"/>
      <w:pgSz w:w="11906" w:h="16838" w:code="9"/>
      <w:pgMar w:top="1418" w:right="1134" w:bottom="1134" w:left="1701" w:header="708" w:footer="6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DE4" w:rsidRDefault="00014DE4">
      <w:pPr>
        <w:spacing w:after="0" w:line="240" w:lineRule="auto"/>
      </w:pPr>
      <w:r>
        <w:separator/>
      </w:r>
    </w:p>
  </w:endnote>
  <w:endnote w:type="continuationSeparator" w:id="0">
    <w:p w:rsidR="00014DE4" w:rsidRDefault="00014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42" w:rsidRDefault="004B1F42" w:rsidP="0005714F">
    <w:pPr>
      <w:pStyle w:val="Kjene"/>
      <w:tabs>
        <w:tab w:val="right" w:pos="9072"/>
      </w:tabs>
      <w:ind w:left="-567" w:right="-766"/>
      <w:jc w:val="both"/>
      <w:rPr>
        <w:rFonts w:ascii="Times New Roman" w:hAnsi="Times New Roman"/>
      </w:rPr>
    </w:pPr>
    <w:r>
      <w:rPr>
        <w:rFonts w:ascii="Times New Roman" w:hAnsi="Times New Roman"/>
      </w:rPr>
      <w:t>Z</w:t>
    </w:r>
    <w:r w:rsidRPr="00D46817">
      <w:rPr>
        <w:rFonts w:ascii="Times New Roman" w:hAnsi="Times New Roman"/>
      </w:rPr>
      <w:t>MAnot_</w:t>
    </w:r>
    <w:r>
      <w:rPr>
        <w:rFonts w:ascii="Times New Roman" w:hAnsi="Times New Roman"/>
      </w:rPr>
      <w:t>120813</w:t>
    </w:r>
    <w:r w:rsidRPr="00D46817">
      <w:rPr>
        <w:rFonts w:ascii="Times New Roman" w:hAnsi="Times New Roman"/>
      </w:rPr>
      <w:t>_</w:t>
    </w:r>
    <w:r>
      <w:rPr>
        <w:rFonts w:ascii="Times New Roman" w:hAnsi="Times New Roman"/>
      </w:rPr>
      <w:t>akterjura</w:t>
    </w:r>
    <w:r w:rsidRPr="00D46817">
      <w:rPr>
        <w:rFonts w:ascii="Times New Roman" w:hAnsi="Times New Roman"/>
      </w:rPr>
      <w:t xml:space="preserve">; </w:t>
    </w:r>
    <w:r w:rsidRPr="00E942BF">
      <w:rPr>
        <w:rFonts w:ascii="Times New Roman" w:hAnsi="Times New Roman"/>
        <w:bCs/>
      </w:rPr>
      <w:t xml:space="preserve">Ministru kabineta rīkojuma </w:t>
    </w:r>
    <w:r w:rsidRPr="00086A52">
      <w:rPr>
        <w:rFonts w:ascii="Times New Roman" w:hAnsi="Times New Roman"/>
        <w:bCs/>
      </w:rPr>
      <w:t>projekta „</w:t>
    </w:r>
    <w:r w:rsidRPr="00834DB2">
      <w:rPr>
        <w:rFonts w:ascii="Times New Roman" w:hAnsi="Times New Roman"/>
      </w:rPr>
      <w:t>Par jūras teritorij</w:t>
    </w:r>
    <w:r>
      <w:rPr>
        <w:rFonts w:ascii="Times New Roman" w:hAnsi="Times New Roman"/>
      </w:rPr>
      <w:t>u</w:t>
    </w:r>
    <w:r w:rsidRPr="00834DB2">
      <w:rPr>
        <w:rFonts w:ascii="Times New Roman" w:hAnsi="Times New Roman"/>
      </w:rPr>
      <w:t xml:space="preserve"> </w:t>
    </w:r>
    <w:r w:rsidRPr="00D0161F">
      <w:rPr>
        <w:rFonts w:ascii="Times New Roman" w:hAnsi="Times New Roman"/>
      </w:rPr>
      <w:t xml:space="preserve">noteikšanu akvakultūras </w:t>
    </w:r>
  </w:p>
  <w:p w:rsidR="004B1F42" w:rsidRPr="00086A52" w:rsidRDefault="004B1F42" w:rsidP="0005714F">
    <w:pPr>
      <w:pStyle w:val="Kjene"/>
      <w:tabs>
        <w:tab w:val="right" w:pos="9072"/>
      </w:tabs>
      <w:ind w:left="-567" w:right="-766"/>
      <w:jc w:val="both"/>
      <w:rPr>
        <w:rFonts w:ascii="Times New Roman" w:hAnsi="Times New Roman"/>
        <w:b/>
        <w:bCs/>
      </w:rPr>
    </w:pPr>
    <w:r w:rsidRPr="00D0161F">
      <w:rPr>
        <w:rFonts w:ascii="Times New Roman" w:hAnsi="Times New Roman"/>
      </w:rPr>
      <w:t>darbībai nepieciešamo iekārtu ierīkošanai un ekspluatācijai</w:t>
    </w:r>
    <w:r w:rsidRPr="00D0161F">
      <w:rPr>
        <w:rFonts w:ascii="Times New Roman" w:hAnsi="Times New Roman"/>
        <w:bCs/>
      </w:rPr>
      <w:t xml:space="preserve">” </w:t>
    </w:r>
    <w:r w:rsidRPr="00086A52">
      <w:rPr>
        <w:rFonts w:ascii="Times New Roman" w:hAnsi="Times New Roman"/>
        <w:bCs/>
      </w:rPr>
      <w:t xml:space="preserve">sākotnējās ietekmes novērtējuma </w:t>
    </w:r>
    <w:smartTag w:uri="schemas-tilde-lv/tildestengine" w:element="veidnes">
      <w:smartTagPr>
        <w:attr w:name="text" w:val="ziņojums"/>
        <w:attr w:name="baseform" w:val="ziņojums"/>
        <w:attr w:name="id" w:val="-1"/>
      </w:smartTagPr>
      <w:r w:rsidRPr="00086A52">
        <w:rPr>
          <w:rFonts w:ascii="Times New Roman" w:hAnsi="Times New Roman"/>
          <w:bCs/>
        </w:rPr>
        <w:t>ziņojums</w:t>
      </w:r>
    </w:smartTag>
    <w:r w:rsidRPr="00086A52">
      <w:rPr>
        <w:rFonts w:ascii="Times New Roman" w:hAnsi="Times New Roman"/>
        <w:bCs/>
      </w:rPr>
      <w:t xml:space="preserve"> (anotācija)</w:t>
    </w:r>
  </w:p>
  <w:p w:rsidR="004B1F42" w:rsidRPr="0005714F" w:rsidRDefault="004B1F42" w:rsidP="0005714F">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42" w:rsidRDefault="004B1F42" w:rsidP="00C07309">
    <w:pPr>
      <w:pStyle w:val="Kjene"/>
      <w:tabs>
        <w:tab w:val="right" w:pos="9072"/>
      </w:tabs>
      <w:ind w:left="-567" w:right="-766"/>
      <w:jc w:val="both"/>
      <w:rPr>
        <w:rFonts w:ascii="Times New Roman" w:hAnsi="Times New Roman"/>
      </w:rPr>
    </w:pPr>
    <w:r>
      <w:rPr>
        <w:rFonts w:ascii="Times New Roman" w:hAnsi="Times New Roman"/>
      </w:rPr>
      <w:t>Z</w:t>
    </w:r>
    <w:r w:rsidRPr="00D46817">
      <w:rPr>
        <w:rFonts w:ascii="Times New Roman" w:hAnsi="Times New Roman"/>
      </w:rPr>
      <w:t>MAnot_</w:t>
    </w:r>
    <w:r>
      <w:rPr>
        <w:rFonts w:ascii="Times New Roman" w:hAnsi="Times New Roman"/>
      </w:rPr>
      <w:t>120813</w:t>
    </w:r>
    <w:r w:rsidRPr="00D46817">
      <w:rPr>
        <w:rFonts w:ascii="Times New Roman" w:hAnsi="Times New Roman"/>
      </w:rPr>
      <w:t>_</w:t>
    </w:r>
    <w:r>
      <w:rPr>
        <w:rFonts w:ascii="Times New Roman" w:hAnsi="Times New Roman"/>
      </w:rPr>
      <w:t>akterjura</w:t>
    </w:r>
    <w:r w:rsidRPr="00D46817">
      <w:rPr>
        <w:rFonts w:ascii="Times New Roman" w:hAnsi="Times New Roman"/>
      </w:rPr>
      <w:t xml:space="preserve">; </w:t>
    </w:r>
    <w:r w:rsidRPr="00E942BF">
      <w:rPr>
        <w:rFonts w:ascii="Times New Roman" w:hAnsi="Times New Roman"/>
        <w:bCs/>
      </w:rPr>
      <w:t xml:space="preserve">Ministru kabineta rīkojuma </w:t>
    </w:r>
    <w:r w:rsidRPr="00086A52">
      <w:rPr>
        <w:rFonts w:ascii="Times New Roman" w:hAnsi="Times New Roman"/>
        <w:bCs/>
      </w:rPr>
      <w:t>projekta „</w:t>
    </w:r>
    <w:r w:rsidRPr="00D0161F">
      <w:rPr>
        <w:rFonts w:ascii="Times New Roman" w:hAnsi="Times New Roman"/>
      </w:rPr>
      <w:t>Par jūras teritorij</w:t>
    </w:r>
    <w:r>
      <w:rPr>
        <w:rFonts w:ascii="Times New Roman" w:hAnsi="Times New Roman"/>
      </w:rPr>
      <w:t>u</w:t>
    </w:r>
    <w:r w:rsidRPr="00D0161F">
      <w:rPr>
        <w:rFonts w:ascii="Times New Roman" w:hAnsi="Times New Roman"/>
      </w:rPr>
      <w:t xml:space="preserve"> noteikšanu akvakultūras </w:t>
    </w:r>
  </w:p>
  <w:p w:rsidR="004B1F42" w:rsidRPr="00086A52" w:rsidRDefault="004B1F42" w:rsidP="00C07309">
    <w:pPr>
      <w:pStyle w:val="Kjene"/>
      <w:tabs>
        <w:tab w:val="right" w:pos="9072"/>
      </w:tabs>
      <w:ind w:left="-567" w:right="-766"/>
      <w:jc w:val="both"/>
      <w:rPr>
        <w:rFonts w:ascii="Times New Roman" w:hAnsi="Times New Roman"/>
        <w:b/>
        <w:bCs/>
      </w:rPr>
    </w:pPr>
    <w:r w:rsidRPr="00D0161F">
      <w:rPr>
        <w:rFonts w:ascii="Times New Roman" w:hAnsi="Times New Roman"/>
      </w:rPr>
      <w:t>darbībai nepieciešamo iekārtu ierīkošanai un ekspluatācijai</w:t>
    </w:r>
    <w:r w:rsidRPr="00086A52">
      <w:rPr>
        <w:rFonts w:ascii="Times New Roman" w:hAnsi="Times New Roman"/>
        <w:bCs/>
      </w:rPr>
      <w:t xml:space="preserve">” sākotnējās ietekmes novērtējuma </w:t>
    </w:r>
    <w:smartTag w:uri="schemas-tilde-lv/tildestengine" w:element="veidnes">
      <w:smartTagPr>
        <w:attr w:name="text" w:val="ziņojums"/>
        <w:attr w:name="baseform" w:val="ziņojums"/>
        <w:attr w:name="id" w:val="-1"/>
      </w:smartTagPr>
      <w:r w:rsidRPr="00086A52">
        <w:rPr>
          <w:rFonts w:ascii="Times New Roman" w:hAnsi="Times New Roman"/>
          <w:bCs/>
        </w:rPr>
        <w:t>ziņojums</w:t>
      </w:r>
    </w:smartTag>
    <w:r w:rsidRPr="00086A52">
      <w:rPr>
        <w:rFonts w:ascii="Times New Roman" w:hAnsi="Times New Roman"/>
        <w:bCs/>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DE4" w:rsidRDefault="00014DE4">
      <w:pPr>
        <w:spacing w:after="0" w:line="240" w:lineRule="auto"/>
      </w:pPr>
      <w:r>
        <w:separator/>
      </w:r>
    </w:p>
  </w:footnote>
  <w:footnote w:type="continuationSeparator" w:id="0">
    <w:p w:rsidR="00014DE4" w:rsidRDefault="00014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42" w:rsidRDefault="00DA7F86">
    <w:pPr>
      <w:pStyle w:val="Galvene"/>
      <w:jc w:val="center"/>
    </w:pPr>
    <w:r>
      <w:fldChar w:fldCharType="begin"/>
    </w:r>
    <w:r w:rsidR="009868F9">
      <w:instrText xml:space="preserve"> PAGE   \* MERGEFORMAT </w:instrText>
    </w:r>
    <w:r>
      <w:fldChar w:fldCharType="separate"/>
    </w:r>
    <w:r w:rsidR="00D34793">
      <w:rPr>
        <w:noProof/>
      </w:rPr>
      <w:t>5</w:t>
    </w:r>
    <w:r>
      <w:rPr>
        <w:noProof/>
      </w:rPr>
      <w:fldChar w:fldCharType="end"/>
    </w:r>
  </w:p>
  <w:p w:rsidR="004B1F42" w:rsidRDefault="004B1F4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217E0"/>
    <w:multiLevelType w:val="hybridMultilevel"/>
    <w:tmpl w:val="193EA838"/>
    <w:lvl w:ilvl="0" w:tplc="A85655DA">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609"/>
    <w:rsid w:val="00011558"/>
    <w:rsid w:val="00014DE4"/>
    <w:rsid w:val="00030609"/>
    <w:rsid w:val="000315CE"/>
    <w:rsid w:val="00046DF5"/>
    <w:rsid w:val="0005714F"/>
    <w:rsid w:val="0008596A"/>
    <w:rsid w:val="00086A52"/>
    <w:rsid w:val="000970B4"/>
    <w:rsid w:val="000B1B2A"/>
    <w:rsid w:val="000B42F3"/>
    <w:rsid w:val="000D5141"/>
    <w:rsid w:val="001102B0"/>
    <w:rsid w:val="001122CD"/>
    <w:rsid w:val="00112FF0"/>
    <w:rsid w:val="00114DAA"/>
    <w:rsid w:val="00127F29"/>
    <w:rsid w:val="00147968"/>
    <w:rsid w:val="00163D9F"/>
    <w:rsid w:val="00180D5A"/>
    <w:rsid w:val="00182295"/>
    <w:rsid w:val="00190D07"/>
    <w:rsid w:val="001950C5"/>
    <w:rsid w:val="001A6150"/>
    <w:rsid w:val="001B5626"/>
    <w:rsid w:val="001F73BF"/>
    <w:rsid w:val="00221801"/>
    <w:rsid w:val="0023197A"/>
    <w:rsid w:val="002525A6"/>
    <w:rsid w:val="00257320"/>
    <w:rsid w:val="002948E9"/>
    <w:rsid w:val="002C305B"/>
    <w:rsid w:val="002F20B0"/>
    <w:rsid w:val="002F59CB"/>
    <w:rsid w:val="002F6AC1"/>
    <w:rsid w:val="0030120C"/>
    <w:rsid w:val="00303700"/>
    <w:rsid w:val="00314B28"/>
    <w:rsid w:val="00324C23"/>
    <w:rsid w:val="0035646B"/>
    <w:rsid w:val="003A745D"/>
    <w:rsid w:val="003C7E3D"/>
    <w:rsid w:val="00412A07"/>
    <w:rsid w:val="00412E30"/>
    <w:rsid w:val="00440AEE"/>
    <w:rsid w:val="00450131"/>
    <w:rsid w:val="004A7380"/>
    <w:rsid w:val="004B0D3E"/>
    <w:rsid w:val="004B123A"/>
    <w:rsid w:val="004B1F42"/>
    <w:rsid w:val="004B4058"/>
    <w:rsid w:val="004D6316"/>
    <w:rsid w:val="004E5163"/>
    <w:rsid w:val="004F49FE"/>
    <w:rsid w:val="00572818"/>
    <w:rsid w:val="005C71B9"/>
    <w:rsid w:val="005F7B53"/>
    <w:rsid w:val="0064302A"/>
    <w:rsid w:val="006662A1"/>
    <w:rsid w:val="00670A14"/>
    <w:rsid w:val="00677808"/>
    <w:rsid w:val="006923FA"/>
    <w:rsid w:val="006C5A92"/>
    <w:rsid w:val="006E4323"/>
    <w:rsid w:val="00705F7D"/>
    <w:rsid w:val="00710345"/>
    <w:rsid w:val="00725B8D"/>
    <w:rsid w:val="007507BC"/>
    <w:rsid w:val="00756752"/>
    <w:rsid w:val="00782197"/>
    <w:rsid w:val="007B796E"/>
    <w:rsid w:val="00804E3F"/>
    <w:rsid w:val="008100A2"/>
    <w:rsid w:val="008254C8"/>
    <w:rsid w:val="00834DB2"/>
    <w:rsid w:val="008C449A"/>
    <w:rsid w:val="008D09AF"/>
    <w:rsid w:val="008F4080"/>
    <w:rsid w:val="00931D16"/>
    <w:rsid w:val="0096530C"/>
    <w:rsid w:val="009868F9"/>
    <w:rsid w:val="00996135"/>
    <w:rsid w:val="009A5CEC"/>
    <w:rsid w:val="009E3DE2"/>
    <w:rsid w:val="009E75C5"/>
    <w:rsid w:val="009F181C"/>
    <w:rsid w:val="009F55E4"/>
    <w:rsid w:val="009F5CF9"/>
    <w:rsid w:val="00A23912"/>
    <w:rsid w:val="00A32FA9"/>
    <w:rsid w:val="00A41A25"/>
    <w:rsid w:val="00A75041"/>
    <w:rsid w:val="00A922D3"/>
    <w:rsid w:val="00AB28AD"/>
    <w:rsid w:val="00AB4379"/>
    <w:rsid w:val="00AB4F1C"/>
    <w:rsid w:val="00AC697F"/>
    <w:rsid w:val="00B305D2"/>
    <w:rsid w:val="00BA56D2"/>
    <w:rsid w:val="00BA7508"/>
    <w:rsid w:val="00BC1462"/>
    <w:rsid w:val="00BD0807"/>
    <w:rsid w:val="00BE4EEB"/>
    <w:rsid w:val="00C07309"/>
    <w:rsid w:val="00C107AC"/>
    <w:rsid w:val="00C152D3"/>
    <w:rsid w:val="00C41B7D"/>
    <w:rsid w:val="00C67131"/>
    <w:rsid w:val="00CA2B9F"/>
    <w:rsid w:val="00CB0850"/>
    <w:rsid w:val="00CB7D89"/>
    <w:rsid w:val="00CC0DB2"/>
    <w:rsid w:val="00CC2B02"/>
    <w:rsid w:val="00CE4B66"/>
    <w:rsid w:val="00CF321C"/>
    <w:rsid w:val="00D0161F"/>
    <w:rsid w:val="00D1759E"/>
    <w:rsid w:val="00D34793"/>
    <w:rsid w:val="00D37B60"/>
    <w:rsid w:val="00D46817"/>
    <w:rsid w:val="00D5205F"/>
    <w:rsid w:val="00D66674"/>
    <w:rsid w:val="00D87A05"/>
    <w:rsid w:val="00DA7F86"/>
    <w:rsid w:val="00DC6005"/>
    <w:rsid w:val="00E1200F"/>
    <w:rsid w:val="00E24041"/>
    <w:rsid w:val="00E822B1"/>
    <w:rsid w:val="00E942BF"/>
    <w:rsid w:val="00EA1920"/>
    <w:rsid w:val="00EB35A0"/>
    <w:rsid w:val="00EB7801"/>
    <w:rsid w:val="00EE16DB"/>
    <w:rsid w:val="00EE5CA2"/>
    <w:rsid w:val="00EF7C99"/>
    <w:rsid w:val="00F04F35"/>
    <w:rsid w:val="00F11C26"/>
    <w:rsid w:val="00F72769"/>
    <w:rsid w:val="00F8095D"/>
    <w:rsid w:val="00F95276"/>
    <w:rsid w:val="00FF354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30609"/>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030609"/>
    <w:pPr>
      <w:tabs>
        <w:tab w:val="center" w:pos="4153"/>
        <w:tab w:val="right" w:pos="8306"/>
      </w:tabs>
      <w:spacing w:after="0" w:line="240" w:lineRule="auto"/>
    </w:pPr>
    <w:rPr>
      <w:sz w:val="20"/>
      <w:szCs w:val="20"/>
      <w:lang/>
    </w:rPr>
  </w:style>
  <w:style w:type="character" w:customStyle="1" w:styleId="GalveneRakstz">
    <w:name w:val="Galvene Rakstz."/>
    <w:link w:val="Galvene"/>
    <w:uiPriority w:val="99"/>
    <w:locked/>
    <w:rsid w:val="00030609"/>
    <w:rPr>
      <w:rFonts w:ascii="Calibri" w:hAnsi="Calibri"/>
    </w:rPr>
  </w:style>
  <w:style w:type="paragraph" w:styleId="Kjene">
    <w:name w:val="footer"/>
    <w:basedOn w:val="Parastais"/>
    <w:link w:val="KjeneRakstz"/>
    <w:uiPriority w:val="99"/>
    <w:rsid w:val="00030609"/>
    <w:pPr>
      <w:tabs>
        <w:tab w:val="center" w:pos="4153"/>
        <w:tab w:val="right" w:pos="8306"/>
      </w:tabs>
      <w:spacing w:after="0" w:line="240" w:lineRule="auto"/>
    </w:pPr>
    <w:rPr>
      <w:sz w:val="20"/>
      <w:szCs w:val="20"/>
      <w:lang/>
    </w:rPr>
  </w:style>
  <w:style w:type="character" w:customStyle="1" w:styleId="KjeneRakstz">
    <w:name w:val="Kājene Rakstz."/>
    <w:link w:val="Kjene"/>
    <w:uiPriority w:val="99"/>
    <w:locked/>
    <w:rsid w:val="00030609"/>
    <w:rPr>
      <w:rFonts w:ascii="Calibri" w:hAnsi="Calibri"/>
    </w:rPr>
  </w:style>
  <w:style w:type="paragraph" w:customStyle="1" w:styleId="Stils">
    <w:name w:val="Stils"/>
    <w:basedOn w:val="Parastais"/>
    <w:next w:val="ParastaisWeb"/>
    <w:uiPriority w:val="99"/>
    <w:rsid w:val="00030609"/>
    <w:pPr>
      <w:spacing w:before="100" w:beforeAutospacing="1" w:after="100" w:afterAutospacing="1" w:line="240" w:lineRule="auto"/>
    </w:pPr>
    <w:rPr>
      <w:rFonts w:ascii="Verdana" w:eastAsia="Times New Roman" w:hAnsi="Verdana"/>
      <w:sz w:val="18"/>
      <w:szCs w:val="18"/>
      <w:lang w:eastAsia="lv-LV"/>
    </w:rPr>
  </w:style>
  <w:style w:type="paragraph" w:customStyle="1" w:styleId="naisc">
    <w:name w:val="naisc"/>
    <w:basedOn w:val="Parastais"/>
    <w:uiPriority w:val="99"/>
    <w:rsid w:val="0003060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ais"/>
    <w:uiPriority w:val="99"/>
    <w:rsid w:val="00030609"/>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uiPriority w:val="99"/>
    <w:rsid w:val="00030609"/>
    <w:rPr>
      <w:rFonts w:cs="Times New Roman"/>
      <w:color w:val="0000FF"/>
      <w:u w:val="single"/>
    </w:rPr>
  </w:style>
  <w:style w:type="paragraph" w:customStyle="1" w:styleId="western">
    <w:name w:val="western"/>
    <w:basedOn w:val="Parastais"/>
    <w:uiPriority w:val="99"/>
    <w:rsid w:val="0003060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ParastaisWeb">
    <w:name w:val="Normal (Web)"/>
    <w:basedOn w:val="Parastais"/>
    <w:uiPriority w:val="99"/>
    <w:semiHidden/>
    <w:rsid w:val="00030609"/>
    <w:rPr>
      <w:rFonts w:ascii="Times New Roman" w:hAnsi="Times New Roman"/>
      <w:sz w:val="24"/>
      <w:szCs w:val="24"/>
    </w:rPr>
  </w:style>
  <w:style w:type="paragraph" w:styleId="Balonteksts">
    <w:name w:val="Balloon Text"/>
    <w:basedOn w:val="Parastais"/>
    <w:link w:val="BalontekstsRakstz"/>
    <w:uiPriority w:val="99"/>
    <w:semiHidden/>
    <w:rsid w:val="00EE5CA2"/>
    <w:pPr>
      <w:spacing w:after="0" w:line="240" w:lineRule="auto"/>
    </w:pPr>
    <w:rPr>
      <w:rFonts w:ascii="Tahoma" w:hAnsi="Tahoma"/>
      <w:sz w:val="16"/>
      <w:szCs w:val="20"/>
      <w:lang/>
    </w:rPr>
  </w:style>
  <w:style w:type="character" w:customStyle="1" w:styleId="BalontekstsRakstz">
    <w:name w:val="Balonteksts Rakstz."/>
    <w:link w:val="Balonteksts"/>
    <w:uiPriority w:val="99"/>
    <w:semiHidden/>
    <w:locked/>
    <w:rsid w:val="00EE5CA2"/>
    <w:rPr>
      <w:rFonts w:ascii="Tahoma" w:hAnsi="Tahoma"/>
      <w:sz w:val="16"/>
    </w:rPr>
  </w:style>
  <w:style w:type="paragraph" w:customStyle="1" w:styleId="Default">
    <w:name w:val="Default"/>
    <w:uiPriority w:val="99"/>
    <w:rsid w:val="00D66674"/>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lhe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1684</Words>
  <Characters>11929</Characters>
  <Application>Microsoft Office Word</Application>
  <DocSecurity>0</DocSecurity>
  <Lines>277</Lines>
  <Paragraphs>73</Paragraphs>
  <ScaleCrop>false</ScaleCrop>
  <Company>zm</Company>
  <LinksUpToDate>false</LinksUpToDate>
  <CharactersWithSpaces>13540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Rutkovska</dc:creator>
  <cp:keywords/>
  <dc:description/>
  <cp:lastModifiedBy>Renārs Žagars</cp:lastModifiedBy>
  <cp:revision>18</cp:revision>
  <cp:lastPrinted>2013-11-08T13:04:00Z</cp:lastPrinted>
  <dcterms:created xsi:type="dcterms:W3CDTF">2013-09-24T07:25:00Z</dcterms:created>
  <dcterms:modified xsi:type="dcterms:W3CDTF">2013-11-19T14:30:00Z</dcterms:modified>
</cp:coreProperties>
</file>