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11" w:rsidRPr="003C68E9" w:rsidRDefault="00372711" w:rsidP="003C68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3C68E9">
        <w:rPr>
          <w:rFonts w:ascii="Times New Roman" w:hAnsi="Times New Roman"/>
          <w:b/>
          <w:bCs/>
          <w:sz w:val="28"/>
          <w:szCs w:val="28"/>
          <w:lang w:eastAsia="lv-LV"/>
        </w:rPr>
        <w:t>Ministru kabineta noteikumu projekta</w:t>
      </w:r>
    </w:p>
    <w:p w:rsidR="00372711" w:rsidRDefault="00944D9E" w:rsidP="00944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1"/>
      <w:r w:rsidRPr="00944D9E">
        <w:rPr>
          <w:rFonts w:ascii="Times New Roman" w:hAnsi="Times New Roman"/>
          <w:b/>
          <w:sz w:val="28"/>
          <w:szCs w:val="28"/>
          <w:lang w:eastAsia="lv-LV"/>
        </w:rPr>
        <w:t>„</w:t>
      </w:r>
      <w:r w:rsidR="006F51AF">
        <w:rPr>
          <w:rFonts w:ascii="Times New Roman" w:hAnsi="Times New Roman"/>
          <w:b/>
          <w:sz w:val="28"/>
          <w:szCs w:val="28"/>
          <w:lang w:eastAsia="lv-LV"/>
        </w:rPr>
        <w:t>Grozījums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2010</w:t>
      </w:r>
      <w:r w:rsidRPr="00944D9E">
        <w:rPr>
          <w:rFonts w:ascii="Times New Roman" w:hAnsi="Times New Roman"/>
          <w:b/>
          <w:sz w:val="28"/>
          <w:szCs w:val="28"/>
          <w:lang w:eastAsia="lv-LV"/>
        </w:rPr>
        <w:t xml:space="preserve">.gada </w:t>
      </w:r>
      <w:r>
        <w:rPr>
          <w:rFonts w:ascii="Times New Roman" w:hAnsi="Times New Roman"/>
          <w:b/>
          <w:sz w:val="28"/>
          <w:szCs w:val="28"/>
          <w:lang w:eastAsia="lv-LV"/>
        </w:rPr>
        <w:t>2.februāra noteikumos Nr.98 „Labturības prasības cāļu turēšanai un izmantošanai gaļas ražošanai</w:t>
      </w:r>
      <w:r w:rsidRPr="00944D9E">
        <w:rPr>
          <w:rFonts w:ascii="Times New Roman" w:hAnsi="Times New Roman"/>
          <w:b/>
          <w:bCs/>
          <w:sz w:val="28"/>
          <w:szCs w:val="28"/>
          <w:lang w:eastAsia="lv-LV"/>
        </w:rPr>
        <w:t>””</w:t>
      </w:r>
      <w:bookmarkEnd w:id="0"/>
    </w:p>
    <w:p w:rsidR="00944D9E" w:rsidRPr="003C68E9" w:rsidRDefault="00944D9E" w:rsidP="00944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944D9E">
        <w:rPr>
          <w:rFonts w:ascii="Times New Roman" w:hAnsi="Times New Roman"/>
          <w:b/>
          <w:sz w:val="28"/>
          <w:szCs w:val="28"/>
          <w:lang w:eastAsia="lv-LV"/>
        </w:rPr>
        <w:t>sākotnējās ietekmes novērtējuma ziņojums</w:t>
      </w:r>
      <w:r w:rsidRPr="00944D9E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(anotācija)</w:t>
      </w:r>
    </w:p>
    <w:p w:rsidR="00372711" w:rsidRPr="003C68E9" w:rsidRDefault="00372711" w:rsidP="003C68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141"/>
        <w:gridCol w:w="6034"/>
      </w:tblGrid>
      <w:tr w:rsidR="00372711" w:rsidRPr="001E492F" w:rsidTr="00300D49">
        <w:tc>
          <w:tcPr>
            <w:tcW w:w="9725" w:type="dxa"/>
            <w:gridSpan w:val="3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72711" w:rsidRPr="001E492F" w:rsidTr="00264153">
        <w:trPr>
          <w:trHeight w:val="428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034" w:type="dxa"/>
          </w:tcPr>
          <w:p w:rsidR="00372711" w:rsidRPr="00DE59B6" w:rsidRDefault="00264153" w:rsidP="0021375A">
            <w:pPr>
              <w:pStyle w:val="Pamatteksts2"/>
              <w:rPr>
                <w:sz w:val="24"/>
                <w:szCs w:val="24"/>
              </w:rPr>
            </w:pPr>
            <w:r w:rsidRPr="00264153">
              <w:rPr>
                <w:sz w:val="24"/>
                <w:szCs w:val="24"/>
              </w:rPr>
              <w:t>Dzīvnieku aizsardzības likuma</w:t>
            </w:r>
            <w:r>
              <w:rPr>
                <w:sz w:val="24"/>
                <w:szCs w:val="24"/>
              </w:rPr>
              <w:t xml:space="preserve"> </w:t>
            </w:r>
            <w:r w:rsidRPr="00264153">
              <w:rPr>
                <w:sz w:val="24"/>
                <w:szCs w:val="24"/>
              </w:rPr>
              <w:t>10.panta 1.punkt</w:t>
            </w:r>
            <w:r>
              <w:rPr>
                <w:sz w:val="24"/>
                <w:szCs w:val="24"/>
              </w:rPr>
              <w:t>s.</w:t>
            </w:r>
          </w:p>
        </w:tc>
      </w:tr>
      <w:tr w:rsidR="00372711" w:rsidRPr="001E492F" w:rsidTr="00264153">
        <w:trPr>
          <w:trHeight w:val="472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6034" w:type="dxa"/>
          </w:tcPr>
          <w:p w:rsidR="007D14D8" w:rsidRDefault="007D14D8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Patlaban ir spēkā </w:t>
            </w:r>
            <w:r w:rsidR="00A267CA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2010.gada 2.februāra noteikum</w:t>
            </w:r>
            <w:r w:rsidR="00264153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A267C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Nr.98 „Labturības prasības cāļu turēšanai un izmantošanai gaļas ražošanai”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64153">
              <w:rPr>
                <w:rFonts w:ascii="Times New Roman" w:hAnsi="Times New Roman"/>
                <w:sz w:val="24"/>
                <w:szCs w:val="24"/>
                <w:lang w:eastAsia="lv-LV"/>
              </w:rPr>
              <w:t>(turpmāk – noteikumi Nr.98)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26415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To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42.punktā 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>noteikts, kāda informācija norādāma pavaddokumentos</w:t>
            </w:r>
            <w:r w:rsidR="00A777C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A267CA">
              <w:rPr>
                <w:rFonts w:ascii="Times New Roman" w:hAnsi="Times New Roman"/>
                <w:sz w:val="24"/>
                <w:szCs w:val="24"/>
                <w:lang w:eastAsia="lv-LV"/>
              </w:rPr>
              <w:t>nosūtot uz kautuvi putnu saimi, kura turēta blīvumā, kas pārsniedz 33 kilogramus uz kvadrātmetru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A267C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Eiropas Komisijas Pārtikas un veterinārais birojs pēc audita, kas notika Latvijā, lai novērtētu dzīvnieku labturības uzraudzību novietnēs un pārvadājumu laikā, ir sniedzis rekomendāciju, kas nosaka, ka nacionālajos normatīvajos aktos 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pagaidām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nav pārņemta Padomes 2007.gada 28.jūnija Direktīvas 2007/43/EK, ar ko nosaka obligātos noteikumus gaļas ražošanai audzētu cāļu aizsardzībai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(turpmāk – </w:t>
            </w:r>
            <w:r w:rsidR="00494CF4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irektīva 2007/43/EK) III pielikuma 1.punkta 1.1.apakšpunktā noteiktā prasība, 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proti, 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>nosūtot putnus uz kautuvi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5D201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pavaddokumentos norādīt arī dienas mirstības koeficientu.</w:t>
            </w:r>
            <w:r w:rsidR="00494C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Tāpēc nepieciešams attiecīgi papildināt noteikumu Nr.98 42.punktu.</w:t>
            </w:r>
          </w:p>
          <w:p w:rsidR="00372711" w:rsidRPr="00C720BF" w:rsidRDefault="007D14D8" w:rsidP="007D14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Zemkopības ministrija ir informējusi Eiropas Komisijas Pārtikas un veterināro biroju, ka līdz 2013.gada 31.decembrim nacionālajos normatīvajos aktos tiks pārņemtas visas </w:t>
            </w:r>
            <w:r w:rsidR="00494CF4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irektīvas 2007/43/EK prasības.</w:t>
            </w:r>
          </w:p>
        </w:tc>
      </w:tr>
      <w:tr w:rsidR="00372711" w:rsidRPr="001E492F" w:rsidTr="00264153">
        <w:trPr>
          <w:trHeight w:val="650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6034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72711" w:rsidRPr="001E492F" w:rsidTr="00264153">
        <w:trPr>
          <w:trHeight w:val="384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6034" w:type="dxa"/>
          </w:tcPr>
          <w:p w:rsidR="005431EA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20BF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noteikumu projekts</w:t>
            </w:r>
            <w:r w:rsidR="00D255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„Grozījums</w:t>
            </w:r>
            <w:r w:rsidR="00980C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2010.gada 2.februāra noteikumos Nr.98 „Labturības prasības cāļu turēšanai un izmantošanai gaļas ražošanai”” </w:t>
            </w:r>
            <w:r w:rsidRPr="00C720BF">
              <w:rPr>
                <w:rFonts w:ascii="Times New Roman" w:hAnsi="Times New Roman"/>
                <w:sz w:val="24"/>
                <w:szCs w:val="24"/>
                <w:lang w:eastAsia="lv-LV"/>
              </w:rPr>
              <w:t>(tu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rpmāk – n</w:t>
            </w:r>
            <w:r w:rsidR="00980C1B">
              <w:rPr>
                <w:rFonts w:ascii="Times New Roman" w:hAnsi="Times New Roman"/>
                <w:sz w:val="24"/>
                <w:szCs w:val="24"/>
                <w:lang w:eastAsia="lv-LV"/>
              </w:rPr>
              <w:t>ote</w:t>
            </w:r>
            <w:r w:rsidR="00A777CD">
              <w:rPr>
                <w:rFonts w:ascii="Times New Roman" w:hAnsi="Times New Roman"/>
                <w:sz w:val="24"/>
                <w:szCs w:val="24"/>
                <w:lang w:eastAsia="lv-LV"/>
              </w:rPr>
              <w:t>ikum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 projekts) sagatavots, lai </w:t>
            </w:r>
            <w:r w:rsidR="00A777C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pārņemtu </w:t>
            </w:r>
            <w:r w:rsidR="0010677D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A777CD">
              <w:rPr>
                <w:rFonts w:ascii="Times New Roman" w:hAnsi="Times New Roman"/>
                <w:sz w:val="24"/>
                <w:szCs w:val="24"/>
                <w:lang w:eastAsia="lv-LV"/>
              </w:rPr>
              <w:t>irektīvas 2007/43/EK III pi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>elikuma 1.punkta 1.1.apakšpunkt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a prasību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0677D">
              <w:rPr>
                <w:rFonts w:ascii="Times New Roman" w:hAnsi="Times New Roman"/>
                <w:sz w:val="24"/>
                <w:szCs w:val="24"/>
                <w:lang w:eastAsia="lv-LV"/>
              </w:rPr>
              <w:t>un noteikumos Nr.98 noteiktu, ka</w:t>
            </w:r>
            <w:r w:rsidR="0077788D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10677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nosūtot uz kautuvi putnu saimi, kura turēta blīvumā, kas pārsniedz 33 kilogramus uz kvadrātmetru,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pavaddokumentos jānorāda </w:t>
            </w:r>
            <w:r w:rsidR="0010677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arī </w:t>
            </w:r>
            <w:r w:rsidR="005431EA">
              <w:rPr>
                <w:rFonts w:ascii="Times New Roman" w:hAnsi="Times New Roman"/>
                <w:sz w:val="24"/>
                <w:szCs w:val="24"/>
                <w:lang w:eastAsia="lv-LV"/>
              </w:rPr>
              <w:t>dienas mirstības koeficients.</w:t>
            </w: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Šīs anotācijas I sadaļas 2.punktā minētās problēmas noteikumu projekts atrisinās pilnībā.</w:t>
            </w:r>
          </w:p>
        </w:tc>
      </w:tr>
      <w:tr w:rsidR="00372711" w:rsidRPr="001E492F" w:rsidTr="00264153">
        <w:trPr>
          <w:trHeight w:val="476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34" w:type="dxa"/>
          </w:tcPr>
          <w:p w:rsidR="00751D60" w:rsidRPr="004B517B" w:rsidRDefault="00001036" w:rsidP="003C68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Pārtikas un</w:t>
            </w:r>
            <w:bookmarkStart w:id="1" w:name="_GoBack"/>
            <w:bookmarkEnd w:id="1"/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veterinārais dienests</w:t>
            </w:r>
          </w:p>
        </w:tc>
      </w:tr>
      <w:tr w:rsidR="00372711" w:rsidRPr="001E492F" w:rsidTr="00264153">
        <w:trPr>
          <w:trHeight w:val="533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6034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72711" w:rsidRPr="001E492F" w:rsidTr="00264153"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41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34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372711" w:rsidRPr="003C68E9" w:rsidRDefault="00372711" w:rsidP="003C68E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855"/>
        <w:gridCol w:w="4410"/>
      </w:tblGrid>
      <w:tr w:rsidR="00372711" w:rsidRPr="001E492F" w:rsidTr="00300D49">
        <w:tc>
          <w:tcPr>
            <w:tcW w:w="9815" w:type="dxa"/>
            <w:gridSpan w:val="3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</w:t>
            </w:r>
          </w:p>
        </w:tc>
      </w:tr>
      <w:tr w:rsidR="00372711" w:rsidRPr="001E492F" w:rsidTr="00300D49">
        <w:trPr>
          <w:trHeight w:val="1955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Sabiedrības </w:t>
            </w:r>
            <w:proofErr w:type="spellStart"/>
            <w:r w:rsidRPr="003C68E9">
              <w:rPr>
                <w:rFonts w:ascii="Times New Roman" w:hAnsi="Times New Roman"/>
                <w:sz w:val="24"/>
                <w:lang w:eastAsia="lv-LV"/>
              </w:rPr>
              <w:t>mērķgrupa</w:t>
            </w:r>
            <w:proofErr w:type="spellEnd"/>
          </w:p>
        </w:tc>
        <w:tc>
          <w:tcPr>
            <w:tcW w:w="4410" w:type="dxa"/>
          </w:tcPr>
          <w:p w:rsidR="00F17085" w:rsidRDefault="00372711" w:rsidP="006A50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543052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Pr="003C68E9">
              <w:rPr>
                <w:rFonts w:ascii="Times New Roman" w:hAnsi="Times New Roman"/>
                <w:iCs/>
                <w:lang w:eastAsia="lv-LV"/>
              </w:rPr>
              <w:t>p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rojektā ietvertais</w:t>
            </w: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tiesi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skais regulējums </w:t>
            </w:r>
            <w:r w:rsidR="00F17085" w:rsidRP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attiecināms uz gaļas ražošanai audzētu cāļu īpašniekiem vai turētājiem</w:t>
            </w:r>
            <w:r w:rsidR="0077788D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un to piemēro novietnēm, kurās ir 500 un vairāk cāļu. </w:t>
            </w:r>
          </w:p>
          <w:p w:rsidR="00372711" w:rsidRPr="001032D4" w:rsidRDefault="00C0759C" w:rsidP="007778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Pārtikas un veterinārajā dienestā</w:t>
            </w:r>
            <w:r w:rsidR="008D3471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(turpmāk –dienests)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ir reģistrētas četras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7788D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tādu 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cāļu</w:t>
            </w:r>
            <w:r w:rsidR="0077788D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novietnes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 k</w:t>
            </w:r>
            <w:r w:rsidR="0077788D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uri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paredzēti gaļas ieguvei. </w:t>
            </w:r>
            <w:r w:rsidR="00142BF7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Maksimālais c</w:t>
            </w:r>
            <w:r w:rsidR="00F17085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āļu skaits šajās novietnēs ir no </w:t>
            </w:r>
            <w:r w:rsidR="00F17085" w:rsidRPr="0077788D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500 līdz </w:t>
            </w:r>
            <w:r w:rsidR="00F17085" w:rsidRPr="00CC14D1">
              <w:rPr>
                <w:rFonts w:ascii="Times New Roman" w:hAnsi="Times New Roman"/>
                <w:sz w:val="24"/>
                <w:szCs w:val="24"/>
              </w:rPr>
              <w:t>1</w:t>
            </w:r>
            <w:r w:rsidR="00142BF7" w:rsidRPr="00CC14D1">
              <w:rPr>
                <w:rFonts w:ascii="Times New Roman" w:hAnsi="Times New Roman"/>
                <w:sz w:val="24"/>
                <w:szCs w:val="24"/>
              </w:rPr>
              <w:t> </w:t>
            </w:r>
            <w:r w:rsidR="00F17085" w:rsidRPr="00CC14D1">
              <w:rPr>
                <w:rFonts w:ascii="Times New Roman" w:hAnsi="Times New Roman"/>
                <w:sz w:val="24"/>
                <w:szCs w:val="24"/>
              </w:rPr>
              <w:t>754</w:t>
            </w:r>
            <w:r w:rsidR="00142BF7" w:rsidRPr="00CC14D1">
              <w:rPr>
                <w:rFonts w:ascii="Times New Roman" w:hAnsi="Times New Roman"/>
                <w:sz w:val="24"/>
                <w:szCs w:val="24"/>
              </w:rPr>
              <w:t> </w:t>
            </w:r>
            <w:r w:rsidR="00F17085" w:rsidRPr="00CC14D1">
              <w:rPr>
                <w:rFonts w:ascii="Times New Roman" w:hAnsi="Times New Roman"/>
                <w:sz w:val="24"/>
                <w:szCs w:val="24"/>
              </w:rPr>
              <w:t>500</w:t>
            </w:r>
            <w:r w:rsidR="00142BF7" w:rsidRPr="00CC14D1">
              <w:rPr>
                <w:rFonts w:ascii="Times New Roman" w:hAnsi="Times New Roman"/>
                <w:sz w:val="24"/>
                <w:szCs w:val="24"/>
              </w:rPr>
              <w:t xml:space="preserve"> putniem.</w:t>
            </w:r>
            <w:r w:rsidR="00372711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72711" w:rsidRPr="001E492F" w:rsidTr="00300D49">
        <w:trPr>
          <w:trHeight w:val="523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Citas sabiedrības grupas (bez </w:t>
            </w:r>
            <w:proofErr w:type="spellStart"/>
            <w:r w:rsidRPr="003C68E9">
              <w:rPr>
                <w:rFonts w:ascii="Times New Roman" w:hAnsi="Times New Roman"/>
                <w:sz w:val="24"/>
                <w:lang w:eastAsia="lv-LV"/>
              </w:rPr>
              <w:t>mērķgrupas</w:t>
            </w:r>
            <w:proofErr w:type="spellEnd"/>
            <w:r w:rsidRPr="003C68E9">
              <w:rPr>
                <w:rFonts w:ascii="Times New Roman" w:hAnsi="Times New Roman"/>
                <w:sz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4410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2AA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372711" w:rsidRPr="001E492F" w:rsidTr="00300D49">
        <w:trPr>
          <w:trHeight w:val="517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Tiesiskā regulējuma finansiālā ietekme</w:t>
            </w:r>
          </w:p>
        </w:tc>
        <w:tc>
          <w:tcPr>
            <w:tcW w:w="4410" w:type="dxa"/>
          </w:tcPr>
          <w:p w:rsidR="00372711" w:rsidRPr="00BD71CF" w:rsidRDefault="00142BF7" w:rsidP="00584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lang w:eastAsia="lv-LV"/>
              </w:rPr>
              <w:t>Projekts šo jomu neskar.</w:t>
            </w:r>
          </w:p>
        </w:tc>
      </w:tr>
      <w:tr w:rsidR="00372711" w:rsidRPr="001E492F" w:rsidTr="00300D49">
        <w:trPr>
          <w:trHeight w:val="517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Tiesiskā regulējuma nefinansiālā ietekme</w:t>
            </w:r>
          </w:p>
        </w:tc>
        <w:tc>
          <w:tcPr>
            <w:tcW w:w="4410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Projekts šo jomu neskar.</w:t>
            </w:r>
          </w:p>
        </w:tc>
      </w:tr>
      <w:tr w:rsidR="00372711" w:rsidRPr="001E492F" w:rsidTr="00300D49">
        <w:trPr>
          <w:trHeight w:val="531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5.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Administratīvās procedūras raksturojums</w:t>
            </w:r>
          </w:p>
        </w:tc>
        <w:tc>
          <w:tcPr>
            <w:tcW w:w="4410" w:type="dxa"/>
          </w:tcPr>
          <w:p w:rsidR="00372711" w:rsidRPr="003C68E9" w:rsidRDefault="00142BF7" w:rsidP="00F22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lang w:eastAsia="lv-LV"/>
              </w:rPr>
              <w:t>Dienesta pilnvarots veterinārārsts</w:t>
            </w:r>
            <w:r w:rsidR="008D3471">
              <w:rPr>
                <w:rFonts w:ascii="Times New Roman" w:hAnsi="Times New Roman"/>
                <w:iCs/>
                <w:sz w:val="24"/>
                <w:lang w:eastAsia="lv-LV"/>
              </w:rPr>
              <w:t xml:space="preserve"> kautuvē reģistrē īpašnieka vai turētāja aprēķināto dienas mirstības koeficientu. </w:t>
            </w:r>
          </w:p>
        </w:tc>
      </w:tr>
      <w:tr w:rsidR="00372711" w:rsidRPr="001E492F" w:rsidTr="00300D49">
        <w:trPr>
          <w:trHeight w:val="357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6.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Administratīvo izmaksu monetārs novērtējums</w:t>
            </w:r>
          </w:p>
        </w:tc>
        <w:tc>
          <w:tcPr>
            <w:tcW w:w="441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72711" w:rsidRPr="001E492F" w:rsidTr="00300D49"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lang w:eastAsia="lv-LV"/>
              </w:rPr>
              <w:t>7.</w:t>
            </w:r>
          </w:p>
        </w:tc>
        <w:tc>
          <w:tcPr>
            <w:tcW w:w="4855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Cita informācija</w:t>
            </w:r>
          </w:p>
        </w:tc>
        <w:tc>
          <w:tcPr>
            <w:tcW w:w="4410" w:type="dxa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Nav</w:t>
            </w:r>
          </w:p>
        </w:tc>
      </w:tr>
    </w:tbl>
    <w:p w:rsidR="00372711" w:rsidRPr="003C68E9" w:rsidRDefault="00372711" w:rsidP="003C68E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72711" w:rsidRPr="003C68E9" w:rsidRDefault="00372711" w:rsidP="003C68E9">
      <w:pPr>
        <w:spacing w:after="0" w:line="240" w:lineRule="auto"/>
        <w:ind w:firstLine="375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3C68E9">
        <w:rPr>
          <w:rFonts w:ascii="Times New Roman" w:hAnsi="Times New Roman"/>
          <w:i/>
          <w:sz w:val="24"/>
          <w:szCs w:val="24"/>
          <w:lang w:eastAsia="lv-LV"/>
        </w:rPr>
        <w:t>Anotācijas III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 un IV sadaļa – projekts šīs jomas neskar.</w:t>
      </w:r>
    </w:p>
    <w:p w:rsidR="00372711" w:rsidRPr="003C68E9" w:rsidRDefault="00372711" w:rsidP="003C68E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964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919"/>
        <w:gridCol w:w="4456"/>
      </w:tblGrid>
      <w:tr w:rsidR="00372711" w:rsidRPr="001E492F" w:rsidTr="00300D49">
        <w:trPr>
          <w:jc w:val="center"/>
        </w:trPr>
        <w:tc>
          <w:tcPr>
            <w:tcW w:w="9964" w:type="dxa"/>
            <w:gridSpan w:val="3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72711" w:rsidRPr="001E492F" w:rsidTr="00AB2797">
        <w:trPr>
          <w:trHeight w:val="822"/>
          <w:jc w:val="center"/>
        </w:trPr>
        <w:tc>
          <w:tcPr>
            <w:tcW w:w="58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1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Saistības pret Eiropas Savienību</w:t>
            </w:r>
          </w:p>
        </w:tc>
        <w:tc>
          <w:tcPr>
            <w:tcW w:w="4456" w:type="dxa"/>
          </w:tcPr>
          <w:p w:rsidR="00372711" w:rsidRPr="00D63035" w:rsidRDefault="002A0FC1" w:rsidP="00E71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Direktīva 2007/43/EK</w:t>
            </w:r>
          </w:p>
        </w:tc>
      </w:tr>
      <w:tr w:rsidR="00372711" w:rsidRPr="001E492F" w:rsidTr="00AB2797">
        <w:trPr>
          <w:jc w:val="center"/>
        </w:trPr>
        <w:tc>
          <w:tcPr>
            <w:tcW w:w="58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1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Citas starptautiskās saistības</w:t>
            </w:r>
          </w:p>
        </w:tc>
        <w:tc>
          <w:tcPr>
            <w:tcW w:w="4456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72711" w:rsidRPr="001E492F" w:rsidTr="00AB2797">
        <w:trPr>
          <w:jc w:val="center"/>
        </w:trPr>
        <w:tc>
          <w:tcPr>
            <w:tcW w:w="58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19" w:type="dxa"/>
          </w:tcPr>
          <w:p w:rsidR="00372711" w:rsidRPr="003C68E9" w:rsidRDefault="00372711" w:rsidP="003C68E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Cita informācija</w:t>
            </w:r>
          </w:p>
        </w:tc>
        <w:tc>
          <w:tcPr>
            <w:tcW w:w="4456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Nav</w:t>
            </w:r>
          </w:p>
        </w:tc>
      </w:tr>
    </w:tbl>
    <w:p w:rsidR="008D3471" w:rsidRPr="003C68E9" w:rsidRDefault="008D3471" w:rsidP="003C68E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6"/>
        <w:gridCol w:w="1963"/>
        <w:gridCol w:w="3332"/>
        <w:gridCol w:w="2900"/>
      </w:tblGrid>
      <w:tr w:rsidR="00372711" w:rsidRPr="001E492F" w:rsidTr="00300D49">
        <w:trPr>
          <w:trHeight w:val="523"/>
          <w:jc w:val="center"/>
        </w:trPr>
        <w:tc>
          <w:tcPr>
            <w:tcW w:w="10071" w:type="dxa"/>
            <w:gridSpan w:val="4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1.tabula </w:t>
            </w:r>
          </w:p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372711" w:rsidRPr="001E492F" w:rsidTr="00300D49">
        <w:trPr>
          <w:trHeight w:val="1252"/>
          <w:jc w:val="center"/>
        </w:trPr>
        <w:tc>
          <w:tcPr>
            <w:tcW w:w="1876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8195" w:type="dxa"/>
            <w:gridSpan w:val="3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Aizpilda, ja ar projektu tiek pārņemts vai ieviests vairāk nekā viens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3C68E9">
                <w:rPr>
                  <w:rFonts w:ascii="Times New Roman" w:hAnsi="Times New Roman"/>
                  <w:sz w:val="24"/>
                  <w:szCs w:val="24"/>
                  <w:lang w:eastAsia="lv-LV"/>
                </w:rPr>
                <w:t>akts</w:t>
              </w:r>
            </w:smartTag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– jānorāda tā pati informācija, kas prasīta instrukcijas 55.1.apakšpunktā un jau tikusi norādīta arī V sadaļas 1.punkta ietvaros</w:t>
            </w:r>
          </w:p>
        </w:tc>
      </w:tr>
      <w:tr w:rsidR="00372711" w:rsidRPr="001E492F" w:rsidTr="00300D49">
        <w:trPr>
          <w:trHeight w:val="163"/>
          <w:jc w:val="center"/>
        </w:trPr>
        <w:tc>
          <w:tcPr>
            <w:tcW w:w="10071" w:type="dxa"/>
            <w:gridSpan w:val="4"/>
            <w:vAlign w:val="center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372711" w:rsidRPr="001E492F" w:rsidTr="00300D49">
        <w:trPr>
          <w:trHeight w:val="165"/>
          <w:jc w:val="center"/>
        </w:trPr>
        <w:tc>
          <w:tcPr>
            <w:tcW w:w="1876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963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3332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900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</w:p>
        </w:tc>
      </w:tr>
      <w:tr w:rsidR="00372711" w:rsidRPr="001E492F" w:rsidTr="00300D49">
        <w:trPr>
          <w:trHeight w:val="1037"/>
          <w:jc w:val="center"/>
        </w:trPr>
        <w:tc>
          <w:tcPr>
            <w:tcW w:w="1876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Attiecīgā ES tiesību akta panta numurs (uzskaitot katru tiesību akta </w:t>
            </w: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vienību – pantu, daļu, punktu, apakšpunktu)</w:t>
            </w:r>
          </w:p>
        </w:tc>
        <w:tc>
          <w:tcPr>
            <w:tcW w:w="1963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</w:t>
            </w:r>
          </w:p>
        </w:tc>
        <w:tc>
          <w:tcPr>
            <w:tcW w:w="3332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Informācija par to, vai šīs tabulas A ailē minētās ES tiesību akta vienības tiek pārņemtas vai ieviestas pilnībā vai daļēji.</w:t>
            </w: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Ja attiecīgā ES tiesību akta vienība tiek pārņemta vai ieviesta </w:t>
            </w: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daļēji, – sniedz attiecīgu skaidrojumu, kā arī precīzi norāda, kad un kādā veidā ES tiesību akta vienība tiks pārņemta vai ieviesta pilnībā.</w:t>
            </w: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2900" w:type="dxa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3C68E9">
                <w:rPr>
                  <w:rFonts w:ascii="Times New Roman" w:hAnsi="Times New Roman"/>
                  <w:sz w:val="24"/>
                  <w:szCs w:val="24"/>
                  <w:lang w:eastAsia="lv-LV"/>
                </w:rPr>
                <w:t>akts</w:t>
              </w:r>
            </w:smartTag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, – norāda pamatojumu un samērīgumu.</w:t>
            </w: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372711" w:rsidRPr="001E492F" w:rsidTr="00300D49">
        <w:trPr>
          <w:trHeight w:val="197"/>
          <w:jc w:val="center"/>
        </w:trPr>
        <w:tc>
          <w:tcPr>
            <w:tcW w:w="1876" w:type="dxa"/>
          </w:tcPr>
          <w:p w:rsidR="00372711" w:rsidRDefault="008D347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Direktīvas 2007/43/EK III pielikuma 1.punkta 1.1.apakšpunkts</w:t>
            </w:r>
          </w:p>
        </w:tc>
        <w:tc>
          <w:tcPr>
            <w:tcW w:w="1963" w:type="dxa"/>
          </w:tcPr>
          <w:p w:rsidR="00372711" w:rsidDel="00522710" w:rsidRDefault="00C82A6F" w:rsidP="003C6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7F2572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1.punkts</w:t>
            </w:r>
          </w:p>
        </w:tc>
        <w:tc>
          <w:tcPr>
            <w:tcW w:w="3332" w:type="dxa"/>
          </w:tcPr>
          <w:p w:rsidR="00372711" w:rsidRDefault="008D3471" w:rsidP="003C6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Pārņemts</w:t>
            </w:r>
            <w:r w:rsidR="00372711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pilnībā</w:t>
            </w:r>
          </w:p>
        </w:tc>
        <w:tc>
          <w:tcPr>
            <w:tcW w:w="2900" w:type="dxa"/>
          </w:tcPr>
          <w:p w:rsidR="00372711" w:rsidRDefault="00372711" w:rsidP="003C6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Neparedz stingrākas</w:t>
            </w:r>
          </w:p>
          <w:p w:rsidR="00372711" w:rsidRPr="003C68E9" w:rsidRDefault="00E7167C" w:rsidP="003C6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="00372711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rasības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72711" w:rsidRPr="001E492F" w:rsidTr="00300D49">
        <w:trPr>
          <w:trHeight w:val="191"/>
          <w:jc w:val="center"/>
        </w:trPr>
        <w:tc>
          <w:tcPr>
            <w:tcW w:w="3839" w:type="dxa"/>
            <w:gridSpan w:val="2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232" w:type="dxa"/>
            <w:gridSpan w:val="2"/>
            <w:vAlign w:val="center"/>
          </w:tcPr>
          <w:p w:rsidR="00372711" w:rsidRPr="003316AF" w:rsidRDefault="002A0FC1" w:rsidP="00E7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372711" w:rsidRPr="001E492F" w:rsidTr="00300D49">
        <w:trPr>
          <w:trHeight w:val="191"/>
          <w:jc w:val="center"/>
        </w:trPr>
        <w:tc>
          <w:tcPr>
            <w:tcW w:w="3839" w:type="dxa"/>
            <w:gridSpan w:val="2"/>
            <w:vAlign w:val="center"/>
          </w:tcPr>
          <w:p w:rsidR="00372711" w:rsidRPr="003C68E9" w:rsidRDefault="00372711" w:rsidP="003C6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232" w:type="dxa"/>
            <w:gridSpan w:val="2"/>
            <w:vAlign w:val="center"/>
          </w:tcPr>
          <w:p w:rsidR="00372711" w:rsidRPr="003C68E9" w:rsidRDefault="00372711" w:rsidP="005F61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72711" w:rsidRPr="001E492F" w:rsidTr="00300D49">
        <w:trPr>
          <w:trHeight w:val="281"/>
          <w:jc w:val="center"/>
        </w:trPr>
        <w:tc>
          <w:tcPr>
            <w:tcW w:w="1876" w:type="dxa"/>
            <w:vAlign w:val="center"/>
          </w:tcPr>
          <w:p w:rsidR="00372711" w:rsidRPr="003C68E9" w:rsidRDefault="00372711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8195" w:type="dxa"/>
            <w:gridSpan w:val="3"/>
          </w:tcPr>
          <w:p w:rsidR="00372711" w:rsidRPr="003C68E9" w:rsidRDefault="00C82A6F" w:rsidP="003C6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F2572">
              <w:rPr>
                <w:rFonts w:ascii="Times New Roman" w:hAnsi="Times New Roman"/>
                <w:sz w:val="24"/>
                <w:szCs w:val="24"/>
                <w:lang w:eastAsia="lv-LV"/>
              </w:rPr>
              <w:t>Pārējās Direktīvā 2007/43/EK noteiktās prasības ir pārņemtas ar Ministru kabineta 2010.gada 2.februāra noteikumiem Nr.98 „Labturības prasības cāļu turēšanai un izmantošanai gaļas ražošanai</w:t>
            </w:r>
            <w:r w:rsidRPr="007F257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”.</w:t>
            </w:r>
          </w:p>
        </w:tc>
      </w:tr>
    </w:tbl>
    <w:p w:rsidR="00372711" w:rsidRDefault="00372711" w:rsidP="003C68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72711" w:rsidRPr="005F6178" w:rsidRDefault="00372711" w:rsidP="003C6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5F6178">
        <w:rPr>
          <w:rFonts w:ascii="Times New Roman" w:hAnsi="Times New Roman"/>
          <w:i/>
          <w:sz w:val="24"/>
          <w:szCs w:val="24"/>
          <w:lang w:eastAsia="lv-LV"/>
        </w:rPr>
        <w:t xml:space="preserve">Anotācijas V sadaļas 2.tabula – projekts šo jomu neskar. </w:t>
      </w:r>
    </w:p>
    <w:p w:rsidR="00372711" w:rsidRPr="003C68E9" w:rsidRDefault="00372711" w:rsidP="003C68E9">
      <w:pPr>
        <w:spacing w:after="0" w:line="240" w:lineRule="auto"/>
        <w:rPr>
          <w:rFonts w:ascii="Times New Roman" w:hAnsi="Times New Roman"/>
          <w:sz w:val="16"/>
          <w:szCs w:val="16"/>
          <w:lang w:eastAsia="lv-LV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492"/>
        <w:gridCol w:w="5361"/>
      </w:tblGrid>
      <w:tr w:rsidR="00372711" w:rsidRPr="001E492F" w:rsidTr="00300D49">
        <w:trPr>
          <w:jc w:val="center"/>
        </w:trPr>
        <w:tc>
          <w:tcPr>
            <w:tcW w:w="10403" w:type="dxa"/>
            <w:gridSpan w:val="3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372711" w:rsidRPr="001E492F" w:rsidTr="00300D49">
        <w:trPr>
          <w:trHeight w:val="553"/>
          <w:jc w:val="center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1.</w:t>
            </w:r>
          </w:p>
        </w:tc>
        <w:tc>
          <w:tcPr>
            <w:tcW w:w="4492" w:type="dxa"/>
          </w:tcPr>
          <w:p w:rsidR="00372711" w:rsidRPr="003C68E9" w:rsidRDefault="00372711" w:rsidP="003C68E9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Sabiedrības informēšana par projekta izstrādes uzsākšanu</w:t>
            </w:r>
          </w:p>
        </w:tc>
        <w:tc>
          <w:tcPr>
            <w:tcW w:w="5361" w:type="dxa"/>
          </w:tcPr>
          <w:p w:rsidR="00372711" w:rsidRPr="003C68E9" w:rsidRDefault="00372711" w:rsidP="00E716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lang w:eastAsia="lv-LV"/>
              </w:rPr>
              <w:t>Projekts</w:t>
            </w:r>
            <w:r w:rsidR="00671FE2">
              <w:rPr>
                <w:rFonts w:ascii="Times New Roman" w:hAnsi="Times New Roman"/>
                <w:iCs/>
                <w:sz w:val="24"/>
                <w:lang w:eastAsia="lv-LV"/>
              </w:rPr>
              <w:t xml:space="preserve"> 2013.gada 6.septembrī</w:t>
            </w:r>
            <w:r>
              <w:rPr>
                <w:rFonts w:ascii="Times New Roman" w:hAnsi="Times New Roman"/>
                <w:iCs/>
                <w:sz w:val="24"/>
                <w:lang w:eastAsia="lv-LV"/>
              </w:rPr>
              <w:t xml:space="preserve"> </w:t>
            </w:r>
            <w:r w:rsidRPr="003C68E9">
              <w:rPr>
                <w:rFonts w:ascii="Times New Roman" w:hAnsi="Times New Roman"/>
                <w:iCs/>
                <w:sz w:val="24"/>
                <w:lang w:eastAsia="lv-LV"/>
              </w:rPr>
              <w:t xml:space="preserve">ievietots Zemkopības ministrijas </w:t>
            </w:r>
            <w:r w:rsidR="00E7167C">
              <w:rPr>
                <w:rFonts w:ascii="Times New Roman" w:hAnsi="Times New Roman"/>
                <w:iCs/>
                <w:sz w:val="24"/>
                <w:lang w:eastAsia="lv-LV"/>
              </w:rPr>
              <w:t>tīmekļa vietnē</w:t>
            </w:r>
            <w:r w:rsidRPr="003C68E9">
              <w:rPr>
                <w:rFonts w:ascii="Times New Roman" w:hAnsi="Times New Roman"/>
                <w:iCs/>
                <w:sz w:val="24"/>
                <w:lang w:eastAsia="lv-LV"/>
              </w:rPr>
              <w:t xml:space="preserve"> publiskai </w:t>
            </w:r>
            <w:r w:rsidR="000F71E2">
              <w:rPr>
                <w:rFonts w:ascii="Times New Roman" w:hAnsi="Times New Roman"/>
                <w:iCs/>
                <w:sz w:val="24"/>
                <w:lang w:eastAsia="lv-LV"/>
              </w:rPr>
              <w:t>apspriešanai.</w:t>
            </w:r>
          </w:p>
        </w:tc>
      </w:tr>
      <w:tr w:rsidR="00372711" w:rsidRPr="001E492F" w:rsidTr="00300D49">
        <w:trPr>
          <w:trHeight w:val="339"/>
          <w:jc w:val="center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2.</w:t>
            </w:r>
          </w:p>
        </w:tc>
        <w:tc>
          <w:tcPr>
            <w:tcW w:w="4492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361" w:type="dxa"/>
          </w:tcPr>
          <w:p w:rsidR="00372711" w:rsidRPr="003C68E9" w:rsidRDefault="00CC14D1" w:rsidP="00B324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8903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Priekšlikumi </w:t>
            </w:r>
            <w:r w:rsidR="00890340" w:rsidRPr="00890340">
              <w:rPr>
                <w:rFonts w:ascii="Times New Roman" w:hAnsi="Times New Roman"/>
                <w:sz w:val="24"/>
                <w:szCs w:val="24"/>
                <w:lang w:eastAsia="lv-LV"/>
              </w:rPr>
              <w:t>noteikumu projekta izstrādei netika saņemti.</w:t>
            </w:r>
          </w:p>
        </w:tc>
      </w:tr>
      <w:tr w:rsidR="00372711" w:rsidRPr="001E492F" w:rsidTr="00300D49">
        <w:trPr>
          <w:trHeight w:val="375"/>
          <w:jc w:val="center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3.</w:t>
            </w:r>
          </w:p>
        </w:tc>
        <w:tc>
          <w:tcPr>
            <w:tcW w:w="4492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Sabiedrības </w:t>
            </w:r>
            <w:r w:rsidRPr="00302B49">
              <w:rPr>
                <w:rFonts w:ascii="Times New Roman" w:hAnsi="Times New Roman"/>
                <w:sz w:val="24"/>
                <w:lang w:eastAsia="lv-LV"/>
              </w:rPr>
              <w:t>līdzdalības rezultāti</w:t>
            </w:r>
          </w:p>
        </w:tc>
        <w:tc>
          <w:tcPr>
            <w:tcW w:w="5361" w:type="dxa"/>
          </w:tcPr>
          <w:p w:rsidR="00372711" w:rsidRPr="003C68E9" w:rsidRDefault="00890340" w:rsidP="003C68E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highlight w:val="yellow"/>
                <w:lang w:eastAsia="lv-LV"/>
              </w:rPr>
            </w:pPr>
            <w:r w:rsidRPr="00890340">
              <w:rPr>
                <w:rFonts w:ascii="Times New Roman" w:hAnsi="Times New Roman"/>
                <w:sz w:val="24"/>
                <w:lang w:eastAsia="lv-LV"/>
              </w:rPr>
              <w:t xml:space="preserve">Priekšlikumi noteikumu projekta izstrādei netika saņemti. </w:t>
            </w:r>
          </w:p>
        </w:tc>
      </w:tr>
      <w:tr w:rsidR="00372711" w:rsidRPr="001E492F" w:rsidTr="00300D49">
        <w:trPr>
          <w:trHeight w:val="397"/>
          <w:jc w:val="center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4.</w:t>
            </w:r>
          </w:p>
        </w:tc>
        <w:tc>
          <w:tcPr>
            <w:tcW w:w="4492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Saeimas un ekspertu līdzdalība</w:t>
            </w:r>
          </w:p>
        </w:tc>
        <w:tc>
          <w:tcPr>
            <w:tcW w:w="5361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iCs/>
                <w:sz w:val="24"/>
                <w:lang w:eastAsia="lv-LV"/>
              </w:rPr>
              <w:t>Konsultācijas nav notikušas.</w:t>
            </w:r>
          </w:p>
        </w:tc>
      </w:tr>
      <w:tr w:rsidR="00372711" w:rsidRPr="001E492F" w:rsidTr="00300D49">
        <w:trPr>
          <w:trHeight w:val="476"/>
          <w:jc w:val="center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5.</w:t>
            </w:r>
          </w:p>
        </w:tc>
        <w:tc>
          <w:tcPr>
            <w:tcW w:w="4492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Cita informācija</w:t>
            </w:r>
          </w:p>
        </w:tc>
        <w:tc>
          <w:tcPr>
            <w:tcW w:w="5361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Nav</w:t>
            </w:r>
          </w:p>
        </w:tc>
      </w:tr>
    </w:tbl>
    <w:p w:rsidR="00372711" w:rsidRDefault="00372711" w:rsidP="003C68E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068B1" w:rsidRPr="003C68E9" w:rsidRDefault="00A068B1" w:rsidP="003C68E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104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4490"/>
        <w:gridCol w:w="5400"/>
      </w:tblGrid>
      <w:tr w:rsidR="00372711" w:rsidRPr="001E492F" w:rsidTr="00300D49">
        <w:tc>
          <w:tcPr>
            <w:tcW w:w="10440" w:type="dxa"/>
            <w:gridSpan w:val="3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C68E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372711" w:rsidRPr="001E492F" w:rsidTr="00300D49">
        <w:trPr>
          <w:trHeight w:val="427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1.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400" w:type="dxa"/>
          </w:tcPr>
          <w:p w:rsidR="00372711" w:rsidRPr="00A507E3" w:rsidRDefault="00372711" w:rsidP="00EA0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dienests.</w:t>
            </w:r>
          </w:p>
        </w:tc>
      </w:tr>
      <w:tr w:rsidR="00372711" w:rsidRPr="001E492F" w:rsidTr="00300D49">
        <w:trPr>
          <w:trHeight w:val="463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2.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 xml:space="preserve">Projekta izpildes ietekme uz pārvaldes funkcijām </w:t>
            </w:r>
          </w:p>
        </w:tc>
        <w:tc>
          <w:tcPr>
            <w:tcW w:w="540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Projekts neparedz funkciju paplašināšanu.</w:t>
            </w:r>
          </w:p>
        </w:tc>
      </w:tr>
      <w:tr w:rsidR="00372711" w:rsidRPr="001E492F" w:rsidTr="00300D49">
        <w:trPr>
          <w:trHeight w:val="725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3.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Projekta izpildes ietekme uz pārvaldes institucionālo struktūru.</w:t>
            </w:r>
          </w:p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Jaunu institūciju izveide</w:t>
            </w:r>
          </w:p>
        </w:tc>
        <w:tc>
          <w:tcPr>
            <w:tcW w:w="540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Projekts neparedz veidot jaunas valsts institūcijas.</w:t>
            </w:r>
          </w:p>
        </w:tc>
      </w:tr>
      <w:tr w:rsidR="00372711" w:rsidRPr="001E492F" w:rsidTr="00300D49">
        <w:trPr>
          <w:trHeight w:val="780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4.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Projekta izpildes ietekme uz pārvaldes institucionālo struktūru.</w:t>
            </w:r>
          </w:p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Esošu institūciju likvidācija</w:t>
            </w:r>
          </w:p>
        </w:tc>
        <w:tc>
          <w:tcPr>
            <w:tcW w:w="540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Nav attiecināms.</w:t>
            </w:r>
          </w:p>
        </w:tc>
      </w:tr>
      <w:tr w:rsidR="00372711" w:rsidRPr="001E492F" w:rsidTr="00300D49">
        <w:trPr>
          <w:trHeight w:val="703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5.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Projekta izpildes ietekme uz pārvaldes institucionālo struktūru.</w:t>
            </w:r>
          </w:p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Esošu institūciju reorganizācija</w:t>
            </w:r>
          </w:p>
        </w:tc>
        <w:tc>
          <w:tcPr>
            <w:tcW w:w="540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bCs/>
                <w:sz w:val="24"/>
                <w:lang w:eastAsia="lv-LV"/>
              </w:rPr>
              <w:t>Nav attiecināms.</w:t>
            </w:r>
          </w:p>
        </w:tc>
      </w:tr>
      <w:tr w:rsidR="00372711" w:rsidRPr="001E492F" w:rsidTr="00300D49">
        <w:trPr>
          <w:trHeight w:val="476"/>
        </w:trPr>
        <w:tc>
          <w:tcPr>
            <w:tcW w:w="55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6.</w:t>
            </w:r>
          </w:p>
        </w:tc>
        <w:tc>
          <w:tcPr>
            <w:tcW w:w="449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Cita informācija</w:t>
            </w:r>
          </w:p>
        </w:tc>
        <w:tc>
          <w:tcPr>
            <w:tcW w:w="5400" w:type="dxa"/>
          </w:tcPr>
          <w:p w:rsidR="00372711" w:rsidRPr="003C68E9" w:rsidRDefault="00372711" w:rsidP="003C68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lang w:eastAsia="lv-LV"/>
              </w:rPr>
            </w:pPr>
            <w:r w:rsidRPr="003C68E9">
              <w:rPr>
                <w:rFonts w:ascii="Times New Roman" w:hAnsi="Times New Roman"/>
                <w:sz w:val="24"/>
                <w:lang w:eastAsia="lv-LV"/>
              </w:rPr>
              <w:t>Nav</w:t>
            </w:r>
          </w:p>
        </w:tc>
      </w:tr>
    </w:tbl>
    <w:p w:rsidR="00372711" w:rsidRDefault="00372711" w:rsidP="003C68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Default="00372711" w:rsidP="003C68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3C68E9" w:rsidRDefault="00372711" w:rsidP="003C68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3C68E9" w:rsidRDefault="00150ED6" w:rsidP="003C68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Zemkopības ministre</w:t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  <w:t>L.Straujuma</w:t>
      </w:r>
      <w:r w:rsidR="00372711" w:rsidRPr="003C68E9">
        <w:rPr>
          <w:rFonts w:ascii="Times New Roman" w:hAnsi="Times New Roman"/>
          <w:sz w:val="28"/>
          <w:szCs w:val="28"/>
          <w:lang w:eastAsia="lv-LV"/>
        </w:rPr>
        <w:tab/>
      </w:r>
    </w:p>
    <w:p w:rsidR="00372711" w:rsidRPr="003C68E9" w:rsidRDefault="00372711" w:rsidP="003C68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3C68E9" w:rsidRDefault="00372711" w:rsidP="003C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3C68E9" w:rsidRDefault="00372711" w:rsidP="003C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3C68E9" w:rsidRDefault="00372711" w:rsidP="003C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2711" w:rsidRPr="006A50D5" w:rsidRDefault="00372711" w:rsidP="006A50D5">
      <w:pPr>
        <w:pStyle w:val="Bezatstarpm"/>
        <w:rPr>
          <w:rFonts w:ascii="Times New Roman" w:hAnsi="Times New Roman"/>
        </w:rPr>
      </w:pPr>
    </w:p>
    <w:p w:rsidR="00372711" w:rsidRPr="006A50D5" w:rsidRDefault="00372711" w:rsidP="006A50D5">
      <w:pPr>
        <w:pStyle w:val="Bezatstarpm"/>
        <w:rPr>
          <w:rFonts w:ascii="Times New Roman" w:hAnsi="Times New Roman"/>
        </w:rPr>
      </w:pPr>
    </w:p>
    <w:p w:rsidR="00372711" w:rsidRDefault="00372711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0F204B">
      <w:pPr>
        <w:pStyle w:val="Bezatstarpm"/>
        <w:tabs>
          <w:tab w:val="left" w:pos="390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1B4F0F" w:rsidRDefault="001B4F0F" w:rsidP="006A50D5">
      <w:pPr>
        <w:pStyle w:val="Bezatstarpm"/>
        <w:rPr>
          <w:rFonts w:ascii="Times New Roman" w:hAnsi="Times New Roman"/>
          <w:szCs w:val="20"/>
        </w:rPr>
      </w:pPr>
    </w:p>
    <w:p w:rsidR="001B4F0F" w:rsidRDefault="001B4F0F" w:rsidP="006A50D5">
      <w:pPr>
        <w:pStyle w:val="Bezatstarpm"/>
        <w:rPr>
          <w:rFonts w:ascii="Times New Roman" w:hAnsi="Times New Roman"/>
          <w:szCs w:val="20"/>
        </w:rPr>
      </w:pPr>
    </w:p>
    <w:p w:rsidR="001B4F0F" w:rsidRDefault="001B4F0F" w:rsidP="006A50D5">
      <w:pPr>
        <w:pStyle w:val="Bezatstarpm"/>
        <w:rPr>
          <w:rFonts w:ascii="Times New Roman" w:hAnsi="Times New Roman"/>
          <w:szCs w:val="20"/>
        </w:rPr>
      </w:pPr>
    </w:p>
    <w:p w:rsidR="000F204B" w:rsidRDefault="000F204B" w:rsidP="006A50D5">
      <w:pPr>
        <w:pStyle w:val="Bezatstarpm"/>
        <w:rPr>
          <w:rFonts w:ascii="Times New Roman" w:hAnsi="Times New Roman"/>
          <w:szCs w:val="20"/>
        </w:rPr>
      </w:pPr>
    </w:p>
    <w:p w:rsidR="00372711" w:rsidRDefault="00372711" w:rsidP="006A50D5">
      <w:pPr>
        <w:pStyle w:val="Bezatstarpm"/>
        <w:rPr>
          <w:rFonts w:ascii="Times New Roman" w:hAnsi="Times New Roman"/>
          <w:szCs w:val="20"/>
        </w:rPr>
      </w:pPr>
    </w:p>
    <w:p w:rsidR="00372711" w:rsidRDefault="00372711" w:rsidP="006A50D5">
      <w:pPr>
        <w:pStyle w:val="Bezatstarpm"/>
        <w:rPr>
          <w:rFonts w:ascii="Times New Roman" w:hAnsi="Times New Roman"/>
          <w:szCs w:val="20"/>
        </w:rPr>
      </w:pPr>
    </w:p>
    <w:p w:rsidR="00372711" w:rsidRDefault="00372711" w:rsidP="006A50D5">
      <w:pPr>
        <w:pStyle w:val="Bezatstarpm"/>
        <w:rPr>
          <w:rFonts w:ascii="Times New Roman" w:hAnsi="Times New Roman"/>
          <w:szCs w:val="20"/>
        </w:rPr>
      </w:pPr>
    </w:p>
    <w:p w:rsidR="00372711" w:rsidRDefault="00372711" w:rsidP="006A50D5">
      <w:pPr>
        <w:pStyle w:val="Bezatstarpm"/>
        <w:rPr>
          <w:rFonts w:ascii="Times New Roman" w:hAnsi="Times New Roman"/>
          <w:szCs w:val="20"/>
        </w:rPr>
      </w:pPr>
    </w:p>
    <w:p w:rsidR="001B4F0F" w:rsidRDefault="001B4F0F" w:rsidP="006A50D5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2013.10.30. 15:07</w:t>
      </w:r>
    </w:p>
    <w:p w:rsidR="00A068B1" w:rsidRPr="000E5936" w:rsidRDefault="00A068B1" w:rsidP="006A50D5">
      <w:pPr>
        <w:pStyle w:val="Bezatstarpm"/>
        <w:rPr>
          <w:rFonts w:ascii="Times New Roman" w:hAnsi="Times New Roman"/>
          <w:sz w:val="20"/>
          <w:szCs w:val="20"/>
        </w:rPr>
      </w:pPr>
      <w:fldSimple w:instr=" NUMWORDS   \* MERGEFORMAT ">
        <w:r w:rsidRPr="000E5936">
          <w:rPr>
            <w:rFonts w:ascii="Times New Roman" w:hAnsi="Times New Roman"/>
            <w:noProof/>
            <w:sz w:val="20"/>
            <w:szCs w:val="20"/>
          </w:rPr>
          <w:t>904</w:t>
        </w:r>
      </w:fldSimple>
    </w:p>
    <w:p w:rsidR="00372711" w:rsidRPr="000F204B" w:rsidRDefault="00372711" w:rsidP="006A50D5">
      <w:pPr>
        <w:pStyle w:val="Bezatstarpm"/>
        <w:rPr>
          <w:rFonts w:ascii="Times New Roman" w:hAnsi="Times New Roman"/>
          <w:sz w:val="20"/>
          <w:szCs w:val="20"/>
        </w:rPr>
      </w:pPr>
      <w:proofErr w:type="spellStart"/>
      <w:r w:rsidRPr="000F204B">
        <w:rPr>
          <w:rFonts w:ascii="Times New Roman" w:hAnsi="Times New Roman"/>
          <w:sz w:val="20"/>
          <w:szCs w:val="20"/>
        </w:rPr>
        <w:t>A.Vahruševa</w:t>
      </w:r>
      <w:proofErr w:type="spellEnd"/>
    </w:p>
    <w:p w:rsidR="00372711" w:rsidRPr="000F204B" w:rsidRDefault="00372711" w:rsidP="006A50D5">
      <w:pPr>
        <w:pStyle w:val="Bezatstarpm"/>
        <w:rPr>
          <w:rFonts w:ascii="Times New Roman" w:hAnsi="Times New Roman"/>
          <w:sz w:val="20"/>
          <w:szCs w:val="20"/>
        </w:rPr>
      </w:pPr>
      <w:r w:rsidRPr="000F204B">
        <w:rPr>
          <w:rFonts w:ascii="Times New Roman" w:hAnsi="Times New Roman"/>
          <w:sz w:val="20"/>
          <w:szCs w:val="20"/>
        </w:rPr>
        <w:t>67027066, Alise.Vahruseva@zm.gov.lv</w:t>
      </w:r>
    </w:p>
    <w:p w:rsidR="00372711" w:rsidRPr="006A50D5" w:rsidRDefault="00372711" w:rsidP="006A50D5">
      <w:pPr>
        <w:pStyle w:val="Bezatstarpm"/>
        <w:rPr>
          <w:rFonts w:ascii="Times New Roman" w:hAnsi="Times New Roman"/>
        </w:rPr>
      </w:pPr>
    </w:p>
    <w:sectPr w:rsidR="00372711" w:rsidRPr="006A50D5" w:rsidSect="001B4F0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BF" w:rsidRDefault="00D80DBF">
      <w:pPr>
        <w:spacing w:after="0" w:line="240" w:lineRule="auto"/>
      </w:pPr>
      <w:r>
        <w:separator/>
      </w:r>
    </w:p>
  </w:endnote>
  <w:endnote w:type="continuationSeparator" w:id="0">
    <w:p w:rsidR="00D80DBF" w:rsidRDefault="00D8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0F" w:rsidRPr="000F204B" w:rsidRDefault="001B4F0F" w:rsidP="001B4F0F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F204B">
      <w:rPr>
        <w:rFonts w:ascii="Times New Roman" w:hAnsi="Times New Roman"/>
        <w:sz w:val="20"/>
        <w:szCs w:val="20"/>
      </w:rPr>
      <w:t>ZMAnot_130813_calulabturiba; Ministru kabineta noteikumu projekts</w:t>
    </w:r>
    <w:r w:rsidRPr="000F204B">
      <w:rPr>
        <w:rFonts w:ascii="Times New Roman" w:hAnsi="Times New Roman"/>
        <w:bCs/>
        <w:sz w:val="20"/>
        <w:szCs w:val="20"/>
      </w:rPr>
      <w:t xml:space="preserve"> „Grozījums Ministru kabineta 2010.gada 2.februāra noteikumos Nr.98 „Labturības prasības cāļu turēšanai un izmantošanai gaļas ražošanai””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11" w:rsidRPr="000F204B" w:rsidRDefault="00372711" w:rsidP="001B4F0F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F204B">
      <w:rPr>
        <w:rFonts w:ascii="Times New Roman" w:hAnsi="Times New Roman"/>
        <w:sz w:val="20"/>
        <w:szCs w:val="20"/>
      </w:rPr>
      <w:t>ZMAnot_</w:t>
    </w:r>
    <w:r w:rsidR="00751D60" w:rsidRPr="000F204B">
      <w:rPr>
        <w:rFonts w:ascii="Times New Roman" w:hAnsi="Times New Roman"/>
        <w:sz w:val="20"/>
        <w:szCs w:val="20"/>
      </w:rPr>
      <w:t>130813_calulabturiba</w:t>
    </w:r>
    <w:r w:rsidRPr="000F204B">
      <w:rPr>
        <w:rFonts w:ascii="Times New Roman" w:hAnsi="Times New Roman"/>
        <w:sz w:val="20"/>
        <w:szCs w:val="20"/>
      </w:rPr>
      <w:t>; Minist</w:t>
    </w:r>
    <w:r w:rsidR="00751D60" w:rsidRPr="000F204B">
      <w:rPr>
        <w:rFonts w:ascii="Times New Roman" w:hAnsi="Times New Roman"/>
        <w:sz w:val="20"/>
        <w:szCs w:val="20"/>
      </w:rPr>
      <w:t>ru kabineta noteikumu projekts</w:t>
    </w:r>
    <w:r w:rsidR="00555125" w:rsidRPr="000F204B">
      <w:rPr>
        <w:rFonts w:ascii="Times New Roman" w:hAnsi="Times New Roman"/>
        <w:bCs/>
        <w:sz w:val="20"/>
        <w:szCs w:val="20"/>
      </w:rPr>
      <w:t xml:space="preserve"> „Grozījums</w:t>
    </w:r>
    <w:r w:rsidR="00751D60" w:rsidRPr="000F204B">
      <w:rPr>
        <w:rFonts w:ascii="Times New Roman" w:hAnsi="Times New Roman"/>
        <w:bCs/>
        <w:sz w:val="20"/>
        <w:szCs w:val="20"/>
      </w:rPr>
      <w:t xml:space="preserve"> Ministru kabineta 2010.gada 2.februāra noteikumos Nr.98 „Labturības prasības cāļu turēšanai un izmantošanai gaļas ražošanai””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BF" w:rsidRDefault="00D80DBF">
      <w:pPr>
        <w:spacing w:after="0" w:line="240" w:lineRule="auto"/>
      </w:pPr>
      <w:r>
        <w:separator/>
      </w:r>
    </w:p>
  </w:footnote>
  <w:footnote w:type="continuationSeparator" w:id="0">
    <w:p w:rsidR="00D80DBF" w:rsidRDefault="00D8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11" w:rsidRDefault="00C1433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271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72711" w:rsidRDefault="0037271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11" w:rsidRDefault="00C1433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271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5936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72711" w:rsidRDefault="00372711" w:rsidP="00D4085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9F5"/>
    <w:multiLevelType w:val="hybridMultilevel"/>
    <w:tmpl w:val="A2E00B9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673BC"/>
    <w:multiLevelType w:val="hybridMultilevel"/>
    <w:tmpl w:val="DEEA5FA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34B23"/>
    <w:multiLevelType w:val="hybridMultilevel"/>
    <w:tmpl w:val="9ACE6C46"/>
    <w:lvl w:ilvl="0" w:tplc="881634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B05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41A54"/>
    <w:multiLevelType w:val="hybridMultilevel"/>
    <w:tmpl w:val="A998D648"/>
    <w:lvl w:ilvl="0" w:tplc="41B42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B05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ED4D30"/>
    <w:multiLevelType w:val="hybridMultilevel"/>
    <w:tmpl w:val="FCE69AA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68E9"/>
    <w:rsid w:val="00001036"/>
    <w:rsid w:val="00015DE8"/>
    <w:rsid w:val="00024FF7"/>
    <w:rsid w:val="0005627A"/>
    <w:rsid w:val="00071E76"/>
    <w:rsid w:val="00090483"/>
    <w:rsid w:val="000978BF"/>
    <w:rsid w:val="000A398D"/>
    <w:rsid w:val="000A5D77"/>
    <w:rsid w:val="000B55BD"/>
    <w:rsid w:val="000C15A9"/>
    <w:rsid w:val="000C23E0"/>
    <w:rsid w:val="000E5936"/>
    <w:rsid w:val="000F204B"/>
    <w:rsid w:val="000F5615"/>
    <w:rsid w:val="000F71E2"/>
    <w:rsid w:val="000F7E27"/>
    <w:rsid w:val="00101A15"/>
    <w:rsid w:val="001032D4"/>
    <w:rsid w:val="00104743"/>
    <w:rsid w:val="0010677D"/>
    <w:rsid w:val="00113713"/>
    <w:rsid w:val="00142BF7"/>
    <w:rsid w:val="00144DD5"/>
    <w:rsid w:val="00150ED6"/>
    <w:rsid w:val="001648E1"/>
    <w:rsid w:val="0016567E"/>
    <w:rsid w:val="001755C8"/>
    <w:rsid w:val="00191A92"/>
    <w:rsid w:val="00192AA4"/>
    <w:rsid w:val="001B1A26"/>
    <w:rsid w:val="001B4F0F"/>
    <w:rsid w:val="001B56E9"/>
    <w:rsid w:val="001C6A80"/>
    <w:rsid w:val="001C74FB"/>
    <w:rsid w:val="001E275F"/>
    <w:rsid w:val="001E492F"/>
    <w:rsid w:val="0021375A"/>
    <w:rsid w:val="00224957"/>
    <w:rsid w:val="00256987"/>
    <w:rsid w:val="00264153"/>
    <w:rsid w:val="00272D1C"/>
    <w:rsid w:val="00282E38"/>
    <w:rsid w:val="00287D0F"/>
    <w:rsid w:val="002A0FC1"/>
    <w:rsid w:val="002D77A8"/>
    <w:rsid w:val="002F6E38"/>
    <w:rsid w:val="00300D49"/>
    <w:rsid w:val="00302B49"/>
    <w:rsid w:val="0030428F"/>
    <w:rsid w:val="00310A50"/>
    <w:rsid w:val="003316AF"/>
    <w:rsid w:val="00336002"/>
    <w:rsid w:val="00351913"/>
    <w:rsid w:val="00357C95"/>
    <w:rsid w:val="00372711"/>
    <w:rsid w:val="00383F6F"/>
    <w:rsid w:val="00394D99"/>
    <w:rsid w:val="003A1916"/>
    <w:rsid w:val="003A5AC7"/>
    <w:rsid w:val="003B595B"/>
    <w:rsid w:val="003C449B"/>
    <w:rsid w:val="003C5FD5"/>
    <w:rsid w:val="003C68E9"/>
    <w:rsid w:val="003C79BD"/>
    <w:rsid w:val="003D60CC"/>
    <w:rsid w:val="003F6419"/>
    <w:rsid w:val="00403B4C"/>
    <w:rsid w:val="004100BF"/>
    <w:rsid w:val="0045341F"/>
    <w:rsid w:val="00494CF4"/>
    <w:rsid w:val="004A5370"/>
    <w:rsid w:val="004B1533"/>
    <w:rsid w:val="004B517B"/>
    <w:rsid w:val="004C03F8"/>
    <w:rsid w:val="004D0E4E"/>
    <w:rsid w:val="004E3F62"/>
    <w:rsid w:val="004F055B"/>
    <w:rsid w:val="004F21B5"/>
    <w:rsid w:val="004F68BA"/>
    <w:rsid w:val="00522710"/>
    <w:rsid w:val="0053240F"/>
    <w:rsid w:val="00543052"/>
    <w:rsid w:val="005431EA"/>
    <w:rsid w:val="00555125"/>
    <w:rsid w:val="00584CAB"/>
    <w:rsid w:val="00591F51"/>
    <w:rsid w:val="005926FC"/>
    <w:rsid w:val="005A450E"/>
    <w:rsid w:val="005B129B"/>
    <w:rsid w:val="005D2017"/>
    <w:rsid w:val="005F5AAD"/>
    <w:rsid w:val="005F6178"/>
    <w:rsid w:val="006118A3"/>
    <w:rsid w:val="00625A8E"/>
    <w:rsid w:val="0063334E"/>
    <w:rsid w:val="006532DE"/>
    <w:rsid w:val="00671FE2"/>
    <w:rsid w:val="00684958"/>
    <w:rsid w:val="00686652"/>
    <w:rsid w:val="00691C00"/>
    <w:rsid w:val="006A50D5"/>
    <w:rsid w:val="006E737A"/>
    <w:rsid w:val="006F51AF"/>
    <w:rsid w:val="00732B7D"/>
    <w:rsid w:val="00744300"/>
    <w:rsid w:val="00751D60"/>
    <w:rsid w:val="0077788D"/>
    <w:rsid w:val="007B21C2"/>
    <w:rsid w:val="007B26EE"/>
    <w:rsid w:val="007D14D8"/>
    <w:rsid w:val="007E7D58"/>
    <w:rsid w:val="007F2572"/>
    <w:rsid w:val="007F682E"/>
    <w:rsid w:val="007F6FEF"/>
    <w:rsid w:val="00813392"/>
    <w:rsid w:val="0082048B"/>
    <w:rsid w:val="0082457A"/>
    <w:rsid w:val="00844571"/>
    <w:rsid w:val="00862A03"/>
    <w:rsid w:val="00890340"/>
    <w:rsid w:val="00892363"/>
    <w:rsid w:val="008941A1"/>
    <w:rsid w:val="0089512D"/>
    <w:rsid w:val="008A01A1"/>
    <w:rsid w:val="008B4482"/>
    <w:rsid w:val="008B47BA"/>
    <w:rsid w:val="008C09D9"/>
    <w:rsid w:val="008D30DB"/>
    <w:rsid w:val="008D3471"/>
    <w:rsid w:val="00917FFA"/>
    <w:rsid w:val="009277F4"/>
    <w:rsid w:val="00930229"/>
    <w:rsid w:val="00944D9E"/>
    <w:rsid w:val="00970D63"/>
    <w:rsid w:val="00980C1B"/>
    <w:rsid w:val="00997C26"/>
    <w:rsid w:val="009A7E83"/>
    <w:rsid w:val="009C2B83"/>
    <w:rsid w:val="009E4050"/>
    <w:rsid w:val="009F54BB"/>
    <w:rsid w:val="00A04A14"/>
    <w:rsid w:val="00A068B1"/>
    <w:rsid w:val="00A13A67"/>
    <w:rsid w:val="00A170E5"/>
    <w:rsid w:val="00A2279F"/>
    <w:rsid w:val="00A23C3B"/>
    <w:rsid w:val="00A267CA"/>
    <w:rsid w:val="00A32AF2"/>
    <w:rsid w:val="00A40176"/>
    <w:rsid w:val="00A41511"/>
    <w:rsid w:val="00A507E3"/>
    <w:rsid w:val="00A55D23"/>
    <w:rsid w:val="00A55DB7"/>
    <w:rsid w:val="00A662A4"/>
    <w:rsid w:val="00A777CD"/>
    <w:rsid w:val="00A847B7"/>
    <w:rsid w:val="00A9637F"/>
    <w:rsid w:val="00AB2797"/>
    <w:rsid w:val="00AE5326"/>
    <w:rsid w:val="00AF4AB3"/>
    <w:rsid w:val="00B01015"/>
    <w:rsid w:val="00B02FE0"/>
    <w:rsid w:val="00B04F8E"/>
    <w:rsid w:val="00B07FCB"/>
    <w:rsid w:val="00B106D8"/>
    <w:rsid w:val="00B11F50"/>
    <w:rsid w:val="00B31EFF"/>
    <w:rsid w:val="00B3240C"/>
    <w:rsid w:val="00B565D2"/>
    <w:rsid w:val="00B73171"/>
    <w:rsid w:val="00B92244"/>
    <w:rsid w:val="00BD06B4"/>
    <w:rsid w:val="00BD417F"/>
    <w:rsid w:val="00BD71CF"/>
    <w:rsid w:val="00BE07B0"/>
    <w:rsid w:val="00C0759C"/>
    <w:rsid w:val="00C1433F"/>
    <w:rsid w:val="00C22937"/>
    <w:rsid w:val="00C32D0E"/>
    <w:rsid w:val="00C40651"/>
    <w:rsid w:val="00C4680D"/>
    <w:rsid w:val="00C6481B"/>
    <w:rsid w:val="00C720BF"/>
    <w:rsid w:val="00C82A6F"/>
    <w:rsid w:val="00CC14D1"/>
    <w:rsid w:val="00D06900"/>
    <w:rsid w:val="00D072F3"/>
    <w:rsid w:val="00D25516"/>
    <w:rsid w:val="00D4085C"/>
    <w:rsid w:val="00D6301B"/>
    <w:rsid w:val="00D63035"/>
    <w:rsid w:val="00D80DBF"/>
    <w:rsid w:val="00D87BF3"/>
    <w:rsid w:val="00D9244F"/>
    <w:rsid w:val="00DA6059"/>
    <w:rsid w:val="00DB14C9"/>
    <w:rsid w:val="00DB2E68"/>
    <w:rsid w:val="00DE59B6"/>
    <w:rsid w:val="00E152ED"/>
    <w:rsid w:val="00E41039"/>
    <w:rsid w:val="00E7167C"/>
    <w:rsid w:val="00E811CE"/>
    <w:rsid w:val="00E95844"/>
    <w:rsid w:val="00EA04D7"/>
    <w:rsid w:val="00EA4C06"/>
    <w:rsid w:val="00EA7F8C"/>
    <w:rsid w:val="00EB664C"/>
    <w:rsid w:val="00EC5072"/>
    <w:rsid w:val="00EC6B08"/>
    <w:rsid w:val="00ED5B29"/>
    <w:rsid w:val="00ED65FA"/>
    <w:rsid w:val="00F04833"/>
    <w:rsid w:val="00F10B0F"/>
    <w:rsid w:val="00F17085"/>
    <w:rsid w:val="00F22C0E"/>
    <w:rsid w:val="00F22CB4"/>
    <w:rsid w:val="00F25AF8"/>
    <w:rsid w:val="00F4406F"/>
    <w:rsid w:val="00F56B36"/>
    <w:rsid w:val="00F7168E"/>
    <w:rsid w:val="00F85669"/>
    <w:rsid w:val="00FA4F6C"/>
    <w:rsid w:val="00FB5F6A"/>
    <w:rsid w:val="00FD2309"/>
    <w:rsid w:val="00FE0AFB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7F8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3C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3C68E9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uiPriority w:val="99"/>
    <w:rsid w:val="003C68E9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3C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KjeneRakstz">
    <w:name w:val="Kājene Rakstz."/>
    <w:link w:val="Kjene"/>
    <w:uiPriority w:val="99"/>
    <w:locked/>
    <w:rsid w:val="003C68E9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357C95"/>
    <w:pPr>
      <w:ind w:left="720"/>
      <w:contextualSpacing/>
    </w:pPr>
  </w:style>
  <w:style w:type="paragraph" w:styleId="Bezatstarpm">
    <w:name w:val="No Spacing"/>
    <w:uiPriority w:val="99"/>
    <w:qFormat/>
    <w:rsid w:val="006A50D5"/>
    <w:rPr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91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17FFA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8B47BA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B47B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8B47BA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B47B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8B47BA"/>
    <w:rPr>
      <w:rFonts w:cs="Times New Roman"/>
      <w:b/>
      <w:bCs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264153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264153"/>
    <w:rPr>
      <w:rFonts w:ascii="Times New Roman" w:eastAsia="Times New Roman" w:hAnsi="Times New Roman"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7F8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C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3C68E9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uiPriority w:val="99"/>
    <w:rsid w:val="003C68E9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C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KjeneRakstz">
    <w:name w:val="Kājene Rakstz."/>
    <w:link w:val="Kjene"/>
    <w:uiPriority w:val="99"/>
    <w:locked/>
    <w:rsid w:val="003C68E9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357C95"/>
    <w:pPr>
      <w:ind w:left="720"/>
      <w:contextualSpacing/>
    </w:pPr>
  </w:style>
  <w:style w:type="paragraph" w:styleId="Bezatstarpm">
    <w:name w:val="No Spacing"/>
    <w:uiPriority w:val="99"/>
    <w:qFormat/>
    <w:rsid w:val="006A50D5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91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17FFA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8B47BA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B47B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8B47BA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B47B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8B47BA"/>
    <w:rPr>
      <w:rFonts w:cs="Times New Roman"/>
      <w:b/>
      <w:bCs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264153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264153"/>
    <w:rPr>
      <w:rFonts w:ascii="Times New Roman" w:eastAsia="Times New Roman" w:hAnsi="Times New Roman"/>
      <w:noProof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6406</Characters>
  <Application>Microsoft Office Word</Application>
  <DocSecurity>0</DocSecurity>
  <Lines>305</Lines>
  <Paragraphs>152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Vahruseva</dc:creator>
  <cp:lastModifiedBy>Renārs Žagars</cp:lastModifiedBy>
  <cp:revision>9</cp:revision>
  <dcterms:created xsi:type="dcterms:W3CDTF">2013-10-30T10:07:00Z</dcterms:created>
  <dcterms:modified xsi:type="dcterms:W3CDTF">2013-10-30T13:08:00Z</dcterms:modified>
</cp:coreProperties>
</file>