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3" w:rsidRPr="00B9242E" w:rsidRDefault="00185DE3" w:rsidP="00B9242E">
      <w:pPr>
        <w:jc w:val="center"/>
        <w:rPr>
          <w:b/>
          <w:bCs/>
          <w:sz w:val="28"/>
          <w:szCs w:val="28"/>
        </w:rPr>
      </w:pPr>
      <w:r w:rsidRPr="00F92D28">
        <w:rPr>
          <w:b/>
          <w:bCs/>
          <w:sz w:val="28"/>
          <w:szCs w:val="28"/>
        </w:rPr>
        <w:t xml:space="preserve">Ministru kabineta noteikumu projekta </w:t>
      </w:r>
      <w:r>
        <w:rPr>
          <w:b/>
          <w:bCs/>
          <w:sz w:val="28"/>
          <w:szCs w:val="28"/>
        </w:rPr>
        <w:t>„</w:t>
      </w:r>
      <w:r w:rsidRPr="00B9242E">
        <w:rPr>
          <w:b/>
          <w:bCs/>
          <w:sz w:val="28"/>
          <w:szCs w:val="28"/>
        </w:rPr>
        <w:t>Grozījumi Ministru kabineta 2008.gada 2.jūnija noteikumos Nr.400</w:t>
      </w:r>
    </w:p>
    <w:p w:rsidR="00185DE3" w:rsidRPr="00F92D28" w:rsidRDefault="00185DE3" w:rsidP="00B9242E">
      <w:pPr>
        <w:jc w:val="center"/>
        <w:rPr>
          <w:b/>
          <w:bCs/>
          <w:sz w:val="28"/>
          <w:szCs w:val="28"/>
        </w:rPr>
      </w:pPr>
      <w:r w:rsidRPr="00B9242E">
        <w:rPr>
          <w:b/>
          <w:bCs/>
          <w:sz w:val="28"/>
          <w:szCs w:val="28"/>
        </w:rPr>
        <w:t>„Veterinārās prasības akvakultūras dzīvniekiem, no tiem iegūtiem produktiem un to apritei, kā arī atsevišķu akvakultūras dzīvnieku infekcijas slimību profilaksei un apkarošanai”</w:t>
      </w:r>
      <w:r>
        <w:rPr>
          <w:b/>
          <w:bCs/>
          <w:sz w:val="28"/>
          <w:szCs w:val="28"/>
        </w:rPr>
        <w:t>”</w:t>
      </w:r>
    </w:p>
    <w:p w:rsidR="00185DE3" w:rsidRPr="008E2D79" w:rsidRDefault="00185DE3" w:rsidP="008E2D79">
      <w:pPr>
        <w:jc w:val="center"/>
        <w:rPr>
          <w:b/>
          <w:bCs/>
        </w:rPr>
      </w:pPr>
      <w:r w:rsidRPr="00F92D28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92D28">
          <w:rPr>
            <w:b/>
            <w:bCs/>
            <w:sz w:val="28"/>
            <w:szCs w:val="28"/>
          </w:rPr>
          <w:t>ziņojums</w:t>
        </w:r>
      </w:smartTag>
      <w:r w:rsidRPr="00F92D28">
        <w:rPr>
          <w:b/>
          <w:bCs/>
          <w:sz w:val="28"/>
          <w:szCs w:val="28"/>
        </w:rPr>
        <w:t xml:space="preserve"> (anotācija)</w:t>
      </w:r>
    </w:p>
    <w:p w:rsidR="00185DE3" w:rsidRPr="008C349D" w:rsidRDefault="00185DE3" w:rsidP="008E2D79">
      <w:pPr>
        <w:pStyle w:val="naisf"/>
        <w:spacing w:before="0" w:after="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5"/>
        <w:gridCol w:w="1591"/>
        <w:gridCol w:w="4234"/>
      </w:tblGrid>
      <w:tr w:rsidR="00185DE3" w:rsidRPr="008C349D" w:rsidTr="00882B34">
        <w:tc>
          <w:tcPr>
            <w:tcW w:w="9000" w:type="dxa"/>
            <w:gridSpan w:val="3"/>
          </w:tcPr>
          <w:p w:rsidR="00185DE3" w:rsidRPr="008C349D" w:rsidRDefault="00185DE3" w:rsidP="00882B34">
            <w:pPr>
              <w:pStyle w:val="Virsraksts1"/>
              <w:keepNext w:val="0"/>
              <w:widowControl w:val="0"/>
              <w:rPr>
                <w:sz w:val="24"/>
              </w:rPr>
            </w:pPr>
            <w:r w:rsidRPr="008C349D">
              <w:rPr>
                <w:sz w:val="24"/>
              </w:rPr>
              <w:t>I. Tiesību akta projekta izstrādes nepieciešamība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jc w:val="both"/>
            </w:pPr>
            <w:r w:rsidRPr="008C349D">
              <w:t>1.</w:t>
            </w:r>
            <w:r>
              <w:t xml:space="preserve"> </w:t>
            </w:r>
            <w:r w:rsidRPr="008C349D">
              <w:t>Pamatojums</w:t>
            </w:r>
          </w:p>
        </w:tc>
        <w:tc>
          <w:tcPr>
            <w:tcW w:w="5825" w:type="dxa"/>
            <w:gridSpan w:val="2"/>
          </w:tcPr>
          <w:p w:rsidR="00185DE3" w:rsidRPr="0046063D" w:rsidRDefault="00185DE3" w:rsidP="00FF0F23">
            <w:pPr>
              <w:jc w:val="both"/>
            </w:pPr>
            <w:r w:rsidRPr="0046063D">
              <w:t>Veterinārmedicīnas likuma</w:t>
            </w:r>
            <w:r>
              <w:t xml:space="preserve"> 25.panta 1. un 10.punkts.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jc w:val="both"/>
            </w:pPr>
            <w:r w:rsidRPr="008C349D">
              <w:t xml:space="preserve">2. Pašreizējā situācija un problēmas </w:t>
            </w:r>
          </w:p>
        </w:tc>
        <w:tc>
          <w:tcPr>
            <w:tcW w:w="5825" w:type="dxa"/>
            <w:gridSpan w:val="2"/>
          </w:tcPr>
          <w:p w:rsidR="00185DE3" w:rsidRDefault="00185DE3" w:rsidP="00B9242E">
            <w:pPr>
              <w:ind w:right="72"/>
              <w:jc w:val="both"/>
            </w:pPr>
            <w:r>
              <w:t xml:space="preserve">Šobrīd ir spēkā Ministru kabineta </w:t>
            </w:r>
            <w:r>
              <w:rPr>
                <w:bCs/>
              </w:rPr>
              <w:t>2008.gada 2.jūnija noteikumi</w:t>
            </w:r>
            <w:r w:rsidRPr="00B9242E">
              <w:rPr>
                <w:bCs/>
              </w:rPr>
              <w:t xml:space="preserve"> Nr.400</w:t>
            </w:r>
            <w:r>
              <w:rPr>
                <w:bCs/>
              </w:rPr>
              <w:t xml:space="preserve"> </w:t>
            </w:r>
            <w:r w:rsidRPr="00B9242E">
              <w:rPr>
                <w:bCs/>
              </w:rPr>
              <w:t>„Veterinārās prasības akvakultūras dzīvniekiem, no tiem iegūtiem produktiem un to apritei, kā arī atsevišķu akvakultūras dzīvnieku infekcijas slimību profilaksei un apkarošanai”</w:t>
            </w:r>
            <w:r>
              <w:rPr>
                <w:bCs/>
              </w:rPr>
              <w:t xml:space="preserve"> (turpmāk – noteikumi Nr.400), ar kuriem ieviesta</w:t>
            </w:r>
            <w:r>
              <w:t xml:space="preserve"> Padomes 2006.gada 24.oktobra Direktīva</w:t>
            </w:r>
            <w:r w:rsidRPr="00B9242E">
              <w:t xml:space="preserve"> 2006/88/EK par akvakultūras dzīvniekiem un to produktiem izvirzītajām dzīvnieku veselības prasībām, kā arī par konkrētu ūdensdzīvnieku slimību profilaksi un kontroli</w:t>
            </w:r>
            <w:r>
              <w:t xml:space="preserve">, kurā </w:t>
            </w:r>
            <w:r w:rsidRPr="00B9242E">
              <w:t xml:space="preserve">ir noteiktas dzīvnieku veselības prasības akvakultūras dzīvniekiem un to produktiem, tostarp īpašas prasības attiecībā uz eksotiskajām un neeksotiskajām </w:t>
            </w:r>
            <w:r>
              <w:t xml:space="preserve">infekcijas </w:t>
            </w:r>
            <w:r w:rsidRPr="00B9242E">
              <w:t>slimībām</w:t>
            </w:r>
            <w:r>
              <w:t>,</w:t>
            </w:r>
            <w:r w:rsidRPr="00B9242E">
              <w:t xml:space="preserve"> un </w:t>
            </w:r>
            <w:r>
              <w:t xml:space="preserve">akvakultūras dzīvnieku </w:t>
            </w:r>
            <w:r w:rsidRPr="00B9242E">
              <w:t>sugām, kas pret tām ir uzņēmīgas</w:t>
            </w:r>
            <w:r>
              <w:t>.</w:t>
            </w:r>
          </w:p>
          <w:p w:rsidR="00185DE3" w:rsidRDefault="00185DE3" w:rsidP="00B9242E">
            <w:pPr>
              <w:ind w:right="72"/>
              <w:jc w:val="both"/>
            </w:pPr>
            <w:r>
              <w:t>Ir stājusies spēkā Komisijas 2012.gada 25.oktobra</w:t>
            </w:r>
            <w:r w:rsidRPr="00B9242E">
              <w:t xml:space="preserve"> </w:t>
            </w:r>
            <w:r w:rsidR="00390AE0">
              <w:t>ī</w:t>
            </w:r>
            <w:r w:rsidR="00390AE0" w:rsidRPr="00B9242E">
              <w:t xml:space="preserve">stenošanas </w:t>
            </w:r>
            <w:r w:rsidR="00A7334F">
              <w:t>D</w:t>
            </w:r>
            <w:r w:rsidRPr="00B9242E">
              <w:t>irektīva 2012/31/ES,</w:t>
            </w:r>
            <w:r>
              <w:t xml:space="preserve"> </w:t>
            </w:r>
            <w:r w:rsidRPr="00B9242E">
              <w:t xml:space="preserve">ar kuru groza Padomes Direktīvas 2006/88/EK IV pielikumu attiecībā uz to zivju sugu sarakstu, kas ir uzņēmīgas pret </w:t>
            </w:r>
            <w:proofErr w:type="spellStart"/>
            <w:r w:rsidRPr="00B9242E">
              <w:t>virusālo</w:t>
            </w:r>
            <w:proofErr w:type="spellEnd"/>
            <w:r w:rsidRPr="00B9242E">
              <w:t xml:space="preserve"> hemorāģisko septicēmiju, un ieraksta par epizootisko čūlu sindromu svītrošanu</w:t>
            </w:r>
            <w:r>
              <w:t xml:space="preserve"> (turpmāk – </w:t>
            </w:r>
            <w:r w:rsidR="0073108E">
              <w:t>D</w:t>
            </w:r>
            <w:r>
              <w:t>irektīva 2012/31/ES).</w:t>
            </w:r>
          </w:p>
          <w:p w:rsidR="00185DE3" w:rsidRDefault="00185DE3" w:rsidP="00B9242E">
            <w:pPr>
              <w:ind w:right="72"/>
              <w:jc w:val="both"/>
            </w:pPr>
          </w:p>
          <w:p w:rsidR="00185DE3" w:rsidRPr="00B9242E" w:rsidRDefault="00185DE3" w:rsidP="00B9242E">
            <w:pPr>
              <w:ind w:right="72"/>
              <w:jc w:val="both"/>
            </w:pPr>
            <w:r w:rsidRPr="00B9242E">
              <w:t xml:space="preserve">Epizootiskais čūlu sindroms </w:t>
            </w:r>
            <w:r w:rsidR="0073108E">
              <w:t>patlaban</w:t>
            </w:r>
            <w:r>
              <w:t xml:space="preserve"> </w:t>
            </w:r>
            <w:r w:rsidRPr="00B9242E">
              <w:t xml:space="preserve">ir iekļauts </w:t>
            </w:r>
            <w:r>
              <w:t>noteikumu Nr.400</w:t>
            </w:r>
            <w:r w:rsidRPr="00B9242E">
              <w:t xml:space="preserve"> </w:t>
            </w:r>
            <w:r>
              <w:t>1.</w:t>
            </w:r>
            <w:r w:rsidRPr="00B9242E">
              <w:t>pielik</w:t>
            </w:r>
            <w:r>
              <w:t>uma I</w:t>
            </w:r>
            <w:r w:rsidRPr="00B9242E">
              <w:t xml:space="preserve"> daļas eksotisko </w:t>
            </w:r>
            <w:r>
              <w:t xml:space="preserve">infekcijas </w:t>
            </w:r>
            <w:r w:rsidRPr="00B9242E">
              <w:t>slimību sarakstā.</w:t>
            </w:r>
          </w:p>
          <w:p w:rsidR="00185DE3" w:rsidRPr="00B9242E" w:rsidRDefault="00185DE3" w:rsidP="00B9242E">
            <w:pPr>
              <w:ind w:right="72"/>
              <w:jc w:val="both"/>
            </w:pPr>
            <w:r>
              <w:t>Tāpat noteikumos Nr.400</w:t>
            </w:r>
            <w:r w:rsidRPr="00B9242E">
              <w:t xml:space="preserve"> ir noteikti kritēriji </w:t>
            </w:r>
            <w:r>
              <w:t xml:space="preserve">akvakultūras dzīvnieku infekcijas </w:t>
            </w:r>
            <w:r w:rsidRPr="00B9242E">
              <w:t xml:space="preserve">slimību iekļaušanai eksotisko vai neeksotisko </w:t>
            </w:r>
            <w:r>
              <w:t xml:space="preserve">infekcijas </w:t>
            </w:r>
            <w:r w:rsidRPr="00B9242E">
              <w:t>slimību sarakstā</w:t>
            </w:r>
            <w:r>
              <w:t>.</w:t>
            </w:r>
            <w:r w:rsidRPr="00B9242E">
              <w:t xml:space="preserve"> Saskaņā ar šiem kritērijiem eksotiskās </w:t>
            </w:r>
            <w:r>
              <w:t xml:space="preserve">infekcijas </w:t>
            </w:r>
            <w:r w:rsidRPr="00B9242E">
              <w:t xml:space="preserve">slimības ievešana </w:t>
            </w:r>
            <w:r>
              <w:t xml:space="preserve">Eiropas </w:t>
            </w:r>
            <w:r w:rsidRPr="00B9242E">
              <w:t xml:space="preserve">Savienībā var būtiski ietekmēt ekonomiku, vai nu samazinot </w:t>
            </w:r>
            <w:r>
              <w:t xml:space="preserve">Eiropas </w:t>
            </w:r>
            <w:r w:rsidRPr="00B9242E">
              <w:t xml:space="preserve">Savienības akvakultūras ražību, vai arī ierobežojot iespēju tirgoties ar akvakultūras dzīvniekiem un to produktiem. Alternatīvs kritērijs paredz, ka to ievešana </w:t>
            </w:r>
            <w:r>
              <w:t xml:space="preserve">Eiropas </w:t>
            </w:r>
            <w:r w:rsidRPr="00B9242E">
              <w:t>Savienībā var kaitīgi ietekmēt vidi, kurā eksistē tādas savvaļas ūdensdzīvnieku sugas, ko uzskata par vērtību, k</w:t>
            </w:r>
            <w:r w:rsidR="0073108E">
              <w:t>ura</w:t>
            </w:r>
            <w:r w:rsidRPr="00B9242E">
              <w:t xml:space="preserve"> aizsargājama ar Savienības vai starptautiskiem tiesību aktiem.</w:t>
            </w:r>
          </w:p>
          <w:p w:rsidR="00185DE3" w:rsidRPr="00B9242E" w:rsidRDefault="00185DE3" w:rsidP="00B9242E">
            <w:pPr>
              <w:ind w:right="72"/>
              <w:jc w:val="both"/>
            </w:pPr>
            <w:r w:rsidRPr="00B9242E">
              <w:t xml:space="preserve">Eiropas Pārtikas nekaitīguma iestādes (EFSA) Dzīvnieku </w:t>
            </w:r>
            <w:r w:rsidRPr="00B9242E">
              <w:lastRenderedPageBreak/>
              <w:t xml:space="preserve">veselības un </w:t>
            </w:r>
            <w:r>
              <w:t>labturības ekspertu grupa 2011.gada 15.</w:t>
            </w:r>
            <w:r w:rsidRPr="00B9242E">
              <w:t xml:space="preserve">septembrī pieņēma zinātnisko atzinumu par epizootisko čūlu sindromu. Šajā atzinumā EFSA secina, ka </w:t>
            </w:r>
            <w:r>
              <w:t>epizootiskā čūlu sindroma</w:t>
            </w:r>
            <w:r w:rsidRPr="00B9242E">
              <w:t xml:space="preserve"> ietekme uz </w:t>
            </w:r>
            <w:r>
              <w:t xml:space="preserve">Eiropas </w:t>
            </w:r>
            <w:r w:rsidRPr="00B9242E">
              <w:t>Savienības akvakultūru būtu neliela vai tās nebūtu vispār.</w:t>
            </w:r>
          </w:p>
          <w:p w:rsidR="00185DE3" w:rsidRPr="00B9242E" w:rsidRDefault="00185DE3" w:rsidP="00B9242E">
            <w:pPr>
              <w:ind w:right="72"/>
              <w:jc w:val="both"/>
            </w:pPr>
            <w:r w:rsidRPr="00B9242E">
              <w:t xml:space="preserve">Turklāt EFSA atzinumā minēts, ka, iespējams, </w:t>
            </w:r>
            <w:r>
              <w:t>epizootiskais čūlu sindroms</w:t>
            </w:r>
            <w:r w:rsidRPr="00B9242E">
              <w:t xml:space="preserve"> vairāk</w:t>
            </w:r>
            <w:r>
              <w:t>as reizes</w:t>
            </w:r>
            <w:r w:rsidRPr="00B9242E">
              <w:t xml:space="preserve"> jau ir ievests </w:t>
            </w:r>
            <w:r>
              <w:t xml:space="preserve">Eiropas </w:t>
            </w:r>
            <w:r w:rsidRPr="00B9242E">
              <w:t>Savienībā, importējot dekoratīvās zivis no treš</w:t>
            </w:r>
            <w:r>
              <w:t>aj</w:t>
            </w:r>
            <w:r w:rsidRPr="00B9242E">
              <w:t xml:space="preserve">ām valstīm, un ka šādas zivis varētu būt nokļuvušas </w:t>
            </w:r>
            <w:r>
              <w:t>Eiropas Savienības ūdeņos. Eiropas Savienības dalībvalstis līdz šim nav ziņojušas</w:t>
            </w:r>
            <w:r w:rsidRPr="00B9242E">
              <w:t xml:space="preserve"> par </w:t>
            </w:r>
            <w:r>
              <w:t>epizootiskā čūlu sindroma</w:t>
            </w:r>
            <w:r w:rsidRPr="00B9242E">
              <w:t xml:space="preserve"> uzliesmojumiem, </w:t>
            </w:r>
            <w:r>
              <w:t xml:space="preserve">un </w:t>
            </w:r>
            <w:r w:rsidRPr="00B9242E">
              <w:t xml:space="preserve">nav </w:t>
            </w:r>
            <w:r>
              <w:t>iegūti pierādījumi</w:t>
            </w:r>
            <w:r w:rsidRPr="00B9242E">
              <w:t xml:space="preserve">, kas liecinātu, ka </w:t>
            </w:r>
            <w:r>
              <w:t>epizootiskais čūlu sindroms</w:t>
            </w:r>
            <w:r w:rsidRPr="00B9242E">
              <w:t xml:space="preserve"> potenciāli varētu kaitīgi ietekmēt vidi.</w:t>
            </w:r>
          </w:p>
          <w:p w:rsidR="00185DE3" w:rsidRPr="00B9242E" w:rsidRDefault="00185DE3" w:rsidP="00B9242E">
            <w:pPr>
              <w:ind w:right="72"/>
              <w:jc w:val="both"/>
            </w:pPr>
            <w:r w:rsidRPr="00B9242E">
              <w:t xml:space="preserve">Ņemot vērā EFSA secinājumus un pieejamos zinātniskos pierādījumus, </w:t>
            </w:r>
            <w:r>
              <w:t>epizootiskais čūlu sindroms</w:t>
            </w:r>
            <w:r w:rsidRPr="00B9242E">
              <w:t xml:space="preserve"> vairs neatbilst </w:t>
            </w:r>
            <w:r>
              <w:t>noteikumos Nr.400</w:t>
            </w:r>
            <w:r w:rsidRPr="00B9242E">
              <w:t xml:space="preserve"> </w:t>
            </w:r>
            <w:r>
              <w:t xml:space="preserve">noteiktajiem </w:t>
            </w:r>
            <w:r w:rsidRPr="00B9242E">
              <w:t xml:space="preserve">kritērijiem, lai to iekļautu </w:t>
            </w:r>
            <w:r>
              <w:t xml:space="preserve">1.pielikuma I </w:t>
            </w:r>
            <w:r w:rsidRPr="00B9242E">
              <w:t>daļā.</w:t>
            </w:r>
          </w:p>
          <w:p w:rsidR="00185DE3" w:rsidRPr="00B9242E" w:rsidRDefault="00185DE3" w:rsidP="00B9242E">
            <w:pPr>
              <w:ind w:right="72"/>
              <w:jc w:val="both"/>
            </w:pPr>
            <w:r>
              <w:t>Noteikumu Nr.400</w:t>
            </w:r>
            <w:r w:rsidRPr="00B9242E">
              <w:t xml:space="preserve"> </w:t>
            </w:r>
            <w:r>
              <w:t>1.</w:t>
            </w:r>
            <w:r w:rsidRPr="00B9242E">
              <w:t xml:space="preserve">pielikuma II daļā ir </w:t>
            </w:r>
            <w:r w:rsidR="0073108E">
              <w:t>minē</w:t>
            </w:r>
            <w:r w:rsidRPr="00B9242E">
              <w:t xml:space="preserve">tas </w:t>
            </w:r>
            <w:r>
              <w:t xml:space="preserve">akvakultūras dzīvnieku </w:t>
            </w:r>
            <w:r w:rsidRPr="00B9242E">
              <w:t xml:space="preserve">sugas, kas tiek uzskatītas par uzņēmīgām pret </w:t>
            </w:r>
            <w:proofErr w:type="spellStart"/>
            <w:r w:rsidRPr="00B9242E">
              <w:t>virusālo</w:t>
            </w:r>
            <w:proofErr w:type="spellEnd"/>
            <w:r w:rsidRPr="00B9242E">
              <w:t xml:space="preserve"> hemorāģisko septicēmiju.</w:t>
            </w:r>
          </w:p>
          <w:p w:rsidR="00185DE3" w:rsidRPr="00B9242E" w:rsidRDefault="00185DE3" w:rsidP="00B9242E">
            <w:pPr>
              <w:ind w:right="72"/>
              <w:jc w:val="both"/>
            </w:pPr>
            <w:r w:rsidRPr="00B9242E">
              <w:t>Plekste (</w:t>
            </w:r>
            <w:proofErr w:type="spellStart"/>
            <w:r w:rsidRPr="000C1019">
              <w:rPr>
                <w:i/>
              </w:rPr>
              <w:t>Paralichthys</w:t>
            </w:r>
            <w:proofErr w:type="spellEnd"/>
            <w:r w:rsidRPr="000C1019">
              <w:rPr>
                <w:i/>
              </w:rPr>
              <w:t xml:space="preserve"> </w:t>
            </w:r>
            <w:proofErr w:type="spellStart"/>
            <w:r w:rsidRPr="000C1019">
              <w:rPr>
                <w:i/>
              </w:rPr>
              <w:t>olivaceus</w:t>
            </w:r>
            <w:proofErr w:type="spellEnd"/>
            <w:r w:rsidRPr="00B9242E">
              <w:t xml:space="preserve">) ir uzņēmīga pret neeksotisko zivju </w:t>
            </w:r>
            <w:r>
              <w:t xml:space="preserve">infekcijas </w:t>
            </w:r>
            <w:r w:rsidRPr="00B9242E">
              <w:t xml:space="preserve">slimību </w:t>
            </w:r>
            <w:proofErr w:type="spellStart"/>
            <w:r w:rsidRPr="00B9242E">
              <w:t>virusālo</w:t>
            </w:r>
            <w:proofErr w:type="spellEnd"/>
            <w:r w:rsidRPr="00B9242E">
              <w:t xml:space="preserve"> hemorāģisko septicēmiju. Dažos Āzijas reģionos tika apstiprināti minētās slimības klīniski uzliesmojumi.</w:t>
            </w:r>
          </w:p>
          <w:p w:rsidR="00185DE3" w:rsidRPr="008C349D" w:rsidRDefault="00185DE3" w:rsidP="00E67450">
            <w:pPr>
              <w:ind w:right="72"/>
              <w:jc w:val="both"/>
            </w:pPr>
            <w:r w:rsidRPr="00B9242E">
              <w:t>Tāpēc ir lietderīgi iekļaut pleksti (</w:t>
            </w:r>
            <w:proofErr w:type="spellStart"/>
            <w:r w:rsidRPr="000C1019">
              <w:rPr>
                <w:i/>
              </w:rPr>
              <w:t>Paralichthys</w:t>
            </w:r>
            <w:proofErr w:type="spellEnd"/>
            <w:r w:rsidRPr="000C1019">
              <w:rPr>
                <w:i/>
              </w:rPr>
              <w:t xml:space="preserve"> </w:t>
            </w:r>
            <w:proofErr w:type="spellStart"/>
            <w:r w:rsidRPr="000C1019">
              <w:rPr>
                <w:i/>
              </w:rPr>
              <w:t>olivaceus</w:t>
            </w:r>
            <w:proofErr w:type="spellEnd"/>
            <w:r w:rsidRPr="00B9242E">
              <w:t xml:space="preserve">) </w:t>
            </w:r>
            <w:r>
              <w:t>noteikumu Nr.400 1.</w:t>
            </w:r>
            <w:r w:rsidRPr="00B9242E">
              <w:t xml:space="preserve">pielikuma II daļas sarakstā, kurā </w:t>
            </w:r>
            <w:r w:rsidR="0073108E">
              <w:t>minē</w:t>
            </w:r>
            <w:r w:rsidRPr="00B9242E">
              <w:t xml:space="preserve">tas sugas, kas ir uzņēmīgas pret </w:t>
            </w:r>
            <w:proofErr w:type="spellStart"/>
            <w:r w:rsidRPr="00B9242E">
              <w:t>virusālo</w:t>
            </w:r>
            <w:proofErr w:type="spellEnd"/>
            <w:r w:rsidRPr="00B9242E">
              <w:t xml:space="preserve"> hemorāģisko septicēmiju.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jc w:val="both"/>
            </w:pPr>
            <w:r w:rsidRPr="008C349D">
              <w:lastRenderedPageBreak/>
              <w:t>3. Saistītie politikas ietekmes novērtējumi un pētījumi</w:t>
            </w:r>
          </w:p>
        </w:tc>
        <w:tc>
          <w:tcPr>
            <w:tcW w:w="5825" w:type="dxa"/>
            <w:gridSpan w:val="2"/>
          </w:tcPr>
          <w:p w:rsidR="00185DE3" w:rsidRPr="008C349D" w:rsidRDefault="00185DE3" w:rsidP="00882B34">
            <w:pPr>
              <w:jc w:val="both"/>
            </w:pPr>
            <w:r>
              <w:t>Projekts šo jomu neskar</w:t>
            </w:r>
            <w:r w:rsidRPr="008C349D">
              <w:t>.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4. Tiesiskā regulējuma mērķis un būtība</w:t>
            </w:r>
          </w:p>
        </w:tc>
        <w:tc>
          <w:tcPr>
            <w:tcW w:w="5825" w:type="dxa"/>
            <w:gridSpan w:val="2"/>
          </w:tcPr>
          <w:p w:rsidR="00185DE3" w:rsidRDefault="00185DE3" w:rsidP="00E67450">
            <w:pPr>
              <w:jc w:val="both"/>
              <w:rPr>
                <w:rStyle w:val="Izteiksmgs"/>
                <w:b w:val="0"/>
                <w:bCs/>
              </w:rPr>
            </w:pPr>
            <w:r>
              <w:t xml:space="preserve">Sagatavotais Ministru kabineta noteikumu projekts </w:t>
            </w:r>
            <w:r w:rsidRPr="00E67450">
              <w:rPr>
                <w:bCs/>
              </w:rPr>
              <w:t>„Grozījumi Ministru kabineta 2008.gada 2.jūnija noteikumos Nr.400 „Veterinārās prasības akvakultūras dzīvniekiem, no tiem iegūtiem produktiem un to apritei, kā arī atsevišķu akvakultūras dzīvnieku infekcijas slimību profilaksei un apkarošanai”</w:t>
            </w:r>
            <w:r>
              <w:rPr>
                <w:bCs/>
              </w:rPr>
              <w:t>”</w:t>
            </w:r>
            <w:r w:rsidRPr="00E67450">
              <w:rPr>
                <w:bCs/>
              </w:rPr>
              <w:t xml:space="preserve"> </w:t>
            </w:r>
            <w:r>
              <w:rPr>
                <w:bCs/>
              </w:rPr>
              <w:t xml:space="preserve">(turpmāk – noteikumu projekts) ievieš </w:t>
            </w:r>
            <w:r w:rsidR="0073108E">
              <w:t>D</w:t>
            </w:r>
            <w:r w:rsidRPr="00E67450">
              <w:t>irektīva</w:t>
            </w:r>
            <w:r>
              <w:t>s</w:t>
            </w:r>
            <w:r w:rsidRPr="00E67450">
              <w:t xml:space="preserve"> </w:t>
            </w:r>
            <w:r>
              <w:t>2012</w:t>
            </w:r>
            <w:r w:rsidRPr="00E67450">
              <w:t>/31/ES</w:t>
            </w:r>
            <w:r w:rsidRPr="00E67450">
              <w:rPr>
                <w:bCs/>
              </w:rPr>
              <w:t xml:space="preserve"> </w:t>
            </w:r>
            <w:r>
              <w:rPr>
                <w:rStyle w:val="Izteiksmgs"/>
                <w:b w:val="0"/>
                <w:bCs/>
              </w:rPr>
              <w:t>prasības un paredz:</w:t>
            </w:r>
          </w:p>
          <w:p w:rsidR="00185DE3" w:rsidRDefault="00185DE3" w:rsidP="00E67450">
            <w:pPr>
              <w:jc w:val="both"/>
              <w:rPr>
                <w:rStyle w:val="Izteiksmgs"/>
                <w:b w:val="0"/>
                <w:bCs/>
              </w:rPr>
            </w:pPr>
            <w:r>
              <w:rPr>
                <w:rStyle w:val="Izteiksmgs"/>
                <w:b w:val="0"/>
                <w:bCs/>
              </w:rPr>
              <w:t xml:space="preserve">1) svītrot epizootisko čūlu sindromu no noteikumu Nr.400 1.pielikuma I daļas eksotisko akvakultūras dzīvnieku infekcijas slimību saraksta; </w:t>
            </w:r>
          </w:p>
          <w:p w:rsidR="00185DE3" w:rsidRPr="00E67450" w:rsidRDefault="00185DE3" w:rsidP="00E67450">
            <w:pPr>
              <w:jc w:val="both"/>
              <w:rPr>
                <w:rStyle w:val="Izteiksmgs"/>
                <w:bCs/>
              </w:rPr>
            </w:pPr>
            <w:r>
              <w:rPr>
                <w:rStyle w:val="Izteiksmgs"/>
                <w:b w:val="0"/>
                <w:bCs/>
              </w:rPr>
              <w:t xml:space="preserve">2) iekļaut </w:t>
            </w:r>
            <w:r w:rsidRPr="00E67450">
              <w:rPr>
                <w:bCs/>
              </w:rPr>
              <w:t>pleksti (</w:t>
            </w:r>
            <w:proofErr w:type="spellStart"/>
            <w:r w:rsidRPr="00E67450">
              <w:rPr>
                <w:bCs/>
                <w:i/>
              </w:rPr>
              <w:t>Paralichthys</w:t>
            </w:r>
            <w:proofErr w:type="spellEnd"/>
            <w:r w:rsidRPr="00E67450">
              <w:rPr>
                <w:bCs/>
                <w:i/>
              </w:rPr>
              <w:t xml:space="preserve"> </w:t>
            </w:r>
            <w:proofErr w:type="spellStart"/>
            <w:r w:rsidRPr="00E67450">
              <w:rPr>
                <w:bCs/>
                <w:i/>
              </w:rPr>
              <w:t>olivaceus</w:t>
            </w:r>
            <w:proofErr w:type="spellEnd"/>
            <w:r w:rsidRPr="00E67450">
              <w:rPr>
                <w:bCs/>
              </w:rPr>
              <w:t xml:space="preserve">) noteikumu Nr.400 1.pielikuma II daļas sarakstā, kurā </w:t>
            </w:r>
            <w:r w:rsidR="0073108E">
              <w:rPr>
                <w:bCs/>
              </w:rPr>
              <w:t>minē</w:t>
            </w:r>
            <w:r w:rsidRPr="00E67450">
              <w:rPr>
                <w:bCs/>
              </w:rPr>
              <w:t xml:space="preserve">tas sugas, kas ir uzņēmīgas pret </w:t>
            </w:r>
            <w:proofErr w:type="spellStart"/>
            <w:r w:rsidRPr="00E67450">
              <w:rPr>
                <w:bCs/>
              </w:rPr>
              <w:t>virusālo</w:t>
            </w:r>
            <w:proofErr w:type="spellEnd"/>
            <w:r w:rsidRPr="00E67450">
              <w:rPr>
                <w:bCs/>
              </w:rPr>
              <w:t xml:space="preserve"> hemorāģisko septicēmiju</w:t>
            </w:r>
            <w:r>
              <w:rPr>
                <w:bCs/>
              </w:rPr>
              <w:t>;</w:t>
            </w:r>
          </w:p>
          <w:p w:rsidR="00185DE3" w:rsidRDefault="00185DE3" w:rsidP="00E67450">
            <w:pPr>
              <w:jc w:val="both"/>
            </w:pPr>
            <w:r>
              <w:t>3) precizēt Atlantijas mencas nosaukum</w:t>
            </w:r>
            <w:r w:rsidR="0073108E">
              <w:t>u</w:t>
            </w:r>
            <w:r>
              <w:t>.</w:t>
            </w:r>
          </w:p>
          <w:p w:rsidR="00185DE3" w:rsidRPr="00A8222C" w:rsidRDefault="00185DE3" w:rsidP="00E67450">
            <w:pPr>
              <w:jc w:val="both"/>
            </w:pPr>
            <w:r w:rsidRPr="00DD3059">
              <w:t xml:space="preserve">Šīs anotācijas I sadaļas 2.punktā minētās problēmas </w:t>
            </w:r>
            <w:r>
              <w:t>noteikumu</w:t>
            </w:r>
            <w:r w:rsidRPr="00DD3059">
              <w:t xml:space="preserve"> projekts atrisinās pilnībā.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pStyle w:val="naisc"/>
              <w:spacing w:before="0" w:after="0"/>
              <w:jc w:val="left"/>
              <w:rPr>
                <w:sz w:val="24"/>
              </w:rPr>
            </w:pPr>
            <w:r w:rsidRPr="008C349D">
              <w:rPr>
                <w:sz w:val="24"/>
              </w:rPr>
              <w:t xml:space="preserve">5. Projekta izstrādē iesaistītās </w:t>
            </w:r>
            <w:r w:rsidRPr="008C349D">
              <w:rPr>
                <w:sz w:val="24"/>
              </w:rPr>
              <w:lastRenderedPageBreak/>
              <w:t>institūcijas</w:t>
            </w:r>
          </w:p>
        </w:tc>
        <w:tc>
          <w:tcPr>
            <w:tcW w:w="5825" w:type="dxa"/>
            <w:gridSpan w:val="2"/>
          </w:tcPr>
          <w:p w:rsidR="00185DE3" w:rsidRPr="008C349D" w:rsidRDefault="00185DE3" w:rsidP="00FF0F23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8C349D">
              <w:rPr>
                <w:sz w:val="24"/>
                <w:szCs w:val="24"/>
              </w:rPr>
              <w:lastRenderedPageBreak/>
              <w:t>Pār</w:t>
            </w:r>
            <w:r>
              <w:rPr>
                <w:sz w:val="24"/>
                <w:szCs w:val="24"/>
              </w:rPr>
              <w:t>tikas un veterinārais dienests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pStyle w:val="naisc"/>
              <w:spacing w:before="0" w:after="0"/>
              <w:jc w:val="left"/>
              <w:rPr>
                <w:sz w:val="24"/>
              </w:rPr>
            </w:pPr>
            <w:r w:rsidRPr="008C349D">
              <w:rPr>
                <w:sz w:val="24"/>
              </w:rPr>
              <w:lastRenderedPageBreak/>
              <w:t>6. Iemesli, kādēļ netika nodrošināta sabiedrības līdzdalība</w:t>
            </w:r>
          </w:p>
        </w:tc>
        <w:tc>
          <w:tcPr>
            <w:tcW w:w="5825" w:type="dxa"/>
            <w:gridSpan w:val="2"/>
          </w:tcPr>
          <w:p w:rsidR="00185DE3" w:rsidRPr="008C349D" w:rsidRDefault="00185DE3" w:rsidP="0043609D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EF3B84">
              <w:rPr>
                <w:sz w:val="24"/>
                <w:szCs w:val="24"/>
              </w:rPr>
              <w:t>Projekts šo jomu neskar</w:t>
            </w:r>
            <w:r>
              <w:rPr>
                <w:sz w:val="24"/>
                <w:szCs w:val="24"/>
              </w:rPr>
              <w:t>.</w:t>
            </w:r>
          </w:p>
        </w:tc>
      </w:tr>
      <w:tr w:rsidR="00185DE3" w:rsidRPr="008C349D" w:rsidTr="00882B34">
        <w:tc>
          <w:tcPr>
            <w:tcW w:w="3175" w:type="dxa"/>
          </w:tcPr>
          <w:p w:rsidR="00185DE3" w:rsidRPr="008C349D" w:rsidRDefault="00185DE3" w:rsidP="00882B34">
            <w:pPr>
              <w:pStyle w:val="naisc"/>
              <w:spacing w:before="0" w:after="0"/>
              <w:jc w:val="left"/>
              <w:rPr>
                <w:sz w:val="24"/>
              </w:rPr>
            </w:pPr>
            <w:r w:rsidRPr="008C349D">
              <w:rPr>
                <w:sz w:val="24"/>
              </w:rPr>
              <w:t>7. Cita informācija</w:t>
            </w:r>
          </w:p>
        </w:tc>
        <w:tc>
          <w:tcPr>
            <w:tcW w:w="5825" w:type="dxa"/>
            <w:gridSpan w:val="2"/>
          </w:tcPr>
          <w:p w:rsidR="00185DE3" w:rsidRPr="008C349D" w:rsidRDefault="00185DE3" w:rsidP="00882B34">
            <w:pPr>
              <w:pStyle w:val="naisc"/>
              <w:spacing w:before="0" w:after="0"/>
              <w:jc w:val="left"/>
              <w:rPr>
                <w:sz w:val="24"/>
                <w:szCs w:val="24"/>
              </w:rPr>
            </w:pPr>
            <w:r w:rsidRPr="008C349D">
              <w:rPr>
                <w:sz w:val="24"/>
                <w:szCs w:val="24"/>
              </w:rPr>
              <w:t>Nav</w:t>
            </w:r>
          </w:p>
        </w:tc>
      </w:tr>
      <w:tr w:rsidR="00185DE3" w:rsidRPr="008C349D" w:rsidTr="00882B34">
        <w:tc>
          <w:tcPr>
            <w:tcW w:w="9000" w:type="dxa"/>
            <w:gridSpan w:val="3"/>
          </w:tcPr>
          <w:p w:rsidR="00185DE3" w:rsidRPr="008C349D" w:rsidRDefault="00185DE3" w:rsidP="00882B34">
            <w:pPr>
              <w:pStyle w:val="naisc"/>
              <w:spacing w:before="0" w:after="0"/>
              <w:rPr>
                <w:sz w:val="24"/>
              </w:rPr>
            </w:pPr>
            <w:r w:rsidRPr="008C349D">
              <w:rPr>
                <w:b/>
                <w:bCs/>
                <w:sz w:val="24"/>
              </w:rPr>
              <w:t>II. Tiesību akta projekta ietekme uz sabiedrību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naiskr"/>
            </w:pPr>
            <w:r w:rsidRPr="008C349D">
              <w:t xml:space="preserve">1. Sabiedrības </w:t>
            </w:r>
            <w:proofErr w:type="spellStart"/>
            <w:r w:rsidRPr="008C349D">
              <w:t>mērķgrupa</w:t>
            </w:r>
            <w:proofErr w:type="spellEnd"/>
          </w:p>
        </w:tc>
        <w:tc>
          <w:tcPr>
            <w:tcW w:w="4234" w:type="dxa"/>
          </w:tcPr>
          <w:p w:rsidR="00185DE3" w:rsidRPr="008C349D" w:rsidRDefault="00185DE3" w:rsidP="00E67450">
            <w:pPr>
              <w:tabs>
                <w:tab w:val="left" w:pos="720"/>
              </w:tabs>
              <w:jc w:val="both"/>
            </w:pPr>
            <w:r w:rsidRPr="008C349D">
              <w:t>Noteikumu projekta tiesiskais</w:t>
            </w:r>
            <w:r>
              <w:t xml:space="preserve"> regulējums attiecas uz akvakultūras dzīvnieku audzētājiem. Latvijā ir reģistrētas 154 akvakultūras dzīvnieku audzētavas.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naiskr"/>
              <w:spacing w:before="0" w:beforeAutospacing="0" w:after="0" w:afterAutospacing="0"/>
            </w:pPr>
            <w:r w:rsidRPr="008C349D">
              <w:t xml:space="preserve">2. Citas sabiedrības grupas (bez </w:t>
            </w:r>
            <w:proofErr w:type="spellStart"/>
            <w:r w:rsidRPr="008C349D">
              <w:t>mērķgrupas</w:t>
            </w:r>
            <w:proofErr w:type="spellEnd"/>
            <w:r w:rsidRPr="008C349D">
              <w:t xml:space="preserve">) kuras tiesiskais regulējums arī ietekmē vai varētu ietekmēt </w:t>
            </w:r>
          </w:p>
        </w:tc>
        <w:tc>
          <w:tcPr>
            <w:tcW w:w="4234" w:type="dxa"/>
          </w:tcPr>
          <w:p w:rsidR="00185DE3" w:rsidRPr="008C349D" w:rsidRDefault="00185DE3" w:rsidP="00882B34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F3B84">
              <w:t>Projekts šo jomu neskar</w:t>
            </w:r>
            <w:r w:rsidRPr="008C349D">
              <w:t>.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3. Tiesiskā regulējuma finansiālā ietekme</w:t>
            </w:r>
          </w:p>
        </w:tc>
        <w:tc>
          <w:tcPr>
            <w:tcW w:w="4234" w:type="dxa"/>
          </w:tcPr>
          <w:p w:rsidR="00185DE3" w:rsidRPr="008C349D" w:rsidRDefault="00185DE3" w:rsidP="00882B34">
            <w:pPr>
              <w:jc w:val="both"/>
            </w:pPr>
            <w:r w:rsidRPr="00EF3B84">
              <w:t>Projekts šo jomu neskar</w:t>
            </w:r>
            <w:r w:rsidRPr="008C349D">
              <w:t>.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4. Tiesiskā regulējuma nefinansiālā ietekme</w:t>
            </w:r>
          </w:p>
        </w:tc>
        <w:tc>
          <w:tcPr>
            <w:tcW w:w="4234" w:type="dxa"/>
          </w:tcPr>
          <w:p w:rsidR="00185DE3" w:rsidRPr="008C349D" w:rsidRDefault="00185DE3" w:rsidP="00F15188">
            <w:pPr>
              <w:jc w:val="both"/>
            </w:pPr>
            <w:r>
              <w:t>Projekts šo jomu neskar.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5. Administratīvās procedūras raksturojums</w:t>
            </w:r>
          </w:p>
        </w:tc>
        <w:tc>
          <w:tcPr>
            <w:tcW w:w="4234" w:type="dxa"/>
          </w:tcPr>
          <w:p w:rsidR="00185DE3" w:rsidRPr="008C349D" w:rsidRDefault="00185DE3" w:rsidP="00882B34">
            <w:pPr>
              <w:jc w:val="both"/>
            </w:pPr>
            <w:r w:rsidRPr="00596B72">
              <w:t>Noteikumu projekta tiesiskais regulējums nemaina līdzšinējo administratīvo procedūru.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naiskr"/>
              <w:spacing w:before="0" w:beforeAutospacing="0" w:after="0" w:afterAutospacing="0"/>
            </w:pPr>
            <w:r w:rsidRPr="008C349D">
              <w:t>6. Administratīvo i</w:t>
            </w:r>
            <w:smartTag w:uri="urn:schemas-microsoft-com:office:smarttags" w:element="PersonName">
              <w:r w:rsidRPr="008C349D">
                <w:t>zm</w:t>
              </w:r>
            </w:smartTag>
            <w:r w:rsidRPr="008C349D">
              <w:t>aksu monetārs novērtējums</w:t>
            </w:r>
          </w:p>
        </w:tc>
        <w:tc>
          <w:tcPr>
            <w:tcW w:w="4234" w:type="dxa"/>
          </w:tcPr>
          <w:p w:rsidR="00185DE3" w:rsidRPr="008C349D" w:rsidRDefault="00185DE3" w:rsidP="00882B34">
            <w:r w:rsidRPr="00EF3B84">
              <w:t>Projekts šo jomu neskar</w:t>
            </w:r>
            <w:r w:rsidRPr="008C349D">
              <w:t>.</w:t>
            </w:r>
          </w:p>
        </w:tc>
      </w:tr>
      <w:tr w:rsidR="00185DE3" w:rsidRPr="008C349D" w:rsidTr="00882B34">
        <w:tc>
          <w:tcPr>
            <w:tcW w:w="4766" w:type="dxa"/>
            <w:gridSpan w:val="2"/>
          </w:tcPr>
          <w:p w:rsidR="00185DE3" w:rsidRPr="008C349D" w:rsidRDefault="00185DE3" w:rsidP="00882B34">
            <w:pPr>
              <w:pStyle w:val="naiskr"/>
            </w:pPr>
            <w:r w:rsidRPr="008C349D">
              <w:t> 7. Cita ietekme</w:t>
            </w:r>
          </w:p>
        </w:tc>
        <w:tc>
          <w:tcPr>
            <w:tcW w:w="4234" w:type="dxa"/>
          </w:tcPr>
          <w:p w:rsidR="00185DE3" w:rsidRPr="008C349D" w:rsidRDefault="00185DE3" w:rsidP="00882B34">
            <w:r w:rsidRPr="008C349D">
              <w:t>Nav</w:t>
            </w:r>
            <w:r>
              <w:t>.</w:t>
            </w:r>
          </w:p>
        </w:tc>
      </w:tr>
      <w:tr w:rsidR="00185DE3" w:rsidRPr="008C349D" w:rsidTr="00882B34">
        <w:trPr>
          <w:trHeight w:val="70"/>
        </w:trPr>
        <w:tc>
          <w:tcPr>
            <w:tcW w:w="9000" w:type="dxa"/>
            <w:gridSpan w:val="3"/>
          </w:tcPr>
          <w:p w:rsidR="00185DE3" w:rsidRPr="008C349D" w:rsidRDefault="00185DE3" w:rsidP="00882B34">
            <w:pPr>
              <w:pStyle w:val="ParastaisWeb"/>
              <w:spacing w:before="0" w:beforeAutospacing="0" w:after="0" w:afterAutospacing="0"/>
              <w:jc w:val="both"/>
            </w:pPr>
          </w:p>
          <w:p w:rsidR="00185DE3" w:rsidRPr="0043609D" w:rsidRDefault="00185DE3" w:rsidP="00882B34">
            <w:pPr>
              <w:pStyle w:val="ParastaisWeb"/>
              <w:spacing w:before="0" w:beforeAutospacing="0" w:after="0" w:afterAutospacing="0"/>
              <w:jc w:val="both"/>
              <w:rPr>
                <w:i/>
              </w:rPr>
            </w:pPr>
          </w:p>
          <w:p w:rsidR="00185DE3" w:rsidRPr="008C349D" w:rsidRDefault="00185DE3" w:rsidP="00882B34">
            <w:pPr>
              <w:pStyle w:val="naislab"/>
              <w:spacing w:before="0" w:after="0"/>
              <w:jc w:val="both"/>
            </w:pPr>
          </w:p>
        </w:tc>
      </w:tr>
    </w:tbl>
    <w:p w:rsidR="00185DE3" w:rsidRPr="00140F73" w:rsidRDefault="00185DE3" w:rsidP="008E2D79">
      <w:pPr>
        <w:pStyle w:val="Virsraksts2"/>
        <w:keepNext w:val="0"/>
        <w:widowControl w:val="0"/>
        <w:ind w:firstLine="720"/>
        <w:rPr>
          <w:sz w:val="24"/>
        </w:rPr>
      </w:pPr>
    </w:p>
    <w:p w:rsidR="00185DE3" w:rsidRPr="00140F73" w:rsidRDefault="00185DE3" w:rsidP="00140F73">
      <w:pPr>
        <w:rPr>
          <w:lang w:eastAsia="en-US"/>
        </w:rPr>
      </w:pPr>
      <w:r>
        <w:rPr>
          <w:i/>
        </w:rPr>
        <w:t>Anotācijas III un</w:t>
      </w:r>
      <w:r w:rsidRPr="0043609D">
        <w:rPr>
          <w:i/>
        </w:rPr>
        <w:t xml:space="preserve"> IV sadaļa </w:t>
      </w:r>
      <w:r>
        <w:rPr>
          <w:i/>
        </w:rPr>
        <w:t>–</w:t>
      </w:r>
      <w:r w:rsidRPr="0043609D">
        <w:rPr>
          <w:i/>
        </w:rPr>
        <w:t xml:space="preserve"> </w:t>
      </w:r>
      <w:r>
        <w:rPr>
          <w:i/>
        </w:rPr>
        <w:t>projekts šīs jomas neskar.</w:t>
      </w:r>
    </w:p>
    <w:p w:rsidR="00185DE3" w:rsidRPr="00140F73" w:rsidRDefault="00185DE3" w:rsidP="008E2D79"/>
    <w:tbl>
      <w:tblPr>
        <w:tblW w:w="4849" w:type="pct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1"/>
        <w:gridCol w:w="2194"/>
        <w:gridCol w:w="725"/>
        <w:gridCol w:w="958"/>
        <w:gridCol w:w="58"/>
        <w:gridCol w:w="423"/>
        <w:gridCol w:w="1386"/>
        <w:gridCol w:w="702"/>
        <w:gridCol w:w="2164"/>
      </w:tblGrid>
      <w:tr w:rsidR="00185DE3" w:rsidRPr="000D7FC2" w:rsidTr="009C2F87">
        <w:tc>
          <w:tcPr>
            <w:tcW w:w="5000" w:type="pct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:rsidR="00185DE3" w:rsidRPr="009C2F87" w:rsidRDefault="00185DE3" w:rsidP="00AE1655">
            <w:pPr>
              <w:jc w:val="center"/>
              <w:rPr>
                <w:b/>
              </w:rPr>
            </w:pPr>
            <w:r w:rsidRPr="009C2F87">
              <w:rPr>
                <w:b/>
              </w:rPr>
              <w:t> V. Tiesību akta projekta atbilstība Latvijas Republikas starptautiskajām saistībām</w:t>
            </w:r>
          </w:p>
        </w:tc>
      </w:tr>
      <w:tr w:rsidR="00185DE3" w:rsidRPr="009E1B32" w:rsidTr="00CF78D5"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DE3" w:rsidRPr="009C2F87" w:rsidRDefault="00185DE3" w:rsidP="00AE1655">
            <w:r w:rsidRPr="009C2F87">
              <w:t>1.</w:t>
            </w:r>
          </w:p>
        </w:tc>
        <w:tc>
          <w:tcPr>
            <w:tcW w:w="21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DE3" w:rsidRPr="009C2F87" w:rsidRDefault="00185DE3" w:rsidP="00AE1655">
            <w:r w:rsidRPr="009C2F87">
              <w:t>Saistības pret Eiropas Savienību</w:t>
            </w:r>
          </w:p>
        </w:tc>
        <w:tc>
          <w:tcPr>
            <w:tcW w:w="25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DE3" w:rsidRPr="009C2F87" w:rsidRDefault="00185DE3" w:rsidP="00E67450">
            <w:pPr>
              <w:jc w:val="both"/>
            </w:pPr>
            <w:r w:rsidRPr="004D64BE">
              <w:t>Noteikumu projekts sagatavots, ievērojot</w:t>
            </w:r>
            <w:r>
              <w:t xml:space="preserve"> </w:t>
            </w:r>
            <w:r w:rsidR="0073108E">
              <w:t>D</w:t>
            </w:r>
            <w:r>
              <w:t xml:space="preserve">irektīvas 2012/31/ES </w:t>
            </w:r>
            <w:r>
              <w:rPr>
                <w:rStyle w:val="Izteiksmgs"/>
                <w:b w:val="0"/>
                <w:bCs/>
              </w:rPr>
              <w:t>prasības</w:t>
            </w:r>
            <w:r>
              <w:t>.</w:t>
            </w:r>
          </w:p>
        </w:tc>
      </w:tr>
      <w:tr w:rsidR="00185DE3" w:rsidRPr="000D7FC2" w:rsidTr="00CF78D5"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DE3" w:rsidRPr="009C2F87" w:rsidRDefault="00185DE3" w:rsidP="00AE1655">
            <w:r w:rsidRPr="009C2F87">
              <w:t>2.</w:t>
            </w:r>
          </w:p>
        </w:tc>
        <w:tc>
          <w:tcPr>
            <w:tcW w:w="21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DE3" w:rsidRPr="009C2F87" w:rsidRDefault="00185DE3" w:rsidP="00AE1655">
            <w:r w:rsidRPr="009C2F87">
              <w:t>Citas starptautiskās saistības</w:t>
            </w:r>
          </w:p>
        </w:tc>
        <w:tc>
          <w:tcPr>
            <w:tcW w:w="25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DE3" w:rsidRPr="009C2F87" w:rsidRDefault="00185DE3" w:rsidP="00AE1655">
            <w:r w:rsidRPr="00EF3B84">
              <w:t>Projekts šo jomu neskar</w:t>
            </w:r>
            <w:r>
              <w:t>.</w:t>
            </w:r>
          </w:p>
        </w:tc>
      </w:tr>
      <w:tr w:rsidR="00185DE3" w:rsidTr="00CF78D5"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DE3" w:rsidRPr="009C2F87" w:rsidRDefault="00185DE3" w:rsidP="00AE1655">
            <w:r w:rsidRPr="009C2F87">
              <w:t>3.</w:t>
            </w:r>
          </w:p>
        </w:tc>
        <w:tc>
          <w:tcPr>
            <w:tcW w:w="21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DE3" w:rsidRPr="009C2F87" w:rsidRDefault="00185DE3" w:rsidP="00AE1655">
            <w:r w:rsidRPr="009C2F87">
              <w:t>Cita informācija</w:t>
            </w:r>
          </w:p>
        </w:tc>
        <w:tc>
          <w:tcPr>
            <w:tcW w:w="25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DE3" w:rsidRPr="009C2F87" w:rsidRDefault="00185DE3" w:rsidP="00AE1655">
            <w:r>
              <w:t>Nav.</w:t>
            </w:r>
          </w:p>
        </w:tc>
      </w:tr>
      <w:tr w:rsidR="00185DE3" w:rsidRPr="00B0490E" w:rsidTr="009C2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</w:tcPr>
          <w:p w:rsidR="00185DE3" w:rsidRPr="009C2F87" w:rsidRDefault="00185DE3" w:rsidP="00BC4616">
            <w:pPr>
              <w:jc w:val="center"/>
              <w:rPr>
                <w:b/>
              </w:rPr>
            </w:pPr>
            <w:r w:rsidRPr="009C2F87">
              <w:rPr>
                <w:b/>
              </w:rPr>
              <w:t xml:space="preserve">1.tabula </w:t>
            </w:r>
          </w:p>
          <w:p w:rsidR="00185DE3" w:rsidRPr="009C2F87" w:rsidRDefault="00185DE3" w:rsidP="00BC4616">
            <w:pPr>
              <w:jc w:val="center"/>
            </w:pPr>
            <w:r w:rsidRPr="009C2F87">
              <w:rPr>
                <w:b/>
              </w:rPr>
              <w:t>Tiesību akta projekta atbilstība ES tiesību aktiem</w:t>
            </w:r>
          </w:p>
        </w:tc>
      </w:tr>
      <w:tr w:rsidR="00185DE3" w:rsidRPr="00D730D2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Attiecīgā Eiropas Savienības tiesību akta datums, numurs un nosaukums</w:t>
            </w:r>
          </w:p>
        </w:tc>
        <w:tc>
          <w:tcPr>
            <w:tcW w:w="2629" w:type="pct"/>
            <w:gridSpan w:val="5"/>
          </w:tcPr>
          <w:p w:rsidR="00185DE3" w:rsidRPr="009C2F87" w:rsidRDefault="00390AE0" w:rsidP="00BC4616">
            <w:pPr>
              <w:jc w:val="both"/>
            </w:pPr>
            <w:r w:rsidRPr="00390AE0">
              <w:t>Komisijas 20</w:t>
            </w:r>
            <w:r w:rsidR="00A7334F">
              <w:t>12.gada 25.oktobra īstenošanas D</w:t>
            </w:r>
            <w:r w:rsidRPr="00390AE0">
              <w:t xml:space="preserve">irektīva 2012/31/ES, ar kuru groza Padomes Direktīvas 2006/88/EK IV pielikumu attiecībā uz to zivju sugu sarakstu, kas ir uzņēmīgas pret </w:t>
            </w:r>
            <w:proofErr w:type="spellStart"/>
            <w:r w:rsidRPr="00390AE0">
              <w:t>virusālo</w:t>
            </w:r>
            <w:proofErr w:type="spellEnd"/>
            <w:r w:rsidRPr="00390AE0">
              <w:t xml:space="preserve"> hemorāģisko septicēmiju, un ieraksta par epizootisko čūlu sindromu svītrošanu</w:t>
            </w:r>
            <w:r>
              <w:t>.</w:t>
            </w:r>
          </w:p>
        </w:tc>
      </w:tr>
      <w:tr w:rsidR="00185DE3" w:rsidRPr="002F10A4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A</w:t>
            </w:r>
          </w:p>
        </w:tc>
        <w:tc>
          <w:tcPr>
            <w:tcW w:w="1202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B</w:t>
            </w:r>
          </w:p>
        </w:tc>
        <w:tc>
          <w:tcPr>
            <w:tcW w:w="1160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C</w:t>
            </w:r>
          </w:p>
        </w:tc>
        <w:tc>
          <w:tcPr>
            <w:tcW w:w="1202" w:type="pct"/>
          </w:tcPr>
          <w:p w:rsidR="00185DE3" w:rsidRPr="009C2F87" w:rsidRDefault="00185DE3" w:rsidP="00BC4616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D</w:t>
            </w:r>
          </w:p>
        </w:tc>
      </w:tr>
      <w:tr w:rsidR="00185DE3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Attiecīgā ES tiesību akta panta numurs (uzskaitot katru tiesību akta vienību</w:t>
            </w:r>
            <w:r>
              <w:rPr>
                <w:sz w:val="24"/>
                <w:szCs w:val="24"/>
              </w:rPr>
              <w:t xml:space="preserve"> </w:t>
            </w:r>
            <w:r w:rsidRPr="009C2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C2F87">
              <w:rPr>
                <w:sz w:val="24"/>
                <w:szCs w:val="24"/>
              </w:rPr>
              <w:t xml:space="preserve">pantu, </w:t>
            </w:r>
            <w:r w:rsidRPr="009C2F87">
              <w:rPr>
                <w:sz w:val="24"/>
                <w:szCs w:val="24"/>
              </w:rPr>
              <w:lastRenderedPageBreak/>
              <w:t>daļu, punktu, apakšpunktu)</w:t>
            </w:r>
          </w:p>
        </w:tc>
        <w:tc>
          <w:tcPr>
            <w:tcW w:w="1202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lastRenderedPageBreak/>
              <w:t xml:space="preserve">Projekta vienība, kas pārņem vai ievieš katru šī tabulas A ailē </w:t>
            </w:r>
            <w:r w:rsidRPr="009C2F87">
              <w:rPr>
                <w:sz w:val="24"/>
                <w:szCs w:val="24"/>
              </w:rPr>
              <w:lastRenderedPageBreak/>
              <w:t>minēto ES tiesību akta vienību</w:t>
            </w:r>
          </w:p>
        </w:tc>
        <w:tc>
          <w:tcPr>
            <w:tcW w:w="1160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Informācija par to, vai šī</w:t>
            </w:r>
            <w:r w:rsidRPr="009C2F87">
              <w:rPr>
                <w:sz w:val="24"/>
                <w:szCs w:val="24"/>
              </w:rPr>
              <w:t xml:space="preserve">s tabulas A ailē minētās ES tiesību akta </w:t>
            </w:r>
            <w:r w:rsidRPr="009C2F87">
              <w:rPr>
                <w:sz w:val="24"/>
                <w:szCs w:val="24"/>
              </w:rPr>
              <w:lastRenderedPageBreak/>
              <w:t>vienības tiek pārņemtas vai ieviestas pilnībā vai daļēji. 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02" w:type="pct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lastRenderedPageBreak/>
              <w:t xml:space="preserve">Informācija par to, vai šīs tabulas B ailē minētās projekta vienības </w:t>
            </w:r>
            <w:r w:rsidRPr="009C2F87">
              <w:rPr>
                <w:sz w:val="24"/>
                <w:szCs w:val="24"/>
              </w:rPr>
              <w:lastRenderedPageBreak/>
              <w:t>pa</w:t>
            </w:r>
            <w:r>
              <w:rPr>
                <w:sz w:val="24"/>
                <w:szCs w:val="24"/>
              </w:rPr>
              <w:t>redz stingrākas prasības nekā šī</w:t>
            </w:r>
            <w:r w:rsidRPr="009C2F87">
              <w:rPr>
                <w:sz w:val="24"/>
                <w:szCs w:val="24"/>
              </w:rPr>
              <w:t xml:space="preserve">s tabulas A ailē minētās ES tiesību akta vienības. 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9C2F87">
                <w:rPr>
                  <w:sz w:val="24"/>
                  <w:szCs w:val="24"/>
                </w:rPr>
                <w:t>akts</w:t>
              </w:r>
            </w:smartTag>
            <w:r w:rsidRPr="009C2F87">
              <w:rPr>
                <w:sz w:val="24"/>
                <w:szCs w:val="24"/>
              </w:rPr>
              <w:t>,- norāda pamatojumu un samērīgumu.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Norāda iespējamās alternatīvas (t.sk. alternatīvas, kas neparedz tiesiskā regulējuma izstrādi)- kādos gadījumos būtu iespējams izvairīties no stingrāku prasību noteikšanas, nekā paredzēts attiecīgajos ES tiesību aktos</w:t>
            </w:r>
          </w:p>
        </w:tc>
      </w:tr>
      <w:tr w:rsidR="00185DE3" w:rsidRPr="004B0E22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Pr="002A182B" w:rsidRDefault="0073108E" w:rsidP="00390AE0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Style w:val="Izteiksmgs"/>
                <w:b w:val="0"/>
                <w:bCs/>
                <w:sz w:val="24"/>
                <w:szCs w:val="24"/>
              </w:rPr>
              <w:lastRenderedPageBreak/>
              <w:t>D</w:t>
            </w:r>
            <w:r w:rsidR="00185DE3">
              <w:rPr>
                <w:rStyle w:val="Izteiksmgs"/>
                <w:b w:val="0"/>
                <w:bCs/>
                <w:sz w:val="24"/>
                <w:szCs w:val="24"/>
              </w:rPr>
              <w:t>irektīvas 2012/31</w:t>
            </w:r>
            <w:r w:rsidR="00185DE3" w:rsidRPr="0079745C">
              <w:rPr>
                <w:rStyle w:val="Izteiksmgs"/>
                <w:b w:val="0"/>
                <w:bCs/>
                <w:sz w:val="24"/>
                <w:szCs w:val="24"/>
              </w:rPr>
              <w:t>/ES</w:t>
            </w:r>
            <w:r w:rsidR="00185DE3">
              <w:rPr>
                <w:rStyle w:val="Izteiksmgs"/>
                <w:b w:val="0"/>
                <w:bCs/>
                <w:sz w:val="24"/>
                <w:szCs w:val="24"/>
              </w:rPr>
              <w:t xml:space="preserve"> </w:t>
            </w:r>
            <w:r w:rsidR="00390AE0">
              <w:rPr>
                <w:rStyle w:val="Izteiksmgs"/>
                <w:b w:val="0"/>
                <w:bCs/>
                <w:sz w:val="24"/>
                <w:szCs w:val="24"/>
              </w:rPr>
              <w:t>2.panta 3.punkts</w:t>
            </w:r>
          </w:p>
        </w:tc>
        <w:tc>
          <w:tcPr>
            <w:tcW w:w="1202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1.punkts</w:t>
            </w:r>
          </w:p>
        </w:tc>
        <w:tc>
          <w:tcPr>
            <w:tcW w:w="1160" w:type="pct"/>
            <w:gridSpan w:val="2"/>
          </w:tcPr>
          <w:p w:rsidR="00185DE3" w:rsidRPr="009B486D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B486D">
              <w:rPr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02" w:type="pct"/>
          </w:tcPr>
          <w:p w:rsidR="00185DE3" w:rsidRPr="009B486D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B486D">
              <w:rPr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185DE3" w:rsidRPr="004B0E22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Default="0073108E" w:rsidP="00E67450">
            <w:pPr>
              <w:pStyle w:val="naisc"/>
              <w:spacing w:before="0" w:after="0"/>
              <w:jc w:val="both"/>
              <w:rPr>
                <w:rStyle w:val="Izteiksmgs"/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185DE3" w:rsidRPr="00AA23FB">
              <w:rPr>
                <w:bCs/>
                <w:sz w:val="24"/>
                <w:szCs w:val="24"/>
              </w:rPr>
              <w:t>irektīvas 2012/31/ES</w:t>
            </w:r>
            <w:r w:rsidR="00185DE3">
              <w:rPr>
                <w:bCs/>
                <w:sz w:val="24"/>
                <w:szCs w:val="24"/>
              </w:rPr>
              <w:t xml:space="preserve"> pielikums</w:t>
            </w:r>
          </w:p>
        </w:tc>
        <w:tc>
          <w:tcPr>
            <w:tcW w:w="1202" w:type="pct"/>
            <w:gridSpan w:val="4"/>
          </w:tcPr>
          <w:p w:rsidR="00185DE3" w:rsidRDefault="00390AE0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un </w:t>
            </w:r>
            <w:r w:rsidR="00185DE3">
              <w:rPr>
                <w:sz w:val="24"/>
                <w:szCs w:val="24"/>
              </w:rPr>
              <w:t>3.punkts</w:t>
            </w:r>
          </w:p>
        </w:tc>
        <w:tc>
          <w:tcPr>
            <w:tcW w:w="1160" w:type="pct"/>
            <w:gridSpan w:val="2"/>
          </w:tcPr>
          <w:p w:rsidR="00185DE3" w:rsidRPr="009B486D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AA23FB">
              <w:rPr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02" w:type="pct"/>
          </w:tcPr>
          <w:p w:rsidR="00185DE3" w:rsidRPr="009B486D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AA23FB">
              <w:rPr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185DE3" w:rsidRPr="004B0E22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Kā ir i</w:t>
            </w:r>
            <w:smartTag w:uri="urn:schemas-microsoft-com:office:smarttags" w:element="PersonName">
              <w:r w:rsidRPr="009C2F87">
                <w:rPr>
                  <w:sz w:val="24"/>
                  <w:szCs w:val="24"/>
                </w:rPr>
                <w:t>zm</w:t>
              </w:r>
            </w:smartTag>
            <w:r w:rsidRPr="009C2F87">
              <w:rPr>
                <w:sz w:val="24"/>
                <w:szCs w:val="24"/>
              </w:rPr>
              <w:t>antota ES tiesību aktā paredzētā rīcības brīvība dalībvalstij pārņemt vai ieviest noteiktas ES tiesību akta normas.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Kādēļ?</w:t>
            </w:r>
          </w:p>
        </w:tc>
        <w:tc>
          <w:tcPr>
            <w:tcW w:w="3564" w:type="pct"/>
            <w:gridSpan w:val="7"/>
          </w:tcPr>
          <w:p w:rsidR="00185DE3" w:rsidRPr="009B486D" w:rsidRDefault="00185DE3" w:rsidP="009B486D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Direktīvā</w:t>
            </w:r>
            <w:r w:rsidRPr="002A182B">
              <w:rPr>
                <w:sz w:val="24"/>
                <w:szCs w:val="24"/>
              </w:rPr>
              <w:t xml:space="preserve"> </w:t>
            </w:r>
            <w:r>
              <w:rPr>
                <w:rStyle w:val="Izteiksmgs"/>
                <w:b w:val="0"/>
                <w:bCs/>
                <w:sz w:val="24"/>
                <w:szCs w:val="24"/>
              </w:rPr>
              <w:t>2012/31</w:t>
            </w:r>
            <w:r w:rsidRPr="0079745C">
              <w:rPr>
                <w:rStyle w:val="Izteiksmgs"/>
                <w:b w:val="0"/>
                <w:bCs/>
                <w:sz w:val="24"/>
                <w:szCs w:val="24"/>
              </w:rPr>
              <w:t>/ES</w:t>
            </w:r>
            <w:r w:rsidRPr="009B486D">
              <w:rPr>
                <w:sz w:val="24"/>
                <w:szCs w:val="24"/>
              </w:rPr>
              <w:t xml:space="preserve"> nav paredzēta rīcības brīvība dalībvalstij ieviest tiesību normas. 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185DE3" w:rsidRPr="004B0E22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 xml:space="preserve">Saistības sniegt paziņojumu ES institūcijām un ES dalībvalstīm atbilstoši normatīvajiem aktiem, kas regulē informācijas sniegšanu par tehnisko </w:t>
            </w:r>
            <w:r w:rsidRPr="009C2F87">
              <w:rPr>
                <w:sz w:val="24"/>
                <w:szCs w:val="24"/>
              </w:rPr>
              <w:lastRenderedPageBreak/>
              <w:t xml:space="preserve">noteikumu, valsts atbalsts piešķiršanas un </w:t>
            </w:r>
            <w:r>
              <w:rPr>
                <w:sz w:val="24"/>
                <w:szCs w:val="24"/>
              </w:rPr>
              <w:t>finanšu noteikumus (attiecībā uz</w:t>
            </w:r>
            <w:r w:rsidRPr="009C2F87">
              <w:rPr>
                <w:sz w:val="24"/>
                <w:szCs w:val="24"/>
              </w:rPr>
              <w:t xml:space="preserve"> monetāro politiku)</w:t>
            </w:r>
          </w:p>
        </w:tc>
        <w:tc>
          <w:tcPr>
            <w:tcW w:w="3564" w:type="pct"/>
            <w:gridSpan w:val="7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EF3B84">
              <w:rPr>
                <w:sz w:val="24"/>
                <w:szCs w:val="24"/>
              </w:rPr>
              <w:lastRenderedPageBreak/>
              <w:t>Projekts šo jomu neskar</w:t>
            </w:r>
            <w:r>
              <w:rPr>
                <w:sz w:val="24"/>
                <w:szCs w:val="24"/>
              </w:rPr>
              <w:t>.</w:t>
            </w:r>
          </w:p>
        </w:tc>
      </w:tr>
      <w:tr w:rsidR="00185DE3" w:rsidRPr="004B0E22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lastRenderedPageBreak/>
              <w:t>Cita informācija</w:t>
            </w:r>
          </w:p>
        </w:tc>
        <w:tc>
          <w:tcPr>
            <w:tcW w:w="3564" w:type="pct"/>
            <w:gridSpan w:val="7"/>
          </w:tcPr>
          <w:p w:rsidR="00185DE3" w:rsidRPr="009C2F87" w:rsidRDefault="00185DE3" w:rsidP="009E336D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Projekts šo jomu neskar.</w:t>
            </w:r>
          </w:p>
        </w:tc>
      </w:tr>
      <w:tr w:rsidR="00185DE3" w:rsidTr="009C2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</w:tcPr>
          <w:p w:rsidR="00185DE3" w:rsidRPr="009C2F87" w:rsidRDefault="00185DE3" w:rsidP="00BC4616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9C2F87">
              <w:rPr>
                <w:b/>
                <w:sz w:val="24"/>
                <w:szCs w:val="24"/>
              </w:rPr>
              <w:t>2.tabula</w:t>
            </w:r>
          </w:p>
          <w:p w:rsidR="00185DE3" w:rsidRPr="009C2F87" w:rsidRDefault="00185DE3" w:rsidP="00BC4616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9C2F87">
              <w:rPr>
                <w:b/>
                <w:sz w:val="24"/>
                <w:szCs w:val="24"/>
              </w:rPr>
              <w:t>Ar tiesību akta projektu uzņemtās saistības, kas izriet no starptautiskajiem tiesību aktiem vai starptautiskas institūcijas vai organizācijas dokumentiem</w:t>
            </w:r>
          </w:p>
          <w:p w:rsidR="00185DE3" w:rsidRPr="009C2F87" w:rsidRDefault="00185DE3" w:rsidP="00BC4616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9C2F87">
              <w:rPr>
                <w:b/>
                <w:sz w:val="24"/>
                <w:szCs w:val="24"/>
              </w:rPr>
              <w:t>Pasākumi šo saistību izpildei</w:t>
            </w:r>
          </w:p>
        </w:tc>
      </w:tr>
      <w:tr w:rsidR="00185DE3" w:rsidRPr="009D2B15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pct"/>
            <w:gridSpan w:val="6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Attiecīga starptautiskā tiesību akta vai starptautiskas institūcijas vai organizācijas dokumenta (turpmāk – starptautiskais dokuments) datums, numurs un nosaukums</w:t>
            </w:r>
          </w:p>
        </w:tc>
        <w:tc>
          <w:tcPr>
            <w:tcW w:w="2362" w:type="pct"/>
            <w:gridSpan w:val="3"/>
          </w:tcPr>
          <w:p w:rsidR="00185DE3" w:rsidRPr="009C2F87" w:rsidRDefault="00185DE3" w:rsidP="0081353B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EF3B84">
              <w:rPr>
                <w:sz w:val="24"/>
                <w:szCs w:val="24"/>
              </w:rPr>
              <w:t>Projekts šo jomu neskar</w:t>
            </w:r>
            <w:r w:rsidRPr="009C2F87">
              <w:rPr>
                <w:sz w:val="24"/>
                <w:szCs w:val="24"/>
              </w:rPr>
              <w:t>.</w:t>
            </w:r>
          </w:p>
        </w:tc>
      </w:tr>
      <w:tr w:rsidR="00185DE3" w:rsidRPr="003341C0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gridSpan w:val="3"/>
          </w:tcPr>
          <w:p w:rsidR="00185DE3" w:rsidRPr="009C2F87" w:rsidRDefault="00185DE3" w:rsidP="00BC4616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9C2F8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69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9C2F8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92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rPr>
                <w:b/>
                <w:sz w:val="24"/>
                <w:szCs w:val="24"/>
              </w:rPr>
            </w:pPr>
            <w:r w:rsidRPr="009C2F87">
              <w:rPr>
                <w:b/>
                <w:sz w:val="24"/>
                <w:szCs w:val="24"/>
              </w:rPr>
              <w:t>C</w:t>
            </w:r>
          </w:p>
        </w:tc>
      </w:tr>
      <w:tr w:rsidR="00185DE3" w:rsidRPr="003341C0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gridSpan w:val="3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Starptautiskās saistības (pēc būtības), kas izriet no norādītā starptautiskā dokumenta.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1569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Ja pasākumi vai uzdevumi, ar ko tiks izpildītas starptautiskās saistības, tiek noteikti projektā, norāda attiecīgo projekta vienību.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Vai arī norāda dokumentu, kurā sniegts izvērsts skaidrojums, kādā veidā tiks nodrošināta starptautisko saistību izpilde</w:t>
            </w:r>
          </w:p>
        </w:tc>
        <w:tc>
          <w:tcPr>
            <w:tcW w:w="1592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Informācija par to, vai starptautiskās saistības, kas m</w:t>
            </w:r>
            <w:r>
              <w:rPr>
                <w:sz w:val="24"/>
                <w:szCs w:val="24"/>
              </w:rPr>
              <w:t>inētas šī</w:t>
            </w:r>
            <w:r w:rsidRPr="009C2F87">
              <w:rPr>
                <w:sz w:val="24"/>
                <w:szCs w:val="24"/>
              </w:rPr>
              <w:t>s tabulas A ailē, tiek izpildītas pilnībā vai daļēji.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185DE3" w:rsidRPr="003341C0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gridSpan w:val="3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pct"/>
            <w:gridSpan w:val="4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2" w:type="pct"/>
            <w:gridSpan w:val="2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185DE3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gridSpan w:val="3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161" w:type="pct"/>
            <w:gridSpan w:val="6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EF3B84">
              <w:rPr>
                <w:sz w:val="24"/>
                <w:szCs w:val="24"/>
              </w:rPr>
              <w:t>Projekts šo jomu neskar</w:t>
            </w:r>
            <w:r>
              <w:rPr>
                <w:sz w:val="24"/>
                <w:szCs w:val="24"/>
              </w:rPr>
              <w:t>.</w:t>
            </w:r>
          </w:p>
        </w:tc>
      </w:tr>
      <w:tr w:rsidR="00185DE3" w:rsidTr="00CF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pct"/>
            <w:gridSpan w:val="3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 w:rsidRPr="009C2F87">
              <w:rPr>
                <w:sz w:val="24"/>
                <w:szCs w:val="24"/>
              </w:rPr>
              <w:t>Cita informācija</w:t>
            </w:r>
          </w:p>
        </w:tc>
        <w:tc>
          <w:tcPr>
            <w:tcW w:w="3161" w:type="pct"/>
            <w:gridSpan w:val="6"/>
          </w:tcPr>
          <w:p w:rsidR="00185DE3" w:rsidRPr="009C2F87" w:rsidRDefault="00185DE3" w:rsidP="00BC4616">
            <w:pPr>
              <w:pStyle w:val="naisc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</w:tbl>
    <w:p w:rsidR="00185DE3" w:rsidRDefault="00185DE3" w:rsidP="005E4393">
      <w:pPr>
        <w:rPr>
          <w:i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464"/>
      </w:tblGrid>
      <w:tr w:rsidR="00185DE3" w:rsidRPr="00596B72" w:rsidTr="00F92D28">
        <w:tc>
          <w:tcPr>
            <w:tcW w:w="9000" w:type="dxa"/>
            <w:gridSpan w:val="2"/>
          </w:tcPr>
          <w:p w:rsidR="00185DE3" w:rsidRPr="00F92D28" w:rsidRDefault="00185DE3" w:rsidP="00F92D28">
            <w:pPr>
              <w:pStyle w:val="naiskr"/>
              <w:jc w:val="center"/>
              <w:rPr>
                <w:b/>
                <w:bCs/>
              </w:rPr>
            </w:pPr>
            <w:r w:rsidRPr="00F92D28">
              <w:rPr>
                <w:b/>
                <w:bCs/>
              </w:rPr>
              <w:t>VI. Sabiedrības līdzdalība un šīs līdzdalības rezultāti</w:t>
            </w:r>
          </w:p>
        </w:tc>
      </w:tr>
      <w:tr w:rsidR="00185DE3" w:rsidRPr="00596B72" w:rsidTr="00C008E3">
        <w:tc>
          <w:tcPr>
            <w:tcW w:w="4536" w:type="dxa"/>
          </w:tcPr>
          <w:p w:rsidR="00185DE3" w:rsidRPr="00596B72" w:rsidRDefault="00185DE3" w:rsidP="00923A89">
            <w:pPr>
              <w:pStyle w:val="naiskr"/>
            </w:pPr>
            <w:r w:rsidRPr="00596B72">
              <w:t>1. Sabiedrības informēšana par projekta izstrādes uzsākšanu</w:t>
            </w:r>
          </w:p>
        </w:tc>
        <w:tc>
          <w:tcPr>
            <w:tcW w:w="4464" w:type="dxa"/>
          </w:tcPr>
          <w:p w:rsidR="00185DE3" w:rsidRPr="00596B72" w:rsidRDefault="00185DE3" w:rsidP="00E67450">
            <w:pPr>
              <w:jc w:val="both"/>
            </w:pPr>
            <w:r>
              <w:t>Noteikumu projekts 2012.gada 27</w:t>
            </w:r>
            <w:r w:rsidRPr="00BE758F">
              <w:t>.</w:t>
            </w:r>
            <w:r>
              <w:t xml:space="preserve">novembrī nosūtīts saskaņošanai elektroniski biedrībām „Lauksaimnieku </w:t>
            </w:r>
            <w:r w:rsidR="00A7334F">
              <w:t>organizāciju sadarbības padome”</w:t>
            </w:r>
            <w:r>
              <w:t xml:space="preserve"> un „Zemnieku saeima”. Biedrības „Lauksaimnieku organizāciju sadarbības padome” un „Zemnieku saeima” izvēlētas, jo tās pārstāv dzīvnieku īpašniekus. </w:t>
            </w:r>
          </w:p>
        </w:tc>
      </w:tr>
      <w:tr w:rsidR="00185DE3" w:rsidRPr="00596B72" w:rsidTr="00C008E3">
        <w:tc>
          <w:tcPr>
            <w:tcW w:w="4536" w:type="dxa"/>
          </w:tcPr>
          <w:p w:rsidR="00185DE3" w:rsidRPr="00596B72" w:rsidRDefault="00185DE3" w:rsidP="00923A89">
            <w:pPr>
              <w:pStyle w:val="naiskr"/>
            </w:pPr>
            <w:r w:rsidRPr="00596B72">
              <w:t>2. Sabiedrības līdzdalība projekta izstrādē</w:t>
            </w:r>
          </w:p>
        </w:tc>
        <w:tc>
          <w:tcPr>
            <w:tcW w:w="4464" w:type="dxa"/>
          </w:tcPr>
          <w:p w:rsidR="00185DE3" w:rsidRPr="00596B72" w:rsidRDefault="00144588" w:rsidP="00923A8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Biedrības </w:t>
            </w:r>
            <w:r w:rsidRPr="00144588">
              <w:rPr>
                <w:rFonts w:eastAsia="Arial Unicode MS"/>
              </w:rPr>
              <w:t xml:space="preserve">„Lauksaimnieku </w:t>
            </w:r>
            <w:r w:rsidR="00A7334F">
              <w:rPr>
                <w:rFonts w:eastAsia="Arial Unicode MS"/>
              </w:rPr>
              <w:t>organizāciju sadarbības padome”</w:t>
            </w:r>
            <w:r w:rsidRPr="00144588">
              <w:rPr>
                <w:rFonts w:eastAsia="Arial Unicode MS"/>
              </w:rPr>
              <w:t xml:space="preserve"> un „Zemnieku saeima”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lastRenderedPageBreak/>
              <w:t>atbalsta noteikumu projekta virzību.</w:t>
            </w:r>
          </w:p>
        </w:tc>
      </w:tr>
      <w:tr w:rsidR="00185DE3" w:rsidRPr="00596B72" w:rsidTr="00C008E3">
        <w:tc>
          <w:tcPr>
            <w:tcW w:w="4536" w:type="dxa"/>
          </w:tcPr>
          <w:p w:rsidR="00185DE3" w:rsidRPr="00596B72" w:rsidRDefault="00185DE3" w:rsidP="00923A89">
            <w:pPr>
              <w:pStyle w:val="naiskr"/>
            </w:pPr>
            <w:r w:rsidRPr="00596B72">
              <w:lastRenderedPageBreak/>
              <w:t>3. Sabiedrības līdzdalības rezultāti</w:t>
            </w:r>
          </w:p>
        </w:tc>
        <w:tc>
          <w:tcPr>
            <w:tcW w:w="4464" w:type="dxa"/>
          </w:tcPr>
          <w:p w:rsidR="00185DE3" w:rsidRPr="00596B72" w:rsidRDefault="00144588" w:rsidP="00923A8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Saņemti pozitīvi atzinumi.</w:t>
            </w:r>
          </w:p>
        </w:tc>
      </w:tr>
      <w:tr w:rsidR="00185DE3" w:rsidRPr="00596B72" w:rsidTr="00C008E3">
        <w:tc>
          <w:tcPr>
            <w:tcW w:w="4536" w:type="dxa"/>
          </w:tcPr>
          <w:p w:rsidR="00185DE3" w:rsidRPr="00596B72" w:rsidRDefault="00185DE3" w:rsidP="00923A89">
            <w:pPr>
              <w:pStyle w:val="naiskr"/>
            </w:pPr>
            <w:r w:rsidRPr="00596B72">
              <w:t>4. Saeimas un ekspertu līdzdalība</w:t>
            </w:r>
          </w:p>
        </w:tc>
        <w:tc>
          <w:tcPr>
            <w:tcW w:w="4464" w:type="dxa"/>
          </w:tcPr>
          <w:p w:rsidR="00185DE3" w:rsidRPr="00596B72" w:rsidRDefault="00185DE3" w:rsidP="00923A89">
            <w:r w:rsidRPr="00596B72">
              <w:t>Konsultācijas nav notikušas.</w:t>
            </w:r>
          </w:p>
        </w:tc>
      </w:tr>
      <w:tr w:rsidR="00185DE3" w:rsidRPr="00596B72" w:rsidTr="00C008E3">
        <w:tc>
          <w:tcPr>
            <w:tcW w:w="4536" w:type="dxa"/>
          </w:tcPr>
          <w:p w:rsidR="00185DE3" w:rsidRPr="00596B72" w:rsidRDefault="00185DE3" w:rsidP="00923A89">
            <w:pPr>
              <w:pStyle w:val="naiskr"/>
            </w:pPr>
            <w:r w:rsidRPr="00596B72">
              <w:t>5. Cita informācija</w:t>
            </w:r>
          </w:p>
        </w:tc>
        <w:tc>
          <w:tcPr>
            <w:tcW w:w="4464" w:type="dxa"/>
          </w:tcPr>
          <w:p w:rsidR="00185DE3" w:rsidRPr="00F92D28" w:rsidRDefault="00185DE3" w:rsidP="00F92D28">
            <w:pPr>
              <w:pStyle w:val="naisc"/>
              <w:spacing w:before="0" w:after="0"/>
              <w:jc w:val="left"/>
              <w:rPr>
                <w:sz w:val="24"/>
                <w:szCs w:val="24"/>
              </w:rPr>
            </w:pPr>
            <w:r w:rsidRPr="00F92D28">
              <w:rPr>
                <w:sz w:val="24"/>
                <w:szCs w:val="24"/>
              </w:rPr>
              <w:t>Nav</w:t>
            </w:r>
            <w:r>
              <w:rPr>
                <w:sz w:val="24"/>
                <w:szCs w:val="24"/>
              </w:rPr>
              <w:t>.</w:t>
            </w:r>
          </w:p>
        </w:tc>
      </w:tr>
      <w:tr w:rsidR="00185DE3" w:rsidRPr="008C349D" w:rsidTr="00F92D28">
        <w:tc>
          <w:tcPr>
            <w:tcW w:w="9000" w:type="dxa"/>
            <w:gridSpan w:val="2"/>
          </w:tcPr>
          <w:p w:rsidR="00185DE3" w:rsidRPr="008C349D" w:rsidRDefault="00185DE3" w:rsidP="00BC4616">
            <w:pPr>
              <w:pStyle w:val="naisc"/>
              <w:spacing w:before="0" w:after="0"/>
              <w:rPr>
                <w:b/>
                <w:bCs/>
                <w:sz w:val="24"/>
              </w:rPr>
            </w:pPr>
            <w:r w:rsidRPr="008C349D">
              <w:rPr>
                <w:b/>
                <w:bCs/>
                <w:sz w:val="24"/>
              </w:rPr>
              <w:t>VII. Tiesību akta projekta izpildes nodrošināšana un tās ietekme uz institūcijām</w:t>
            </w:r>
          </w:p>
        </w:tc>
      </w:tr>
      <w:tr w:rsidR="00185DE3" w:rsidRPr="008C349D" w:rsidTr="00C008E3">
        <w:tc>
          <w:tcPr>
            <w:tcW w:w="4536" w:type="dxa"/>
          </w:tcPr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1. Projekta izpildē iesaistītās institūcijas</w:t>
            </w:r>
          </w:p>
        </w:tc>
        <w:tc>
          <w:tcPr>
            <w:tcW w:w="4464" w:type="dxa"/>
          </w:tcPr>
          <w:p w:rsidR="00185DE3" w:rsidRPr="008C349D" w:rsidRDefault="00185DE3" w:rsidP="00BC4616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Pārtikas un veterinārais dienests</w:t>
            </w:r>
          </w:p>
        </w:tc>
      </w:tr>
      <w:tr w:rsidR="00185DE3" w:rsidRPr="008C349D" w:rsidTr="00C008E3">
        <w:tc>
          <w:tcPr>
            <w:tcW w:w="4536" w:type="dxa"/>
          </w:tcPr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2. Projekta izpildes ietekme uz pārvaldes funkcijām</w:t>
            </w:r>
          </w:p>
        </w:tc>
        <w:tc>
          <w:tcPr>
            <w:tcW w:w="4464" w:type="dxa"/>
          </w:tcPr>
          <w:p w:rsidR="00185DE3" w:rsidRPr="008C349D" w:rsidRDefault="00185DE3" w:rsidP="00BC4616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  <w:rPr>
                <w:szCs w:val="24"/>
              </w:rPr>
            </w:pPr>
            <w:r w:rsidRPr="00EF3B84">
              <w:rPr>
                <w:szCs w:val="24"/>
              </w:rPr>
              <w:t>Projekts šo jomu neskar</w:t>
            </w:r>
            <w:r w:rsidRPr="008C349D">
              <w:rPr>
                <w:szCs w:val="24"/>
              </w:rPr>
              <w:t>.</w:t>
            </w:r>
          </w:p>
        </w:tc>
      </w:tr>
      <w:tr w:rsidR="00185DE3" w:rsidRPr="008C349D" w:rsidTr="00C008E3">
        <w:tc>
          <w:tcPr>
            <w:tcW w:w="4536" w:type="dxa"/>
          </w:tcPr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3. Projekta izpildes ietekme uz pārvaldes institucionālo struktūru</w:t>
            </w:r>
          </w:p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Jaunu institūciju izveide</w:t>
            </w:r>
          </w:p>
        </w:tc>
        <w:tc>
          <w:tcPr>
            <w:tcW w:w="4464" w:type="dxa"/>
          </w:tcPr>
          <w:p w:rsidR="00185DE3" w:rsidRPr="008C349D" w:rsidRDefault="00185DE3" w:rsidP="00BC4616">
            <w:pPr>
              <w:pStyle w:val="Kjene"/>
              <w:tabs>
                <w:tab w:val="clear" w:pos="4153"/>
                <w:tab w:val="clear" w:pos="8306"/>
              </w:tabs>
              <w:ind w:right="-108"/>
              <w:jc w:val="both"/>
              <w:rPr>
                <w:szCs w:val="24"/>
              </w:rPr>
            </w:pPr>
            <w:r w:rsidRPr="00EF3B84">
              <w:rPr>
                <w:szCs w:val="24"/>
              </w:rPr>
              <w:t>Projekts šo jomu neskar</w:t>
            </w:r>
            <w:r w:rsidRPr="008C349D">
              <w:rPr>
                <w:szCs w:val="24"/>
              </w:rPr>
              <w:t>.</w:t>
            </w:r>
          </w:p>
        </w:tc>
      </w:tr>
      <w:tr w:rsidR="00185DE3" w:rsidRPr="008C349D" w:rsidTr="00C008E3">
        <w:tc>
          <w:tcPr>
            <w:tcW w:w="4536" w:type="dxa"/>
          </w:tcPr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4. Projekta izpildes ietekme uz pārvaldes institucionālo struktūru</w:t>
            </w:r>
          </w:p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Esošu institūciju likvidācija</w:t>
            </w:r>
          </w:p>
        </w:tc>
        <w:tc>
          <w:tcPr>
            <w:tcW w:w="4464" w:type="dxa"/>
          </w:tcPr>
          <w:p w:rsidR="00185DE3" w:rsidRPr="008C349D" w:rsidRDefault="00185DE3" w:rsidP="00BC4616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szCs w:val="24"/>
              </w:rPr>
            </w:pPr>
            <w:r w:rsidRPr="00EF3B84">
              <w:rPr>
                <w:szCs w:val="24"/>
              </w:rPr>
              <w:t>Projekts šo jomu neskar</w:t>
            </w:r>
            <w:r w:rsidRPr="008C349D">
              <w:rPr>
                <w:szCs w:val="24"/>
              </w:rPr>
              <w:t>.</w:t>
            </w:r>
          </w:p>
        </w:tc>
      </w:tr>
      <w:tr w:rsidR="00185DE3" w:rsidRPr="008C349D" w:rsidTr="00C008E3">
        <w:trPr>
          <w:trHeight w:val="554"/>
        </w:trPr>
        <w:tc>
          <w:tcPr>
            <w:tcW w:w="4536" w:type="dxa"/>
          </w:tcPr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5. Projekta izpildes ietekme uz pārvaldes institucionālo struktūru</w:t>
            </w:r>
          </w:p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Esošu institūciju reorganizācija</w:t>
            </w:r>
          </w:p>
        </w:tc>
        <w:tc>
          <w:tcPr>
            <w:tcW w:w="4464" w:type="dxa"/>
          </w:tcPr>
          <w:p w:rsidR="00185DE3" w:rsidRPr="008C349D" w:rsidRDefault="00185DE3" w:rsidP="00BC4616">
            <w:pPr>
              <w:jc w:val="both"/>
              <w:rPr>
                <w:rFonts w:eastAsia="Arial Unicode MS"/>
              </w:rPr>
            </w:pPr>
            <w:r w:rsidRPr="00EF3B84">
              <w:t>Projekts šo jomu neskar</w:t>
            </w:r>
            <w:r w:rsidRPr="008C349D">
              <w:t>.</w:t>
            </w:r>
          </w:p>
        </w:tc>
      </w:tr>
      <w:tr w:rsidR="00185DE3" w:rsidRPr="008C349D" w:rsidTr="00C008E3">
        <w:trPr>
          <w:trHeight w:val="70"/>
        </w:trPr>
        <w:tc>
          <w:tcPr>
            <w:tcW w:w="4536" w:type="dxa"/>
          </w:tcPr>
          <w:p w:rsidR="00185DE3" w:rsidRPr="008C349D" w:rsidRDefault="00185DE3" w:rsidP="00BC4616">
            <w:pPr>
              <w:pStyle w:val="ParastaisWeb"/>
              <w:spacing w:before="0" w:beforeAutospacing="0" w:after="0" w:afterAutospacing="0"/>
              <w:jc w:val="both"/>
            </w:pPr>
            <w:r w:rsidRPr="008C349D">
              <w:t>6. Cita informācija</w:t>
            </w:r>
          </w:p>
        </w:tc>
        <w:tc>
          <w:tcPr>
            <w:tcW w:w="4464" w:type="dxa"/>
          </w:tcPr>
          <w:p w:rsidR="00185DE3" w:rsidRPr="008C349D" w:rsidRDefault="00185DE3" w:rsidP="00BC4616">
            <w:pPr>
              <w:rPr>
                <w:rFonts w:eastAsia="Arial Unicode MS"/>
              </w:rPr>
            </w:pPr>
            <w:r w:rsidRPr="008C349D">
              <w:t>N</w:t>
            </w:r>
            <w:r>
              <w:t>av.</w:t>
            </w:r>
          </w:p>
        </w:tc>
      </w:tr>
    </w:tbl>
    <w:p w:rsidR="00185DE3" w:rsidRDefault="00185DE3" w:rsidP="008E2D79"/>
    <w:p w:rsidR="00185DE3" w:rsidRDefault="00185DE3" w:rsidP="008E2D79"/>
    <w:p w:rsidR="00185DE3" w:rsidRPr="008C349D" w:rsidRDefault="00185DE3" w:rsidP="008E2D79"/>
    <w:p w:rsidR="00185DE3" w:rsidRPr="008C349D" w:rsidRDefault="00185DE3" w:rsidP="008E2D79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>
        <w:rPr>
          <w:b w:val="0"/>
          <w:szCs w:val="28"/>
        </w:rPr>
        <w:t>Zemkopības ministre</w:t>
      </w:r>
      <w:r w:rsidRPr="008C349D">
        <w:rPr>
          <w:b w:val="0"/>
          <w:szCs w:val="28"/>
        </w:rPr>
        <w:tab/>
      </w:r>
      <w:r w:rsidRPr="008C349D">
        <w:rPr>
          <w:b w:val="0"/>
          <w:szCs w:val="28"/>
        </w:rPr>
        <w:tab/>
      </w:r>
      <w:r w:rsidRPr="008C349D">
        <w:rPr>
          <w:b w:val="0"/>
          <w:szCs w:val="28"/>
        </w:rPr>
        <w:tab/>
      </w:r>
      <w:r w:rsidRPr="008C349D">
        <w:rPr>
          <w:b w:val="0"/>
          <w:szCs w:val="28"/>
        </w:rPr>
        <w:tab/>
      </w:r>
      <w:r w:rsidRPr="008C349D">
        <w:rPr>
          <w:b w:val="0"/>
          <w:szCs w:val="28"/>
        </w:rPr>
        <w:tab/>
      </w:r>
      <w:r w:rsidRPr="008C349D">
        <w:rPr>
          <w:b w:val="0"/>
          <w:szCs w:val="28"/>
        </w:rPr>
        <w:tab/>
      </w:r>
      <w:r>
        <w:rPr>
          <w:b w:val="0"/>
          <w:szCs w:val="28"/>
        </w:rPr>
        <w:t>L.Straujuma</w:t>
      </w:r>
    </w:p>
    <w:p w:rsidR="00185DE3" w:rsidRDefault="00185DE3" w:rsidP="005D27CD">
      <w:pPr>
        <w:rPr>
          <w:sz w:val="28"/>
          <w:szCs w:val="28"/>
        </w:rPr>
      </w:pPr>
    </w:p>
    <w:p w:rsidR="00185DE3" w:rsidRDefault="00185DE3" w:rsidP="005D27CD">
      <w:pPr>
        <w:rPr>
          <w:sz w:val="28"/>
          <w:szCs w:val="28"/>
        </w:rPr>
      </w:pPr>
    </w:p>
    <w:p w:rsidR="00185DE3" w:rsidRDefault="00185DE3" w:rsidP="005D27CD">
      <w:pPr>
        <w:rPr>
          <w:sz w:val="28"/>
          <w:szCs w:val="28"/>
        </w:rPr>
      </w:pPr>
    </w:p>
    <w:p w:rsidR="00185DE3" w:rsidRDefault="00185DE3" w:rsidP="005D27CD">
      <w:pPr>
        <w:rPr>
          <w:sz w:val="28"/>
          <w:szCs w:val="28"/>
        </w:rPr>
      </w:pPr>
    </w:p>
    <w:p w:rsidR="00185DE3" w:rsidRDefault="00185DE3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Default="0064080D" w:rsidP="005D27CD">
      <w:pPr>
        <w:rPr>
          <w:sz w:val="28"/>
          <w:szCs w:val="28"/>
        </w:rPr>
      </w:pPr>
    </w:p>
    <w:p w:rsidR="0064080D" w:rsidRPr="005D27CD" w:rsidRDefault="0064080D" w:rsidP="005D27CD">
      <w:pPr>
        <w:rPr>
          <w:sz w:val="28"/>
          <w:szCs w:val="28"/>
        </w:rPr>
      </w:pPr>
    </w:p>
    <w:p w:rsidR="0064080D" w:rsidRDefault="0064080D" w:rsidP="008E2D79">
      <w:pPr>
        <w:rPr>
          <w:sz w:val="20"/>
          <w:szCs w:val="20"/>
        </w:rPr>
      </w:pPr>
      <w:r>
        <w:rPr>
          <w:sz w:val="20"/>
          <w:szCs w:val="20"/>
        </w:rPr>
        <w:t>2013.01.15. 9:45</w:t>
      </w:r>
    </w:p>
    <w:bookmarkStart w:id="0" w:name="_GoBack"/>
    <w:bookmarkEnd w:id="0"/>
    <w:p w:rsidR="0064080D" w:rsidRDefault="0064080D" w:rsidP="008E2D79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1395</w:t>
      </w:r>
      <w:r>
        <w:rPr>
          <w:sz w:val="20"/>
          <w:szCs w:val="20"/>
        </w:rPr>
        <w:fldChar w:fldCharType="end"/>
      </w:r>
    </w:p>
    <w:p w:rsidR="00185DE3" w:rsidRPr="00CB51EE" w:rsidRDefault="00185DE3" w:rsidP="008E2D79">
      <w:pPr>
        <w:rPr>
          <w:sz w:val="20"/>
          <w:szCs w:val="20"/>
        </w:rPr>
      </w:pPr>
      <w:r w:rsidRPr="00CB51EE">
        <w:rPr>
          <w:sz w:val="20"/>
          <w:szCs w:val="20"/>
        </w:rPr>
        <w:t>O.Vecuma-Veco</w:t>
      </w:r>
    </w:p>
    <w:p w:rsidR="00185DE3" w:rsidRPr="00CB51EE" w:rsidRDefault="00185DE3" w:rsidP="008E2D79">
      <w:pPr>
        <w:rPr>
          <w:sz w:val="20"/>
          <w:szCs w:val="20"/>
        </w:rPr>
      </w:pPr>
      <w:r w:rsidRPr="00CB51EE">
        <w:rPr>
          <w:sz w:val="20"/>
          <w:szCs w:val="20"/>
        </w:rPr>
        <w:t xml:space="preserve">67027551, </w:t>
      </w:r>
      <w:r w:rsidRPr="0064080D">
        <w:rPr>
          <w:sz w:val="20"/>
          <w:szCs w:val="20"/>
        </w:rPr>
        <w:t>Olita.Vecuma-Veco@zm.gov.lv</w:t>
      </w:r>
    </w:p>
    <w:p w:rsidR="00185DE3" w:rsidRPr="008C349D" w:rsidRDefault="00185DE3" w:rsidP="008E2D79"/>
    <w:sectPr w:rsidR="00185DE3" w:rsidRPr="008C349D" w:rsidSect="0064080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28" w:rsidRDefault="005A4328">
      <w:r>
        <w:separator/>
      </w:r>
    </w:p>
  </w:endnote>
  <w:endnote w:type="continuationSeparator" w:id="0">
    <w:p w:rsidR="005A4328" w:rsidRDefault="005A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3" w:rsidRPr="00CB51EE" w:rsidRDefault="00185DE3" w:rsidP="00CB51EE">
    <w:pPr>
      <w:jc w:val="both"/>
      <w:rPr>
        <w:bCs/>
        <w:sz w:val="20"/>
        <w:szCs w:val="20"/>
      </w:rPr>
    </w:pPr>
    <w:r w:rsidRPr="00CB51EE">
      <w:rPr>
        <w:sz w:val="20"/>
        <w:szCs w:val="20"/>
      </w:rPr>
      <w:t>ZM</w:t>
    </w:r>
    <w:r w:rsidR="00390AE0">
      <w:rPr>
        <w:sz w:val="20"/>
        <w:szCs w:val="20"/>
      </w:rPr>
      <w:t>Anot_140113</w:t>
    </w:r>
    <w:r w:rsidRPr="00CB51EE">
      <w:rPr>
        <w:sz w:val="20"/>
        <w:szCs w:val="20"/>
      </w:rPr>
      <w:t xml:space="preserve">_groz akvakultūra; Ministru kabineta noteikumu projekta </w:t>
    </w:r>
    <w:r w:rsidRPr="00CB51EE">
      <w:rPr>
        <w:bCs/>
        <w:sz w:val="20"/>
        <w:szCs w:val="20"/>
      </w:rPr>
      <w:t>„Grozījumi Ministru kabineta 2008.gada 2.jūnija noteikumos Nr.400 „Veterinārās prasības akvakultūras dzīvniekiem, no tiem iegūtiem produktiem un to apritei, kā arī atsevišķu akvakultūras dzīvnieku infekcijas slimību profilaksei un apkarošanai””</w:t>
    </w:r>
    <w:r w:rsidRPr="00CB51EE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B51EE">
        <w:rPr>
          <w:sz w:val="20"/>
          <w:szCs w:val="20"/>
        </w:rPr>
        <w:t>ziņojums</w:t>
      </w:r>
    </w:smartTag>
    <w:r w:rsidRPr="00CB51EE"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3" w:rsidRPr="00CB51EE" w:rsidRDefault="00185DE3" w:rsidP="00CB51EE">
    <w:pPr>
      <w:pStyle w:val="Kjene"/>
      <w:rPr>
        <w:bCs/>
        <w:sz w:val="20"/>
      </w:rPr>
    </w:pPr>
    <w:r w:rsidRPr="00CB51EE">
      <w:rPr>
        <w:sz w:val="20"/>
      </w:rPr>
      <w:t>ZM</w:t>
    </w:r>
    <w:r w:rsidR="00390AE0">
      <w:rPr>
        <w:sz w:val="20"/>
      </w:rPr>
      <w:t>Anot_140113</w:t>
    </w:r>
    <w:r w:rsidRPr="00CB51EE">
      <w:rPr>
        <w:sz w:val="20"/>
      </w:rPr>
      <w:t xml:space="preserve">_groz akvakultūra; Ministru kabineta noteikumu projekta </w:t>
    </w:r>
    <w:r w:rsidRPr="00CB51EE">
      <w:rPr>
        <w:bCs/>
        <w:sz w:val="20"/>
      </w:rPr>
      <w:t>„Grozījumi Ministru kabineta 2008.gada 2.jūnija noteikumos Nr.400 „Veterinārās prasības akvakultūras dzīvniekiem, no tiem iegūtiem produktiem un to apritei, kā arī atsevišķu akvakultūras dzīvnieku infekcijas slimību profilaksei un apkarošanai””</w:t>
    </w:r>
    <w:r w:rsidRPr="00CB51EE">
      <w:rPr>
        <w:sz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B51EE">
        <w:rPr>
          <w:sz w:val="20"/>
        </w:rPr>
        <w:t>ziņojums</w:t>
      </w:r>
    </w:smartTag>
    <w:r w:rsidRPr="00CB51EE">
      <w:rPr>
        <w:sz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28" w:rsidRDefault="005A4328">
      <w:r>
        <w:separator/>
      </w:r>
    </w:p>
  </w:footnote>
  <w:footnote w:type="continuationSeparator" w:id="0">
    <w:p w:rsidR="005A4328" w:rsidRDefault="005A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3" w:rsidRDefault="00D220B9" w:rsidP="0058520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85DE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85DE3" w:rsidRDefault="00185DE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E3" w:rsidRDefault="00D220B9" w:rsidP="0058520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85DE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4080D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185DE3" w:rsidRDefault="00185DE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BF8"/>
    <w:multiLevelType w:val="hybridMultilevel"/>
    <w:tmpl w:val="B302EB0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85182D"/>
    <w:multiLevelType w:val="hybridMultilevel"/>
    <w:tmpl w:val="EB3CF782"/>
    <w:lvl w:ilvl="0" w:tplc="F3AC8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05"/>
    <w:rsid w:val="00005C7A"/>
    <w:rsid w:val="00007412"/>
    <w:rsid w:val="00012FEA"/>
    <w:rsid w:val="00024AF8"/>
    <w:rsid w:val="0002722A"/>
    <w:rsid w:val="0003334E"/>
    <w:rsid w:val="0003378C"/>
    <w:rsid w:val="00045A3C"/>
    <w:rsid w:val="000545F5"/>
    <w:rsid w:val="00057864"/>
    <w:rsid w:val="00067824"/>
    <w:rsid w:val="000767C2"/>
    <w:rsid w:val="00086E16"/>
    <w:rsid w:val="000A736A"/>
    <w:rsid w:val="000B747B"/>
    <w:rsid w:val="000C0DEA"/>
    <w:rsid w:val="000C1019"/>
    <w:rsid w:val="000C7F08"/>
    <w:rsid w:val="000D6007"/>
    <w:rsid w:val="000D7FC2"/>
    <w:rsid w:val="000E0A12"/>
    <w:rsid w:val="000E402B"/>
    <w:rsid w:val="000E57C1"/>
    <w:rsid w:val="00136CD8"/>
    <w:rsid w:val="00140F73"/>
    <w:rsid w:val="00143A96"/>
    <w:rsid w:val="00144588"/>
    <w:rsid w:val="001540F9"/>
    <w:rsid w:val="00154A36"/>
    <w:rsid w:val="00157E26"/>
    <w:rsid w:val="00162C16"/>
    <w:rsid w:val="001630BE"/>
    <w:rsid w:val="001631C5"/>
    <w:rsid w:val="001639BC"/>
    <w:rsid w:val="00167246"/>
    <w:rsid w:val="00172630"/>
    <w:rsid w:val="00172961"/>
    <w:rsid w:val="00185DE3"/>
    <w:rsid w:val="00187E04"/>
    <w:rsid w:val="001957BD"/>
    <w:rsid w:val="001A0E1C"/>
    <w:rsid w:val="001A1E5A"/>
    <w:rsid w:val="001B0D52"/>
    <w:rsid w:val="001C4F93"/>
    <w:rsid w:val="001E55B7"/>
    <w:rsid w:val="001E631B"/>
    <w:rsid w:val="001F55CF"/>
    <w:rsid w:val="00202DC7"/>
    <w:rsid w:val="00210F21"/>
    <w:rsid w:val="00214075"/>
    <w:rsid w:val="00236C7F"/>
    <w:rsid w:val="00253080"/>
    <w:rsid w:val="00256BAC"/>
    <w:rsid w:val="002820A9"/>
    <w:rsid w:val="002851BD"/>
    <w:rsid w:val="002963C3"/>
    <w:rsid w:val="002A182B"/>
    <w:rsid w:val="002A4E7B"/>
    <w:rsid w:val="002A5D22"/>
    <w:rsid w:val="002A7115"/>
    <w:rsid w:val="002B391A"/>
    <w:rsid w:val="002B47BD"/>
    <w:rsid w:val="002C3CD5"/>
    <w:rsid w:val="002D4E88"/>
    <w:rsid w:val="002D6264"/>
    <w:rsid w:val="002D7456"/>
    <w:rsid w:val="002F10A4"/>
    <w:rsid w:val="00301059"/>
    <w:rsid w:val="00327E3F"/>
    <w:rsid w:val="0033014C"/>
    <w:rsid w:val="003341C0"/>
    <w:rsid w:val="00334BA8"/>
    <w:rsid w:val="00351256"/>
    <w:rsid w:val="00361330"/>
    <w:rsid w:val="00365078"/>
    <w:rsid w:val="00366EE7"/>
    <w:rsid w:val="003704FC"/>
    <w:rsid w:val="00372B32"/>
    <w:rsid w:val="00373345"/>
    <w:rsid w:val="00390546"/>
    <w:rsid w:val="0039089D"/>
    <w:rsid w:val="00390AE0"/>
    <w:rsid w:val="003A01AC"/>
    <w:rsid w:val="003A2063"/>
    <w:rsid w:val="003A4851"/>
    <w:rsid w:val="003B7218"/>
    <w:rsid w:val="003D0B9A"/>
    <w:rsid w:val="003D5776"/>
    <w:rsid w:val="003D6CA8"/>
    <w:rsid w:val="003E06B3"/>
    <w:rsid w:val="003E3F51"/>
    <w:rsid w:val="003F2C13"/>
    <w:rsid w:val="004066B1"/>
    <w:rsid w:val="00416606"/>
    <w:rsid w:val="00417510"/>
    <w:rsid w:val="00417BB3"/>
    <w:rsid w:val="00421224"/>
    <w:rsid w:val="0042578E"/>
    <w:rsid w:val="0043609D"/>
    <w:rsid w:val="0046063D"/>
    <w:rsid w:val="00461037"/>
    <w:rsid w:val="0049579B"/>
    <w:rsid w:val="00496361"/>
    <w:rsid w:val="004A5075"/>
    <w:rsid w:val="004A6F57"/>
    <w:rsid w:val="004B0E22"/>
    <w:rsid w:val="004B6B98"/>
    <w:rsid w:val="004B7AB7"/>
    <w:rsid w:val="004C15B8"/>
    <w:rsid w:val="004D0D52"/>
    <w:rsid w:val="004D64BE"/>
    <w:rsid w:val="004E2071"/>
    <w:rsid w:val="004E41FC"/>
    <w:rsid w:val="004E7EEB"/>
    <w:rsid w:val="005044B3"/>
    <w:rsid w:val="00512231"/>
    <w:rsid w:val="0051525A"/>
    <w:rsid w:val="0052156B"/>
    <w:rsid w:val="00530F93"/>
    <w:rsid w:val="00531CA3"/>
    <w:rsid w:val="00532273"/>
    <w:rsid w:val="005358D1"/>
    <w:rsid w:val="00542D92"/>
    <w:rsid w:val="005600C4"/>
    <w:rsid w:val="005723E7"/>
    <w:rsid w:val="00573AE1"/>
    <w:rsid w:val="00577CDF"/>
    <w:rsid w:val="00577D6F"/>
    <w:rsid w:val="00583D16"/>
    <w:rsid w:val="00585205"/>
    <w:rsid w:val="00587556"/>
    <w:rsid w:val="00592689"/>
    <w:rsid w:val="00596692"/>
    <w:rsid w:val="00596B72"/>
    <w:rsid w:val="005A3FB8"/>
    <w:rsid w:val="005A4328"/>
    <w:rsid w:val="005A6B4B"/>
    <w:rsid w:val="005B3879"/>
    <w:rsid w:val="005B59F5"/>
    <w:rsid w:val="005B6345"/>
    <w:rsid w:val="005C6A79"/>
    <w:rsid w:val="005D27CD"/>
    <w:rsid w:val="005E4393"/>
    <w:rsid w:val="005F5D1E"/>
    <w:rsid w:val="005F6D01"/>
    <w:rsid w:val="005F6F83"/>
    <w:rsid w:val="00605136"/>
    <w:rsid w:val="00611309"/>
    <w:rsid w:val="0062329F"/>
    <w:rsid w:val="00626AAD"/>
    <w:rsid w:val="0062784C"/>
    <w:rsid w:val="00632D0E"/>
    <w:rsid w:val="00636699"/>
    <w:rsid w:val="0064080D"/>
    <w:rsid w:val="00640E21"/>
    <w:rsid w:val="00666B69"/>
    <w:rsid w:val="00671A46"/>
    <w:rsid w:val="00674D29"/>
    <w:rsid w:val="00686621"/>
    <w:rsid w:val="00695C8B"/>
    <w:rsid w:val="006A7EEA"/>
    <w:rsid w:val="006B2144"/>
    <w:rsid w:val="006B3691"/>
    <w:rsid w:val="006C5BE9"/>
    <w:rsid w:val="006C5FFD"/>
    <w:rsid w:val="006F5FE2"/>
    <w:rsid w:val="00701F26"/>
    <w:rsid w:val="00705C63"/>
    <w:rsid w:val="0072046B"/>
    <w:rsid w:val="0073108E"/>
    <w:rsid w:val="00742E3E"/>
    <w:rsid w:val="00750D18"/>
    <w:rsid w:val="00752E63"/>
    <w:rsid w:val="007613DA"/>
    <w:rsid w:val="0076261F"/>
    <w:rsid w:val="007634DC"/>
    <w:rsid w:val="00777508"/>
    <w:rsid w:val="00777D89"/>
    <w:rsid w:val="0078452F"/>
    <w:rsid w:val="0079745C"/>
    <w:rsid w:val="007B3572"/>
    <w:rsid w:val="007C04F9"/>
    <w:rsid w:val="007D5FB4"/>
    <w:rsid w:val="007D6040"/>
    <w:rsid w:val="007E374E"/>
    <w:rsid w:val="007E6AC1"/>
    <w:rsid w:val="008015B2"/>
    <w:rsid w:val="008033C9"/>
    <w:rsid w:val="00804B27"/>
    <w:rsid w:val="0081353B"/>
    <w:rsid w:val="00822C6B"/>
    <w:rsid w:val="008308C3"/>
    <w:rsid w:val="008405D8"/>
    <w:rsid w:val="00840DA6"/>
    <w:rsid w:val="0084770E"/>
    <w:rsid w:val="00854DF5"/>
    <w:rsid w:val="00877A5B"/>
    <w:rsid w:val="008803F9"/>
    <w:rsid w:val="00882B34"/>
    <w:rsid w:val="0088370C"/>
    <w:rsid w:val="00890B11"/>
    <w:rsid w:val="008A2A58"/>
    <w:rsid w:val="008A4712"/>
    <w:rsid w:val="008B4821"/>
    <w:rsid w:val="008C349D"/>
    <w:rsid w:val="008C40A0"/>
    <w:rsid w:val="008D5095"/>
    <w:rsid w:val="008E2D79"/>
    <w:rsid w:val="008E4B7B"/>
    <w:rsid w:val="008E6AEB"/>
    <w:rsid w:val="008F5311"/>
    <w:rsid w:val="00900B01"/>
    <w:rsid w:val="009175F8"/>
    <w:rsid w:val="00923385"/>
    <w:rsid w:val="00923A89"/>
    <w:rsid w:val="00945ABE"/>
    <w:rsid w:val="00947737"/>
    <w:rsid w:val="00954DD0"/>
    <w:rsid w:val="009601D7"/>
    <w:rsid w:val="00972162"/>
    <w:rsid w:val="009761CE"/>
    <w:rsid w:val="00981AA7"/>
    <w:rsid w:val="009A405A"/>
    <w:rsid w:val="009A53B9"/>
    <w:rsid w:val="009A728F"/>
    <w:rsid w:val="009B2A13"/>
    <w:rsid w:val="009B486D"/>
    <w:rsid w:val="009B691C"/>
    <w:rsid w:val="009C2F87"/>
    <w:rsid w:val="009D0670"/>
    <w:rsid w:val="009D2B15"/>
    <w:rsid w:val="009D76C0"/>
    <w:rsid w:val="009E1B32"/>
    <w:rsid w:val="009E316C"/>
    <w:rsid w:val="009E336D"/>
    <w:rsid w:val="009F352C"/>
    <w:rsid w:val="009F46DD"/>
    <w:rsid w:val="009F5791"/>
    <w:rsid w:val="009F719D"/>
    <w:rsid w:val="00A03F39"/>
    <w:rsid w:val="00A10ECE"/>
    <w:rsid w:val="00A31050"/>
    <w:rsid w:val="00A472C5"/>
    <w:rsid w:val="00A53AE6"/>
    <w:rsid w:val="00A557FF"/>
    <w:rsid w:val="00A675C7"/>
    <w:rsid w:val="00A7334F"/>
    <w:rsid w:val="00A800D9"/>
    <w:rsid w:val="00A8222C"/>
    <w:rsid w:val="00A96C65"/>
    <w:rsid w:val="00A971DB"/>
    <w:rsid w:val="00AA0DE2"/>
    <w:rsid w:val="00AA23FB"/>
    <w:rsid w:val="00AC365E"/>
    <w:rsid w:val="00AC48C8"/>
    <w:rsid w:val="00AC7B9C"/>
    <w:rsid w:val="00AD5062"/>
    <w:rsid w:val="00AD5B42"/>
    <w:rsid w:val="00AE0A99"/>
    <w:rsid w:val="00AE1655"/>
    <w:rsid w:val="00AE3EB4"/>
    <w:rsid w:val="00AF3453"/>
    <w:rsid w:val="00B03CE1"/>
    <w:rsid w:val="00B044AB"/>
    <w:rsid w:val="00B0490E"/>
    <w:rsid w:val="00B31F5F"/>
    <w:rsid w:val="00B36435"/>
    <w:rsid w:val="00B47538"/>
    <w:rsid w:val="00B517AD"/>
    <w:rsid w:val="00B53FBC"/>
    <w:rsid w:val="00B558EA"/>
    <w:rsid w:val="00B66AEE"/>
    <w:rsid w:val="00B8151A"/>
    <w:rsid w:val="00B86BFA"/>
    <w:rsid w:val="00B9242E"/>
    <w:rsid w:val="00B92FD2"/>
    <w:rsid w:val="00BB7275"/>
    <w:rsid w:val="00BB7407"/>
    <w:rsid w:val="00BC4616"/>
    <w:rsid w:val="00BD29D1"/>
    <w:rsid w:val="00BD3544"/>
    <w:rsid w:val="00BE758F"/>
    <w:rsid w:val="00BF4FD2"/>
    <w:rsid w:val="00BF525D"/>
    <w:rsid w:val="00C008E3"/>
    <w:rsid w:val="00C10ABE"/>
    <w:rsid w:val="00C120F6"/>
    <w:rsid w:val="00C3386B"/>
    <w:rsid w:val="00C33EEB"/>
    <w:rsid w:val="00C46647"/>
    <w:rsid w:val="00C4686F"/>
    <w:rsid w:val="00C47390"/>
    <w:rsid w:val="00C5485C"/>
    <w:rsid w:val="00C60168"/>
    <w:rsid w:val="00C80889"/>
    <w:rsid w:val="00C95FF5"/>
    <w:rsid w:val="00CA2D47"/>
    <w:rsid w:val="00CB1A51"/>
    <w:rsid w:val="00CB51EE"/>
    <w:rsid w:val="00CC213A"/>
    <w:rsid w:val="00CC4247"/>
    <w:rsid w:val="00CC6143"/>
    <w:rsid w:val="00CC6D7D"/>
    <w:rsid w:val="00CD43DF"/>
    <w:rsid w:val="00CE127B"/>
    <w:rsid w:val="00CE4495"/>
    <w:rsid w:val="00CE596B"/>
    <w:rsid w:val="00CF39B1"/>
    <w:rsid w:val="00CF6742"/>
    <w:rsid w:val="00CF78D5"/>
    <w:rsid w:val="00D12013"/>
    <w:rsid w:val="00D122FE"/>
    <w:rsid w:val="00D220B9"/>
    <w:rsid w:val="00D22D4D"/>
    <w:rsid w:val="00D35EB8"/>
    <w:rsid w:val="00D44563"/>
    <w:rsid w:val="00D50F27"/>
    <w:rsid w:val="00D5164A"/>
    <w:rsid w:val="00D57C02"/>
    <w:rsid w:val="00D730D2"/>
    <w:rsid w:val="00D84154"/>
    <w:rsid w:val="00D97740"/>
    <w:rsid w:val="00DA0CBF"/>
    <w:rsid w:val="00DB0A38"/>
    <w:rsid w:val="00DC0B5D"/>
    <w:rsid w:val="00DC7C97"/>
    <w:rsid w:val="00DD3059"/>
    <w:rsid w:val="00DD4F08"/>
    <w:rsid w:val="00DE1672"/>
    <w:rsid w:val="00E16400"/>
    <w:rsid w:val="00E2110B"/>
    <w:rsid w:val="00E30413"/>
    <w:rsid w:val="00E31860"/>
    <w:rsid w:val="00E356AA"/>
    <w:rsid w:val="00E423AE"/>
    <w:rsid w:val="00E46198"/>
    <w:rsid w:val="00E50349"/>
    <w:rsid w:val="00E5570E"/>
    <w:rsid w:val="00E567C1"/>
    <w:rsid w:val="00E66CA3"/>
    <w:rsid w:val="00E67450"/>
    <w:rsid w:val="00E93587"/>
    <w:rsid w:val="00EB21E8"/>
    <w:rsid w:val="00EB7605"/>
    <w:rsid w:val="00EB7FAE"/>
    <w:rsid w:val="00EC5670"/>
    <w:rsid w:val="00ED0352"/>
    <w:rsid w:val="00EE4835"/>
    <w:rsid w:val="00EE6122"/>
    <w:rsid w:val="00EF2DF4"/>
    <w:rsid w:val="00EF3B84"/>
    <w:rsid w:val="00F01A9A"/>
    <w:rsid w:val="00F1298D"/>
    <w:rsid w:val="00F13768"/>
    <w:rsid w:val="00F147FD"/>
    <w:rsid w:val="00F15188"/>
    <w:rsid w:val="00F344ED"/>
    <w:rsid w:val="00F457CC"/>
    <w:rsid w:val="00F461A2"/>
    <w:rsid w:val="00F516A9"/>
    <w:rsid w:val="00F80427"/>
    <w:rsid w:val="00F9232E"/>
    <w:rsid w:val="00F92D28"/>
    <w:rsid w:val="00FB02F2"/>
    <w:rsid w:val="00FB78F4"/>
    <w:rsid w:val="00FC07AF"/>
    <w:rsid w:val="00FC362E"/>
    <w:rsid w:val="00FC39F8"/>
    <w:rsid w:val="00FD2505"/>
    <w:rsid w:val="00FE48D2"/>
    <w:rsid w:val="00FE5491"/>
    <w:rsid w:val="00FF0F23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5205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8E2D79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8E2D79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D33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semiHidden/>
    <w:rsid w:val="00D3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staisWeb">
    <w:name w:val="Normal (Web)"/>
    <w:basedOn w:val="Parastais"/>
    <w:uiPriority w:val="99"/>
    <w:rsid w:val="00585205"/>
    <w:pPr>
      <w:spacing w:before="100" w:beforeAutospacing="1" w:after="100" w:afterAutospacing="1"/>
    </w:pPr>
  </w:style>
  <w:style w:type="paragraph" w:customStyle="1" w:styleId="naisf">
    <w:name w:val="naisf"/>
    <w:basedOn w:val="Parastais"/>
    <w:uiPriority w:val="99"/>
    <w:rsid w:val="00585205"/>
    <w:pPr>
      <w:spacing w:before="75" w:after="75"/>
      <w:ind w:firstLine="375"/>
      <w:jc w:val="both"/>
    </w:pPr>
  </w:style>
  <w:style w:type="paragraph" w:customStyle="1" w:styleId="naisc">
    <w:name w:val="naisc"/>
    <w:basedOn w:val="Parastais"/>
    <w:uiPriority w:val="99"/>
    <w:rsid w:val="00585205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Parastais"/>
    <w:uiPriority w:val="99"/>
    <w:rsid w:val="00585205"/>
    <w:pPr>
      <w:spacing w:before="75" w:after="75"/>
      <w:jc w:val="right"/>
    </w:pPr>
  </w:style>
  <w:style w:type="character" w:styleId="Hipersaite">
    <w:name w:val="Hyperlink"/>
    <w:uiPriority w:val="99"/>
    <w:rsid w:val="00585205"/>
    <w:rPr>
      <w:rFonts w:cs="Times New Roman"/>
      <w:color w:val="0000FF"/>
      <w:u w:val="single"/>
    </w:rPr>
  </w:style>
  <w:style w:type="paragraph" w:styleId="Kjene">
    <w:name w:val="footer"/>
    <w:basedOn w:val="Parastais"/>
    <w:link w:val="KjeneRakstz"/>
    <w:uiPriority w:val="99"/>
    <w:rsid w:val="00585205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link w:val="Kjene"/>
    <w:uiPriority w:val="99"/>
    <w:semiHidden/>
    <w:rsid w:val="00D33814"/>
    <w:rPr>
      <w:sz w:val="24"/>
      <w:szCs w:val="24"/>
    </w:rPr>
  </w:style>
  <w:style w:type="paragraph" w:styleId="Galvene">
    <w:name w:val="header"/>
    <w:basedOn w:val="Parastais"/>
    <w:link w:val="GalveneRakstz"/>
    <w:uiPriority w:val="99"/>
    <w:rsid w:val="005852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D33814"/>
    <w:rPr>
      <w:sz w:val="24"/>
      <w:szCs w:val="24"/>
    </w:rPr>
  </w:style>
  <w:style w:type="character" w:styleId="Lappusesnumurs">
    <w:name w:val="page number"/>
    <w:uiPriority w:val="99"/>
    <w:rsid w:val="00585205"/>
    <w:rPr>
      <w:rFonts w:cs="Times New Roman"/>
    </w:rPr>
  </w:style>
  <w:style w:type="paragraph" w:customStyle="1" w:styleId="naiskr">
    <w:name w:val="naiskr"/>
    <w:basedOn w:val="Parastais"/>
    <w:uiPriority w:val="99"/>
    <w:rsid w:val="00585205"/>
    <w:pPr>
      <w:spacing w:before="100" w:beforeAutospacing="1" w:after="100" w:afterAutospacing="1"/>
    </w:pPr>
  </w:style>
  <w:style w:type="paragraph" w:styleId="Pamattekstsaratkpi">
    <w:name w:val="Body Text Indent"/>
    <w:basedOn w:val="Parastais"/>
    <w:link w:val="PamattekstsaratkpiRakstz"/>
    <w:uiPriority w:val="99"/>
    <w:semiHidden/>
    <w:rsid w:val="00585205"/>
    <w:pPr>
      <w:ind w:firstLine="720"/>
      <w:jc w:val="both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D33814"/>
    <w:rPr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rsid w:val="00585205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D33814"/>
    <w:rPr>
      <w:sz w:val="24"/>
      <w:szCs w:val="24"/>
    </w:rPr>
  </w:style>
  <w:style w:type="paragraph" w:customStyle="1" w:styleId="CharChar2CharCharCharCharCharChar">
    <w:name w:val="Char Char2 Char Char Char Char Char Char"/>
    <w:basedOn w:val="Parastais"/>
    <w:uiPriority w:val="99"/>
    <w:rsid w:val="0058520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162C1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33814"/>
    <w:rPr>
      <w:sz w:val="0"/>
      <w:szCs w:val="0"/>
    </w:rPr>
  </w:style>
  <w:style w:type="paragraph" w:customStyle="1" w:styleId="naisvisr">
    <w:name w:val="naisvisr"/>
    <w:basedOn w:val="Parastais"/>
    <w:uiPriority w:val="99"/>
    <w:rsid w:val="00236C7F"/>
    <w:pPr>
      <w:spacing w:before="100" w:beforeAutospacing="1" w:after="100" w:afterAutospacing="1"/>
    </w:pPr>
    <w:rPr>
      <w:lang w:eastAsia="en-US"/>
    </w:rPr>
  </w:style>
  <w:style w:type="paragraph" w:customStyle="1" w:styleId="CharCharRakstzCharCharRakstzCharChar">
    <w:name w:val="Char Char Rakstz. Char Char Rakstz. Char Char"/>
    <w:basedOn w:val="Parastais"/>
    <w:uiPriority w:val="99"/>
    <w:rsid w:val="00154A36"/>
    <w:pPr>
      <w:spacing w:before="40"/>
    </w:pPr>
    <w:rPr>
      <w:lang w:val="pl-PL" w:eastAsia="pl-PL"/>
    </w:rPr>
  </w:style>
  <w:style w:type="character" w:styleId="Komentraatsauce">
    <w:name w:val="annotation reference"/>
    <w:uiPriority w:val="99"/>
    <w:rsid w:val="004C15B8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rsid w:val="004C15B8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4C15B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C15B8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4C15B8"/>
    <w:rPr>
      <w:rFonts w:cs="Times New Roman"/>
      <w:b/>
    </w:rPr>
  </w:style>
  <w:style w:type="character" w:styleId="Izteiksmgs">
    <w:name w:val="Strong"/>
    <w:uiPriority w:val="99"/>
    <w:qFormat/>
    <w:rsid w:val="0049579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85205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E2D79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E2D79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D338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semiHidden/>
    <w:rsid w:val="00D3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ststmeklis">
    <w:name w:val="Normal (Web)"/>
    <w:basedOn w:val="Parasts"/>
    <w:uiPriority w:val="99"/>
    <w:rsid w:val="00585205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585205"/>
    <w:pPr>
      <w:spacing w:before="75" w:after="75"/>
      <w:ind w:firstLine="375"/>
      <w:jc w:val="both"/>
    </w:pPr>
  </w:style>
  <w:style w:type="paragraph" w:customStyle="1" w:styleId="naisc">
    <w:name w:val="naisc"/>
    <w:basedOn w:val="Parasts"/>
    <w:uiPriority w:val="99"/>
    <w:rsid w:val="00585205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Parasts"/>
    <w:uiPriority w:val="99"/>
    <w:rsid w:val="00585205"/>
    <w:pPr>
      <w:spacing w:before="75" w:after="75"/>
      <w:jc w:val="right"/>
    </w:pPr>
  </w:style>
  <w:style w:type="character" w:styleId="Hipersaite">
    <w:name w:val="Hyperlink"/>
    <w:uiPriority w:val="99"/>
    <w:rsid w:val="00585205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585205"/>
    <w:pPr>
      <w:tabs>
        <w:tab w:val="center" w:pos="4153"/>
        <w:tab w:val="right" w:pos="8306"/>
      </w:tabs>
    </w:pPr>
    <w:rPr>
      <w:szCs w:val="20"/>
    </w:rPr>
  </w:style>
  <w:style w:type="character" w:customStyle="1" w:styleId="KjeneRakstz">
    <w:name w:val="Kājene Rakstz."/>
    <w:link w:val="Kjene"/>
    <w:uiPriority w:val="99"/>
    <w:semiHidden/>
    <w:rsid w:val="00D33814"/>
    <w:rPr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5852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D33814"/>
    <w:rPr>
      <w:sz w:val="24"/>
      <w:szCs w:val="24"/>
    </w:rPr>
  </w:style>
  <w:style w:type="character" w:styleId="Lappusesnumurs">
    <w:name w:val="page number"/>
    <w:uiPriority w:val="99"/>
    <w:rsid w:val="00585205"/>
    <w:rPr>
      <w:rFonts w:cs="Times New Roman"/>
    </w:rPr>
  </w:style>
  <w:style w:type="paragraph" w:customStyle="1" w:styleId="naiskr">
    <w:name w:val="naiskr"/>
    <w:basedOn w:val="Parasts"/>
    <w:uiPriority w:val="99"/>
    <w:rsid w:val="00585205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uiPriority w:val="99"/>
    <w:semiHidden/>
    <w:rsid w:val="00585205"/>
    <w:pPr>
      <w:ind w:firstLine="720"/>
      <w:jc w:val="both"/>
    </w:pPr>
    <w:rPr>
      <w:sz w:val="28"/>
      <w:szCs w:val="20"/>
      <w:lang w:eastAsia="en-US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D33814"/>
    <w:rPr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585205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D33814"/>
    <w:rPr>
      <w:sz w:val="24"/>
      <w:szCs w:val="24"/>
    </w:rPr>
  </w:style>
  <w:style w:type="paragraph" w:customStyle="1" w:styleId="CharChar2CharCharCharCharCharChar">
    <w:name w:val="Char Char2 Char Char Char Char Char Char"/>
    <w:basedOn w:val="Parasts"/>
    <w:uiPriority w:val="99"/>
    <w:rsid w:val="0058520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162C1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33814"/>
    <w:rPr>
      <w:sz w:val="0"/>
      <w:szCs w:val="0"/>
    </w:rPr>
  </w:style>
  <w:style w:type="paragraph" w:customStyle="1" w:styleId="naisvisr">
    <w:name w:val="naisvisr"/>
    <w:basedOn w:val="Parasts"/>
    <w:uiPriority w:val="99"/>
    <w:rsid w:val="00236C7F"/>
    <w:pPr>
      <w:spacing w:before="100" w:beforeAutospacing="1" w:after="100" w:afterAutospacing="1"/>
    </w:pPr>
    <w:rPr>
      <w:lang w:eastAsia="en-US"/>
    </w:rPr>
  </w:style>
  <w:style w:type="paragraph" w:customStyle="1" w:styleId="CharCharRakstzCharCharRakstzCharChar">
    <w:name w:val="Char Char Rakstz. Char Char Rakstz. Char Char"/>
    <w:basedOn w:val="Parasts"/>
    <w:uiPriority w:val="99"/>
    <w:rsid w:val="00154A36"/>
    <w:pPr>
      <w:spacing w:before="40"/>
    </w:pPr>
    <w:rPr>
      <w:lang w:val="pl-PL" w:eastAsia="pl-PL"/>
    </w:rPr>
  </w:style>
  <w:style w:type="character" w:styleId="Komentraatsauce">
    <w:name w:val="annotation reference"/>
    <w:uiPriority w:val="99"/>
    <w:rsid w:val="004C15B8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4C15B8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4C15B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C15B8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4C15B8"/>
    <w:rPr>
      <w:rFonts w:cs="Times New Roman"/>
      <w:b/>
    </w:rPr>
  </w:style>
  <w:style w:type="character" w:styleId="Izteiksmgs">
    <w:name w:val="Strong"/>
    <w:uiPriority w:val="99"/>
    <w:qFormat/>
    <w:rsid w:val="0049579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2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3474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68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3474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474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474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1412</Words>
  <Characters>9886</Characters>
  <Application>Microsoft Office Word</Application>
  <DocSecurity>0</DocSecurity>
  <Lines>411</Lines>
  <Paragraphs>156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"Grozījumi Ministru kabineta 2007.gada 19.jūnija noteikumos Nr.405 "Putnu gripas uzliesmojuma likvidēšanas un draudu novēršanas kārtība" sākotnējās ietekmes novērtējuma ziņojums (anotācija)</vt:lpstr>
    </vt:vector>
  </TitlesOfParts>
  <Company>Zemkopības ministrija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2007.gada 19.jūnija noteikumos Nr.405 "Putnu gripas uzliesmojuma likvidēšanas un draudu novēršanas kārtība" sākotnējās ietekmes novērtējuma ziņojums (anotācija)</dc:title>
  <dc:subject>sākotnējās ietekmes novērtējuma ziņojums (anotācija)</dc:subject>
  <dc:creator>Olita Vecuma-Veco</dc:creator>
  <cp:keywords/>
  <dc:description>Olita.Vecuma-Veco@zm.gov.lv, 67027551</dc:description>
  <cp:lastModifiedBy>Renārs Žagars</cp:lastModifiedBy>
  <cp:revision>8</cp:revision>
  <cp:lastPrinted>2009-05-14T08:36:00Z</cp:lastPrinted>
  <dcterms:created xsi:type="dcterms:W3CDTF">2012-12-11T10:25:00Z</dcterms:created>
  <dcterms:modified xsi:type="dcterms:W3CDTF">2013-01-15T07:46:00Z</dcterms:modified>
</cp:coreProperties>
</file>