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09" w:rsidRPr="008C18B1" w:rsidRDefault="00EA1709" w:rsidP="009D6184">
      <w:pPr>
        <w:pStyle w:val="Parasts1"/>
        <w:jc w:val="center"/>
        <w:rPr>
          <w:b/>
          <w:sz w:val="28"/>
          <w:szCs w:val="28"/>
        </w:rPr>
      </w:pPr>
      <w:bookmarkStart w:id="0" w:name="OLE_LINK3"/>
      <w:bookmarkStart w:id="1" w:name="OLE_LINK4"/>
      <w:bookmarkStart w:id="2" w:name="OLE_LINK7"/>
      <w:bookmarkStart w:id="3" w:name="OLE_LINK1"/>
      <w:bookmarkStart w:id="4" w:name="OLE_LINK2"/>
      <w:bookmarkStart w:id="5" w:name="OLE_LINK5"/>
      <w:bookmarkStart w:id="6" w:name="OLE_LINK6"/>
      <w:r w:rsidRPr="008C18B1">
        <w:rPr>
          <w:b/>
          <w:sz w:val="28"/>
          <w:szCs w:val="28"/>
        </w:rPr>
        <w:t xml:space="preserve">Likumprojekta „Grozījumi Ģenētiski modificēto organismu aprites likumā” </w:t>
      </w:r>
      <w:bookmarkEnd w:id="0"/>
      <w:bookmarkEnd w:id="1"/>
      <w:bookmarkEnd w:id="2"/>
      <w:r w:rsidRPr="008C18B1">
        <w:rPr>
          <w:b/>
          <w:sz w:val="28"/>
          <w:szCs w:val="28"/>
        </w:rPr>
        <w:t xml:space="preserve">sākotnējās ietekmes novērtējuma </w:t>
      </w:r>
      <w:smartTag w:uri="schemas-tilde-lv/tildestengine" w:element="veidnes">
        <w:smartTagPr>
          <w:attr w:name="id" w:val="-1"/>
          <w:attr w:name="baseform" w:val="ziņojums"/>
          <w:attr w:name="text" w:val="ziņojums"/>
        </w:smartTagPr>
        <w:r w:rsidRPr="008C18B1">
          <w:rPr>
            <w:b/>
            <w:sz w:val="28"/>
            <w:szCs w:val="28"/>
          </w:rPr>
          <w:t>ziņojums</w:t>
        </w:r>
      </w:smartTag>
      <w:bookmarkEnd w:id="3"/>
      <w:bookmarkEnd w:id="4"/>
      <w:r w:rsidRPr="008C18B1">
        <w:rPr>
          <w:b/>
          <w:sz w:val="28"/>
          <w:szCs w:val="28"/>
        </w:rPr>
        <w:t xml:space="preserve"> (anotācija)</w:t>
      </w:r>
      <w:bookmarkEnd w:id="5"/>
      <w:bookmarkEnd w:id="6"/>
    </w:p>
    <w:p w:rsidR="00EA1709" w:rsidRPr="008C18B1" w:rsidRDefault="00EA1709" w:rsidP="009D6184">
      <w:pPr>
        <w:pStyle w:val="Parasts1"/>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1842"/>
        <w:gridCol w:w="7207"/>
      </w:tblGrid>
      <w:tr w:rsidR="00EA1709" w:rsidRPr="008C18B1" w:rsidTr="007974B4">
        <w:tc>
          <w:tcPr>
            <w:tcW w:w="9480" w:type="dxa"/>
            <w:gridSpan w:val="3"/>
            <w:vAlign w:val="center"/>
          </w:tcPr>
          <w:p w:rsidR="00EA1709" w:rsidRPr="008C18B1" w:rsidRDefault="00EA1709" w:rsidP="009D6184">
            <w:pPr>
              <w:pStyle w:val="Parasts1"/>
              <w:jc w:val="center"/>
              <w:rPr>
                <w:b/>
              </w:rPr>
            </w:pPr>
            <w:r w:rsidRPr="008C18B1">
              <w:rPr>
                <w:b/>
              </w:rPr>
              <w:t>I. Tiesību akta projekta izstrādes nepieciešamība</w:t>
            </w:r>
          </w:p>
        </w:tc>
      </w:tr>
      <w:tr w:rsidR="00EA1709" w:rsidRPr="008C18B1" w:rsidTr="00F26B67">
        <w:trPr>
          <w:trHeight w:val="289"/>
        </w:trPr>
        <w:tc>
          <w:tcPr>
            <w:tcW w:w="431" w:type="dxa"/>
          </w:tcPr>
          <w:p w:rsidR="00EA1709" w:rsidRPr="008C18B1" w:rsidRDefault="00EA1709" w:rsidP="009D6184">
            <w:pPr>
              <w:pStyle w:val="Parasts1"/>
            </w:pPr>
            <w:r w:rsidRPr="008C18B1">
              <w:t>1.</w:t>
            </w:r>
          </w:p>
        </w:tc>
        <w:tc>
          <w:tcPr>
            <w:tcW w:w="1842" w:type="dxa"/>
          </w:tcPr>
          <w:p w:rsidR="00EA1709" w:rsidRPr="008C18B1" w:rsidRDefault="00EA1709" w:rsidP="009D6184">
            <w:pPr>
              <w:pStyle w:val="Parasts1"/>
            </w:pPr>
            <w:r w:rsidRPr="008C18B1">
              <w:t>Pamatojums</w:t>
            </w:r>
          </w:p>
        </w:tc>
        <w:tc>
          <w:tcPr>
            <w:tcW w:w="7207" w:type="dxa"/>
          </w:tcPr>
          <w:p w:rsidR="00EA1709" w:rsidRPr="002B7CF2" w:rsidRDefault="00EA1709" w:rsidP="009D6184">
            <w:pPr>
              <w:pStyle w:val="Parasts1"/>
              <w:jc w:val="both"/>
            </w:pPr>
            <w:r w:rsidRPr="002B7CF2">
              <w:t>Ministru kabineta 2012.gada 3.augusta rīkojums Nr.369 „Grozījumi Ministru kabineta 2009.gada 19.oktobra rīkojumā Nr.714 "Par Pārtikas un veterinārā dienesta un valsts aģentūras "Latvijas Zivju resursu aģentūra" reorganizāciju un valsts zinātniskā institūta "Pārtikas drošības, dzīvnieku veselības un vides zinātniskais institūts" izveidi".</w:t>
            </w:r>
          </w:p>
        </w:tc>
      </w:tr>
      <w:tr w:rsidR="00EA1709" w:rsidRPr="008C18B1" w:rsidTr="00F26B67">
        <w:trPr>
          <w:trHeight w:val="558"/>
        </w:trPr>
        <w:tc>
          <w:tcPr>
            <w:tcW w:w="431" w:type="dxa"/>
          </w:tcPr>
          <w:p w:rsidR="00EA1709" w:rsidRPr="008C18B1" w:rsidRDefault="00EA1709" w:rsidP="009D6184">
            <w:pPr>
              <w:pStyle w:val="Parasts1"/>
            </w:pPr>
            <w:r w:rsidRPr="008C18B1">
              <w:t>2.</w:t>
            </w:r>
          </w:p>
        </w:tc>
        <w:tc>
          <w:tcPr>
            <w:tcW w:w="1842" w:type="dxa"/>
          </w:tcPr>
          <w:p w:rsidR="00EA1709" w:rsidRPr="008C18B1" w:rsidRDefault="00EA1709" w:rsidP="009D6184">
            <w:pPr>
              <w:pStyle w:val="Parasts1"/>
            </w:pPr>
            <w:r w:rsidRPr="008C18B1">
              <w:t>Pašreizējā situācija un problēmas</w:t>
            </w:r>
          </w:p>
        </w:tc>
        <w:tc>
          <w:tcPr>
            <w:tcW w:w="7207" w:type="dxa"/>
          </w:tcPr>
          <w:p w:rsidR="00EA1709" w:rsidRPr="00A25832" w:rsidRDefault="00EA1709" w:rsidP="009D6184">
            <w:pPr>
              <w:pStyle w:val="Parasts1"/>
              <w:jc w:val="both"/>
            </w:pPr>
            <w:r w:rsidRPr="00A25832">
              <w:t>Patlaban ģenētiski modificēto organismu riska novērtēšana ir Pārtikas un veterinārā dienesta (turpmāk – dienests) kompetencē. Līdz 2012.gada 31.decembrim dienestā bija izveidota atsevišķa struktūrvienība – Pārtikas un veterinārā</w:t>
            </w:r>
            <w:r w:rsidR="00AB2452">
              <w:t xml:space="preserve"> dienesta (turpmāk – dienests) </w:t>
            </w:r>
            <w:r w:rsidRPr="00A25832">
              <w:t>Novērtēšanas un reģistrācijas centrs, kas veica pārtikas, tostarp ģenētiski modificēto organismu (turpmāk – ĢMO), riska novērtēšanu un pildīja arī Eiropas Pārtikas nekaitīguma iestādes kontaktpunkta Latvijā uzdevumus. Ar 2013.gada 1.janvāri dienesta Novērtēšanas un reģistrācijas centram ir mainīts statu</w:t>
            </w:r>
            <w:r w:rsidR="00AB2452">
              <w:t>s</w:t>
            </w:r>
            <w:r w:rsidRPr="00A25832">
              <w:t>s un tas pārveidots par dienesta Novērtēšanas un reģistrācijas departamentu.</w:t>
            </w:r>
          </w:p>
          <w:p w:rsidR="00EA1709" w:rsidRPr="00A25832" w:rsidRDefault="00AB2452" w:rsidP="009D6184">
            <w:pPr>
              <w:pStyle w:val="Parasts1"/>
              <w:jc w:val="both"/>
            </w:pPr>
            <w:r>
              <w:t>No</w:t>
            </w:r>
            <w:r w:rsidR="00EA1709" w:rsidRPr="00A25832">
              <w:t xml:space="preserve"> 2013.gada 1.janvār</w:t>
            </w:r>
            <w:r>
              <w:t>a</w:t>
            </w:r>
            <w:r w:rsidR="00EA1709" w:rsidRPr="00A25832">
              <w:t xml:space="preserve"> Zemkopības ministrija kā atbildīgā institūcija sadarbībai ar Eiropas Pārtikas nekaitīguma iestādi (saskaņā ar Ministru kabineta 2007.gada 27.jūnija rīkojumu Nr.397 „</w:t>
            </w:r>
            <w:r w:rsidR="00EA1709" w:rsidRPr="00A25832">
              <w:rPr>
                <w:bCs/>
              </w:rPr>
              <w:t>Par Latvijas Republikas dalību Eiropas Savienības aģentūrās</w:t>
            </w:r>
            <w:r w:rsidR="00EA1709" w:rsidRPr="00A25832">
              <w:t>””) kontaktpunkta pienākumus ir nodevusi valsts zinātniskajam institūtam „Pārtikas drošības, dzīvnieku veselības un vides zinātniskais institūts „BIOR”” (turpmāk – institūts).  Institūts arī nodrošina Latvijas pārstāvniecību Eiropas Pārtikas nekaitīguma iestādes Konsultatīvajā padomē un ir iestādes tiešās sadarbības partneris saskaņā ar Eiropas Parlamenta un Padomes 2002.gada 28.janvāra Regulu (EK) Nr.178/2002, ar ko paredz pārtikas aprites tiesību aktu vispārīgus principus un prasības, izveido Eiropas Pārtikas nekaitīguma iestādi un paredz procedūras saistībā ar pārtikas nekaitīgumu (turpmāk – Regula Nr.178/2002).</w:t>
            </w:r>
          </w:p>
          <w:p w:rsidR="00EA1709" w:rsidRPr="00A25832" w:rsidRDefault="00EA1709" w:rsidP="00E10BE8">
            <w:pPr>
              <w:pStyle w:val="Parasts1"/>
              <w:jc w:val="both"/>
            </w:pPr>
            <w:r w:rsidRPr="00A25832">
              <w:t>Nacionālais kontaktpunkts nodrošina informācijas apmaiņu un sadarbību starp institūcijām, kas minētas Regulas Nr.178/2002 36.pantā, Eiropas Pārtikas nekaitīguma iestādes aktivitāšu un darba rezultātu popularizēšanu, kā arī interesentu konsultēšanu un informēšanu par iestādes misijas jomām.</w:t>
            </w:r>
          </w:p>
          <w:p w:rsidR="00EA1709" w:rsidRPr="00A25832" w:rsidRDefault="00EA1709" w:rsidP="00E94E15">
            <w:pPr>
              <w:pStyle w:val="Parasts1"/>
              <w:jc w:val="both"/>
            </w:pPr>
            <w:r w:rsidRPr="00A25832">
              <w:t xml:space="preserve">Saskaņā ar Regulu Nr.178/2002 riska novērtēšanas kompetentā institūcija ir neatkarīgs zinātnisko konsultāciju, informācijas un riska paziņošanas avots. Regula Nr.178/2002 nosaka arī to, ka riska novērtēšana jāveic neatkarīgi, objektīvi un pārredzami, pamatojoties uz pieejamo zinātnisko informāciju un datiem. </w:t>
            </w:r>
          </w:p>
          <w:p w:rsidR="00EA1709" w:rsidRPr="00A25832" w:rsidRDefault="00EA1709" w:rsidP="00E94E15">
            <w:pPr>
              <w:pStyle w:val="Parasts1"/>
              <w:jc w:val="both"/>
            </w:pPr>
            <w:r w:rsidRPr="00A25832">
              <w:t>Lai nodrošinātu pārtikas aprites tiesību aktu vispārīgajiem principiem atbilstošu riska novērtēšanu Latvijā, riska novērtēšanas uzdevum</w:t>
            </w:r>
            <w:r w:rsidR="00AB2452">
              <w:t>i</w:t>
            </w:r>
            <w:r w:rsidRPr="00A25832">
              <w:t xml:space="preserve"> </w:t>
            </w:r>
            <w:r w:rsidR="00AB2452">
              <w:t>ir jā</w:t>
            </w:r>
            <w:r w:rsidRPr="00A25832">
              <w:t>nodo</w:t>
            </w:r>
            <w:r w:rsidR="00AB2452">
              <w:t>d</w:t>
            </w:r>
            <w:r w:rsidRPr="00A25832">
              <w:t xml:space="preserve"> institūtam. </w:t>
            </w:r>
          </w:p>
          <w:p w:rsidR="00EA1709" w:rsidRPr="00A25832" w:rsidRDefault="00EA1709" w:rsidP="00B452E5">
            <w:pPr>
              <w:pStyle w:val="Parasts1"/>
              <w:jc w:val="both"/>
            </w:pPr>
            <w:r w:rsidRPr="00A25832">
              <w:t>Tā kā riska novērtēšanas galvenais mērķis pirms atļaujas izdošanas ir noteikt, vai attiecīgais ĢMO ir cilvēkam un dzīvniekam un videi nekaitīgs un drošs, ir loģiski, ka atļaujas par ĢMO apriti izdošanas tiesības tiek piešķirtas institūtam, lai atvieglotu attiecīgā pārvaldes uzdevuma veikšanu, nedalot šos uzdevumus starp dažādām institūcijām, bet visu procesu veicot vienā kompetentā institūcijā.</w:t>
            </w:r>
          </w:p>
          <w:p w:rsidR="00EA1709" w:rsidRPr="00A25832" w:rsidRDefault="00EA1709" w:rsidP="00902B8A">
            <w:pPr>
              <w:pStyle w:val="Parasts1"/>
              <w:jc w:val="both"/>
            </w:pPr>
            <w:r w:rsidRPr="00A25832">
              <w:lastRenderedPageBreak/>
              <w:t xml:space="preserve">Institūta darbības joma vistiešāk atbilst Eiropas Pārtikas nekaitīguma iestādes uzdevumiem, jo tas pārsvarā veic zinātnisko darbību veterinārmedicīnas, pārtikas kvalitātes un nekaitīguma, zivsaimniecības un sabiedrības veselības jomā, nodrošinot neatkarīgu zinātnisko pamatojumu attīstības stratēģiju izstrādei zinātnes un augstākās izglītības sadarbības veicināšanai minētajās jomās, īsteno pētījumu projektus, lai novērtētu risku pārtikas nekaitīguma un dzīvnieku infekcijas slimību (arī </w:t>
            </w:r>
            <w:proofErr w:type="spellStart"/>
            <w:r w:rsidRPr="00A25832">
              <w:t>zoonožu</w:t>
            </w:r>
            <w:proofErr w:type="spellEnd"/>
            <w:r w:rsidRPr="00A25832">
              <w:t>) jomā, nodrošinot efektīvu sadarbību ar atbilstošajām institūcijām, citām zinātniskajām institūcijām un organizācijām, un sniedz informāciju riska vadības nodrošināšanai dzīvnieku infekcijas slimību jomā, veic laboratoriskos un diagnostiskos izmeklējumus saistībā ar valsts uzraudzību un kontroli pārtikas aprites, dzīvnieku veselības aizsardzības, dzīvnieku barības aprites un veterināro zāļu aprites jomā, pilda references laboratorijas funkcijas normatīvajos aktos noteiktajās jomās u.c.</w:t>
            </w:r>
          </w:p>
          <w:p w:rsidR="00EA1709" w:rsidRPr="00A25832" w:rsidRDefault="00EA1709" w:rsidP="00902B8A">
            <w:pPr>
              <w:pStyle w:val="Parasts1"/>
              <w:jc w:val="both"/>
            </w:pPr>
            <w:r w:rsidRPr="00A25832">
              <w:t>Tā kā sabiedrībā ir palielinājušās bažas par šķietami neatļautu ģenētiski modificēto kultūraugu audzēšanu Latvijā un pagājušā gada nogalē Lietuvā novāktajās rapša sēklās tika konstatēts nezināms ģenētiski modificēto organismu piemaisījums, Latvijas kompetentajām institūcijām ir jāizvērtē iespēja veikt uzraudzības un kontroles pasākumus arī Latvijā. Patlaban Valsts augu aizsardzības dienesta (turpmāk – VAAD) kompetencē nav  ģenētiski modificēto organismu uzraudzības un kontroles veikšana pie tiem kultūraugu audzētājiem, kas nav reģistrēti ģenētiski modificēto kultūraugu audzētāju reģistrā.</w:t>
            </w:r>
          </w:p>
          <w:p w:rsidR="00EA1709" w:rsidRPr="00A25832" w:rsidRDefault="00EA1709" w:rsidP="0011729D">
            <w:pPr>
              <w:pStyle w:val="Parasts1"/>
              <w:jc w:val="both"/>
            </w:pPr>
            <w:r w:rsidRPr="00A25832">
              <w:t>Lai nodrošinātu Ministru kabineta noteikumu projektā „Noteikumi par ģenētiski modificēto kultūraugu līdzāspastāvēšanu” paredzēto prasību izpildi, likumprojektā „Grozījumi Ģenētiski modificēto organismu aprites likumā” (turpmāk – likumprojekts) tiek precizētas VAAD tiesības un lēmumu pārsūdzēšanas laiks.</w:t>
            </w:r>
          </w:p>
        </w:tc>
      </w:tr>
      <w:tr w:rsidR="00EA1709" w:rsidRPr="008C18B1" w:rsidTr="00F26B67">
        <w:trPr>
          <w:trHeight w:val="530"/>
        </w:trPr>
        <w:tc>
          <w:tcPr>
            <w:tcW w:w="431" w:type="dxa"/>
          </w:tcPr>
          <w:p w:rsidR="00EA1709" w:rsidRPr="008C18B1" w:rsidRDefault="00EA1709" w:rsidP="009D6184">
            <w:pPr>
              <w:pStyle w:val="Parasts1"/>
            </w:pPr>
            <w:r w:rsidRPr="008C18B1">
              <w:lastRenderedPageBreak/>
              <w:t>3.</w:t>
            </w:r>
          </w:p>
        </w:tc>
        <w:tc>
          <w:tcPr>
            <w:tcW w:w="1842" w:type="dxa"/>
          </w:tcPr>
          <w:p w:rsidR="00EA1709" w:rsidRPr="008C18B1" w:rsidRDefault="00EA1709" w:rsidP="009D6184">
            <w:pPr>
              <w:pStyle w:val="Parasts1"/>
            </w:pPr>
            <w:r w:rsidRPr="008C18B1">
              <w:t>Saistītie politikas ietekmes novērtējumi un pētījumi</w:t>
            </w:r>
          </w:p>
        </w:tc>
        <w:tc>
          <w:tcPr>
            <w:tcW w:w="7207" w:type="dxa"/>
          </w:tcPr>
          <w:p w:rsidR="00EA1709" w:rsidRPr="00A25832" w:rsidRDefault="00EA1709" w:rsidP="009D6184">
            <w:pPr>
              <w:pStyle w:val="Parasts1"/>
            </w:pPr>
            <w:r w:rsidRPr="00A25832">
              <w:t>Likumprojekts šo jomu neskar.</w:t>
            </w:r>
          </w:p>
        </w:tc>
      </w:tr>
      <w:tr w:rsidR="00EA1709" w:rsidRPr="008C18B1" w:rsidTr="00F26B67">
        <w:trPr>
          <w:trHeight w:val="416"/>
        </w:trPr>
        <w:tc>
          <w:tcPr>
            <w:tcW w:w="431" w:type="dxa"/>
          </w:tcPr>
          <w:p w:rsidR="00EA1709" w:rsidRPr="008C18B1" w:rsidRDefault="00EA1709" w:rsidP="009D6184">
            <w:pPr>
              <w:pStyle w:val="Parasts1"/>
            </w:pPr>
            <w:r w:rsidRPr="008C18B1">
              <w:t>4.</w:t>
            </w:r>
          </w:p>
        </w:tc>
        <w:tc>
          <w:tcPr>
            <w:tcW w:w="1842" w:type="dxa"/>
          </w:tcPr>
          <w:p w:rsidR="00EA1709" w:rsidRPr="008C18B1" w:rsidRDefault="00EA1709" w:rsidP="009D6184">
            <w:pPr>
              <w:pStyle w:val="Parasts1"/>
            </w:pPr>
            <w:r w:rsidRPr="008C18B1">
              <w:t>Tiesiskā regulējuma mērķis un būtība</w:t>
            </w:r>
          </w:p>
        </w:tc>
        <w:tc>
          <w:tcPr>
            <w:tcW w:w="7207" w:type="dxa"/>
          </w:tcPr>
          <w:p w:rsidR="00EA1709" w:rsidRDefault="00EA1709" w:rsidP="009D6184">
            <w:pPr>
              <w:pStyle w:val="Parasts1"/>
              <w:jc w:val="both"/>
            </w:pPr>
            <w:r w:rsidRPr="00F26B67">
              <w:t xml:space="preserve">Likumprojekts sagatavots, lai precizētu kompetento institūciju </w:t>
            </w:r>
            <w:r>
              <w:t>–</w:t>
            </w:r>
            <w:r w:rsidRPr="00F26B67">
              <w:t xml:space="preserve"> dienesta, institūta un </w:t>
            </w:r>
            <w:r>
              <w:t xml:space="preserve">VAAD – </w:t>
            </w:r>
            <w:r w:rsidRPr="00F26B67">
              <w:t>atbildības jomu un tiesības. Turpmāk:</w:t>
            </w:r>
          </w:p>
          <w:p w:rsidR="00EA1709" w:rsidRDefault="00EA1709" w:rsidP="00D53DAE">
            <w:pPr>
              <w:pStyle w:val="Parasts1"/>
              <w:jc w:val="both"/>
            </w:pPr>
            <w:r>
              <w:t>1.</w:t>
            </w:r>
            <w:r w:rsidRPr="0025672B">
              <w:t xml:space="preserve"> dienests nodrošinās ģenētiski modificēto produktu (pārtikas un dzīvnieku barības, izņemot sēkl</w:t>
            </w:r>
            <w:r w:rsidR="00AB2452">
              <w:t>u</w:t>
            </w:r>
            <w:r w:rsidRPr="0025672B">
              <w:t>)</w:t>
            </w:r>
            <w:r>
              <w:t xml:space="preserve"> aprites uzraudzību un kontroli;</w:t>
            </w:r>
          </w:p>
          <w:p w:rsidR="00EA1709" w:rsidRDefault="00EA1709" w:rsidP="0025672B">
            <w:pPr>
              <w:pStyle w:val="Parasts1"/>
              <w:jc w:val="both"/>
            </w:pPr>
            <w:r>
              <w:t>2. institūts:</w:t>
            </w:r>
          </w:p>
          <w:p w:rsidR="00EA1709" w:rsidRDefault="00EA1709" w:rsidP="0025672B">
            <w:pPr>
              <w:pStyle w:val="Parasts1"/>
              <w:jc w:val="both"/>
            </w:pPr>
            <w:r>
              <w:t>2.1. izsniegs atļauju:</w:t>
            </w:r>
          </w:p>
          <w:p w:rsidR="00EA1709" w:rsidRDefault="00EA1709" w:rsidP="0025672B">
            <w:pPr>
              <w:pStyle w:val="Parasts1"/>
              <w:jc w:val="both"/>
            </w:pPr>
            <w:r>
              <w:t>a) ģenētiski modificēto mikroorganismu ierobežotai izmantošanai,</w:t>
            </w:r>
          </w:p>
          <w:p w:rsidR="00EA1709" w:rsidRDefault="00EA1709" w:rsidP="0025672B">
            <w:pPr>
              <w:pStyle w:val="Parasts1"/>
              <w:jc w:val="both"/>
            </w:pPr>
            <w:r>
              <w:t>b) ģenētiski modificēto organismu izplatīšanai vidē izmēģinājumiem,</w:t>
            </w:r>
          </w:p>
          <w:p w:rsidR="00EA1709" w:rsidRDefault="00EA1709" w:rsidP="0025672B">
            <w:pPr>
              <w:pStyle w:val="Parasts1"/>
              <w:jc w:val="both"/>
            </w:pPr>
            <w:r>
              <w:t>c) ģenētiski modificēto organismu izplatīšanai tirgū, izņemot atļauju Eiropas Parlamenta un Padomes 2003.gada 22.septembra Regulā (EK) Nr.1829/2003 par ģenētiski modificētu pārtiku un barību (Dokuments attiecas uz EEZ) (turpmāk — Eiropas Parlamenta un Padomes regula Nr.1829/2003) noteiktajām darbībām;</w:t>
            </w:r>
          </w:p>
          <w:p w:rsidR="00EA1709" w:rsidRPr="00A30350" w:rsidRDefault="00EA1709" w:rsidP="0025672B">
            <w:pPr>
              <w:pStyle w:val="Parasts1"/>
              <w:jc w:val="both"/>
            </w:pPr>
            <w:r w:rsidRPr="00A30350">
              <w:t>2.2. grozīs vai anulēs atļauju ģenētiski modificēto mikroorganismu ierobežotai izmantošanai un grozīs atļauju ģenētiski modificēto organismu izplatīšanai vidē izmēģinājumiem, ja pastāv draudi, ka attiecīgais ģenētiski modificētais organisms var nodarīt kaitējumu cilvēku un dzīvnieku veselībai vai videi;</w:t>
            </w:r>
          </w:p>
          <w:p w:rsidR="00EA1709" w:rsidRDefault="00EA1709" w:rsidP="00D53DAE">
            <w:pPr>
              <w:pStyle w:val="Parasts1"/>
              <w:jc w:val="both"/>
            </w:pPr>
            <w:r>
              <w:t xml:space="preserve">2.3. nodrošinās, lai Eiropas Pārtikas nekaitīguma iestādes, Eiropas Zāļu </w:t>
            </w:r>
            <w:r>
              <w:lastRenderedPageBreak/>
              <w:t>aģentūras un citu Eiropas Savienības dalībvalstu kompetento institūciju sagatavotie atzinumi par riska novērtēšanu sakarā ar ģenētiski modificēto organismu apzinātu izplatīšanu tiktu izskatīti atbilstoši Eiropas Parlamenta un Padomes regulai Nr.1829/2003 un Eiropas Parlamenta un Padomes 2004.gada 31.marta regulai (EK) Nr.726/2004, ar ko nosaka cilvēkiem paredzēto un veterināro zāļu reģistrēšanas un uzraudzības Kopienas procedūras un izveido Eiropas Zāļu aģentūru, kā arī normatīvajiem aktiem par ģenētiski modificēto organismu apzinātu izplatīšanu, monitoringa un atļaujas izsniegšanas kārtību, kā arī kārtību, kādā sniedzama informācija par ģenētiski modificēto organismu apriti un sabiedrības iesaistīšanu lēmumu pieņemšanas procesā;</w:t>
            </w:r>
          </w:p>
          <w:p w:rsidR="00EA1709" w:rsidRDefault="00EA1709" w:rsidP="00D53DAE">
            <w:pPr>
              <w:pStyle w:val="Parasts1"/>
              <w:jc w:val="both"/>
            </w:pPr>
            <w:r>
              <w:t>2.4. organizēs un vadīs publiski pieejamas valsts informācijas sistēmas – ģenētiski modificēto organismu aprites reģistra – izveidošanu un darbību;</w:t>
            </w:r>
          </w:p>
          <w:p w:rsidR="00EA1709" w:rsidRPr="006C6A4C" w:rsidRDefault="00EA1709" w:rsidP="00D53DAE">
            <w:pPr>
              <w:pStyle w:val="Parasts1"/>
              <w:jc w:val="both"/>
            </w:pPr>
            <w:r>
              <w:t xml:space="preserve">2.5. noteiks ģenētiski modificētos </w:t>
            </w:r>
            <w:r w:rsidRPr="006C6A4C">
              <w:t>organismus pārtikas un dzīvnieku barības paraugos;</w:t>
            </w:r>
          </w:p>
          <w:p w:rsidR="00EA1709" w:rsidRDefault="00EA1709" w:rsidP="00D53DAE">
            <w:pPr>
              <w:pStyle w:val="Parasts1"/>
              <w:jc w:val="both"/>
            </w:pPr>
            <w:r>
              <w:t>2.6. pildīs references laboratorijas funkcijas ģenētiski modificēto organismu noteikšanā;</w:t>
            </w:r>
          </w:p>
          <w:p w:rsidR="00EA1709" w:rsidRDefault="00EA1709" w:rsidP="00D53DAE">
            <w:pPr>
              <w:pStyle w:val="Parasts1"/>
              <w:jc w:val="both"/>
            </w:pPr>
            <w:r>
              <w:t>2.7. piedalīsies starptautisko organizāciju rīkotajās starplaboratoriju testēšanas programmās;</w:t>
            </w:r>
          </w:p>
          <w:p w:rsidR="00EA1709" w:rsidRDefault="00EA1709" w:rsidP="00D53DAE">
            <w:pPr>
              <w:pStyle w:val="Parasts1"/>
              <w:jc w:val="both"/>
            </w:pPr>
            <w:r>
              <w:t>2.8. ieviesīs starptautiski atzītas ģenētiski modificēto organismu noteikšanas metodes;</w:t>
            </w:r>
          </w:p>
          <w:p w:rsidR="00EA1709" w:rsidRDefault="00EA1709" w:rsidP="00D53DAE">
            <w:pPr>
              <w:pStyle w:val="Parasts1"/>
              <w:jc w:val="both"/>
            </w:pPr>
            <w:r>
              <w:t>2.9. nodrošinās ģenētiski modificēto organismu paraugu izmeklēšanu ārvalstu laboratorijās, ja to nav iespējams veikt Latvijā.</w:t>
            </w:r>
          </w:p>
          <w:p w:rsidR="00EA1709" w:rsidRDefault="00AB2452" w:rsidP="00D53DAE">
            <w:pPr>
              <w:pStyle w:val="Parasts1"/>
              <w:jc w:val="both"/>
            </w:pPr>
            <w:r>
              <w:t>2.3.–2.7.apakšpunktā minētos u</w:t>
            </w:r>
            <w:r w:rsidR="00EA1709" w:rsidRPr="002B7CF2">
              <w:t>zdevumus</w:t>
            </w:r>
            <w:r w:rsidR="00EA1709">
              <w:t xml:space="preserve"> institūts jau veic atbilstoši spēkā esoša</w:t>
            </w:r>
            <w:r>
              <w:t>jiem</w:t>
            </w:r>
            <w:r w:rsidR="00EA1709">
              <w:t xml:space="preserve"> </w:t>
            </w:r>
            <w:r>
              <w:t>normatīvajiem aktiem</w:t>
            </w:r>
            <w:r w:rsidR="00EA1709">
              <w:t>.</w:t>
            </w:r>
          </w:p>
          <w:p w:rsidR="00EA1709" w:rsidRPr="00F26B67" w:rsidRDefault="00EA1709" w:rsidP="00F8300E">
            <w:pPr>
              <w:pStyle w:val="Parasts1"/>
              <w:jc w:val="both"/>
            </w:pPr>
            <w:r>
              <w:t>3.</w:t>
            </w:r>
            <w:r w:rsidRPr="00F26B67">
              <w:t xml:space="preserve"> VAAD:</w:t>
            </w:r>
          </w:p>
          <w:p w:rsidR="00EA1709" w:rsidRPr="00F26B67" w:rsidRDefault="00EA1709" w:rsidP="000C5B26">
            <w:pPr>
              <w:pStyle w:val="Parasts1"/>
              <w:jc w:val="both"/>
            </w:pPr>
            <w:r>
              <w:t>3</w:t>
            </w:r>
            <w:r w:rsidRPr="00F26B67">
              <w:t xml:space="preserve">.1. veiks </w:t>
            </w:r>
            <w:r>
              <w:t>uzraudzību un kontroli</w:t>
            </w:r>
            <w:r w:rsidRPr="00F26B67">
              <w:t xml:space="preserve"> no šim mērķim paredzētajiem finanšu līdzekļiem ģenētiski modificēto organismu noteikšanai pie kultūraugu audzētājiem, k</w:t>
            </w:r>
            <w:r>
              <w:t>as</w:t>
            </w:r>
            <w:r w:rsidRPr="00F26B67">
              <w:t xml:space="preserve"> nav reģistrēti ģenētiski modificēto kultūraugu audzētāju reģistrā;</w:t>
            </w:r>
          </w:p>
          <w:p w:rsidR="00EA1709" w:rsidRPr="00F26B67" w:rsidRDefault="00EA1709" w:rsidP="000C5B26">
            <w:pPr>
              <w:pStyle w:val="Parasts1"/>
              <w:jc w:val="both"/>
            </w:pPr>
            <w:r>
              <w:t>3</w:t>
            </w:r>
            <w:r w:rsidRPr="00F26B67">
              <w:t>.2. saskaņā ar noteikumiem par ģenētiski modificēto kultūraugu līdzāspastāvēšanu būs tiesīgs pieņemt lēmumu par sējumu vai stādījumu iznīcināšanu ar mehāniskām vai ķīmiskām metodēm noteiktā termiņā;</w:t>
            </w:r>
          </w:p>
          <w:p w:rsidR="00EA1709" w:rsidRPr="00F26B67" w:rsidRDefault="00EA1709" w:rsidP="000C5B26">
            <w:pPr>
              <w:pStyle w:val="Parasts1"/>
              <w:jc w:val="both"/>
            </w:pPr>
            <w:r>
              <w:t>3.3</w:t>
            </w:r>
            <w:r w:rsidRPr="00F26B67">
              <w:t>. būs tiesīgs piespiedu kārtā iznīcināt sējumus un stādījumus, ja būs pieņemts lēmums par sējumu iznīcināšanu un sējuma vai stādījuma īpašnieks to note</w:t>
            </w:r>
            <w:r>
              <w:t>iktajā termiņā nebūs izpildījis.</w:t>
            </w:r>
          </w:p>
          <w:p w:rsidR="00EA1709" w:rsidRPr="008C18B1" w:rsidRDefault="00EA1709" w:rsidP="00A36EE0">
            <w:pPr>
              <w:pStyle w:val="Parasts1"/>
              <w:jc w:val="both"/>
            </w:pPr>
            <w:r w:rsidRPr="00F26B67">
              <w:t>Šīs anotācijas I sadaļas</w:t>
            </w:r>
            <w:r w:rsidRPr="001125BA">
              <w:t xml:space="preserve"> 2.punktā minētās problēmas </w:t>
            </w:r>
            <w:r>
              <w:t>likum</w:t>
            </w:r>
            <w:r w:rsidRPr="001125BA">
              <w:t>projekts atrisinās pilnībā.</w:t>
            </w:r>
          </w:p>
        </w:tc>
      </w:tr>
      <w:tr w:rsidR="00EA1709" w:rsidRPr="008C18B1" w:rsidTr="00F26B67">
        <w:trPr>
          <w:trHeight w:val="476"/>
        </w:trPr>
        <w:tc>
          <w:tcPr>
            <w:tcW w:w="431" w:type="dxa"/>
          </w:tcPr>
          <w:p w:rsidR="00EA1709" w:rsidRPr="008C18B1" w:rsidRDefault="00EA1709" w:rsidP="009D6184">
            <w:pPr>
              <w:pStyle w:val="Parasts1"/>
            </w:pPr>
            <w:r w:rsidRPr="008C18B1">
              <w:lastRenderedPageBreak/>
              <w:t>5.</w:t>
            </w:r>
          </w:p>
        </w:tc>
        <w:tc>
          <w:tcPr>
            <w:tcW w:w="1842" w:type="dxa"/>
          </w:tcPr>
          <w:p w:rsidR="00EA1709" w:rsidRPr="008C18B1" w:rsidRDefault="00EA1709" w:rsidP="009D6184">
            <w:pPr>
              <w:pStyle w:val="Parasts1"/>
            </w:pPr>
            <w:r w:rsidRPr="008C18B1">
              <w:t>Projekta izstrādē iesaistītās institūcijas</w:t>
            </w:r>
          </w:p>
        </w:tc>
        <w:tc>
          <w:tcPr>
            <w:tcW w:w="7207" w:type="dxa"/>
          </w:tcPr>
          <w:p w:rsidR="00EA1709" w:rsidRPr="008C18B1" w:rsidRDefault="00EA1709" w:rsidP="006C6A4C">
            <w:pPr>
              <w:pStyle w:val="Parasts1"/>
              <w:jc w:val="both"/>
            </w:pPr>
            <w:r>
              <w:t>Pārtikas un veterinārais</w:t>
            </w:r>
            <w:r w:rsidRPr="00020B53">
              <w:t xml:space="preserve"> dienest</w:t>
            </w:r>
            <w:r>
              <w:t>s, Valsts augu aizsardzības dienests u</w:t>
            </w:r>
            <w:r w:rsidR="00AB2452">
              <w:t>n</w:t>
            </w:r>
            <w:r w:rsidRPr="00020B53">
              <w:t xml:space="preserve"> Pārtikas drošības, dzīvnieku veselības</w:t>
            </w:r>
            <w:r>
              <w:t xml:space="preserve">, </w:t>
            </w:r>
            <w:r w:rsidRPr="00020B53">
              <w:t>un vides zinātniskais instit</w:t>
            </w:r>
            <w:r>
              <w:t>ūts „BIOR”.</w:t>
            </w:r>
          </w:p>
        </w:tc>
      </w:tr>
      <w:tr w:rsidR="00EA1709" w:rsidRPr="008C18B1" w:rsidTr="00F26B67">
        <w:trPr>
          <w:trHeight w:val="1340"/>
        </w:trPr>
        <w:tc>
          <w:tcPr>
            <w:tcW w:w="431" w:type="dxa"/>
          </w:tcPr>
          <w:p w:rsidR="00EA1709" w:rsidRPr="008C18B1" w:rsidRDefault="00EA1709" w:rsidP="009D6184">
            <w:pPr>
              <w:pStyle w:val="Parasts1"/>
            </w:pPr>
            <w:r w:rsidRPr="008C18B1">
              <w:t>6.</w:t>
            </w:r>
          </w:p>
        </w:tc>
        <w:tc>
          <w:tcPr>
            <w:tcW w:w="1842" w:type="dxa"/>
          </w:tcPr>
          <w:p w:rsidR="00EA1709" w:rsidRPr="008C18B1" w:rsidRDefault="00EA1709" w:rsidP="009D6184">
            <w:pPr>
              <w:pStyle w:val="Parasts1"/>
            </w:pPr>
            <w:r w:rsidRPr="008C18B1">
              <w:t>Iemesli, kādēļ netika nodrošināta sabiedrības līdzdalība</w:t>
            </w:r>
          </w:p>
        </w:tc>
        <w:tc>
          <w:tcPr>
            <w:tcW w:w="7207" w:type="dxa"/>
          </w:tcPr>
          <w:p w:rsidR="00EA1709" w:rsidRPr="008C18B1" w:rsidRDefault="00EA1709" w:rsidP="009D6184">
            <w:pPr>
              <w:pStyle w:val="Parasts1"/>
            </w:pPr>
            <w:r>
              <w:t>Likump</w:t>
            </w:r>
            <w:r w:rsidRPr="008C18B1">
              <w:t>rojekts šo jomu neskar.</w:t>
            </w:r>
          </w:p>
        </w:tc>
      </w:tr>
      <w:tr w:rsidR="00EA1709" w:rsidRPr="008C18B1" w:rsidTr="00F26B67">
        <w:tc>
          <w:tcPr>
            <w:tcW w:w="431" w:type="dxa"/>
          </w:tcPr>
          <w:p w:rsidR="00EA1709" w:rsidRPr="008C18B1" w:rsidRDefault="00EA1709" w:rsidP="009D6184">
            <w:pPr>
              <w:pStyle w:val="Parasts1"/>
            </w:pPr>
            <w:r w:rsidRPr="008C18B1">
              <w:t>7.</w:t>
            </w:r>
          </w:p>
        </w:tc>
        <w:tc>
          <w:tcPr>
            <w:tcW w:w="1842" w:type="dxa"/>
          </w:tcPr>
          <w:p w:rsidR="00EA1709" w:rsidRPr="008C18B1" w:rsidRDefault="00EA1709" w:rsidP="009D6184">
            <w:pPr>
              <w:pStyle w:val="Parasts1"/>
            </w:pPr>
            <w:r w:rsidRPr="008C18B1">
              <w:t>Cita informācija</w:t>
            </w:r>
          </w:p>
        </w:tc>
        <w:tc>
          <w:tcPr>
            <w:tcW w:w="7207" w:type="dxa"/>
          </w:tcPr>
          <w:p w:rsidR="00EA1709" w:rsidRPr="008C18B1" w:rsidRDefault="00EA1709" w:rsidP="009D6184">
            <w:pPr>
              <w:pStyle w:val="Parasts1"/>
            </w:pPr>
            <w:r w:rsidRPr="008C18B1">
              <w:t xml:space="preserve">Nav. </w:t>
            </w:r>
          </w:p>
        </w:tc>
      </w:tr>
    </w:tbl>
    <w:p w:rsidR="00EA1709" w:rsidRPr="008C18B1" w:rsidRDefault="00EA1709" w:rsidP="009D6184">
      <w:pPr>
        <w:pStyle w:val="Parasts1"/>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26"/>
        <w:gridCol w:w="3542"/>
        <w:gridCol w:w="5673"/>
      </w:tblGrid>
      <w:tr w:rsidR="00EA1709" w:rsidRPr="008C18B1" w:rsidTr="00E87F08">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EA1709" w:rsidRPr="008C18B1" w:rsidRDefault="00EA1709" w:rsidP="009D6184">
            <w:pPr>
              <w:pStyle w:val="Parasts1"/>
              <w:jc w:val="center"/>
              <w:rPr>
                <w:b/>
              </w:rPr>
            </w:pPr>
            <w:r w:rsidRPr="008C18B1">
              <w:rPr>
                <w:b/>
              </w:rPr>
              <w:t>II. Tiesību akta projekta ietekme uz sabiedrību</w:t>
            </w:r>
          </w:p>
        </w:tc>
      </w:tr>
      <w:tr w:rsidR="00EA1709" w:rsidRPr="008C18B1" w:rsidTr="00891C38">
        <w:tc>
          <w:tcPr>
            <w:tcW w:w="221" w:type="pct"/>
            <w:tcBorders>
              <w:top w:val="outset" w:sz="6" w:space="0" w:color="000000"/>
              <w:bottom w:val="outset" w:sz="6" w:space="0" w:color="000000"/>
              <w:right w:val="outset" w:sz="6" w:space="0" w:color="000000"/>
            </w:tcBorders>
          </w:tcPr>
          <w:p w:rsidR="00EA1709" w:rsidRPr="008C18B1" w:rsidRDefault="00EA1709" w:rsidP="009D6184">
            <w:pPr>
              <w:pStyle w:val="Parasts1"/>
            </w:pPr>
            <w:r w:rsidRPr="008C18B1">
              <w:t>1.</w:t>
            </w:r>
          </w:p>
        </w:tc>
        <w:tc>
          <w:tcPr>
            <w:tcW w:w="1837" w:type="pct"/>
            <w:tcBorders>
              <w:top w:val="outset" w:sz="6" w:space="0" w:color="000000"/>
              <w:left w:val="outset" w:sz="6" w:space="0" w:color="000000"/>
              <w:bottom w:val="outset" w:sz="6" w:space="0" w:color="000000"/>
              <w:right w:val="outset" w:sz="6" w:space="0" w:color="000000"/>
            </w:tcBorders>
          </w:tcPr>
          <w:p w:rsidR="00EA1709" w:rsidRPr="00F26B67" w:rsidRDefault="00EA1709" w:rsidP="009D6184">
            <w:pPr>
              <w:pStyle w:val="Parasts1"/>
            </w:pPr>
            <w:r w:rsidRPr="00F26B67">
              <w:t xml:space="preserve">Sabiedrības </w:t>
            </w:r>
            <w:proofErr w:type="spellStart"/>
            <w:r w:rsidRPr="00F26B67">
              <w:t>mērķgrupa</w:t>
            </w:r>
            <w:proofErr w:type="spellEnd"/>
          </w:p>
        </w:tc>
        <w:tc>
          <w:tcPr>
            <w:tcW w:w="2941" w:type="pct"/>
            <w:tcBorders>
              <w:top w:val="outset" w:sz="6" w:space="0" w:color="000000"/>
              <w:left w:val="outset" w:sz="6" w:space="0" w:color="000000"/>
              <w:bottom w:val="outset" w:sz="6" w:space="0" w:color="000000"/>
            </w:tcBorders>
          </w:tcPr>
          <w:p w:rsidR="00EA1709" w:rsidRPr="00F26B67" w:rsidRDefault="00EA1709" w:rsidP="009E4100">
            <w:pPr>
              <w:pStyle w:val="Parasts1"/>
              <w:jc w:val="both"/>
            </w:pPr>
            <w:r w:rsidRPr="00F26B67">
              <w:t xml:space="preserve">1. Personas, kas veic šādas ar ģenētiski modificēto </w:t>
            </w:r>
            <w:r w:rsidRPr="00F26B67">
              <w:lastRenderedPageBreak/>
              <w:t>organismu apriti saistītas darbības:</w:t>
            </w:r>
          </w:p>
          <w:p w:rsidR="00EA1709" w:rsidRPr="00F26B67" w:rsidRDefault="00EA1709" w:rsidP="009E4100">
            <w:pPr>
              <w:pStyle w:val="Parasts1"/>
              <w:jc w:val="both"/>
            </w:pPr>
            <w:r w:rsidRPr="00F26B67">
              <w:t>1.1. ģenētiski modificēto mikroorganismu ierobežotā izmantošana.</w:t>
            </w:r>
          </w:p>
          <w:p w:rsidR="00EA1709" w:rsidRPr="00F26B67" w:rsidRDefault="00EA1709" w:rsidP="009E4100">
            <w:pPr>
              <w:pStyle w:val="Parasts1"/>
              <w:jc w:val="both"/>
            </w:pPr>
            <w:r w:rsidRPr="00F26B67">
              <w:t>Patlaban viena zinātniskā institūcija ir informējusi kompetento institūciju par darbības uzsākšanu</w:t>
            </w:r>
            <w:r>
              <w:t>;</w:t>
            </w:r>
          </w:p>
          <w:p w:rsidR="00EA1709" w:rsidRPr="00F26B67" w:rsidRDefault="00EA1709" w:rsidP="009E4100">
            <w:pPr>
              <w:pStyle w:val="Parasts1"/>
              <w:jc w:val="both"/>
            </w:pPr>
            <w:r w:rsidRPr="00F26B67">
              <w:t>1.2. ģenētiski modificēto organismu izplatīšana vidē izmēģinājumiem.</w:t>
            </w:r>
          </w:p>
          <w:p w:rsidR="00EA1709" w:rsidRPr="00F26B67" w:rsidRDefault="00EA1709" w:rsidP="009D6184">
            <w:pPr>
              <w:pStyle w:val="Parasts1"/>
              <w:jc w:val="both"/>
            </w:pPr>
            <w:proofErr w:type="spellStart"/>
            <w:r w:rsidRPr="00F26B67">
              <w:t>Mērķgrupas</w:t>
            </w:r>
            <w:proofErr w:type="spellEnd"/>
            <w:r w:rsidRPr="00F26B67">
              <w:t xml:space="preserve"> lielumu nav iespējams noteikt, jo patlaban Latvijā neviens neveic ĢMO izplatīšana vidē izmēģinājumiem</w:t>
            </w:r>
            <w:r>
              <w:t>;</w:t>
            </w:r>
          </w:p>
          <w:p w:rsidR="00EA1709" w:rsidRPr="00F26B67" w:rsidRDefault="00EA1709" w:rsidP="009D6184">
            <w:pPr>
              <w:pStyle w:val="Parasts1"/>
              <w:jc w:val="both"/>
            </w:pPr>
            <w:r w:rsidRPr="00F26B67">
              <w:t>1.3. ģenētiski modificēto kultūraugu audzēšana.</w:t>
            </w:r>
          </w:p>
          <w:p w:rsidR="00EA1709" w:rsidRPr="00F26B67" w:rsidRDefault="00EA1709" w:rsidP="009D6184">
            <w:pPr>
              <w:pStyle w:val="Parasts1"/>
              <w:jc w:val="both"/>
            </w:pPr>
            <w:proofErr w:type="spellStart"/>
            <w:r w:rsidRPr="00F26B67">
              <w:t>Mērķgrupas</w:t>
            </w:r>
            <w:proofErr w:type="spellEnd"/>
            <w:r w:rsidRPr="00F26B67">
              <w:t xml:space="preserve"> lielumu nav iespējams noteikt, jo patlaban Latvijā neviens neaudzē ģenētiski modificētus kultūraugus.</w:t>
            </w:r>
          </w:p>
          <w:p w:rsidR="00EA1709" w:rsidRPr="00F26B67" w:rsidRDefault="00EA1709" w:rsidP="009D6184">
            <w:pPr>
              <w:pStyle w:val="Parasts1"/>
              <w:jc w:val="both"/>
            </w:pPr>
            <w:r w:rsidRPr="00F26B67">
              <w:t>2. Kompetentās institūcijas, kas veic ģenētiski modificēto organismu riska novērtēšanu, uzraudzību un kontroli.</w:t>
            </w:r>
          </w:p>
          <w:p w:rsidR="00EA1709" w:rsidRPr="00F26B67" w:rsidRDefault="00EA1709" w:rsidP="0011729D">
            <w:pPr>
              <w:pStyle w:val="Parasts1"/>
              <w:jc w:val="both"/>
            </w:pPr>
            <w:r w:rsidRPr="00F26B67">
              <w:t>3. Lauksaimnieki, k</w:t>
            </w:r>
            <w:r>
              <w:t>as</w:t>
            </w:r>
            <w:r w:rsidRPr="00F26B67">
              <w:t xml:space="preserve"> audzē tās laukaugu sugas, kurām šobrīd ir atļauta arī ģenētiski modificēto šķirņu audzēšana</w:t>
            </w:r>
            <w:r>
              <w:t>.</w:t>
            </w:r>
            <w:r w:rsidRPr="00F26B67">
              <w:t xml:space="preserve"> Eiropas Savienībā – kukurūza un kartupeļi, kā arī tās laukaugu sugas, kurās varētu būt </w:t>
            </w:r>
            <w:r>
              <w:t>ģenētiski modificēto organismu</w:t>
            </w:r>
            <w:r w:rsidRPr="00F26B67">
              <w:t xml:space="preserve"> piemaisījumi, piemēram, rapsis.</w:t>
            </w:r>
          </w:p>
        </w:tc>
      </w:tr>
      <w:tr w:rsidR="00EA1709" w:rsidRPr="008C18B1" w:rsidTr="00891C38">
        <w:tc>
          <w:tcPr>
            <w:tcW w:w="221" w:type="pct"/>
            <w:tcBorders>
              <w:top w:val="outset" w:sz="6" w:space="0" w:color="000000"/>
              <w:bottom w:val="outset" w:sz="6" w:space="0" w:color="000000"/>
              <w:right w:val="outset" w:sz="6" w:space="0" w:color="000000"/>
            </w:tcBorders>
          </w:tcPr>
          <w:p w:rsidR="00EA1709" w:rsidRPr="008C18B1" w:rsidRDefault="00EA1709" w:rsidP="009D6184">
            <w:pPr>
              <w:pStyle w:val="Parasts1"/>
              <w:jc w:val="both"/>
            </w:pPr>
            <w:r w:rsidRPr="008C18B1">
              <w:lastRenderedPageBreak/>
              <w:t>2.</w:t>
            </w:r>
          </w:p>
        </w:tc>
        <w:tc>
          <w:tcPr>
            <w:tcW w:w="1837" w:type="pct"/>
            <w:tcBorders>
              <w:top w:val="outset" w:sz="6" w:space="0" w:color="000000"/>
              <w:left w:val="outset" w:sz="6" w:space="0" w:color="000000"/>
              <w:bottom w:val="outset" w:sz="6" w:space="0" w:color="000000"/>
              <w:right w:val="outset" w:sz="6" w:space="0" w:color="000000"/>
            </w:tcBorders>
          </w:tcPr>
          <w:p w:rsidR="00EA1709" w:rsidRPr="008C18B1" w:rsidRDefault="00EA1709" w:rsidP="009D6184">
            <w:pPr>
              <w:pStyle w:val="Parasts1"/>
              <w:jc w:val="both"/>
            </w:pPr>
            <w:r w:rsidRPr="008C18B1">
              <w:t xml:space="preserve">Citas sabiedrības grupas (bez </w:t>
            </w:r>
            <w:proofErr w:type="spellStart"/>
            <w:r w:rsidRPr="008C18B1">
              <w:t>mērķgrupas</w:t>
            </w:r>
            <w:proofErr w:type="spellEnd"/>
            <w:r w:rsidRPr="008C18B1">
              <w:t>), kuras tiesiskais regulējums arī ietekmē vai varētu ietekmēt</w:t>
            </w:r>
          </w:p>
        </w:tc>
        <w:tc>
          <w:tcPr>
            <w:tcW w:w="2941" w:type="pct"/>
            <w:tcBorders>
              <w:top w:val="outset" w:sz="6" w:space="0" w:color="000000"/>
              <w:left w:val="outset" w:sz="6" w:space="0" w:color="000000"/>
              <w:bottom w:val="outset" w:sz="6" w:space="0" w:color="000000"/>
            </w:tcBorders>
          </w:tcPr>
          <w:p w:rsidR="00EA1709" w:rsidRPr="008C18B1" w:rsidRDefault="00EA1709" w:rsidP="009D6184">
            <w:pPr>
              <w:pStyle w:val="Parasts1"/>
            </w:pPr>
            <w:r w:rsidRPr="008C18B1">
              <w:t>Likumprojekts šo jomu neskar.</w:t>
            </w:r>
          </w:p>
        </w:tc>
      </w:tr>
      <w:tr w:rsidR="00EA1709" w:rsidRPr="008C18B1" w:rsidTr="00891C38">
        <w:tc>
          <w:tcPr>
            <w:tcW w:w="221" w:type="pct"/>
            <w:tcBorders>
              <w:top w:val="outset" w:sz="6" w:space="0" w:color="000000"/>
              <w:bottom w:val="outset" w:sz="6" w:space="0" w:color="000000"/>
              <w:right w:val="outset" w:sz="6" w:space="0" w:color="000000"/>
            </w:tcBorders>
          </w:tcPr>
          <w:p w:rsidR="00EA1709" w:rsidRPr="008C18B1" w:rsidRDefault="00EA1709" w:rsidP="009D6184">
            <w:pPr>
              <w:pStyle w:val="Parasts1"/>
            </w:pPr>
            <w:r w:rsidRPr="008C18B1">
              <w:t>3.</w:t>
            </w:r>
          </w:p>
        </w:tc>
        <w:tc>
          <w:tcPr>
            <w:tcW w:w="1837" w:type="pct"/>
            <w:tcBorders>
              <w:top w:val="outset" w:sz="6" w:space="0" w:color="000000"/>
              <w:left w:val="outset" w:sz="6" w:space="0" w:color="000000"/>
              <w:bottom w:val="outset" w:sz="6" w:space="0" w:color="000000"/>
              <w:right w:val="outset" w:sz="6" w:space="0" w:color="000000"/>
            </w:tcBorders>
          </w:tcPr>
          <w:p w:rsidR="00EA1709" w:rsidRPr="008C18B1" w:rsidRDefault="00EA1709" w:rsidP="009D6184">
            <w:pPr>
              <w:pStyle w:val="Parasts1"/>
            </w:pPr>
            <w:r w:rsidRPr="008C18B1">
              <w:t>Tiesiskā regulējuma finansiālā ietekme</w:t>
            </w:r>
          </w:p>
        </w:tc>
        <w:tc>
          <w:tcPr>
            <w:tcW w:w="2941" w:type="pct"/>
            <w:tcBorders>
              <w:top w:val="outset" w:sz="6" w:space="0" w:color="000000"/>
              <w:left w:val="outset" w:sz="6" w:space="0" w:color="000000"/>
              <w:bottom w:val="outset" w:sz="6" w:space="0" w:color="000000"/>
            </w:tcBorders>
          </w:tcPr>
          <w:p w:rsidR="00EA1709" w:rsidRPr="008C18B1" w:rsidRDefault="00EA1709" w:rsidP="009D6184">
            <w:pPr>
              <w:pStyle w:val="Parasts1"/>
              <w:jc w:val="both"/>
            </w:pPr>
            <w:r w:rsidRPr="008C18B1">
              <w:t xml:space="preserve">Likumprojektam nav negatīvas finansiālas ietekmes uz sabiedrības </w:t>
            </w:r>
            <w:proofErr w:type="spellStart"/>
            <w:r w:rsidRPr="008C18B1">
              <w:t>mērķgrupu</w:t>
            </w:r>
            <w:proofErr w:type="spellEnd"/>
            <w:r w:rsidRPr="008C18B1">
              <w:t xml:space="preserve"> vai citām sabiedrības grupām.</w:t>
            </w:r>
          </w:p>
        </w:tc>
      </w:tr>
      <w:tr w:rsidR="00EA1709" w:rsidRPr="008C18B1" w:rsidTr="00891C38">
        <w:tc>
          <w:tcPr>
            <w:tcW w:w="221" w:type="pct"/>
            <w:tcBorders>
              <w:top w:val="outset" w:sz="6" w:space="0" w:color="000000"/>
              <w:bottom w:val="outset" w:sz="6" w:space="0" w:color="000000"/>
              <w:right w:val="outset" w:sz="6" w:space="0" w:color="000000"/>
            </w:tcBorders>
          </w:tcPr>
          <w:p w:rsidR="00EA1709" w:rsidRPr="008C18B1" w:rsidRDefault="00EA1709" w:rsidP="009D6184">
            <w:pPr>
              <w:pStyle w:val="Parasts1"/>
            </w:pPr>
            <w:r w:rsidRPr="008C18B1">
              <w:t>4.</w:t>
            </w:r>
          </w:p>
        </w:tc>
        <w:tc>
          <w:tcPr>
            <w:tcW w:w="1837" w:type="pct"/>
            <w:tcBorders>
              <w:top w:val="outset" w:sz="6" w:space="0" w:color="000000"/>
              <w:left w:val="outset" w:sz="6" w:space="0" w:color="000000"/>
              <w:bottom w:val="outset" w:sz="6" w:space="0" w:color="000000"/>
              <w:right w:val="outset" w:sz="6" w:space="0" w:color="000000"/>
            </w:tcBorders>
          </w:tcPr>
          <w:p w:rsidR="00EA1709" w:rsidRPr="008C18B1" w:rsidRDefault="00EA1709" w:rsidP="009D6184">
            <w:pPr>
              <w:pStyle w:val="Parasts1"/>
            </w:pPr>
            <w:r w:rsidRPr="008C18B1">
              <w:t>Tiesiskā regulējuma nefinansiālā ietekme</w:t>
            </w:r>
          </w:p>
        </w:tc>
        <w:tc>
          <w:tcPr>
            <w:tcW w:w="2941" w:type="pct"/>
            <w:tcBorders>
              <w:top w:val="outset" w:sz="6" w:space="0" w:color="000000"/>
              <w:left w:val="outset" w:sz="6" w:space="0" w:color="000000"/>
              <w:bottom w:val="outset" w:sz="6" w:space="0" w:color="000000"/>
            </w:tcBorders>
          </w:tcPr>
          <w:p w:rsidR="00EA1709" w:rsidRPr="008C18B1" w:rsidRDefault="00EA1709" w:rsidP="00C956D0">
            <w:pPr>
              <w:pStyle w:val="Parasts1"/>
              <w:jc w:val="both"/>
            </w:pPr>
            <w:r w:rsidRPr="00C956D0">
              <w:t>Likumprojekts</w:t>
            </w:r>
            <w:r>
              <w:t xml:space="preserve"> nodrošinās pārtikas aprites tiesību aktu vispārīgajiem principiem atbilstošu, neatkarīgu, pamatotu  un objektīvu riska novērtēšanu Latvijā ģenētiski modificēto organismu aprites jomā.</w:t>
            </w:r>
          </w:p>
        </w:tc>
      </w:tr>
      <w:tr w:rsidR="00EA1709" w:rsidRPr="008C18B1" w:rsidTr="00891C38">
        <w:tc>
          <w:tcPr>
            <w:tcW w:w="221" w:type="pct"/>
            <w:tcBorders>
              <w:top w:val="outset" w:sz="6" w:space="0" w:color="000000"/>
              <w:bottom w:val="outset" w:sz="6" w:space="0" w:color="000000"/>
              <w:right w:val="outset" w:sz="6" w:space="0" w:color="000000"/>
            </w:tcBorders>
          </w:tcPr>
          <w:p w:rsidR="00EA1709" w:rsidRPr="008C18B1" w:rsidRDefault="00EA1709" w:rsidP="009D6184">
            <w:pPr>
              <w:pStyle w:val="Parasts1"/>
            </w:pPr>
            <w:r w:rsidRPr="008C18B1">
              <w:t>5.</w:t>
            </w:r>
          </w:p>
        </w:tc>
        <w:tc>
          <w:tcPr>
            <w:tcW w:w="1837" w:type="pct"/>
            <w:tcBorders>
              <w:top w:val="outset" w:sz="6" w:space="0" w:color="000000"/>
              <w:left w:val="outset" w:sz="6" w:space="0" w:color="000000"/>
              <w:bottom w:val="outset" w:sz="6" w:space="0" w:color="000000"/>
              <w:right w:val="outset" w:sz="6" w:space="0" w:color="000000"/>
            </w:tcBorders>
          </w:tcPr>
          <w:p w:rsidR="00EA1709" w:rsidRPr="008C18B1" w:rsidRDefault="00EA1709" w:rsidP="009D6184">
            <w:pPr>
              <w:pStyle w:val="Parasts1"/>
            </w:pPr>
            <w:r w:rsidRPr="008C18B1">
              <w:t>Administratīvās procedūras raksturojums</w:t>
            </w:r>
          </w:p>
        </w:tc>
        <w:tc>
          <w:tcPr>
            <w:tcW w:w="2941" w:type="pct"/>
            <w:tcBorders>
              <w:top w:val="outset" w:sz="6" w:space="0" w:color="000000"/>
              <w:left w:val="outset" w:sz="6" w:space="0" w:color="000000"/>
              <w:bottom w:val="outset" w:sz="6" w:space="0" w:color="000000"/>
            </w:tcBorders>
          </w:tcPr>
          <w:p w:rsidR="00EA1709" w:rsidRPr="008C18B1" w:rsidRDefault="00EA1709" w:rsidP="00314FCF">
            <w:pPr>
              <w:pStyle w:val="Parasts1"/>
              <w:jc w:val="both"/>
            </w:pPr>
            <w:r w:rsidRPr="008C18B1">
              <w:t>Likumprojekts šo jomu neskar.</w:t>
            </w:r>
          </w:p>
        </w:tc>
      </w:tr>
      <w:tr w:rsidR="00EA1709" w:rsidRPr="008C18B1" w:rsidTr="00891C38">
        <w:tc>
          <w:tcPr>
            <w:tcW w:w="221" w:type="pct"/>
            <w:tcBorders>
              <w:top w:val="outset" w:sz="6" w:space="0" w:color="000000"/>
              <w:bottom w:val="outset" w:sz="6" w:space="0" w:color="000000"/>
              <w:right w:val="outset" w:sz="6" w:space="0" w:color="000000"/>
            </w:tcBorders>
          </w:tcPr>
          <w:p w:rsidR="00EA1709" w:rsidRPr="008C18B1" w:rsidRDefault="00EA1709" w:rsidP="009D6184">
            <w:pPr>
              <w:pStyle w:val="Parasts1"/>
            </w:pPr>
            <w:r w:rsidRPr="008C18B1">
              <w:t>6.</w:t>
            </w:r>
          </w:p>
        </w:tc>
        <w:tc>
          <w:tcPr>
            <w:tcW w:w="1837" w:type="pct"/>
            <w:tcBorders>
              <w:top w:val="outset" w:sz="6" w:space="0" w:color="000000"/>
              <w:left w:val="outset" w:sz="6" w:space="0" w:color="000000"/>
              <w:bottom w:val="outset" w:sz="6" w:space="0" w:color="000000"/>
              <w:right w:val="outset" w:sz="6" w:space="0" w:color="000000"/>
            </w:tcBorders>
          </w:tcPr>
          <w:p w:rsidR="00EA1709" w:rsidRPr="008C18B1" w:rsidRDefault="00EA1709" w:rsidP="009D6184">
            <w:pPr>
              <w:pStyle w:val="Parasts1"/>
            </w:pPr>
            <w:r w:rsidRPr="008C18B1">
              <w:t>Administratīvo izmaksu monetārs novērtējums</w:t>
            </w:r>
          </w:p>
        </w:tc>
        <w:tc>
          <w:tcPr>
            <w:tcW w:w="2941" w:type="pct"/>
            <w:tcBorders>
              <w:top w:val="outset" w:sz="6" w:space="0" w:color="000000"/>
              <w:left w:val="outset" w:sz="6" w:space="0" w:color="000000"/>
              <w:bottom w:val="outset" w:sz="6" w:space="0" w:color="000000"/>
            </w:tcBorders>
          </w:tcPr>
          <w:p w:rsidR="00EA1709" w:rsidRPr="008C18B1" w:rsidRDefault="00EA1709" w:rsidP="009D6184">
            <w:pPr>
              <w:pStyle w:val="Parasts1"/>
            </w:pPr>
            <w:r w:rsidRPr="008C18B1">
              <w:t>Likumprojekts šo jomu neskar.</w:t>
            </w:r>
          </w:p>
        </w:tc>
      </w:tr>
      <w:tr w:rsidR="00EA1709" w:rsidRPr="008C18B1" w:rsidTr="00891C38">
        <w:tc>
          <w:tcPr>
            <w:tcW w:w="221" w:type="pct"/>
            <w:tcBorders>
              <w:top w:val="outset" w:sz="6" w:space="0" w:color="000000"/>
              <w:bottom w:val="outset" w:sz="6" w:space="0" w:color="000000"/>
              <w:right w:val="outset" w:sz="6" w:space="0" w:color="000000"/>
            </w:tcBorders>
          </w:tcPr>
          <w:p w:rsidR="00EA1709" w:rsidRPr="008C18B1" w:rsidRDefault="00EA1709" w:rsidP="009D6184">
            <w:pPr>
              <w:pStyle w:val="Parasts1"/>
            </w:pPr>
            <w:r w:rsidRPr="008C18B1">
              <w:t>7.</w:t>
            </w:r>
          </w:p>
        </w:tc>
        <w:tc>
          <w:tcPr>
            <w:tcW w:w="1837" w:type="pct"/>
            <w:tcBorders>
              <w:top w:val="outset" w:sz="6" w:space="0" w:color="000000"/>
              <w:left w:val="outset" w:sz="6" w:space="0" w:color="000000"/>
              <w:bottom w:val="outset" w:sz="6" w:space="0" w:color="000000"/>
              <w:right w:val="outset" w:sz="6" w:space="0" w:color="000000"/>
            </w:tcBorders>
          </w:tcPr>
          <w:p w:rsidR="00EA1709" w:rsidRPr="008C18B1" w:rsidRDefault="00EA1709" w:rsidP="009D6184">
            <w:pPr>
              <w:pStyle w:val="Parasts1"/>
            </w:pPr>
            <w:r w:rsidRPr="008C18B1">
              <w:t>Cita informācija</w:t>
            </w:r>
          </w:p>
        </w:tc>
        <w:tc>
          <w:tcPr>
            <w:tcW w:w="2941" w:type="pct"/>
            <w:tcBorders>
              <w:top w:val="outset" w:sz="6" w:space="0" w:color="000000"/>
              <w:left w:val="outset" w:sz="6" w:space="0" w:color="000000"/>
              <w:bottom w:val="outset" w:sz="6" w:space="0" w:color="000000"/>
            </w:tcBorders>
          </w:tcPr>
          <w:p w:rsidR="00EA1709" w:rsidRPr="008C18B1" w:rsidRDefault="00EA1709" w:rsidP="009D6184">
            <w:pPr>
              <w:pStyle w:val="Parasts1"/>
            </w:pPr>
            <w:r w:rsidRPr="008C18B1">
              <w:t>Nav.</w:t>
            </w:r>
          </w:p>
        </w:tc>
      </w:tr>
    </w:tbl>
    <w:p w:rsidR="00EA1709" w:rsidRPr="008C18B1" w:rsidRDefault="00EA1709" w:rsidP="009D6184">
      <w:pPr>
        <w:pStyle w:val="Parasts1"/>
      </w:pPr>
      <w:r w:rsidRPr="008C18B1">
        <w:t> </w:t>
      </w:r>
    </w:p>
    <w:tbl>
      <w:tblPr>
        <w:tblW w:w="9713"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3"/>
      </w:tblGrid>
      <w:tr w:rsidR="00EA1709" w:rsidRPr="008C18B1" w:rsidTr="00891C38">
        <w:trPr>
          <w:trHeight w:val="401"/>
          <w:jc w:val="center"/>
        </w:trPr>
        <w:tc>
          <w:tcPr>
            <w:tcW w:w="9713" w:type="dxa"/>
          </w:tcPr>
          <w:p w:rsidR="00EA1709" w:rsidRPr="008C18B1" w:rsidRDefault="00EA1709" w:rsidP="009D6184">
            <w:pPr>
              <w:pStyle w:val="naisnod"/>
              <w:spacing w:before="0" w:after="0"/>
              <w:rPr>
                <w:i/>
              </w:rPr>
            </w:pPr>
            <w:r w:rsidRPr="008C18B1">
              <w:br w:type="page"/>
              <w:t>III. Tiesību akta projekta ietekme uz valsts budžetu un pašvaldību budžetiem</w:t>
            </w:r>
          </w:p>
        </w:tc>
      </w:tr>
      <w:tr w:rsidR="00EA1709" w:rsidRPr="008C18B1" w:rsidTr="001F014E">
        <w:trPr>
          <w:trHeight w:val="219"/>
          <w:jc w:val="center"/>
        </w:trPr>
        <w:tc>
          <w:tcPr>
            <w:tcW w:w="9713" w:type="dxa"/>
          </w:tcPr>
          <w:p w:rsidR="00EA1709" w:rsidRPr="008C18B1" w:rsidRDefault="00EA1709" w:rsidP="009D6184">
            <w:pPr>
              <w:pStyle w:val="naisnod"/>
              <w:spacing w:before="0" w:after="0"/>
              <w:rPr>
                <w:b w:val="0"/>
              </w:rPr>
            </w:pPr>
            <w:r>
              <w:rPr>
                <w:b w:val="0"/>
              </w:rPr>
              <w:t>Likum</w:t>
            </w:r>
            <w:r w:rsidRPr="008C18B1">
              <w:rPr>
                <w:b w:val="0"/>
              </w:rPr>
              <w:t>projekts šo jomu neskar.</w:t>
            </w:r>
          </w:p>
        </w:tc>
      </w:tr>
    </w:tbl>
    <w:p w:rsidR="00EA1709" w:rsidRPr="008C18B1" w:rsidRDefault="00EA1709" w:rsidP="009D6184">
      <w:pPr>
        <w:pStyle w:val="Parasts1"/>
      </w:pPr>
    </w:p>
    <w:tbl>
      <w:tblPr>
        <w:tblW w:w="97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40"/>
        <w:gridCol w:w="7550"/>
      </w:tblGrid>
      <w:tr w:rsidR="00EA1709" w:rsidRPr="008C18B1" w:rsidTr="00891C38">
        <w:trPr>
          <w:trHeight w:val="279"/>
        </w:trPr>
        <w:tc>
          <w:tcPr>
            <w:tcW w:w="9716" w:type="dxa"/>
            <w:gridSpan w:val="3"/>
          </w:tcPr>
          <w:p w:rsidR="00EA1709" w:rsidRPr="008C18B1" w:rsidRDefault="00EA1709" w:rsidP="009D6184">
            <w:pPr>
              <w:pStyle w:val="Parasts1"/>
              <w:jc w:val="center"/>
              <w:rPr>
                <w:b/>
              </w:rPr>
            </w:pPr>
            <w:r w:rsidRPr="008C18B1">
              <w:rPr>
                <w:b/>
              </w:rPr>
              <w:t>IV. Tiesību akta projekta ietekme uz spēkā esošo tiesību normu sistēmu</w:t>
            </w:r>
          </w:p>
        </w:tc>
      </w:tr>
      <w:tr w:rsidR="00EA1709" w:rsidRPr="008C18B1" w:rsidTr="00891C38">
        <w:trPr>
          <w:trHeight w:val="279"/>
        </w:trPr>
        <w:tc>
          <w:tcPr>
            <w:tcW w:w="426" w:type="dxa"/>
          </w:tcPr>
          <w:p w:rsidR="00EA1709" w:rsidRPr="008C18B1" w:rsidRDefault="00EA1709" w:rsidP="009D6184">
            <w:pPr>
              <w:pStyle w:val="Parasts1"/>
              <w:jc w:val="both"/>
            </w:pPr>
            <w:r w:rsidRPr="008C18B1">
              <w:t>1.</w:t>
            </w:r>
          </w:p>
        </w:tc>
        <w:tc>
          <w:tcPr>
            <w:tcW w:w="1740" w:type="dxa"/>
          </w:tcPr>
          <w:p w:rsidR="00EA1709" w:rsidRPr="008C18B1" w:rsidRDefault="00EA1709" w:rsidP="009D6184">
            <w:pPr>
              <w:pStyle w:val="Parasts1"/>
              <w:jc w:val="both"/>
            </w:pPr>
            <w:r w:rsidRPr="008C18B1">
              <w:t>Nepieciešamie saistītie tiesību aktu projekti</w:t>
            </w:r>
          </w:p>
        </w:tc>
        <w:tc>
          <w:tcPr>
            <w:tcW w:w="7550" w:type="dxa"/>
          </w:tcPr>
          <w:p w:rsidR="00EA1709" w:rsidRPr="00A824B3" w:rsidRDefault="00EA1709" w:rsidP="009D6184">
            <w:pPr>
              <w:pStyle w:val="Pamattekstaatkpe2"/>
              <w:tabs>
                <w:tab w:val="left" w:pos="312"/>
              </w:tabs>
              <w:ind w:right="180" w:firstLine="0"/>
              <w:rPr>
                <w:szCs w:val="24"/>
              </w:rPr>
            </w:pPr>
            <w:r w:rsidRPr="00A824B3">
              <w:rPr>
                <w:szCs w:val="24"/>
              </w:rPr>
              <w:t>Līdz 2014.gada 1.janvārim jāizdara grozījumi šādos Ministru kabineta noteikumos:</w:t>
            </w:r>
          </w:p>
          <w:p w:rsidR="00EA1709" w:rsidRPr="00A824B3" w:rsidRDefault="00EA1709" w:rsidP="002605D5">
            <w:pPr>
              <w:pStyle w:val="Pamattekstaatkpe2"/>
              <w:tabs>
                <w:tab w:val="left" w:pos="312"/>
              </w:tabs>
              <w:ind w:right="180" w:firstLine="0"/>
              <w:rPr>
                <w:szCs w:val="24"/>
              </w:rPr>
            </w:pPr>
            <w:r w:rsidRPr="00A824B3">
              <w:rPr>
                <w:szCs w:val="24"/>
              </w:rPr>
              <w:t>1) 2009.gada 26.maija noteikumos Nr.457 „Noteikumi par ģenētiski modificēto organismu apzinātu izplatīšanu”;</w:t>
            </w:r>
          </w:p>
          <w:p w:rsidR="00EA1709" w:rsidRPr="00A824B3" w:rsidRDefault="00EA1709" w:rsidP="002605D5">
            <w:pPr>
              <w:pStyle w:val="Pamattekstaatkpe2"/>
              <w:tabs>
                <w:tab w:val="left" w:pos="312"/>
              </w:tabs>
              <w:ind w:right="180" w:firstLine="0"/>
              <w:rPr>
                <w:szCs w:val="24"/>
              </w:rPr>
            </w:pPr>
            <w:r w:rsidRPr="00A824B3">
              <w:rPr>
                <w:szCs w:val="24"/>
              </w:rPr>
              <w:t>2) 2008.gada 22.septembra noteikumos Nr.784 „Ģenētiski modificēto organismu ierobežotās izmantošanas un atļaujas izsniegšanas kārtība”</w:t>
            </w:r>
            <w:r w:rsidRPr="00A824B3">
              <w:t>;</w:t>
            </w:r>
          </w:p>
          <w:p w:rsidR="00EA1709" w:rsidRPr="00A824B3" w:rsidRDefault="00EA1709" w:rsidP="002605D5">
            <w:pPr>
              <w:pStyle w:val="Pamattekstaatkpe2"/>
              <w:tabs>
                <w:tab w:val="left" w:pos="312"/>
              </w:tabs>
              <w:ind w:right="180" w:firstLine="0"/>
              <w:rPr>
                <w:lang w:eastAsia="lv-LV"/>
              </w:rPr>
            </w:pPr>
            <w:r w:rsidRPr="00A824B3">
              <w:rPr>
                <w:szCs w:val="24"/>
              </w:rPr>
              <w:t xml:space="preserve">3) 2008.gada 22.septembra noteikumos Nr.783 „Ģenētiski modificēto </w:t>
            </w:r>
            <w:r w:rsidRPr="00A824B3">
              <w:rPr>
                <w:szCs w:val="24"/>
              </w:rPr>
              <w:lastRenderedPageBreak/>
              <w:t>organismu uzraudzības padomes noli</w:t>
            </w:r>
            <w:bookmarkStart w:id="7" w:name="_GoBack"/>
            <w:bookmarkEnd w:id="7"/>
            <w:r w:rsidRPr="00A824B3">
              <w:rPr>
                <w:szCs w:val="24"/>
              </w:rPr>
              <w:t>kums”</w:t>
            </w:r>
            <w:r w:rsidRPr="00A824B3">
              <w:rPr>
                <w:lang w:eastAsia="lv-LV"/>
              </w:rPr>
              <w:t>;</w:t>
            </w:r>
          </w:p>
          <w:p w:rsidR="00EA1709" w:rsidRPr="00A824B3" w:rsidRDefault="00EA1709" w:rsidP="002605D5">
            <w:pPr>
              <w:pStyle w:val="Pamattekstaatkpe2"/>
              <w:tabs>
                <w:tab w:val="left" w:pos="312"/>
              </w:tabs>
              <w:ind w:right="180" w:firstLine="0"/>
              <w:rPr>
                <w:szCs w:val="24"/>
              </w:rPr>
            </w:pPr>
            <w:r w:rsidRPr="00A824B3">
              <w:rPr>
                <w:lang w:eastAsia="lv-LV"/>
              </w:rPr>
              <w:t xml:space="preserve">4) </w:t>
            </w:r>
            <w:r w:rsidRPr="00A824B3">
              <w:rPr>
                <w:szCs w:val="24"/>
              </w:rPr>
              <w:t xml:space="preserve">2008.gada 22.decembra noteikumos Nr.1078 </w:t>
            </w:r>
            <w:r w:rsidRPr="00A824B3">
              <w:rPr>
                <w:lang w:eastAsia="lv-LV"/>
              </w:rPr>
              <w:t>„Ģenētiski modificēto organismu riska novērtēšanas metodoloģija”.</w:t>
            </w:r>
          </w:p>
          <w:p w:rsidR="00EA1709" w:rsidRPr="00A824B3" w:rsidRDefault="00EA1709" w:rsidP="009D6184">
            <w:pPr>
              <w:pStyle w:val="Pamattekstaatkpe2"/>
              <w:tabs>
                <w:tab w:val="left" w:pos="312"/>
              </w:tabs>
              <w:ind w:right="180" w:firstLine="0"/>
            </w:pPr>
            <w:r w:rsidRPr="00A824B3">
              <w:t>Atbildīgā par normatīvo aktu projektu izstrādi ir Zemkopības ministrija.</w:t>
            </w:r>
          </w:p>
          <w:p w:rsidR="00EA1709" w:rsidRPr="00A824B3" w:rsidRDefault="00EA1709" w:rsidP="009D6184">
            <w:pPr>
              <w:pStyle w:val="Pamattekstaatkpe2"/>
              <w:tabs>
                <w:tab w:val="left" w:pos="312"/>
              </w:tabs>
              <w:ind w:right="180" w:firstLine="0"/>
              <w:rPr>
                <w:szCs w:val="24"/>
              </w:rPr>
            </w:pPr>
            <w:r w:rsidRPr="00A824B3">
              <w:rPr>
                <w:szCs w:val="24"/>
              </w:rPr>
              <w:t>Ministru kabineta noteikumu projektus plānots iesniegt Ministru kabinetā līdz 2013.gada 30.novembrim.</w:t>
            </w:r>
          </w:p>
          <w:p w:rsidR="00EA1709" w:rsidRPr="00A824B3" w:rsidRDefault="00EA1709" w:rsidP="009D6184">
            <w:pPr>
              <w:pStyle w:val="Pamattekstaatkpe2"/>
              <w:tabs>
                <w:tab w:val="left" w:pos="312"/>
              </w:tabs>
              <w:ind w:right="180" w:firstLine="0"/>
              <w:rPr>
                <w:szCs w:val="24"/>
              </w:rPr>
            </w:pPr>
          </w:p>
          <w:p w:rsidR="00EA1709" w:rsidRPr="00A824B3" w:rsidRDefault="00EA1709" w:rsidP="000F5FF4">
            <w:pPr>
              <w:pStyle w:val="Pamattekstaatkpe2"/>
              <w:tabs>
                <w:tab w:val="left" w:pos="312"/>
              </w:tabs>
              <w:ind w:right="180" w:firstLine="0"/>
              <w:rPr>
                <w:szCs w:val="24"/>
              </w:rPr>
            </w:pPr>
            <w:r w:rsidRPr="00A824B3">
              <w:rPr>
                <w:szCs w:val="24"/>
              </w:rPr>
              <w:t>Līdz 2014.gada 1.janvārim jāizdod Ministru kabineta noteikumi „Noteikumi par ģenētiski modificēto kultūraugu līdzāspastāvēšanu”.</w:t>
            </w:r>
          </w:p>
        </w:tc>
      </w:tr>
      <w:tr w:rsidR="00EA1709" w:rsidRPr="008C18B1" w:rsidTr="00891C38">
        <w:trPr>
          <w:trHeight w:val="279"/>
        </w:trPr>
        <w:tc>
          <w:tcPr>
            <w:tcW w:w="426" w:type="dxa"/>
          </w:tcPr>
          <w:p w:rsidR="00EA1709" w:rsidRPr="008C18B1" w:rsidRDefault="00EA1709" w:rsidP="009D6184">
            <w:pPr>
              <w:pStyle w:val="Parasts1"/>
              <w:jc w:val="both"/>
            </w:pPr>
            <w:r w:rsidRPr="008C18B1">
              <w:lastRenderedPageBreak/>
              <w:t>2.</w:t>
            </w:r>
          </w:p>
        </w:tc>
        <w:tc>
          <w:tcPr>
            <w:tcW w:w="1740" w:type="dxa"/>
          </w:tcPr>
          <w:p w:rsidR="00EA1709" w:rsidRPr="008C18B1" w:rsidRDefault="00EA1709" w:rsidP="009D6184">
            <w:pPr>
              <w:pStyle w:val="Parasts1"/>
              <w:jc w:val="both"/>
            </w:pPr>
            <w:r w:rsidRPr="008C18B1">
              <w:t>Cita informācija</w:t>
            </w:r>
          </w:p>
        </w:tc>
        <w:tc>
          <w:tcPr>
            <w:tcW w:w="7550" w:type="dxa"/>
          </w:tcPr>
          <w:p w:rsidR="00EA1709" w:rsidRPr="008C18B1" w:rsidRDefault="00EA1709" w:rsidP="009D6184">
            <w:pPr>
              <w:pStyle w:val="Parasts1"/>
              <w:jc w:val="both"/>
            </w:pPr>
            <w:r w:rsidRPr="000F5FF4">
              <w:t xml:space="preserve">Noteikumu projekts „Noteikumi par ģenētiski modificēto kultūraugu līdzāspastāvēšanu” (VSS-171, 21.02.2013.) šobrīd </w:t>
            </w:r>
            <w:r w:rsidR="00AB2452">
              <w:t>tiek</w:t>
            </w:r>
            <w:r w:rsidRPr="000F5FF4">
              <w:t xml:space="preserve"> saskaņo</w:t>
            </w:r>
            <w:r w:rsidR="00AB2452">
              <w:t>ts</w:t>
            </w:r>
            <w:r w:rsidRPr="000F5FF4">
              <w:t xml:space="preserve"> ar Eiropas Komisiju.</w:t>
            </w:r>
            <w:r>
              <w:t xml:space="preserve"> </w:t>
            </w:r>
          </w:p>
        </w:tc>
      </w:tr>
    </w:tbl>
    <w:p w:rsidR="00EA1709" w:rsidRPr="008C18B1" w:rsidRDefault="00EA1709" w:rsidP="009D6184">
      <w:pPr>
        <w:pStyle w:val="Parasts1"/>
      </w:pPr>
    </w:p>
    <w:tbl>
      <w:tblPr>
        <w:tblW w:w="9737"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198"/>
        <w:gridCol w:w="6143"/>
      </w:tblGrid>
      <w:tr w:rsidR="00EA1709" w:rsidTr="00583573">
        <w:trPr>
          <w:jc w:val="center"/>
        </w:trPr>
        <w:tc>
          <w:tcPr>
            <w:tcW w:w="9737" w:type="dxa"/>
            <w:gridSpan w:val="3"/>
          </w:tcPr>
          <w:p w:rsidR="00EA1709" w:rsidRDefault="00EA1709">
            <w:pPr>
              <w:pStyle w:val="Parasts1"/>
              <w:jc w:val="center"/>
              <w:rPr>
                <w:b/>
              </w:rPr>
            </w:pPr>
            <w:r>
              <w:rPr>
                <w:b/>
              </w:rPr>
              <w:t>V. Tiesību akta projekta atbilstība Latvijas Republikas starptautiskajām saistībām</w:t>
            </w:r>
          </w:p>
        </w:tc>
      </w:tr>
      <w:tr w:rsidR="00EA1709" w:rsidTr="00583573">
        <w:trPr>
          <w:jc w:val="center"/>
        </w:trPr>
        <w:tc>
          <w:tcPr>
            <w:tcW w:w="396" w:type="dxa"/>
          </w:tcPr>
          <w:p w:rsidR="00EA1709" w:rsidRDefault="00EA1709">
            <w:pPr>
              <w:pStyle w:val="Parasts1"/>
            </w:pPr>
            <w:r>
              <w:t>1.</w:t>
            </w:r>
          </w:p>
        </w:tc>
        <w:tc>
          <w:tcPr>
            <w:tcW w:w="3198" w:type="dxa"/>
          </w:tcPr>
          <w:p w:rsidR="00EA1709" w:rsidRDefault="00EA1709">
            <w:pPr>
              <w:pStyle w:val="Parasts1"/>
            </w:pPr>
            <w:r>
              <w:t>Saistības pret Eiropas Savienību</w:t>
            </w:r>
          </w:p>
        </w:tc>
        <w:tc>
          <w:tcPr>
            <w:tcW w:w="6143" w:type="dxa"/>
          </w:tcPr>
          <w:p w:rsidR="00EA1709" w:rsidRPr="003F0E37" w:rsidRDefault="00EA1709">
            <w:pPr>
              <w:pStyle w:val="Parasts1"/>
              <w:jc w:val="both"/>
            </w:pPr>
            <w:r w:rsidRPr="003F0E37">
              <w:t>Eiropas Parlamenta un Padomes 2001.gada 12.marta Direktīva 2001/18/EK par ģenētiski modificētu organismu apzinātu izplatīšanu vidē un Padomes Direktīvas 90/220/EEK atcelšanu (turpmāk – direktīva 2001/18/EK).</w:t>
            </w:r>
          </w:p>
          <w:p w:rsidR="00EA1709" w:rsidRPr="003F0E37" w:rsidRDefault="00EA1709">
            <w:pPr>
              <w:pStyle w:val="Parasts1"/>
              <w:jc w:val="both"/>
            </w:pPr>
            <w:r w:rsidRPr="003F0E37">
              <w:t>Parlamenta un Padomes 2009.gada 6.maija Direktīva 2009/41/EK par ģenētiski modificētu mikroorganismu ierobežotu izmantošanu (turpmāk – direktīva 2009/41/EK).</w:t>
            </w:r>
          </w:p>
          <w:p w:rsidR="00EA1709" w:rsidRDefault="00EA1709">
            <w:pPr>
              <w:pStyle w:val="Parasts1"/>
              <w:jc w:val="both"/>
            </w:pPr>
            <w:r w:rsidRPr="003F0E37">
              <w:t>EK 2010.gada 13. jūlija ieteikums par pamatnostādnēm, kā izstrādāt valsts līdzāspastāvēšanas pasākumus, kas vajadzīgi, lai izvairītos no netīšas ĢMO klātbūtnes parastajās un bioloģiskajās kultūrās.</w:t>
            </w:r>
          </w:p>
        </w:tc>
      </w:tr>
      <w:tr w:rsidR="00EA1709" w:rsidTr="00583573">
        <w:trPr>
          <w:jc w:val="center"/>
        </w:trPr>
        <w:tc>
          <w:tcPr>
            <w:tcW w:w="396" w:type="dxa"/>
          </w:tcPr>
          <w:p w:rsidR="00EA1709" w:rsidRDefault="00EA1709">
            <w:pPr>
              <w:pStyle w:val="Parasts1"/>
            </w:pPr>
            <w:r>
              <w:t>2.</w:t>
            </w:r>
          </w:p>
        </w:tc>
        <w:tc>
          <w:tcPr>
            <w:tcW w:w="3198" w:type="dxa"/>
          </w:tcPr>
          <w:p w:rsidR="00EA1709" w:rsidRDefault="00EA1709">
            <w:pPr>
              <w:pStyle w:val="Parasts1"/>
            </w:pPr>
            <w:r>
              <w:t>Citas starptautiskās saistības</w:t>
            </w:r>
          </w:p>
        </w:tc>
        <w:tc>
          <w:tcPr>
            <w:tcW w:w="6143" w:type="dxa"/>
          </w:tcPr>
          <w:p w:rsidR="00EA1709" w:rsidRDefault="00EA1709">
            <w:pPr>
              <w:pStyle w:val="Parasts1"/>
            </w:pPr>
            <w:r>
              <w:t>Nav.</w:t>
            </w:r>
          </w:p>
        </w:tc>
      </w:tr>
      <w:tr w:rsidR="00EA1709" w:rsidTr="00583573">
        <w:trPr>
          <w:jc w:val="center"/>
        </w:trPr>
        <w:tc>
          <w:tcPr>
            <w:tcW w:w="396" w:type="dxa"/>
          </w:tcPr>
          <w:p w:rsidR="00EA1709" w:rsidRDefault="00EA1709">
            <w:pPr>
              <w:pStyle w:val="Parasts1"/>
            </w:pPr>
            <w:r>
              <w:t>3.</w:t>
            </w:r>
          </w:p>
        </w:tc>
        <w:tc>
          <w:tcPr>
            <w:tcW w:w="3198" w:type="dxa"/>
          </w:tcPr>
          <w:p w:rsidR="00EA1709" w:rsidRDefault="00EA1709">
            <w:pPr>
              <w:pStyle w:val="Parasts1"/>
            </w:pPr>
            <w:r>
              <w:t>Cita informācija</w:t>
            </w:r>
          </w:p>
        </w:tc>
        <w:tc>
          <w:tcPr>
            <w:tcW w:w="6143" w:type="dxa"/>
          </w:tcPr>
          <w:p w:rsidR="00EA1709" w:rsidRDefault="00EA1709">
            <w:pPr>
              <w:pStyle w:val="Parasts1"/>
            </w:pPr>
            <w:r>
              <w:t>Nav.</w:t>
            </w:r>
          </w:p>
        </w:tc>
      </w:tr>
    </w:tbl>
    <w:p w:rsidR="00EA1709" w:rsidRDefault="00EA1709" w:rsidP="009D6184">
      <w:pPr>
        <w:pStyle w:val="Parasts1"/>
      </w:pPr>
    </w:p>
    <w:tbl>
      <w:tblPr>
        <w:tblW w:w="9586" w:type="dxa"/>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tblPr>
      <w:tblGrid>
        <w:gridCol w:w="2101"/>
        <w:gridCol w:w="1869"/>
        <w:gridCol w:w="2609"/>
        <w:gridCol w:w="3007"/>
      </w:tblGrid>
      <w:tr w:rsidR="00EA1709" w:rsidTr="00583573">
        <w:trPr>
          <w:trHeight w:val="523"/>
          <w:jc w:val="center"/>
        </w:trPr>
        <w:tc>
          <w:tcPr>
            <w:tcW w:w="9586" w:type="dxa"/>
            <w:gridSpan w:val="4"/>
            <w:vAlign w:val="center"/>
          </w:tcPr>
          <w:p w:rsidR="00EA1709" w:rsidRDefault="00EA1709">
            <w:pPr>
              <w:pStyle w:val="Parasts1"/>
              <w:jc w:val="center"/>
              <w:rPr>
                <w:b/>
              </w:rPr>
            </w:pPr>
            <w:r>
              <w:rPr>
                <w:b/>
              </w:rPr>
              <w:t>1.tabula</w:t>
            </w:r>
          </w:p>
          <w:p w:rsidR="00EA1709" w:rsidRDefault="00EA1709">
            <w:pPr>
              <w:pStyle w:val="Parasts1"/>
              <w:jc w:val="center"/>
              <w:rPr>
                <w:b/>
              </w:rPr>
            </w:pPr>
            <w:r>
              <w:rPr>
                <w:b/>
              </w:rPr>
              <w:t>Tiesību akta projekta atbilstība ES tiesību aktiem</w:t>
            </w:r>
          </w:p>
        </w:tc>
      </w:tr>
      <w:tr w:rsidR="00EA1709" w:rsidTr="00583573">
        <w:trPr>
          <w:trHeight w:val="163"/>
          <w:jc w:val="center"/>
        </w:trPr>
        <w:tc>
          <w:tcPr>
            <w:tcW w:w="9586" w:type="dxa"/>
            <w:gridSpan w:val="4"/>
            <w:vAlign w:val="center"/>
          </w:tcPr>
          <w:p w:rsidR="00EA1709" w:rsidRDefault="00EA1709">
            <w:pPr>
              <w:pStyle w:val="Parasts1"/>
            </w:pPr>
          </w:p>
        </w:tc>
      </w:tr>
      <w:tr w:rsidR="00EA1709" w:rsidTr="003F0E37">
        <w:trPr>
          <w:trHeight w:val="165"/>
          <w:jc w:val="center"/>
        </w:trPr>
        <w:tc>
          <w:tcPr>
            <w:tcW w:w="2101" w:type="dxa"/>
            <w:vAlign w:val="center"/>
          </w:tcPr>
          <w:p w:rsidR="00EA1709" w:rsidRDefault="00EA1709">
            <w:pPr>
              <w:pStyle w:val="Parasts1"/>
            </w:pPr>
            <w:r>
              <w:t>A</w:t>
            </w:r>
          </w:p>
        </w:tc>
        <w:tc>
          <w:tcPr>
            <w:tcW w:w="1869" w:type="dxa"/>
            <w:vAlign w:val="center"/>
          </w:tcPr>
          <w:p w:rsidR="00EA1709" w:rsidRDefault="00EA1709">
            <w:pPr>
              <w:pStyle w:val="Parasts1"/>
            </w:pPr>
            <w:r>
              <w:t>B</w:t>
            </w:r>
          </w:p>
        </w:tc>
        <w:tc>
          <w:tcPr>
            <w:tcW w:w="2609" w:type="dxa"/>
            <w:vAlign w:val="center"/>
          </w:tcPr>
          <w:p w:rsidR="00EA1709" w:rsidRDefault="00EA1709">
            <w:pPr>
              <w:pStyle w:val="Parasts1"/>
            </w:pPr>
            <w:r>
              <w:t>C</w:t>
            </w:r>
          </w:p>
        </w:tc>
        <w:tc>
          <w:tcPr>
            <w:tcW w:w="3007" w:type="dxa"/>
            <w:vAlign w:val="center"/>
          </w:tcPr>
          <w:p w:rsidR="00EA1709" w:rsidRDefault="00EA1709">
            <w:pPr>
              <w:pStyle w:val="Parasts1"/>
            </w:pPr>
            <w:r>
              <w:t>D</w:t>
            </w:r>
          </w:p>
        </w:tc>
      </w:tr>
      <w:tr w:rsidR="00EA1709" w:rsidTr="003F0E37">
        <w:trPr>
          <w:trHeight w:val="165"/>
          <w:jc w:val="center"/>
        </w:trPr>
        <w:tc>
          <w:tcPr>
            <w:tcW w:w="2101" w:type="dxa"/>
            <w:vAlign w:val="center"/>
          </w:tcPr>
          <w:p w:rsidR="00EA1709" w:rsidRDefault="00EA1709">
            <w:pPr>
              <w:pStyle w:val="Parasts1"/>
              <w:jc w:val="both"/>
            </w:pPr>
            <w:r>
              <w:t>Attiecīgā ES tiesību akta panta numurs (uzskaitot katru tiesību akta vienību – pantu, daļu, punktu, apakšpunktu)</w:t>
            </w:r>
          </w:p>
        </w:tc>
        <w:tc>
          <w:tcPr>
            <w:tcW w:w="1869" w:type="dxa"/>
            <w:vAlign w:val="center"/>
          </w:tcPr>
          <w:p w:rsidR="00EA1709" w:rsidRDefault="00EA1709">
            <w:pPr>
              <w:pStyle w:val="Parasts1"/>
              <w:jc w:val="both"/>
            </w:pPr>
            <w:r>
              <w:t>Projekta vienība, kas pārņem vai ievieš katru šīs tabulas A ailē minēto ES tiesību akta vienību</w:t>
            </w:r>
          </w:p>
        </w:tc>
        <w:tc>
          <w:tcPr>
            <w:tcW w:w="2609" w:type="dxa"/>
          </w:tcPr>
          <w:p w:rsidR="00EA1709" w:rsidRDefault="00EA1709">
            <w:pPr>
              <w:pStyle w:val="Parasts1"/>
              <w:jc w:val="both"/>
            </w:pPr>
            <w:r>
              <w:t>Informācija par to, vai šīs tabulas A ailē minētās ES tiesību akta vienības tiek pārņemtas vai ieviestas pilnībā vai daļēji.</w:t>
            </w:r>
          </w:p>
          <w:p w:rsidR="00EA1709" w:rsidRDefault="00EA1709">
            <w:pPr>
              <w:pStyle w:val="Parasts1"/>
              <w:jc w:val="both"/>
            </w:pPr>
            <w:r>
              <w:t>Ja attiecīgā ES tiesību akta vienība tiek pārņemta vai ieviesta daļēji, – sniedz attiecīgu skaidrojumu, kā arī precīzi norāda, kad un kādā veidā ES tiesību akta vienība tiks pārņemta vai ieviesta pilnībā.</w:t>
            </w:r>
          </w:p>
          <w:p w:rsidR="00EA1709" w:rsidRDefault="00EA1709">
            <w:pPr>
              <w:pStyle w:val="Parasts1"/>
            </w:pPr>
            <w:r>
              <w:t>Norāda institūciju, kas ir atbildīga par šo saistību izpildi pilnībā</w:t>
            </w:r>
          </w:p>
        </w:tc>
        <w:tc>
          <w:tcPr>
            <w:tcW w:w="3007" w:type="dxa"/>
          </w:tcPr>
          <w:p w:rsidR="00EA1709" w:rsidRDefault="00EA1709">
            <w:pPr>
              <w:pStyle w:val="Parasts1"/>
              <w:jc w:val="both"/>
            </w:pPr>
            <w:r>
              <w:t>Informācija par to, vai šīs tabulas B ailē minētās projekta vienības paredz stingrākas prasības nekā šīs tabulas A ailē minētās ES tiesību akta vienības.</w:t>
            </w:r>
          </w:p>
          <w:p w:rsidR="00EA1709" w:rsidRDefault="00EA1709">
            <w:pPr>
              <w:pStyle w:val="Parasts1"/>
              <w:jc w:val="both"/>
            </w:pPr>
            <w:r>
              <w:t>Ja projekts satur stingrākas prasības nekā attiecīgais ES tiesību akts, – norāda pamatojumu un samērīgumu.</w:t>
            </w:r>
          </w:p>
          <w:p w:rsidR="00EA1709" w:rsidRDefault="00EA1709">
            <w:pPr>
              <w:pStyle w:val="Parasts1"/>
            </w:pPr>
            <w:r>
              <w:t xml:space="preserve">Norāda iespējamās alternatīvas (t.sk. alternatīvas, kas neparedz tiesiskā regulējuma izstrādi) – kādos gadījumos būtu iespējams izvairīties no stingrāku prasību noteikšanas, nekā paredzēts attiecīgajos ES </w:t>
            </w:r>
            <w:r>
              <w:lastRenderedPageBreak/>
              <w:t>tiesību aktos</w:t>
            </w:r>
          </w:p>
        </w:tc>
      </w:tr>
      <w:tr w:rsidR="00EA1709" w:rsidRPr="003F0E37" w:rsidTr="003F0E37">
        <w:trPr>
          <w:trHeight w:val="165"/>
          <w:jc w:val="center"/>
        </w:trPr>
        <w:tc>
          <w:tcPr>
            <w:tcW w:w="2101" w:type="dxa"/>
            <w:vAlign w:val="center"/>
          </w:tcPr>
          <w:p w:rsidR="00EA1709" w:rsidRPr="002B7CF2" w:rsidRDefault="00EA1709" w:rsidP="00AC47B1">
            <w:pPr>
              <w:pStyle w:val="Parasts1"/>
              <w:jc w:val="both"/>
            </w:pPr>
            <w:r w:rsidRPr="002B7CF2">
              <w:lastRenderedPageBreak/>
              <w:t>Direktīvas 2001/18/EC 4 panta 3. un 4.punkts un direktīvas 2009/41/EK 10.panta 1. un 2.punkts</w:t>
            </w:r>
          </w:p>
        </w:tc>
        <w:tc>
          <w:tcPr>
            <w:tcW w:w="1869" w:type="dxa"/>
            <w:vAlign w:val="center"/>
          </w:tcPr>
          <w:p w:rsidR="00EA1709" w:rsidRPr="002B7CF2" w:rsidRDefault="00EA1709" w:rsidP="00AC47B1">
            <w:pPr>
              <w:pStyle w:val="Parasts1"/>
              <w:jc w:val="both"/>
            </w:pPr>
            <w:r w:rsidRPr="002B7CF2">
              <w:t>3. pantā izteiktais likuma 9.panta 1.punkts un 4.pantā izteiktais likuma 15.panta 1.punkts</w:t>
            </w:r>
          </w:p>
        </w:tc>
        <w:tc>
          <w:tcPr>
            <w:tcW w:w="2609" w:type="dxa"/>
          </w:tcPr>
          <w:p w:rsidR="00EA1709" w:rsidRPr="003F0E37" w:rsidRDefault="00EA1709" w:rsidP="003F0E37">
            <w:pPr>
              <w:pStyle w:val="Parasts1"/>
              <w:jc w:val="both"/>
            </w:pPr>
            <w:r w:rsidRPr="003F0E37">
              <w:t>Ieviests pilnībā.</w:t>
            </w:r>
          </w:p>
        </w:tc>
        <w:tc>
          <w:tcPr>
            <w:tcW w:w="3007" w:type="dxa"/>
          </w:tcPr>
          <w:p w:rsidR="00EA1709" w:rsidRPr="003F0E37" w:rsidRDefault="00EA1709" w:rsidP="00FA3F6A">
            <w:pPr>
              <w:pStyle w:val="Parasts1"/>
              <w:jc w:val="both"/>
            </w:pPr>
            <w:r w:rsidRPr="003F0E37">
              <w:t>Stingrākas prasības nav paredzētas.</w:t>
            </w:r>
          </w:p>
        </w:tc>
      </w:tr>
      <w:tr w:rsidR="00EA1709" w:rsidRPr="003F0E37" w:rsidTr="003F0E37">
        <w:trPr>
          <w:trHeight w:val="165"/>
          <w:jc w:val="center"/>
        </w:trPr>
        <w:tc>
          <w:tcPr>
            <w:tcW w:w="2101" w:type="dxa"/>
            <w:vAlign w:val="center"/>
          </w:tcPr>
          <w:p w:rsidR="00EA1709" w:rsidRPr="002B7CF2" w:rsidRDefault="00EA1709" w:rsidP="003F0E37">
            <w:pPr>
              <w:pStyle w:val="Parasts1"/>
              <w:jc w:val="both"/>
            </w:pPr>
            <w:r w:rsidRPr="002B7CF2">
              <w:t>Direktīvas 2001/18/EC 4 panta 5.punkts</w:t>
            </w:r>
          </w:p>
        </w:tc>
        <w:tc>
          <w:tcPr>
            <w:tcW w:w="1869" w:type="dxa"/>
            <w:vAlign w:val="center"/>
          </w:tcPr>
          <w:p w:rsidR="00EA1709" w:rsidRPr="002B7CF2" w:rsidRDefault="00EA1709" w:rsidP="0025672B">
            <w:pPr>
              <w:pStyle w:val="Parasts1"/>
              <w:jc w:val="both"/>
            </w:pPr>
            <w:r w:rsidRPr="002B7CF2">
              <w:t>2.pants; 3. pantā izteiktais 8.pants un 9.panta 4.</w:t>
            </w:r>
            <w:r w:rsidR="00AB2452">
              <w:t>–</w:t>
            </w:r>
            <w:r w:rsidRPr="002B7CF2">
              <w:t>9.punkts</w:t>
            </w:r>
          </w:p>
        </w:tc>
        <w:tc>
          <w:tcPr>
            <w:tcW w:w="2609" w:type="dxa"/>
          </w:tcPr>
          <w:p w:rsidR="00EA1709" w:rsidRPr="003F0E37" w:rsidRDefault="00EA1709" w:rsidP="003F0E37">
            <w:pPr>
              <w:pStyle w:val="Parasts1"/>
              <w:jc w:val="both"/>
            </w:pPr>
            <w:r w:rsidRPr="003F0E37">
              <w:t>Ieviests pilnībā.</w:t>
            </w:r>
          </w:p>
        </w:tc>
        <w:tc>
          <w:tcPr>
            <w:tcW w:w="3007" w:type="dxa"/>
          </w:tcPr>
          <w:p w:rsidR="00EA1709" w:rsidRPr="003F0E37" w:rsidRDefault="00EA1709" w:rsidP="003F0E37">
            <w:pPr>
              <w:pStyle w:val="Parasts1"/>
              <w:jc w:val="both"/>
            </w:pPr>
            <w:r w:rsidRPr="003F0E37">
              <w:t>Stingrākas prasības nav paredzētas.</w:t>
            </w:r>
          </w:p>
        </w:tc>
      </w:tr>
      <w:tr w:rsidR="00EA1709" w:rsidRPr="003F0E37" w:rsidTr="003F0E37">
        <w:trPr>
          <w:trHeight w:val="165"/>
          <w:jc w:val="center"/>
        </w:trPr>
        <w:tc>
          <w:tcPr>
            <w:tcW w:w="2101" w:type="dxa"/>
            <w:vAlign w:val="center"/>
          </w:tcPr>
          <w:p w:rsidR="00EA1709" w:rsidRPr="003F0E37" w:rsidRDefault="00EA1709" w:rsidP="003F0E37">
            <w:pPr>
              <w:pStyle w:val="Parasts1"/>
              <w:jc w:val="both"/>
            </w:pPr>
            <w:r w:rsidRPr="003F0E37">
              <w:t>Direktīvas 2001/18/EC 11. panta 2.punkts</w:t>
            </w:r>
          </w:p>
        </w:tc>
        <w:tc>
          <w:tcPr>
            <w:tcW w:w="1869" w:type="dxa"/>
            <w:vAlign w:val="center"/>
          </w:tcPr>
          <w:p w:rsidR="00EA1709" w:rsidRPr="003F0E37" w:rsidRDefault="00EA1709" w:rsidP="005657BE">
            <w:pPr>
              <w:pStyle w:val="Parasts1"/>
              <w:jc w:val="both"/>
            </w:pPr>
            <w:r>
              <w:t>3</w:t>
            </w:r>
            <w:r w:rsidRPr="003F0E37">
              <w:t xml:space="preserve">. pantā izteiktā 9.panta </w:t>
            </w:r>
            <w:r>
              <w:t>3</w:t>
            </w:r>
            <w:r w:rsidRPr="003F0E37">
              <w:t>.punkts</w:t>
            </w:r>
          </w:p>
        </w:tc>
        <w:tc>
          <w:tcPr>
            <w:tcW w:w="2609" w:type="dxa"/>
          </w:tcPr>
          <w:p w:rsidR="00EA1709" w:rsidRPr="003F0E37" w:rsidRDefault="00EA1709" w:rsidP="003F0E37">
            <w:pPr>
              <w:pStyle w:val="Parasts1"/>
              <w:jc w:val="both"/>
            </w:pPr>
            <w:r w:rsidRPr="003F0E37">
              <w:t>Ieviests pilnībā.</w:t>
            </w:r>
          </w:p>
        </w:tc>
        <w:tc>
          <w:tcPr>
            <w:tcW w:w="3007" w:type="dxa"/>
          </w:tcPr>
          <w:p w:rsidR="00EA1709" w:rsidRPr="003F0E37" w:rsidRDefault="00EA1709" w:rsidP="003F0E37">
            <w:pPr>
              <w:pStyle w:val="Parasts1"/>
              <w:jc w:val="both"/>
            </w:pPr>
            <w:r w:rsidRPr="003F0E37">
              <w:t>Stingrākas prasības nav paredzētas.</w:t>
            </w:r>
          </w:p>
        </w:tc>
      </w:tr>
      <w:tr w:rsidR="00EA1709" w:rsidTr="003F0E37">
        <w:trPr>
          <w:trHeight w:val="281"/>
          <w:jc w:val="center"/>
        </w:trPr>
        <w:tc>
          <w:tcPr>
            <w:tcW w:w="2101" w:type="dxa"/>
            <w:vAlign w:val="center"/>
          </w:tcPr>
          <w:p w:rsidR="00EA1709" w:rsidRDefault="00EA1709">
            <w:pPr>
              <w:pStyle w:val="Parasts1"/>
              <w:jc w:val="both"/>
            </w:pPr>
            <w:r>
              <w:t>Kā ir izmantota ES tiesību aktā paredzētā rīcības brīvība dalībvalstij pārņemt vai ieviest noteiktas ES tiesību akta normas.</w:t>
            </w:r>
          </w:p>
          <w:p w:rsidR="00EA1709" w:rsidRDefault="00EA1709">
            <w:pPr>
              <w:pStyle w:val="Parasts1"/>
              <w:jc w:val="both"/>
            </w:pPr>
            <w:r>
              <w:t>Kādēļ?</w:t>
            </w:r>
          </w:p>
        </w:tc>
        <w:tc>
          <w:tcPr>
            <w:tcW w:w="7485" w:type="dxa"/>
            <w:gridSpan w:val="3"/>
          </w:tcPr>
          <w:p w:rsidR="00EA1709" w:rsidRDefault="00EA1709">
            <w:pPr>
              <w:pStyle w:val="Parasts1"/>
              <w:jc w:val="both"/>
            </w:pPr>
            <w:r>
              <w:t>Likumprojektā iekļautās ES tiesību direktīvu normas neparedz rīcības brīvību dalībvalstīm.</w:t>
            </w:r>
          </w:p>
          <w:p w:rsidR="00EA1709" w:rsidRDefault="00EA1709">
            <w:pPr>
              <w:pStyle w:val="Parasts1"/>
              <w:jc w:val="both"/>
              <w:rPr>
                <w:bCs/>
              </w:rPr>
            </w:pPr>
            <w:r>
              <w:rPr>
                <w:bCs/>
              </w:rPr>
              <w:t>EK ieteikums par pamatnostādnēm, kā izstrādāt valsts līdzāspastāvēšanas pasākumus, kas vajadzīgi, lai izvairītos no netīšas ĢMO klātbūtnes parastajās un bioloģiskajās kultūrās, nosaka, ka noteiktos ekonomiskajos un dabas apstākļos dalībvalstīm ir jāizskata iespēja nepieļaut ĢMO audzēšanu plašās dalībvalstu teritorijās, lai izvairītos no ĢMO netīšas klātbūtnes parastajās un bioloģiskajās kultūrās, nosakot ĢMO brīvas zonas.</w:t>
            </w:r>
          </w:p>
        </w:tc>
      </w:tr>
      <w:tr w:rsidR="00EA1709" w:rsidTr="003F0E37">
        <w:trPr>
          <w:trHeight w:val="913"/>
          <w:jc w:val="center"/>
        </w:trPr>
        <w:tc>
          <w:tcPr>
            <w:tcW w:w="2101" w:type="dxa"/>
            <w:vAlign w:val="center"/>
          </w:tcPr>
          <w:p w:rsidR="00EA1709" w:rsidRDefault="00EA1709">
            <w:pPr>
              <w:pStyle w:val="Parasts1"/>
              <w:jc w:val="both"/>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485" w:type="dxa"/>
            <w:gridSpan w:val="3"/>
          </w:tcPr>
          <w:p w:rsidR="00EA1709" w:rsidRDefault="00EA1709">
            <w:pPr>
              <w:pStyle w:val="Parasts1"/>
            </w:pPr>
            <w:r w:rsidRPr="003F0E37">
              <w:t>Likumprojekts šo jomu neskar.</w:t>
            </w:r>
          </w:p>
        </w:tc>
      </w:tr>
      <w:tr w:rsidR="00EA1709" w:rsidTr="003F0E37">
        <w:trPr>
          <w:trHeight w:val="579"/>
          <w:jc w:val="center"/>
        </w:trPr>
        <w:tc>
          <w:tcPr>
            <w:tcW w:w="2101" w:type="dxa"/>
          </w:tcPr>
          <w:p w:rsidR="00EA1709" w:rsidRDefault="00EA1709">
            <w:pPr>
              <w:pStyle w:val="Parasts1"/>
            </w:pPr>
            <w:r>
              <w:t>Cita informācija</w:t>
            </w:r>
          </w:p>
        </w:tc>
        <w:tc>
          <w:tcPr>
            <w:tcW w:w="7485" w:type="dxa"/>
            <w:gridSpan w:val="3"/>
          </w:tcPr>
          <w:p w:rsidR="00EA1709" w:rsidRDefault="00EA1709">
            <w:pPr>
              <w:pStyle w:val="Parasts1"/>
            </w:pPr>
            <w:r>
              <w:t>Nav.</w:t>
            </w:r>
          </w:p>
        </w:tc>
      </w:tr>
    </w:tbl>
    <w:p w:rsidR="00EA1709" w:rsidRPr="008C18B1" w:rsidRDefault="00EA1709" w:rsidP="009D6184">
      <w:pPr>
        <w:pStyle w:val="Parasts1"/>
      </w:pPr>
    </w:p>
    <w:p w:rsidR="00EA1709" w:rsidRPr="008C18B1" w:rsidRDefault="00EA1709" w:rsidP="009D6184">
      <w:pPr>
        <w:pStyle w:val="Parasts1"/>
      </w:pPr>
    </w:p>
    <w:tbl>
      <w:tblPr>
        <w:tblW w:w="9578"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96"/>
        <w:gridCol w:w="3720"/>
        <w:gridCol w:w="5462"/>
      </w:tblGrid>
      <w:tr w:rsidR="00EA1709" w:rsidRPr="008C18B1" w:rsidTr="00E87F08">
        <w:trPr>
          <w:jc w:val="center"/>
        </w:trPr>
        <w:tc>
          <w:tcPr>
            <w:tcW w:w="9578" w:type="dxa"/>
            <w:gridSpan w:val="3"/>
          </w:tcPr>
          <w:p w:rsidR="00EA1709" w:rsidRPr="008C18B1" w:rsidRDefault="00EA1709" w:rsidP="009D6184">
            <w:pPr>
              <w:pStyle w:val="naisnod"/>
              <w:spacing w:before="0" w:after="0"/>
              <w:ind w:left="57" w:right="57"/>
            </w:pPr>
            <w:r w:rsidRPr="008C18B1">
              <w:rPr>
                <w:bCs w:val="0"/>
              </w:rPr>
              <w:t>VI. Sabiedrības līdzdalība un šīs līdzdalības rezultāti</w:t>
            </w:r>
          </w:p>
        </w:tc>
      </w:tr>
      <w:tr w:rsidR="00EA1709" w:rsidRPr="008C18B1" w:rsidTr="00891C38">
        <w:trPr>
          <w:trHeight w:val="553"/>
          <w:jc w:val="center"/>
        </w:trPr>
        <w:tc>
          <w:tcPr>
            <w:tcW w:w="396" w:type="dxa"/>
          </w:tcPr>
          <w:p w:rsidR="00EA1709" w:rsidRPr="008C18B1" w:rsidRDefault="00EA1709" w:rsidP="009D6184">
            <w:pPr>
              <w:pStyle w:val="naiskr"/>
              <w:spacing w:before="0" w:after="0"/>
              <w:ind w:left="57" w:right="57"/>
            </w:pPr>
            <w:r w:rsidRPr="008C18B1">
              <w:t>1.</w:t>
            </w:r>
          </w:p>
        </w:tc>
        <w:tc>
          <w:tcPr>
            <w:tcW w:w="3720" w:type="dxa"/>
          </w:tcPr>
          <w:p w:rsidR="00EA1709" w:rsidRPr="008C18B1" w:rsidRDefault="00EA1709" w:rsidP="009D6184">
            <w:pPr>
              <w:pStyle w:val="naiskr"/>
              <w:spacing w:before="0" w:after="0"/>
              <w:ind w:left="57" w:right="57"/>
            </w:pPr>
            <w:r w:rsidRPr="008C18B1">
              <w:t>Sabiedrības informēšana par projekta izstrādes uzsākšanu</w:t>
            </w:r>
          </w:p>
        </w:tc>
        <w:tc>
          <w:tcPr>
            <w:tcW w:w="5462" w:type="dxa"/>
          </w:tcPr>
          <w:p w:rsidR="00EA1709" w:rsidRPr="000B7085" w:rsidRDefault="00EA1709" w:rsidP="00EA68B0">
            <w:pPr>
              <w:pStyle w:val="Parasts1"/>
              <w:jc w:val="both"/>
            </w:pPr>
            <w:r>
              <w:t>Likumprojekts tika</w:t>
            </w:r>
            <w:r w:rsidRPr="0012122D">
              <w:t xml:space="preserve"> saskaņots</w:t>
            </w:r>
            <w:r w:rsidRPr="008C18B1">
              <w:t xml:space="preserve"> ar </w:t>
            </w:r>
            <w:r>
              <w:t>Zemkopības ministrijas</w:t>
            </w:r>
            <w:r w:rsidRPr="008C18B1">
              <w:t xml:space="preserve"> starpinstitūciju darba grupu „</w:t>
            </w:r>
            <w:r>
              <w:t>Ģenētiski modificētie organismi</w:t>
            </w:r>
            <w:r w:rsidRPr="008C18B1">
              <w:t xml:space="preserve">, </w:t>
            </w:r>
            <w:r>
              <w:t>ģenētiski modificētā</w:t>
            </w:r>
            <w:r w:rsidRPr="008C18B1">
              <w:t xml:space="preserve"> pārtika un dzīvnieku barība”, kurā iekļauti pārstāvji no Latvijas Universitātes, Latvijas Lauksaimniecības universitātes, Latvijas </w:t>
            </w:r>
            <w:r w:rsidRPr="008C18B1">
              <w:lastRenderedPageBreak/>
              <w:t xml:space="preserve">Ģenētiku un selekcionāru biedrības, Vides konsultatīvās padomes, Lauksaimnieku </w:t>
            </w:r>
            <w:r w:rsidRPr="000B7085">
              <w:t>organizāciju sadarbības padomes u.c. organizācijām.</w:t>
            </w:r>
          </w:p>
          <w:p w:rsidR="00EA1709" w:rsidRPr="008C18B1" w:rsidRDefault="00EA1709" w:rsidP="007228D5">
            <w:pPr>
              <w:pStyle w:val="Parasts1"/>
              <w:jc w:val="both"/>
              <w:rPr>
                <w:rFonts w:ascii="Calibri" w:hAnsi="Calibri"/>
              </w:rPr>
            </w:pPr>
            <w:r w:rsidRPr="000B7085">
              <w:t xml:space="preserve">Likumprojekts </w:t>
            </w:r>
            <w:r>
              <w:t>ir</w:t>
            </w:r>
            <w:r w:rsidRPr="000B7085">
              <w:t xml:space="preserve"> ievietots Zemkopības ministrijas </w:t>
            </w:r>
            <w:r>
              <w:t>tīmekļa</w:t>
            </w:r>
            <w:r w:rsidRPr="000B7085">
              <w:t xml:space="preserve"> vietnē.</w:t>
            </w:r>
          </w:p>
        </w:tc>
      </w:tr>
      <w:tr w:rsidR="00EA1709" w:rsidRPr="008C18B1" w:rsidTr="00891C38">
        <w:trPr>
          <w:trHeight w:val="339"/>
          <w:jc w:val="center"/>
        </w:trPr>
        <w:tc>
          <w:tcPr>
            <w:tcW w:w="396" w:type="dxa"/>
          </w:tcPr>
          <w:p w:rsidR="00EA1709" w:rsidRPr="008C18B1" w:rsidRDefault="00EA1709" w:rsidP="009D6184">
            <w:pPr>
              <w:pStyle w:val="naiskr"/>
              <w:spacing w:before="0" w:after="0"/>
              <w:ind w:left="57" w:right="57"/>
            </w:pPr>
            <w:r w:rsidRPr="008C18B1">
              <w:lastRenderedPageBreak/>
              <w:t>2.</w:t>
            </w:r>
          </w:p>
        </w:tc>
        <w:tc>
          <w:tcPr>
            <w:tcW w:w="3720" w:type="dxa"/>
          </w:tcPr>
          <w:p w:rsidR="00EA1709" w:rsidRPr="008C18B1" w:rsidRDefault="00EA1709" w:rsidP="009D6184">
            <w:pPr>
              <w:pStyle w:val="naiskr"/>
              <w:spacing w:before="0" w:after="0"/>
              <w:ind w:left="57" w:right="57"/>
            </w:pPr>
            <w:r w:rsidRPr="008C18B1">
              <w:t xml:space="preserve">Sabiedrības līdzdalība projekta izstrādē </w:t>
            </w:r>
          </w:p>
        </w:tc>
        <w:tc>
          <w:tcPr>
            <w:tcW w:w="5462" w:type="dxa"/>
          </w:tcPr>
          <w:p w:rsidR="00EA1709" w:rsidRPr="008C18B1" w:rsidRDefault="00EA1709" w:rsidP="009D6184">
            <w:pPr>
              <w:pStyle w:val="Parasts1"/>
              <w:jc w:val="both"/>
              <w:rPr>
                <w:rFonts w:ascii="Calibri" w:hAnsi="Calibri"/>
              </w:rPr>
            </w:pPr>
            <w:r w:rsidRPr="008C18B1">
              <w:t>Elektroniska sarakste</w:t>
            </w:r>
          </w:p>
        </w:tc>
      </w:tr>
      <w:tr w:rsidR="00EA1709" w:rsidRPr="008C18B1" w:rsidTr="00891C38">
        <w:trPr>
          <w:trHeight w:val="375"/>
          <w:jc w:val="center"/>
        </w:trPr>
        <w:tc>
          <w:tcPr>
            <w:tcW w:w="396" w:type="dxa"/>
          </w:tcPr>
          <w:p w:rsidR="00EA1709" w:rsidRPr="008C18B1" w:rsidRDefault="00EA1709" w:rsidP="009D6184">
            <w:pPr>
              <w:pStyle w:val="naiskr"/>
              <w:spacing w:before="0" w:after="0"/>
              <w:ind w:left="57" w:right="57"/>
            </w:pPr>
            <w:r w:rsidRPr="008C18B1">
              <w:t>3.</w:t>
            </w:r>
          </w:p>
        </w:tc>
        <w:tc>
          <w:tcPr>
            <w:tcW w:w="3720" w:type="dxa"/>
          </w:tcPr>
          <w:p w:rsidR="00EA1709" w:rsidRPr="008C18B1" w:rsidRDefault="00EA1709" w:rsidP="009D6184">
            <w:pPr>
              <w:pStyle w:val="naiskr"/>
              <w:spacing w:before="0" w:after="0"/>
              <w:ind w:left="57" w:right="57"/>
            </w:pPr>
            <w:r w:rsidRPr="008C18B1">
              <w:t xml:space="preserve">Sabiedrības līdzdalības rezultāti </w:t>
            </w:r>
          </w:p>
        </w:tc>
        <w:tc>
          <w:tcPr>
            <w:tcW w:w="5462" w:type="dxa"/>
          </w:tcPr>
          <w:p w:rsidR="00EA1709" w:rsidRPr="008C18B1" w:rsidRDefault="00EA1709" w:rsidP="009D6184">
            <w:pPr>
              <w:pStyle w:val="Parasts1"/>
              <w:jc w:val="both"/>
              <w:rPr>
                <w:rFonts w:ascii="Calibri" w:hAnsi="Calibri"/>
              </w:rPr>
            </w:pPr>
            <w:r>
              <w:t>–</w:t>
            </w:r>
          </w:p>
        </w:tc>
      </w:tr>
      <w:tr w:rsidR="00EA1709" w:rsidRPr="008C18B1" w:rsidTr="00891C38">
        <w:trPr>
          <w:trHeight w:val="397"/>
          <w:jc w:val="center"/>
        </w:trPr>
        <w:tc>
          <w:tcPr>
            <w:tcW w:w="396" w:type="dxa"/>
          </w:tcPr>
          <w:p w:rsidR="00EA1709" w:rsidRPr="008C18B1" w:rsidRDefault="00EA1709" w:rsidP="009D6184">
            <w:pPr>
              <w:pStyle w:val="naiskr"/>
              <w:spacing w:before="0" w:after="0"/>
              <w:ind w:left="57" w:right="57"/>
            </w:pPr>
            <w:r w:rsidRPr="008C18B1">
              <w:t>4.</w:t>
            </w:r>
          </w:p>
        </w:tc>
        <w:tc>
          <w:tcPr>
            <w:tcW w:w="3720" w:type="dxa"/>
          </w:tcPr>
          <w:p w:rsidR="00EA1709" w:rsidRPr="008C18B1" w:rsidRDefault="00EA1709" w:rsidP="009D6184">
            <w:pPr>
              <w:pStyle w:val="naiskr"/>
              <w:spacing w:before="0" w:after="0"/>
              <w:ind w:left="57" w:right="57"/>
            </w:pPr>
            <w:r w:rsidRPr="008C18B1">
              <w:t>Saeimas un ekspertu līdzdalība</w:t>
            </w:r>
          </w:p>
        </w:tc>
        <w:tc>
          <w:tcPr>
            <w:tcW w:w="5462" w:type="dxa"/>
          </w:tcPr>
          <w:p w:rsidR="00EA1709" w:rsidRPr="008C18B1" w:rsidRDefault="00EA1709" w:rsidP="009D6184">
            <w:pPr>
              <w:pStyle w:val="Parasts1"/>
              <w:jc w:val="both"/>
              <w:rPr>
                <w:rFonts w:ascii="Calibri" w:hAnsi="Calibri"/>
              </w:rPr>
            </w:pPr>
            <w:r w:rsidRPr="008C18B1">
              <w:t>Likumprojekts šo jomu neskar.</w:t>
            </w:r>
          </w:p>
        </w:tc>
      </w:tr>
      <w:tr w:rsidR="00EA1709" w:rsidRPr="008C18B1" w:rsidTr="00891C38">
        <w:trPr>
          <w:trHeight w:val="387"/>
          <w:jc w:val="center"/>
        </w:trPr>
        <w:tc>
          <w:tcPr>
            <w:tcW w:w="396" w:type="dxa"/>
          </w:tcPr>
          <w:p w:rsidR="00EA1709" w:rsidRPr="008C18B1" w:rsidRDefault="00EA1709" w:rsidP="009D6184">
            <w:pPr>
              <w:pStyle w:val="naiskr"/>
              <w:spacing w:before="0" w:after="0"/>
              <w:ind w:left="57" w:right="57"/>
            </w:pPr>
            <w:r w:rsidRPr="008C18B1">
              <w:t>5.</w:t>
            </w:r>
          </w:p>
        </w:tc>
        <w:tc>
          <w:tcPr>
            <w:tcW w:w="3720" w:type="dxa"/>
          </w:tcPr>
          <w:p w:rsidR="00EA1709" w:rsidRPr="008C18B1" w:rsidRDefault="00EA1709" w:rsidP="009D6184">
            <w:pPr>
              <w:pStyle w:val="naiskr"/>
              <w:spacing w:before="0" w:after="0"/>
              <w:ind w:left="57" w:right="57"/>
            </w:pPr>
            <w:r w:rsidRPr="008C18B1">
              <w:t>Cita informācija</w:t>
            </w:r>
          </w:p>
        </w:tc>
        <w:tc>
          <w:tcPr>
            <w:tcW w:w="5462" w:type="dxa"/>
          </w:tcPr>
          <w:p w:rsidR="00EA1709" w:rsidRPr="008C18B1" w:rsidRDefault="00EA1709" w:rsidP="009D6184">
            <w:pPr>
              <w:pStyle w:val="Parasts1"/>
              <w:jc w:val="both"/>
              <w:rPr>
                <w:rFonts w:ascii="Calibri" w:hAnsi="Calibri"/>
              </w:rPr>
            </w:pPr>
            <w:r w:rsidRPr="008C18B1">
              <w:t>Nav</w:t>
            </w:r>
          </w:p>
        </w:tc>
      </w:tr>
    </w:tbl>
    <w:p w:rsidR="00EA1709" w:rsidRPr="008C18B1" w:rsidRDefault="00EA1709" w:rsidP="009D6184">
      <w:pPr>
        <w:pStyle w:val="Parasts1"/>
      </w:pPr>
    </w:p>
    <w:p w:rsidR="00EA1709" w:rsidRPr="008C18B1" w:rsidRDefault="00EA1709" w:rsidP="009D6184">
      <w:pPr>
        <w:pStyle w:val="Parasts1"/>
      </w:pPr>
    </w:p>
    <w:tbl>
      <w:tblPr>
        <w:tblW w:w="9565"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9"/>
        <w:gridCol w:w="3696"/>
        <w:gridCol w:w="5490"/>
      </w:tblGrid>
      <w:tr w:rsidR="00EA1709" w:rsidRPr="008C18B1">
        <w:trPr>
          <w:jc w:val="center"/>
        </w:trPr>
        <w:tc>
          <w:tcPr>
            <w:tcW w:w="9565" w:type="dxa"/>
            <w:gridSpan w:val="3"/>
          </w:tcPr>
          <w:p w:rsidR="00EA1709" w:rsidRPr="008C18B1" w:rsidRDefault="00EA1709" w:rsidP="009D6184">
            <w:pPr>
              <w:pStyle w:val="Parasts1"/>
              <w:jc w:val="center"/>
              <w:rPr>
                <w:b/>
              </w:rPr>
            </w:pPr>
            <w:r w:rsidRPr="008C18B1">
              <w:rPr>
                <w:b/>
              </w:rPr>
              <w:t>VII. Tiesību akta projekta izpildes nodrošināšana un tās ietekme uz institūcijām</w:t>
            </w:r>
          </w:p>
        </w:tc>
      </w:tr>
      <w:tr w:rsidR="00EA1709" w:rsidRPr="008C18B1" w:rsidTr="00891C38">
        <w:trPr>
          <w:trHeight w:val="427"/>
          <w:jc w:val="center"/>
        </w:trPr>
        <w:tc>
          <w:tcPr>
            <w:tcW w:w="379" w:type="dxa"/>
          </w:tcPr>
          <w:p w:rsidR="00EA1709" w:rsidRPr="008C18B1" w:rsidRDefault="00EA1709" w:rsidP="009D6184">
            <w:pPr>
              <w:pStyle w:val="Parasts1"/>
            </w:pPr>
            <w:r w:rsidRPr="008C18B1">
              <w:t>1.</w:t>
            </w:r>
          </w:p>
        </w:tc>
        <w:tc>
          <w:tcPr>
            <w:tcW w:w="3696" w:type="dxa"/>
          </w:tcPr>
          <w:p w:rsidR="00EA1709" w:rsidRPr="008C18B1" w:rsidRDefault="00EA1709" w:rsidP="009D6184">
            <w:pPr>
              <w:pStyle w:val="Parasts1"/>
              <w:jc w:val="both"/>
            </w:pPr>
            <w:r w:rsidRPr="008C18B1">
              <w:t xml:space="preserve">Projekta izpildē iesaistītās institūcijas </w:t>
            </w:r>
          </w:p>
        </w:tc>
        <w:tc>
          <w:tcPr>
            <w:tcW w:w="5490" w:type="dxa"/>
          </w:tcPr>
          <w:p w:rsidR="00EA1709" w:rsidRPr="008C18B1" w:rsidRDefault="00EA1709" w:rsidP="00F26B67">
            <w:pPr>
              <w:pStyle w:val="Parasts1"/>
              <w:jc w:val="both"/>
            </w:pPr>
            <w:r w:rsidRPr="00F26B67">
              <w:t>Pārtikas un veterinārais dienests, Valsts augu aizsardzības dienests un Pārtikas drošības, dzīvnieku veselības un vides zinātniskais institūts „BIOR”.</w:t>
            </w:r>
          </w:p>
        </w:tc>
      </w:tr>
      <w:tr w:rsidR="00EA1709" w:rsidRPr="008C18B1" w:rsidTr="00891C38">
        <w:trPr>
          <w:trHeight w:val="463"/>
          <w:jc w:val="center"/>
        </w:trPr>
        <w:tc>
          <w:tcPr>
            <w:tcW w:w="379" w:type="dxa"/>
          </w:tcPr>
          <w:p w:rsidR="00EA1709" w:rsidRPr="008C18B1" w:rsidRDefault="00EA1709" w:rsidP="009D6184">
            <w:pPr>
              <w:pStyle w:val="Parasts1"/>
            </w:pPr>
            <w:r w:rsidRPr="008C18B1">
              <w:t>2.</w:t>
            </w:r>
          </w:p>
        </w:tc>
        <w:tc>
          <w:tcPr>
            <w:tcW w:w="3696" w:type="dxa"/>
          </w:tcPr>
          <w:p w:rsidR="00EA1709" w:rsidRPr="008C18B1" w:rsidRDefault="00EA1709" w:rsidP="009D6184">
            <w:pPr>
              <w:pStyle w:val="Parasts1"/>
              <w:jc w:val="both"/>
            </w:pPr>
            <w:r w:rsidRPr="008C18B1">
              <w:t xml:space="preserve">Projekta izpildes ietekme uz pārvaldes funkcijām </w:t>
            </w:r>
          </w:p>
        </w:tc>
        <w:tc>
          <w:tcPr>
            <w:tcW w:w="5490" w:type="dxa"/>
          </w:tcPr>
          <w:p w:rsidR="00EA1709" w:rsidRPr="008C18B1" w:rsidRDefault="00EA1709" w:rsidP="00191DA2">
            <w:pPr>
              <w:pStyle w:val="Parasts1"/>
              <w:jc w:val="both"/>
            </w:pPr>
            <w:r w:rsidRPr="008C18B1">
              <w:t xml:space="preserve">Likumprojekts paredz </w:t>
            </w:r>
            <w:r>
              <w:t xml:space="preserve">nodot </w:t>
            </w:r>
            <w:r w:rsidRPr="00020B53">
              <w:t xml:space="preserve">Pārtikas drošības, dzīvnieku veselības un </w:t>
            </w:r>
            <w:r w:rsidRPr="00A30350">
              <w:t>vides zinātniskais institūtam „BIOR” riska novērtēšanas un atļaujas izdošanas</w:t>
            </w:r>
            <w:r>
              <w:t xml:space="preserve"> uzdevumus ģenētiski modificēto organismu aprites jomā.</w:t>
            </w:r>
          </w:p>
        </w:tc>
      </w:tr>
      <w:tr w:rsidR="00EA1709" w:rsidRPr="008C18B1" w:rsidTr="00891C38">
        <w:trPr>
          <w:trHeight w:val="725"/>
          <w:jc w:val="center"/>
        </w:trPr>
        <w:tc>
          <w:tcPr>
            <w:tcW w:w="379" w:type="dxa"/>
          </w:tcPr>
          <w:p w:rsidR="00EA1709" w:rsidRPr="008C18B1" w:rsidRDefault="00EA1709" w:rsidP="009D6184">
            <w:pPr>
              <w:pStyle w:val="Parasts1"/>
            </w:pPr>
            <w:r w:rsidRPr="008C18B1">
              <w:t>3.</w:t>
            </w:r>
          </w:p>
        </w:tc>
        <w:tc>
          <w:tcPr>
            <w:tcW w:w="3696" w:type="dxa"/>
          </w:tcPr>
          <w:p w:rsidR="00EA1709" w:rsidRPr="008C18B1" w:rsidRDefault="00EA1709" w:rsidP="009D6184">
            <w:pPr>
              <w:pStyle w:val="Parasts1"/>
              <w:jc w:val="both"/>
            </w:pPr>
            <w:r w:rsidRPr="008C18B1">
              <w:t>Projekta izpildes ietekme uz pārvaldes institucionālo struktūru.</w:t>
            </w:r>
          </w:p>
          <w:p w:rsidR="00EA1709" w:rsidRPr="008C18B1" w:rsidRDefault="00EA1709" w:rsidP="009D6184">
            <w:pPr>
              <w:pStyle w:val="Parasts1"/>
              <w:jc w:val="both"/>
            </w:pPr>
            <w:r w:rsidRPr="008C18B1">
              <w:t>Jaunu institūciju izveide</w:t>
            </w:r>
          </w:p>
        </w:tc>
        <w:tc>
          <w:tcPr>
            <w:tcW w:w="5490" w:type="dxa"/>
          </w:tcPr>
          <w:p w:rsidR="00EA1709" w:rsidRPr="008C18B1" w:rsidRDefault="00EA1709" w:rsidP="009D6184">
            <w:pPr>
              <w:pStyle w:val="Parasts1"/>
            </w:pPr>
            <w:r w:rsidRPr="008C18B1">
              <w:t>Likumprojekts šo jomu neskar.</w:t>
            </w:r>
          </w:p>
        </w:tc>
      </w:tr>
      <w:tr w:rsidR="00EA1709" w:rsidRPr="008C18B1" w:rsidTr="00891C38">
        <w:trPr>
          <w:trHeight w:val="780"/>
          <w:jc w:val="center"/>
        </w:trPr>
        <w:tc>
          <w:tcPr>
            <w:tcW w:w="379" w:type="dxa"/>
          </w:tcPr>
          <w:p w:rsidR="00EA1709" w:rsidRPr="008C18B1" w:rsidRDefault="00EA1709" w:rsidP="009D6184">
            <w:pPr>
              <w:pStyle w:val="Parasts1"/>
            </w:pPr>
            <w:r w:rsidRPr="008C18B1">
              <w:t>4.</w:t>
            </w:r>
          </w:p>
        </w:tc>
        <w:tc>
          <w:tcPr>
            <w:tcW w:w="3696" w:type="dxa"/>
          </w:tcPr>
          <w:p w:rsidR="00EA1709" w:rsidRPr="008C18B1" w:rsidRDefault="00EA1709" w:rsidP="009D6184">
            <w:pPr>
              <w:pStyle w:val="Parasts1"/>
              <w:jc w:val="both"/>
            </w:pPr>
            <w:r w:rsidRPr="008C18B1">
              <w:t>Projekta izpildes ietekme uz pārvaldes institucionālo struktūru.</w:t>
            </w:r>
          </w:p>
          <w:p w:rsidR="00EA1709" w:rsidRPr="008C18B1" w:rsidRDefault="00EA1709" w:rsidP="009D6184">
            <w:pPr>
              <w:pStyle w:val="Parasts1"/>
              <w:jc w:val="both"/>
            </w:pPr>
            <w:r w:rsidRPr="008C18B1">
              <w:t>Esošu institūciju likvidācija</w:t>
            </w:r>
          </w:p>
        </w:tc>
        <w:tc>
          <w:tcPr>
            <w:tcW w:w="5490" w:type="dxa"/>
          </w:tcPr>
          <w:p w:rsidR="00EA1709" w:rsidRPr="008C18B1" w:rsidRDefault="00EA1709" w:rsidP="009D6184">
            <w:pPr>
              <w:pStyle w:val="Parasts1"/>
            </w:pPr>
            <w:r w:rsidRPr="008C18B1">
              <w:t>Likumprojekts šo jomu neskar.</w:t>
            </w:r>
          </w:p>
        </w:tc>
      </w:tr>
      <w:tr w:rsidR="00EA1709" w:rsidRPr="008C18B1" w:rsidTr="00891C38">
        <w:trPr>
          <w:trHeight w:val="703"/>
          <w:jc w:val="center"/>
        </w:trPr>
        <w:tc>
          <w:tcPr>
            <w:tcW w:w="379" w:type="dxa"/>
          </w:tcPr>
          <w:p w:rsidR="00EA1709" w:rsidRPr="008C18B1" w:rsidRDefault="00EA1709" w:rsidP="009D6184">
            <w:pPr>
              <w:pStyle w:val="Parasts1"/>
            </w:pPr>
            <w:r w:rsidRPr="008C18B1">
              <w:t>5.</w:t>
            </w:r>
          </w:p>
        </w:tc>
        <w:tc>
          <w:tcPr>
            <w:tcW w:w="3696" w:type="dxa"/>
          </w:tcPr>
          <w:p w:rsidR="00EA1709" w:rsidRPr="008C18B1" w:rsidRDefault="00EA1709" w:rsidP="009D6184">
            <w:pPr>
              <w:pStyle w:val="Parasts1"/>
              <w:jc w:val="both"/>
            </w:pPr>
            <w:r w:rsidRPr="008C18B1">
              <w:t>Projekta izpildes ietekme uz pārvaldes institucionālo struktūru.</w:t>
            </w:r>
          </w:p>
          <w:p w:rsidR="00EA1709" w:rsidRPr="008C18B1" w:rsidRDefault="00EA1709" w:rsidP="009D6184">
            <w:pPr>
              <w:pStyle w:val="Parasts1"/>
              <w:jc w:val="both"/>
            </w:pPr>
            <w:r w:rsidRPr="008C18B1">
              <w:t>Esošu institūciju reorganizācija</w:t>
            </w:r>
          </w:p>
        </w:tc>
        <w:tc>
          <w:tcPr>
            <w:tcW w:w="5490" w:type="dxa"/>
          </w:tcPr>
          <w:p w:rsidR="00EA1709" w:rsidRPr="008C18B1" w:rsidRDefault="00EA1709" w:rsidP="009D6184">
            <w:pPr>
              <w:pStyle w:val="Parasts1"/>
            </w:pPr>
            <w:r w:rsidRPr="00E64875">
              <w:t>Likumprojekts šo jomu neskar.</w:t>
            </w:r>
          </w:p>
        </w:tc>
      </w:tr>
      <w:tr w:rsidR="00EA1709" w:rsidRPr="008C18B1" w:rsidTr="00891C38">
        <w:trPr>
          <w:trHeight w:val="476"/>
          <w:jc w:val="center"/>
        </w:trPr>
        <w:tc>
          <w:tcPr>
            <w:tcW w:w="379" w:type="dxa"/>
          </w:tcPr>
          <w:p w:rsidR="00EA1709" w:rsidRPr="008C18B1" w:rsidRDefault="00EA1709" w:rsidP="009D6184">
            <w:pPr>
              <w:pStyle w:val="Parasts1"/>
            </w:pPr>
            <w:r w:rsidRPr="008C18B1">
              <w:t>6.</w:t>
            </w:r>
          </w:p>
        </w:tc>
        <w:tc>
          <w:tcPr>
            <w:tcW w:w="3696" w:type="dxa"/>
          </w:tcPr>
          <w:p w:rsidR="00EA1709" w:rsidRPr="008C18B1" w:rsidRDefault="00EA1709" w:rsidP="009D6184">
            <w:pPr>
              <w:pStyle w:val="Parasts1"/>
            </w:pPr>
            <w:r w:rsidRPr="008C18B1">
              <w:t>Cita informācija</w:t>
            </w:r>
          </w:p>
        </w:tc>
        <w:tc>
          <w:tcPr>
            <w:tcW w:w="5490" w:type="dxa"/>
          </w:tcPr>
          <w:p w:rsidR="00EA1709" w:rsidRPr="008C18B1" w:rsidRDefault="00EA1709" w:rsidP="009D6184">
            <w:pPr>
              <w:pStyle w:val="Parasts1"/>
            </w:pPr>
            <w:r w:rsidRPr="008C18B1">
              <w:t>Nav.</w:t>
            </w:r>
          </w:p>
        </w:tc>
      </w:tr>
    </w:tbl>
    <w:p w:rsidR="00EA1709" w:rsidRPr="008C18B1" w:rsidRDefault="00EA1709" w:rsidP="009D6184">
      <w:pPr>
        <w:pStyle w:val="Parasts1"/>
        <w:ind w:firstLine="720"/>
        <w:rPr>
          <w:sz w:val="28"/>
          <w:szCs w:val="28"/>
        </w:rPr>
      </w:pPr>
    </w:p>
    <w:p w:rsidR="00EA1709" w:rsidRDefault="00EA1709" w:rsidP="009D6184">
      <w:pPr>
        <w:pStyle w:val="Parasts1"/>
        <w:ind w:firstLine="720"/>
        <w:rPr>
          <w:sz w:val="28"/>
          <w:szCs w:val="28"/>
        </w:rPr>
      </w:pPr>
    </w:p>
    <w:p w:rsidR="00EA1709" w:rsidRPr="008C18B1" w:rsidRDefault="00EA1709" w:rsidP="009D6184">
      <w:pPr>
        <w:pStyle w:val="Parasts1"/>
        <w:ind w:firstLine="720"/>
        <w:rPr>
          <w:sz w:val="28"/>
          <w:szCs w:val="28"/>
        </w:rPr>
      </w:pPr>
    </w:p>
    <w:p w:rsidR="00EA1709" w:rsidRPr="008C18B1" w:rsidRDefault="00EA1709" w:rsidP="009D6184">
      <w:pPr>
        <w:pStyle w:val="Parasts1"/>
        <w:tabs>
          <w:tab w:val="left" w:pos="6804"/>
        </w:tabs>
        <w:ind w:firstLine="720"/>
        <w:rPr>
          <w:sz w:val="28"/>
          <w:szCs w:val="28"/>
        </w:rPr>
      </w:pPr>
      <w:r w:rsidRPr="008C18B1">
        <w:rPr>
          <w:sz w:val="28"/>
          <w:szCs w:val="28"/>
        </w:rPr>
        <w:t>Zemkopības ministre</w:t>
      </w:r>
      <w:r w:rsidRPr="008C18B1">
        <w:rPr>
          <w:sz w:val="28"/>
          <w:szCs w:val="28"/>
        </w:rPr>
        <w:tab/>
        <w:t>L.Straujuma</w:t>
      </w:r>
    </w:p>
    <w:p w:rsidR="00EA1709" w:rsidRDefault="00EA1709" w:rsidP="009D6184">
      <w:pPr>
        <w:pStyle w:val="Parasts1"/>
        <w:rPr>
          <w:sz w:val="16"/>
          <w:szCs w:val="18"/>
        </w:rPr>
      </w:pPr>
    </w:p>
    <w:p w:rsidR="00EA1709" w:rsidRPr="00E7632C" w:rsidRDefault="00EA1709" w:rsidP="009D6184">
      <w:pPr>
        <w:pStyle w:val="Parasts1"/>
        <w:rPr>
          <w:sz w:val="20"/>
          <w:szCs w:val="20"/>
        </w:rPr>
      </w:pPr>
    </w:p>
    <w:p w:rsidR="00EA1709" w:rsidRDefault="00EA1709" w:rsidP="00E7632C">
      <w:pPr>
        <w:pStyle w:val="Parasts1"/>
        <w:ind w:right="-1"/>
        <w:jc w:val="both"/>
        <w:rPr>
          <w:iCs/>
          <w:sz w:val="20"/>
          <w:szCs w:val="20"/>
        </w:rPr>
      </w:pPr>
    </w:p>
    <w:p w:rsidR="00D728E3" w:rsidRDefault="00D728E3" w:rsidP="00E7632C">
      <w:pPr>
        <w:pStyle w:val="Parasts1"/>
        <w:ind w:right="-1"/>
        <w:jc w:val="both"/>
        <w:rPr>
          <w:iCs/>
          <w:sz w:val="20"/>
          <w:szCs w:val="20"/>
        </w:rPr>
      </w:pPr>
    </w:p>
    <w:p w:rsidR="00D728E3" w:rsidRDefault="00D728E3" w:rsidP="00E7632C">
      <w:pPr>
        <w:pStyle w:val="Parasts1"/>
        <w:ind w:right="-1"/>
        <w:jc w:val="both"/>
        <w:rPr>
          <w:iCs/>
          <w:sz w:val="20"/>
          <w:szCs w:val="20"/>
        </w:rPr>
      </w:pPr>
    </w:p>
    <w:p w:rsidR="00D728E3" w:rsidRDefault="00D728E3" w:rsidP="00E7632C">
      <w:pPr>
        <w:pStyle w:val="Parasts1"/>
        <w:ind w:right="-1"/>
        <w:jc w:val="both"/>
        <w:rPr>
          <w:iCs/>
          <w:sz w:val="20"/>
          <w:szCs w:val="20"/>
        </w:rPr>
      </w:pPr>
    </w:p>
    <w:p w:rsidR="00D728E3" w:rsidRDefault="00D728E3" w:rsidP="00E7632C">
      <w:pPr>
        <w:pStyle w:val="Parasts1"/>
        <w:ind w:right="-1"/>
        <w:jc w:val="both"/>
        <w:rPr>
          <w:iCs/>
          <w:sz w:val="20"/>
          <w:szCs w:val="20"/>
        </w:rPr>
      </w:pPr>
    </w:p>
    <w:p w:rsidR="00D728E3" w:rsidRPr="009E39AA" w:rsidRDefault="00D728E3" w:rsidP="00E7632C">
      <w:pPr>
        <w:pStyle w:val="Parasts1"/>
        <w:ind w:right="-1"/>
        <w:jc w:val="both"/>
        <w:rPr>
          <w:iCs/>
          <w:sz w:val="20"/>
          <w:szCs w:val="20"/>
        </w:rPr>
      </w:pPr>
    </w:p>
    <w:p w:rsidR="00D728E3" w:rsidRDefault="00D728E3" w:rsidP="00E7632C">
      <w:pPr>
        <w:pStyle w:val="Parasts1"/>
        <w:ind w:right="-1"/>
        <w:jc w:val="both"/>
        <w:rPr>
          <w:iCs/>
          <w:sz w:val="20"/>
          <w:szCs w:val="20"/>
        </w:rPr>
      </w:pPr>
      <w:r>
        <w:rPr>
          <w:iCs/>
          <w:sz w:val="20"/>
          <w:szCs w:val="20"/>
        </w:rPr>
        <w:t>2013.10.14. 11:56</w:t>
      </w:r>
    </w:p>
    <w:p w:rsidR="00D728E3" w:rsidRPr="00D728E3" w:rsidRDefault="00D728E3" w:rsidP="00E7632C">
      <w:pPr>
        <w:pStyle w:val="Parasts1"/>
        <w:ind w:right="-1"/>
        <w:jc w:val="both"/>
        <w:rPr>
          <w:sz w:val="20"/>
          <w:szCs w:val="20"/>
        </w:rPr>
      </w:pPr>
      <w:fldSimple w:instr=" NUMWORDS   \* MERGEFORMAT ">
        <w:r w:rsidRPr="00D728E3">
          <w:rPr>
            <w:noProof/>
            <w:sz w:val="20"/>
            <w:szCs w:val="20"/>
          </w:rPr>
          <w:t>2029</w:t>
        </w:r>
      </w:fldSimple>
    </w:p>
    <w:p w:rsidR="00EA1709" w:rsidRPr="009E39AA" w:rsidRDefault="00EA1709" w:rsidP="00E7632C">
      <w:pPr>
        <w:pStyle w:val="Parasts1"/>
        <w:ind w:right="-1"/>
        <w:jc w:val="both"/>
        <w:rPr>
          <w:iCs/>
          <w:sz w:val="20"/>
          <w:szCs w:val="20"/>
        </w:rPr>
      </w:pPr>
      <w:r w:rsidRPr="009E39AA">
        <w:rPr>
          <w:iCs/>
          <w:sz w:val="20"/>
          <w:szCs w:val="20"/>
        </w:rPr>
        <w:t>I.Aleksejeva</w:t>
      </w:r>
    </w:p>
    <w:p w:rsidR="00EA1709" w:rsidRPr="00E7632C" w:rsidRDefault="00EA1709" w:rsidP="00E7632C">
      <w:pPr>
        <w:pStyle w:val="Parasts1"/>
        <w:ind w:right="-1"/>
        <w:jc w:val="both"/>
        <w:rPr>
          <w:iCs/>
          <w:sz w:val="20"/>
          <w:szCs w:val="20"/>
        </w:rPr>
      </w:pPr>
      <w:r w:rsidRPr="009E39AA">
        <w:rPr>
          <w:iCs/>
          <w:sz w:val="20"/>
          <w:szCs w:val="20"/>
        </w:rPr>
        <w:t>67027069, Inese</w:t>
      </w:r>
      <w:r w:rsidRPr="00E7632C">
        <w:rPr>
          <w:iCs/>
          <w:sz w:val="20"/>
          <w:szCs w:val="20"/>
        </w:rPr>
        <w:t>.Aleksejeva@zm.gov.lv</w:t>
      </w:r>
    </w:p>
    <w:p w:rsidR="00EA1709" w:rsidRDefault="00EA1709" w:rsidP="009D6184">
      <w:pPr>
        <w:pStyle w:val="Parasts1"/>
        <w:rPr>
          <w:sz w:val="16"/>
          <w:szCs w:val="18"/>
        </w:rPr>
      </w:pPr>
    </w:p>
    <w:sectPr w:rsidR="00EA1709" w:rsidSect="00D728E3">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029" w:rsidRDefault="00601029">
      <w:pPr>
        <w:pStyle w:val="Parasts1"/>
      </w:pPr>
      <w:r>
        <w:separator/>
      </w:r>
    </w:p>
  </w:endnote>
  <w:endnote w:type="continuationSeparator" w:id="0">
    <w:p w:rsidR="00601029" w:rsidRDefault="00601029">
      <w:pPr>
        <w:pStyle w:val="Parasts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09" w:rsidRPr="0062716C" w:rsidRDefault="00EA1709" w:rsidP="009D6184">
    <w:pPr>
      <w:pStyle w:val="Parasts1"/>
      <w:jc w:val="both"/>
      <w:rPr>
        <w:sz w:val="20"/>
        <w:szCs w:val="20"/>
      </w:rPr>
    </w:pPr>
    <w:r w:rsidRPr="00A25832">
      <w:rPr>
        <w:sz w:val="20"/>
        <w:szCs w:val="20"/>
      </w:rPr>
      <w:t xml:space="preserve">ZMAnot_141013_ </w:t>
    </w:r>
    <w:proofErr w:type="spellStart"/>
    <w:r w:rsidRPr="00A25832">
      <w:rPr>
        <w:sz w:val="20"/>
        <w:szCs w:val="20"/>
      </w:rPr>
      <w:t>genmodorg</w:t>
    </w:r>
    <w:proofErr w:type="spellEnd"/>
    <w:r w:rsidRPr="00A25832">
      <w:rPr>
        <w:sz w:val="20"/>
        <w:szCs w:val="20"/>
      </w:rPr>
      <w:t xml:space="preserve">; </w:t>
    </w:r>
    <w:r>
      <w:rPr>
        <w:sz w:val="20"/>
        <w:szCs w:val="20"/>
      </w:rPr>
      <w:t>Likumprojekta</w:t>
    </w:r>
    <w:r w:rsidRPr="0062716C">
      <w:rPr>
        <w:sz w:val="20"/>
        <w:szCs w:val="20"/>
      </w:rPr>
      <w:t xml:space="preserve"> </w:t>
    </w:r>
    <w:r w:rsidRPr="00102D0B">
      <w:rPr>
        <w:sz w:val="20"/>
        <w:szCs w:val="20"/>
      </w:rPr>
      <w:t xml:space="preserve">„Grozījumi </w:t>
    </w:r>
    <w:r w:rsidRPr="00BB3795">
      <w:rPr>
        <w:bCs/>
        <w:sz w:val="20"/>
        <w:szCs w:val="20"/>
      </w:rPr>
      <w:t>Ģenētiski modificēto organismu aprites likum</w:t>
    </w:r>
    <w:r>
      <w:rPr>
        <w:bCs/>
        <w:sz w:val="20"/>
        <w:szCs w:val="20"/>
      </w:rPr>
      <w:t>ā</w:t>
    </w:r>
    <w:r w:rsidRPr="00BB3795">
      <w:rPr>
        <w:sz w:val="20"/>
        <w:szCs w:val="20"/>
      </w:rPr>
      <w:t xml:space="preserve">” </w:t>
    </w:r>
    <w:r w:rsidRPr="0062716C">
      <w:rPr>
        <w:sz w:val="20"/>
        <w:szCs w:val="20"/>
      </w:rPr>
      <w:t xml:space="preserve">sākotnējās ietekmes novērtējuma </w:t>
    </w:r>
    <w:smartTag w:uri="schemas-tilde-lv/tildestengine" w:element="veidnes">
      <w:smartTagPr>
        <w:attr w:name="text" w:val="ziņojums"/>
        <w:attr w:name="baseform" w:val="ziņojums"/>
        <w:attr w:name="id" w:val="-1"/>
      </w:smartTagPr>
      <w:r w:rsidRPr="0062716C">
        <w:rPr>
          <w:sz w:val="20"/>
          <w:szCs w:val="20"/>
        </w:rPr>
        <w:t>ziņojums</w:t>
      </w:r>
    </w:smartTag>
    <w:r w:rsidRPr="0062716C">
      <w:rPr>
        <w:sz w:val="20"/>
        <w:szCs w:val="20"/>
      </w:rPr>
      <w:t xml:space="preserve"> (anotācija)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09" w:rsidRPr="00AE1814" w:rsidRDefault="00EA1709" w:rsidP="00AE1814">
    <w:pPr>
      <w:pStyle w:val="Kjene"/>
    </w:pPr>
    <w:r w:rsidRPr="00AE1814">
      <w:rPr>
        <w:sz w:val="20"/>
      </w:rPr>
      <w:t>Z</w:t>
    </w:r>
    <w:r>
      <w:rPr>
        <w:sz w:val="20"/>
      </w:rPr>
      <w:t>MAnot_141013</w:t>
    </w:r>
    <w:r w:rsidRPr="00AE1814">
      <w:rPr>
        <w:sz w:val="20"/>
      </w:rPr>
      <w:t>_</w:t>
    </w:r>
    <w:r w:rsidRPr="00A25832">
      <w:t xml:space="preserve"> </w:t>
    </w:r>
    <w:proofErr w:type="spellStart"/>
    <w:r w:rsidRPr="00A25832">
      <w:rPr>
        <w:sz w:val="20"/>
      </w:rPr>
      <w:t>genmodorg</w:t>
    </w:r>
    <w:proofErr w:type="spellEnd"/>
    <w:r w:rsidRPr="00AE1814">
      <w:rPr>
        <w:sz w:val="20"/>
      </w:rPr>
      <w:t xml:space="preserve">; Likumprojekta „Grozījumi Ģenētiski modificēto organismu aprites likumā” sākotnējās ietekmes novērtējuma </w:t>
    </w:r>
    <w:smartTag w:uri="schemas-tilde-lv/tildestengine" w:element="veidnes">
      <w:smartTagPr>
        <w:attr w:name="text" w:val="ziņojums"/>
        <w:attr w:name="baseform" w:val="ziņojums"/>
        <w:attr w:name="id" w:val="-1"/>
      </w:smartTagPr>
      <w:r w:rsidRPr="00AE1814">
        <w:rPr>
          <w:sz w:val="20"/>
        </w:rPr>
        <w:t>ziņojums</w:t>
      </w:r>
    </w:smartTag>
    <w:r w:rsidRPr="00AE1814">
      <w:rPr>
        <w:sz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029" w:rsidRDefault="00601029">
      <w:pPr>
        <w:pStyle w:val="Parasts1"/>
      </w:pPr>
      <w:r>
        <w:separator/>
      </w:r>
    </w:p>
  </w:footnote>
  <w:footnote w:type="continuationSeparator" w:id="0">
    <w:p w:rsidR="00601029" w:rsidRDefault="00601029">
      <w:pPr>
        <w:pStyle w:val="Parast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09" w:rsidRDefault="00FF41C9" w:rsidP="003C449B">
    <w:pPr>
      <w:pStyle w:val="Galvene"/>
      <w:framePr w:wrap="around" w:vAnchor="text" w:hAnchor="margin" w:xAlign="center" w:y="1"/>
      <w:rPr>
        <w:rStyle w:val="Lappusesnumurs"/>
      </w:rPr>
    </w:pPr>
    <w:r>
      <w:rPr>
        <w:rStyle w:val="Lappusesnumurs"/>
      </w:rPr>
      <w:fldChar w:fldCharType="begin"/>
    </w:r>
    <w:r w:rsidR="00EA1709">
      <w:rPr>
        <w:rStyle w:val="Lappusesnumurs"/>
      </w:rPr>
      <w:instrText xml:space="preserve">PAGE  </w:instrText>
    </w:r>
    <w:r>
      <w:rPr>
        <w:rStyle w:val="Lappusesnumurs"/>
      </w:rPr>
      <w:fldChar w:fldCharType="end"/>
    </w:r>
  </w:p>
  <w:p w:rsidR="00EA1709" w:rsidRDefault="00EA170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09" w:rsidRDefault="00FF41C9" w:rsidP="003C449B">
    <w:pPr>
      <w:pStyle w:val="Galvene"/>
      <w:framePr w:wrap="around" w:vAnchor="text" w:hAnchor="margin" w:xAlign="center" w:y="1"/>
      <w:rPr>
        <w:rStyle w:val="Lappusesnumurs"/>
      </w:rPr>
    </w:pPr>
    <w:r>
      <w:rPr>
        <w:rStyle w:val="Lappusesnumurs"/>
      </w:rPr>
      <w:fldChar w:fldCharType="begin"/>
    </w:r>
    <w:r w:rsidR="00EA1709">
      <w:rPr>
        <w:rStyle w:val="Lappusesnumurs"/>
      </w:rPr>
      <w:instrText xml:space="preserve">PAGE  </w:instrText>
    </w:r>
    <w:r>
      <w:rPr>
        <w:rStyle w:val="Lappusesnumurs"/>
      </w:rPr>
      <w:fldChar w:fldCharType="separate"/>
    </w:r>
    <w:r w:rsidR="00D728E3">
      <w:rPr>
        <w:rStyle w:val="Lappusesnumurs"/>
        <w:noProof/>
      </w:rPr>
      <w:t>7</w:t>
    </w:r>
    <w:r>
      <w:rPr>
        <w:rStyle w:val="Lappusesnumurs"/>
      </w:rPr>
      <w:fldChar w:fldCharType="end"/>
    </w:r>
  </w:p>
  <w:p w:rsidR="00EA1709" w:rsidRDefault="00EA1709">
    <w:pPr>
      <w:pStyle w:val="Galvene"/>
    </w:pPr>
  </w:p>
  <w:p w:rsidR="00EA1709" w:rsidRDefault="00EA1709"/>
  <w:p w:rsidR="00EA1709" w:rsidRDefault="00EA17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008359DC"/>
    <w:multiLevelType w:val="hybridMultilevel"/>
    <w:tmpl w:val="2F60CAD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15F5170"/>
    <w:multiLevelType w:val="hybridMultilevel"/>
    <w:tmpl w:val="BF64E86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FF7699"/>
    <w:multiLevelType w:val="hybridMultilevel"/>
    <w:tmpl w:val="9B324D14"/>
    <w:lvl w:ilvl="0" w:tplc="180CF550">
      <w:start w:val="6"/>
      <w:numFmt w:val="bullet"/>
      <w:lvlText w:val="-"/>
      <w:lvlJc w:val="left"/>
      <w:pPr>
        <w:ind w:left="1353" w:hanging="360"/>
      </w:pPr>
      <w:rPr>
        <w:rFonts w:ascii="Calibri" w:eastAsia="Times New Roman" w:hAnsi="Calibri" w:hint="default"/>
      </w:rPr>
    </w:lvl>
    <w:lvl w:ilvl="1" w:tplc="04260003" w:tentative="1">
      <w:start w:val="1"/>
      <w:numFmt w:val="bullet"/>
      <w:lvlText w:val="o"/>
      <w:lvlJc w:val="left"/>
      <w:pPr>
        <w:ind w:left="2073" w:hanging="360"/>
      </w:pPr>
      <w:rPr>
        <w:rFonts w:ascii="Courier New" w:hAnsi="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4">
    <w:nsid w:val="15370ABA"/>
    <w:multiLevelType w:val="multilevel"/>
    <w:tmpl w:val="F2BE1E40"/>
    <w:lvl w:ilvl="0">
      <w:start w:val="1"/>
      <w:numFmt w:val="upperRoman"/>
      <w:lvlText w:val="%1."/>
      <w:lvlJc w:val="right"/>
      <w:pPr>
        <w:ind w:left="108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255182D"/>
    <w:multiLevelType w:val="hybridMultilevel"/>
    <w:tmpl w:val="7988E3E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8"/>
  </w:num>
  <w:num w:numId="2">
    <w:abstractNumId w:val="15"/>
  </w:num>
  <w:num w:numId="3">
    <w:abstractNumId w:val="7"/>
  </w:num>
  <w:num w:numId="4">
    <w:abstractNumId w:val="5"/>
  </w:num>
  <w:num w:numId="5">
    <w:abstractNumId w:val="2"/>
  </w:num>
  <w:num w:numId="6">
    <w:abstractNumId w:val="12"/>
  </w:num>
  <w:num w:numId="7">
    <w:abstractNumId w:val="17"/>
  </w:num>
  <w:num w:numId="8">
    <w:abstractNumId w:val="9"/>
  </w:num>
  <w:num w:numId="9">
    <w:abstractNumId w:val="6"/>
  </w:num>
  <w:num w:numId="10">
    <w:abstractNumId w:val="10"/>
  </w:num>
  <w:num w:numId="11">
    <w:abstractNumId w:val="11"/>
  </w:num>
  <w:num w:numId="12">
    <w:abstractNumId w:val="13"/>
  </w:num>
  <w:num w:numId="13">
    <w:abstractNumId w:val="14"/>
  </w:num>
  <w:num w:numId="14">
    <w:abstractNumId w:val="16"/>
  </w:num>
  <w:num w:numId="15">
    <w:abstractNumId w:val="4"/>
  </w:num>
  <w:num w:numId="16">
    <w:abstractNumId w:val="3"/>
  </w:num>
  <w:num w:numId="17">
    <w:abstractNumId w:val="18"/>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C5649"/>
    <w:rsid w:val="00002571"/>
    <w:rsid w:val="0000373F"/>
    <w:rsid w:val="00004E97"/>
    <w:rsid w:val="00006C5D"/>
    <w:rsid w:val="000078A5"/>
    <w:rsid w:val="00010184"/>
    <w:rsid w:val="00011971"/>
    <w:rsid w:val="00011D24"/>
    <w:rsid w:val="00012244"/>
    <w:rsid w:val="00013FF4"/>
    <w:rsid w:val="000153FC"/>
    <w:rsid w:val="00020B53"/>
    <w:rsid w:val="00020FE1"/>
    <w:rsid w:val="00022E13"/>
    <w:rsid w:val="000233D5"/>
    <w:rsid w:val="00024113"/>
    <w:rsid w:val="00032388"/>
    <w:rsid w:val="000334E6"/>
    <w:rsid w:val="0003352A"/>
    <w:rsid w:val="000350A4"/>
    <w:rsid w:val="00035CE2"/>
    <w:rsid w:val="0003796A"/>
    <w:rsid w:val="00041CFB"/>
    <w:rsid w:val="00041D35"/>
    <w:rsid w:val="00043EBE"/>
    <w:rsid w:val="0005016C"/>
    <w:rsid w:val="00050352"/>
    <w:rsid w:val="0005388C"/>
    <w:rsid w:val="00055275"/>
    <w:rsid w:val="0005553B"/>
    <w:rsid w:val="00056E55"/>
    <w:rsid w:val="000604D2"/>
    <w:rsid w:val="00060B88"/>
    <w:rsid w:val="000618F0"/>
    <w:rsid w:val="00061C5F"/>
    <w:rsid w:val="0006271A"/>
    <w:rsid w:val="000646B7"/>
    <w:rsid w:val="000654F8"/>
    <w:rsid w:val="00070AFC"/>
    <w:rsid w:val="000719FF"/>
    <w:rsid w:val="00071CFB"/>
    <w:rsid w:val="0007567B"/>
    <w:rsid w:val="000824A0"/>
    <w:rsid w:val="0008669A"/>
    <w:rsid w:val="0008791B"/>
    <w:rsid w:val="00087D09"/>
    <w:rsid w:val="0009005E"/>
    <w:rsid w:val="00090FAA"/>
    <w:rsid w:val="00094024"/>
    <w:rsid w:val="000941C5"/>
    <w:rsid w:val="00097705"/>
    <w:rsid w:val="000A28D7"/>
    <w:rsid w:val="000A6451"/>
    <w:rsid w:val="000A7D33"/>
    <w:rsid w:val="000B0123"/>
    <w:rsid w:val="000B064E"/>
    <w:rsid w:val="000B13A0"/>
    <w:rsid w:val="000B493F"/>
    <w:rsid w:val="000B4B8B"/>
    <w:rsid w:val="000B69CF"/>
    <w:rsid w:val="000B7085"/>
    <w:rsid w:val="000B716E"/>
    <w:rsid w:val="000C09D8"/>
    <w:rsid w:val="000C1465"/>
    <w:rsid w:val="000C2C5E"/>
    <w:rsid w:val="000C2DBA"/>
    <w:rsid w:val="000C4342"/>
    <w:rsid w:val="000C5B26"/>
    <w:rsid w:val="000C5F3B"/>
    <w:rsid w:val="000C790C"/>
    <w:rsid w:val="000D7F3A"/>
    <w:rsid w:val="000E0B43"/>
    <w:rsid w:val="000E17A0"/>
    <w:rsid w:val="000E25C6"/>
    <w:rsid w:val="000E348C"/>
    <w:rsid w:val="000E7ECF"/>
    <w:rsid w:val="000F061D"/>
    <w:rsid w:val="000F0CA3"/>
    <w:rsid w:val="000F4794"/>
    <w:rsid w:val="000F5FF4"/>
    <w:rsid w:val="000F7EB5"/>
    <w:rsid w:val="00102D0B"/>
    <w:rsid w:val="00103517"/>
    <w:rsid w:val="00104977"/>
    <w:rsid w:val="00105DD9"/>
    <w:rsid w:val="0010679C"/>
    <w:rsid w:val="001071CE"/>
    <w:rsid w:val="00110B4C"/>
    <w:rsid w:val="0011129C"/>
    <w:rsid w:val="001125BA"/>
    <w:rsid w:val="00113A09"/>
    <w:rsid w:val="0011729D"/>
    <w:rsid w:val="0012122D"/>
    <w:rsid w:val="00122C93"/>
    <w:rsid w:val="00124258"/>
    <w:rsid w:val="00124F12"/>
    <w:rsid w:val="001263B6"/>
    <w:rsid w:val="0012689A"/>
    <w:rsid w:val="001335FE"/>
    <w:rsid w:val="00135465"/>
    <w:rsid w:val="0014001D"/>
    <w:rsid w:val="00142EF0"/>
    <w:rsid w:val="00144E3A"/>
    <w:rsid w:val="0014570D"/>
    <w:rsid w:val="0015060C"/>
    <w:rsid w:val="001509CD"/>
    <w:rsid w:val="00153769"/>
    <w:rsid w:val="0016018A"/>
    <w:rsid w:val="00161121"/>
    <w:rsid w:val="00161134"/>
    <w:rsid w:val="00161F0E"/>
    <w:rsid w:val="00161FB6"/>
    <w:rsid w:val="0016550D"/>
    <w:rsid w:val="00166F3A"/>
    <w:rsid w:val="00170E2A"/>
    <w:rsid w:val="001750AC"/>
    <w:rsid w:val="00177394"/>
    <w:rsid w:val="00182C18"/>
    <w:rsid w:val="00183913"/>
    <w:rsid w:val="00183CC2"/>
    <w:rsid w:val="00185BF8"/>
    <w:rsid w:val="0018754F"/>
    <w:rsid w:val="00187D23"/>
    <w:rsid w:val="001900E4"/>
    <w:rsid w:val="00190F88"/>
    <w:rsid w:val="00191370"/>
    <w:rsid w:val="00191444"/>
    <w:rsid w:val="00191DA2"/>
    <w:rsid w:val="00191FA9"/>
    <w:rsid w:val="00193070"/>
    <w:rsid w:val="00193931"/>
    <w:rsid w:val="001A26DF"/>
    <w:rsid w:val="001A4066"/>
    <w:rsid w:val="001A408E"/>
    <w:rsid w:val="001A5CFB"/>
    <w:rsid w:val="001A6AE4"/>
    <w:rsid w:val="001B01FD"/>
    <w:rsid w:val="001B4A71"/>
    <w:rsid w:val="001B4E01"/>
    <w:rsid w:val="001B5486"/>
    <w:rsid w:val="001B6B71"/>
    <w:rsid w:val="001C1150"/>
    <w:rsid w:val="001C3BE8"/>
    <w:rsid w:val="001C57F4"/>
    <w:rsid w:val="001D10C4"/>
    <w:rsid w:val="001D3476"/>
    <w:rsid w:val="001D5B54"/>
    <w:rsid w:val="001E1DBF"/>
    <w:rsid w:val="001E4639"/>
    <w:rsid w:val="001E4A7D"/>
    <w:rsid w:val="001E5D78"/>
    <w:rsid w:val="001E6D13"/>
    <w:rsid w:val="001E7374"/>
    <w:rsid w:val="001F014E"/>
    <w:rsid w:val="001F242B"/>
    <w:rsid w:val="001F2AEA"/>
    <w:rsid w:val="001F43A8"/>
    <w:rsid w:val="001F5CD6"/>
    <w:rsid w:val="001F763B"/>
    <w:rsid w:val="001F7E7E"/>
    <w:rsid w:val="0020181C"/>
    <w:rsid w:val="00203039"/>
    <w:rsid w:val="002032AF"/>
    <w:rsid w:val="00203E82"/>
    <w:rsid w:val="00211F8E"/>
    <w:rsid w:val="0021263D"/>
    <w:rsid w:val="002136A9"/>
    <w:rsid w:val="002136B0"/>
    <w:rsid w:val="00213F0C"/>
    <w:rsid w:val="00214094"/>
    <w:rsid w:val="0021592D"/>
    <w:rsid w:val="00215B52"/>
    <w:rsid w:val="00220393"/>
    <w:rsid w:val="00221132"/>
    <w:rsid w:val="0022195B"/>
    <w:rsid w:val="00222D76"/>
    <w:rsid w:val="00223EB1"/>
    <w:rsid w:val="00230A43"/>
    <w:rsid w:val="00231344"/>
    <w:rsid w:val="00232391"/>
    <w:rsid w:val="0023436E"/>
    <w:rsid w:val="002347C0"/>
    <w:rsid w:val="002356E5"/>
    <w:rsid w:val="0023688B"/>
    <w:rsid w:val="00237370"/>
    <w:rsid w:val="00237478"/>
    <w:rsid w:val="00241A6C"/>
    <w:rsid w:val="00242D2B"/>
    <w:rsid w:val="0024314D"/>
    <w:rsid w:val="00243E63"/>
    <w:rsid w:val="002443A9"/>
    <w:rsid w:val="002457D3"/>
    <w:rsid w:val="0024755C"/>
    <w:rsid w:val="0025470A"/>
    <w:rsid w:val="00254C3D"/>
    <w:rsid w:val="0025672B"/>
    <w:rsid w:val="002605D5"/>
    <w:rsid w:val="00262E2B"/>
    <w:rsid w:val="00264382"/>
    <w:rsid w:val="00266931"/>
    <w:rsid w:val="00267074"/>
    <w:rsid w:val="002702EC"/>
    <w:rsid w:val="00270429"/>
    <w:rsid w:val="002723E9"/>
    <w:rsid w:val="00272F9D"/>
    <w:rsid w:val="002746DC"/>
    <w:rsid w:val="00276DC1"/>
    <w:rsid w:val="00277929"/>
    <w:rsid w:val="00280ABB"/>
    <w:rsid w:val="00281B79"/>
    <w:rsid w:val="00283B82"/>
    <w:rsid w:val="002846E9"/>
    <w:rsid w:val="00284C34"/>
    <w:rsid w:val="00286411"/>
    <w:rsid w:val="00287710"/>
    <w:rsid w:val="00287C8D"/>
    <w:rsid w:val="0029066C"/>
    <w:rsid w:val="002A087E"/>
    <w:rsid w:val="002A0A16"/>
    <w:rsid w:val="002A2B14"/>
    <w:rsid w:val="002A5CCF"/>
    <w:rsid w:val="002B1169"/>
    <w:rsid w:val="002B50DB"/>
    <w:rsid w:val="002B5717"/>
    <w:rsid w:val="002B626A"/>
    <w:rsid w:val="002B7CF2"/>
    <w:rsid w:val="002C0671"/>
    <w:rsid w:val="002C12AB"/>
    <w:rsid w:val="002C4245"/>
    <w:rsid w:val="002C4F2C"/>
    <w:rsid w:val="002C5443"/>
    <w:rsid w:val="002C608F"/>
    <w:rsid w:val="002C7CAC"/>
    <w:rsid w:val="002D0D98"/>
    <w:rsid w:val="002D1401"/>
    <w:rsid w:val="002D2F8E"/>
    <w:rsid w:val="002D3306"/>
    <w:rsid w:val="002D48AA"/>
    <w:rsid w:val="002D61B9"/>
    <w:rsid w:val="002D7BAA"/>
    <w:rsid w:val="002D7F54"/>
    <w:rsid w:val="002E3FF4"/>
    <w:rsid w:val="002E7B46"/>
    <w:rsid w:val="002F05BC"/>
    <w:rsid w:val="002F0C08"/>
    <w:rsid w:val="002F2E04"/>
    <w:rsid w:val="002F4C3E"/>
    <w:rsid w:val="002F66CF"/>
    <w:rsid w:val="002F7390"/>
    <w:rsid w:val="002F78C8"/>
    <w:rsid w:val="003003EA"/>
    <w:rsid w:val="00301CF3"/>
    <w:rsid w:val="0030373D"/>
    <w:rsid w:val="00304D7A"/>
    <w:rsid w:val="00313A24"/>
    <w:rsid w:val="00314FCF"/>
    <w:rsid w:val="00320EC4"/>
    <w:rsid w:val="00321654"/>
    <w:rsid w:val="00322DC2"/>
    <w:rsid w:val="0032308C"/>
    <w:rsid w:val="0032715C"/>
    <w:rsid w:val="00330520"/>
    <w:rsid w:val="00331750"/>
    <w:rsid w:val="00332A99"/>
    <w:rsid w:val="00334280"/>
    <w:rsid w:val="00337CA5"/>
    <w:rsid w:val="003470EC"/>
    <w:rsid w:val="00353A8E"/>
    <w:rsid w:val="00353E55"/>
    <w:rsid w:val="00356F68"/>
    <w:rsid w:val="00362478"/>
    <w:rsid w:val="003631B8"/>
    <w:rsid w:val="003670A1"/>
    <w:rsid w:val="003676CB"/>
    <w:rsid w:val="00375B25"/>
    <w:rsid w:val="003771FC"/>
    <w:rsid w:val="00380C9E"/>
    <w:rsid w:val="003855E3"/>
    <w:rsid w:val="00385890"/>
    <w:rsid w:val="00386AC9"/>
    <w:rsid w:val="00387090"/>
    <w:rsid w:val="0039021B"/>
    <w:rsid w:val="0039035A"/>
    <w:rsid w:val="00392FEA"/>
    <w:rsid w:val="00393FAA"/>
    <w:rsid w:val="00394F0F"/>
    <w:rsid w:val="003958B2"/>
    <w:rsid w:val="00396542"/>
    <w:rsid w:val="0039685B"/>
    <w:rsid w:val="003A0759"/>
    <w:rsid w:val="003A0E22"/>
    <w:rsid w:val="003A31A6"/>
    <w:rsid w:val="003A4D88"/>
    <w:rsid w:val="003A7940"/>
    <w:rsid w:val="003A7C3F"/>
    <w:rsid w:val="003A7F0C"/>
    <w:rsid w:val="003A7F79"/>
    <w:rsid w:val="003B046B"/>
    <w:rsid w:val="003B0A96"/>
    <w:rsid w:val="003B1D7C"/>
    <w:rsid w:val="003B1FF9"/>
    <w:rsid w:val="003B6404"/>
    <w:rsid w:val="003C449B"/>
    <w:rsid w:val="003C4A5E"/>
    <w:rsid w:val="003C691D"/>
    <w:rsid w:val="003D0994"/>
    <w:rsid w:val="003D21FF"/>
    <w:rsid w:val="003D2FE8"/>
    <w:rsid w:val="003D7A2B"/>
    <w:rsid w:val="003E0128"/>
    <w:rsid w:val="003E3410"/>
    <w:rsid w:val="003E4CB8"/>
    <w:rsid w:val="003F0112"/>
    <w:rsid w:val="003F071A"/>
    <w:rsid w:val="003F0E37"/>
    <w:rsid w:val="003F160B"/>
    <w:rsid w:val="003F5F89"/>
    <w:rsid w:val="003F60ED"/>
    <w:rsid w:val="003F6818"/>
    <w:rsid w:val="003F6E26"/>
    <w:rsid w:val="00400032"/>
    <w:rsid w:val="00400B5B"/>
    <w:rsid w:val="00400C2F"/>
    <w:rsid w:val="00403036"/>
    <w:rsid w:val="00403AE2"/>
    <w:rsid w:val="00403B75"/>
    <w:rsid w:val="004049A1"/>
    <w:rsid w:val="00404B28"/>
    <w:rsid w:val="00405A00"/>
    <w:rsid w:val="004155E5"/>
    <w:rsid w:val="00416A29"/>
    <w:rsid w:val="00420870"/>
    <w:rsid w:val="004223A5"/>
    <w:rsid w:val="00426812"/>
    <w:rsid w:val="00433962"/>
    <w:rsid w:val="00436732"/>
    <w:rsid w:val="0043692A"/>
    <w:rsid w:val="00436994"/>
    <w:rsid w:val="0043791B"/>
    <w:rsid w:val="004402FB"/>
    <w:rsid w:val="0044038B"/>
    <w:rsid w:val="00441483"/>
    <w:rsid w:val="00441BCB"/>
    <w:rsid w:val="00442337"/>
    <w:rsid w:val="0044459E"/>
    <w:rsid w:val="00446350"/>
    <w:rsid w:val="004466C9"/>
    <w:rsid w:val="0045032E"/>
    <w:rsid w:val="0045176A"/>
    <w:rsid w:val="004538CA"/>
    <w:rsid w:val="00456332"/>
    <w:rsid w:val="00461826"/>
    <w:rsid w:val="0046329E"/>
    <w:rsid w:val="00467B1B"/>
    <w:rsid w:val="0047052B"/>
    <w:rsid w:val="0047110F"/>
    <w:rsid w:val="004800F9"/>
    <w:rsid w:val="00480E2A"/>
    <w:rsid w:val="004847C8"/>
    <w:rsid w:val="004848A2"/>
    <w:rsid w:val="004874C0"/>
    <w:rsid w:val="0049134A"/>
    <w:rsid w:val="0049218A"/>
    <w:rsid w:val="004A358D"/>
    <w:rsid w:val="004A377E"/>
    <w:rsid w:val="004A407D"/>
    <w:rsid w:val="004A58CB"/>
    <w:rsid w:val="004B0436"/>
    <w:rsid w:val="004B1795"/>
    <w:rsid w:val="004B2E80"/>
    <w:rsid w:val="004B4987"/>
    <w:rsid w:val="004B56DD"/>
    <w:rsid w:val="004B596F"/>
    <w:rsid w:val="004B6EBB"/>
    <w:rsid w:val="004B7FB4"/>
    <w:rsid w:val="004C020F"/>
    <w:rsid w:val="004C1838"/>
    <w:rsid w:val="004C1AFD"/>
    <w:rsid w:val="004C558B"/>
    <w:rsid w:val="004C67EA"/>
    <w:rsid w:val="004D009B"/>
    <w:rsid w:val="004D0BCC"/>
    <w:rsid w:val="004D0C06"/>
    <w:rsid w:val="004D1E4B"/>
    <w:rsid w:val="004E1DE2"/>
    <w:rsid w:val="004E40A7"/>
    <w:rsid w:val="004F10E0"/>
    <w:rsid w:val="004F1F88"/>
    <w:rsid w:val="004F2E1F"/>
    <w:rsid w:val="004F5F1B"/>
    <w:rsid w:val="004F7725"/>
    <w:rsid w:val="00502374"/>
    <w:rsid w:val="00504921"/>
    <w:rsid w:val="005060A1"/>
    <w:rsid w:val="0051199B"/>
    <w:rsid w:val="00516072"/>
    <w:rsid w:val="0051699D"/>
    <w:rsid w:val="005332EC"/>
    <w:rsid w:val="00534418"/>
    <w:rsid w:val="005346A9"/>
    <w:rsid w:val="005347E8"/>
    <w:rsid w:val="005353AB"/>
    <w:rsid w:val="00537379"/>
    <w:rsid w:val="00537DD9"/>
    <w:rsid w:val="005517DE"/>
    <w:rsid w:val="005560BC"/>
    <w:rsid w:val="005573BE"/>
    <w:rsid w:val="005657BE"/>
    <w:rsid w:val="00566380"/>
    <w:rsid w:val="00571624"/>
    <w:rsid w:val="00572700"/>
    <w:rsid w:val="005768C5"/>
    <w:rsid w:val="00576C59"/>
    <w:rsid w:val="00576DFB"/>
    <w:rsid w:val="00580468"/>
    <w:rsid w:val="00581050"/>
    <w:rsid w:val="00581BBB"/>
    <w:rsid w:val="005824D6"/>
    <w:rsid w:val="005831D3"/>
    <w:rsid w:val="00583573"/>
    <w:rsid w:val="005842B7"/>
    <w:rsid w:val="0058603B"/>
    <w:rsid w:val="0058707D"/>
    <w:rsid w:val="0059204C"/>
    <w:rsid w:val="00592BBC"/>
    <w:rsid w:val="0059431B"/>
    <w:rsid w:val="0059524B"/>
    <w:rsid w:val="00595315"/>
    <w:rsid w:val="005953FA"/>
    <w:rsid w:val="00597550"/>
    <w:rsid w:val="0059767E"/>
    <w:rsid w:val="005A0160"/>
    <w:rsid w:val="005A299A"/>
    <w:rsid w:val="005A30F2"/>
    <w:rsid w:val="005A39CC"/>
    <w:rsid w:val="005A69A8"/>
    <w:rsid w:val="005B2B13"/>
    <w:rsid w:val="005B3F76"/>
    <w:rsid w:val="005B4730"/>
    <w:rsid w:val="005B653D"/>
    <w:rsid w:val="005C15AF"/>
    <w:rsid w:val="005C2D2B"/>
    <w:rsid w:val="005C393B"/>
    <w:rsid w:val="005C6DCF"/>
    <w:rsid w:val="005D0636"/>
    <w:rsid w:val="005D258A"/>
    <w:rsid w:val="005D4291"/>
    <w:rsid w:val="005D54F3"/>
    <w:rsid w:val="005E05D7"/>
    <w:rsid w:val="005E37DB"/>
    <w:rsid w:val="005E41E7"/>
    <w:rsid w:val="005E450F"/>
    <w:rsid w:val="005F2E6B"/>
    <w:rsid w:val="00601029"/>
    <w:rsid w:val="00601DD8"/>
    <w:rsid w:val="00604824"/>
    <w:rsid w:val="00604AAE"/>
    <w:rsid w:val="006065B1"/>
    <w:rsid w:val="00611C33"/>
    <w:rsid w:val="00616AE6"/>
    <w:rsid w:val="0062298A"/>
    <w:rsid w:val="006249DF"/>
    <w:rsid w:val="00624A76"/>
    <w:rsid w:val="0062504B"/>
    <w:rsid w:val="00626514"/>
    <w:rsid w:val="00626589"/>
    <w:rsid w:val="00626D8C"/>
    <w:rsid w:val="0062716C"/>
    <w:rsid w:val="006309E3"/>
    <w:rsid w:val="006339A0"/>
    <w:rsid w:val="00636C4C"/>
    <w:rsid w:val="0063733B"/>
    <w:rsid w:val="006413A8"/>
    <w:rsid w:val="00642E56"/>
    <w:rsid w:val="006464C9"/>
    <w:rsid w:val="0064680E"/>
    <w:rsid w:val="00651E00"/>
    <w:rsid w:val="0065409A"/>
    <w:rsid w:val="00655FCA"/>
    <w:rsid w:val="00657E7B"/>
    <w:rsid w:val="00666299"/>
    <w:rsid w:val="006716A5"/>
    <w:rsid w:val="00671B7F"/>
    <w:rsid w:val="00674572"/>
    <w:rsid w:val="00675323"/>
    <w:rsid w:val="006763EF"/>
    <w:rsid w:val="006764DE"/>
    <w:rsid w:val="00676AB0"/>
    <w:rsid w:val="006837BF"/>
    <w:rsid w:val="006856DF"/>
    <w:rsid w:val="00686D1F"/>
    <w:rsid w:val="00687763"/>
    <w:rsid w:val="00692B0D"/>
    <w:rsid w:val="00693E0E"/>
    <w:rsid w:val="00695B92"/>
    <w:rsid w:val="006A1124"/>
    <w:rsid w:val="006A1AE3"/>
    <w:rsid w:val="006A23E7"/>
    <w:rsid w:val="006A3278"/>
    <w:rsid w:val="006A6BC8"/>
    <w:rsid w:val="006B0A3E"/>
    <w:rsid w:val="006B4DEC"/>
    <w:rsid w:val="006B6FD5"/>
    <w:rsid w:val="006B7947"/>
    <w:rsid w:val="006B7BD8"/>
    <w:rsid w:val="006C0764"/>
    <w:rsid w:val="006C30E1"/>
    <w:rsid w:val="006C4607"/>
    <w:rsid w:val="006C61F1"/>
    <w:rsid w:val="006C6A4C"/>
    <w:rsid w:val="006C7CD2"/>
    <w:rsid w:val="006D48F1"/>
    <w:rsid w:val="006D4B8B"/>
    <w:rsid w:val="006E22E3"/>
    <w:rsid w:val="006E3454"/>
    <w:rsid w:val="006F068F"/>
    <w:rsid w:val="006F0FF2"/>
    <w:rsid w:val="006F17CA"/>
    <w:rsid w:val="006F24BC"/>
    <w:rsid w:val="006F43DC"/>
    <w:rsid w:val="006F45BE"/>
    <w:rsid w:val="006F4E9F"/>
    <w:rsid w:val="006F4FF5"/>
    <w:rsid w:val="007004FC"/>
    <w:rsid w:val="00703506"/>
    <w:rsid w:val="00706670"/>
    <w:rsid w:val="007123EC"/>
    <w:rsid w:val="00715516"/>
    <w:rsid w:val="0072245A"/>
    <w:rsid w:val="007228D5"/>
    <w:rsid w:val="007233FA"/>
    <w:rsid w:val="0072417C"/>
    <w:rsid w:val="00726949"/>
    <w:rsid w:val="00726E6C"/>
    <w:rsid w:val="00727689"/>
    <w:rsid w:val="00730383"/>
    <w:rsid w:val="0073111C"/>
    <w:rsid w:val="0073343F"/>
    <w:rsid w:val="007334DA"/>
    <w:rsid w:val="00733A85"/>
    <w:rsid w:val="00734245"/>
    <w:rsid w:val="00734450"/>
    <w:rsid w:val="00741C14"/>
    <w:rsid w:val="00745F67"/>
    <w:rsid w:val="00746DB4"/>
    <w:rsid w:val="00746E60"/>
    <w:rsid w:val="0075039E"/>
    <w:rsid w:val="00751FDD"/>
    <w:rsid w:val="00752D9D"/>
    <w:rsid w:val="00754784"/>
    <w:rsid w:val="00757C6E"/>
    <w:rsid w:val="0076140D"/>
    <w:rsid w:val="00762BDA"/>
    <w:rsid w:val="0076366E"/>
    <w:rsid w:val="00764667"/>
    <w:rsid w:val="00771613"/>
    <w:rsid w:val="00774E76"/>
    <w:rsid w:val="007805FD"/>
    <w:rsid w:val="0078087E"/>
    <w:rsid w:val="00782FBF"/>
    <w:rsid w:val="00784422"/>
    <w:rsid w:val="00785CB0"/>
    <w:rsid w:val="00785CC4"/>
    <w:rsid w:val="007918A2"/>
    <w:rsid w:val="007974B4"/>
    <w:rsid w:val="007A07B4"/>
    <w:rsid w:val="007A2142"/>
    <w:rsid w:val="007A25A2"/>
    <w:rsid w:val="007A3ECD"/>
    <w:rsid w:val="007A4E81"/>
    <w:rsid w:val="007B05C4"/>
    <w:rsid w:val="007B08FD"/>
    <w:rsid w:val="007B3B54"/>
    <w:rsid w:val="007B3FA0"/>
    <w:rsid w:val="007B5C98"/>
    <w:rsid w:val="007B7BDB"/>
    <w:rsid w:val="007C0F2C"/>
    <w:rsid w:val="007C2BCC"/>
    <w:rsid w:val="007C4EF0"/>
    <w:rsid w:val="007C649D"/>
    <w:rsid w:val="007D099D"/>
    <w:rsid w:val="007D0EC9"/>
    <w:rsid w:val="007D26CA"/>
    <w:rsid w:val="007E2664"/>
    <w:rsid w:val="007E3ABF"/>
    <w:rsid w:val="007E5BFA"/>
    <w:rsid w:val="007E61BB"/>
    <w:rsid w:val="007E6689"/>
    <w:rsid w:val="007E731C"/>
    <w:rsid w:val="007F0A03"/>
    <w:rsid w:val="007F2251"/>
    <w:rsid w:val="007F49A0"/>
    <w:rsid w:val="007F6012"/>
    <w:rsid w:val="007F7B9B"/>
    <w:rsid w:val="008017D3"/>
    <w:rsid w:val="00801F68"/>
    <w:rsid w:val="00802C80"/>
    <w:rsid w:val="008036AA"/>
    <w:rsid w:val="00805D4E"/>
    <w:rsid w:val="00810040"/>
    <w:rsid w:val="00812150"/>
    <w:rsid w:val="00812E22"/>
    <w:rsid w:val="0081558B"/>
    <w:rsid w:val="008163CD"/>
    <w:rsid w:val="00816478"/>
    <w:rsid w:val="00817707"/>
    <w:rsid w:val="0082023A"/>
    <w:rsid w:val="00821A7A"/>
    <w:rsid w:val="0082237F"/>
    <w:rsid w:val="008253F8"/>
    <w:rsid w:val="00827060"/>
    <w:rsid w:val="008301C3"/>
    <w:rsid w:val="008325E4"/>
    <w:rsid w:val="00832A2B"/>
    <w:rsid w:val="00833F4F"/>
    <w:rsid w:val="00834529"/>
    <w:rsid w:val="008375CC"/>
    <w:rsid w:val="008421B8"/>
    <w:rsid w:val="00845811"/>
    <w:rsid w:val="00846994"/>
    <w:rsid w:val="00847F33"/>
    <w:rsid w:val="00850451"/>
    <w:rsid w:val="00852042"/>
    <w:rsid w:val="008534C9"/>
    <w:rsid w:val="008541EC"/>
    <w:rsid w:val="0085599D"/>
    <w:rsid w:val="00861933"/>
    <w:rsid w:val="0087395C"/>
    <w:rsid w:val="0087510C"/>
    <w:rsid w:val="0088104A"/>
    <w:rsid w:val="008824E2"/>
    <w:rsid w:val="0088659D"/>
    <w:rsid w:val="00887C04"/>
    <w:rsid w:val="00891C38"/>
    <w:rsid w:val="00892048"/>
    <w:rsid w:val="00893D4A"/>
    <w:rsid w:val="00895DB7"/>
    <w:rsid w:val="008964D5"/>
    <w:rsid w:val="0089738E"/>
    <w:rsid w:val="008A05A7"/>
    <w:rsid w:val="008A1778"/>
    <w:rsid w:val="008A1998"/>
    <w:rsid w:val="008A23A7"/>
    <w:rsid w:val="008A2425"/>
    <w:rsid w:val="008A2649"/>
    <w:rsid w:val="008A2721"/>
    <w:rsid w:val="008B0143"/>
    <w:rsid w:val="008B1D40"/>
    <w:rsid w:val="008B1EC6"/>
    <w:rsid w:val="008B3804"/>
    <w:rsid w:val="008B57FB"/>
    <w:rsid w:val="008B5FDB"/>
    <w:rsid w:val="008B6ED3"/>
    <w:rsid w:val="008C1789"/>
    <w:rsid w:val="008C18B1"/>
    <w:rsid w:val="008C3B47"/>
    <w:rsid w:val="008C50F4"/>
    <w:rsid w:val="008C5649"/>
    <w:rsid w:val="008D2D46"/>
    <w:rsid w:val="008D6891"/>
    <w:rsid w:val="008D7C94"/>
    <w:rsid w:val="008D7D08"/>
    <w:rsid w:val="008E201A"/>
    <w:rsid w:val="008E2116"/>
    <w:rsid w:val="008E3175"/>
    <w:rsid w:val="008E3F5B"/>
    <w:rsid w:val="008E44A2"/>
    <w:rsid w:val="008E697D"/>
    <w:rsid w:val="008E6B60"/>
    <w:rsid w:val="008F14B7"/>
    <w:rsid w:val="008F2B67"/>
    <w:rsid w:val="008F70DE"/>
    <w:rsid w:val="00902B8A"/>
    <w:rsid w:val="00903263"/>
    <w:rsid w:val="00905EC1"/>
    <w:rsid w:val="00906A21"/>
    <w:rsid w:val="0090722D"/>
    <w:rsid w:val="009079C3"/>
    <w:rsid w:val="00910462"/>
    <w:rsid w:val="00910897"/>
    <w:rsid w:val="00912049"/>
    <w:rsid w:val="00913D3A"/>
    <w:rsid w:val="00915030"/>
    <w:rsid w:val="00915AB1"/>
    <w:rsid w:val="00917144"/>
    <w:rsid w:val="00917532"/>
    <w:rsid w:val="009219B8"/>
    <w:rsid w:val="009235BA"/>
    <w:rsid w:val="00923C95"/>
    <w:rsid w:val="00924023"/>
    <w:rsid w:val="00924CE2"/>
    <w:rsid w:val="00925B9F"/>
    <w:rsid w:val="009268CE"/>
    <w:rsid w:val="00931AED"/>
    <w:rsid w:val="009324D0"/>
    <w:rsid w:val="00934350"/>
    <w:rsid w:val="00934B2E"/>
    <w:rsid w:val="00935302"/>
    <w:rsid w:val="009412D0"/>
    <w:rsid w:val="009420CA"/>
    <w:rsid w:val="009445BE"/>
    <w:rsid w:val="009476A3"/>
    <w:rsid w:val="009509C8"/>
    <w:rsid w:val="009514AF"/>
    <w:rsid w:val="0095334F"/>
    <w:rsid w:val="00955456"/>
    <w:rsid w:val="00956EB5"/>
    <w:rsid w:val="00957157"/>
    <w:rsid w:val="00957EC8"/>
    <w:rsid w:val="00964577"/>
    <w:rsid w:val="00965897"/>
    <w:rsid w:val="009666D6"/>
    <w:rsid w:val="00967567"/>
    <w:rsid w:val="0096765C"/>
    <w:rsid w:val="00971DD4"/>
    <w:rsid w:val="0097244D"/>
    <w:rsid w:val="009727E4"/>
    <w:rsid w:val="00977E2E"/>
    <w:rsid w:val="009823B8"/>
    <w:rsid w:val="00984765"/>
    <w:rsid w:val="00990E36"/>
    <w:rsid w:val="009934C5"/>
    <w:rsid w:val="00994C0F"/>
    <w:rsid w:val="00994E88"/>
    <w:rsid w:val="009A06CF"/>
    <w:rsid w:val="009A0D8F"/>
    <w:rsid w:val="009A2CAC"/>
    <w:rsid w:val="009A362F"/>
    <w:rsid w:val="009A6034"/>
    <w:rsid w:val="009B10EF"/>
    <w:rsid w:val="009B151B"/>
    <w:rsid w:val="009B22D7"/>
    <w:rsid w:val="009B4D20"/>
    <w:rsid w:val="009B52D6"/>
    <w:rsid w:val="009B7104"/>
    <w:rsid w:val="009B72ED"/>
    <w:rsid w:val="009C156B"/>
    <w:rsid w:val="009C6262"/>
    <w:rsid w:val="009C6DEB"/>
    <w:rsid w:val="009D6184"/>
    <w:rsid w:val="009D6504"/>
    <w:rsid w:val="009D780E"/>
    <w:rsid w:val="009E0A5E"/>
    <w:rsid w:val="009E12D7"/>
    <w:rsid w:val="009E2A21"/>
    <w:rsid w:val="009E39AA"/>
    <w:rsid w:val="009E4100"/>
    <w:rsid w:val="009E661A"/>
    <w:rsid w:val="009E66F0"/>
    <w:rsid w:val="009F3A55"/>
    <w:rsid w:val="00A03753"/>
    <w:rsid w:val="00A055BE"/>
    <w:rsid w:val="00A05D13"/>
    <w:rsid w:val="00A06781"/>
    <w:rsid w:val="00A074C3"/>
    <w:rsid w:val="00A12F9A"/>
    <w:rsid w:val="00A148BE"/>
    <w:rsid w:val="00A1509C"/>
    <w:rsid w:val="00A15D85"/>
    <w:rsid w:val="00A20901"/>
    <w:rsid w:val="00A211E7"/>
    <w:rsid w:val="00A228CF"/>
    <w:rsid w:val="00A23DAE"/>
    <w:rsid w:val="00A25832"/>
    <w:rsid w:val="00A30350"/>
    <w:rsid w:val="00A339B2"/>
    <w:rsid w:val="00A34260"/>
    <w:rsid w:val="00A34308"/>
    <w:rsid w:val="00A34BD8"/>
    <w:rsid w:val="00A354BD"/>
    <w:rsid w:val="00A36EE0"/>
    <w:rsid w:val="00A37CF0"/>
    <w:rsid w:val="00A4630D"/>
    <w:rsid w:val="00A51391"/>
    <w:rsid w:val="00A515C3"/>
    <w:rsid w:val="00A52019"/>
    <w:rsid w:val="00A5252F"/>
    <w:rsid w:val="00A537FD"/>
    <w:rsid w:val="00A54AA8"/>
    <w:rsid w:val="00A5689B"/>
    <w:rsid w:val="00A64E59"/>
    <w:rsid w:val="00A674ED"/>
    <w:rsid w:val="00A70CFD"/>
    <w:rsid w:val="00A7160B"/>
    <w:rsid w:val="00A7179E"/>
    <w:rsid w:val="00A72338"/>
    <w:rsid w:val="00A72A0B"/>
    <w:rsid w:val="00A744B3"/>
    <w:rsid w:val="00A75C0C"/>
    <w:rsid w:val="00A77799"/>
    <w:rsid w:val="00A81E42"/>
    <w:rsid w:val="00A824B3"/>
    <w:rsid w:val="00A82EDD"/>
    <w:rsid w:val="00A83DA2"/>
    <w:rsid w:val="00A864FE"/>
    <w:rsid w:val="00A86F41"/>
    <w:rsid w:val="00A8742A"/>
    <w:rsid w:val="00A87D04"/>
    <w:rsid w:val="00A906A0"/>
    <w:rsid w:val="00A91351"/>
    <w:rsid w:val="00A91780"/>
    <w:rsid w:val="00A924B0"/>
    <w:rsid w:val="00A94645"/>
    <w:rsid w:val="00A950C5"/>
    <w:rsid w:val="00A9712E"/>
    <w:rsid w:val="00AA0536"/>
    <w:rsid w:val="00AA1D25"/>
    <w:rsid w:val="00AA21EB"/>
    <w:rsid w:val="00AA59E3"/>
    <w:rsid w:val="00AA7D7D"/>
    <w:rsid w:val="00AB2452"/>
    <w:rsid w:val="00AB2B1A"/>
    <w:rsid w:val="00AB397F"/>
    <w:rsid w:val="00AB3C62"/>
    <w:rsid w:val="00AB5832"/>
    <w:rsid w:val="00AC47B1"/>
    <w:rsid w:val="00AC51F2"/>
    <w:rsid w:val="00AC54CF"/>
    <w:rsid w:val="00AD1298"/>
    <w:rsid w:val="00AD51CC"/>
    <w:rsid w:val="00AE122D"/>
    <w:rsid w:val="00AE1814"/>
    <w:rsid w:val="00AE35BD"/>
    <w:rsid w:val="00AE44EE"/>
    <w:rsid w:val="00AE5066"/>
    <w:rsid w:val="00AE5E24"/>
    <w:rsid w:val="00AE61B7"/>
    <w:rsid w:val="00AE6CBA"/>
    <w:rsid w:val="00AE79AD"/>
    <w:rsid w:val="00AE7EE7"/>
    <w:rsid w:val="00AF0CC2"/>
    <w:rsid w:val="00AF35E4"/>
    <w:rsid w:val="00AF3FA2"/>
    <w:rsid w:val="00AF50E5"/>
    <w:rsid w:val="00AF5CDE"/>
    <w:rsid w:val="00AF5FFB"/>
    <w:rsid w:val="00AF7611"/>
    <w:rsid w:val="00B03505"/>
    <w:rsid w:val="00B04DBD"/>
    <w:rsid w:val="00B05820"/>
    <w:rsid w:val="00B11A57"/>
    <w:rsid w:val="00B12811"/>
    <w:rsid w:val="00B13F7C"/>
    <w:rsid w:val="00B164CD"/>
    <w:rsid w:val="00B17A06"/>
    <w:rsid w:val="00B211C3"/>
    <w:rsid w:val="00B2189D"/>
    <w:rsid w:val="00B25502"/>
    <w:rsid w:val="00B25597"/>
    <w:rsid w:val="00B267B9"/>
    <w:rsid w:val="00B33E09"/>
    <w:rsid w:val="00B3454B"/>
    <w:rsid w:val="00B365FA"/>
    <w:rsid w:val="00B400F6"/>
    <w:rsid w:val="00B409C9"/>
    <w:rsid w:val="00B426F2"/>
    <w:rsid w:val="00B435D8"/>
    <w:rsid w:val="00B452E5"/>
    <w:rsid w:val="00B46B42"/>
    <w:rsid w:val="00B501C7"/>
    <w:rsid w:val="00B50708"/>
    <w:rsid w:val="00B50B26"/>
    <w:rsid w:val="00B50C68"/>
    <w:rsid w:val="00B50E85"/>
    <w:rsid w:val="00B51293"/>
    <w:rsid w:val="00B52B1E"/>
    <w:rsid w:val="00B55481"/>
    <w:rsid w:val="00B56C32"/>
    <w:rsid w:val="00B57ACF"/>
    <w:rsid w:val="00B6291A"/>
    <w:rsid w:val="00B62C3D"/>
    <w:rsid w:val="00B64BB1"/>
    <w:rsid w:val="00B65E47"/>
    <w:rsid w:val="00B705E5"/>
    <w:rsid w:val="00B73166"/>
    <w:rsid w:val="00B7568C"/>
    <w:rsid w:val="00B80CA7"/>
    <w:rsid w:val="00B83082"/>
    <w:rsid w:val="00B83F83"/>
    <w:rsid w:val="00B8426C"/>
    <w:rsid w:val="00B87382"/>
    <w:rsid w:val="00B910EB"/>
    <w:rsid w:val="00B91B8D"/>
    <w:rsid w:val="00B94E90"/>
    <w:rsid w:val="00BA0C04"/>
    <w:rsid w:val="00BA791B"/>
    <w:rsid w:val="00BA7C52"/>
    <w:rsid w:val="00BB0A82"/>
    <w:rsid w:val="00BB1B8C"/>
    <w:rsid w:val="00BB3795"/>
    <w:rsid w:val="00BB4C4B"/>
    <w:rsid w:val="00BB573A"/>
    <w:rsid w:val="00BB7152"/>
    <w:rsid w:val="00BB7C94"/>
    <w:rsid w:val="00BC059A"/>
    <w:rsid w:val="00BC0A9D"/>
    <w:rsid w:val="00BC1187"/>
    <w:rsid w:val="00BC1EDB"/>
    <w:rsid w:val="00BC685F"/>
    <w:rsid w:val="00BC7A51"/>
    <w:rsid w:val="00BC7A8F"/>
    <w:rsid w:val="00BD0786"/>
    <w:rsid w:val="00BD3A97"/>
    <w:rsid w:val="00BD49CF"/>
    <w:rsid w:val="00BD7F31"/>
    <w:rsid w:val="00BE07F9"/>
    <w:rsid w:val="00BE634E"/>
    <w:rsid w:val="00BE6950"/>
    <w:rsid w:val="00BF0524"/>
    <w:rsid w:val="00BF0C59"/>
    <w:rsid w:val="00BF110C"/>
    <w:rsid w:val="00BF1699"/>
    <w:rsid w:val="00BF1A25"/>
    <w:rsid w:val="00BF3F4F"/>
    <w:rsid w:val="00BF40ED"/>
    <w:rsid w:val="00BF5237"/>
    <w:rsid w:val="00BF5BC2"/>
    <w:rsid w:val="00C109C9"/>
    <w:rsid w:val="00C1133D"/>
    <w:rsid w:val="00C124F9"/>
    <w:rsid w:val="00C14E15"/>
    <w:rsid w:val="00C17A7F"/>
    <w:rsid w:val="00C17DF8"/>
    <w:rsid w:val="00C2179D"/>
    <w:rsid w:val="00C220EB"/>
    <w:rsid w:val="00C239DF"/>
    <w:rsid w:val="00C23FE3"/>
    <w:rsid w:val="00C2542E"/>
    <w:rsid w:val="00C27325"/>
    <w:rsid w:val="00C27A08"/>
    <w:rsid w:val="00C30988"/>
    <w:rsid w:val="00C31312"/>
    <w:rsid w:val="00C31A63"/>
    <w:rsid w:val="00C326C6"/>
    <w:rsid w:val="00C3373B"/>
    <w:rsid w:val="00C33A2D"/>
    <w:rsid w:val="00C35295"/>
    <w:rsid w:val="00C36ADD"/>
    <w:rsid w:val="00C36E74"/>
    <w:rsid w:val="00C40595"/>
    <w:rsid w:val="00C41621"/>
    <w:rsid w:val="00C42F11"/>
    <w:rsid w:val="00C4491E"/>
    <w:rsid w:val="00C449FA"/>
    <w:rsid w:val="00C5012D"/>
    <w:rsid w:val="00C5384F"/>
    <w:rsid w:val="00C54A69"/>
    <w:rsid w:val="00C55826"/>
    <w:rsid w:val="00C56443"/>
    <w:rsid w:val="00C565D0"/>
    <w:rsid w:val="00C56964"/>
    <w:rsid w:val="00C6009B"/>
    <w:rsid w:val="00C654A0"/>
    <w:rsid w:val="00C656D5"/>
    <w:rsid w:val="00C67103"/>
    <w:rsid w:val="00C7016C"/>
    <w:rsid w:val="00C70825"/>
    <w:rsid w:val="00C71BB9"/>
    <w:rsid w:val="00C71E6A"/>
    <w:rsid w:val="00C74373"/>
    <w:rsid w:val="00C75C2F"/>
    <w:rsid w:val="00C802D3"/>
    <w:rsid w:val="00C84377"/>
    <w:rsid w:val="00C90FAF"/>
    <w:rsid w:val="00C94C28"/>
    <w:rsid w:val="00C94C7D"/>
    <w:rsid w:val="00C956D0"/>
    <w:rsid w:val="00C95D23"/>
    <w:rsid w:val="00C9691B"/>
    <w:rsid w:val="00C97A84"/>
    <w:rsid w:val="00CB0247"/>
    <w:rsid w:val="00CB2773"/>
    <w:rsid w:val="00CB3440"/>
    <w:rsid w:val="00CB3A19"/>
    <w:rsid w:val="00CC098C"/>
    <w:rsid w:val="00CC1692"/>
    <w:rsid w:val="00CC3246"/>
    <w:rsid w:val="00CC5A3D"/>
    <w:rsid w:val="00CD138B"/>
    <w:rsid w:val="00CD2BB5"/>
    <w:rsid w:val="00CD3E31"/>
    <w:rsid w:val="00CD5B87"/>
    <w:rsid w:val="00CD74A3"/>
    <w:rsid w:val="00CE0527"/>
    <w:rsid w:val="00CE20A5"/>
    <w:rsid w:val="00CE5B23"/>
    <w:rsid w:val="00CE74C2"/>
    <w:rsid w:val="00CF0B03"/>
    <w:rsid w:val="00CF271E"/>
    <w:rsid w:val="00CF41C0"/>
    <w:rsid w:val="00CF6E9C"/>
    <w:rsid w:val="00CF70AD"/>
    <w:rsid w:val="00CF7729"/>
    <w:rsid w:val="00D00059"/>
    <w:rsid w:val="00D00176"/>
    <w:rsid w:val="00D01A5A"/>
    <w:rsid w:val="00D107FA"/>
    <w:rsid w:val="00D10DFD"/>
    <w:rsid w:val="00D12275"/>
    <w:rsid w:val="00D12766"/>
    <w:rsid w:val="00D17B5E"/>
    <w:rsid w:val="00D20FF4"/>
    <w:rsid w:val="00D22BCC"/>
    <w:rsid w:val="00D22D34"/>
    <w:rsid w:val="00D2398C"/>
    <w:rsid w:val="00D24D2C"/>
    <w:rsid w:val="00D3154F"/>
    <w:rsid w:val="00D31FBE"/>
    <w:rsid w:val="00D35881"/>
    <w:rsid w:val="00D37588"/>
    <w:rsid w:val="00D40C5B"/>
    <w:rsid w:val="00D424BF"/>
    <w:rsid w:val="00D455ED"/>
    <w:rsid w:val="00D45701"/>
    <w:rsid w:val="00D477C6"/>
    <w:rsid w:val="00D53DAE"/>
    <w:rsid w:val="00D55DDF"/>
    <w:rsid w:val="00D60240"/>
    <w:rsid w:val="00D60A54"/>
    <w:rsid w:val="00D6401C"/>
    <w:rsid w:val="00D728E3"/>
    <w:rsid w:val="00D73277"/>
    <w:rsid w:val="00D74FEA"/>
    <w:rsid w:val="00D75B22"/>
    <w:rsid w:val="00D83613"/>
    <w:rsid w:val="00D8441F"/>
    <w:rsid w:val="00D9201B"/>
    <w:rsid w:val="00D9287A"/>
    <w:rsid w:val="00D96B0D"/>
    <w:rsid w:val="00D97FF1"/>
    <w:rsid w:val="00DA533A"/>
    <w:rsid w:val="00DA7930"/>
    <w:rsid w:val="00DA7DA5"/>
    <w:rsid w:val="00DB073B"/>
    <w:rsid w:val="00DB12E2"/>
    <w:rsid w:val="00DB3799"/>
    <w:rsid w:val="00DB78F0"/>
    <w:rsid w:val="00DC1649"/>
    <w:rsid w:val="00DC1DF9"/>
    <w:rsid w:val="00DC21EA"/>
    <w:rsid w:val="00DC2E43"/>
    <w:rsid w:val="00DC4E65"/>
    <w:rsid w:val="00DD0896"/>
    <w:rsid w:val="00DD095C"/>
    <w:rsid w:val="00DD1020"/>
    <w:rsid w:val="00DD1330"/>
    <w:rsid w:val="00DE0B83"/>
    <w:rsid w:val="00DE1A81"/>
    <w:rsid w:val="00DE1C13"/>
    <w:rsid w:val="00DE4E10"/>
    <w:rsid w:val="00DF09E4"/>
    <w:rsid w:val="00DF3222"/>
    <w:rsid w:val="00DF5936"/>
    <w:rsid w:val="00E017A9"/>
    <w:rsid w:val="00E02ABF"/>
    <w:rsid w:val="00E03EB3"/>
    <w:rsid w:val="00E051F0"/>
    <w:rsid w:val="00E06C24"/>
    <w:rsid w:val="00E10844"/>
    <w:rsid w:val="00E10BE8"/>
    <w:rsid w:val="00E13BE0"/>
    <w:rsid w:val="00E14995"/>
    <w:rsid w:val="00E168F0"/>
    <w:rsid w:val="00E16CF2"/>
    <w:rsid w:val="00E174EA"/>
    <w:rsid w:val="00E179CD"/>
    <w:rsid w:val="00E20AE9"/>
    <w:rsid w:val="00E23E8D"/>
    <w:rsid w:val="00E24DAD"/>
    <w:rsid w:val="00E27C93"/>
    <w:rsid w:val="00E31652"/>
    <w:rsid w:val="00E33EE9"/>
    <w:rsid w:val="00E3549C"/>
    <w:rsid w:val="00E3639F"/>
    <w:rsid w:val="00E37F98"/>
    <w:rsid w:val="00E40D22"/>
    <w:rsid w:val="00E41BD8"/>
    <w:rsid w:val="00E4210C"/>
    <w:rsid w:val="00E446DF"/>
    <w:rsid w:val="00E45C64"/>
    <w:rsid w:val="00E46559"/>
    <w:rsid w:val="00E469BC"/>
    <w:rsid w:val="00E545A3"/>
    <w:rsid w:val="00E56924"/>
    <w:rsid w:val="00E60B09"/>
    <w:rsid w:val="00E62EBA"/>
    <w:rsid w:val="00E64875"/>
    <w:rsid w:val="00E64A21"/>
    <w:rsid w:val="00E65157"/>
    <w:rsid w:val="00E6670C"/>
    <w:rsid w:val="00E670DE"/>
    <w:rsid w:val="00E715E0"/>
    <w:rsid w:val="00E74CB1"/>
    <w:rsid w:val="00E7632C"/>
    <w:rsid w:val="00E776E8"/>
    <w:rsid w:val="00E80DD1"/>
    <w:rsid w:val="00E81075"/>
    <w:rsid w:val="00E81BD2"/>
    <w:rsid w:val="00E82314"/>
    <w:rsid w:val="00E83677"/>
    <w:rsid w:val="00E8704F"/>
    <w:rsid w:val="00E87221"/>
    <w:rsid w:val="00E87F08"/>
    <w:rsid w:val="00E92C1F"/>
    <w:rsid w:val="00E9351C"/>
    <w:rsid w:val="00E94E15"/>
    <w:rsid w:val="00E95D4B"/>
    <w:rsid w:val="00EA07CD"/>
    <w:rsid w:val="00EA0ED9"/>
    <w:rsid w:val="00EA1292"/>
    <w:rsid w:val="00EA1709"/>
    <w:rsid w:val="00EA5F15"/>
    <w:rsid w:val="00EA6821"/>
    <w:rsid w:val="00EA68B0"/>
    <w:rsid w:val="00EA7178"/>
    <w:rsid w:val="00EA76BB"/>
    <w:rsid w:val="00EA7C6B"/>
    <w:rsid w:val="00EB0F97"/>
    <w:rsid w:val="00EB199F"/>
    <w:rsid w:val="00EB2C37"/>
    <w:rsid w:val="00EB3A63"/>
    <w:rsid w:val="00EB3B86"/>
    <w:rsid w:val="00EB5707"/>
    <w:rsid w:val="00EC0ED0"/>
    <w:rsid w:val="00EC1E51"/>
    <w:rsid w:val="00EC23F7"/>
    <w:rsid w:val="00EC2F6A"/>
    <w:rsid w:val="00EC3099"/>
    <w:rsid w:val="00EC4BD8"/>
    <w:rsid w:val="00EC51B9"/>
    <w:rsid w:val="00EC5C15"/>
    <w:rsid w:val="00EC63EB"/>
    <w:rsid w:val="00EC64B5"/>
    <w:rsid w:val="00ED1641"/>
    <w:rsid w:val="00ED17C9"/>
    <w:rsid w:val="00ED412F"/>
    <w:rsid w:val="00ED7E24"/>
    <w:rsid w:val="00EE1B7D"/>
    <w:rsid w:val="00EE3CFB"/>
    <w:rsid w:val="00EE66D9"/>
    <w:rsid w:val="00EE6F92"/>
    <w:rsid w:val="00EF1484"/>
    <w:rsid w:val="00EF2892"/>
    <w:rsid w:val="00EF36B2"/>
    <w:rsid w:val="00EF5178"/>
    <w:rsid w:val="00F00C2F"/>
    <w:rsid w:val="00F066CE"/>
    <w:rsid w:val="00F10AE5"/>
    <w:rsid w:val="00F1251B"/>
    <w:rsid w:val="00F13E12"/>
    <w:rsid w:val="00F201EC"/>
    <w:rsid w:val="00F2070D"/>
    <w:rsid w:val="00F208A9"/>
    <w:rsid w:val="00F20F1A"/>
    <w:rsid w:val="00F24F5A"/>
    <w:rsid w:val="00F26B67"/>
    <w:rsid w:val="00F33BC9"/>
    <w:rsid w:val="00F35DD2"/>
    <w:rsid w:val="00F40341"/>
    <w:rsid w:val="00F40DB5"/>
    <w:rsid w:val="00F41D75"/>
    <w:rsid w:val="00F43246"/>
    <w:rsid w:val="00F45B7F"/>
    <w:rsid w:val="00F5139D"/>
    <w:rsid w:val="00F51E45"/>
    <w:rsid w:val="00F52FB2"/>
    <w:rsid w:val="00F6152E"/>
    <w:rsid w:val="00F61D11"/>
    <w:rsid w:val="00F62F89"/>
    <w:rsid w:val="00F63DAC"/>
    <w:rsid w:val="00F66985"/>
    <w:rsid w:val="00F70425"/>
    <w:rsid w:val="00F70716"/>
    <w:rsid w:val="00F7454F"/>
    <w:rsid w:val="00F77988"/>
    <w:rsid w:val="00F77F48"/>
    <w:rsid w:val="00F81AF4"/>
    <w:rsid w:val="00F8300E"/>
    <w:rsid w:val="00F830D8"/>
    <w:rsid w:val="00F86C7C"/>
    <w:rsid w:val="00F94101"/>
    <w:rsid w:val="00F957D9"/>
    <w:rsid w:val="00F965BD"/>
    <w:rsid w:val="00FA3F6A"/>
    <w:rsid w:val="00FB0F3B"/>
    <w:rsid w:val="00FB24BE"/>
    <w:rsid w:val="00FB30F1"/>
    <w:rsid w:val="00FB53E7"/>
    <w:rsid w:val="00FC0FA1"/>
    <w:rsid w:val="00FC5A63"/>
    <w:rsid w:val="00FD00BA"/>
    <w:rsid w:val="00FD2E81"/>
    <w:rsid w:val="00FD655C"/>
    <w:rsid w:val="00FE24C1"/>
    <w:rsid w:val="00FE2B9C"/>
    <w:rsid w:val="00FE747A"/>
    <w:rsid w:val="00FF19CC"/>
    <w:rsid w:val="00FF41C9"/>
    <w:rsid w:val="00FF4D16"/>
    <w:rsid w:val="00FF5DB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1084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rsid w:val="008C5649"/>
    <w:rPr>
      <w:sz w:val="24"/>
      <w:szCs w:val="24"/>
    </w:rPr>
  </w:style>
  <w:style w:type="paragraph" w:styleId="Galvene">
    <w:name w:val="header"/>
    <w:basedOn w:val="Parasts1"/>
    <w:link w:val="GalveneRakstz"/>
    <w:uiPriority w:val="99"/>
    <w:rsid w:val="008C5649"/>
    <w:pPr>
      <w:tabs>
        <w:tab w:val="center" w:pos="4153"/>
        <w:tab w:val="right" w:pos="8306"/>
      </w:tabs>
    </w:pPr>
    <w:rPr>
      <w:szCs w:val="20"/>
    </w:rPr>
  </w:style>
  <w:style w:type="character" w:customStyle="1" w:styleId="GalveneRakstz">
    <w:name w:val="Galvene Rakstz."/>
    <w:link w:val="Galvene"/>
    <w:uiPriority w:val="99"/>
    <w:semiHidden/>
    <w:locked/>
    <w:rsid w:val="00B7568C"/>
    <w:rPr>
      <w:sz w:val="24"/>
    </w:rPr>
  </w:style>
  <w:style w:type="character" w:styleId="Lappusesnumurs">
    <w:name w:val="page number"/>
    <w:uiPriority w:val="99"/>
    <w:rsid w:val="008C5649"/>
    <w:rPr>
      <w:rFonts w:cs="Times New Roman"/>
    </w:rPr>
  </w:style>
  <w:style w:type="paragraph" w:customStyle="1" w:styleId="naisf">
    <w:name w:val="naisf"/>
    <w:basedOn w:val="Parasts1"/>
    <w:uiPriority w:val="99"/>
    <w:rsid w:val="008C5649"/>
    <w:pPr>
      <w:spacing w:before="75" w:after="75"/>
      <w:ind w:firstLine="375"/>
      <w:jc w:val="both"/>
    </w:pPr>
  </w:style>
  <w:style w:type="paragraph" w:customStyle="1" w:styleId="naisnod">
    <w:name w:val="naisnod"/>
    <w:basedOn w:val="Parasts1"/>
    <w:uiPriority w:val="99"/>
    <w:rsid w:val="008C5649"/>
    <w:pPr>
      <w:spacing w:before="150" w:after="150"/>
      <w:jc w:val="center"/>
    </w:pPr>
    <w:rPr>
      <w:b/>
      <w:bCs/>
    </w:rPr>
  </w:style>
  <w:style w:type="paragraph" w:customStyle="1" w:styleId="naislab">
    <w:name w:val="naislab"/>
    <w:basedOn w:val="Parasts1"/>
    <w:uiPriority w:val="99"/>
    <w:rsid w:val="008C5649"/>
    <w:pPr>
      <w:spacing w:before="75" w:after="75"/>
      <w:jc w:val="right"/>
    </w:pPr>
  </w:style>
  <w:style w:type="paragraph" w:customStyle="1" w:styleId="naiskr">
    <w:name w:val="naiskr"/>
    <w:basedOn w:val="Parasts1"/>
    <w:uiPriority w:val="99"/>
    <w:rsid w:val="008C5649"/>
    <w:pPr>
      <w:spacing w:before="75" w:after="75"/>
    </w:pPr>
  </w:style>
  <w:style w:type="paragraph" w:customStyle="1" w:styleId="naisc">
    <w:name w:val="naisc"/>
    <w:basedOn w:val="Parasts1"/>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uiPriority w:val="99"/>
    <w:semiHidden/>
    <w:rsid w:val="008C5649"/>
    <w:rPr>
      <w:rFonts w:cs="Times New Roman"/>
      <w:sz w:val="16"/>
    </w:rPr>
  </w:style>
  <w:style w:type="paragraph" w:styleId="Komentrateksts">
    <w:name w:val="annotation text"/>
    <w:basedOn w:val="Parasts1"/>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locked/>
    <w:rsid w:val="008C5649"/>
    <w:rPr>
      <w:lang w:val="lv-LV" w:eastAsia="lv-LV"/>
    </w:rPr>
  </w:style>
  <w:style w:type="paragraph" w:styleId="Balonteksts">
    <w:name w:val="Balloon Text"/>
    <w:basedOn w:val="Parasts1"/>
    <w:link w:val="BalontekstsRakstz"/>
    <w:uiPriority w:val="99"/>
    <w:semiHidden/>
    <w:rsid w:val="008C5649"/>
    <w:rPr>
      <w:sz w:val="2"/>
      <w:szCs w:val="20"/>
    </w:rPr>
  </w:style>
  <w:style w:type="character" w:customStyle="1" w:styleId="BalontekstsRakstz">
    <w:name w:val="Balonteksts Rakstz."/>
    <w:link w:val="Balonteksts"/>
    <w:uiPriority w:val="99"/>
    <w:semiHidden/>
    <w:locked/>
    <w:rsid w:val="00B7568C"/>
    <w:rPr>
      <w:sz w:val="2"/>
    </w:rPr>
  </w:style>
  <w:style w:type="table" w:styleId="Reatabula">
    <w:name w:val="Table Grid"/>
    <w:basedOn w:val="Parastatabula"/>
    <w:uiPriority w:val="9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1"/>
    <w:link w:val="VrestekstsRakstz"/>
    <w:uiPriority w:val="99"/>
    <w:semiHidden/>
    <w:rsid w:val="008C5649"/>
    <w:rPr>
      <w:sz w:val="20"/>
      <w:szCs w:val="20"/>
    </w:rPr>
  </w:style>
  <w:style w:type="character" w:customStyle="1" w:styleId="VrestekstsRakstz">
    <w:name w:val="Vēres teksts Rakstz."/>
    <w:link w:val="Vresteksts"/>
    <w:uiPriority w:val="99"/>
    <w:semiHidden/>
    <w:locked/>
    <w:rsid w:val="00B7568C"/>
    <w:rPr>
      <w:sz w:val="20"/>
    </w:rPr>
  </w:style>
  <w:style w:type="character" w:styleId="Vresatsauce">
    <w:name w:val="footnote reference"/>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rPr>
  </w:style>
  <w:style w:type="character" w:customStyle="1" w:styleId="KomentratmaRakstz">
    <w:name w:val="Komentāra tēma Rakstz."/>
    <w:link w:val="Komentratma"/>
    <w:uiPriority w:val="99"/>
    <w:semiHidden/>
    <w:locked/>
    <w:rsid w:val="00B7568C"/>
    <w:rPr>
      <w:b/>
      <w:sz w:val="20"/>
      <w:lang w:val="lv-LV" w:eastAsia="lv-LV"/>
    </w:rPr>
  </w:style>
  <w:style w:type="paragraph" w:styleId="Kjene">
    <w:name w:val="footer"/>
    <w:basedOn w:val="Parasts1"/>
    <w:link w:val="KjeneRakstz"/>
    <w:uiPriority w:val="99"/>
    <w:rsid w:val="00262E2B"/>
    <w:pPr>
      <w:tabs>
        <w:tab w:val="center" w:pos="4153"/>
        <w:tab w:val="right" w:pos="8306"/>
      </w:tabs>
    </w:pPr>
    <w:rPr>
      <w:szCs w:val="20"/>
    </w:rPr>
  </w:style>
  <w:style w:type="character" w:customStyle="1" w:styleId="KjeneRakstz">
    <w:name w:val="Kājene Rakstz."/>
    <w:link w:val="Kjene"/>
    <w:uiPriority w:val="99"/>
    <w:semiHidden/>
    <w:locked/>
    <w:rsid w:val="00231344"/>
    <w:rPr>
      <w:sz w:val="24"/>
      <w:lang w:val="lv-LV" w:eastAsia="lv-LV"/>
    </w:rPr>
  </w:style>
  <w:style w:type="character" w:styleId="Hipersaite">
    <w:name w:val="Hyperlink"/>
    <w:uiPriority w:val="99"/>
    <w:rsid w:val="007004FC"/>
    <w:rPr>
      <w:rFonts w:cs="Times New Roman"/>
      <w:color w:val="0000FF"/>
      <w:u w:val="single"/>
    </w:rPr>
  </w:style>
  <w:style w:type="paragraph" w:styleId="Dokumentakarte">
    <w:name w:val="Document Map"/>
    <w:basedOn w:val="Parasts1"/>
    <w:link w:val="DokumentakarteRakstz"/>
    <w:uiPriority w:val="99"/>
    <w:semiHidden/>
    <w:rsid w:val="00846994"/>
    <w:pPr>
      <w:shd w:val="clear" w:color="auto" w:fill="000080"/>
    </w:pPr>
    <w:rPr>
      <w:sz w:val="2"/>
      <w:szCs w:val="20"/>
    </w:rPr>
  </w:style>
  <w:style w:type="character" w:customStyle="1" w:styleId="DokumentakarteRakstz">
    <w:name w:val="Dokumenta karte Rakstz."/>
    <w:link w:val="Dokumentakarte"/>
    <w:uiPriority w:val="99"/>
    <w:semiHidden/>
    <w:locked/>
    <w:rsid w:val="00B7568C"/>
    <w:rPr>
      <w:sz w:val="2"/>
    </w:rPr>
  </w:style>
  <w:style w:type="paragraph" w:styleId="Pamatteksts">
    <w:name w:val="Body Text"/>
    <w:basedOn w:val="Parasts1"/>
    <w:link w:val="PamattekstsRakstz"/>
    <w:uiPriority w:val="99"/>
    <w:rsid w:val="0088104A"/>
    <w:pPr>
      <w:widowControl w:val="0"/>
      <w:overflowPunct w:val="0"/>
      <w:autoSpaceDE w:val="0"/>
      <w:autoSpaceDN w:val="0"/>
      <w:adjustRightInd w:val="0"/>
      <w:textAlignment w:val="baseline"/>
    </w:pPr>
    <w:rPr>
      <w:szCs w:val="20"/>
    </w:rPr>
  </w:style>
  <w:style w:type="character" w:customStyle="1" w:styleId="PamattekstsRakstz">
    <w:name w:val="Pamatteksts Rakstz."/>
    <w:link w:val="Pamatteksts"/>
    <w:uiPriority w:val="99"/>
    <w:semiHidden/>
    <w:locked/>
    <w:rsid w:val="00B7568C"/>
    <w:rPr>
      <w:sz w:val="24"/>
    </w:rPr>
  </w:style>
  <w:style w:type="paragraph" w:customStyle="1" w:styleId="basetext">
    <w:name w:val="base text"/>
    <w:uiPriority w:val="99"/>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uiPriority w:val="99"/>
    <w:rsid w:val="000E348C"/>
  </w:style>
  <w:style w:type="character" w:customStyle="1" w:styleId="apple-converted-space">
    <w:name w:val="apple-converted-space"/>
    <w:uiPriority w:val="99"/>
    <w:rsid w:val="000E348C"/>
  </w:style>
  <w:style w:type="paragraph" w:customStyle="1" w:styleId="Paraststmeklis1">
    <w:name w:val="Parasts (tīmeklis)1"/>
    <w:basedOn w:val="Parasts1"/>
    <w:uiPriority w:val="99"/>
    <w:rsid w:val="00C97A84"/>
    <w:pPr>
      <w:spacing w:before="100" w:beforeAutospacing="1" w:after="100" w:afterAutospacing="1"/>
    </w:pPr>
  </w:style>
  <w:style w:type="paragraph" w:customStyle="1" w:styleId="ListParagraph1">
    <w:name w:val="List Paragraph1"/>
    <w:basedOn w:val="Parasts1"/>
    <w:uiPriority w:val="99"/>
    <w:rsid w:val="00BB573A"/>
    <w:pPr>
      <w:ind w:left="720"/>
    </w:pPr>
    <w:rPr>
      <w:rFonts w:ascii="Calibri" w:hAnsi="Calibri"/>
      <w:sz w:val="22"/>
      <w:szCs w:val="22"/>
    </w:rPr>
  </w:style>
  <w:style w:type="character" w:styleId="Izteiksmgs">
    <w:name w:val="Strong"/>
    <w:uiPriority w:val="99"/>
    <w:qFormat/>
    <w:rsid w:val="0024755C"/>
    <w:rPr>
      <w:rFonts w:cs="Times New Roman"/>
      <w:b/>
    </w:rPr>
  </w:style>
  <w:style w:type="paragraph" w:styleId="Vienkrsteksts">
    <w:name w:val="Plain Text"/>
    <w:basedOn w:val="Parasts1"/>
    <w:link w:val="VienkrstekstsRakstz"/>
    <w:uiPriority w:val="99"/>
    <w:rsid w:val="00715516"/>
    <w:rPr>
      <w:rFonts w:ascii="Courier New" w:hAnsi="Courier New"/>
      <w:sz w:val="20"/>
      <w:szCs w:val="20"/>
    </w:rPr>
  </w:style>
  <w:style w:type="character" w:customStyle="1" w:styleId="VienkrstekstsRakstz">
    <w:name w:val="Vienkāršs teksts Rakstz."/>
    <w:link w:val="Vienkrsteksts"/>
    <w:uiPriority w:val="99"/>
    <w:semiHidden/>
    <w:locked/>
    <w:rsid w:val="00B7568C"/>
    <w:rPr>
      <w:rFonts w:ascii="Courier New" w:hAnsi="Courier New"/>
      <w:sz w:val="20"/>
    </w:rPr>
  </w:style>
  <w:style w:type="paragraph" w:styleId="Pamattekstaatkpe2">
    <w:name w:val="Body Text Indent 2"/>
    <w:basedOn w:val="Parasts1"/>
    <w:link w:val="Pamattekstaatkpe2Rakstz"/>
    <w:uiPriority w:val="99"/>
    <w:rsid w:val="00191370"/>
    <w:pPr>
      <w:ind w:firstLine="435"/>
      <w:jc w:val="both"/>
    </w:pPr>
    <w:rPr>
      <w:szCs w:val="20"/>
      <w:lang w:eastAsia="en-US"/>
    </w:rPr>
  </w:style>
  <w:style w:type="character" w:customStyle="1" w:styleId="Pamattekstaatkpe2Rakstz">
    <w:name w:val="Pamatteksta atkāpe 2 Rakstz."/>
    <w:link w:val="Pamattekstaatkpe2"/>
    <w:uiPriority w:val="99"/>
    <w:locked/>
    <w:rsid w:val="00191370"/>
    <w:rPr>
      <w:sz w:val="24"/>
      <w:lang w:eastAsia="en-US"/>
    </w:rPr>
  </w:style>
  <w:style w:type="paragraph" w:styleId="Bezatstarpm">
    <w:name w:val="No Spacing"/>
    <w:uiPriority w:val="99"/>
    <w:qFormat/>
    <w:rsid w:val="000A7D33"/>
    <w:rPr>
      <w:sz w:val="24"/>
      <w:szCs w:val="24"/>
    </w:rPr>
  </w:style>
  <w:style w:type="paragraph" w:customStyle="1" w:styleId="Default">
    <w:name w:val="Default"/>
    <w:uiPriority w:val="99"/>
    <w:rsid w:val="00601DD8"/>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601DD8"/>
    <w:rPr>
      <w:rFonts w:cs="Times New Roman"/>
      <w:color w:val="auto"/>
    </w:rPr>
  </w:style>
  <w:style w:type="paragraph" w:customStyle="1" w:styleId="naispant">
    <w:name w:val="naispant"/>
    <w:basedOn w:val="Parasts1"/>
    <w:uiPriority w:val="99"/>
    <w:rsid w:val="008421B8"/>
    <w:pPr>
      <w:spacing w:before="75" w:after="75"/>
      <w:ind w:left="375" w:firstLine="375"/>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1084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rsid w:val="008C5649"/>
    <w:rPr>
      <w:sz w:val="24"/>
      <w:szCs w:val="24"/>
    </w:rPr>
  </w:style>
  <w:style w:type="paragraph" w:styleId="Galvene">
    <w:name w:val="header"/>
    <w:basedOn w:val="Parasts1"/>
    <w:link w:val="GalveneRakstz"/>
    <w:uiPriority w:val="99"/>
    <w:rsid w:val="008C5649"/>
    <w:pPr>
      <w:tabs>
        <w:tab w:val="center" w:pos="4153"/>
        <w:tab w:val="right" w:pos="8306"/>
      </w:tabs>
    </w:pPr>
    <w:rPr>
      <w:szCs w:val="20"/>
    </w:rPr>
  </w:style>
  <w:style w:type="character" w:customStyle="1" w:styleId="GalveneRakstz">
    <w:name w:val="Galvene Rakstz."/>
    <w:link w:val="Galvene"/>
    <w:uiPriority w:val="99"/>
    <w:semiHidden/>
    <w:locked/>
    <w:rsid w:val="00B7568C"/>
    <w:rPr>
      <w:sz w:val="24"/>
    </w:rPr>
  </w:style>
  <w:style w:type="character" w:styleId="Lappusesnumurs">
    <w:name w:val="page number"/>
    <w:uiPriority w:val="99"/>
    <w:rsid w:val="008C5649"/>
    <w:rPr>
      <w:rFonts w:cs="Times New Roman"/>
    </w:rPr>
  </w:style>
  <w:style w:type="paragraph" w:customStyle="1" w:styleId="naisf">
    <w:name w:val="naisf"/>
    <w:basedOn w:val="Parasts1"/>
    <w:uiPriority w:val="99"/>
    <w:rsid w:val="008C5649"/>
    <w:pPr>
      <w:spacing w:before="75" w:after="75"/>
      <w:ind w:firstLine="375"/>
      <w:jc w:val="both"/>
    </w:pPr>
  </w:style>
  <w:style w:type="paragraph" w:customStyle="1" w:styleId="naisnod">
    <w:name w:val="naisnod"/>
    <w:basedOn w:val="Parasts1"/>
    <w:uiPriority w:val="99"/>
    <w:rsid w:val="008C5649"/>
    <w:pPr>
      <w:spacing w:before="150" w:after="150"/>
      <w:jc w:val="center"/>
    </w:pPr>
    <w:rPr>
      <w:b/>
      <w:bCs/>
    </w:rPr>
  </w:style>
  <w:style w:type="paragraph" w:customStyle="1" w:styleId="naislab">
    <w:name w:val="naislab"/>
    <w:basedOn w:val="Parasts1"/>
    <w:uiPriority w:val="99"/>
    <w:rsid w:val="008C5649"/>
    <w:pPr>
      <w:spacing w:before="75" w:after="75"/>
      <w:jc w:val="right"/>
    </w:pPr>
  </w:style>
  <w:style w:type="paragraph" w:customStyle="1" w:styleId="naiskr">
    <w:name w:val="naiskr"/>
    <w:basedOn w:val="Parasts1"/>
    <w:uiPriority w:val="99"/>
    <w:rsid w:val="008C5649"/>
    <w:pPr>
      <w:spacing w:before="75" w:after="75"/>
    </w:pPr>
  </w:style>
  <w:style w:type="paragraph" w:customStyle="1" w:styleId="naisc">
    <w:name w:val="naisc"/>
    <w:basedOn w:val="Parasts1"/>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uiPriority w:val="99"/>
    <w:semiHidden/>
    <w:rsid w:val="008C5649"/>
    <w:rPr>
      <w:rFonts w:cs="Times New Roman"/>
      <w:sz w:val="16"/>
    </w:rPr>
  </w:style>
  <w:style w:type="paragraph" w:styleId="Komentrateksts">
    <w:name w:val="annotation text"/>
    <w:basedOn w:val="Parasts1"/>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locked/>
    <w:rsid w:val="008C5649"/>
    <w:rPr>
      <w:lang w:val="lv-LV" w:eastAsia="lv-LV"/>
    </w:rPr>
  </w:style>
  <w:style w:type="paragraph" w:styleId="Balonteksts">
    <w:name w:val="Balloon Text"/>
    <w:basedOn w:val="Parasts1"/>
    <w:link w:val="BalontekstsRakstz"/>
    <w:uiPriority w:val="99"/>
    <w:semiHidden/>
    <w:rsid w:val="008C5649"/>
    <w:rPr>
      <w:sz w:val="2"/>
      <w:szCs w:val="20"/>
    </w:rPr>
  </w:style>
  <w:style w:type="character" w:customStyle="1" w:styleId="BalontekstsRakstz">
    <w:name w:val="Balonteksts Rakstz."/>
    <w:link w:val="Balonteksts"/>
    <w:uiPriority w:val="99"/>
    <w:semiHidden/>
    <w:locked/>
    <w:rsid w:val="00B7568C"/>
    <w:rPr>
      <w:sz w:val="2"/>
    </w:rPr>
  </w:style>
  <w:style w:type="table" w:styleId="Reatabula">
    <w:name w:val="Table Grid"/>
    <w:basedOn w:val="Parastatabula"/>
    <w:uiPriority w:val="9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1"/>
    <w:link w:val="VrestekstsRakstz"/>
    <w:uiPriority w:val="99"/>
    <w:semiHidden/>
    <w:rsid w:val="008C5649"/>
    <w:rPr>
      <w:sz w:val="20"/>
      <w:szCs w:val="20"/>
    </w:rPr>
  </w:style>
  <w:style w:type="character" w:customStyle="1" w:styleId="VrestekstsRakstz">
    <w:name w:val="Vēres teksts Rakstz."/>
    <w:link w:val="Vresteksts"/>
    <w:uiPriority w:val="99"/>
    <w:semiHidden/>
    <w:locked/>
    <w:rsid w:val="00B7568C"/>
    <w:rPr>
      <w:sz w:val="20"/>
    </w:rPr>
  </w:style>
  <w:style w:type="character" w:styleId="Vresatsauce">
    <w:name w:val="footnote reference"/>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rPr>
  </w:style>
  <w:style w:type="character" w:customStyle="1" w:styleId="KomentratmaRakstz">
    <w:name w:val="Komentāra tēma Rakstz."/>
    <w:link w:val="Komentratma"/>
    <w:uiPriority w:val="99"/>
    <w:semiHidden/>
    <w:locked/>
    <w:rsid w:val="00B7568C"/>
    <w:rPr>
      <w:b/>
      <w:sz w:val="20"/>
      <w:lang w:val="lv-LV" w:eastAsia="lv-LV"/>
    </w:rPr>
  </w:style>
  <w:style w:type="paragraph" w:styleId="Kjene">
    <w:name w:val="footer"/>
    <w:basedOn w:val="Parasts1"/>
    <w:link w:val="KjeneRakstz"/>
    <w:uiPriority w:val="99"/>
    <w:rsid w:val="00262E2B"/>
    <w:pPr>
      <w:tabs>
        <w:tab w:val="center" w:pos="4153"/>
        <w:tab w:val="right" w:pos="8306"/>
      </w:tabs>
    </w:pPr>
    <w:rPr>
      <w:szCs w:val="20"/>
    </w:rPr>
  </w:style>
  <w:style w:type="character" w:customStyle="1" w:styleId="KjeneRakstz">
    <w:name w:val="Kājene Rakstz."/>
    <w:link w:val="Kjene"/>
    <w:uiPriority w:val="99"/>
    <w:semiHidden/>
    <w:locked/>
    <w:rsid w:val="00231344"/>
    <w:rPr>
      <w:sz w:val="24"/>
      <w:lang w:val="lv-LV" w:eastAsia="lv-LV"/>
    </w:rPr>
  </w:style>
  <w:style w:type="character" w:styleId="Hipersaite">
    <w:name w:val="Hyperlink"/>
    <w:uiPriority w:val="99"/>
    <w:rsid w:val="007004FC"/>
    <w:rPr>
      <w:rFonts w:cs="Times New Roman"/>
      <w:color w:val="0000FF"/>
      <w:u w:val="single"/>
    </w:rPr>
  </w:style>
  <w:style w:type="paragraph" w:styleId="Dokumentakarte">
    <w:name w:val="Document Map"/>
    <w:basedOn w:val="Parasts1"/>
    <w:link w:val="DokumentakarteRakstz"/>
    <w:uiPriority w:val="99"/>
    <w:semiHidden/>
    <w:rsid w:val="00846994"/>
    <w:pPr>
      <w:shd w:val="clear" w:color="auto" w:fill="000080"/>
    </w:pPr>
    <w:rPr>
      <w:sz w:val="2"/>
      <w:szCs w:val="20"/>
    </w:rPr>
  </w:style>
  <w:style w:type="character" w:customStyle="1" w:styleId="DokumentakarteRakstz">
    <w:name w:val="Dokumenta karte Rakstz."/>
    <w:link w:val="Dokumentakarte"/>
    <w:uiPriority w:val="99"/>
    <w:semiHidden/>
    <w:locked/>
    <w:rsid w:val="00B7568C"/>
    <w:rPr>
      <w:sz w:val="2"/>
    </w:rPr>
  </w:style>
  <w:style w:type="paragraph" w:styleId="Pamatteksts">
    <w:name w:val="Body Text"/>
    <w:basedOn w:val="Parasts1"/>
    <w:link w:val="PamattekstsRakstz"/>
    <w:uiPriority w:val="99"/>
    <w:rsid w:val="0088104A"/>
    <w:pPr>
      <w:widowControl w:val="0"/>
      <w:overflowPunct w:val="0"/>
      <w:autoSpaceDE w:val="0"/>
      <w:autoSpaceDN w:val="0"/>
      <w:adjustRightInd w:val="0"/>
      <w:textAlignment w:val="baseline"/>
    </w:pPr>
    <w:rPr>
      <w:szCs w:val="20"/>
    </w:rPr>
  </w:style>
  <w:style w:type="character" w:customStyle="1" w:styleId="PamattekstsRakstz">
    <w:name w:val="Pamatteksts Rakstz."/>
    <w:link w:val="Pamatteksts"/>
    <w:uiPriority w:val="99"/>
    <w:semiHidden/>
    <w:locked/>
    <w:rsid w:val="00B7568C"/>
    <w:rPr>
      <w:sz w:val="24"/>
    </w:rPr>
  </w:style>
  <w:style w:type="paragraph" w:customStyle="1" w:styleId="basetext">
    <w:name w:val="base text"/>
    <w:uiPriority w:val="99"/>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uiPriority w:val="99"/>
    <w:rsid w:val="000E348C"/>
  </w:style>
  <w:style w:type="character" w:customStyle="1" w:styleId="apple-converted-space">
    <w:name w:val="apple-converted-space"/>
    <w:uiPriority w:val="99"/>
    <w:rsid w:val="000E348C"/>
  </w:style>
  <w:style w:type="paragraph" w:customStyle="1" w:styleId="Paraststmeklis1">
    <w:name w:val="Parasts (tīmeklis)1"/>
    <w:basedOn w:val="Parasts1"/>
    <w:uiPriority w:val="99"/>
    <w:rsid w:val="00C97A84"/>
    <w:pPr>
      <w:spacing w:before="100" w:beforeAutospacing="1" w:after="100" w:afterAutospacing="1"/>
    </w:pPr>
  </w:style>
  <w:style w:type="paragraph" w:customStyle="1" w:styleId="ListParagraph1">
    <w:name w:val="List Paragraph1"/>
    <w:basedOn w:val="Parasts1"/>
    <w:uiPriority w:val="99"/>
    <w:rsid w:val="00BB573A"/>
    <w:pPr>
      <w:ind w:left="720"/>
    </w:pPr>
    <w:rPr>
      <w:rFonts w:ascii="Calibri" w:hAnsi="Calibri"/>
      <w:sz w:val="22"/>
      <w:szCs w:val="22"/>
    </w:rPr>
  </w:style>
  <w:style w:type="character" w:styleId="Izteiksmgs">
    <w:name w:val="Strong"/>
    <w:uiPriority w:val="99"/>
    <w:qFormat/>
    <w:rsid w:val="0024755C"/>
    <w:rPr>
      <w:rFonts w:cs="Times New Roman"/>
      <w:b/>
    </w:rPr>
  </w:style>
  <w:style w:type="paragraph" w:styleId="Vienkrsteksts">
    <w:name w:val="Plain Text"/>
    <w:basedOn w:val="Parasts1"/>
    <w:link w:val="VienkrstekstsRakstz"/>
    <w:uiPriority w:val="99"/>
    <w:rsid w:val="00715516"/>
    <w:rPr>
      <w:rFonts w:ascii="Courier New" w:hAnsi="Courier New"/>
      <w:sz w:val="20"/>
      <w:szCs w:val="20"/>
    </w:rPr>
  </w:style>
  <w:style w:type="character" w:customStyle="1" w:styleId="VienkrstekstsRakstz">
    <w:name w:val="Vienkāršs teksts Rakstz."/>
    <w:link w:val="Vienkrsteksts"/>
    <w:uiPriority w:val="99"/>
    <w:semiHidden/>
    <w:locked/>
    <w:rsid w:val="00B7568C"/>
    <w:rPr>
      <w:rFonts w:ascii="Courier New" w:hAnsi="Courier New"/>
      <w:sz w:val="20"/>
    </w:rPr>
  </w:style>
  <w:style w:type="paragraph" w:styleId="Pamattekstaatkpe2">
    <w:name w:val="Body Text Indent 2"/>
    <w:basedOn w:val="Parasts1"/>
    <w:link w:val="Pamattekstaatkpe2Rakstz"/>
    <w:uiPriority w:val="99"/>
    <w:rsid w:val="00191370"/>
    <w:pPr>
      <w:ind w:firstLine="435"/>
      <w:jc w:val="both"/>
    </w:pPr>
    <w:rPr>
      <w:szCs w:val="20"/>
      <w:lang w:eastAsia="en-US"/>
    </w:rPr>
  </w:style>
  <w:style w:type="character" w:customStyle="1" w:styleId="Pamattekstaatkpe2Rakstz">
    <w:name w:val="Pamatteksta atkāpe 2 Rakstz."/>
    <w:link w:val="Pamattekstaatkpe2"/>
    <w:uiPriority w:val="99"/>
    <w:locked/>
    <w:rsid w:val="00191370"/>
    <w:rPr>
      <w:sz w:val="24"/>
      <w:lang w:eastAsia="en-US"/>
    </w:rPr>
  </w:style>
  <w:style w:type="paragraph" w:styleId="Bezatstarpm">
    <w:name w:val="No Spacing"/>
    <w:uiPriority w:val="99"/>
    <w:qFormat/>
    <w:rsid w:val="000A7D33"/>
    <w:rPr>
      <w:sz w:val="24"/>
      <w:szCs w:val="24"/>
    </w:rPr>
  </w:style>
  <w:style w:type="paragraph" w:customStyle="1" w:styleId="Default">
    <w:name w:val="Default"/>
    <w:uiPriority w:val="99"/>
    <w:rsid w:val="00601DD8"/>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601DD8"/>
    <w:rPr>
      <w:rFonts w:cs="Times New Roman"/>
      <w:color w:val="auto"/>
    </w:rPr>
  </w:style>
  <w:style w:type="paragraph" w:customStyle="1" w:styleId="naispant">
    <w:name w:val="naispant"/>
    <w:basedOn w:val="Parasts1"/>
    <w:uiPriority w:val="99"/>
    <w:rsid w:val="008421B8"/>
    <w:pPr>
      <w:spacing w:before="75" w:after="75"/>
      <w:ind w:left="375" w:firstLine="375"/>
      <w:jc w:val="both"/>
    </w:pPr>
    <w:rPr>
      <w:b/>
      <w:bCs/>
    </w:rPr>
  </w:style>
</w:styles>
</file>

<file path=word/webSettings.xml><?xml version="1.0" encoding="utf-8"?>
<w:webSettings xmlns:r="http://schemas.openxmlformats.org/officeDocument/2006/relationships" xmlns:w="http://schemas.openxmlformats.org/wordprocessingml/2006/main">
  <w:divs>
    <w:div w:id="7022472">
      <w:marLeft w:val="0"/>
      <w:marRight w:val="0"/>
      <w:marTop w:val="0"/>
      <w:marBottom w:val="0"/>
      <w:divBdr>
        <w:top w:val="none" w:sz="0" w:space="0" w:color="auto"/>
        <w:left w:val="none" w:sz="0" w:space="0" w:color="auto"/>
        <w:bottom w:val="none" w:sz="0" w:space="0" w:color="auto"/>
        <w:right w:val="none" w:sz="0" w:space="0" w:color="auto"/>
      </w:divBdr>
    </w:div>
    <w:div w:id="7022473">
      <w:marLeft w:val="0"/>
      <w:marRight w:val="0"/>
      <w:marTop w:val="0"/>
      <w:marBottom w:val="0"/>
      <w:divBdr>
        <w:top w:val="none" w:sz="0" w:space="0" w:color="auto"/>
        <w:left w:val="none" w:sz="0" w:space="0" w:color="auto"/>
        <w:bottom w:val="none" w:sz="0" w:space="0" w:color="auto"/>
        <w:right w:val="none" w:sz="0" w:space="0" w:color="auto"/>
      </w:divBdr>
    </w:div>
    <w:div w:id="7022474">
      <w:marLeft w:val="0"/>
      <w:marRight w:val="0"/>
      <w:marTop w:val="0"/>
      <w:marBottom w:val="0"/>
      <w:divBdr>
        <w:top w:val="none" w:sz="0" w:space="0" w:color="auto"/>
        <w:left w:val="none" w:sz="0" w:space="0" w:color="auto"/>
        <w:bottom w:val="none" w:sz="0" w:space="0" w:color="auto"/>
        <w:right w:val="none" w:sz="0" w:space="0" w:color="auto"/>
      </w:divBdr>
    </w:div>
    <w:div w:id="7022476">
      <w:marLeft w:val="0"/>
      <w:marRight w:val="0"/>
      <w:marTop w:val="0"/>
      <w:marBottom w:val="0"/>
      <w:divBdr>
        <w:top w:val="none" w:sz="0" w:space="0" w:color="auto"/>
        <w:left w:val="none" w:sz="0" w:space="0" w:color="auto"/>
        <w:bottom w:val="none" w:sz="0" w:space="0" w:color="auto"/>
        <w:right w:val="none" w:sz="0" w:space="0" w:color="auto"/>
      </w:divBdr>
      <w:divsChild>
        <w:div w:id="7022487">
          <w:marLeft w:val="0"/>
          <w:marRight w:val="450"/>
          <w:marTop w:val="0"/>
          <w:marBottom w:val="0"/>
          <w:divBdr>
            <w:top w:val="none" w:sz="0" w:space="0" w:color="auto"/>
            <w:left w:val="none" w:sz="0" w:space="0" w:color="auto"/>
            <w:bottom w:val="none" w:sz="0" w:space="0" w:color="auto"/>
            <w:right w:val="none" w:sz="0" w:space="0" w:color="auto"/>
          </w:divBdr>
          <w:divsChild>
            <w:div w:id="7022475">
              <w:marLeft w:val="0"/>
              <w:marRight w:val="0"/>
              <w:marTop w:val="0"/>
              <w:marBottom w:val="0"/>
              <w:divBdr>
                <w:top w:val="none" w:sz="0" w:space="0" w:color="auto"/>
                <w:left w:val="none" w:sz="0" w:space="0" w:color="auto"/>
                <w:bottom w:val="none" w:sz="0" w:space="0" w:color="auto"/>
                <w:right w:val="none" w:sz="0" w:space="0" w:color="auto"/>
              </w:divBdr>
              <w:divsChild>
                <w:div w:id="7022477">
                  <w:marLeft w:val="0"/>
                  <w:marRight w:val="0"/>
                  <w:marTop w:val="0"/>
                  <w:marBottom w:val="0"/>
                  <w:divBdr>
                    <w:top w:val="none" w:sz="0" w:space="0" w:color="auto"/>
                    <w:left w:val="none" w:sz="0" w:space="0" w:color="auto"/>
                    <w:bottom w:val="none" w:sz="0" w:space="0" w:color="auto"/>
                    <w:right w:val="none" w:sz="0" w:space="0" w:color="auto"/>
                  </w:divBdr>
                  <w:divsChild>
                    <w:div w:id="7022478">
                      <w:marLeft w:val="0"/>
                      <w:marRight w:val="0"/>
                      <w:marTop w:val="0"/>
                      <w:marBottom w:val="0"/>
                      <w:divBdr>
                        <w:top w:val="none" w:sz="0" w:space="0" w:color="auto"/>
                        <w:left w:val="none" w:sz="0" w:space="0" w:color="auto"/>
                        <w:bottom w:val="none" w:sz="0" w:space="0" w:color="auto"/>
                        <w:right w:val="none" w:sz="0" w:space="0" w:color="auto"/>
                      </w:divBdr>
                      <w:divsChild>
                        <w:div w:id="70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480">
      <w:marLeft w:val="0"/>
      <w:marRight w:val="0"/>
      <w:marTop w:val="0"/>
      <w:marBottom w:val="0"/>
      <w:divBdr>
        <w:top w:val="none" w:sz="0" w:space="0" w:color="auto"/>
        <w:left w:val="none" w:sz="0" w:space="0" w:color="auto"/>
        <w:bottom w:val="none" w:sz="0" w:space="0" w:color="auto"/>
        <w:right w:val="none" w:sz="0" w:space="0" w:color="auto"/>
      </w:divBdr>
      <w:divsChild>
        <w:div w:id="7022479">
          <w:marLeft w:val="161"/>
          <w:marRight w:val="161"/>
          <w:marTop w:val="0"/>
          <w:marBottom w:val="54"/>
          <w:divBdr>
            <w:top w:val="single" w:sz="2" w:space="3" w:color="112449"/>
            <w:left w:val="single" w:sz="2" w:space="3" w:color="112449"/>
            <w:bottom w:val="single" w:sz="2" w:space="3" w:color="112449"/>
            <w:right w:val="single" w:sz="2" w:space="3" w:color="112449"/>
          </w:divBdr>
        </w:div>
      </w:divsChild>
    </w:div>
    <w:div w:id="7022482">
      <w:marLeft w:val="0"/>
      <w:marRight w:val="0"/>
      <w:marTop w:val="0"/>
      <w:marBottom w:val="0"/>
      <w:divBdr>
        <w:top w:val="none" w:sz="0" w:space="0" w:color="auto"/>
        <w:left w:val="none" w:sz="0" w:space="0" w:color="auto"/>
        <w:bottom w:val="none" w:sz="0" w:space="0" w:color="auto"/>
        <w:right w:val="none" w:sz="0" w:space="0" w:color="auto"/>
      </w:divBdr>
    </w:div>
    <w:div w:id="7022483">
      <w:marLeft w:val="45"/>
      <w:marRight w:val="45"/>
      <w:marTop w:val="90"/>
      <w:marBottom w:val="90"/>
      <w:divBdr>
        <w:top w:val="none" w:sz="0" w:space="0" w:color="auto"/>
        <w:left w:val="none" w:sz="0" w:space="0" w:color="auto"/>
        <w:bottom w:val="none" w:sz="0" w:space="0" w:color="auto"/>
        <w:right w:val="none" w:sz="0" w:space="0" w:color="auto"/>
      </w:divBdr>
      <w:divsChild>
        <w:div w:id="7022481">
          <w:marLeft w:val="0"/>
          <w:marRight w:val="0"/>
          <w:marTop w:val="0"/>
          <w:marBottom w:val="567"/>
          <w:divBdr>
            <w:top w:val="none" w:sz="0" w:space="0" w:color="auto"/>
            <w:left w:val="none" w:sz="0" w:space="0" w:color="auto"/>
            <w:bottom w:val="none" w:sz="0" w:space="0" w:color="auto"/>
            <w:right w:val="none" w:sz="0" w:space="0" w:color="auto"/>
          </w:divBdr>
        </w:div>
      </w:divsChild>
    </w:div>
    <w:div w:id="7022484">
      <w:marLeft w:val="0"/>
      <w:marRight w:val="0"/>
      <w:marTop w:val="0"/>
      <w:marBottom w:val="0"/>
      <w:divBdr>
        <w:top w:val="none" w:sz="0" w:space="0" w:color="auto"/>
        <w:left w:val="none" w:sz="0" w:space="0" w:color="auto"/>
        <w:bottom w:val="none" w:sz="0" w:space="0" w:color="auto"/>
        <w:right w:val="none" w:sz="0" w:space="0" w:color="auto"/>
      </w:divBdr>
    </w:div>
    <w:div w:id="7022485">
      <w:marLeft w:val="0"/>
      <w:marRight w:val="0"/>
      <w:marTop w:val="0"/>
      <w:marBottom w:val="0"/>
      <w:divBdr>
        <w:top w:val="none" w:sz="0" w:space="0" w:color="auto"/>
        <w:left w:val="none" w:sz="0" w:space="0" w:color="auto"/>
        <w:bottom w:val="none" w:sz="0" w:space="0" w:color="auto"/>
        <w:right w:val="none" w:sz="0" w:space="0" w:color="auto"/>
      </w:divBdr>
    </w:div>
    <w:div w:id="7022488">
      <w:marLeft w:val="0"/>
      <w:marRight w:val="0"/>
      <w:marTop w:val="0"/>
      <w:marBottom w:val="0"/>
      <w:divBdr>
        <w:top w:val="none" w:sz="0" w:space="0" w:color="auto"/>
        <w:left w:val="none" w:sz="0" w:space="0" w:color="auto"/>
        <w:bottom w:val="none" w:sz="0" w:space="0" w:color="auto"/>
        <w:right w:val="none" w:sz="0" w:space="0" w:color="auto"/>
      </w:divBdr>
    </w:div>
    <w:div w:id="7022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2045</Words>
  <Characters>15119</Characters>
  <Application>Microsoft Office Word</Application>
  <DocSecurity>0</DocSecurity>
  <Lines>487</Lines>
  <Paragraphs>209</Paragraphs>
  <ScaleCrop>false</ScaleCrop>
  <HeadingPairs>
    <vt:vector size="2" baseType="variant">
      <vt:variant>
        <vt:lpstr>Nosaukums</vt:lpstr>
      </vt:variant>
      <vt:variant>
        <vt:i4>1</vt:i4>
      </vt:variant>
    </vt:vector>
  </HeadingPairs>
  <TitlesOfParts>
    <vt:vector size="1" baseType="lpstr">
      <vt:lpstr>Likumprojekta „Grozījumi likumā „Ģenētiski modificēto organismu aprites likums”” anotācija</vt:lpstr>
    </vt:vector>
  </TitlesOfParts>
  <Company>EM</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„Ģenētiski modificēto organismu aprites likums”” anotācija</dc:title>
  <dc:subject>Anotācija</dc:subject>
  <dc:creator>Inese Aleksejeva</dc:creator>
  <cp:keywords/>
  <dc:description>Inese.Aleksejeva@zm.gov.lv, 67027069</dc:description>
  <cp:lastModifiedBy>Renārs Žagars</cp:lastModifiedBy>
  <cp:revision>3</cp:revision>
  <cp:lastPrinted>2012-04-03T09:31:00Z</cp:lastPrinted>
  <dcterms:created xsi:type="dcterms:W3CDTF">2013-10-14T08:38:00Z</dcterms:created>
  <dcterms:modified xsi:type="dcterms:W3CDTF">2013-10-14T08:56:00Z</dcterms:modified>
</cp:coreProperties>
</file>