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C6" w:rsidRPr="00296917" w:rsidRDefault="00EA3CC6" w:rsidP="00B15607">
      <w:pPr>
        <w:jc w:val="center"/>
        <w:rPr>
          <w:b/>
          <w:sz w:val="28"/>
          <w:szCs w:val="28"/>
        </w:rPr>
      </w:pPr>
      <w:bookmarkStart w:id="0" w:name="_GoBack"/>
      <w:bookmarkEnd w:id="0"/>
      <w:r w:rsidRPr="00296917">
        <w:rPr>
          <w:b/>
          <w:sz w:val="28"/>
          <w:szCs w:val="28"/>
        </w:rPr>
        <w:t>Ministru kabineta noteikumu projekta</w:t>
      </w:r>
    </w:p>
    <w:p w:rsidR="00EA3CC6" w:rsidRPr="00296917" w:rsidRDefault="00EA3CC6" w:rsidP="00B15607">
      <w:pPr>
        <w:jc w:val="center"/>
        <w:rPr>
          <w:b/>
          <w:bCs/>
          <w:sz w:val="28"/>
          <w:szCs w:val="28"/>
        </w:rPr>
      </w:pPr>
      <w:r w:rsidRPr="00296917">
        <w:rPr>
          <w:b/>
          <w:bCs/>
          <w:sz w:val="28"/>
          <w:szCs w:val="28"/>
        </w:rPr>
        <w:t>„Grozījumi Ministru kabineta 2011.gada 1.marta noteikumos Nr.163 „Noteikumi par Valsts augu aizsardzības dienesta sniegto maksas pakalpojumu cenrādi””</w:t>
      </w:r>
    </w:p>
    <w:p w:rsidR="00EA3CC6" w:rsidRPr="00296917" w:rsidRDefault="00EA3CC6" w:rsidP="00B15607">
      <w:pPr>
        <w:jc w:val="center"/>
        <w:rPr>
          <w:b/>
          <w:sz w:val="28"/>
          <w:szCs w:val="28"/>
        </w:rPr>
      </w:pPr>
      <w:r w:rsidRPr="00296917">
        <w:rPr>
          <w:b/>
          <w:sz w:val="28"/>
          <w:szCs w:val="28"/>
        </w:rPr>
        <w:t xml:space="preserve">sākotnējās ietekmes novērtējuma </w:t>
      </w:r>
      <w:smartTag w:uri="schemas-tilde-lv/tildestengine" w:element="veidnes">
        <w:smartTagPr>
          <w:attr w:name="text" w:val="ziņojums"/>
          <w:attr w:name="baseform" w:val="ziņojums"/>
          <w:attr w:name="id" w:val="-1"/>
        </w:smartTagPr>
        <w:r w:rsidRPr="00296917">
          <w:rPr>
            <w:b/>
            <w:sz w:val="28"/>
            <w:szCs w:val="28"/>
          </w:rPr>
          <w:t>ziņojums</w:t>
        </w:r>
      </w:smartTag>
      <w:r w:rsidRPr="00296917">
        <w:rPr>
          <w:b/>
          <w:sz w:val="28"/>
          <w:szCs w:val="28"/>
        </w:rPr>
        <w:t xml:space="preserve"> (anotācija)</w:t>
      </w:r>
    </w:p>
    <w:p w:rsidR="00EA3CC6" w:rsidRPr="00296917" w:rsidRDefault="00EA3CC6" w:rsidP="00B15607">
      <w:pPr>
        <w:jc w:val="center"/>
        <w:rPr>
          <w:b/>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779"/>
      </w:tblGrid>
      <w:tr w:rsidR="00EA3CC6" w:rsidRPr="00296917" w:rsidTr="000C295D">
        <w:tc>
          <w:tcPr>
            <w:tcW w:w="9644" w:type="dxa"/>
            <w:gridSpan w:val="3"/>
            <w:vAlign w:val="center"/>
          </w:tcPr>
          <w:p w:rsidR="00EA3CC6" w:rsidRPr="00296917" w:rsidRDefault="00EA3CC6" w:rsidP="000C295D">
            <w:pPr>
              <w:pStyle w:val="naisnod"/>
              <w:spacing w:before="0" w:after="0"/>
            </w:pPr>
            <w:r w:rsidRPr="00296917">
              <w:t>I. Tiesību akta projekta izstrādes nepieciešamība</w:t>
            </w:r>
          </w:p>
        </w:tc>
      </w:tr>
      <w:tr w:rsidR="00EA3CC6" w:rsidRPr="00296917" w:rsidTr="000C295D">
        <w:trPr>
          <w:trHeight w:val="630"/>
        </w:trPr>
        <w:tc>
          <w:tcPr>
            <w:tcW w:w="550" w:type="dxa"/>
          </w:tcPr>
          <w:p w:rsidR="00EA3CC6" w:rsidRPr="00296917" w:rsidRDefault="00EA3CC6" w:rsidP="000C295D">
            <w:pPr>
              <w:pStyle w:val="naiskr"/>
              <w:spacing w:before="0" w:after="0"/>
            </w:pPr>
            <w:r w:rsidRPr="00296917">
              <w:rPr>
                <w:sz w:val="22"/>
                <w:szCs w:val="22"/>
              </w:rPr>
              <w:t>1.</w:t>
            </w:r>
          </w:p>
        </w:tc>
        <w:tc>
          <w:tcPr>
            <w:tcW w:w="4315" w:type="dxa"/>
          </w:tcPr>
          <w:p w:rsidR="00EA3CC6" w:rsidRPr="00296917" w:rsidRDefault="00EA3CC6" w:rsidP="000C295D">
            <w:pPr>
              <w:pStyle w:val="naiskr"/>
              <w:spacing w:before="0" w:after="0"/>
              <w:ind w:hanging="10"/>
            </w:pPr>
            <w:r w:rsidRPr="00296917">
              <w:rPr>
                <w:sz w:val="22"/>
                <w:szCs w:val="22"/>
              </w:rPr>
              <w:t>Pamatojums</w:t>
            </w:r>
          </w:p>
        </w:tc>
        <w:tc>
          <w:tcPr>
            <w:tcW w:w="4779" w:type="dxa"/>
          </w:tcPr>
          <w:p w:rsidR="00EA3CC6" w:rsidRPr="00AE13D8" w:rsidRDefault="00EA3CC6" w:rsidP="00DA317D">
            <w:pPr>
              <w:pStyle w:val="ParastaisWeb"/>
              <w:spacing w:before="0" w:after="0"/>
              <w:jc w:val="both"/>
              <w:rPr>
                <w:noProof w:val="0"/>
                <w:szCs w:val="24"/>
                <w:lang w:val="lv-LV"/>
              </w:rPr>
            </w:pPr>
            <w:r w:rsidRPr="00AE13D8">
              <w:rPr>
                <w:lang w:val="lv-LV"/>
              </w:rPr>
              <w:t>Likuma par budžetu un finanšu vadību 5.panta devītā daļa</w:t>
            </w:r>
            <w:r w:rsidRPr="00AE13D8">
              <w:rPr>
                <w:sz w:val="22"/>
                <w:szCs w:val="22"/>
                <w:lang w:val="lv-LV"/>
              </w:rPr>
              <w:t>.</w:t>
            </w:r>
          </w:p>
        </w:tc>
      </w:tr>
      <w:tr w:rsidR="00EA3CC6" w:rsidRPr="00296917" w:rsidTr="000C295D">
        <w:trPr>
          <w:trHeight w:val="472"/>
        </w:trPr>
        <w:tc>
          <w:tcPr>
            <w:tcW w:w="550" w:type="dxa"/>
          </w:tcPr>
          <w:p w:rsidR="00EA3CC6" w:rsidRPr="00296917" w:rsidRDefault="00EA3CC6" w:rsidP="000C295D">
            <w:pPr>
              <w:pStyle w:val="naiskr"/>
              <w:spacing w:before="0" w:after="0"/>
            </w:pPr>
            <w:r w:rsidRPr="00296917">
              <w:rPr>
                <w:sz w:val="22"/>
                <w:szCs w:val="22"/>
              </w:rPr>
              <w:t>2.</w:t>
            </w:r>
          </w:p>
        </w:tc>
        <w:tc>
          <w:tcPr>
            <w:tcW w:w="4315" w:type="dxa"/>
          </w:tcPr>
          <w:p w:rsidR="00EA3CC6" w:rsidRPr="00296917" w:rsidRDefault="00EA3CC6" w:rsidP="000C295D">
            <w:pPr>
              <w:pStyle w:val="naiskr"/>
              <w:tabs>
                <w:tab w:val="left" w:pos="170"/>
              </w:tabs>
              <w:spacing w:before="0" w:after="0"/>
            </w:pPr>
            <w:r w:rsidRPr="00296917">
              <w:rPr>
                <w:sz w:val="22"/>
                <w:szCs w:val="22"/>
              </w:rPr>
              <w:t>Pašreizējā situācija un problēmas</w:t>
            </w:r>
          </w:p>
          <w:p w:rsidR="00EA3CC6" w:rsidRPr="00296917" w:rsidRDefault="00EA3CC6" w:rsidP="000C295D">
            <w:pPr>
              <w:pStyle w:val="naiskr"/>
              <w:tabs>
                <w:tab w:val="left" w:pos="170"/>
              </w:tabs>
              <w:spacing w:before="0" w:after="0"/>
            </w:pPr>
          </w:p>
          <w:p w:rsidR="00EA3CC6" w:rsidRPr="00296917" w:rsidRDefault="00EA3CC6" w:rsidP="000C295D">
            <w:pPr>
              <w:pStyle w:val="naiskr"/>
              <w:tabs>
                <w:tab w:val="left" w:pos="170"/>
              </w:tabs>
              <w:spacing w:before="0" w:after="0"/>
            </w:pPr>
          </w:p>
          <w:p w:rsidR="00EA3CC6" w:rsidRPr="00296917" w:rsidRDefault="00EA3CC6" w:rsidP="000C295D">
            <w:pPr>
              <w:pStyle w:val="naiskr"/>
              <w:tabs>
                <w:tab w:val="left" w:pos="170"/>
              </w:tabs>
              <w:spacing w:before="0" w:after="0"/>
            </w:pPr>
          </w:p>
          <w:p w:rsidR="00EA3CC6" w:rsidRPr="00296917" w:rsidRDefault="00EA3CC6" w:rsidP="000C295D">
            <w:pPr>
              <w:pStyle w:val="naiskr"/>
              <w:tabs>
                <w:tab w:val="left" w:pos="170"/>
              </w:tabs>
              <w:spacing w:before="0" w:after="0"/>
            </w:pPr>
          </w:p>
        </w:tc>
        <w:tc>
          <w:tcPr>
            <w:tcW w:w="4779" w:type="dxa"/>
          </w:tcPr>
          <w:p w:rsidR="00EA3CC6" w:rsidRPr="00296917" w:rsidRDefault="00EA3CC6" w:rsidP="0073587A">
            <w:pPr>
              <w:ind w:firstLine="385"/>
              <w:jc w:val="both"/>
              <w:rPr>
                <w:b/>
                <w:bCs/>
                <w:sz w:val="28"/>
                <w:szCs w:val="28"/>
              </w:rPr>
            </w:pPr>
            <w:r w:rsidRPr="00296917">
              <w:rPr>
                <w:iCs/>
              </w:rPr>
              <w:t>Patlaban ir spēkā Ministru kabineta 2011.gada 1.marta noteikumi Nr.163 „</w:t>
            </w:r>
            <w:r w:rsidRPr="00296917">
              <w:rPr>
                <w:bCs/>
              </w:rPr>
              <w:t xml:space="preserve">Noteikumi par Valsts augu aizsardzības dienesta sniegto maksas pakalpojumu cenrādi” (turpmāk –noteikumi Nr.163). </w:t>
            </w:r>
            <w:r w:rsidRPr="00296917">
              <w:t>2009.gada 21.oktobrī tika pieņemta Eiropas Parlamenta un Padomes Regula Nr.1107/2009 par augu aizsardzības līdzekļu laišanu tirgū, ar ko atceļ Padomes Direktīvas 79/117/EK un 91/414/EK (turpmāk – Regula).</w:t>
            </w:r>
          </w:p>
          <w:p w:rsidR="00EA3CC6" w:rsidRPr="00296917" w:rsidRDefault="00EA3CC6" w:rsidP="00B15607">
            <w:pPr>
              <w:autoSpaceDE w:val="0"/>
              <w:autoSpaceDN w:val="0"/>
              <w:jc w:val="both"/>
              <w:rPr>
                <w:rFonts w:ascii="TimesNewRomanPSMT" w:hAnsi="TimesNewRomanPSMT"/>
              </w:rPr>
            </w:pPr>
            <w:r w:rsidRPr="00296917">
              <w:rPr>
                <w:rFonts w:ascii="TimesNewRomanPSMT" w:hAnsi="TimesNewRomanPSMT"/>
              </w:rPr>
              <w:t xml:space="preserve">Ar 2012.gada 1.janvāri spēku zaudēja noteikumu </w:t>
            </w:r>
            <w:r w:rsidRPr="00296917">
              <w:rPr>
                <w:bCs/>
              </w:rPr>
              <w:t xml:space="preserve">Nr.163 </w:t>
            </w:r>
            <w:r w:rsidRPr="00296917">
              <w:rPr>
                <w:rFonts w:ascii="TimesNewRomanPSMT" w:hAnsi="TimesNewRomanPSMT"/>
              </w:rPr>
              <w:t xml:space="preserve">pielikuma 36.punkts </w:t>
            </w:r>
            <w:r w:rsidRPr="00296917">
              <w:t>– Novērtējuma sagatavošana par reģistrēta augu aizsardzības līdzekļa atbilstību reģistrācijas nosacījumiem pēc tā sastāvā esošās darbīgās vielas iekļaušanas Eiropas Kopienā reģistrēto darbīgo vielu sarakstā (turpmāk – novērtējuma sagatavošana).</w:t>
            </w:r>
          </w:p>
          <w:p w:rsidR="00EA3CC6" w:rsidRPr="00296917" w:rsidRDefault="00EA3CC6" w:rsidP="00B15607">
            <w:pPr>
              <w:autoSpaceDE w:val="0"/>
              <w:autoSpaceDN w:val="0"/>
              <w:jc w:val="both"/>
            </w:pPr>
            <w:r w:rsidRPr="00296917">
              <w:rPr>
                <w:rFonts w:ascii="TimesNewRomanPSMT" w:hAnsi="TimesNewRomanPSMT"/>
              </w:rPr>
              <w:t xml:space="preserve">Tomēr Valsts augu aizsardzības dienestā (turpmāk – dienests) turpinās to iesniegumu izskatīšana, kas saņemti līdz 2011.gada 14.jūnijam, un ir nepieciešamība pabeigt augu aizsardzības līdzekļu atkārtotu novērtēšanu pēc tā sastāvā esošās darbīgās vielas iekļaušanas Eiropas Kopienā reģistrēto darbīgo vielu sarakstā saskaņā ar iepriekšējo procedūru, kas noteikta </w:t>
            </w:r>
            <w:r w:rsidRPr="00296917">
              <w:t>Padomes 1991.gada 15.jūlija Direktīvā 91/414/EEK par augu aizsardzības līdzekļu laišanu tirgū</w:t>
            </w:r>
            <w:r w:rsidRPr="00296917">
              <w:rPr>
                <w:rFonts w:ascii="TimesNewRomanPSMT" w:hAnsi="TimesNewRomanPSMT"/>
              </w:rPr>
              <w:t xml:space="preserve">. (Sāktie novērtējumi tiek turpināti, tāpēc tie jāpabeidz saskaņā ar iepriekš noteikto procedūru.) Iesniegumiem, kas saņemti līdz 2011.gada 14.jūnijam, būtu jāpiemēro izcenojums, kas bija spēkā līdz 2012.gada 1.janvārim. Tomēr dienesta Kultūraugu valsts uzraudzības informācijas sistēma tehniski nepieļauj tādu rēķinu izrakstīšanu, kuros iekļautas pozīcijas, kas vairs nav aktuālajā noteikumu </w:t>
            </w:r>
            <w:r w:rsidRPr="00296917">
              <w:rPr>
                <w:bCs/>
              </w:rPr>
              <w:t>Nr.163 redakcijā. Lai novērstu šo nepilnību un būtu iespējama rēķinu izrakstīšana saskaņā ar iepriekšējo izcenojumu</w:t>
            </w:r>
            <w:r w:rsidRPr="00296917">
              <w:rPr>
                <w:rFonts w:ascii="TimesNewRomanPSMT" w:hAnsi="TimesNewRomanPSMT"/>
              </w:rPr>
              <w:t xml:space="preserve">, noteikumu </w:t>
            </w:r>
            <w:r w:rsidRPr="00296917">
              <w:rPr>
                <w:bCs/>
              </w:rPr>
              <w:lastRenderedPageBreak/>
              <w:t xml:space="preserve">Nr.163 </w:t>
            </w:r>
            <w:r w:rsidRPr="00296917">
              <w:rPr>
                <w:rFonts w:ascii="TimesNewRomanPSMT" w:hAnsi="TimesNewRomanPSMT"/>
              </w:rPr>
              <w:t>pielikums jāpapildina ar 106.punktu, paredzot samaksu par tādu novērtējumu sagatavošanu, kas tika pieteikti līdz 2011.gada 14.jūnijam, jo attiecībā uz tiem vēl joprojām darbojas iepriekšējā novērtējuma procedūra.</w:t>
            </w:r>
            <w:r>
              <w:rPr>
                <w:rFonts w:ascii="TimesNewRomanPSMT" w:hAnsi="TimesNewRomanPSMT"/>
              </w:rPr>
              <w:t xml:space="preserve"> </w:t>
            </w:r>
            <w:r w:rsidRPr="00296917">
              <w:t xml:space="preserve">Noteikumu </w:t>
            </w:r>
            <w:r w:rsidRPr="00296917">
              <w:rPr>
                <w:bCs/>
              </w:rPr>
              <w:t xml:space="preserve">Nr.163 </w:t>
            </w:r>
            <w:r w:rsidRPr="00296917">
              <w:t xml:space="preserve">pielikums jāpapildina ar jauniem maksas pakalpojumiem, </w:t>
            </w:r>
            <w:r>
              <w:t>ņemot vērā</w:t>
            </w:r>
            <w:r w:rsidRPr="00296917">
              <w:t xml:space="preserve"> t</w:t>
            </w:r>
            <w:r>
              <w:t>urpmāk</w:t>
            </w:r>
            <w:r w:rsidRPr="00296917">
              <w:t xml:space="preserve"> minēto normatīvo aktu pieņemšanu:</w:t>
            </w:r>
          </w:p>
          <w:p w:rsidR="00EA3CC6" w:rsidRPr="00296917" w:rsidRDefault="00EA3CC6" w:rsidP="000C295D">
            <w:pPr>
              <w:autoSpaceDE w:val="0"/>
              <w:autoSpaceDN w:val="0"/>
              <w:rPr>
                <w:rFonts w:ascii="TimesNewRomanPSMT" w:hAnsi="TimesNewRomanPSMT"/>
              </w:rPr>
            </w:pPr>
          </w:p>
          <w:p w:rsidR="00EA3CC6" w:rsidRPr="00296917" w:rsidRDefault="00EA3CC6" w:rsidP="00543F3C">
            <w:pPr>
              <w:numPr>
                <w:ilvl w:val="0"/>
                <w:numId w:val="4"/>
              </w:numPr>
              <w:ind w:left="102" w:firstLine="425"/>
              <w:jc w:val="both"/>
            </w:pPr>
            <w:r w:rsidRPr="00296917">
              <w:t>2009.gada 21.oktobrī tika pieņemta Eiropas Parlamenta un Padomes Direktīva 2009/128/EK, ar kuru nosaka Kopienas sistēmu pesticīdu ilgtspējīgas lietošanas nodrošināšanai (turpmāk – Direktīva 2009/128/EK). Direktīva 2009/128/EK bija jāievieš līdz 2011.gada 29.novembrim, bet dažas prasības ieviešamas vēlāk. Direktīvas 2009/128/EK pārņemšanai 2011.gada 13.decembrī ir pieņemti Ministru kabineta noteikumi Nr.950 „</w:t>
            </w:r>
            <w:r w:rsidRPr="00296917">
              <w:rPr>
                <w:bCs/>
              </w:rPr>
              <w:t>Augu aizsardzības līdzekļu lietošanas noteikumi</w:t>
            </w:r>
            <w:r w:rsidRPr="00296917">
              <w:t>” (turpmāk</w:t>
            </w:r>
            <w:r>
              <w:t xml:space="preserve"> –</w:t>
            </w:r>
            <w:r w:rsidRPr="00296917">
              <w:t xml:space="preserve"> noteikumi Nr. 950). Noteikumi Nr.950, ievērojot Direktīvā 2009/128/EK minēto,</w:t>
            </w:r>
            <w:r>
              <w:t xml:space="preserve"> </w:t>
            </w:r>
            <w:r w:rsidRPr="00296917">
              <w:t>reglamentē arī nosacījumus augu aizsardzības līdzekļu izsmidzināšanai no gaisa. Lai atļautu augu aizsardzības līdzekļa izsmidzināšanu no gaisa, ir sagatavo</w:t>
            </w:r>
            <w:r>
              <w:t>jams</w:t>
            </w:r>
            <w:r w:rsidRPr="00296917">
              <w:t xml:space="preserve"> dienesta novērtējum</w:t>
            </w:r>
            <w:r>
              <w:t>s</w:t>
            </w:r>
            <w:r w:rsidRPr="00296917">
              <w:t xml:space="preserve">. Saskaņā ar </w:t>
            </w:r>
            <w:r>
              <w:t>n</w:t>
            </w:r>
            <w:r w:rsidRPr="00296917">
              <w:t xml:space="preserve">oteikumu </w:t>
            </w:r>
            <w:r>
              <w:t>N</w:t>
            </w:r>
            <w:r w:rsidRPr="00296917">
              <w:t>r.950 prasībām tas ir maksas pakalpojums.</w:t>
            </w:r>
          </w:p>
          <w:p w:rsidR="00EA3CC6" w:rsidRPr="00296917" w:rsidRDefault="00EA3CC6" w:rsidP="00543F3C">
            <w:pPr>
              <w:ind w:left="720"/>
              <w:jc w:val="both"/>
              <w:rPr>
                <w:bCs/>
              </w:rPr>
            </w:pPr>
          </w:p>
          <w:p w:rsidR="00EA3CC6" w:rsidRPr="00296917" w:rsidRDefault="00EA3CC6" w:rsidP="0073587A">
            <w:pPr>
              <w:ind w:left="102"/>
              <w:jc w:val="both"/>
              <w:rPr>
                <w:rFonts w:ascii="Verdana" w:hAnsi="Verdana"/>
                <w:sz w:val="18"/>
                <w:szCs w:val="18"/>
              </w:rPr>
            </w:pPr>
            <w:r w:rsidRPr="00296917">
              <w:rPr>
                <w:bCs/>
              </w:rPr>
              <w:t xml:space="preserve">2. 2011.gada 22.novembrī ir pieņemti Ministru kabineta noteikumi Nr.899 ”Noteikumi par lopbarības augu sēklu maisījumiem, kas paredzēti dabiskās vides saglabāšanai”, </w:t>
            </w:r>
            <w:r>
              <w:rPr>
                <w:bCs/>
              </w:rPr>
              <w:t xml:space="preserve">kas </w:t>
            </w:r>
            <w:r w:rsidRPr="00296917">
              <w:rPr>
                <w:bCs/>
              </w:rPr>
              <w:t>paredz, ka Valsts augu aizsardzības dienests</w:t>
            </w:r>
            <w:r w:rsidRPr="00296917">
              <w:t xml:space="preserve"> sagatavo novērtējumu lēmuma pieņemšanai par atļauju tirgot sēklu maisījumu dabiskās vides saglabāšanai. Noteikumi Nr.163 papildināti ar šo pakalpojuma veidu.</w:t>
            </w:r>
          </w:p>
          <w:p w:rsidR="00EA3CC6" w:rsidRPr="00296917" w:rsidRDefault="00EA3CC6" w:rsidP="0073587A">
            <w:pPr>
              <w:jc w:val="both"/>
              <w:rPr>
                <w:rFonts w:ascii="Verdana" w:hAnsi="Verdana"/>
                <w:sz w:val="18"/>
                <w:szCs w:val="18"/>
              </w:rPr>
            </w:pPr>
          </w:p>
          <w:p w:rsidR="00EA3CC6" w:rsidRPr="00296917" w:rsidRDefault="00EA3CC6" w:rsidP="0073587A">
            <w:pPr>
              <w:jc w:val="both"/>
              <w:rPr>
                <w:bCs/>
              </w:rPr>
            </w:pPr>
            <w:r w:rsidRPr="00296917">
              <w:rPr>
                <w:bCs/>
              </w:rPr>
              <w:t>3. Saskaņā ar Augu aizsardzības likuma 5.panta 24.punktu ir sagatavots Ministru kabineta noteikumu projekts „Noteikumi par fitosanitāriem pasākumiem un to piemērošanas kārtību koksnes iepakojamajam materiālam”, kas paredz dienestam jaunus uzdevumus, kuru izdevumi tiks segti no maksas pakalpojumiem:</w:t>
            </w:r>
          </w:p>
          <w:p w:rsidR="00EA3CC6" w:rsidRPr="00296917" w:rsidRDefault="00EA3CC6" w:rsidP="00382B1E">
            <w:pPr>
              <w:pStyle w:val="Sarakstarindkopa"/>
              <w:rPr>
                <w:iCs/>
                <w:sz w:val="22"/>
                <w:szCs w:val="22"/>
              </w:rPr>
            </w:pPr>
          </w:p>
          <w:p w:rsidR="00EA3CC6" w:rsidRPr="00296917" w:rsidRDefault="00EA3CC6" w:rsidP="00382B1E">
            <w:pPr>
              <w:pStyle w:val="Sarakstarindkopa"/>
              <w:numPr>
                <w:ilvl w:val="0"/>
                <w:numId w:val="3"/>
              </w:numPr>
              <w:jc w:val="both"/>
              <w:rPr>
                <w:bCs/>
                <w:sz w:val="24"/>
                <w:szCs w:val="24"/>
              </w:rPr>
            </w:pPr>
            <w:r w:rsidRPr="00296917">
              <w:rPr>
                <w:iCs/>
                <w:sz w:val="24"/>
                <w:szCs w:val="24"/>
              </w:rPr>
              <w:t xml:space="preserve">novērtējuma sagatavošana par juridiskas personas atbilstību noteiktiem kritērijiem un lēmuma pieņemšana par atļauju veikt uzņēmumu sertifikāciju termiskai </w:t>
            </w:r>
            <w:r w:rsidRPr="00296917">
              <w:rPr>
                <w:iCs/>
                <w:sz w:val="24"/>
                <w:szCs w:val="24"/>
              </w:rPr>
              <w:lastRenderedPageBreak/>
              <w:t>apstrādei;</w:t>
            </w:r>
          </w:p>
          <w:p w:rsidR="00EA3CC6" w:rsidRPr="00296917" w:rsidRDefault="00EA3CC6" w:rsidP="00382B1E">
            <w:pPr>
              <w:pStyle w:val="Sarakstarindkopa"/>
              <w:numPr>
                <w:ilvl w:val="0"/>
                <w:numId w:val="3"/>
              </w:numPr>
              <w:jc w:val="both"/>
              <w:rPr>
                <w:bCs/>
                <w:sz w:val="24"/>
                <w:szCs w:val="24"/>
              </w:rPr>
            </w:pPr>
            <w:r w:rsidRPr="00296917">
              <w:rPr>
                <w:iCs/>
                <w:sz w:val="24"/>
                <w:szCs w:val="24"/>
              </w:rPr>
              <w:t>sertifikācijas institūcijas ikgadējā pārbaude, lai novērtētu tās atbilstību sertifikācijas veikšanas prasībām;</w:t>
            </w:r>
          </w:p>
          <w:p w:rsidR="00EA3CC6" w:rsidRPr="00296917" w:rsidRDefault="00EA3CC6" w:rsidP="00382B1E">
            <w:pPr>
              <w:pStyle w:val="Sarakstarindkopa"/>
              <w:numPr>
                <w:ilvl w:val="0"/>
                <w:numId w:val="3"/>
              </w:numPr>
              <w:jc w:val="both"/>
              <w:rPr>
                <w:bCs/>
                <w:sz w:val="24"/>
                <w:szCs w:val="24"/>
              </w:rPr>
            </w:pPr>
            <w:r w:rsidRPr="00296917">
              <w:rPr>
                <w:iCs/>
                <w:sz w:val="24"/>
                <w:szCs w:val="24"/>
              </w:rPr>
              <w:t>Koksnes iepakojamā materiāla marķētāju reģistrā reģistrētu personu uzņēmuma pārbaude, lai novērtētu tā atbilstību darbības veida prasībām.</w:t>
            </w:r>
          </w:p>
          <w:p w:rsidR="00EA3CC6" w:rsidRPr="00296917" w:rsidRDefault="00EA3CC6" w:rsidP="007F68CF">
            <w:pPr>
              <w:ind w:left="360"/>
              <w:jc w:val="both"/>
              <w:rPr>
                <w:bCs/>
              </w:rPr>
            </w:pPr>
            <w:r w:rsidRPr="00296917">
              <w:t>Noteikumi Nr.163 papildināti ar šiem pakalpojuma veidiem.</w:t>
            </w:r>
          </w:p>
          <w:p w:rsidR="00EA3CC6" w:rsidRPr="00296917" w:rsidRDefault="00EA3CC6" w:rsidP="00C13F9C">
            <w:pPr>
              <w:pStyle w:val="naisf"/>
              <w:ind w:right="99" w:firstLine="0"/>
            </w:pPr>
            <w:r w:rsidRPr="00296917">
              <w:t>4. Pamatojoties uz Augu aizsardzības likuma 5.panta 20.punktu, ir sagatavots M</w:t>
            </w:r>
            <w:r w:rsidRPr="00296917">
              <w:rPr>
                <w:rStyle w:val="Izteiksmgs"/>
                <w:b w:val="0"/>
                <w:bCs/>
              </w:rPr>
              <w:t>inistru kabineta noteikumu projekts</w:t>
            </w:r>
            <w:r w:rsidRPr="00296917">
              <w:rPr>
                <w:rStyle w:val="Izteiksmgs"/>
                <w:bCs/>
              </w:rPr>
              <w:t xml:space="preserve"> „</w:t>
            </w:r>
            <w:r w:rsidRPr="00296917">
              <w:t>Kārtība, kādā Valsts augu aizsardzības dienests veic references laboratorijas funkcijas augu karantīnas organismu un augiem sevišķi bīstamu organismu laboratoriskajā diagnostikā”.</w:t>
            </w:r>
          </w:p>
          <w:p w:rsidR="00EA3CC6" w:rsidRPr="00296917" w:rsidRDefault="00EA3CC6" w:rsidP="007F68CF">
            <w:pPr>
              <w:jc w:val="both"/>
              <w:rPr>
                <w:bCs/>
              </w:rPr>
            </w:pPr>
            <w:r w:rsidRPr="00296917">
              <w:rPr>
                <w:iCs/>
              </w:rPr>
              <w:t>Saskaņā ar šo projektu dienests izvērtēs laboratoriju atbilstību noteiktām prasībām, nodrošinās</w:t>
            </w:r>
            <w:r w:rsidRPr="00296917">
              <w:t xml:space="preserve"> starplaboratoriju salīdzinošo testēšanu, kā arī teorētiskās un praktiskās nodarbības par kaitīgo organismu diagnostiku. Projektā noteikts, ka izdevumi par šīm darbībām tiks segti no maksas pakalpojumiem, </w:t>
            </w:r>
            <w:r>
              <w:t>tāpēc</w:t>
            </w:r>
            <w:r w:rsidRPr="00296917">
              <w:t xml:space="preserve"> </w:t>
            </w:r>
            <w:r>
              <w:t xml:space="preserve"> </w:t>
            </w:r>
            <w:r w:rsidRPr="00296917">
              <w:t>noteikumi Nr.163 papildināti ar šiem pakalpojuma veidiem.</w:t>
            </w:r>
          </w:p>
          <w:p w:rsidR="00EA3CC6" w:rsidRPr="00296917" w:rsidRDefault="00EA3CC6" w:rsidP="00382B1E">
            <w:pPr>
              <w:pStyle w:val="naisf"/>
              <w:ind w:right="99" w:firstLine="258"/>
            </w:pPr>
            <w:r w:rsidRPr="00296917">
              <w:t xml:space="preserve">Nepieciešams novērst neprecizitāti un precizēt noteikumu </w:t>
            </w:r>
            <w:r w:rsidRPr="00296917">
              <w:rPr>
                <w:bCs/>
              </w:rPr>
              <w:t xml:space="preserve">Nr.163 </w:t>
            </w:r>
            <w:r w:rsidRPr="00296917">
              <w:t>pielikuma 43.punktā norādīto PVN summu.</w:t>
            </w:r>
          </w:p>
          <w:p w:rsidR="00EA3CC6" w:rsidRPr="00296917" w:rsidRDefault="00EA3CC6" w:rsidP="00E357F1">
            <w:pPr>
              <w:pStyle w:val="naisf"/>
              <w:ind w:right="99" w:firstLine="258"/>
            </w:pPr>
            <w:r w:rsidRPr="00296917">
              <w:t xml:space="preserve">Ievērojot klientu pieprasījumu, noteikumu </w:t>
            </w:r>
            <w:r w:rsidRPr="00296917">
              <w:rPr>
                <w:bCs/>
              </w:rPr>
              <w:t xml:space="preserve">Nr.163 </w:t>
            </w:r>
            <w:r w:rsidRPr="00296917">
              <w:t>pielikuma 54.punktā minētās laboratorijas analīzes ir sadalītas pa atsevišķām pozīcijām, lai klients varētu izvēlēties noteikt tikai viņam nepieciešamo analīžu veidu, nevis komplekso analīzi.</w:t>
            </w:r>
          </w:p>
          <w:p w:rsidR="00EA3CC6" w:rsidRPr="00296917" w:rsidRDefault="00EA3CC6" w:rsidP="00F736C6">
            <w:pPr>
              <w:pStyle w:val="naisf"/>
              <w:ind w:right="99" w:firstLine="258"/>
            </w:pPr>
            <w:r w:rsidRPr="00296917">
              <w:t>Projekta 2.5.apakšpunktā minētajiem pakalpojumiem pievienotās vērtības nodoklis netiek piemērots saskaņā ar likuma „Par pievienotās vērtības nodokli” 2.panta divdesmit otrajā daļā noteikto.</w:t>
            </w:r>
          </w:p>
        </w:tc>
      </w:tr>
      <w:tr w:rsidR="00EA3CC6" w:rsidRPr="00296917" w:rsidTr="00DA317D">
        <w:trPr>
          <w:trHeight w:val="811"/>
        </w:trPr>
        <w:tc>
          <w:tcPr>
            <w:tcW w:w="550" w:type="dxa"/>
          </w:tcPr>
          <w:p w:rsidR="00EA3CC6" w:rsidRPr="00296917" w:rsidRDefault="00EA3CC6" w:rsidP="000C295D">
            <w:pPr>
              <w:pStyle w:val="naiskr"/>
              <w:spacing w:before="0" w:after="0"/>
            </w:pPr>
            <w:r w:rsidRPr="00296917">
              <w:rPr>
                <w:sz w:val="22"/>
                <w:szCs w:val="22"/>
              </w:rPr>
              <w:lastRenderedPageBreak/>
              <w:t>3.</w:t>
            </w:r>
          </w:p>
        </w:tc>
        <w:tc>
          <w:tcPr>
            <w:tcW w:w="4315" w:type="dxa"/>
          </w:tcPr>
          <w:p w:rsidR="00EA3CC6" w:rsidRPr="00296917" w:rsidRDefault="00EA3CC6" w:rsidP="000C295D">
            <w:pPr>
              <w:pStyle w:val="naiskr"/>
              <w:spacing w:before="0" w:after="0"/>
            </w:pPr>
            <w:r w:rsidRPr="00296917">
              <w:rPr>
                <w:sz w:val="22"/>
                <w:szCs w:val="22"/>
              </w:rPr>
              <w:t>Saistītie politikas ietekmes novērtējumi un pētījumi</w:t>
            </w:r>
          </w:p>
        </w:tc>
        <w:tc>
          <w:tcPr>
            <w:tcW w:w="4779" w:type="dxa"/>
          </w:tcPr>
          <w:p w:rsidR="00EA3CC6" w:rsidRPr="00296917" w:rsidRDefault="00EA3CC6" w:rsidP="000C295D">
            <w:pPr>
              <w:pStyle w:val="Vresteksts"/>
              <w:rPr>
                <w:sz w:val="28"/>
                <w:szCs w:val="28"/>
              </w:rPr>
            </w:pPr>
            <w:r w:rsidRPr="00296917">
              <w:rPr>
                <w:sz w:val="24"/>
                <w:szCs w:val="28"/>
              </w:rPr>
              <w:t>Projekts šo jomu neskar.</w:t>
            </w:r>
          </w:p>
        </w:tc>
      </w:tr>
      <w:tr w:rsidR="00EA3CC6" w:rsidRPr="00296917" w:rsidTr="000C295D">
        <w:trPr>
          <w:trHeight w:val="384"/>
        </w:trPr>
        <w:tc>
          <w:tcPr>
            <w:tcW w:w="550" w:type="dxa"/>
          </w:tcPr>
          <w:p w:rsidR="00EA3CC6" w:rsidRPr="00296917" w:rsidRDefault="00EA3CC6" w:rsidP="000C295D">
            <w:pPr>
              <w:pStyle w:val="naiskr"/>
              <w:spacing w:before="0" w:after="0"/>
            </w:pPr>
            <w:r w:rsidRPr="00296917">
              <w:rPr>
                <w:sz w:val="22"/>
                <w:szCs w:val="22"/>
              </w:rPr>
              <w:t>4.</w:t>
            </w:r>
          </w:p>
        </w:tc>
        <w:tc>
          <w:tcPr>
            <w:tcW w:w="4315" w:type="dxa"/>
          </w:tcPr>
          <w:p w:rsidR="00EA3CC6" w:rsidRPr="00296917" w:rsidRDefault="00EA3CC6" w:rsidP="000C295D">
            <w:pPr>
              <w:pStyle w:val="naiskr"/>
              <w:spacing w:before="0" w:after="0"/>
            </w:pPr>
            <w:r w:rsidRPr="00296917">
              <w:rPr>
                <w:sz w:val="22"/>
                <w:szCs w:val="22"/>
              </w:rPr>
              <w:t>Tiesiskā regulējuma mērķis un būtība</w:t>
            </w:r>
          </w:p>
        </w:tc>
        <w:tc>
          <w:tcPr>
            <w:tcW w:w="4779" w:type="dxa"/>
          </w:tcPr>
          <w:p w:rsidR="00EA3CC6" w:rsidRPr="00296917" w:rsidRDefault="00EA3CC6" w:rsidP="000C295D">
            <w:pPr>
              <w:pStyle w:val="ParastaisWeb"/>
              <w:spacing w:before="0" w:after="0"/>
              <w:jc w:val="both"/>
              <w:rPr>
                <w:lang w:val="lv-LV"/>
              </w:rPr>
            </w:pPr>
            <w:r w:rsidRPr="00296917">
              <w:rPr>
                <w:lang w:val="lv-LV"/>
              </w:rPr>
              <w:t>Ministru kabineta noteikumu projekts „</w:t>
            </w:r>
            <w:r w:rsidRPr="00296917">
              <w:rPr>
                <w:bCs/>
                <w:szCs w:val="24"/>
                <w:lang w:val="lv-LV"/>
              </w:rPr>
              <w:t>Grozījumi Ministru kabineta 2011.gada 1.marta noteikumos Nr.163 „Noteikumi par Valsts augu aizsardzības dienesta sniegto maksas pakalpojumu cenrādi</w:t>
            </w:r>
            <w:r w:rsidRPr="00296917">
              <w:rPr>
                <w:lang w:val="lv-LV"/>
              </w:rPr>
              <w:t xml:space="preserve">”” (turpmāk – noteikumu projekts) ir sagatavots, ievērojot normatīvajos </w:t>
            </w:r>
            <w:r w:rsidRPr="00296917">
              <w:rPr>
                <w:lang w:val="lv-LV"/>
              </w:rPr>
              <w:lastRenderedPageBreak/>
              <w:t>aktos noteikto un pieprasījumu pēc jauniem pakalpojumu veidiem. Ņemot vērā šīs anotācijas I sadaļas 2.punktā minēto,</w:t>
            </w:r>
            <w:r w:rsidRPr="00296917">
              <w:rPr>
                <w:iCs/>
                <w:szCs w:val="24"/>
                <w:lang w:val="lv-LV"/>
              </w:rPr>
              <w:t xml:space="preserve"> jānosaka jauni maksas pakalpojumu veidi.</w:t>
            </w:r>
          </w:p>
          <w:p w:rsidR="00EA3CC6" w:rsidRPr="00296917" w:rsidRDefault="00EA3CC6" w:rsidP="000C295D">
            <w:pPr>
              <w:pStyle w:val="ParastaisWeb"/>
              <w:spacing w:before="0" w:after="0"/>
              <w:jc w:val="both"/>
              <w:rPr>
                <w:szCs w:val="24"/>
                <w:lang w:val="lv-LV"/>
              </w:rPr>
            </w:pPr>
            <w:r w:rsidRPr="00296917">
              <w:rPr>
                <w:szCs w:val="24"/>
                <w:lang w:val="lv-LV"/>
              </w:rPr>
              <w:t>Noteikumu projekts jāpapildina ar jauniem maksas pakalpojumu veidiem, sadalot maksu par atsevišķiem analīžu veidiem.</w:t>
            </w:r>
          </w:p>
          <w:p w:rsidR="00EA3CC6" w:rsidRPr="00296917" w:rsidRDefault="00EA3CC6" w:rsidP="0073587A">
            <w:pPr>
              <w:jc w:val="both"/>
              <w:rPr>
                <w:rFonts w:ascii="Arial" w:hAnsi="Arial" w:cs="Arial"/>
                <w:sz w:val="32"/>
                <w:szCs w:val="32"/>
              </w:rPr>
            </w:pPr>
            <w:r w:rsidRPr="00296917">
              <w:t>Šīs anotācijas I sadaļas 2.punktā minētās problēmas noteikumu projekts atrisinās pilnībā.</w:t>
            </w:r>
          </w:p>
        </w:tc>
      </w:tr>
      <w:tr w:rsidR="00EA3CC6" w:rsidRPr="00296917" w:rsidTr="000C295D">
        <w:trPr>
          <w:trHeight w:val="476"/>
        </w:trPr>
        <w:tc>
          <w:tcPr>
            <w:tcW w:w="550" w:type="dxa"/>
          </w:tcPr>
          <w:p w:rsidR="00EA3CC6" w:rsidRPr="00296917" w:rsidRDefault="00EA3CC6" w:rsidP="000C295D">
            <w:pPr>
              <w:pStyle w:val="naiskr"/>
              <w:spacing w:before="0" w:after="0"/>
            </w:pPr>
            <w:r w:rsidRPr="00296917">
              <w:rPr>
                <w:sz w:val="22"/>
                <w:szCs w:val="22"/>
              </w:rPr>
              <w:lastRenderedPageBreak/>
              <w:t>5.</w:t>
            </w:r>
          </w:p>
        </w:tc>
        <w:tc>
          <w:tcPr>
            <w:tcW w:w="4315" w:type="dxa"/>
          </w:tcPr>
          <w:p w:rsidR="00EA3CC6" w:rsidRPr="00296917" w:rsidRDefault="00EA3CC6" w:rsidP="000C295D">
            <w:pPr>
              <w:pStyle w:val="naiskr"/>
              <w:spacing w:before="0" w:after="0"/>
            </w:pPr>
            <w:r w:rsidRPr="00296917">
              <w:rPr>
                <w:sz w:val="22"/>
                <w:szCs w:val="22"/>
              </w:rPr>
              <w:t>Projekta izstrādē iesaistītās institūcijas</w:t>
            </w:r>
          </w:p>
        </w:tc>
        <w:tc>
          <w:tcPr>
            <w:tcW w:w="4779" w:type="dxa"/>
          </w:tcPr>
          <w:p w:rsidR="00EA3CC6" w:rsidRPr="00296917" w:rsidRDefault="00EA3CC6" w:rsidP="000C295D">
            <w:pPr>
              <w:pStyle w:val="naiskr"/>
              <w:spacing w:before="0" w:after="0"/>
            </w:pPr>
            <w:r w:rsidRPr="00296917">
              <w:rPr>
                <w:iCs/>
              </w:rPr>
              <w:t>Zemkopības ministrija, Valsts augu aizsardzības dienests</w:t>
            </w:r>
          </w:p>
        </w:tc>
      </w:tr>
      <w:tr w:rsidR="00EA3CC6" w:rsidRPr="00296917" w:rsidTr="000C295D">
        <w:trPr>
          <w:trHeight w:val="1103"/>
        </w:trPr>
        <w:tc>
          <w:tcPr>
            <w:tcW w:w="550" w:type="dxa"/>
          </w:tcPr>
          <w:p w:rsidR="00EA3CC6" w:rsidRPr="00296917" w:rsidRDefault="00EA3CC6" w:rsidP="000C295D">
            <w:pPr>
              <w:pStyle w:val="naiskr"/>
              <w:spacing w:before="0" w:after="0"/>
            </w:pPr>
            <w:r w:rsidRPr="00296917">
              <w:rPr>
                <w:sz w:val="22"/>
                <w:szCs w:val="22"/>
              </w:rPr>
              <w:t>6.</w:t>
            </w:r>
          </w:p>
        </w:tc>
        <w:tc>
          <w:tcPr>
            <w:tcW w:w="4315" w:type="dxa"/>
          </w:tcPr>
          <w:p w:rsidR="00EA3CC6" w:rsidRPr="00296917" w:rsidRDefault="00EA3CC6" w:rsidP="000C295D">
            <w:pPr>
              <w:pStyle w:val="naiskr"/>
              <w:spacing w:before="0" w:after="0"/>
              <w:rPr>
                <w:i/>
              </w:rPr>
            </w:pPr>
            <w:r w:rsidRPr="00296917">
              <w:rPr>
                <w:sz w:val="22"/>
                <w:szCs w:val="22"/>
              </w:rPr>
              <w:t>Iemesli, kādēļ netika nodrošināta sabiedrības līdzdalība</w:t>
            </w:r>
          </w:p>
        </w:tc>
        <w:tc>
          <w:tcPr>
            <w:tcW w:w="4779" w:type="dxa"/>
          </w:tcPr>
          <w:p w:rsidR="00EA3CC6" w:rsidRPr="00296917" w:rsidRDefault="00EA3CC6" w:rsidP="000C295D">
            <w:pPr>
              <w:jc w:val="both"/>
            </w:pPr>
            <w:r w:rsidRPr="00296917">
              <w:t>Projekts šo jomu neskar.</w:t>
            </w:r>
          </w:p>
        </w:tc>
      </w:tr>
      <w:tr w:rsidR="00EA3CC6" w:rsidRPr="00296917" w:rsidTr="000C295D">
        <w:tc>
          <w:tcPr>
            <w:tcW w:w="550" w:type="dxa"/>
          </w:tcPr>
          <w:p w:rsidR="00EA3CC6" w:rsidRPr="00296917" w:rsidRDefault="00EA3CC6" w:rsidP="000C295D">
            <w:pPr>
              <w:pStyle w:val="naiskr"/>
              <w:spacing w:before="0" w:after="0"/>
            </w:pPr>
            <w:r w:rsidRPr="00296917">
              <w:rPr>
                <w:sz w:val="22"/>
                <w:szCs w:val="22"/>
              </w:rPr>
              <w:t>7.</w:t>
            </w:r>
          </w:p>
        </w:tc>
        <w:tc>
          <w:tcPr>
            <w:tcW w:w="4315" w:type="dxa"/>
          </w:tcPr>
          <w:p w:rsidR="00EA3CC6" w:rsidRPr="00296917" w:rsidRDefault="00EA3CC6" w:rsidP="000C295D">
            <w:pPr>
              <w:pStyle w:val="naiskr"/>
              <w:spacing w:before="0" w:after="0"/>
            </w:pPr>
            <w:r w:rsidRPr="00296917">
              <w:rPr>
                <w:sz w:val="22"/>
                <w:szCs w:val="22"/>
              </w:rPr>
              <w:t>Cita informācija</w:t>
            </w:r>
          </w:p>
        </w:tc>
        <w:tc>
          <w:tcPr>
            <w:tcW w:w="4779" w:type="dxa"/>
          </w:tcPr>
          <w:p w:rsidR="00EA3CC6" w:rsidRPr="00296917" w:rsidRDefault="00EA3CC6" w:rsidP="000C295D">
            <w:pPr>
              <w:pStyle w:val="naiskr"/>
              <w:spacing w:before="0" w:after="0"/>
            </w:pPr>
            <w:r w:rsidRPr="00296917">
              <w:rPr>
                <w:sz w:val="22"/>
                <w:szCs w:val="22"/>
              </w:rPr>
              <w:t>Nav</w:t>
            </w:r>
          </w:p>
        </w:tc>
      </w:tr>
    </w:tbl>
    <w:p w:rsidR="00EA3CC6" w:rsidRPr="00296917" w:rsidRDefault="00EA3CC6" w:rsidP="00B15607">
      <w:pPr>
        <w:pStyle w:val="naiskr"/>
        <w:tabs>
          <w:tab w:val="left" w:pos="2628"/>
        </w:tabs>
        <w:spacing w:before="0" w:after="0"/>
        <w:rPr>
          <w:sz w:val="22"/>
          <w:szCs w:val="22"/>
        </w:rPr>
      </w:pPr>
    </w:p>
    <w:tbl>
      <w:tblPr>
        <w:tblpPr w:leftFromText="180" w:rightFromText="180" w:vertAnchor="text" w:horzAnchor="margin" w:tblpXSpec="center" w:tblpY="727"/>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495"/>
        <w:gridCol w:w="4860"/>
      </w:tblGrid>
      <w:tr w:rsidR="00EA3CC6" w:rsidRPr="00296917" w:rsidTr="006276E2">
        <w:tc>
          <w:tcPr>
            <w:tcW w:w="9905" w:type="dxa"/>
            <w:gridSpan w:val="3"/>
            <w:vAlign w:val="center"/>
          </w:tcPr>
          <w:p w:rsidR="00EA3CC6" w:rsidRPr="00296917" w:rsidRDefault="00EA3CC6" w:rsidP="001B7582">
            <w:pPr>
              <w:pStyle w:val="naisf"/>
              <w:jc w:val="center"/>
              <w:rPr>
                <w:b/>
                <w:bCs/>
                <w:kern w:val="32"/>
                <w:sz w:val="32"/>
                <w:szCs w:val="32"/>
              </w:rPr>
            </w:pPr>
            <w:r w:rsidRPr="00296917">
              <w:rPr>
                <w:b/>
                <w:bCs/>
              </w:rPr>
              <w:t>II. Tiesību akta projekta ietekme uz sabiedrību</w:t>
            </w:r>
          </w:p>
        </w:tc>
      </w:tr>
      <w:tr w:rsidR="00EA3CC6" w:rsidRPr="00296917" w:rsidTr="006276E2">
        <w:trPr>
          <w:trHeight w:val="467"/>
        </w:trPr>
        <w:tc>
          <w:tcPr>
            <w:tcW w:w="550" w:type="dxa"/>
          </w:tcPr>
          <w:p w:rsidR="00EA3CC6" w:rsidRPr="00296917" w:rsidRDefault="00EA3CC6" w:rsidP="00C45A8D">
            <w:pPr>
              <w:pStyle w:val="naisf"/>
              <w:ind w:firstLine="0"/>
            </w:pPr>
            <w:r w:rsidRPr="00296917">
              <w:t>1.</w:t>
            </w:r>
          </w:p>
        </w:tc>
        <w:tc>
          <w:tcPr>
            <w:tcW w:w="4495" w:type="dxa"/>
          </w:tcPr>
          <w:p w:rsidR="00EA3CC6" w:rsidRPr="00296917" w:rsidRDefault="00EA3CC6" w:rsidP="00DF212D">
            <w:pPr>
              <w:pStyle w:val="naisf"/>
            </w:pPr>
            <w:r w:rsidRPr="00296917">
              <w:t xml:space="preserve">Sabiedrības </w:t>
            </w:r>
            <w:proofErr w:type="spellStart"/>
            <w:r w:rsidRPr="00296917">
              <w:t>mērķgrupa</w:t>
            </w:r>
            <w:proofErr w:type="spellEnd"/>
          </w:p>
        </w:tc>
        <w:tc>
          <w:tcPr>
            <w:tcW w:w="4860" w:type="dxa"/>
          </w:tcPr>
          <w:p w:rsidR="00EA3CC6" w:rsidRPr="00296917" w:rsidRDefault="00EA3CC6" w:rsidP="00DF212D">
            <w:pPr>
              <w:pStyle w:val="naisf"/>
              <w:rPr>
                <w:b/>
                <w:bCs/>
              </w:rPr>
            </w:pPr>
            <w:r w:rsidRPr="00296917">
              <w:rPr>
                <w:iCs/>
              </w:rPr>
              <w:t> </w:t>
            </w:r>
            <w:r w:rsidRPr="00296917">
              <w:rPr>
                <w:bCs/>
              </w:rPr>
              <w:t>Personas, kas nodarbojas ar augu aizsardzības līdzekļu lietošanu, izsmidzinot tos no gaisa, koksnes iepakojamā materiāla termiskajā apstrādē un ražošanā, koksnes, ko paredzēts izmantot koksnes iepakojamā materiāla ražošanā, termiskajā apstrādē iesaistītās personas, institūcijas, kas pārbauda un sertificē termiskās apstrādes procesu, augu aizsardzības līdzekļu ražotājas firmas un lauksaimnieki. Šo personu skaitu nav iespējams norādīt, jo nav pieejami šādi dati.</w:t>
            </w:r>
          </w:p>
        </w:tc>
      </w:tr>
      <w:tr w:rsidR="00EA3CC6" w:rsidRPr="00296917" w:rsidTr="006276E2">
        <w:trPr>
          <w:trHeight w:val="523"/>
        </w:trPr>
        <w:tc>
          <w:tcPr>
            <w:tcW w:w="550" w:type="dxa"/>
          </w:tcPr>
          <w:p w:rsidR="00EA3CC6" w:rsidRPr="00296917" w:rsidRDefault="00EA3CC6" w:rsidP="00C45A8D">
            <w:pPr>
              <w:pStyle w:val="naisf"/>
              <w:ind w:firstLine="0"/>
            </w:pPr>
            <w:r w:rsidRPr="00296917">
              <w:t>2.</w:t>
            </w:r>
          </w:p>
        </w:tc>
        <w:tc>
          <w:tcPr>
            <w:tcW w:w="4495" w:type="dxa"/>
          </w:tcPr>
          <w:p w:rsidR="00EA3CC6" w:rsidRPr="00296917" w:rsidRDefault="00EA3CC6" w:rsidP="00DF212D">
            <w:pPr>
              <w:pStyle w:val="naisf"/>
            </w:pPr>
            <w:r w:rsidRPr="00296917">
              <w:t xml:space="preserve">Citas sabiedrības grupas (bez </w:t>
            </w:r>
            <w:proofErr w:type="spellStart"/>
            <w:r w:rsidRPr="00296917">
              <w:t>mērķgrupas</w:t>
            </w:r>
            <w:proofErr w:type="spellEnd"/>
            <w:r w:rsidRPr="00296917">
              <w:t>), kuras tiesiskais regulējums arī ietekmē vai varētu ietekmēt</w:t>
            </w:r>
          </w:p>
        </w:tc>
        <w:tc>
          <w:tcPr>
            <w:tcW w:w="4860" w:type="dxa"/>
          </w:tcPr>
          <w:p w:rsidR="00EA3CC6" w:rsidRPr="00296917" w:rsidRDefault="00EA3CC6" w:rsidP="00DF212D">
            <w:pPr>
              <w:pStyle w:val="naisf"/>
            </w:pPr>
            <w:r w:rsidRPr="00296917">
              <w:t>Projekts šo jomu neskar.</w:t>
            </w:r>
          </w:p>
        </w:tc>
      </w:tr>
      <w:tr w:rsidR="00EA3CC6" w:rsidRPr="00296917" w:rsidTr="006276E2">
        <w:trPr>
          <w:trHeight w:val="517"/>
        </w:trPr>
        <w:tc>
          <w:tcPr>
            <w:tcW w:w="550" w:type="dxa"/>
          </w:tcPr>
          <w:p w:rsidR="00EA3CC6" w:rsidRPr="00296917" w:rsidRDefault="00EA3CC6" w:rsidP="00C45A8D">
            <w:pPr>
              <w:pStyle w:val="naisf"/>
              <w:ind w:firstLine="0"/>
            </w:pPr>
            <w:r w:rsidRPr="00296917">
              <w:t>3.</w:t>
            </w:r>
          </w:p>
        </w:tc>
        <w:tc>
          <w:tcPr>
            <w:tcW w:w="4495" w:type="dxa"/>
          </w:tcPr>
          <w:p w:rsidR="00EA3CC6" w:rsidRPr="00296917" w:rsidRDefault="00EA3CC6" w:rsidP="00DF212D">
            <w:pPr>
              <w:pStyle w:val="naisf"/>
            </w:pPr>
            <w:r w:rsidRPr="00296917">
              <w:t>Tiesiskā regulējuma finansiālā ietekme</w:t>
            </w:r>
          </w:p>
        </w:tc>
        <w:tc>
          <w:tcPr>
            <w:tcW w:w="4860" w:type="dxa"/>
          </w:tcPr>
          <w:p w:rsidR="00EA3CC6" w:rsidRPr="00296917" w:rsidRDefault="00EA3CC6" w:rsidP="00DF212D">
            <w:pPr>
              <w:pStyle w:val="naisf"/>
            </w:pPr>
            <w:r w:rsidRPr="00296917">
              <w:t>Projekts radīs finansiālās izmaksas tām personām, kas vēlēsies saņemt atbilstošus maksas pakalpojumus. Tā kā tie ir jauni pakalpojumi, tad līdzšinējās izmaksas nemainīsies.</w:t>
            </w:r>
          </w:p>
        </w:tc>
      </w:tr>
      <w:tr w:rsidR="00EA3CC6" w:rsidRPr="00296917" w:rsidTr="006276E2">
        <w:trPr>
          <w:trHeight w:val="517"/>
        </w:trPr>
        <w:tc>
          <w:tcPr>
            <w:tcW w:w="550" w:type="dxa"/>
          </w:tcPr>
          <w:p w:rsidR="00EA3CC6" w:rsidRPr="00296917" w:rsidRDefault="00EA3CC6" w:rsidP="00C45A8D">
            <w:pPr>
              <w:pStyle w:val="naisf"/>
              <w:ind w:firstLine="0"/>
            </w:pPr>
            <w:r w:rsidRPr="00296917">
              <w:t>4.</w:t>
            </w:r>
          </w:p>
        </w:tc>
        <w:tc>
          <w:tcPr>
            <w:tcW w:w="4495" w:type="dxa"/>
          </w:tcPr>
          <w:p w:rsidR="00EA3CC6" w:rsidRPr="00296917" w:rsidRDefault="00EA3CC6" w:rsidP="00DF212D">
            <w:pPr>
              <w:pStyle w:val="naisf"/>
            </w:pPr>
            <w:r w:rsidRPr="00296917">
              <w:t>Tiesiskā regulējuma nefinansiālā ietekme</w:t>
            </w:r>
          </w:p>
        </w:tc>
        <w:tc>
          <w:tcPr>
            <w:tcW w:w="4860" w:type="dxa"/>
          </w:tcPr>
          <w:p w:rsidR="00EA3CC6" w:rsidRPr="00296917" w:rsidRDefault="00EA3CC6" w:rsidP="001B7582">
            <w:pPr>
              <w:pStyle w:val="naisf"/>
              <w:ind w:firstLine="0"/>
            </w:pPr>
            <w:r w:rsidRPr="00296917">
              <w:t>Tiesiskais regulējums radīs jaunas tiesības un pienākumus – personām būs pieejami jauni papildu pakalpojumi atbilstoši esošajam pieprasījumam</w:t>
            </w:r>
          </w:p>
        </w:tc>
      </w:tr>
      <w:tr w:rsidR="00EA3CC6" w:rsidRPr="00296917" w:rsidTr="006276E2">
        <w:trPr>
          <w:trHeight w:val="531"/>
        </w:trPr>
        <w:tc>
          <w:tcPr>
            <w:tcW w:w="550" w:type="dxa"/>
          </w:tcPr>
          <w:p w:rsidR="00EA3CC6" w:rsidRPr="00296917" w:rsidRDefault="00EA3CC6" w:rsidP="00C45A8D">
            <w:pPr>
              <w:pStyle w:val="naisf"/>
              <w:ind w:firstLine="0"/>
            </w:pPr>
            <w:r w:rsidRPr="00296917">
              <w:t>5.</w:t>
            </w:r>
          </w:p>
        </w:tc>
        <w:tc>
          <w:tcPr>
            <w:tcW w:w="4495" w:type="dxa"/>
          </w:tcPr>
          <w:p w:rsidR="00EA3CC6" w:rsidRPr="00296917" w:rsidRDefault="00EA3CC6" w:rsidP="00DF212D">
            <w:pPr>
              <w:pStyle w:val="naisf"/>
            </w:pPr>
            <w:r w:rsidRPr="00296917">
              <w:t>Administratīvās procedūras raksturojums</w:t>
            </w:r>
          </w:p>
        </w:tc>
        <w:tc>
          <w:tcPr>
            <w:tcW w:w="4860" w:type="dxa"/>
          </w:tcPr>
          <w:p w:rsidR="00EA3CC6" w:rsidRPr="00296917" w:rsidRDefault="00EA3CC6" w:rsidP="00DF212D">
            <w:pPr>
              <w:pStyle w:val="naisf"/>
            </w:pPr>
            <w:r w:rsidRPr="00296917">
              <w:t>Projekts šo jomu neskar.</w:t>
            </w:r>
          </w:p>
        </w:tc>
      </w:tr>
      <w:tr w:rsidR="00EA3CC6" w:rsidRPr="00296917" w:rsidTr="006276E2">
        <w:trPr>
          <w:trHeight w:val="357"/>
        </w:trPr>
        <w:tc>
          <w:tcPr>
            <w:tcW w:w="550" w:type="dxa"/>
          </w:tcPr>
          <w:p w:rsidR="00EA3CC6" w:rsidRPr="00296917" w:rsidRDefault="00EA3CC6" w:rsidP="00C45A8D">
            <w:pPr>
              <w:pStyle w:val="naisf"/>
              <w:ind w:firstLine="0"/>
            </w:pPr>
            <w:r w:rsidRPr="00296917">
              <w:t>6.</w:t>
            </w:r>
          </w:p>
        </w:tc>
        <w:tc>
          <w:tcPr>
            <w:tcW w:w="4495" w:type="dxa"/>
          </w:tcPr>
          <w:p w:rsidR="00EA3CC6" w:rsidRPr="00296917" w:rsidRDefault="00EA3CC6" w:rsidP="00DF212D">
            <w:pPr>
              <w:pStyle w:val="naisf"/>
            </w:pPr>
            <w:r w:rsidRPr="00296917">
              <w:t>Administratīvo izmaksu monetārs novērtējums</w:t>
            </w:r>
          </w:p>
        </w:tc>
        <w:tc>
          <w:tcPr>
            <w:tcW w:w="4860" w:type="dxa"/>
          </w:tcPr>
          <w:p w:rsidR="00EA3CC6" w:rsidRPr="00296917" w:rsidRDefault="00EA3CC6" w:rsidP="00DF212D">
            <w:pPr>
              <w:pStyle w:val="naisf"/>
            </w:pPr>
            <w:r w:rsidRPr="00296917">
              <w:t>Projekts šo jomu neskar.</w:t>
            </w:r>
          </w:p>
        </w:tc>
      </w:tr>
      <w:tr w:rsidR="00EA3CC6" w:rsidRPr="00296917" w:rsidTr="006276E2">
        <w:tc>
          <w:tcPr>
            <w:tcW w:w="550" w:type="dxa"/>
          </w:tcPr>
          <w:p w:rsidR="00EA3CC6" w:rsidRPr="00296917" w:rsidRDefault="00EA3CC6" w:rsidP="00C45A8D">
            <w:pPr>
              <w:pStyle w:val="naisf"/>
              <w:ind w:firstLine="0"/>
            </w:pPr>
            <w:r w:rsidRPr="00296917">
              <w:lastRenderedPageBreak/>
              <w:t>7.</w:t>
            </w:r>
          </w:p>
        </w:tc>
        <w:tc>
          <w:tcPr>
            <w:tcW w:w="4495" w:type="dxa"/>
          </w:tcPr>
          <w:p w:rsidR="00EA3CC6" w:rsidRPr="00296917" w:rsidRDefault="00EA3CC6" w:rsidP="00DF212D">
            <w:pPr>
              <w:pStyle w:val="naisf"/>
            </w:pPr>
            <w:r w:rsidRPr="00296917">
              <w:t>Cita informācija</w:t>
            </w:r>
          </w:p>
        </w:tc>
        <w:tc>
          <w:tcPr>
            <w:tcW w:w="4860" w:type="dxa"/>
          </w:tcPr>
          <w:p w:rsidR="00EA3CC6" w:rsidRPr="00296917" w:rsidRDefault="00EA3CC6" w:rsidP="00DF212D">
            <w:pPr>
              <w:pStyle w:val="naisf"/>
            </w:pPr>
            <w:r w:rsidRPr="00296917">
              <w:t>Nav.</w:t>
            </w:r>
          </w:p>
        </w:tc>
      </w:tr>
    </w:tbl>
    <w:tbl>
      <w:tblPr>
        <w:tblW w:w="5248"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68"/>
        <w:gridCol w:w="1100"/>
        <w:gridCol w:w="995"/>
        <w:gridCol w:w="1436"/>
        <w:gridCol w:w="1539"/>
        <w:gridCol w:w="1338"/>
        <w:gridCol w:w="8"/>
      </w:tblGrid>
      <w:tr w:rsidR="00EA3CC6" w:rsidRPr="00296917" w:rsidTr="0073587A">
        <w:trPr>
          <w:gridAfter w:val="1"/>
          <w:wAfter w:w="4" w:type="pct"/>
          <w:jc w:val="center"/>
        </w:trPr>
        <w:tc>
          <w:tcPr>
            <w:tcW w:w="4996" w:type="pct"/>
            <w:gridSpan w:val="6"/>
            <w:tcBorders>
              <w:top w:val="outset" w:sz="6" w:space="0" w:color="000000"/>
              <w:bottom w:val="outset" w:sz="6" w:space="0" w:color="000000"/>
            </w:tcBorders>
          </w:tcPr>
          <w:p w:rsidR="00EA3CC6" w:rsidRPr="00296917" w:rsidRDefault="00EA3CC6" w:rsidP="005C0C0C">
            <w:pPr>
              <w:spacing w:before="100" w:beforeAutospacing="1" w:after="100" w:afterAutospacing="1"/>
              <w:jc w:val="center"/>
              <w:rPr>
                <w:b/>
                <w:bCs/>
              </w:rPr>
            </w:pPr>
            <w:r w:rsidRPr="00296917">
              <w:rPr>
                <w:b/>
                <w:bCs/>
              </w:rPr>
              <w:t>III. Tiesību akta projekta ietekme uz valsts budžetu un pašvaldību budžetiem</w:t>
            </w:r>
          </w:p>
        </w:tc>
      </w:tr>
      <w:tr w:rsidR="00EA3CC6" w:rsidRPr="00296917" w:rsidTr="0073587A">
        <w:trPr>
          <w:gridAfter w:val="1"/>
          <w:wAfter w:w="4" w:type="pct"/>
          <w:jc w:val="center"/>
        </w:trPr>
        <w:tc>
          <w:tcPr>
            <w:tcW w:w="1653" w:type="pct"/>
            <w:vMerge w:val="restart"/>
            <w:tcBorders>
              <w:top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rPr>
                <w:b/>
                <w:bCs/>
              </w:rPr>
            </w:pPr>
            <w:r w:rsidRPr="00296917">
              <w:rPr>
                <w:b/>
                <w:bCs/>
              </w:rPr>
              <w:t>Rādītāji</w:t>
            </w:r>
          </w:p>
        </w:tc>
        <w:tc>
          <w:tcPr>
            <w:tcW w:w="1093" w:type="pct"/>
            <w:gridSpan w:val="2"/>
            <w:vMerge w:val="restar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rPr>
                <w:b/>
                <w:bCs/>
              </w:rPr>
            </w:pPr>
            <w:r w:rsidRPr="00296917">
              <w:rPr>
                <w:b/>
                <w:bCs/>
              </w:rPr>
              <w:t>2012. gads</w:t>
            </w:r>
          </w:p>
        </w:tc>
        <w:tc>
          <w:tcPr>
            <w:tcW w:w="2250" w:type="pct"/>
            <w:gridSpan w:val="3"/>
            <w:tcBorders>
              <w:top w:val="outset" w:sz="6" w:space="0" w:color="000000"/>
              <w:left w:val="outset" w:sz="6" w:space="0" w:color="000000"/>
              <w:bottom w:val="outset" w:sz="6" w:space="0" w:color="000000"/>
            </w:tcBorders>
            <w:vAlign w:val="center"/>
          </w:tcPr>
          <w:p w:rsidR="00EA3CC6" w:rsidRPr="00296917" w:rsidRDefault="00EA3CC6" w:rsidP="005C0C0C">
            <w:pPr>
              <w:spacing w:before="100" w:beforeAutospacing="1" w:after="100" w:afterAutospacing="1"/>
              <w:jc w:val="center"/>
            </w:pPr>
            <w:r w:rsidRPr="00296917">
              <w:t>Turpmākie trīs gadi (tūkst</w:t>
            </w:r>
            <w:smartTag w:uri="schemas-tilde-lv/tildestengine" w:element="currency2">
              <w:smartTagPr>
                <w:attr w:name="currency_id" w:val="48"/>
                <w:attr w:name="currency_key" w:val="LVL"/>
                <w:attr w:name="currency_value" w:val="."/>
                <w:attr w:name="currency_text" w:val="latu"/>
              </w:smartTagPr>
              <w:r w:rsidRPr="00296917">
                <w:t>. latu</w:t>
              </w:r>
            </w:smartTag>
            <w:r w:rsidRPr="00296917">
              <w:t>)</w:t>
            </w:r>
          </w:p>
        </w:tc>
      </w:tr>
      <w:tr w:rsidR="00EA3CC6" w:rsidRPr="00296917" w:rsidTr="0073587A">
        <w:trPr>
          <w:gridAfter w:val="1"/>
          <w:wAfter w:w="4" w:type="pct"/>
          <w:jc w:val="center"/>
        </w:trPr>
        <w:tc>
          <w:tcPr>
            <w:tcW w:w="1653" w:type="pct"/>
            <w:vMerge/>
            <w:tcBorders>
              <w:top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rPr>
                <w:b/>
                <w:bCs/>
              </w:rPr>
            </w:pPr>
          </w:p>
        </w:tc>
        <w:tc>
          <w:tcPr>
            <w:tcW w:w="1093" w:type="pct"/>
            <w:gridSpan w:val="2"/>
            <w:vMerge/>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rPr>
                <w:b/>
                <w:bCs/>
              </w:rPr>
            </w:pPr>
          </w:p>
        </w:tc>
        <w:tc>
          <w:tcPr>
            <w:tcW w:w="2250" w:type="pct"/>
            <w:gridSpan w:val="3"/>
            <w:tcBorders>
              <w:top w:val="outset" w:sz="6" w:space="0" w:color="000000"/>
              <w:left w:val="outset" w:sz="6" w:space="0" w:color="000000"/>
              <w:bottom w:val="outset" w:sz="6" w:space="0" w:color="000000"/>
            </w:tcBorders>
            <w:vAlign w:val="center"/>
          </w:tcPr>
          <w:p w:rsidR="00EA3CC6" w:rsidRPr="00296917" w:rsidRDefault="00EA3CC6" w:rsidP="005C0C0C">
            <w:pPr>
              <w:spacing w:before="100" w:beforeAutospacing="1" w:after="100" w:afterAutospacing="1"/>
              <w:jc w:val="center"/>
            </w:pPr>
          </w:p>
        </w:tc>
      </w:tr>
      <w:tr w:rsidR="00EA3CC6" w:rsidRPr="00296917" w:rsidTr="0073587A">
        <w:trPr>
          <w:jc w:val="center"/>
        </w:trPr>
        <w:tc>
          <w:tcPr>
            <w:tcW w:w="1653" w:type="pct"/>
            <w:vMerge/>
            <w:tcBorders>
              <w:top w:val="outset" w:sz="6" w:space="0" w:color="000000"/>
              <w:bottom w:val="outset" w:sz="6" w:space="0" w:color="000000"/>
              <w:right w:val="outset" w:sz="6" w:space="0" w:color="000000"/>
            </w:tcBorders>
            <w:vAlign w:val="center"/>
          </w:tcPr>
          <w:p w:rsidR="00EA3CC6" w:rsidRPr="00296917" w:rsidRDefault="00EA3CC6" w:rsidP="005C0C0C">
            <w:pPr>
              <w:rPr>
                <w:b/>
                <w:bCs/>
              </w:rPr>
            </w:pPr>
          </w:p>
        </w:tc>
        <w:tc>
          <w:tcPr>
            <w:tcW w:w="1093" w:type="pct"/>
            <w:gridSpan w:val="2"/>
            <w:vMerge/>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rPr>
                <w:b/>
                <w:bCs/>
              </w:rPr>
            </w:pPr>
          </w:p>
        </w:tc>
        <w:tc>
          <w:tcPr>
            <w:tcW w:w="749"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rPr>
                <w:b/>
                <w:bCs/>
              </w:rPr>
            </w:pPr>
            <w:r w:rsidRPr="00296917">
              <w:rPr>
                <w:b/>
                <w:bCs/>
              </w:rPr>
              <w:t>2013</w:t>
            </w:r>
          </w:p>
        </w:tc>
        <w:tc>
          <w:tcPr>
            <w:tcW w:w="803"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rPr>
                <w:b/>
                <w:bCs/>
              </w:rPr>
            </w:pPr>
            <w:r w:rsidRPr="00296917">
              <w:rPr>
                <w:b/>
                <w:bCs/>
              </w:rPr>
              <w:t>2014</w:t>
            </w:r>
          </w:p>
        </w:tc>
        <w:tc>
          <w:tcPr>
            <w:tcW w:w="702" w:type="pct"/>
            <w:gridSpan w:val="2"/>
            <w:tcBorders>
              <w:top w:val="outset" w:sz="6" w:space="0" w:color="000000"/>
              <w:left w:val="outset" w:sz="6" w:space="0" w:color="000000"/>
              <w:bottom w:val="outset" w:sz="6" w:space="0" w:color="000000"/>
            </w:tcBorders>
            <w:vAlign w:val="center"/>
          </w:tcPr>
          <w:p w:rsidR="00EA3CC6" w:rsidRPr="00296917" w:rsidRDefault="00EA3CC6" w:rsidP="005C0C0C">
            <w:pPr>
              <w:spacing w:before="100" w:beforeAutospacing="1" w:after="100" w:afterAutospacing="1"/>
              <w:jc w:val="center"/>
              <w:rPr>
                <w:b/>
                <w:bCs/>
              </w:rPr>
            </w:pPr>
            <w:r w:rsidRPr="00296917">
              <w:rPr>
                <w:b/>
                <w:bCs/>
              </w:rPr>
              <w:t>2015</w:t>
            </w:r>
          </w:p>
        </w:tc>
      </w:tr>
      <w:tr w:rsidR="00EA3CC6" w:rsidRPr="00296917" w:rsidTr="0073587A">
        <w:trPr>
          <w:jc w:val="center"/>
        </w:trPr>
        <w:tc>
          <w:tcPr>
            <w:tcW w:w="1653" w:type="pct"/>
            <w:vMerge/>
            <w:tcBorders>
              <w:top w:val="outset" w:sz="6" w:space="0" w:color="000000"/>
              <w:bottom w:val="outset" w:sz="6" w:space="0" w:color="000000"/>
              <w:right w:val="outset" w:sz="6" w:space="0" w:color="000000"/>
            </w:tcBorders>
            <w:vAlign w:val="center"/>
          </w:tcPr>
          <w:p w:rsidR="00EA3CC6" w:rsidRPr="00296917" w:rsidRDefault="00EA3CC6" w:rsidP="005C0C0C">
            <w:pPr>
              <w:rPr>
                <w:b/>
                <w:bCs/>
              </w:rPr>
            </w:pPr>
          </w:p>
        </w:tc>
        <w:tc>
          <w:tcPr>
            <w:tcW w:w="574"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Saskaņā ar valsts budžetu kārtējam gadam</w:t>
            </w:r>
          </w:p>
        </w:tc>
        <w:tc>
          <w:tcPr>
            <w:tcW w:w="519"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Izmaiņas kārtējā gadā, salīdzinot ar budžetu kārtējam gadam</w:t>
            </w:r>
          </w:p>
        </w:tc>
        <w:tc>
          <w:tcPr>
            <w:tcW w:w="749"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Izmaiņas, salīdzinot ar kārtējo (n) gadu</w:t>
            </w:r>
          </w:p>
        </w:tc>
        <w:tc>
          <w:tcPr>
            <w:tcW w:w="803"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Izmaiņas, salīdzinot ar kārtējo (n) gadu</w:t>
            </w:r>
          </w:p>
        </w:tc>
        <w:tc>
          <w:tcPr>
            <w:tcW w:w="702" w:type="pct"/>
            <w:gridSpan w:val="2"/>
            <w:tcBorders>
              <w:top w:val="outset" w:sz="6" w:space="0" w:color="000000"/>
              <w:left w:val="outset" w:sz="6" w:space="0" w:color="000000"/>
              <w:bottom w:val="outset" w:sz="6" w:space="0" w:color="000000"/>
            </w:tcBorders>
            <w:vAlign w:val="center"/>
          </w:tcPr>
          <w:p w:rsidR="00EA3CC6" w:rsidRPr="00296917" w:rsidRDefault="00EA3CC6" w:rsidP="005C0C0C">
            <w:pPr>
              <w:spacing w:before="100" w:beforeAutospacing="1" w:after="100" w:afterAutospacing="1"/>
              <w:jc w:val="center"/>
            </w:pPr>
            <w:r w:rsidRPr="00296917">
              <w:t>Izmaiņas, salīdzinot ar kārtējo (n) gadu</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1</w:t>
            </w:r>
          </w:p>
        </w:tc>
        <w:tc>
          <w:tcPr>
            <w:tcW w:w="574"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2</w:t>
            </w:r>
          </w:p>
        </w:tc>
        <w:tc>
          <w:tcPr>
            <w:tcW w:w="519"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3</w:t>
            </w:r>
          </w:p>
        </w:tc>
        <w:tc>
          <w:tcPr>
            <w:tcW w:w="749"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4</w:t>
            </w:r>
          </w:p>
        </w:tc>
        <w:tc>
          <w:tcPr>
            <w:tcW w:w="803"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before="100" w:beforeAutospacing="1" w:after="100" w:afterAutospacing="1"/>
              <w:jc w:val="center"/>
            </w:pPr>
            <w:r w:rsidRPr="00296917">
              <w:t>5</w:t>
            </w:r>
          </w:p>
        </w:tc>
        <w:tc>
          <w:tcPr>
            <w:tcW w:w="702" w:type="pct"/>
            <w:gridSpan w:val="2"/>
            <w:tcBorders>
              <w:top w:val="outset" w:sz="6" w:space="0" w:color="000000"/>
              <w:left w:val="outset" w:sz="6" w:space="0" w:color="000000"/>
              <w:bottom w:val="outset" w:sz="6" w:space="0" w:color="000000"/>
            </w:tcBorders>
            <w:vAlign w:val="center"/>
          </w:tcPr>
          <w:p w:rsidR="00EA3CC6" w:rsidRPr="00296917" w:rsidRDefault="00EA3CC6" w:rsidP="005C0C0C">
            <w:pPr>
              <w:spacing w:before="100" w:beforeAutospacing="1" w:after="100" w:afterAutospacing="1"/>
              <w:jc w:val="center"/>
            </w:pPr>
            <w:r w:rsidRPr="00296917">
              <w:t>6</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1. Budžeta ieņēmumi:</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jc w:val="both"/>
            </w:pPr>
            <w:r w:rsidRPr="00296917">
              <w:t>919,8</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4,1</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5,0</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5,2</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r w:rsidRPr="00296917">
              <w:t>5,4</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1.1. valsts pamatbudžets, tai skaitā ieņēmumi no maksas pakalpojumiem un citi pašu ieņēmumi</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jc w:val="both"/>
            </w:pPr>
            <w:r w:rsidRPr="00296917">
              <w:t>919,8</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4,1</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5,0</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5,2</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r w:rsidRPr="00296917">
              <w:t>5,4</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1.2. valsts speciālais budžets</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jc w:val="both"/>
            </w:pP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1.3. pašvaldību budžets</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jc w:val="both"/>
            </w:pP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2. Budžeta izdevumi:</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jc w:val="both"/>
            </w:pPr>
            <w:r w:rsidRPr="00296917">
              <w:t>919,8</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4,1</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5,0</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5,2</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r w:rsidRPr="00296917">
              <w:t>5,4</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2.1. valsts pamatbudžets</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jc w:val="both"/>
            </w:pPr>
            <w:r w:rsidRPr="00296917">
              <w:t>919,8</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4,1</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5,0</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r w:rsidRPr="00296917">
              <w:t>5,2</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r w:rsidRPr="00296917">
              <w:t>5,4</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2.2. valsts speciālais budžets</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2.3. pašvaldību budžets</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3. Finansiālā ietekme:</w:t>
            </w:r>
          </w:p>
        </w:tc>
        <w:tc>
          <w:tcPr>
            <w:tcW w:w="574"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spacing w:line="360" w:lineRule="auto"/>
            </w:pPr>
            <w:r w:rsidRPr="00296917">
              <w:t> 0</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0</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0</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0</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0</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3.1. valsts pamatbudžets</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3.2. speciālais budžets</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3.3. pašvaldību budžets</w:t>
            </w:r>
          </w:p>
        </w:tc>
        <w:tc>
          <w:tcPr>
            <w:tcW w:w="574"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vMerge w:val="restar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4. Finanšu līdzekļi papildu izde</w:t>
            </w:r>
            <w:r w:rsidRPr="00296917">
              <w:softHyphen/>
              <w:t>vumu finansēšanai (kompensējošu izdevumu samazinājumu norāda ar "+" zīmi)</w:t>
            </w:r>
          </w:p>
        </w:tc>
        <w:tc>
          <w:tcPr>
            <w:tcW w:w="574" w:type="pct"/>
            <w:vMerge w:val="restar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jc w:val="center"/>
            </w:pPr>
            <w:r w:rsidRPr="00296917">
              <w:t>X</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vMerge/>
            <w:tcBorders>
              <w:top w:val="outset" w:sz="6" w:space="0" w:color="000000"/>
              <w:bottom w:val="outset" w:sz="6" w:space="0" w:color="000000"/>
              <w:right w:val="outset" w:sz="6" w:space="0" w:color="000000"/>
            </w:tcBorders>
            <w:vAlign w:val="center"/>
          </w:tcPr>
          <w:p w:rsidR="00EA3CC6" w:rsidRPr="00296917" w:rsidRDefault="00EA3CC6" w:rsidP="005C0C0C"/>
        </w:tc>
        <w:tc>
          <w:tcPr>
            <w:tcW w:w="574" w:type="pct"/>
            <w:vMerge/>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vMerge/>
            <w:tcBorders>
              <w:top w:val="outset" w:sz="6" w:space="0" w:color="000000"/>
              <w:bottom w:val="outset" w:sz="6" w:space="0" w:color="000000"/>
              <w:right w:val="outset" w:sz="6" w:space="0" w:color="000000"/>
            </w:tcBorders>
            <w:vAlign w:val="center"/>
          </w:tcPr>
          <w:p w:rsidR="00EA3CC6" w:rsidRPr="00296917" w:rsidRDefault="00EA3CC6" w:rsidP="005C0C0C"/>
        </w:tc>
        <w:tc>
          <w:tcPr>
            <w:tcW w:w="574" w:type="pct"/>
            <w:vMerge/>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5. Precizēta finansiālā ietekme:</w:t>
            </w:r>
          </w:p>
        </w:tc>
        <w:tc>
          <w:tcPr>
            <w:tcW w:w="574" w:type="pct"/>
            <w:vMerge w:val="restar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jc w:val="center"/>
            </w:pPr>
            <w:r w:rsidRPr="00296917">
              <w:t>X</w:t>
            </w:r>
          </w:p>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5.1. valsts pamatbudžets</w:t>
            </w:r>
          </w:p>
        </w:tc>
        <w:tc>
          <w:tcPr>
            <w:tcW w:w="574" w:type="pct"/>
            <w:vMerge/>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5.2. speciālais budžets</w:t>
            </w:r>
          </w:p>
        </w:tc>
        <w:tc>
          <w:tcPr>
            <w:tcW w:w="574" w:type="pct"/>
            <w:vMerge/>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trHeight w:val="331"/>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lastRenderedPageBreak/>
              <w:t>5.3. pašvaldību budžets</w:t>
            </w:r>
          </w:p>
        </w:tc>
        <w:tc>
          <w:tcPr>
            <w:tcW w:w="574" w:type="pct"/>
            <w:vMerge/>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tc>
        <w:tc>
          <w:tcPr>
            <w:tcW w:w="51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49"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803" w:type="pct"/>
            <w:tcBorders>
              <w:top w:val="outset" w:sz="6" w:space="0" w:color="000000"/>
              <w:left w:val="outset" w:sz="6" w:space="0" w:color="000000"/>
              <w:bottom w:val="outset" w:sz="6" w:space="0" w:color="000000"/>
              <w:right w:val="outset" w:sz="6" w:space="0" w:color="000000"/>
            </w:tcBorders>
          </w:tcPr>
          <w:p w:rsidR="00EA3CC6" w:rsidRPr="00296917" w:rsidRDefault="00EA3CC6" w:rsidP="005C0C0C">
            <w:pPr>
              <w:spacing w:line="360" w:lineRule="auto"/>
            </w:pPr>
            <w:r w:rsidRPr="00296917">
              <w:t> </w:t>
            </w:r>
          </w:p>
        </w:tc>
        <w:tc>
          <w:tcPr>
            <w:tcW w:w="702" w:type="pct"/>
            <w:gridSpan w:val="2"/>
            <w:tcBorders>
              <w:top w:val="outset" w:sz="6" w:space="0" w:color="000000"/>
              <w:left w:val="outset" w:sz="6" w:space="0" w:color="000000"/>
              <w:bottom w:val="outset" w:sz="6" w:space="0" w:color="000000"/>
            </w:tcBorders>
          </w:tcPr>
          <w:p w:rsidR="00EA3CC6" w:rsidRPr="00296917" w:rsidRDefault="00EA3CC6" w:rsidP="005C0C0C">
            <w:pPr>
              <w:spacing w:line="360" w:lineRule="auto"/>
            </w:pPr>
            <w:r w:rsidRPr="00296917">
              <w:t> </w:t>
            </w:r>
          </w:p>
        </w:tc>
      </w:tr>
      <w:tr w:rsidR="00EA3CC6" w:rsidRPr="00296917" w:rsidTr="0073587A">
        <w:trPr>
          <w:gridAfter w:val="1"/>
          <w:wAfter w:w="4" w:type="pct"/>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6. Detalizēts ieņēmumu un izdevu</w:t>
            </w:r>
            <w:r w:rsidRPr="00296917">
              <w:softHyphen/>
              <w:t>mu aprēķins (ja nepieciešams, detalizētu ieņēmumu un izdevumu aprēķinu var pievienot anotācijas pielikumā):</w:t>
            </w:r>
          </w:p>
        </w:tc>
        <w:tc>
          <w:tcPr>
            <w:tcW w:w="574"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rPr>
                <w:b/>
              </w:rPr>
            </w:pPr>
          </w:p>
        </w:tc>
        <w:tc>
          <w:tcPr>
            <w:tcW w:w="519"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rPr>
                <w:b/>
              </w:rPr>
            </w:pPr>
          </w:p>
        </w:tc>
        <w:tc>
          <w:tcPr>
            <w:tcW w:w="749"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rPr>
                <w:b/>
              </w:rPr>
            </w:pPr>
          </w:p>
        </w:tc>
        <w:tc>
          <w:tcPr>
            <w:tcW w:w="803" w:type="pct"/>
            <w:tcBorders>
              <w:top w:val="outset" w:sz="6" w:space="0" w:color="000000"/>
              <w:left w:val="outset" w:sz="6" w:space="0" w:color="000000"/>
              <w:bottom w:val="outset" w:sz="6" w:space="0" w:color="000000"/>
              <w:right w:val="outset" w:sz="6" w:space="0" w:color="000000"/>
            </w:tcBorders>
            <w:vAlign w:val="center"/>
          </w:tcPr>
          <w:p w:rsidR="00EA3CC6" w:rsidRPr="00296917" w:rsidRDefault="00EA3CC6" w:rsidP="005C0C0C">
            <w:pPr>
              <w:rPr>
                <w:b/>
              </w:rPr>
            </w:pPr>
          </w:p>
        </w:tc>
        <w:tc>
          <w:tcPr>
            <w:tcW w:w="698" w:type="pct"/>
            <w:tcBorders>
              <w:top w:val="outset" w:sz="6" w:space="0" w:color="000000"/>
              <w:left w:val="outset" w:sz="6" w:space="0" w:color="000000"/>
              <w:bottom w:val="outset" w:sz="6" w:space="0" w:color="000000"/>
            </w:tcBorders>
            <w:vAlign w:val="center"/>
          </w:tcPr>
          <w:p w:rsidR="00EA3CC6" w:rsidRPr="00296917" w:rsidRDefault="00EA3CC6" w:rsidP="005C0C0C">
            <w:pPr>
              <w:rPr>
                <w:b/>
              </w:rPr>
            </w:pPr>
          </w:p>
        </w:tc>
      </w:tr>
      <w:tr w:rsidR="00EA3CC6" w:rsidRPr="00296917" w:rsidTr="0073587A">
        <w:trPr>
          <w:gridAfter w:val="1"/>
          <w:wAfter w:w="4" w:type="pct"/>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r w:rsidRPr="00296917">
              <w:t>6.1. detalizēts ieņēmumu aprēķins</w:t>
            </w:r>
          </w:p>
        </w:tc>
        <w:tc>
          <w:tcPr>
            <w:tcW w:w="3343" w:type="pct"/>
            <w:gridSpan w:val="5"/>
            <w:tcBorders>
              <w:top w:val="outset" w:sz="6" w:space="0" w:color="000000"/>
              <w:left w:val="outset" w:sz="6" w:space="0" w:color="000000"/>
              <w:bottom w:val="outset" w:sz="6" w:space="0" w:color="000000"/>
            </w:tcBorders>
            <w:vAlign w:val="center"/>
          </w:tcPr>
          <w:p w:rsidR="00EA3CC6" w:rsidRPr="00296917" w:rsidRDefault="00EA3CC6" w:rsidP="005C0C0C">
            <w:r w:rsidRPr="00296917">
              <w:t>Skatīt anotācijas pielikumu.</w:t>
            </w:r>
          </w:p>
        </w:tc>
      </w:tr>
      <w:tr w:rsidR="00EA3CC6" w:rsidRPr="00296917" w:rsidTr="0073587A">
        <w:trPr>
          <w:gridAfter w:val="1"/>
          <w:wAfter w:w="4" w:type="pct"/>
          <w:trHeight w:val="641"/>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r w:rsidRPr="00296917">
              <w:t>6.2. detalizēts izdevumu aprēķins</w:t>
            </w:r>
          </w:p>
        </w:tc>
        <w:tc>
          <w:tcPr>
            <w:tcW w:w="3343" w:type="pct"/>
            <w:gridSpan w:val="5"/>
            <w:tcBorders>
              <w:top w:val="outset" w:sz="6" w:space="0" w:color="000000"/>
              <w:left w:val="outset" w:sz="6" w:space="0" w:color="000000"/>
              <w:bottom w:val="outset" w:sz="6" w:space="0" w:color="000000"/>
            </w:tcBorders>
            <w:vAlign w:val="center"/>
          </w:tcPr>
          <w:p w:rsidR="00EA3CC6" w:rsidRPr="00296917" w:rsidRDefault="00EA3CC6" w:rsidP="005C0C0C">
            <w:pPr>
              <w:rPr>
                <w:b/>
              </w:rPr>
            </w:pPr>
            <w:r w:rsidRPr="00296917">
              <w:t>Skatīt anotācijas pielikumu.</w:t>
            </w:r>
          </w:p>
        </w:tc>
      </w:tr>
      <w:tr w:rsidR="00EA3CC6" w:rsidRPr="00296917" w:rsidTr="0073587A">
        <w:trPr>
          <w:gridAfter w:val="1"/>
          <w:wAfter w:w="4" w:type="pct"/>
          <w:jc w:val="center"/>
        </w:trPr>
        <w:tc>
          <w:tcPr>
            <w:tcW w:w="1653" w:type="pct"/>
            <w:tcBorders>
              <w:top w:val="outset" w:sz="6" w:space="0" w:color="000000"/>
              <w:bottom w:val="outset" w:sz="6" w:space="0" w:color="000000"/>
              <w:right w:val="outset" w:sz="6" w:space="0" w:color="000000"/>
            </w:tcBorders>
          </w:tcPr>
          <w:p w:rsidR="00EA3CC6" w:rsidRPr="00296917" w:rsidRDefault="00EA3CC6" w:rsidP="005C0C0C">
            <w:pPr>
              <w:spacing w:before="100" w:beforeAutospacing="1" w:after="100" w:afterAutospacing="1"/>
            </w:pPr>
            <w:r w:rsidRPr="00296917">
              <w:t>7. Cita informācija</w:t>
            </w:r>
          </w:p>
        </w:tc>
        <w:tc>
          <w:tcPr>
            <w:tcW w:w="3343" w:type="pct"/>
            <w:gridSpan w:val="5"/>
            <w:tcBorders>
              <w:top w:val="outset" w:sz="6" w:space="0" w:color="000000"/>
              <w:left w:val="outset" w:sz="6" w:space="0" w:color="000000"/>
              <w:bottom w:val="outset" w:sz="6" w:space="0" w:color="000000"/>
            </w:tcBorders>
          </w:tcPr>
          <w:p w:rsidR="00EA3CC6" w:rsidRPr="00296917" w:rsidRDefault="00EA3CC6" w:rsidP="005C0C0C">
            <w:pPr>
              <w:jc w:val="both"/>
            </w:pPr>
            <w:r w:rsidRPr="00296917">
              <w:t>Saskaņā ar jauno izcenojumu piemērošanu ieņēmumi par sniegtajiem maksa pakalpojumiem palielinās kopējo ieņēmumu apmēru programmā 27.00.00. „Augu veselība un augu aprites uzraudzība” vidēji par 5 tūkst. latu gadā. Ieņēmumi paredzēti to izdevumu segšanai, kas radīsies</w:t>
            </w:r>
            <w:r>
              <w:t>,</w:t>
            </w:r>
            <w:r w:rsidRPr="00296917">
              <w:t xml:space="preserve"> Valsts augu aizsardzības dienestam veicot jaunās funkcijas saskaņā ar anotācijas I sadaļā minētajām normatīvo aktu izmaiņām.</w:t>
            </w:r>
          </w:p>
          <w:p w:rsidR="00EA3CC6" w:rsidRPr="00296917" w:rsidRDefault="00EA3CC6" w:rsidP="005C0C0C">
            <w:pPr>
              <w:jc w:val="both"/>
            </w:pPr>
          </w:p>
        </w:tc>
      </w:tr>
    </w:tbl>
    <w:tbl>
      <w:tblPr>
        <w:tblpPr w:leftFromText="180" w:rightFromText="180" w:vertAnchor="text" w:horzAnchor="margin" w:tblpXSpec="center" w:tblpY="76"/>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02"/>
        <w:gridCol w:w="4492"/>
        <w:gridCol w:w="4530"/>
      </w:tblGrid>
      <w:tr w:rsidR="00EA3CC6" w:rsidRPr="00296917" w:rsidTr="00C86A2A">
        <w:tc>
          <w:tcPr>
            <w:tcW w:w="5000" w:type="pct"/>
            <w:gridSpan w:val="3"/>
          </w:tcPr>
          <w:p w:rsidR="00EA3CC6" w:rsidRPr="00296917" w:rsidRDefault="00EA3CC6" w:rsidP="0073587A">
            <w:pPr>
              <w:pStyle w:val="naisnod"/>
              <w:spacing w:before="0" w:after="0"/>
              <w:ind w:left="57"/>
            </w:pPr>
            <w:r w:rsidRPr="00296917">
              <w:t>VI. Sabiedrības līdzdalība un šīs līdzdalības rezultāti</w:t>
            </w:r>
          </w:p>
        </w:tc>
      </w:tr>
      <w:tr w:rsidR="00EA3CC6" w:rsidRPr="00296917" w:rsidTr="00C86A2A">
        <w:trPr>
          <w:trHeight w:val="553"/>
        </w:trPr>
        <w:tc>
          <w:tcPr>
            <w:tcW w:w="264" w:type="pct"/>
          </w:tcPr>
          <w:p w:rsidR="00EA3CC6" w:rsidRPr="00296917" w:rsidRDefault="00EA3CC6" w:rsidP="0073587A">
            <w:pPr>
              <w:pStyle w:val="naiskr"/>
              <w:spacing w:before="0" w:after="0"/>
              <w:ind w:left="57"/>
              <w:rPr>
                <w:bCs/>
              </w:rPr>
            </w:pPr>
            <w:r w:rsidRPr="00296917">
              <w:rPr>
                <w:bCs/>
              </w:rPr>
              <w:t>1.</w:t>
            </w:r>
          </w:p>
        </w:tc>
        <w:tc>
          <w:tcPr>
            <w:tcW w:w="2358" w:type="pct"/>
          </w:tcPr>
          <w:p w:rsidR="00EA3CC6" w:rsidRPr="00296917" w:rsidRDefault="00EA3CC6" w:rsidP="0073587A">
            <w:pPr>
              <w:pStyle w:val="naiskr"/>
              <w:tabs>
                <w:tab w:val="left" w:pos="170"/>
              </w:tabs>
              <w:spacing w:before="0" w:after="0"/>
              <w:ind w:left="57"/>
            </w:pPr>
            <w:r w:rsidRPr="00296917">
              <w:t>Sabiedrības informēšana par projekta izstrādes uzsākšanu</w:t>
            </w:r>
          </w:p>
        </w:tc>
        <w:tc>
          <w:tcPr>
            <w:tcW w:w="2378" w:type="pct"/>
          </w:tcPr>
          <w:p w:rsidR="00EA3CC6" w:rsidRPr="00296917" w:rsidRDefault="00EA3CC6" w:rsidP="0073587A">
            <w:pPr>
              <w:pStyle w:val="naiskr"/>
              <w:spacing w:before="0" w:after="0"/>
              <w:ind w:left="57"/>
              <w:jc w:val="both"/>
            </w:pPr>
            <w:r w:rsidRPr="00296917">
              <w:rPr>
                <w:kern w:val="36"/>
              </w:rPr>
              <w:t>Noteikumu projekts 2012.gada 5.janvārī tik</w:t>
            </w:r>
            <w:r>
              <w:rPr>
                <w:kern w:val="36"/>
              </w:rPr>
              <w:t>a</w:t>
            </w:r>
            <w:r w:rsidRPr="00296917">
              <w:rPr>
                <w:kern w:val="36"/>
              </w:rPr>
              <w:t xml:space="preserve"> nosūtīts saskaņošanai Latvijas augu aizsardzības līdzekļu ražotāju un tirgotāju asociācijai, </w:t>
            </w:r>
            <w:r w:rsidRPr="00296917">
              <w:rPr>
                <w:iCs/>
              </w:rPr>
              <w:t>Kokapstrādes tehnoloģijas centra Sertifikācijas birojam, Sertifikācijas un testēšanas centram, Kokrūpniecības federācijai, Zemnieku saeimai un Lauksaimnieku organizācijas sadarbības padomei.</w:t>
            </w:r>
          </w:p>
        </w:tc>
      </w:tr>
      <w:tr w:rsidR="00EA3CC6" w:rsidRPr="00296917" w:rsidTr="00C86A2A">
        <w:trPr>
          <w:trHeight w:val="339"/>
        </w:trPr>
        <w:tc>
          <w:tcPr>
            <w:tcW w:w="264" w:type="pct"/>
          </w:tcPr>
          <w:p w:rsidR="00EA3CC6" w:rsidRPr="00296917" w:rsidRDefault="00EA3CC6" w:rsidP="0073587A">
            <w:pPr>
              <w:pStyle w:val="naiskr"/>
              <w:spacing w:before="0" w:after="0"/>
              <w:ind w:left="57"/>
              <w:rPr>
                <w:bCs/>
              </w:rPr>
            </w:pPr>
            <w:r w:rsidRPr="00296917">
              <w:rPr>
                <w:bCs/>
              </w:rPr>
              <w:t>2.</w:t>
            </w:r>
          </w:p>
        </w:tc>
        <w:tc>
          <w:tcPr>
            <w:tcW w:w="2358" w:type="pct"/>
          </w:tcPr>
          <w:p w:rsidR="00EA3CC6" w:rsidRPr="00296917" w:rsidRDefault="00EA3CC6" w:rsidP="0073587A">
            <w:pPr>
              <w:pStyle w:val="naiskr"/>
              <w:spacing w:before="0" w:after="0"/>
              <w:ind w:left="57"/>
            </w:pPr>
            <w:r w:rsidRPr="00296917">
              <w:t xml:space="preserve">Sabiedrības līdzdalība projekta izstrādē </w:t>
            </w:r>
          </w:p>
        </w:tc>
        <w:tc>
          <w:tcPr>
            <w:tcW w:w="2378" w:type="pct"/>
          </w:tcPr>
          <w:p w:rsidR="00EA3CC6" w:rsidRPr="00296917" w:rsidRDefault="00EA3CC6" w:rsidP="0073587A">
            <w:pPr>
              <w:pStyle w:val="naiskr"/>
              <w:spacing w:before="0" w:after="0"/>
              <w:ind w:left="57"/>
              <w:jc w:val="both"/>
            </w:pPr>
            <w:r w:rsidRPr="00296917">
              <w:t xml:space="preserve">Projekts saskaņošanai nosūtīts tām sabiedriskajām organizācijām, kas pārstāv projekta </w:t>
            </w:r>
            <w:proofErr w:type="spellStart"/>
            <w:r w:rsidRPr="00296917">
              <w:t>mērķgrupas</w:t>
            </w:r>
            <w:proofErr w:type="spellEnd"/>
            <w:r w:rsidRPr="00296917">
              <w:t xml:space="preserve"> intereses. </w:t>
            </w:r>
          </w:p>
        </w:tc>
      </w:tr>
      <w:tr w:rsidR="00EA3CC6" w:rsidRPr="00296917" w:rsidTr="00C86A2A">
        <w:trPr>
          <w:trHeight w:val="375"/>
        </w:trPr>
        <w:tc>
          <w:tcPr>
            <w:tcW w:w="264" w:type="pct"/>
          </w:tcPr>
          <w:p w:rsidR="00EA3CC6" w:rsidRPr="00296917" w:rsidRDefault="00EA3CC6" w:rsidP="0073587A">
            <w:pPr>
              <w:pStyle w:val="naiskr"/>
              <w:spacing w:before="0" w:after="0"/>
              <w:ind w:left="57"/>
              <w:rPr>
                <w:bCs/>
              </w:rPr>
            </w:pPr>
            <w:r w:rsidRPr="00296917">
              <w:rPr>
                <w:bCs/>
              </w:rPr>
              <w:t>3.</w:t>
            </w:r>
          </w:p>
        </w:tc>
        <w:tc>
          <w:tcPr>
            <w:tcW w:w="2358" w:type="pct"/>
          </w:tcPr>
          <w:p w:rsidR="00EA3CC6" w:rsidRPr="00296917" w:rsidRDefault="00EA3CC6" w:rsidP="0073587A">
            <w:pPr>
              <w:pStyle w:val="naiskr"/>
              <w:spacing w:before="0" w:after="0"/>
              <w:ind w:left="57"/>
            </w:pPr>
            <w:r w:rsidRPr="00296917">
              <w:t xml:space="preserve">Sabiedrības līdzdalības rezultāti </w:t>
            </w:r>
          </w:p>
        </w:tc>
        <w:tc>
          <w:tcPr>
            <w:tcW w:w="2378" w:type="pct"/>
          </w:tcPr>
          <w:p w:rsidR="00EA3CC6" w:rsidRPr="00296917" w:rsidRDefault="00EA3CC6" w:rsidP="0073587A">
            <w:pPr>
              <w:pStyle w:val="naiskr"/>
              <w:spacing w:before="0" w:after="0"/>
              <w:ind w:left="57"/>
              <w:jc w:val="both"/>
            </w:pPr>
            <w:r w:rsidRPr="00296917">
              <w:t>Organizācijas atbalstījušas projektu bez iebildumiem.</w:t>
            </w:r>
          </w:p>
        </w:tc>
      </w:tr>
      <w:tr w:rsidR="00EA3CC6" w:rsidRPr="00296917" w:rsidTr="00C86A2A">
        <w:trPr>
          <w:trHeight w:val="397"/>
        </w:trPr>
        <w:tc>
          <w:tcPr>
            <w:tcW w:w="264" w:type="pct"/>
          </w:tcPr>
          <w:p w:rsidR="00EA3CC6" w:rsidRPr="00296917" w:rsidRDefault="00EA3CC6" w:rsidP="0073587A">
            <w:pPr>
              <w:pStyle w:val="naiskr"/>
              <w:spacing w:before="0" w:after="0"/>
              <w:ind w:left="57"/>
              <w:rPr>
                <w:bCs/>
              </w:rPr>
            </w:pPr>
            <w:r w:rsidRPr="00296917">
              <w:rPr>
                <w:bCs/>
              </w:rPr>
              <w:t>4.</w:t>
            </w:r>
          </w:p>
        </w:tc>
        <w:tc>
          <w:tcPr>
            <w:tcW w:w="2358" w:type="pct"/>
          </w:tcPr>
          <w:p w:rsidR="00EA3CC6" w:rsidRPr="00296917" w:rsidRDefault="00EA3CC6" w:rsidP="0073587A">
            <w:pPr>
              <w:pStyle w:val="naiskr"/>
              <w:spacing w:before="0" w:after="0"/>
              <w:ind w:left="57"/>
            </w:pPr>
            <w:r w:rsidRPr="00296917">
              <w:t>Saeimas un ekspertu līdzdalība</w:t>
            </w:r>
          </w:p>
        </w:tc>
        <w:tc>
          <w:tcPr>
            <w:tcW w:w="2378" w:type="pct"/>
          </w:tcPr>
          <w:p w:rsidR="00EA3CC6" w:rsidRPr="00296917" w:rsidRDefault="00EA3CC6" w:rsidP="0073587A">
            <w:pPr>
              <w:pStyle w:val="naiskr"/>
              <w:spacing w:before="0" w:after="0"/>
              <w:ind w:left="57"/>
              <w:jc w:val="both"/>
            </w:pPr>
            <w:r w:rsidRPr="00296917">
              <w:rPr>
                <w:iCs/>
              </w:rPr>
              <w:t>Projekts šo jomu neskar</w:t>
            </w:r>
            <w:r w:rsidRPr="00296917">
              <w:t>.</w:t>
            </w:r>
          </w:p>
        </w:tc>
      </w:tr>
      <w:tr w:rsidR="00EA3CC6" w:rsidRPr="00296917" w:rsidTr="00C86A2A">
        <w:trPr>
          <w:trHeight w:val="271"/>
        </w:trPr>
        <w:tc>
          <w:tcPr>
            <w:tcW w:w="264" w:type="pct"/>
          </w:tcPr>
          <w:p w:rsidR="00EA3CC6" w:rsidRPr="00296917" w:rsidRDefault="00EA3CC6" w:rsidP="0073587A">
            <w:pPr>
              <w:pStyle w:val="naiskr"/>
              <w:spacing w:before="0" w:after="0"/>
              <w:ind w:left="57"/>
              <w:rPr>
                <w:bCs/>
              </w:rPr>
            </w:pPr>
            <w:r w:rsidRPr="00296917">
              <w:rPr>
                <w:bCs/>
              </w:rPr>
              <w:t>5.</w:t>
            </w:r>
          </w:p>
        </w:tc>
        <w:tc>
          <w:tcPr>
            <w:tcW w:w="2358" w:type="pct"/>
          </w:tcPr>
          <w:p w:rsidR="00EA3CC6" w:rsidRPr="00296917" w:rsidRDefault="00EA3CC6" w:rsidP="0073587A">
            <w:pPr>
              <w:pStyle w:val="naiskr"/>
              <w:spacing w:before="0" w:after="0"/>
              <w:ind w:left="57"/>
            </w:pPr>
            <w:r w:rsidRPr="00296917">
              <w:t>Cita informācija</w:t>
            </w:r>
          </w:p>
        </w:tc>
        <w:tc>
          <w:tcPr>
            <w:tcW w:w="2378" w:type="pct"/>
          </w:tcPr>
          <w:p w:rsidR="00EA3CC6" w:rsidRPr="00296917" w:rsidRDefault="00EA3CC6" w:rsidP="0073587A">
            <w:pPr>
              <w:pStyle w:val="naiskr"/>
              <w:spacing w:before="0" w:after="0"/>
              <w:ind w:left="57" w:right="198"/>
              <w:jc w:val="both"/>
            </w:pPr>
            <w:r w:rsidRPr="00296917">
              <w:t>Nav.</w:t>
            </w:r>
          </w:p>
        </w:tc>
      </w:tr>
    </w:tbl>
    <w:p w:rsidR="00EA3CC6" w:rsidRPr="00296917" w:rsidRDefault="00EA3CC6" w:rsidP="00435E6D">
      <w:pPr>
        <w:pStyle w:val="naisf"/>
        <w:spacing w:before="0" w:after="0"/>
        <w:rPr>
          <w:i/>
        </w:rPr>
      </w:pPr>
    </w:p>
    <w:p w:rsidR="00EA3CC6" w:rsidRPr="00296917" w:rsidRDefault="00EA3CC6" w:rsidP="00435E6D">
      <w:pPr>
        <w:pStyle w:val="naisf"/>
        <w:spacing w:before="0" w:after="0"/>
        <w:rPr>
          <w:i/>
        </w:rPr>
      </w:pPr>
    </w:p>
    <w:p w:rsidR="00EA3CC6" w:rsidRPr="00296917" w:rsidRDefault="00EA3CC6" w:rsidP="00435E6D">
      <w:pPr>
        <w:pStyle w:val="naisf"/>
        <w:spacing w:before="0" w:after="0"/>
        <w:rPr>
          <w:b/>
          <w:bCs/>
        </w:rPr>
      </w:pPr>
    </w:p>
    <w:p w:rsidR="00EA3CC6" w:rsidRPr="00296917" w:rsidRDefault="00EA3CC6" w:rsidP="00435E6D">
      <w:pPr>
        <w:pStyle w:val="naisf"/>
        <w:spacing w:before="0" w:after="0"/>
        <w:rPr>
          <w:b/>
          <w:bCs/>
        </w:rPr>
      </w:pPr>
    </w:p>
    <w:p w:rsidR="00EA3CC6" w:rsidRPr="00296917" w:rsidRDefault="00EA3CC6" w:rsidP="00435E6D">
      <w:pPr>
        <w:pStyle w:val="naisf"/>
        <w:spacing w:before="0" w:after="0"/>
        <w:rPr>
          <w:b/>
          <w:bCs/>
        </w:rPr>
      </w:pPr>
    </w:p>
    <w:p w:rsidR="00EA3CC6" w:rsidRPr="00296917" w:rsidRDefault="00EA3CC6" w:rsidP="00DF212D">
      <w:pPr>
        <w:pStyle w:val="naisf"/>
        <w:spacing w:before="0" w:after="0"/>
        <w:ind w:firstLine="0"/>
        <w:rPr>
          <w:b/>
          <w:bCs/>
        </w:rPr>
      </w:pPr>
    </w:p>
    <w:p w:rsidR="00EA3CC6" w:rsidRPr="00296917" w:rsidRDefault="00EA3CC6" w:rsidP="001B7582">
      <w:pPr>
        <w:pStyle w:val="naisf"/>
        <w:spacing w:before="0" w:after="0"/>
        <w:ind w:firstLine="0"/>
        <w:rPr>
          <w:b/>
          <w:bCs/>
        </w:rPr>
      </w:pPr>
    </w:p>
    <w:tbl>
      <w:tblPr>
        <w:tblpPr w:leftFromText="180" w:rightFromText="180" w:vertAnchor="page" w:horzAnchor="margin" w:tblpXSpec="center" w:tblpY="147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0"/>
        <w:gridCol w:w="4490"/>
        <w:gridCol w:w="4486"/>
      </w:tblGrid>
      <w:tr w:rsidR="00EA3CC6" w:rsidRPr="00296917" w:rsidTr="00C45A8D">
        <w:tc>
          <w:tcPr>
            <w:tcW w:w="9526" w:type="dxa"/>
            <w:gridSpan w:val="3"/>
          </w:tcPr>
          <w:p w:rsidR="00EA3CC6" w:rsidRPr="00296917" w:rsidRDefault="00EA3CC6" w:rsidP="0073587A">
            <w:pPr>
              <w:pStyle w:val="naisf"/>
              <w:spacing w:before="0" w:after="0"/>
              <w:rPr>
                <w:b/>
                <w:bCs/>
              </w:rPr>
            </w:pPr>
            <w:r w:rsidRPr="00296917">
              <w:rPr>
                <w:b/>
                <w:bCs/>
              </w:rPr>
              <w:lastRenderedPageBreak/>
              <w:t>VII. Tiesību akta projekta izpildes nodrošināšana un tās ietekme uz institūcijām</w:t>
            </w:r>
          </w:p>
        </w:tc>
      </w:tr>
      <w:tr w:rsidR="00EA3CC6" w:rsidRPr="00296917" w:rsidTr="00C45A8D">
        <w:trPr>
          <w:trHeight w:val="427"/>
        </w:trPr>
        <w:tc>
          <w:tcPr>
            <w:tcW w:w="550" w:type="dxa"/>
          </w:tcPr>
          <w:p w:rsidR="00EA3CC6" w:rsidRPr="00296917" w:rsidRDefault="00EA3CC6" w:rsidP="0073587A">
            <w:pPr>
              <w:pStyle w:val="naisf"/>
              <w:spacing w:before="0" w:after="0"/>
              <w:ind w:firstLine="0"/>
              <w:rPr>
                <w:bCs/>
              </w:rPr>
            </w:pPr>
            <w:r w:rsidRPr="00296917">
              <w:rPr>
                <w:bCs/>
              </w:rPr>
              <w:t>1.</w:t>
            </w:r>
          </w:p>
        </w:tc>
        <w:tc>
          <w:tcPr>
            <w:tcW w:w="4490" w:type="dxa"/>
          </w:tcPr>
          <w:p w:rsidR="00EA3CC6" w:rsidRPr="00296917" w:rsidRDefault="00EA3CC6" w:rsidP="0073587A">
            <w:pPr>
              <w:pStyle w:val="naisf"/>
              <w:spacing w:before="0" w:after="0"/>
            </w:pPr>
            <w:r w:rsidRPr="00296917">
              <w:t xml:space="preserve">Projekta izpildē iesaistītās institūcijas </w:t>
            </w:r>
          </w:p>
        </w:tc>
        <w:tc>
          <w:tcPr>
            <w:tcW w:w="4486" w:type="dxa"/>
          </w:tcPr>
          <w:p w:rsidR="00EA3CC6" w:rsidRPr="00296917" w:rsidRDefault="00EA3CC6" w:rsidP="0073587A">
            <w:pPr>
              <w:pStyle w:val="naisf"/>
              <w:spacing w:before="0" w:after="0"/>
              <w:rPr>
                <w:bCs/>
              </w:rPr>
            </w:pPr>
            <w:r w:rsidRPr="00296917">
              <w:rPr>
                <w:bCs/>
                <w:iCs/>
              </w:rPr>
              <w:t>Izpildi nodrošinās Valsts augu aizsardzības dienests.</w:t>
            </w:r>
          </w:p>
        </w:tc>
      </w:tr>
      <w:tr w:rsidR="00EA3CC6" w:rsidRPr="00296917" w:rsidTr="00C45A8D">
        <w:trPr>
          <w:trHeight w:val="463"/>
        </w:trPr>
        <w:tc>
          <w:tcPr>
            <w:tcW w:w="550" w:type="dxa"/>
          </w:tcPr>
          <w:p w:rsidR="00EA3CC6" w:rsidRPr="00296917" w:rsidRDefault="00EA3CC6" w:rsidP="0073587A">
            <w:pPr>
              <w:pStyle w:val="naisf"/>
              <w:spacing w:before="0" w:after="0"/>
              <w:ind w:firstLine="0"/>
              <w:rPr>
                <w:bCs/>
              </w:rPr>
            </w:pPr>
            <w:r w:rsidRPr="00296917">
              <w:rPr>
                <w:bCs/>
              </w:rPr>
              <w:t>2.</w:t>
            </w:r>
          </w:p>
        </w:tc>
        <w:tc>
          <w:tcPr>
            <w:tcW w:w="4490" w:type="dxa"/>
          </w:tcPr>
          <w:p w:rsidR="00EA3CC6" w:rsidRPr="00296917" w:rsidRDefault="00EA3CC6" w:rsidP="0073587A">
            <w:pPr>
              <w:pStyle w:val="naisf"/>
              <w:spacing w:before="0" w:after="0"/>
            </w:pPr>
            <w:r w:rsidRPr="00296917">
              <w:t xml:space="preserve">Projekta izpildes ietekme uz pārvaldes funkcijām </w:t>
            </w:r>
          </w:p>
        </w:tc>
        <w:tc>
          <w:tcPr>
            <w:tcW w:w="4486" w:type="dxa"/>
          </w:tcPr>
          <w:p w:rsidR="00EA3CC6" w:rsidRPr="00296917" w:rsidRDefault="00EA3CC6" w:rsidP="0073587A">
            <w:pPr>
              <w:pStyle w:val="naisf"/>
              <w:spacing w:before="0" w:after="0"/>
              <w:rPr>
                <w:bCs/>
              </w:rPr>
            </w:pPr>
            <w:r w:rsidRPr="00296917">
              <w:rPr>
                <w:bCs/>
              </w:rPr>
              <w:t>Iestādes funkcijas netiks mainītas.</w:t>
            </w:r>
          </w:p>
        </w:tc>
      </w:tr>
      <w:tr w:rsidR="00EA3CC6" w:rsidRPr="00296917" w:rsidTr="00C45A8D">
        <w:trPr>
          <w:trHeight w:val="725"/>
        </w:trPr>
        <w:tc>
          <w:tcPr>
            <w:tcW w:w="550" w:type="dxa"/>
          </w:tcPr>
          <w:p w:rsidR="00EA3CC6" w:rsidRPr="00296917" w:rsidRDefault="00EA3CC6" w:rsidP="0073587A">
            <w:pPr>
              <w:pStyle w:val="naisf"/>
              <w:spacing w:before="0" w:after="0"/>
              <w:ind w:firstLine="0"/>
              <w:rPr>
                <w:bCs/>
              </w:rPr>
            </w:pPr>
            <w:r w:rsidRPr="00296917">
              <w:rPr>
                <w:bCs/>
              </w:rPr>
              <w:t>3.</w:t>
            </w:r>
          </w:p>
        </w:tc>
        <w:tc>
          <w:tcPr>
            <w:tcW w:w="4490" w:type="dxa"/>
          </w:tcPr>
          <w:p w:rsidR="00EA3CC6" w:rsidRPr="00296917" w:rsidRDefault="00EA3CC6" w:rsidP="0073587A">
            <w:pPr>
              <w:pStyle w:val="naisf"/>
              <w:spacing w:before="0" w:after="0"/>
            </w:pPr>
            <w:r w:rsidRPr="00296917">
              <w:t>Projekta izpildes ietekme uz pārvaldes institucionālo struktūru.</w:t>
            </w:r>
          </w:p>
          <w:p w:rsidR="00EA3CC6" w:rsidRPr="00296917" w:rsidRDefault="00EA3CC6" w:rsidP="0073587A">
            <w:pPr>
              <w:pStyle w:val="naisf"/>
              <w:spacing w:before="0" w:after="0"/>
            </w:pPr>
            <w:r w:rsidRPr="00296917">
              <w:t>Jaunu institūciju izveide</w:t>
            </w:r>
          </w:p>
        </w:tc>
        <w:tc>
          <w:tcPr>
            <w:tcW w:w="4486" w:type="dxa"/>
          </w:tcPr>
          <w:p w:rsidR="00EA3CC6" w:rsidRPr="00296917" w:rsidRDefault="00EA3CC6" w:rsidP="0073587A">
            <w:pPr>
              <w:pStyle w:val="naisf"/>
              <w:spacing w:before="0" w:after="0"/>
              <w:rPr>
                <w:bCs/>
              </w:rPr>
            </w:pPr>
            <w:r w:rsidRPr="00296917">
              <w:rPr>
                <w:bCs/>
                <w:iCs/>
              </w:rPr>
              <w:t>Nav nepieciešama jaunu institūciju izveide.</w:t>
            </w:r>
          </w:p>
        </w:tc>
      </w:tr>
      <w:tr w:rsidR="00EA3CC6" w:rsidRPr="00296917" w:rsidTr="00C45A8D">
        <w:trPr>
          <w:trHeight w:val="780"/>
        </w:trPr>
        <w:tc>
          <w:tcPr>
            <w:tcW w:w="550" w:type="dxa"/>
          </w:tcPr>
          <w:p w:rsidR="00EA3CC6" w:rsidRPr="00296917" w:rsidRDefault="00EA3CC6" w:rsidP="0073587A">
            <w:pPr>
              <w:pStyle w:val="naisf"/>
              <w:spacing w:before="0" w:after="0"/>
              <w:ind w:firstLine="0"/>
              <w:rPr>
                <w:bCs/>
              </w:rPr>
            </w:pPr>
            <w:r w:rsidRPr="00296917">
              <w:rPr>
                <w:bCs/>
              </w:rPr>
              <w:t>4.</w:t>
            </w:r>
          </w:p>
        </w:tc>
        <w:tc>
          <w:tcPr>
            <w:tcW w:w="4490" w:type="dxa"/>
          </w:tcPr>
          <w:p w:rsidR="00EA3CC6" w:rsidRPr="00296917" w:rsidRDefault="00EA3CC6" w:rsidP="0073587A">
            <w:pPr>
              <w:pStyle w:val="naisf"/>
              <w:spacing w:before="0" w:after="0"/>
            </w:pPr>
            <w:r w:rsidRPr="00296917">
              <w:t>Projekta izpildes ietekme uz pārvaldes institucionālo struktūru.</w:t>
            </w:r>
          </w:p>
          <w:p w:rsidR="00EA3CC6" w:rsidRPr="00296917" w:rsidRDefault="00EA3CC6" w:rsidP="0073587A">
            <w:pPr>
              <w:pStyle w:val="naisf"/>
              <w:spacing w:before="0" w:after="0"/>
            </w:pPr>
            <w:r w:rsidRPr="00296917">
              <w:t>Esošu institūciju likvidācija</w:t>
            </w:r>
          </w:p>
        </w:tc>
        <w:tc>
          <w:tcPr>
            <w:tcW w:w="4486" w:type="dxa"/>
          </w:tcPr>
          <w:p w:rsidR="00EA3CC6" w:rsidRPr="00296917" w:rsidRDefault="00EA3CC6" w:rsidP="0073587A">
            <w:pPr>
              <w:pStyle w:val="naisf"/>
              <w:spacing w:before="0" w:after="0"/>
              <w:rPr>
                <w:bCs/>
              </w:rPr>
            </w:pPr>
            <w:r w:rsidRPr="00296917">
              <w:rPr>
                <w:bCs/>
                <w:iCs/>
              </w:rPr>
              <w:t>Nav attiecināms.</w:t>
            </w:r>
          </w:p>
        </w:tc>
      </w:tr>
      <w:tr w:rsidR="00EA3CC6" w:rsidRPr="00296917" w:rsidTr="00C45A8D">
        <w:trPr>
          <w:trHeight w:val="703"/>
        </w:trPr>
        <w:tc>
          <w:tcPr>
            <w:tcW w:w="550" w:type="dxa"/>
          </w:tcPr>
          <w:p w:rsidR="00EA3CC6" w:rsidRPr="00296917" w:rsidRDefault="00EA3CC6" w:rsidP="0073587A">
            <w:pPr>
              <w:pStyle w:val="naisf"/>
              <w:spacing w:before="0" w:after="0"/>
              <w:ind w:firstLine="0"/>
              <w:rPr>
                <w:bCs/>
              </w:rPr>
            </w:pPr>
            <w:r w:rsidRPr="00296917">
              <w:rPr>
                <w:bCs/>
              </w:rPr>
              <w:t>5.</w:t>
            </w:r>
          </w:p>
        </w:tc>
        <w:tc>
          <w:tcPr>
            <w:tcW w:w="4490" w:type="dxa"/>
          </w:tcPr>
          <w:p w:rsidR="00EA3CC6" w:rsidRPr="00296917" w:rsidRDefault="00EA3CC6" w:rsidP="0073587A">
            <w:pPr>
              <w:pStyle w:val="naisf"/>
              <w:spacing w:before="0" w:after="0"/>
            </w:pPr>
            <w:r w:rsidRPr="00296917">
              <w:t>Projekta izpildes ietekme uz pārvaldes institucionālo struktūru.</w:t>
            </w:r>
          </w:p>
          <w:p w:rsidR="00EA3CC6" w:rsidRPr="00296917" w:rsidRDefault="00EA3CC6" w:rsidP="0073587A">
            <w:pPr>
              <w:pStyle w:val="naisf"/>
              <w:spacing w:before="0" w:after="0"/>
            </w:pPr>
            <w:r w:rsidRPr="00296917">
              <w:t>Esošu institūciju reorganizācija</w:t>
            </w:r>
          </w:p>
        </w:tc>
        <w:tc>
          <w:tcPr>
            <w:tcW w:w="4486" w:type="dxa"/>
          </w:tcPr>
          <w:p w:rsidR="00EA3CC6" w:rsidRPr="00296917" w:rsidRDefault="00EA3CC6" w:rsidP="0073587A">
            <w:pPr>
              <w:pStyle w:val="naisf"/>
              <w:spacing w:before="0" w:after="0"/>
              <w:rPr>
                <w:bCs/>
              </w:rPr>
            </w:pPr>
            <w:r w:rsidRPr="00296917">
              <w:rPr>
                <w:bCs/>
                <w:iCs/>
              </w:rPr>
              <w:t>Nav attiecināms.</w:t>
            </w:r>
          </w:p>
        </w:tc>
      </w:tr>
      <w:tr w:rsidR="00EA3CC6" w:rsidRPr="00296917" w:rsidTr="00C45A8D">
        <w:trPr>
          <w:trHeight w:val="476"/>
        </w:trPr>
        <w:tc>
          <w:tcPr>
            <w:tcW w:w="550" w:type="dxa"/>
          </w:tcPr>
          <w:p w:rsidR="00EA3CC6" w:rsidRPr="00296917" w:rsidRDefault="00EA3CC6" w:rsidP="0073587A">
            <w:pPr>
              <w:pStyle w:val="naisf"/>
              <w:spacing w:before="0" w:after="0"/>
              <w:ind w:firstLine="0"/>
            </w:pPr>
            <w:r w:rsidRPr="00296917">
              <w:t>6.</w:t>
            </w:r>
          </w:p>
        </w:tc>
        <w:tc>
          <w:tcPr>
            <w:tcW w:w="4490" w:type="dxa"/>
          </w:tcPr>
          <w:p w:rsidR="00EA3CC6" w:rsidRPr="00296917" w:rsidRDefault="00EA3CC6" w:rsidP="0073587A">
            <w:pPr>
              <w:pStyle w:val="naisf"/>
              <w:spacing w:before="0" w:after="0"/>
            </w:pPr>
            <w:r w:rsidRPr="00296917">
              <w:t>Cita informācija</w:t>
            </w:r>
          </w:p>
        </w:tc>
        <w:tc>
          <w:tcPr>
            <w:tcW w:w="4486" w:type="dxa"/>
          </w:tcPr>
          <w:p w:rsidR="00EA3CC6" w:rsidRPr="00296917" w:rsidRDefault="00EA3CC6" w:rsidP="0073587A">
            <w:pPr>
              <w:pStyle w:val="naisf"/>
              <w:spacing w:before="0" w:after="0"/>
            </w:pPr>
            <w:r w:rsidRPr="00296917">
              <w:t>Nav.</w:t>
            </w:r>
          </w:p>
        </w:tc>
      </w:tr>
    </w:tbl>
    <w:p w:rsidR="00EA3CC6" w:rsidRPr="00296917" w:rsidRDefault="00EA3CC6" w:rsidP="00DF212D">
      <w:pPr>
        <w:pStyle w:val="naisf"/>
        <w:spacing w:before="0" w:after="0"/>
        <w:ind w:firstLine="0"/>
        <w:rPr>
          <w:i/>
        </w:rPr>
      </w:pPr>
    </w:p>
    <w:p w:rsidR="00EA3CC6" w:rsidRPr="00296917" w:rsidRDefault="00EA3CC6" w:rsidP="00DF212D">
      <w:pPr>
        <w:pStyle w:val="naisf"/>
        <w:spacing w:before="0" w:after="0"/>
        <w:ind w:firstLine="0"/>
        <w:rPr>
          <w:i/>
        </w:rPr>
      </w:pPr>
    </w:p>
    <w:tbl>
      <w:tblPr>
        <w:tblpPr w:leftFromText="180" w:rightFromText="180" w:vertAnchor="text" w:horzAnchor="margin" w:tblpXSpec="center" w:tblpY="11"/>
        <w:tblW w:w="552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045"/>
        <w:gridCol w:w="7050"/>
      </w:tblGrid>
      <w:tr w:rsidR="00EA3CC6" w:rsidRPr="00296917" w:rsidTr="00B805AE">
        <w:trPr>
          <w:trHeight w:val="241"/>
        </w:trPr>
        <w:tc>
          <w:tcPr>
            <w:tcW w:w="5000" w:type="pct"/>
            <w:gridSpan w:val="2"/>
            <w:tcBorders>
              <w:top w:val="single" w:sz="4" w:space="0" w:color="auto"/>
              <w:left w:val="single" w:sz="4" w:space="0" w:color="auto"/>
              <w:bottom w:val="outset" w:sz="6" w:space="0" w:color="000000"/>
              <w:right w:val="single" w:sz="4" w:space="0" w:color="auto"/>
            </w:tcBorders>
          </w:tcPr>
          <w:p w:rsidR="00EA3CC6" w:rsidRPr="00296917" w:rsidRDefault="00EA3CC6" w:rsidP="00B805AE">
            <w:pPr>
              <w:pStyle w:val="naisf"/>
              <w:spacing w:before="0" w:after="0"/>
              <w:jc w:val="center"/>
              <w:rPr>
                <w:b/>
                <w:bCs/>
              </w:rPr>
            </w:pPr>
            <w:r w:rsidRPr="00296917">
              <w:rPr>
                <w:b/>
                <w:bCs/>
              </w:rPr>
              <w:t>IV. Tiesību akta projekta ietekme uz spēkā esošo tiesību normu sistēmu</w:t>
            </w:r>
          </w:p>
        </w:tc>
      </w:tr>
      <w:tr w:rsidR="00EA3CC6" w:rsidRPr="00296917" w:rsidTr="00B805AE">
        <w:trPr>
          <w:trHeight w:val="482"/>
        </w:trPr>
        <w:tc>
          <w:tcPr>
            <w:tcW w:w="0" w:type="auto"/>
            <w:tcBorders>
              <w:top w:val="outset" w:sz="6" w:space="0" w:color="000000"/>
              <w:bottom w:val="outset" w:sz="6" w:space="0" w:color="000000"/>
              <w:right w:val="outset" w:sz="6" w:space="0" w:color="000000"/>
            </w:tcBorders>
          </w:tcPr>
          <w:p w:rsidR="00EA3CC6" w:rsidRPr="00296917" w:rsidRDefault="00EA3CC6" w:rsidP="00B805AE">
            <w:pPr>
              <w:pStyle w:val="naisf"/>
              <w:spacing w:before="0" w:after="0"/>
              <w:ind w:firstLine="0"/>
            </w:pPr>
            <w:r w:rsidRPr="00296917">
              <w:t>Nepieciešamie saistītie tiesību aktu projekti</w:t>
            </w:r>
          </w:p>
        </w:tc>
        <w:tc>
          <w:tcPr>
            <w:tcW w:w="3492" w:type="pct"/>
            <w:tcBorders>
              <w:top w:val="outset" w:sz="6" w:space="0" w:color="000000"/>
              <w:left w:val="outset" w:sz="6" w:space="0" w:color="000000"/>
              <w:bottom w:val="outset" w:sz="6" w:space="0" w:color="000000"/>
            </w:tcBorders>
          </w:tcPr>
          <w:p w:rsidR="00EA3CC6" w:rsidRPr="00296917" w:rsidRDefault="00EA3CC6" w:rsidP="00CE290D">
            <w:pPr>
              <w:jc w:val="both"/>
            </w:pPr>
            <w:r w:rsidRPr="00296917">
              <w:t>Noteikumu projekts (</w:t>
            </w:r>
            <w:r>
              <w:t xml:space="preserve">„Grozījumi </w:t>
            </w:r>
            <w:r w:rsidRPr="00296917">
              <w:rPr>
                <w:iCs/>
              </w:rPr>
              <w:t>Ministru kabineta 2011.gada 1.marta noteikumos Nr.163 „Noteikumi par Valsts augu aizsardzības dienesta sniegto maksas pakalpojumu cenrādi”</w:t>
            </w:r>
            <w:r>
              <w:rPr>
                <w:iCs/>
              </w:rPr>
              <w:t>”</w:t>
            </w:r>
            <w:r w:rsidRPr="00296917">
              <w:rPr>
                <w:iCs/>
              </w:rPr>
              <w:t xml:space="preserve">, paredzot iekļaut jaunus maksas pakalpojumus par </w:t>
            </w:r>
            <w:r w:rsidRPr="00296917">
              <w:t>atzīšanas apliecības izsniegšanu laboratorijai un laboratorijas ikgadējo pārbaudi, par salīdzinošo testēšanu un teorētiskajām un praktiskajām nodarbībām references laboratorijā) izskatīšanai Ministru kabinetā tiks virzīts vienlaikus ar anotācijas I</w:t>
            </w:r>
            <w:r>
              <w:t> </w:t>
            </w:r>
            <w:r w:rsidRPr="00296917">
              <w:t>sadaļas 2.punktā minētajiem Ministru kabineta noteikumu projektiem „Noteikumi par fitosanitāriem pasākumiem un to piemērošanas kārtību koksnes iepakojamam materiālam” un „Kārtība, kādā Valsts augu aizsardzības dienests veic references laboratorijas funkcijas augu karantīnas organismu un augiem sevišķi bīstamu organismu laboratoriskajā diagnostikā”.</w:t>
            </w:r>
          </w:p>
        </w:tc>
      </w:tr>
      <w:tr w:rsidR="00EA3CC6" w:rsidRPr="00296917" w:rsidTr="00B805AE">
        <w:trPr>
          <w:trHeight w:val="514"/>
        </w:trPr>
        <w:tc>
          <w:tcPr>
            <w:tcW w:w="0" w:type="auto"/>
            <w:tcBorders>
              <w:top w:val="outset" w:sz="6" w:space="0" w:color="000000"/>
              <w:bottom w:val="outset" w:sz="6" w:space="0" w:color="000000"/>
              <w:right w:val="outset" w:sz="6" w:space="0" w:color="000000"/>
            </w:tcBorders>
          </w:tcPr>
          <w:p w:rsidR="00EA3CC6" w:rsidRPr="00296917" w:rsidRDefault="00EA3CC6" w:rsidP="00B805AE">
            <w:pPr>
              <w:pStyle w:val="naisf"/>
              <w:spacing w:before="0" w:after="0"/>
            </w:pPr>
            <w:r w:rsidRPr="00296917">
              <w:t>Cita informācija</w:t>
            </w:r>
          </w:p>
        </w:tc>
        <w:tc>
          <w:tcPr>
            <w:tcW w:w="3492" w:type="pct"/>
            <w:tcBorders>
              <w:top w:val="outset" w:sz="6" w:space="0" w:color="000000"/>
              <w:left w:val="outset" w:sz="6" w:space="0" w:color="000000"/>
              <w:bottom w:val="outset" w:sz="6" w:space="0" w:color="000000"/>
            </w:tcBorders>
          </w:tcPr>
          <w:p w:rsidR="00EA3CC6" w:rsidRPr="00296917" w:rsidRDefault="00EA3CC6" w:rsidP="00B805AE">
            <w:pPr>
              <w:pStyle w:val="naisf"/>
              <w:spacing w:before="0" w:after="0"/>
            </w:pPr>
            <w:r w:rsidRPr="00296917">
              <w:t>Nav.</w:t>
            </w:r>
          </w:p>
        </w:tc>
      </w:tr>
    </w:tbl>
    <w:p w:rsidR="00EA3CC6" w:rsidRPr="00296917" w:rsidRDefault="00EA3CC6" w:rsidP="00DF212D">
      <w:pPr>
        <w:pStyle w:val="naisf"/>
        <w:spacing w:before="0" w:after="0"/>
        <w:ind w:firstLine="0"/>
        <w:rPr>
          <w:i/>
        </w:rPr>
      </w:pPr>
    </w:p>
    <w:p w:rsidR="00EA3CC6" w:rsidRPr="00296917" w:rsidRDefault="00EA3CC6" w:rsidP="00DF212D">
      <w:pPr>
        <w:pStyle w:val="naisf"/>
        <w:spacing w:before="0" w:after="0"/>
        <w:ind w:firstLine="0"/>
        <w:rPr>
          <w:i/>
        </w:rPr>
      </w:pPr>
    </w:p>
    <w:p w:rsidR="00EA3CC6" w:rsidRPr="00296917" w:rsidRDefault="00EA3CC6" w:rsidP="00DF212D">
      <w:pPr>
        <w:pStyle w:val="naisf"/>
        <w:spacing w:before="0" w:after="0"/>
        <w:ind w:firstLine="0"/>
        <w:rPr>
          <w:i/>
        </w:rPr>
      </w:pPr>
      <w:r w:rsidRPr="00296917">
        <w:rPr>
          <w:i/>
        </w:rPr>
        <w:t> </w:t>
      </w:r>
      <w:r w:rsidRPr="00296917">
        <w:rPr>
          <w:i/>
          <w:iCs/>
        </w:rPr>
        <w:t>Anotācijas V sadaļa – projekts šo jomu neskar.</w:t>
      </w:r>
    </w:p>
    <w:p w:rsidR="00EA3CC6" w:rsidRPr="00296917" w:rsidRDefault="00EA3CC6" w:rsidP="00435E6D">
      <w:pPr>
        <w:pStyle w:val="naisf"/>
        <w:spacing w:before="0" w:after="0"/>
        <w:rPr>
          <w:i/>
        </w:rPr>
      </w:pPr>
    </w:p>
    <w:p w:rsidR="00EA3CC6" w:rsidRPr="00296917" w:rsidRDefault="00EA3CC6" w:rsidP="001B7582"/>
    <w:p w:rsidR="00EA3CC6" w:rsidRPr="00296917" w:rsidRDefault="00EA3CC6" w:rsidP="00B15607">
      <w:pPr>
        <w:ind w:firstLine="720"/>
        <w:rPr>
          <w:sz w:val="28"/>
          <w:szCs w:val="28"/>
        </w:rPr>
      </w:pPr>
      <w:r w:rsidRPr="00296917">
        <w:rPr>
          <w:sz w:val="28"/>
          <w:szCs w:val="28"/>
        </w:rPr>
        <w:t>Zemkopības ministre</w:t>
      </w:r>
      <w:r w:rsidRPr="00296917">
        <w:rPr>
          <w:sz w:val="28"/>
          <w:szCs w:val="28"/>
        </w:rPr>
        <w:tab/>
      </w:r>
      <w:r w:rsidRPr="00296917">
        <w:rPr>
          <w:sz w:val="28"/>
          <w:szCs w:val="28"/>
        </w:rPr>
        <w:tab/>
      </w:r>
      <w:r w:rsidRPr="00296917">
        <w:rPr>
          <w:sz w:val="28"/>
          <w:szCs w:val="28"/>
        </w:rPr>
        <w:tab/>
        <w:t xml:space="preserve">                            L.Straujuma</w:t>
      </w:r>
    </w:p>
    <w:p w:rsidR="00EA3CC6" w:rsidRPr="00296917" w:rsidRDefault="00EA3CC6" w:rsidP="00B15607">
      <w:pPr>
        <w:ind w:firstLine="720"/>
        <w:rPr>
          <w:sz w:val="28"/>
          <w:szCs w:val="28"/>
        </w:rPr>
      </w:pPr>
    </w:p>
    <w:p w:rsidR="00EA3CC6" w:rsidRDefault="00EA3CC6" w:rsidP="00B15607">
      <w:pPr>
        <w:rPr>
          <w:sz w:val="20"/>
          <w:szCs w:val="20"/>
        </w:rPr>
      </w:pPr>
    </w:p>
    <w:p w:rsidR="00C45A8D" w:rsidRDefault="00C45A8D" w:rsidP="00B15607">
      <w:pPr>
        <w:rPr>
          <w:sz w:val="20"/>
          <w:szCs w:val="20"/>
        </w:rPr>
      </w:pPr>
    </w:p>
    <w:p w:rsidR="00C45A8D" w:rsidRPr="00296917" w:rsidRDefault="00C45A8D" w:rsidP="00B15607">
      <w:pPr>
        <w:rPr>
          <w:sz w:val="20"/>
          <w:szCs w:val="20"/>
        </w:rPr>
      </w:pPr>
    </w:p>
    <w:p w:rsidR="00C45A8D" w:rsidRDefault="00C45A8D" w:rsidP="00B15607">
      <w:pPr>
        <w:rPr>
          <w:sz w:val="20"/>
          <w:szCs w:val="20"/>
        </w:rPr>
      </w:pPr>
      <w:r>
        <w:rPr>
          <w:sz w:val="20"/>
          <w:szCs w:val="20"/>
        </w:rPr>
        <w:t>2012.02.22. 11:18</w:t>
      </w:r>
    </w:p>
    <w:p w:rsidR="00C45A8D" w:rsidRPr="00C45A8D" w:rsidRDefault="00C45A8D" w:rsidP="00B15607">
      <w:pPr>
        <w:rPr>
          <w:sz w:val="20"/>
          <w:szCs w:val="20"/>
        </w:rPr>
      </w:pPr>
      <w:fldSimple w:instr=" NUMWORDS   \* MERGEFORMAT ">
        <w:r w:rsidRPr="00C45A8D">
          <w:rPr>
            <w:noProof/>
            <w:sz w:val="20"/>
            <w:szCs w:val="20"/>
          </w:rPr>
          <w:t>1465</w:t>
        </w:r>
      </w:fldSimple>
    </w:p>
    <w:p w:rsidR="00EA3CC6" w:rsidRPr="00296917" w:rsidRDefault="00EA3CC6" w:rsidP="00B15607">
      <w:pPr>
        <w:rPr>
          <w:sz w:val="20"/>
          <w:szCs w:val="20"/>
        </w:rPr>
      </w:pPr>
      <w:r w:rsidRPr="00296917">
        <w:rPr>
          <w:sz w:val="20"/>
          <w:szCs w:val="20"/>
        </w:rPr>
        <w:t>K.Kjago</w:t>
      </w:r>
    </w:p>
    <w:p w:rsidR="00EA3CC6" w:rsidRPr="0073587A" w:rsidRDefault="00EA3CC6">
      <w:r w:rsidRPr="00296917">
        <w:rPr>
          <w:sz w:val="20"/>
          <w:szCs w:val="20"/>
        </w:rPr>
        <w:t>67027309, kristine.kjago@vaad.gov.lv</w:t>
      </w:r>
    </w:p>
    <w:sectPr w:rsidR="00EA3CC6" w:rsidRPr="0073587A" w:rsidSect="00C45A8D">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0E" w:rsidRDefault="00C9770E">
      <w:r>
        <w:separator/>
      </w:r>
    </w:p>
  </w:endnote>
  <w:endnote w:type="continuationSeparator" w:id="0">
    <w:p w:rsidR="00C9770E" w:rsidRDefault="00C97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C6" w:rsidRPr="00BA72C7" w:rsidRDefault="00EA3CC6">
    <w:pPr>
      <w:pStyle w:val="Kjene"/>
      <w:rPr>
        <w:sz w:val="20"/>
        <w:szCs w:val="20"/>
      </w:rPr>
    </w:pPr>
    <w:smartTag w:uri="urn:schemas-microsoft-com:office:smarttags" w:element="PersonName">
      <w:r w:rsidRPr="00BA72C7">
        <w:rPr>
          <w:sz w:val="20"/>
          <w:szCs w:val="20"/>
        </w:rPr>
        <w:t>ZM</w:t>
      </w:r>
    </w:smartTag>
    <w:r w:rsidRPr="00BA72C7">
      <w:rPr>
        <w:sz w:val="20"/>
        <w:szCs w:val="20"/>
      </w:rPr>
      <w:t>Anot</w:t>
    </w:r>
    <w:r>
      <w:rPr>
        <w:sz w:val="20"/>
        <w:szCs w:val="20"/>
      </w:rPr>
      <w:t>_210212;</w:t>
    </w:r>
    <w:r w:rsidRPr="00EC7A37">
      <w:rPr>
        <w:bCs/>
        <w:sz w:val="20"/>
      </w:rPr>
      <w:t>Grozījumi Ministru kabineta 20</w:t>
    </w:r>
    <w:r>
      <w:rPr>
        <w:bCs/>
        <w:sz w:val="20"/>
      </w:rPr>
      <w:t>11</w:t>
    </w:r>
    <w:r w:rsidRPr="00EC7A37">
      <w:rPr>
        <w:bCs/>
        <w:sz w:val="20"/>
      </w:rPr>
      <w:t>.gada 1.marta noteikumos Nr.</w:t>
    </w:r>
    <w:r>
      <w:rPr>
        <w:bCs/>
        <w:sz w:val="20"/>
      </w:rPr>
      <w:t>163</w:t>
    </w:r>
    <w:r w:rsidRPr="00EC7A37">
      <w:rPr>
        <w:bCs/>
        <w:sz w:val="20"/>
      </w:rPr>
      <w:t xml:space="preserve"> „Noteikumi par Valsts augu aizsardzības dienesta sniegto maksas pakalpojumu cenrādi”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C6" w:rsidRPr="00BA72C7" w:rsidRDefault="00EA3CC6" w:rsidP="00296917">
    <w:pPr>
      <w:pStyle w:val="Kjene"/>
      <w:rPr>
        <w:sz w:val="20"/>
        <w:szCs w:val="20"/>
      </w:rPr>
    </w:pPr>
    <w:smartTag w:uri="urn:schemas-microsoft-com:office:smarttags" w:element="PersonName">
      <w:r w:rsidRPr="00BA72C7">
        <w:rPr>
          <w:sz w:val="20"/>
          <w:szCs w:val="20"/>
        </w:rPr>
        <w:t>ZM</w:t>
      </w:r>
    </w:smartTag>
    <w:r w:rsidRPr="00BA72C7">
      <w:rPr>
        <w:sz w:val="20"/>
        <w:szCs w:val="20"/>
      </w:rPr>
      <w:t>Anot</w:t>
    </w:r>
    <w:r>
      <w:rPr>
        <w:sz w:val="20"/>
        <w:szCs w:val="20"/>
      </w:rPr>
      <w:t>_210212;</w:t>
    </w:r>
    <w:r w:rsidRPr="00EC7A37">
      <w:rPr>
        <w:bCs/>
        <w:sz w:val="20"/>
      </w:rPr>
      <w:t>Grozījumi Ministru kabineta 20</w:t>
    </w:r>
    <w:r>
      <w:rPr>
        <w:bCs/>
        <w:sz w:val="20"/>
      </w:rPr>
      <w:t>11</w:t>
    </w:r>
    <w:r w:rsidRPr="00EC7A37">
      <w:rPr>
        <w:bCs/>
        <w:sz w:val="20"/>
      </w:rPr>
      <w:t>.gada 1.marta noteikumos Nr.</w:t>
    </w:r>
    <w:r>
      <w:rPr>
        <w:bCs/>
        <w:sz w:val="20"/>
      </w:rPr>
      <w:t>163</w:t>
    </w:r>
    <w:r w:rsidRPr="00EC7A37">
      <w:rPr>
        <w:bCs/>
        <w:sz w:val="20"/>
      </w:rPr>
      <w:t xml:space="preserve"> „Noteikumi par Valsts augu aizsardzības dienesta sniegto maksas pakalpojumu cenrādi”</w:t>
    </w:r>
  </w:p>
  <w:p w:rsidR="00EA3CC6" w:rsidRPr="00296917" w:rsidRDefault="00EA3CC6" w:rsidP="00296917">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0E" w:rsidRDefault="00C9770E">
      <w:r>
        <w:separator/>
      </w:r>
    </w:p>
  </w:footnote>
  <w:footnote w:type="continuationSeparator" w:id="0">
    <w:p w:rsidR="00C9770E" w:rsidRDefault="00C97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C6" w:rsidRDefault="00F17E25" w:rsidP="000C295D">
    <w:pPr>
      <w:pStyle w:val="Galvene"/>
      <w:framePr w:wrap="around" w:vAnchor="text" w:hAnchor="margin" w:xAlign="center" w:y="1"/>
      <w:rPr>
        <w:rStyle w:val="Lappusesnumurs"/>
      </w:rPr>
    </w:pPr>
    <w:r>
      <w:rPr>
        <w:rStyle w:val="Lappusesnumurs"/>
      </w:rPr>
      <w:fldChar w:fldCharType="begin"/>
    </w:r>
    <w:r w:rsidR="00EA3CC6">
      <w:rPr>
        <w:rStyle w:val="Lappusesnumurs"/>
      </w:rPr>
      <w:instrText xml:space="preserve">PAGE  </w:instrText>
    </w:r>
    <w:r>
      <w:rPr>
        <w:rStyle w:val="Lappusesnumurs"/>
      </w:rPr>
      <w:fldChar w:fldCharType="separate"/>
    </w:r>
    <w:r w:rsidR="00EA3CC6">
      <w:rPr>
        <w:rStyle w:val="Lappusesnumurs"/>
        <w:noProof/>
      </w:rPr>
      <w:t>4</w:t>
    </w:r>
    <w:r>
      <w:rPr>
        <w:rStyle w:val="Lappusesnumurs"/>
      </w:rPr>
      <w:fldChar w:fldCharType="end"/>
    </w:r>
  </w:p>
  <w:p w:rsidR="00EA3CC6" w:rsidRDefault="00EA3CC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C6" w:rsidRDefault="00F17E25" w:rsidP="000C295D">
    <w:pPr>
      <w:pStyle w:val="Galvene"/>
      <w:framePr w:wrap="around" w:vAnchor="text" w:hAnchor="margin" w:xAlign="center" w:y="1"/>
      <w:rPr>
        <w:rStyle w:val="Lappusesnumurs"/>
      </w:rPr>
    </w:pPr>
    <w:r>
      <w:rPr>
        <w:rStyle w:val="Lappusesnumurs"/>
      </w:rPr>
      <w:fldChar w:fldCharType="begin"/>
    </w:r>
    <w:r w:rsidR="00EA3CC6">
      <w:rPr>
        <w:rStyle w:val="Lappusesnumurs"/>
      </w:rPr>
      <w:instrText xml:space="preserve">PAGE  </w:instrText>
    </w:r>
    <w:r>
      <w:rPr>
        <w:rStyle w:val="Lappusesnumurs"/>
      </w:rPr>
      <w:fldChar w:fldCharType="separate"/>
    </w:r>
    <w:r w:rsidR="00C45A8D">
      <w:rPr>
        <w:rStyle w:val="Lappusesnumurs"/>
        <w:noProof/>
      </w:rPr>
      <w:t>7</w:t>
    </w:r>
    <w:r>
      <w:rPr>
        <w:rStyle w:val="Lappusesnumurs"/>
      </w:rPr>
      <w:fldChar w:fldCharType="end"/>
    </w:r>
  </w:p>
  <w:p w:rsidR="00EA3CC6" w:rsidRDefault="00EA3CC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FE8"/>
    <w:multiLevelType w:val="hybridMultilevel"/>
    <w:tmpl w:val="E7D0BF10"/>
    <w:lvl w:ilvl="0" w:tplc="04260011">
      <w:start w:val="1"/>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1">
    <w:nsid w:val="15F346D1"/>
    <w:multiLevelType w:val="hybridMultilevel"/>
    <w:tmpl w:val="08D2DEAA"/>
    <w:lvl w:ilvl="0" w:tplc="29A61F2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7C1F45"/>
    <w:multiLevelType w:val="hybridMultilevel"/>
    <w:tmpl w:val="AC966F8E"/>
    <w:lvl w:ilvl="0" w:tplc="091AA418">
      <w:start w:val="3"/>
      <w:numFmt w:val="bullet"/>
      <w:lvlText w:val="-"/>
      <w:lvlJc w:val="left"/>
      <w:pPr>
        <w:ind w:left="720" w:hanging="360"/>
      </w:pPr>
      <w:rPr>
        <w:rFonts w:ascii="Times New Roman" w:eastAsia="Times New Roman" w:hAnsi="Times New Roman" w:hint="default"/>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A6573C"/>
    <w:multiLevelType w:val="hybridMultilevel"/>
    <w:tmpl w:val="9A02E7F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5607"/>
    <w:rsid w:val="00040F73"/>
    <w:rsid w:val="000621F7"/>
    <w:rsid w:val="00063DC7"/>
    <w:rsid w:val="000736E9"/>
    <w:rsid w:val="000C295D"/>
    <w:rsid w:val="000E0B2B"/>
    <w:rsid w:val="001070E4"/>
    <w:rsid w:val="0011379A"/>
    <w:rsid w:val="00123F8E"/>
    <w:rsid w:val="00127CFB"/>
    <w:rsid w:val="00133FE2"/>
    <w:rsid w:val="001653B7"/>
    <w:rsid w:val="00191C2E"/>
    <w:rsid w:val="001B7582"/>
    <w:rsid w:val="001C68B4"/>
    <w:rsid w:val="001E18E3"/>
    <w:rsid w:val="001F6964"/>
    <w:rsid w:val="0021227D"/>
    <w:rsid w:val="00242690"/>
    <w:rsid w:val="0026674A"/>
    <w:rsid w:val="00296917"/>
    <w:rsid w:val="002A6CD2"/>
    <w:rsid w:val="002C0499"/>
    <w:rsid w:val="002C1915"/>
    <w:rsid w:val="00302D9D"/>
    <w:rsid w:val="003041AA"/>
    <w:rsid w:val="00304B19"/>
    <w:rsid w:val="00324D47"/>
    <w:rsid w:val="00337CE8"/>
    <w:rsid w:val="00344D60"/>
    <w:rsid w:val="00351914"/>
    <w:rsid w:val="00382B1E"/>
    <w:rsid w:val="003E14B5"/>
    <w:rsid w:val="00435E6D"/>
    <w:rsid w:val="00445777"/>
    <w:rsid w:val="004504A1"/>
    <w:rsid w:val="00464AD4"/>
    <w:rsid w:val="004721D4"/>
    <w:rsid w:val="00505E56"/>
    <w:rsid w:val="00543F3C"/>
    <w:rsid w:val="0054754C"/>
    <w:rsid w:val="005C0C0C"/>
    <w:rsid w:val="005D36BC"/>
    <w:rsid w:val="00615475"/>
    <w:rsid w:val="006276E2"/>
    <w:rsid w:val="006755F8"/>
    <w:rsid w:val="006F1396"/>
    <w:rsid w:val="006F548A"/>
    <w:rsid w:val="006F6A5A"/>
    <w:rsid w:val="0073587A"/>
    <w:rsid w:val="007729B0"/>
    <w:rsid w:val="00773609"/>
    <w:rsid w:val="007A3925"/>
    <w:rsid w:val="007C05F7"/>
    <w:rsid w:val="007D3982"/>
    <w:rsid w:val="007E3635"/>
    <w:rsid w:val="007F3EC0"/>
    <w:rsid w:val="007F68CF"/>
    <w:rsid w:val="00802960"/>
    <w:rsid w:val="008A5A59"/>
    <w:rsid w:val="008B7F8D"/>
    <w:rsid w:val="008F50F2"/>
    <w:rsid w:val="00933E63"/>
    <w:rsid w:val="0096489F"/>
    <w:rsid w:val="009A0D10"/>
    <w:rsid w:val="009A5C10"/>
    <w:rsid w:val="009C3517"/>
    <w:rsid w:val="009D4853"/>
    <w:rsid w:val="009F34BB"/>
    <w:rsid w:val="00A32C79"/>
    <w:rsid w:val="00A44C3C"/>
    <w:rsid w:val="00AE13D8"/>
    <w:rsid w:val="00B15607"/>
    <w:rsid w:val="00B46454"/>
    <w:rsid w:val="00B805AE"/>
    <w:rsid w:val="00B9731A"/>
    <w:rsid w:val="00BA72C7"/>
    <w:rsid w:val="00BB74CD"/>
    <w:rsid w:val="00BC1386"/>
    <w:rsid w:val="00BD7BEB"/>
    <w:rsid w:val="00C13F9C"/>
    <w:rsid w:val="00C26D13"/>
    <w:rsid w:val="00C3333A"/>
    <w:rsid w:val="00C45A8D"/>
    <w:rsid w:val="00C45C67"/>
    <w:rsid w:val="00C86A2A"/>
    <w:rsid w:val="00C87319"/>
    <w:rsid w:val="00C94214"/>
    <w:rsid w:val="00C9770E"/>
    <w:rsid w:val="00CE290D"/>
    <w:rsid w:val="00D3079E"/>
    <w:rsid w:val="00D57894"/>
    <w:rsid w:val="00D61220"/>
    <w:rsid w:val="00D72E7F"/>
    <w:rsid w:val="00D9247B"/>
    <w:rsid w:val="00DA317D"/>
    <w:rsid w:val="00DE685E"/>
    <w:rsid w:val="00DF212D"/>
    <w:rsid w:val="00E357F1"/>
    <w:rsid w:val="00E436D3"/>
    <w:rsid w:val="00E64225"/>
    <w:rsid w:val="00EA3CC6"/>
    <w:rsid w:val="00EA4D6F"/>
    <w:rsid w:val="00EC7A37"/>
    <w:rsid w:val="00ED070E"/>
    <w:rsid w:val="00EF18E1"/>
    <w:rsid w:val="00F17835"/>
    <w:rsid w:val="00F17E25"/>
    <w:rsid w:val="00F30A2E"/>
    <w:rsid w:val="00F618AA"/>
    <w:rsid w:val="00F736C6"/>
    <w:rsid w:val="00F871B9"/>
    <w:rsid w:val="00FC635A"/>
    <w:rsid w:val="00FD23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15607"/>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ais"/>
    <w:uiPriority w:val="99"/>
    <w:rsid w:val="00B15607"/>
    <w:pPr>
      <w:spacing w:before="75" w:after="75"/>
    </w:pPr>
  </w:style>
  <w:style w:type="paragraph" w:styleId="Galvene">
    <w:name w:val="header"/>
    <w:basedOn w:val="Parastais"/>
    <w:link w:val="GalveneRakstz"/>
    <w:uiPriority w:val="99"/>
    <w:rsid w:val="00B15607"/>
    <w:pPr>
      <w:tabs>
        <w:tab w:val="center" w:pos="4153"/>
        <w:tab w:val="right" w:pos="8306"/>
      </w:tabs>
    </w:pPr>
  </w:style>
  <w:style w:type="character" w:customStyle="1" w:styleId="GalveneRakstz">
    <w:name w:val="Galvene Rakstz."/>
    <w:basedOn w:val="Noklusjumarindkopasfonts"/>
    <w:link w:val="Galvene"/>
    <w:uiPriority w:val="99"/>
    <w:locked/>
    <w:rsid w:val="00B15607"/>
    <w:rPr>
      <w:rFonts w:ascii="Times New Roman" w:hAnsi="Times New Roman" w:cs="Times New Roman"/>
      <w:sz w:val="24"/>
      <w:szCs w:val="24"/>
      <w:lang w:eastAsia="lv-LV"/>
    </w:rPr>
  </w:style>
  <w:style w:type="character" w:styleId="Lappusesnumurs">
    <w:name w:val="page number"/>
    <w:basedOn w:val="Noklusjumarindkopasfonts"/>
    <w:uiPriority w:val="99"/>
    <w:rsid w:val="00B15607"/>
    <w:rPr>
      <w:rFonts w:cs="Times New Roman"/>
    </w:rPr>
  </w:style>
  <w:style w:type="paragraph" w:customStyle="1" w:styleId="naisnod">
    <w:name w:val="naisnod"/>
    <w:basedOn w:val="Parastais"/>
    <w:uiPriority w:val="99"/>
    <w:rsid w:val="00B15607"/>
    <w:pPr>
      <w:spacing w:before="150" w:after="150"/>
      <w:jc w:val="center"/>
    </w:pPr>
    <w:rPr>
      <w:b/>
      <w:bCs/>
    </w:rPr>
  </w:style>
  <w:style w:type="paragraph" w:customStyle="1" w:styleId="naisf">
    <w:name w:val="naisf"/>
    <w:basedOn w:val="Parastais"/>
    <w:uiPriority w:val="99"/>
    <w:rsid w:val="00B15607"/>
    <w:pPr>
      <w:spacing w:before="75" w:after="75"/>
      <w:ind w:firstLine="375"/>
      <w:jc w:val="both"/>
    </w:pPr>
  </w:style>
  <w:style w:type="character" w:styleId="Izteiksmgs">
    <w:name w:val="Strong"/>
    <w:basedOn w:val="Noklusjumarindkopasfonts"/>
    <w:uiPriority w:val="99"/>
    <w:qFormat/>
    <w:rsid w:val="00B15607"/>
    <w:rPr>
      <w:rFonts w:cs="Times New Roman"/>
      <w:b/>
    </w:rPr>
  </w:style>
  <w:style w:type="paragraph" w:styleId="Kjene">
    <w:name w:val="footer"/>
    <w:basedOn w:val="Parastais"/>
    <w:link w:val="KjeneRakstz"/>
    <w:uiPriority w:val="99"/>
    <w:rsid w:val="00B15607"/>
    <w:pPr>
      <w:tabs>
        <w:tab w:val="center" w:pos="4153"/>
        <w:tab w:val="right" w:pos="8306"/>
      </w:tabs>
    </w:pPr>
  </w:style>
  <w:style w:type="character" w:customStyle="1" w:styleId="KjeneRakstz">
    <w:name w:val="Kājene Rakstz."/>
    <w:basedOn w:val="Noklusjumarindkopasfonts"/>
    <w:link w:val="Kjene"/>
    <w:uiPriority w:val="99"/>
    <w:locked/>
    <w:rsid w:val="00B15607"/>
    <w:rPr>
      <w:rFonts w:ascii="Times New Roman" w:hAnsi="Times New Roman" w:cs="Times New Roman"/>
      <w:sz w:val="24"/>
      <w:szCs w:val="24"/>
      <w:lang w:eastAsia="lv-LV"/>
    </w:rPr>
  </w:style>
  <w:style w:type="paragraph" w:styleId="Vresteksts">
    <w:name w:val="footnote text"/>
    <w:basedOn w:val="Parastais"/>
    <w:link w:val="VrestekstsRakstz"/>
    <w:uiPriority w:val="99"/>
    <w:semiHidden/>
    <w:rsid w:val="00B15607"/>
    <w:rPr>
      <w:sz w:val="20"/>
      <w:szCs w:val="20"/>
    </w:rPr>
  </w:style>
  <w:style w:type="character" w:customStyle="1" w:styleId="VrestekstsRakstz">
    <w:name w:val="Vēres teksts Rakstz."/>
    <w:basedOn w:val="Noklusjumarindkopasfonts"/>
    <w:link w:val="Vresteksts"/>
    <w:uiPriority w:val="99"/>
    <w:semiHidden/>
    <w:locked/>
    <w:rsid w:val="00B15607"/>
    <w:rPr>
      <w:rFonts w:ascii="Times New Roman" w:hAnsi="Times New Roman" w:cs="Times New Roman"/>
      <w:sz w:val="20"/>
      <w:szCs w:val="20"/>
      <w:lang w:eastAsia="lv-LV"/>
    </w:rPr>
  </w:style>
  <w:style w:type="paragraph" w:styleId="ParastaisWeb">
    <w:name w:val="Normal (Web)"/>
    <w:basedOn w:val="Parastais"/>
    <w:uiPriority w:val="99"/>
    <w:rsid w:val="00B15607"/>
    <w:pPr>
      <w:spacing w:before="100" w:after="100"/>
    </w:pPr>
    <w:rPr>
      <w:noProof/>
      <w:szCs w:val="20"/>
      <w:lang w:val="en-AU"/>
    </w:rPr>
  </w:style>
  <w:style w:type="paragraph" w:customStyle="1" w:styleId="naisc">
    <w:name w:val="naisc"/>
    <w:basedOn w:val="Parastais"/>
    <w:uiPriority w:val="99"/>
    <w:rsid w:val="00B15607"/>
    <w:pPr>
      <w:spacing w:before="100" w:beforeAutospacing="1" w:after="100" w:afterAutospacing="1"/>
      <w:jc w:val="center"/>
    </w:pPr>
    <w:rPr>
      <w:rFonts w:eastAsia="Calibri"/>
      <w:sz w:val="26"/>
      <w:szCs w:val="26"/>
      <w:lang w:val="en-GB" w:eastAsia="en-US"/>
    </w:rPr>
  </w:style>
  <w:style w:type="paragraph" w:styleId="Sarakstarindkopa">
    <w:name w:val="List Paragraph"/>
    <w:basedOn w:val="Parastais"/>
    <w:uiPriority w:val="99"/>
    <w:qFormat/>
    <w:rsid w:val="00B15607"/>
    <w:pPr>
      <w:ind w:left="720"/>
      <w:contextualSpacing/>
    </w:pPr>
    <w:rPr>
      <w:noProof/>
      <w:sz w:val="28"/>
      <w:szCs w:val="20"/>
      <w:lang w:eastAsia="en-US"/>
    </w:rPr>
  </w:style>
  <w:style w:type="paragraph" w:styleId="Pamatteksts2">
    <w:name w:val="Body Text 2"/>
    <w:basedOn w:val="Parastais"/>
    <w:link w:val="Pamatteksts2Rakstz"/>
    <w:uiPriority w:val="99"/>
    <w:rsid w:val="00B15607"/>
    <w:pPr>
      <w:jc w:val="both"/>
    </w:pPr>
    <w:rPr>
      <w:noProof/>
      <w:sz w:val="28"/>
      <w:szCs w:val="20"/>
      <w:lang w:eastAsia="en-US"/>
    </w:rPr>
  </w:style>
  <w:style w:type="character" w:customStyle="1" w:styleId="Pamatteksts2Rakstz">
    <w:name w:val="Pamatteksts 2 Rakstz."/>
    <w:basedOn w:val="Noklusjumarindkopasfonts"/>
    <w:link w:val="Pamatteksts2"/>
    <w:uiPriority w:val="99"/>
    <w:locked/>
    <w:rsid w:val="00B15607"/>
    <w:rPr>
      <w:rFonts w:ascii="Times New Roman" w:hAnsi="Times New Roman" w:cs="Times New Roman"/>
      <w:noProof/>
      <w:sz w:val="20"/>
      <w:szCs w:val="20"/>
    </w:rPr>
  </w:style>
  <w:style w:type="paragraph" w:styleId="Balonteksts">
    <w:name w:val="Balloon Text"/>
    <w:basedOn w:val="Parastais"/>
    <w:link w:val="BalontekstsRakstz"/>
    <w:uiPriority w:val="99"/>
    <w:semiHidden/>
    <w:rsid w:val="007C05F7"/>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7C05F7"/>
    <w:rPr>
      <w:rFonts w:ascii="Tahoma" w:hAnsi="Tahoma" w:cs="Tahoma"/>
      <w:sz w:val="16"/>
      <w:szCs w:val="16"/>
      <w:lang w:eastAsia="lv-LV"/>
    </w:rPr>
  </w:style>
  <w:style w:type="character" w:styleId="Komentraatsauce">
    <w:name w:val="annotation reference"/>
    <w:basedOn w:val="Noklusjumarindkopasfonts"/>
    <w:uiPriority w:val="99"/>
    <w:semiHidden/>
    <w:rsid w:val="00933E63"/>
    <w:rPr>
      <w:rFonts w:cs="Times New Roman"/>
      <w:sz w:val="16"/>
      <w:szCs w:val="16"/>
    </w:rPr>
  </w:style>
  <w:style w:type="paragraph" w:styleId="Komentrateksts">
    <w:name w:val="annotation text"/>
    <w:basedOn w:val="Parastais"/>
    <w:link w:val="KomentratekstsRakstz"/>
    <w:uiPriority w:val="99"/>
    <w:semiHidden/>
    <w:rsid w:val="00933E63"/>
    <w:rPr>
      <w:sz w:val="20"/>
      <w:szCs w:val="20"/>
    </w:rPr>
  </w:style>
  <w:style w:type="character" w:customStyle="1" w:styleId="KomentratekstsRakstz">
    <w:name w:val="Komentāra teksts Rakstz."/>
    <w:basedOn w:val="Noklusjumarindkopasfonts"/>
    <w:link w:val="Komentrateksts"/>
    <w:uiPriority w:val="99"/>
    <w:semiHidden/>
    <w:locked/>
    <w:rsid w:val="00933E63"/>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rsid w:val="00933E63"/>
    <w:rPr>
      <w:b/>
      <w:bCs/>
    </w:rPr>
  </w:style>
  <w:style w:type="character" w:customStyle="1" w:styleId="KomentratmaRakstz">
    <w:name w:val="Komentāra tēma Rakstz."/>
    <w:basedOn w:val="KomentratekstsRakstz"/>
    <w:link w:val="Komentratma"/>
    <w:uiPriority w:val="99"/>
    <w:semiHidden/>
    <w:locked/>
    <w:rsid w:val="00933E63"/>
    <w:rPr>
      <w:rFonts w:ascii="Times New Roman" w:hAnsi="Times New Roman" w:cs="Times New Roman"/>
      <w:b/>
      <w:bCs/>
      <w:sz w:val="20"/>
      <w:szCs w:val="20"/>
      <w:lang w:eastAsia="lv-LV"/>
    </w:rPr>
  </w:style>
  <w:style w:type="paragraph" w:customStyle="1" w:styleId="tvhtml">
    <w:name w:val="tv_html"/>
    <w:basedOn w:val="Parastais"/>
    <w:uiPriority w:val="99"/>
    <w:rsid w:val="00C94214"/>
    <w:pPr>
      <w:spacing w:before="100" w:beforeAutospacing="1" w:after="100" w:afterAutospacing="1"/>
    </w:pPr>
    <w:rPr>
      <w:rFonts w:ascii="Verdana" w:hAnsi="Verdana"/>
      <w:sz w:val="18"/>
      <w:szCs w:val="18"/>
    </w:rPr>
  </w:style>
  <w:style w:type="paragraph" w:styleId="Prskatjums">
    <w:name w:val="Revision"/>
    <w:hidden/>
    <w:uiPriority w:val="99"/>
    <w:semiHidden/>
    <w:rsid w:val="00C9421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B15607"/>
    <w:pPr>
      <w:spacing w:before="75" w:after="75"/>
    </w:pPr>
  </w:style>
  <w:style w:type="paragraph" w:styleId="Header">
    <w:name w:val="header"/>
    <w:basedOn w:val="Normal"/>
    <w:link w:val="HeaderChar"/>
    <w:uiPriority w:val="99"/>
    <w:rsid w:val="00B15607"/>
    <w:pPr>
      <w:tabs>
        <w:tab w:val="center" w:pos="4153"/>
        <w:tab w:val="right" w:pos="8306"/>
      </w:tabs>
    </w:pPr>
  </w:style>
  <w:style w:type="character" w:customStyle="1" w:styleId="HeaderChar">
    <w:name w:val="Header Char"/>
    <w:basedOn w:val="DefaultParagraphFont"/>
    <w:link w:val="Header"/>
    <w:uiPriority w:val="99"/>
    <w:locked/>
    <w:rsid w:val="00B15607"/>
    <w:rPr>
      <w:rFonts w:ascii="Times New Roman" w:hAnsi="Times New Roman" w:cs="Times New Roman"/>
      <w:sz w:val="24"/>
      <w:szCs w:val="24"/>
      <w:lang w:eastAsia="lv-LV"/>
    </w:rPr>
  </w:style>
  <w:style w:type="character" w:styleId="PageNumber">
    <w:name w:val="page number"/>
    <w:basedOn w:val="DefaultParagraphFont"/>
    <w:uiPriority w:val="99"/>
    <w:rsid w:val="00B15607"/>
    <w:rPr>
      <w:rFonts w:cs="Times New Roman"/>
    </w:rPr>
  </w:style>
  <w:style w:type="paragraph" w:customStyle="1" w:styleId="naisnod">
    <w:name w:val="naisnod"/>
    <w:basedOn w:val="Normal"/>
    <w:uiPriority w:val="99"/>
    <w:rsid w:val="00B15607"/>
    <w:pPr>
      <w:spacing w:before="150" w:after="150"/>
      <w:jc w:val="center"/>
    </w:pPr>
    <w:rPr>
      <w:b/>
      <w:bCs/>
    </w:rPr>
  </w:style>
  <w:style w:type="paragraph" w:customStyle="1" w:styleId="naisf">
    <w:name w:val="naisf"/>
    <w:basedOn w:val="Normal"/>
    <w:uiPriority w:val="99"/>
    <w:rsid w:val="00B15607"/>
    <w:pPr>
      <w:spacing w:before="75" w:after="75"/>
      <w:ind w:firstLine="375"/>
      <w:jc w:val="both"/>
    </w:pPr>
  </w:style>
  <w:style w:type="character" w:styleId="Strong">
    <w:name w:val="Strong"/>
    <w:basedOn w:val="DefaultParagraphFont"/>
    <w:uiPriority w:val="99"/>
    <w:qFormat/>
    <w:rsid w:val="00B15607"/>
    <w:rPr>
      <w:rFonts w:cs="Times New Roman"/>
      <w:b/>
    </w:rPr>
  </w:style>
  <w:style w:type="paragraph" w:styleId="Footer">
    <w:name w:val="footer"/>
    <w:basedOn w:val="Normal"/>
    <w:link w:val="FooterChar"/>
    <w:uiPriority w:val="99"/>
    <w:rsid w:val="00B15607"/>
    <w:pPr>
      <w:tabs>
        <w:tab w:val="center" w:pos="4153"/>
        <w:tab w:val="right" w:pos="8306"/>
      </w:tabs>
    </w:pPr>
  </w:style>
  <w:style w:type="character" w:customStyle="1" w:styleId="FooterChar">
    <w:name w:val="Footer Char"/>
    <w:basedOn w:val="DefaultParagraphFont"/>
    <w:link w:val="Footer"/>
    <w:uiPriority w:val="99"/>
    <w:locked/>
    <w:rsid w:val="00B15607"/>
    <w:rPr>
      <w:rFonts w:ascii="Times New Roman" w:hAnsi="Times New Roman" w:cs="Times New Roman"/>
      <w:sz w:val="24"/>
      <w:szCs w:val="24"/>
      <w:lang w:eastAsia="lv-LV"/>
    </w:rPr>
  </w:style>
  <w:style w:type="paragraph" w:styleId="FootnoteText">
    <w:name w:val="footnote text"/>
    <w:basedOn w:val="Normal"/>
    <w:link w:val="FootnoteTextChar"/>
    <w:uiPriority w:val="99"/>
    <w:semiHidden/>
    <w:rsid w:val="00B15607"/>
    <w:rPr>
      <w:sz w:val="20"/>
      <w:szCs w:val="20"/>
    </w:rPr>
  </w:style>
  <w:style w:type="character" w:customStyle="1" w:styleId="FootnoteTextChar">
    <w:name w:val="Footnote Text Char"/>
    <w:basedOn w:val="DefaultParagraphFont"/>
    <w:link w:val="FootnoteText"/>
    <w:uiPriority w:val="99"/>
    <w:semiHidden/>
    <w:locked/>
    <w:rsid w:val="00B15607"/>
    <w:rPr>
      <w:rFonts w:ascii="Times New Roman" w:hAnsi="Times New Roman" w:cs="Times New Roman"/>
      <w:sz w:val="20"/>
      <w:szCs w:val="20"/>
      <w:lang w:eastAsia="lv-LV"/>
    </w:rPr>
  </w:style>
  <w:style w:type="paragraph" w:styleId="NormalWeb">
    <w:name w:val="Normal (Web)"/>
    <w:basedOn w:val="Normal"/>
    <w:uiPriority w:val="99"/>
    <w:rsid w:val="00B15607"/>
    <w:pPr>
      <w:spacing w:before="100" w:after="100"/>
    </w:pPr>
    <w:rPr>
      <w:noProof/>
      <w:szCs w:val="20"/>
      <w:lang w:val="en-AU"/>
    </w:rPr>
  </w:style>
  <w:style w:type="paragraph" w:customStyle="1" w:styleId="naisc">
    <w:name w:val="naisc"/>
    <w:basedOn w:val="Normal"/>
    <w:uiPriority w:val="99"/>
    <w:rsid w:val="00B15607"/>
    <w:pPr>
      <w:spacing w:before="100" w:beforeAutospacing="1" w:after="100" w:afterAutospacing="1"/>
      <w:jc w:val="center"/>
    </w:pPr>
    <w:rPr>
      <w:rFonts w:eastAsia="Calibri"/>
      <w:sz w:val="26"/>
      <w:szCs w:val="26"/>
      <w:lang w:val="en-GB" w:eastAsia="en-US"/>
    </w:rPr>
  </w:style>
  <w:style w:type="paragraph" w:styleId="ListParagraph">
    <w:name w:val="List Paragraph"/>
    <w:basedOn w:val="Normal"/>
    <w:uiPriority w:val="99"/>
    <w:qFormat/>
    <w:rsid w:val="00B15607"/>
    <w:pPr>
      <w:ind w:left="720"/>
      <w:contextualSpacing/>
    </w:pPr>
    <w:rPr>
      <w:noProof/>
      <w:sz w:val="28"/>
      <w:szCs w:val="20"/>
      <w:lang w:eastAsia="en-US"/>
    </w:rPr>
  </w:style>
  <w:style w:type="paragraph" w:styleId="BodyText2">
    <w:name w:val="Body Text 2"/>
    <w:basedOn w:val="Normal"/>
    <w:link w:val="BodyText2Char"/>
    <w:uiPriority w:val="99"/>
    <w:rsid w:val="00B15607"/>
    <w:pPr>
      <w:jc w:val="both"/>
    </w:pPr>
    <w:rPr>
      <w:noProof/>
      <w:sz w:val="28"/>
      <w:szCs w:val="20"/>
      <w:lang w:eastAsia="en-US"/>
    </w:rPr>
  </w:style>
  <w:style w:type="character" w:customStyle="1" w:styleId="BodyText2Char">
    <w:name w:val="Body Text 2 Char"/>
    <w:basedOn w:val="DefaultParagraphFont"/>
    <w:link w:val="BodyText2"/>
    <w:uiPriority w:val="99"/>
    <w:locked/>
    <w:rsid w:val="00B15607"/>
    <w:rPr>
      <w:rFonts w:ascii="Times New Roman" w:hAnsi="Times New Roman" w:cs="Times New Roman"/>
      <w:noProof/>
      <w:sz w:val="20"/>
      <w:szCs w:val="20"/>
    </w:rPr>
  </w:style>
  <w:style w:type="paragraph" w:styleId="BalloonText">
    <w:name w:val="Balloon Text"/>
    <w:basedOn w:val="Normal"/>
    <w:link w:val="BalloonTextChar"/>
    <w:uiPriority w:val="99"/>
    <w:semiHidden/>
    <w:rsid w:val="007C0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5F7"/>
    <w:rPr>
      <w:rFonts w:ascii="Tahoma" w:hAnsi="Tahoma" w:cs="Tahoma"/>
      <w:sz w:val="16"/>
      <w:szCs w:val="16"/>
      <w:lang w:eastAsia="lv-LV"/>
    </w:rPr>
  </w:style>
  <w:style w:type="character" w:styleId="CommentReference">
    <w:name w:val="annotation reference"/>
    <w:basedOn w:val="DefaultParagraphFont"/>
    <w:uiPriority w:val="99"/>
    <w:semiHidden/>
    <w:rsid w:val="00933E63"/>
    <w:rPr>
      <w:rFonts w:cs="Times New Roman"/>
      <w:sz w:val="16"/>
      <w:szCs w:val="16"/>
    </w:rPr>
  </w:style>
  <w:style w:type="paragraph" w:styleId="CommentText">
    <w:name w:val="annotation text"/>
    <w:basedOn w:val="Normal"/>
    <w:link w:val="CommentTextChar"/>
    <w:uiPriority w:val="99"/>
    <w:semiHidden/>
    <w:rsid w:val="00933E63"/>
    <w:rPr>
      <w:sz w:val="20"/>
      <w:szCs w:val="20"/>
    </w:rPr>
  </w:style>
  <w:style w:type="character" w:customStyle="1" w:styleId="CommentTextChar">
    <w:name w:val="Comment Text Char"/>
    <w:basedOn w:val="DefaultParagraphFont"/>
    <w:link w:val="CommentText"/>
    <w:uiPriority w:val="99"/>
    <w:semiHidden/>
    <w:locked/>
    <w:rsid w:val="00933E63"/>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933E63"/>
    <w:rPr>
      <w:b/>
      <w:bCs/>
    </w:rPr>
  </w:style>
  <w:style w:type="character" w:customStyle="1" w:styleId="CommentSubjectChar">
    <w:name w:val="Comment Subject Char"/>
    <w:basedOn w:val="CommentTextChar"/>
    <w:link w:val="CommentSubject"/>
    <w:uiPriority w:val="99"/>
    <w:semiHidden/>
    <w:locked/>
    <w:rsid w:val="00933E63"/>
    <w:rPr>
      <w:rFonts w:ascii="Times New Roman" w:hAnsi="Times New Roman" w:cs="Times New Roman"/>
      <w:b/>
      <w:bCs/>
      <w:sz w:val="20"/>
      <w:szCs w:val="20"/>
      <w:lang w:eastAsia="lv-LV"/>
    </w:rPr>
  </w:style>
  <w:style w:type="paragraph" w:customStyle="1" w:styleId="tvhtml">
    <w:name w:val="tv_html"/>
    <w:basedOn w:val="Normal"/>
    <w:uiPriority w:val="99"/>
    <w:rsid w:val="00C94214"/>
    <w:pPr>
      <w:spacing w:before="100" w:beforeAutospacing="1" w:after="100" w:afterAutospacing="1"/>
    </w:pPr>
    <w:rPr>
      <w:rFonts w:ascii="Verdana" w:hAnsi="Verdana"/>
      <w:sz w:val="18"/>
      <w:szCs w:val="18"/>
    </w:rPr>
  </w:style>
  <w:style w:type="paragraph" w:styleId="Revision">
    <w:name w:val="Revision"/>
    <w:hidden/>
    <w:uiPriority w:val="99"/>
    <w:semiHidden/>
    <w:rsid w:val="00C9421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1043863">
      <w:marLeft w:val="0"/>
      <w:marRight w:val="0"/>
      <w:marTop w:val="0"/>
      <w:marBottom w:val="0"/>
      <w:divBdr>
        <w:top w:val="none" w:sz="0" w:space="0" w:color="auto"/>
        <w:left w:val="none" w:sz="0" w:space="0" w:color="auto"/>
        <w:bottom w:val="none" w:sz="0" w:space="0" w:color="auto"/>
        <w:right w:val="none" w:sz="0" w:space="0" w:color="auto"/>
      </w:divBdr>
    </w:div>
    <w:div w:id="1841043865">
      <w:marLeft w:val="45"/>
      <w:marRight w:val="45"/>
      <w:marTop w:val="90"/>
      <w:marBottom w:val="90"/>
      <w:divBdr>
        <w:top w:val="none" w:sz="0" w:space="0" w:color="auto"/>
        <w:left w:val="none" w:sz="0" w:space="0" w:color="auto"/>
        <w:bottom w:val="none" w:sz="0" w:space="0" w:color="auto"/>
        <w:right w:val="none" w:sz="0" w:space="0" w:color="auto"/>
      </w:divBdr>
      <w:divsChild>
        <w:div w:id="1841043862">
          <w:marLeft w:val="0"/>
          <w:marRight w:val="0"/>
          <w:marTop w:val="240"/>
          <w:marBottom w:val="0"/>
          <w:divBdr>
            <w:top w:val="none" w:sz="0" w:space="0" w:color="auto"/>
            <w:left w:val="none" w:sz="0" w:space="0" w:color="auto"/>
            <w:bottom w:val="none" w:sz="0" w:space="0" w:color="auto"/>
            <w:right w:val="none" w:sz="0" w:space="0" w:color="auto"/>
          </w:divBdr>
        </w:div>
      </w:divsChild>
    </w:div>
    <w:div w:id="1841043866">
      <w:marLeft w:val="45"/>
      <w:marRight w:val="45"/>
      <w:marTop w:val="90"/>
      <w:marBottom w:val="90"/>
      <w:divBdr>
        <w:top w:val="none" w:sz="0" w:space="0" w:color="auto"/>
        <w:left w:val="none" w:sz="0" w:space="0" w:color="auto"/>
        <w:bottom w:val="none" w:sz="0" w:space="0" w:color="auto"/>
        <w:right w:val="none" w:sz="0" w:space="0" w:color="auto"/>
      </w:divBdr>
      <w:divsChild>
        <w:div w:id="18410438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1503</Words>
  <Characters>10838</Characters>
  <Application>Microsoft Office Word</Application>
  <DocSecurity>0</DocSecurity>
  <Lines>541</Lines>
  <Paragraphs>209</Paragraphs>
  <ScaleCrop>false</ScaleCrop>
  <HeadingPairs>
    <vt:vector size="2" baseType="variant">
      <vt:variant>
        <vt:lpstr>Title</vt:lpstr>
      </vt:variant>
      <vt:variant>
        <vt:i4>1</vt:i4>
      </vt:variant>
    </vt:vector>
  </HeadingPairs>
  <TitlesOfParts>
    <vt:vector size="1" baseType="lpstr">
      <vt:lpstr/>
    </vt:vector>
  </TitlesOfParts>
  <Company>vaad</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Renārs Žagars</cp:lastModifiedBy>
  <cp:revision>3</cp:revision>
  <dcterms:created xsi:type="dcterms:W3CDTF">2012-02-22T08:14:00Z</dcterms:created>
  <dcterms:modified xsi:type="dcterms:W3CDTF">2012-02-22T09:18:00Z</dcterms:modified>
</cp:coreProperties>
</file>