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37" w:rsidRPr="002F3C59" w:rsidRDefault="00FF3337" w:rsidP="004A7A92">
      <w:pPr>
        <w:pStyle w:val="naislab"/>
        <w:spacing w:before="0" w:after="0"/>
        <w:jc w:val="center"/>
        <w:outlineLvl w:val="0"/>
        <w:rPr>
          <w:b/>
          <w:sz w:val="28"/>
          <w:szCs w:val="28"/>
        </w:rPr>
      </w:pPr>
      <w:r w:rsidRPr="002F3C59">
        <w:rPr>
          <w:b/>
          <w:sz w:val="28"/>
          <w:szCs w:val="28"/>
        </w:rPr>
        <w:t>Ministru kabineta noteikumu projekta „</w:t>
      </w:r>
      <w:bookmarkStart w:id="0" w:name="OLE_LINK1"/>
      <w:bookmarkStart w:id="1" w:name="OLE_LINK2"/>
      <w:r w:rsidRPr="002F3C59">
        <w:rPr>
          <w:b/>
          <w:sz w:val="28"/>
          <w:szCs w:val="28"/>
        </w:rPr>
        <w:t>Grozījumi Ministru kabineta 2011.gada 22.februāra noteikumos Nr.156 „</w:t>
      </w:r>
      <w:bookmarkEnd w:id="0"/>
      <w:bookmarkEnd w:id="1"/>
      <w:r w:rsidRPr="002F3C59">
        <w:rPr>
          <w:b/>
          <w:sz w:val="28"/>
          <w:szCs w:val="28"/>
        </w:rPr>
        <w:t xml:space="preserve">Valsts aģentūras „Lauksaimniecības datu centrs” sniegto publisko maksas pakalpojumu cenrādis”” sākotnējās ietekmes novērtējuma </w:t>
      </w:r>
      <w:smartTag w:uri="schemas-tilde-lv/tildestengine" w:element="veidnes">
        <w:smartTagPr>
          <w:attr w:name="text" w:val="ziņojums"/>
          <w:attr w:name="baseform" w:val="ziņojums"/>
          <w:attr w:name="id" w:val="-1"/>
        </w:smartTagPr>
        <w:r w:rsidRPr="002F3C59">
          <w:rPr>
            <w:b/>
            <w:sz w:val="28"/>
            <w:szCs w:val="28"/>
          </w:rPr>
          <w:t>ziņojums</w:t>
        </w:r>
      </w:smartTag>
      <w:r w:rsidRPr="002F3C59">
        <w:rPr>
          <w:b/>
          <w:sz w:val="28"/>
          <w:szCs w:val="28"/>
        </w:rPr>
        <w:t xml:space="preserve"> </w:t>
      </w:r>
    </w:p>
    <w:p w:rsidR="00FF3337" w:rsidRPr="002F3C59" w:rsidRDefault="00FF3337" w:rsidP="004A7A92">
      <w:pPr>
        <w:pStyle w:val="naislab"/>
        <w:spacing w:before="0" w:after="0"/>
        <w:jc w:val="center"/>
        <w:outlineLvl w:val="0"/>
        <w:rPr>
          <w:sz w:val="28"/>
          <w:szCs w:val="28"/>
        </w:rPr>
      </w:pPr>
      <w:r w:rsidRPr="002F3C59">
        <w:rPr>
          <w:b/>
          <w:sz w:val="28"/>
          <w:szCs w:val="28"/>
        </w:rPr>
        <w:t>(anotācija)</w:t>
      </w:r>
    </w:p>
    <w:p w:rsidR="00FF3337" w:rsidRPr="002F3C59" w:rsidRDefault="00FF3337" w:rsidP="00FA338D">
      <w:pPr>
        <w:pStyle w:val="naislab"/>
        <w:spacing w:before="0" w:after="0"/>
        <w:jc w:val="center"/>
        <w:outlineLvl w:val="0"/>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7559"/>
      </w:tblGrid>
      <w:tr w:rsidR="00FF3337" w:rsidRPr="002F3C59" w:rsidTr="003A5604">
        <w:tc>
          <w:tcPr>
            <w:tcW w:w="9539" w:type="dxa"/>
            <w:gridSpan w:val="3"/>
          </w:tcPr>
          <w:p w:rsidR="00FF3337" w:rsidRPr="002F3C59" w:rsidRDefault="00FF3337" w:rsidP="00B04F23">
            <w:pPr>
              <w:pStyle w:val="naislab"/>
              <w:spacing w:before="0" w:after="0"/>
              <w:jc w:val="center"/>
              <w:outlineLvl w:val="0"/>
              <w:rPr>
                <w:b/>
                <w:sz w:val="28"/>
                <w:szCs w:val="28"/>
              </w:rPr>
            </w:pPr>
            <w:r w:rsidRPr="002F3C59">
              <w:rPr>
                <w:b/>
              </w:rPr>
              <w:t>I. Tiesību akta projekta izstrādes nepieciešamība</w:t>
            </w:r>
          </w:p>
        </w:tc>
      </w:tr>
      <w:tr w:rsidR="00FF3337" w:rsidRPr="002F3C59" w:rsidTr="003A5604">
        <w:tc>
          <w:tcPr>
            <w:tcW w:w="540" w:type="dxa"/>
          </w:tcPr>
          <w:p w:rsidR="00FF3337" w:rsidRPr="002F3C59" w:rsidRDefault="00FF3337" w:rsidP="00B04F23">
            <w:pPr>
              <w:pStyle w:val="naislab"/>
              <w:spacing w:before="0" w:after="0"/>
              <w:jc w:val="center"/>
              <w:outlineLvl w:val="0"/>
              <w:rPr>
                <w:sz w:val="28"/>
                <w:szCs w:val="28"/>
              </w:rPr>
            </w:pPr>
            <w:r w:rsidRPr="002F3C59">
              <w:rPr>
                <w:sz w:val="22"/>
                <w:szCs w:val="22"/>
              </w:rPr>
              <w:t>1.</w:t>
            </w:r>
          </w:p>
        </w:tc>
        <w:tc>
          <w:tcPr>
            <w:tcW w:w="1440" w:type="dxa"/>
          </w:tcPr>
          <w:p w:rsidR="00FF3337" w:rsidRPr="002F3C59" w:rsidRDefault="00FF3337" w:rsidP="00B04F23">
            <w:pPr>
              <w:pStyle w:val="naislab"/>
              <w:spacing w:before="0" w:after="0"/>
              <w:jc w:val="both"/>
              <w:outlineLvl w:val="0"/>
              <w:rPr>
                <w:sz w:val="28"/>
                <w:szCs w:val="28"/>
              </w:rPr>
            </w:pPr>
            <w:r w:rsidRPr="002F3C59">
              <w:rPr>
                <w:sz w:val="22"/>
                <w:szCs w:val="22"/>
              </w:rPr>
              <w:t>Pamatojums</w:t>
            </w:r>
          </w:p>
        </w:tc>
        <w:tc>
          <w:tcPr>
            <w:tcW w:w="7559" w:type="dxa"/>
          </w:tcPr>
          <w:p w:rsidR="00FF3337" w:rsidRPr="002F3C59" w:rsidRDefault="00FF3337" w:rsidP="00B04F23">
            <w:pPr>
              <w:pStyle w:val="naislab"/>
              <w:spacing w:before="0" w:after="0"/>
              <w:jc w:val="both"/>
              <w:outlineLvl w:val="0"/>
            </w:pPr>
            <w:r w:rsidRPr="002F3C59">
              <w:t>Likuma par budžetu un finanšu vadību  5.panta devītā daļa.</w:t>
            </w:r>
          </w:p>
        </w:tc>
      </w:tr>
      <w:tr w:rsidR="00FF3337" w:rsidRPr="002F3C59" w:rsidTr="003A5604">
        <w:trPr>
          <w:trHeight w:val="3103"/>
        </w:trPr>
        <w:tc>
          <w:tcPr>
            <w:tcW w:w="540" w:type="dxa"/>
          </w:tcPr>
          <w:p w:rsidR="00FF3337" w:rsidRPr="002F3C59" w:rsidRDefault="00FF3337" w:rsidP="00B04F23">
            <w:pPr>
              <w:pStyle w:val="naislab"/>
              <w:spacing w:before="0" w:after="0"/>
              <w:jc w:val="center"/>
              <w:outlineLvl w:val="0"/>
              <w:rPr>
                <w:sz w:val="28"/>
                <w:szCs w:val="28"/>
              </w:rPr>
            </w:pPr>
            <w:r w:rsidRPr="002F3C59">
              <w:rPr>
                <w:sz w:val="22"/>
                <w:szCs w:val="22"/>
              </w:rPr>
              <w:t>2.</w:t>
            </w:r>
          </w:p>
        </w:tc>
        <w:tc>
          <w:tcPr>
            <w:tcW w:w="1440" w:type="dxa"/>
          </w:tcPr>
          <w:p w:rsidR="00FF3337" w:rsidRPr="002F3C59" w:rsidRDefault="00FF3337" w:rsidP="00B04F23">
            <w:pPr>
              <w:pStyle w:val="naislab"/>
              <w:spacing w:before="0" w:after="0"/>
              <w:jc w:val="both"/>
              <w:outlineLvl w:val="0"/>
              <w:rPr>
                <w:sz w:val="28"/>
                <w:szCs w:val="28"/>
              </w:rPr>
            </w:pPr>
            <w:r w:rsidRPr="002F3C59">
              <w:rPr>
                <w:sz w:val="22"/>
                <w:szCs w:val="22"/>
              </w:rPr>
              <w:t>Pašreizējā situācija un problēmas</w:t>
            </w:r>
          </w:p>
        </w:tc>
        <w:tc>
          <w:tcPr>
            <w:tcW w:w="7559" w:type="dxa"/>
          </w:tcPr>
          <w:p w:rsidR="00FF3337" w:rsidRPr="002F3C59" w:rsidRDefault="00FF3337" w:rsidP="00E2688A">
            <w:pPr>
              <w:pStyle w:val="Pamattekstaatkpe2"/>
              <w:tabs>
                <w:tab w:val="left" w:pos="540"/>
              </w:tabs>
              <w:ind w:left="-27" w:firstLine="27"/>
              <w:rPr>
                <w:szCs w:val="28"/>
              </w:rPr>
            </w:pPr>
            <w:r w:rsidRPr="002F3C59">
              <w:t>Patlaban valsts aģentūras „Lauksaimniecības datu centrs” (turpmāk – datu centrs) sniegto publisko maksas cenrādi regulē Ministru kabineta 2011.gada 22.februāra noteikumi Nr.</w:t>
            </w:r>
            <w:r w:rsidRPr="002F3C59">
              <w:rPr>
                <w:szCs w:val="24"/>
              </w:rPr>
              <w:t>156 „Valsts aģentūras „Lauksaimniecības datu centrs” sniegto publisko maksas pakalpojumu cenrādis”” (t</w:t>
            </w:r>
            <w:r w:rsidRPr="002F3C59">
              <w:rPr>
                <w:szCs w:val="28"/>
              </w:rPr>
              <w:t>urpmāk – cenrādis).</w:t>
            </w:r>
          </w:p>
          <w:p w:rsidR="00FF3337" w:rsidRPr="002F3C59" w:rsidRDefault="00FF3337" w:rsidP="0052706C">
            <w:pPr>
              <w:pStyle w:val="Pamattekstaatkpe2"/>
              <w:tabs>
                <w:tab w:val="left" w:pos="540"/>
              </w:tabs>
              <w:ind w:left="-27" w:firstLine="0"/>
              <w:rPr>
                <w:szCs w:val="28"/>
              </w:rPr>
            </w:pPr>
            <w:r w:rsidRPr="002F3C59">
              <w:rPr>
                <w:szCs w:val="28"/>
              </w:rPr>
              <w:t>Ministru kabineta 2011.gada 21.jūnija noteikum</w:t>
            </w:r>
            <w:r>
              <w:rPr>
                <w:szCs w:val="28"/>
              </w:rPr>
              <w:t>u</w:t>
            </w:r>
            <w:r w:rsidRPr="002F3C59">
              <w:rPr>
                <w:szCs w:val="28"/>
              </w:rPr>
              <w:t xml:space="preserve"> Nr.491 „Mājas (istabas) dzīvnieku reģistrācijas kārtība”(turpmāk – noteikumi) 18.punktā paredzēts, ka mājas (istabas) dzīvnieka īpašnieks par mājas (istabas) dzīvnieka reģistrāciju datubāzē maksā saskaņā ar datu centra cenrādi. </w:t>
            </w:r>
          </w:p>
          <w:p w:rsidR="00FF3337" w:rsidRPr="002F3C59" w:rsidRDefault="00FF3337" w:rsidP="00525F38">
            <w:pPr>
              <w:pStyle w:val="Pamattekstaatkpe2"/>
              <w:tabs>
                <w:tab w:val="left" w:pos="540"/>
              </w:tabs>
              <w:ind w:left="-27" w:firstLine="27"/>
              <w:rPr>
                <w:szCs w:val="24"/>
              </w:rPr>
            </w:pPr>
            <w:r w:rsidRPr="002F3C59">
              <w:rPr>
                <w:szCs w:val="28"/>
              </w:rPr>
              <w:t>Cenrāža 3.punkts nosaka, ka maksu par suņa reģistrāciju nepiemēro, ja tas ir jaunāks par sešiem mēnešiem, kā arī līdz 2012.gada 1.jūlijam – ja suns dzimis pirms 2011.gada 1.jūlija. Minētās normas noteikumos tika iekļautas</w:t>
            </w:r>
            <w:r>
              <w:rPr>
                <w:szCs w:val="28"/>
              </w:rPr>
              <w:t>,</w:t>
            </w:r>
            <w:r w:rsidRPr="002F3C59">
              <w:rPr>
                <w:szCs w:val="28"/>
              </w:rPr>
              <w:t xml:space="preserve"> paredzot, ka minēto suņu grupas reģistrācijai tiks piešķirts finansējums no </w:t>
            </w:r>
            <w:r w:rsidRPr="002F3C59">
              <w:rPr>
                <w:szCs w:val="24"/>
              </w:rPr>
              <w:t xml:space="preserve">Eiropas Reģionālās attīstības fonda (turpmāk – ERAF) līdzekļiem. Ievērojot Ministru kabineta 2010.gada 2.marta sēdē (protokola Nr.11 53.§ 3.punkts) doto uzdevumu, Zemkopības ministrija no ERAF līdzekļiem 2007.–2013.gada plānošanas periodam papildus apstiprinātajiem projektiem darbības programmā „Infrastruktūra un pakalpojumi” papildinājuma 3.2.2.1.1.apakšaktivitātei “Informācijas sistēmu un elektronisko pakalpojumu attīstība”” ir iekļāvusi aktivitāti </w:t>
            </w:r>
            <w:r w:rsidRPr="002F3C59">
              <w:rPr>
                <w:b/>
                <w:szCs w:val="24"/>
              </w:rPr>
              <w:t>„</w:t>
            </w:r>
            <w:r w:rsidRPr="002F3C59">
              <w:rPr>
                <w:szCs w:val="24"/>
              </w:rPr>
              <w:t xml:space="preserve">Mājas (istabas) dzīvnieku uzskaites vienotās informācijas sistēmas izveide”. Pamatojoties uz minēto, </w:t>
            </w:r>
            <w:r w:rsidRPr="002F3C59">
              <w:rPr>
                <w:szCs w:val="24"/>
                <w:u w:val="single"/>
              </w:rPr>
              <w:t>no ERAF līdzekļiem finansējums tiks rasts tikai mājas (istabas) dzīvnieku</w:t>
            </w:r>
            <w:r w:rsidRPr="002F3C59">
              <w:rPr>
                <w:szCs w:val="24"/>
              </w:rPr>
              <w:t xml:space="preserve"> </w:t>
            </w:r>
            <w:r w:rsidRPr="002F3C59">
              <w:rPr>
                <w:szCs w:val="24"/>
                <w:u w:val="single"/>
              </w:rPr>
              <w:t>datubāzes izveidei</w:t>
            </w:r>
            <w:r w:rsidRPr="002F3C59">
              <w:rPr>
                <w:szCs w:val="24"/>
              </w:rPr>
              <w:t>. D</w:t>
            </w:r>
            <w:r w:rsidRPr="002F3C59">
              <w:rPr>
                <w:szCs w:val="24"/>
                <w:u w:val="single"/>
              </w:rPr>
              <w:t>atu reģistrēšanas izmaksas saistībā ar projektu nav attiecināmās izmaksas,</w:t>
            </w:r>
            <w:r w:rsidRPr="002F3C59">
              <w:rPr>
                <w:szCs w:val="24"/>
              </w:rPr>
              <w:t xml:space="preserve"> jo tās neatbilst Ministru kabineta 2008.gada 21.jūlija noteikumu Nr.576 „Noteikumi par darbības programmas „Infrastruktūra un pakalpojumi” papildinājuma 3.2.2.1.1.apakšaktivitātes “Informācijas sistēmu un elektronisko pakalpojumu attīstība” projektu iesniegumu atlases pirmo kārtu noteikumiem” 5.punktā noteiktajām atbalstāmajām darbībām un 17.punktā noteiktajām attiecināmajām izmaksām.</w:t>
            </w:r>
          </w:p>
          <w:p w:rsidR="00FF3337" w:rsidRPr="002F3C59" w:rsidRDefault="00FF3337" w:rsidP="0040506E">
            <w:pPr>
              <w:pStyle w:val="Pamattekstsaratkpi"/>
              <w:ind w:left="0"/>
              <w:jc w:val="both"/>
            </w:pPr>
            <w:r>
              <w:t>Ievērojot</w:t>
            </w:r>
            <w:r w:rsidRPr="002F3C59">
              <w:t xml:space="preserve"> iepriekšminēto</w:t>
            </w:r>
            <w:r>
              <w:t>,</w:t>
            </w:r>
            <w:r w:rsidRPr="002F3C59">
              <w:t xml:space="preserve"> finansējums suņu reģistrēšanai nav pieejams. </w:t>
            </w:r>
            <w:r>
              <w:t xml:space="preserve">Tāpēc </w:t>
            </w:r>
            <w:r w:rsidRPr="002F3C59">
              <w:t>izmaksas par dzīvnieka reģistrēšanu, t</w:t>
            </w:r>
            <w:r>
              <w:t>ostarp par</w:t>
            </w:r>
            <w:r w:rsidRPr="002F3C59">
              <w:t xml:space="preserve"> cenrāža 3.punktā norādītās suņu grupas reģistrēšanu, jāsedz mājas (istabas) dzīvnieku īpašniekiem.</w:t>
            </w:r>
          </w:p>
          <w:p w:rsidR="00FF3337" w:rsidRPr="002F3C59" w:rsidRDefault="00FF3337" w:rsidP="005A20D5">
            <w:pPr>
              <w:pStyle w:val="naisc"/>
              <w:spacing w:before="0" w:after="0"/>
              <w:jc w:val="both"/>
            </w:pPr>
            <w:r w:rsidRPr="002F3C59">
              <w:t>Pašlaik nav iespējams piedāvāt mājas (istabas) dzīvnieku īpašniekiem iespēju reģistrēt dzīvniekus</w:t>
            </w:r>
            <w:r>
              <w:t>,</w:t>
            </w:r>
            <w:r w:rsidRPr="002F3C59">
              <w:t xml:space="preserve"> izmantojot portālu </w:t>
            </w:r>
            <w:proofErr w:type="spellStart"/>
            <w:r w:rsidRPr="002F3C59">
              <w:t>latvija.lv</w:t>
            </w:r>
            <w:proofErr w:type="spellEnd"/>
            <w:r w:rsidRPr="002F3C59">
              <w:t>.</w:t>
            </w:r>
          </w:p>
          <w:p w:rsidR="00FF3337" w:rsidRPr="002F3C59" w:rsidRDefault="00FF3337" w:rsidP="005A20D5">
            <w:pPr>
              <w:pStyle w:val="naisc"/>
              <w:spacing w:before="0" w:after="0"/>
              <w:jc w:val="both"/>
            </w:pPr>
            <w:r w:rsidRPr="002F3C59">
              <w:t>30.09.2011.</w:t>
            </w:r>
            <w:r>
              <w:t xml:space="preserve"> bei</w:t>
            </w:r>
            <w:r w:rsidRPr="002F3C59">
              <w:t>dzās atklāts Zemkopības ministrijas konkurss par mājas (istabas) dzīvnieku uzskaites vienotās informācijas sistēmas izstrādi un ieviešanu</w:t>
            </w:r>
            <w:r>
              <w:t>.</w:t>
            </w:r>
            <w:r w:rsidRPr="002F3C59">
              <w:t xml:space="preserve"> </w:t>
            </w:r>
            <w:r>
              <w:t>Tajā</w:t>
            </w:r>
            <w:r w:rsidRPr="002F3C59">
              <w:t xml:space="preserve"> uzvarēja SIA „</w:t>
            </w:r>
            <w:proofErr w:type="spellStart"/>
            <w:r w:rsidRPr="002F3C59">
              <w:t>iSoft</w:t>
            </w:r>
            <w:proofErr w:type="spellEnd"/>
            <w:r w:rsidRPr="002F3C59">
              <w:t xml:space="preserve"> </w:t>
            </w:r>
            <w:proofErr w:type="spellStart"/>
            <w:r w:rsidRPr="002F3C59">
              <w:t>Solutions</w:t>
            </w:r>
            <w:proofErr w:type="spellEnd"/>
            <w:r w:rsidRPr="002F3C59">
              <w:t>”. 14.10.2011.</w:t>
            </w:r>
            <w:r>
              <w:t xml:space="preserve"> </w:t>
            </w:r>
            <w:r w:rsidRPr="002F3C59">
              <w:t>Iepirkumu uzraudzības birojā tika saņemts iesniegums no AS „</w:t>
            </w:r>
            <w:proofErr w:type="spellStart"/>
            <w:r w:rsidRPr="002F3C59">
              <w:t>Exigen</w:t>
            </w:r>
            <w:proofErr w:type="spellEnd"/>
            <w:r w:rsidRPr="002F3C59">
              <w:t xml:space="preserve"> </w:t>
            </w:r>
            <w:proofErr w:type="spellStart"/>
            <w:r w:rsidRPr="002F3C59">
              <w:t>Services</w:t>
            </w:r>
            <w:proofErr w:type="spellEnd"/>
            <w:r w:rsidRPr="002F3C59">
              <w:t xml:space="preserve"> </w:t>
            </w:r>
            <w:proofErr w:type="spellStart"/>
            <w:r w:rsidRPr="002F3C59">
              <w:t>Latvia</w:t>
            </w:r>
            <w:proofErr w:type="spellEnd"/>
            <w:r w:rsidRPr="002F3C59">
              <w:t>” par konkursa rezultātu apstrīdēšanu. 14.11.2011.</w:t>
            </w:r>
            <w:r>
              <w:t xml:space="preserve"> </w:t>
            </w:r>
            <w:r w:rsidRPr="002F3C59">
              <w:t>Iepirkumu uzraudzības biroja iesniegumu izskatīšanas komisija nolēma, ka Z</w:t>
            </w:r>
            <w:r>
              <w:t>emkopības ministrijai</w:t>
            </w:r>
            <w:r w:rsidRPr="002F3C59">
              <w:t xml:space="preserve"> ir tiesības slēgt līgumu ar SIA „</w:t>
            </w:r>
            <w:proofErr w:type="spellStart"/>
            <w:r w:rsidRPr="002F3C59">
              <w:t>iSoft</w:t>
            </w:r>
            <w:proofErr w:type="spellEnd"/>
            <w:r w:rsidRPr="002F3C59">
              <w:t xml:space="preserve"> </w:t>
            </w:r>
            <w:proofErr w:type="spellStart"/>
            <w:r w:rsidRPr="002F3C59">
              <w:t>Solutions</w:t>
            </w:r>
            <w:proofErr w:type="spellEnd"/>
            <w:r w:rsidRPr="002F3C59">
              <w:t>”, taču AS „</w:t>
            </w:r>
            <w:proofErr w:type="spellStart"/>
            <w:r w:rsidRPr="002F3C59">
              <w:t>Exigen</w:t>
            </w:r>
            <w:proofErr w:type="spellEnd"/>
            <w:r w:rsidRPr="002F3C59">
              <w:t xml:space="preserve"> </w:t>
            </w:r>
            <w:proofErr w:type="spellStart"/>
            <w:r w:rsidRPr="002F3C59">
              <w:t>Services</w:t>
            </w:r>
            <w:proofErr w:type="spellEnd"/>
            <w:r w:rsidRPr="002F3C59">
              <w:t xml:space="preserve"> </w:t>
            </w:r>
            <w:proofErr w:type="spellStart"/>
            <w:r w:rsidRPr="002F3C59">
              <w:lastRenderedPageBreak/>
              <w:t>Latvia</w:t>
            </w:r>
            <w:proofErr w:type="spellEnd"/>
            <w:r w:rsidRPr="002F3C59">
              <w:t>” ir tiesības pārsūdzēt lēmumu Administratīvajā tiesā mēneša laikā no lēmuma pieņemšanas dienas. Ņemot vērā šo situāciju</w:t>
            </w:r>
            <w:r>
              <w:t>,</w:t>
            </w:r>
            <w:r w:rsidRPr="002F3C59">
              <w:t xml:space="preserve"> informācijas sistēmas izveide ir aizkavējusies. Tā kā valsts aģentūrai „Lauksaimniecības datu centrs” ir nepieciešams arī laiks mājas (istabas) dzīvnieku uzskaites vienotās informācijas sistēmas testēšanai, mājas (istabas) dzīvnieku reģistrācija, izmantojot portālu </w:t>
            </w:r>
            <w:proofErr w:type="spellStart"/>
            <w:r w:rsidRPr="002F3C59">
              <w:t>latvija.lv</w:t>
            </w:r>
            <w:proofErr w:type="spellEnd"/>
            <w:r>
              <w:t>,</w:t>
            </w:r>
            <w:r w:rsidRPr="002F3C59">
              <w:t xml:space="preserve"> būs pieejama tikai no 2012.gada 1.jūlija. </w:t>
            </w:r>
          </w:p>
          <w:p w:rsidR="00FF3337" w:rsidRPr="002F3C59" w:rsidRDefault="00FF3337" w:rsidP="005A20D5">
            <w:pPr>
              <w:pStyle w:val="Pamattekstsaratkpi"/>
              <w:ind w:left="0"/>
              <w:jc w:val="both"/>
            </w:pPr>
            <w:r w:rsidRPr="002F3C59">
              <w:t xml:space="preserve">Jāņem vērā, ka ne visiem mājas (istabas) dzīvnieku </w:t>
            </w:r>
            <w:proofErr w:type="spellStart"/>
            <w:r w:rsidRPr="002F3C59">
              <w:t>īpašniekiem</w:t>
            </w:r>
            <w:r>
              <w:t>ir</w:t>
            </w:r>
            <w:proofErr w:type="spellEnd"/>
            <w:r w:rsidRPr="002F3C59">
              <w:t xml:space="preserve"> iespēja izmantot e-pakalpojumus interneta nepieejamīb</w:t>
            </w:r>
            <w:r>
              <w:t>as dēļ</w:t>
            </w:r>
            <w:r w:rsidRPr="002F3C59">
              <w:t>. Informācijas ievades veids (papīra formā vai elektroniski) neietekmē reģistra uzturēšanas izmaksas (datu pārbaude, kļūdainās informācijas apkopošana un labošana, datu atlase utt.).</w:t>
            </w:r>
          </w:p>
        </w:tc>
      </w:tr>
      <w:tr w:rsidR="00FF3337" w:rsidRPr="002F3C59" w:rsidTr="003A5604">
        <w:tc>
          <w:tcPr>
            <w:tcW w:w="540" w:type="dxa"/>
          </w:tcPr>
          <w:p w:rsidR="00FF3337" w:rsidRPr="002F3C59" w:rsidRDefault="00FF3337" w:rsidP="00B04F23">
            <w:pPr>
              <w:pStyle w:val="naislab"/>
              <w:spacing w:before="0" w:after="0"/>
              <w:jc w:val="center"/>
              <w:outlineLvl w:val="0"/>
            </w:pPr>
            <w:r w:rsidRPr="002F3C59">
              <w:rPr>
                <w:sz w:val="22"/>
                <w:szCs w:val="22"/>
              </w:rPr>
              <w:lastRenderedPageBreak/>
              <w:t>3.</w:t>
            </w:r>
          </w:p>
        </w:tc>
        <w:tc>
          <w:tcPr>
            <w:tcW w:w="1440" w:type="dxa"/>
          </w:tcPr>
          <w:p w:rsidR="00FF3337" w:rsidRPr="002F3C59" w:rsidRDefault="00FF3337" w:rsidP="00B04F23">
            <w:pPr>
              <w:pStyle w:val="naislab"/>
              <w:spacing w:before="0" w:after="0"/>
              <w:jc w:val="both"/>
              <w:outlineLvl w:val="0"/>
            </w:pPr>
            <w:r w:rsidRPr="002F3C59">
              <w:rPr>
                <w:sz w:val="22"/>
                <w:szCs w:val="22"/>
              </w:rPr>
              <w:t>Saistītie politikas ietekmes novērtējumi un pētījumi</w:t>
            </w:r>
          </w:p>
        </w:tc>
        <w:tc>
          <w:tcPr>
            <w:tcW w:w="7559" w:type="dxa"/>
          </w:tcPr>
          <w:p w:rsidR="00FF3337" w:rsidRPr="002F3C59" w:rsidRDefault="00FF3337" w:rsidP="00B04F23">
            <w:pPr>
              <w:jc w:val="both"/>
            </w:pPr>
            <w:r w:rsidRPr="002F3C59">
              <w:t>Projekts šo jomu neskar.</w:t>
            </w:r>
          </w:p>
        </w:tc>
      </w:tr>
      <w:tr w:rsidR="00FF3337" w:rsidRPr="002F3C59" w:rsidTr="003A5604">
        <w:tc>
          <w:tcPr>
            <w:tcW w:w="540" w:type="dxa"/>
          </w:tcPr>
          <w:p w:rsidR="00FF3337" w:rsidRPr="002F3C59" w:rsidRDefault="00FF3337" w:rsidP="00B04F23">
            <w:pPr>
              <w:pStyle w:val="naislab"/>
              <w:spacing w:before="0" w:after="0"/>
              <w:jc w:val="center"/>
              <w:outlineLvl w:val="0"/>
            </w:pPr>
            <w:r w:rsidRPr="002F3C59">
              <w:rPr>
                <w:sz w:val="22"/>
                <w:szCs w:val="22"/>
              </w:rPr>
              <w:t>4.</w:t>
            </w:r>
          </w:p>
        </w:tc>
        <w:tc>
          <w:tcPr>
            <w:tcW w:w="1440" w:type="dxa"/>
          </w:tcPr>
          <w:p w:rsidR="00FF3337" w:rsidRPr="002F3C59" w:rsidRDefault="00FF3337" w:rsidP="00B04F23">
            <w:pPr>
              <w:pStyle w:val="naislab"/>
              <w:spacing w:before="0" w:after="0"/>
              <w:jc w:val="both"/>
              <w:outlineLvl w:val="0"/>
            </w:pPr>
            <w:r w:rsidRPr="002F3C59">
              <w:rPr>
                <w:sz w:val="22"/>
                <w:szCs w:val="22"/>
              </w:rPr>
              <w:t>Tiesiskā regulējuma mērķis un būtība</w:t>
            </w:r>
          </w:p>
        </w:tc>
        <w:tc>
          <w:tcPr>
            <w:tcW w:w="7559" w:type="dxa"/>
          </w:tcPr>
          <w:p w:rsidR="00FF3337" w:rsidRPr="002F3C59" w:rsidRDefault="00FF3337" w:rsidP="006C7BF3">
            <w:pPr>
              <w:pStyle w:val="Pamattekstsaratkpi"/>
              <w:spacing w:after="0"/>
              <w:ind w:left="0"/>
              <w:jc w:val="both"/>
            </w:pPr>
            <w:r w:rsidRPr="002F3C59">
              <w:t xml:space="preserve">Ministru kabineta noteikumu projektā „Grozījums 2011.gada 22.februāra  noteikumos Nr.156 „Valsts aģentūras „Lauksaimniecības datu centrs” sniegto publisko maksas pakalpojumu cenrādis”” (turpmāk – projekts) </w:t>
            </w:r>
            <w:r>
              <w:t>izdarī</w:t>
            </w:r>
            <w:r w:rsidRPr="002F3C59">
              <w:t>ti šādi grozījumi:</w:t>
            </w:r>
          </w:p>
          <w:p w:rsidR="00FF3337" w:rsidRPr="002F3C59" w:rsidRDefault="00FF3337" w:rsidP="006C7BF3">
            <w:pPr>
              <w:pStyle w:val="Pamattekstsaratkpi"/>
              <w:spacing w:after="0"/>
              <w:ind w:left="0"/>
              <w:jc w:val="both"/>
              <w:rPr>
                <w:szCs w:val="28"/>
              </w:rPr>
            </w:pPr>
            <w:r w:rsidRPr="002F3C59">
              <w:t>1) svītrota norma, ka maksu par suņa reģistrāciju nepiemēro, ja</w:t>
            </w:r>
            <w:r w:rsidRPr="002F3C59">
              <w:rPr>
                <w:szCs w:val="28"/>
              </w:rPr>
              <w:t xml:space="preserve"> tas ir jaunāks par sešiem mēnešiem, kā arī līdz 2012.gada 1.jūlijam – ja suns dzimis pirms 2011.gada 1.jūlija. Tas nozīmē, ka visiem mājas (istabas) dzīvnieku īpašniekiem par mājas (istabas ) dzīvnieka reģistrāciju ir jāmaksā </w:t>
            </w:r>
            <w:smartTag w:uri="schemas-tilde-lv/tildestengine" w:element="currency2">
              <w:smartTagPr>
                <w:attr w:name="currency_id" w:val="48"/>
                <w:attr w:name="currency_key" w:val="LVL"/>
                <w:attr w:name="currency_value" w:val="5"/>
                <w:attr w:name="currency_text" w:val="Ls"/>
              </w:smartTagPr>
              <w:r w:rsidRPr="002F3C59">
                <w:rPr>
                  <w:szCs w:val="28"/>
                </w:rPr>
                <w:t>Ls 5</w:t>
              </w:r>
            </w:smartTag>
            <w:r>
              <w:rPr>
                <w:szCs w:val="28"/>
              </w:rPr>
              <w:t>;</w:t>
            </w:r>
            <w:r w:rsidRPr="002F3C59">
              <w:rPr>
                <w:szCs w:val="28"/>
              </w:rPr>
              <w:t xml:space="preserve"> </w:t>
            </w:r>
          </w:p>
          <w:p w:rsidR="00FF3337" w:rsidRPr="002F3C59" w:rsidRDefault="00FF3337" w:rsidP="006C7BF3">
            <w:pPr>
              <w:pStyle w:val="Pamattekstsaratkpi"/>
              <w:spacing w:after="0"/>
              <w:ind w:left="0"/>
              <w:jc w:val="both"/>
            </w:pPr>
            <w:r w:rsidRPr="002F3C59">
              <w:t>2) lai motivētu suņu īpašniekus reģistrēt suņus, datu centrs ir radis iespēju 2012.gadā suņu</w:t>
            </w:r>
            <w:r>
              <w:t>s</w:t>
            </w:r>
            <w:r w:rsidRPr="002F3C59">
              <w:t xml:space="preserve"> reģistr</w:t>
            </w:r>
            <w:r>
              <w:t>ē</w:t>
            </w:r>
            <w:r w:rsidRPr="002F3C59">
              <w:t xml:space="preserve">t bez maksas, </w:t>
            </w:r>
            <w:r>
              <w:t>tāpēc</w:t>
            </w:r>
            <w:r w:rsidRPr="002F3C59">
              <w:t xml:space="preserve"> minētā dzīvnieku reģistrācijas maksa (</w:t>
            </w:r>
            <w:smartTag w:uri="schemas-tilde-lv/tildestengine" w:element="currency2">
              <w:smartTagPr>
                <w:attr w:name="currency_id" w:val="48"/>
                <w:attr w:name="currency_key" w:val="LVL"/>
                <w:attr w:name="currency_value" w:val="5"/>
                <w:attr w:name="currency_text" w:val="Ls"/>
              </w:smartTagPr>
              <w:r w:rsidRPr="002F3C59">
                <w:t>Ls 5</w:t>
              </w:r>
            </w:smartTag>
            <w:r w:rsidRPr="002F3C59">
              <w:t>) un maksa par mājas (istabas) dzīvnieka īpašnieka maiņu (</w:t>
            </w:r>
            <w:smartTag w:uri="schemas-tilde-lv/tildestengine" w:element="currency2">
              <w:smartTagPr>
                <w:attr w:name="currency_id" w:val="48"/>
                <w:attr w:name="currency_key" w:val="LVL"/>
                <w:attr w:name="currency_value" w:val="3.50"/>
                <w:attr w:name="currency_text" w:val="Ls"/>
              </w:smartTagPr>
              <w:r w:rsidRPr="002F3C59">
                <w:t>Ls 3.50</w:t>
              </w:r>
            </w:smartTag>
            <w:r w:rsidRPr="002F3C59">
              <w:t>) stāsies spēkā tikai 2013.gada 1.janvārī;</w:t>
            </w:r>
          </w:p>
          <w:p w:rsidR="00FF3337" w:rsidRPr="002F3C59" w:rsidRDefault="00FF3337" w:rsidP="006C7BF3">
            <w:pPr>
              <w:pStyle w:val="Pamattekstsaratkpi"/>
              <w:spacing w:after="0"/>
              <w:ind w:left="0"/>
              <w:jc w:val="both"/>
            </w:pPr>
            <w:r w:rsidRPr="002F3C59">
              <w:t xml:space="preserve">3) iekļauta maksa par atšķirības lenti bīstamam sunim (jo daļa bīstamo suņu ir apzīmēti ar mikroshēmu pirms šo suņu atzīšanas par bīstamiem, </w:t>
            </w:r>
            <w:r>
              <w:t>tāpēc</w:t>
            </w:r>
            <w:r w:rsidRPr="002F3C59">
              <w:t xml:space="preserve"> šiem suņiem nav nepieciešams pilns apzīmējuma komplekts, kā tas ir norādīts cenrādī pašlaik) </w:t>
            </w:r>
            <w:r>
              <w:t>–</w:t>
            </w:r>
            <w:r w:rsidRPr="002F3C59">
              <w:t xml:space="preserve"> </w:t>
            </w:r>
            <w:smartTag w:uri="schemas-tilde-lv/tildestengine" w:element="currency2">
              <w:smartTagPr>
                <w:attr w:name="currency_id" w:val="48"/>
                <w:attr w:name="currency_key" w:val="LVL"/>
                <w:attr w:name="currency_value" w:val="20.37"/>
                <w:attr w:name="currency_text" w:val="Ls"/>
              </w:smartTagPr>
              <w:r w:rsidRPr="002F3C59">
                <w:t>Ls 20,37</w:t>
              </w:r>
            </w:smartTag>
            <w:r w:rsidRPr="002F3C59">
              <w:t>;</w:t>
            </w:r>
          </w:p>
          <w:p w:rsidR="00FF3337" w:rsidRPr="002F3C59" w:rsidRDefault="00FF3337" w:rsidP="006C7BF3">
            <w:pPr>
              <w:pStyle w:val="Pamattekstsaratkpi"/>
              <w:spacing w:after="0"/>
              <w:ind w:left="0"/>
              <w:jc w:val="both"/>
            </w:pPr>
            <w:r w:rsidRPr="002F3C59">
              <w:t>4) maksa par dzīvnieku apzīmēšanas komplekta sagatavošanu liellopiem, ja minētajā komplektā ietilpst dzīvnieku apzīmēšanas akts</w:t>
            </w:r>
            <w:r>
              <w:t>,</w:t>
            </w:r>
            <w:r w:rsidRPr="002F3C59">
              <w:t xml:space="preserve"> – no </w:t>
            </w:r>
            <w:smartTag w:uri="schemas-tilde-lv/tildestengine" w:element="currency2">
              <w:smartTagPr>
                <w:attr w:name="currency_id" w:val="48"/>
                <w:attr w:name="currency_key" w:val="LVL"/>
                <w:attr w:name="currency_value" w:val="2.00"/>
                <w:attr w:name="currency_text" w:val="Ls"/>
              </w:smartTagPr>
              <w:r w:rsidRPr="002F3C59">
                <w:t>Ls 2,00</w:t>
              </w:r>
            </w:smartTag>
            <w:r w:rsidRPr="002F3C59">
              <w:t xml:space="preserve"> līdz 2,10. Dzīvnieka īpašnieks var dzīvnieka apzīmēšanas aktu aizpildīt elektroniski</w:t>
            </w:r>
            <w:r>
              <w:t>,</w:t>
            </w:r>
            <w:r w:rsidRPr="002F3C59">
              <w:t xml:space="preserve"> un šādā gadījumā apzīmēšanas komplekta cena paliek nemainīga – </w:t>
            </w:r>
            <w:smartTag w:uri="schemas-tilde-lv/tildestengine" w:element="currency2">
              <w:smartTagPr>
                <w:attr w:name="currency_id" w:val="48"/>
                <w:attr w:name="currency_key" w:val="LVL"/>
                <w:attr w:name="currency_value" w:val="2.00"/>
                <w:attr w:name="currency_text" w:val="Ls"/>
              </w:smartTagPr>
              <w:r w:rsidRPr="002F3C59">
                <w:t>Ls 2,00</w:t>
              </w:r>
            </w:smartTag>
            <w:r w:rsidRPr="002F3C59">
              <w:t>;</w:t>
            </w:r>
          </w:p>
          <w:p w:rsidR="00FF3337" w:rsidRPr="002F3C59" w:rsidRDefault="00FF3337" w:rsidP="006C7BF3">
            <w:pPr>
              <w:pStyle w:val="Pamattekstsaratkpi"/>
              <w:spacing w:after="0"/>
              <w:ind w:left="0"/>
              <w:jc w:val="both"/>
            </w:pPr>
            <w:r w:rsidRPr="002F3C59">
              <w:t>5) lielāk</w:t>
            </w:r>
            <w:r>
              <w:t>a</w:t>
            </w:r>
            <w:r w:rsidRPr="002F3C59">
              <w:t xml:space="preserve"> elektronisko krotāliju pieprasījum</w:t>
            </w:r>
            <w:r>
              <w:t>a dēļ ir</w:t>
            </w:r>
            <w:r w:rsidRPr="002F3C59">
              <w:t xml:space="preserve"> samazināta maksa par elektroniskajām </w:t>
            </w:r>
            <w:proofErr w:type="spellStart"/>
            <w:r w:rsidRPr="002F3C59">
              <w:t>krotālijām</w:t>
            </w:r>
            <w:proofErr w:type="spellEnd"/>
            <w:r w:rsidRPr="002F3C59">
              <w:t xml:space="preserve"> aitām un kazām – no </w:t>
            </w:r>
            <w:smartTag w:uri="schemas-tilde-lv/tildestengine" w:element="currency2">
              <w:smartTagPr>
                <w:attr w:name="currency_id" w:val="48"/>
                <w:attr w:name="currency_key" w:val="LVL"/>
                <w:attr w:name="currency_value" w:val="2.57"/>
                <w:attr w:name="currency_text" w:val="Ls"/>
              </w:smartTagPr>
              <w:r w:rsidRPr="002F3C59">
                <w:t>Ls 2,57</w:t>
              </w:r>
            </w:smartTag>
            <w:r w:rsidRPr="002F3C59">
              <w:t xml:space="preserve"> līdz 1,57;</w:t>
            </w:r>
          </w:p>
          <w:p w:rsidR="00FF3337" w:rsidRPr="002F3C59" w:rsidRDefault="00FF3337" w:rsidP="006C7BF3">
            <w:pPr>
              <w:pStyle w:val="Pamattekstsaratkpi"/>
              <w:spacing w:after="0"/>
              <w:ind w:left="0"/>
              <w:jc w:val="both"/>
            </w:pPr>
            <w:r w:rsidRPr="002F3C59">
              <w:t>6) ieviesta maksa par elektroniskās krotālijas izsniegšanu steidzami (vienas darbdienas laikā) liellopiem – Ls 5,00</w:t>
            </w:r>
            <w:r>
              <w:t>, kā arī</w:t>
            </w:r>
            <w:r w:rsidRPr="002F3C59">
              <w:t xml:space="preserve"> aitām un kazām – </w:t>
            </w:r>
            <w:smartTag w:uri="schemas-tilde-lv/tildestengine" w:element="currency2">
              <w:smartTagPr>
                <w:attr w:name="currency_id" w:val="48"/>
                <w:attr w:name="currency_key" w:val="LVL"/>
                <w:attr w:name="currency_value" w:val="3.50"/>
                <w:attr w:name="currency_text" w:val="Ls"/>
              </w:smartTagPr>
              <w:r w:rsidRPr="002F3C59">
                <w:t>Ls 3,50</w:t>
              </w:r>
            </w:smartTag>
            <w:r>
              <w:t>;</w:t>
            </w:r>
          </w:p>
          <w:p w:rsidR="00FF3337" w:rsidRPr="002F3C59" w:rsidRDefault="00FF3337" w:rsidP="006C7BF3">
            <w:pPr>
              <w:pStyle w:val="Pamattekstsaratkpi"/>
              <w:spacing w:after="0"/>
              <w:ind w:left="0"/>
              <w:jc w:val="both"/>
            </w:pPr>
            <w:r w:rsidRPr="002F3C59">
              <w:t>7) maksa par dzīvnieka apzīmēšanas komplekta sagatavošanu aitām un kazām, ja tajā ietilpst apzīmēšanas akts</w:t>
            </w:r>
            <w:r>
              <w:t>,</w:t>
            </w:r>
            <w:r w:rsidRPr="002F3C59">
              <w:t xml:space="preserve"> – no </w:t>
            </w:r>
            <w:smartTag w:uri="schemas-tilde-lv/tildestengine" w:element="currency2">
              <w:smartTagPr>
                <w:attr w:name="currency_id" w:val="48"/>
                <w:attr w:name="currency_key" w:val="LVL"/>
                <w:attr w:name="currency_value" w:val="0.67"/>
                <w:attr w:name="currency_text" w:val="Ls"/>
              </w:smartTagPr>
              <w:r w:rsidRPr="002F3C59">
                <w:t>Ls 0,67</w:t>
              </w:r>
            </w:smartTag>
            <w:r w:rsidRPr="002F3C59">
              <w:t xml:space="preserve"> līdz 0,77</w:t>
            </w:r>
            <w:r>
              <w:t>.</w:t>
            </w:r>
            <w:r w:rsidRPr="002F3C59">
              <w:t xml:space="preserve"> Dzīvnieka īpašnieks apzīmēšanas aktu var aizpildīt elektroniski</w:t>
            </w:r>
            <w:r>
              <w:t>,</w:t>
            </w:r>
            <w:r w:rsidRPr="002F3C59">
              <w:t xml:space="preserve"> un šādā gadījumā maksa par dzīvnieku apzīmēšanas komplektu paliek nemainīga </w:t>
            </w:r>
            <w:r>
              <w:t>–</w:t>
            </w:r>
            <w:r w:rsidRPr="002F3C59">
              <w:t xml:space="preserve"> </w:t>
            </w:r>
            <w:smartTag w:uri="schemas-tilde-lv/tildestengine" w:element="currency2">
              <w:smartTagPr>
                <w:attr w:name="currency_id" w:val="48"/>
                <w:attr w:name="currency_key" w:val="LVL"/>
                <w:attr w:name="currency_value" w:val="0.67"/>
                <w:attr w:name="currency_text" w:val="Ls"/>
              </w:smartTagPr>
              <w:r w:rsidRPr="002F3C59">
                <w:t>Ls 0,67</w:t>
              </w:r>
            </w:smartTag>
            <w:r>
              <w:t>;</w:t>
            </w:r>
          </w:p>
          <w:p w:rsidR="00FF3337" w:rsidRPr="002F3C59" w:rsidRDefault="00FF3337" w:rsidP="006C7BF3">
            <w:pPr>
              <w:pStyle w:val="Pamattekstsaratkpi"/>
              <w:spacing w:after="0"/>
              <w:ind w:left="0"/>
              <w:jc w:val="both"/>
            </w:pPr>
            <w:r w:rsidRPr="002F3C59">
              <w:t>8) lielāk</w:t>
            </w:r>
            <w:r>
              <w:t>a</w:t>
            </w:r>
            <w:r w:rsidRPr="002F3C59">
              <w:t xml:space="preserve"> elektronisko krotāliju pieprasījum</w:t>
            </w:r>
            <w:r>
              <w:t>a dēļ ir</w:t>
            </w:r>
            <w:r w:rsidRPr="002F3C59">
              <w:t xml:space="preserve"> samazināta maksa par elektroniskā apzīmējuma komplektu aitām un kazām – no </w:t>
            </w:r>
            <w:smartTag w:uri="schemas-tilde-lv/tildestengine" w:element="currency2">
              <w:smartTagPr>
                <w:attr w:name="currency_id" w:val="48"/>
                <w:attr w:name="currency_key" w:val="LVL"/>
                <w:attr w:name="currency_value" w:val="2.99"/>
                <w:attr w:name="currency_text" w:val="Ls"/>
              </w:smartTagPr>
              <w:r w:rsidRPr="002F3C59">
                <w:t>Ls 2,99</w:t>
              </w:r>
            </w:smartTag>
            <w:r w:rsidRPr="002F3C59">
              <w:t xml:space="preserve"> līdz 1,90 (bez apzīmēšanas akta) un 2,00 (ar apzīmēšanas aktu);</w:t>
            </w:r>
          </w:p>
          <w:p w:rsidR="00FF3337" w:rsidRPr="002F3C59" w:rsidRDefault="00FF3337" w:rsidP="006C7BF3">
            <w:pPr>
              <w:jc w:val="both"/>
            </w:pPr>
            <w:r w:rsidRPr="002F3C59">
              <w:t xml:space="preserve">9) ieviesta maksa par elektroniskā apzīmējuma komplektu liellopiem – </w:t>
            </w:r>
            <w:r w:rsidRPr="002F3C59">
              <w:lastRenderedPageBreak/>
              <w:t>Ls</w:t>
            </w:r>
            <w:r>
              <w:t> </w:t>
            </w:r>
            <w:r w:rsidRPr="002F3C59">
              <w:t xml:space="preserve">3,40 (bez apzīmēšanas akta) un </w:t>
            </w:r>
            <w:smartTag w:uri="schemas-tilde-lv/tildestengine" w:element="currency2">
              <w:smartTagPr>
                <w:attr w:name="currency_id" w:val="48"/>
                <w:attr w:name="currency_key" w:val="LVL"/>
                <w:attr w:name="currency_value" w:val="3.50"/>
                <w:attr w:name="currency_text" w:val="Ls"/>
              </w:smartTagPr>
              <w:r>
                <w:t xml:space="preserve">Ls </w:t>
              </w:r>
              <w:r w:rsidRPr="002F3C59">
                <w:t>3,50</w:t>
              </w:r>
            </w:smartTag>
            <w:r w:rsidRPr="002F3C59">
              <w:t xml:space="preserve"> (ar apzīmēšanas aktu).</w:t>
            </w:r>
          </w:p>
        </w:tc>
      </w:tr>
      <w:tr w:rsidR="00FF3337" w:rsidRPr="002F3C59" w:rsidTr="003A5604">
        <w:tc>
          <w:tcPr>
            <w:tcW w:w="540" w:type="dxa"/>
          </w:tcPr>
          <w:p w:rsidR="00FF3337" w:rsidRPr="002F3C59" w:rsidRDefault="00FF3337" w:rsidP="00B04F23">
            <w:pPr>
              <w:pStyle w:val="Galvene"/>
              <w:jc w:val="center"/>
              <w:outlineLvl w:val="0"/>
            </w:pPr>
            <w:r w:rsidRPr="002F3C59">
              <w:rPr>
                <w:sz w:val="22"/>
                <w:szCs w:val="22"/>
              </w:rPr>
              <w:lastRenderedPageBreak/>
              <w:t>5.</w:t>
            </w:r>
          </w:p>
        </w:tc>
        <w:tc>
          <w:tcPr>
            <w:tcW w:w="1440" w:type="dxa"/>
          </w:tcPr>
          <w:p w:rsidR="00FF3337" w:rsidRPr="002F3C59" w:rsidRDefault="00FF3337" w:rsidP="00B04F23">
            <w:pPr>
              <w:pStyle w:val="Galvene"/>
              <w:jc w:val="both"/>
              <w:outlineLvl w:val="0"/>
            </w:pPr>
            <w:r w:rsidRPr="002F3C59">
              <w:rPr>
                <w:sz w:val="22"/>
                <w:szCs w:val="22"/>
              </w:rPr>
              <w:t>Projekta izstrādē iesaistītās institūcijas</w:t>
            </w:r>
          </w:p>
        </w:tc>
        <w:tc>
          <w:tcPr>
            <w:tcW w:w="7559" w:type="dxa"/>
          </w:tcPr>
          <w:p w:rsidR="00FF3337" w:rsidRPr="002F3C59" w:rsidRDefault="00FF3337" w:rsidP="00B90757">
            <w:pPr>
              <w:jc w:val="both"/>
            </w:pPr>
            <w:r w:rsidRPr="002F3C59">
              <w:t>Zemkopības ministrija, datu centrs.</w:t>
            </w:r>
          </w:p>
        </w:tc>
      </w:tr>
      <w:tr w:rsidR="00FF3337" w:rsidRPr="002F3C59" w:rsidTr="003A5604">
        <w:tc>
          <w:tcPr>
            <w:tcW w:w="540" w:type="dxa"/>
          </w:tcPr>
          <w:p w:rsidR="00FF3337" w:rsidRPr="002F3C59" w:rsidRDefault="00FF3337" w:rsidP="00B04F23">
            <w:pPr>
              <w:pStyle w:val="naislab"/>
              <w:spacing w:before="0" w:after="0"/>
              <w:jc w:val="center"/>
              <w:outlineLvl w:val="0"/>
            </w:pPr>
            <w:r w:rsidRPr="002F3C59">
              <w:rPr>
                <w:sz w:val="22"/>
                <w:szCs w:val="22"/>
              </w:rPr>
              <w:t>6.</w:t>
            </w:r>
          </w:p>
        </w:tc>
        <w:tc>
          <w:tcPr>
            <w:tcW w:w="1440" w:type="dxa"/>
          </w:tcPr>
          <w:p w:rsidR="00FF3337" w:rsidRPr="002F3C59" w:rsidRDefault="00FF3337" w:rsidP="00B04F23">
            <w:pPr>
              <w:pStyle w:val="naislab"/>
              <w:spacing w:before="0" w:after="0"/>
              <w:jc w:val="both"/>
              <w:outlineLvl w:val="0"/>
            </w:pPr>
            <w:r w:rsidRPr="002F3C59">
              <w:rPr>
                <w:sz w:val="22"/>
                <w:szCs w:val="22"/>
              </w:rPr>
              <w:t>Iemesli, kādēļ netika nodrošināta sabiedrības līdzdalība</w:t>
            </w:r>
          </w:p>
        </w:tc>
        <w:tc>
          <w:tcPr>
            <w:tcW w:w="7559" w:type="dxa"/>
          </w:tcPr>
          <w:p w:rsidR="00FF3337" w:rsidRPr="002F3C59" w:rsidRDefault="00FF3337" w:rsidP="00B04F23">
            <w:pPr>
              <w:jc w:val="both"/>
            </w:pPr>
            <w:r w:rsidRPr="002F3C59">
              <w:rPr>
                <w:szCs w:val="22"/>
              </w:rPr>
              <w:t>Projekts šo jomu neskar.</w:t>
            </w:r>
          </w:p>
        </w:tc>
      </w:tr>
      <w:tr w:rsidR="00FF3337" w:rsidRPr="002F3C59" w:rsidTr="003A5604">
        <w:tc>
          <w:tcPr>
            <w:tcW w:w="540" w:type="dxa"/>
          </w:tcPr>
          <w:p w:rsidR="00FF3337" w:rsidRPr="002F3C59" w:rsidRDefault="00FF3337" w:rsidP="00B04F23">
            <w:pPr>
              <w:pStyle w:val="naislab"/>
              <w:spacing w:before="0" w:after="0"/>
              <w:jc w:val="center"/>
              <w:outlineLvl w:val="0"/>
            </w:pPr>
            <w:r w:rsidRPr="002F3C59">
              <w:rPr>
                <w:sz w:val="22"/>
                <w:szCs w:val="22"/>
              </w:rPr>
              <w:t>7.</w:t>
            </w:r>
          </w:p>
        </w:tc>
        <w:tc>
          <w:tcPr>
            <w:tcW w:w="1440" w:type="dxa"/>
          </w:tcPr>
          <w:p w:rsidR="00FF3337" w:rsidRPr="002F3C59" w:rsidRDefault="00FF3337" w:rsidP="00B04F23">
            <w:pPr>
              <w:pStyle w:val="naislab"/>
              <w:spacing w:before="0" w:after="0"/>
              <w:jc w:val="both"/>
              <w:outlineLvl w:val="0"/>
            </w:pPr>
            <w:r w:rsidRPr="002F3C59">
              <w:rPr>
                <w:sz w:val="22"/>
                <w:szCs w:val="22"/>
              </w:rPr>
              <w:t>Cita informācija</w:t>
            </w:r>
          </w:p>
        </w:tc>
        <w:tc>
          <w:tcPr>
            <w:tcW w:w="7559" w:type="dxa"/>
          </w:tcPr>
          <w:p w:rsidR="00FF3337" w:rsidRPr="002F3C59" w:rsidRDefault="00FF3337" w:rsidP="00B04F23">
            <w:pPr>
              <w:jc w:val="both"/>
            </w:pPr>
            <w:r w:rsidRPr="002F3C59">
              <w:t>Nav.</w:t>
            </w:r>
          </w:p>
        </w:tc>
      </w:tr>
    </w:tbl>
    <w:p w:rsidR="00FF3337" w:rsidRPr="002F3C59" w:rsidRDefault="00FF3337" w:rsidP="00FA33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0"/>
        <w:gridCol w:w="5579"/>
      </w:tblGrid>
      <w:tr w:rsidR="00FF3337" w:rsidRPr="002F3C59" w:rsidTr="00B04F23">
        <w:tc>
          <w:tcPr>
            <w:tcW w:w="9539" w:type="dxa"/>
            <w:gridSpan w:val="3"/>
          </w:tcPr>
          <w:p w:rsidR="00FF3337" w:rsidRPr="002F3C59" w:rsidRDefault="00FF3337" w:rsidP="00B04F23">
            <w:pPr>
              <w:jc w:val="center"/>
              <w:rPr>
                <w:b/>
              </w:rPr>
            </w:pPr>
            <w:r w:rsidRPr="002F3C59">
              <w:rPr>
                <w:b/>
              </w:rPr>
              <w:t>II. Tiesību akta projekta ietekme uz sabiedrību</w:t>
            </w:r>
          </w:p>
        </w:tc>
      </w:tr>
      <w:tr w:rsidR="00FF3337" w:rsidRPr="002F3C59" w:rsidTr="00B04F23">
        <w:tc>
          <w:tcPr>
            <w:tcW w:w="540" w:type="dxa"/>
          </w:tcPr>
          <w:p w:rsidR="00FF3337" w:rsidRPr="002F3C59" w:rsidRDefault="00FF3337" w:rsidP="00B04F23">
            <w:pPr>
              <w:pStyle w:val="naislab"/>
              <w:spacing w:before="0" w:after="0"/>
              <w:jc w:val="center"/>
              <w:outlineLvl w:val="0"/>
            </w:pPr>
            <w:r w:rsidRPr="002F3C59">
              <w:t>1.</w:t>
            </w:r>
          </w:p>
        </w:tc>
        <w:tc>
          <w:tcPr>
            <w:tcW w:w="3420" w:type="dxa"/>
          </w:tcPr>
          <w:p w:rsidR="00FF3337" w:rsidRPr="002F3C59" w:rsidRDefault="00FF3337" w:rsidP="00B04F23">
            <w:pPr>
              <w:pStyle w:val="naislab"/>
              <w:spacing w:before="0" w:after="0"/>
              <w:jc w:val="both"/>
              <w:outlineLvl w:val="0"/>
            </w:pPr>
            <w:r w:rsidRPr="002F3C59">
              <w:t>Sabiedrības mērķgrupa</w:t>
            </w:r>
          </w:p>
        </w:tc>
        <w:tc>
          <w:tcPr>
            <w:tcW w:w="5579" w:type="dxa"/>
          </w:tcPr>
          <w:p w:rsidR="00FF3337" w:rsidRPr="002F3C59" w:rsidRDefault="00FF3337" w:rsidP="00220FD1">
            <w:pPr>
              <w:jc w:val="both"/>
              <w:rPr>
                <w:iCs/>
              </w:rPr>
            </w:pPr>
            <w:r w:rsidRPr="002F3C59">
              <w:rPr>
                <w:iCs/>
              </w:rPr>
              <w:t>Mājas (istabas) dzīvnieku īpašnieki.</w:t>
            </w:r>
          </w:p>
          <w:p w:rsidR="00FF3337" w:rsidRPr="002F3C59" w:rsidRDefault="00FF3337" w:rsidP="00220FD1">
            <w:pPr>
              <w:jc w:val="both"/>
              <w:rPr>
                <w:iCs/>
              </w:rPr>
            </w:pPr>
            <w:r w:rsidRPr="002F3C59">
              <w:rPr>
                <w:iCs/>
              </w:rPr>
              <w:t>Saskaņā ar Ciltsdarba un dzīvnieku audzēšanas likumu īpašniekam ir jāreģistrē šķirnes suņi, kaķi un seski. Saskaņā ar noteikumiem no 2016.gada 1.janvāra ir jāreģistrē visi suņi. Aptuvenais pieņemtais suņu skaits valstī ir 160 000. Šķirnes suņu, šķirnes kaķu un šķirnes sesku skaits pašlaik nav zināms. Bezšķirnes suņu, kaķu un sesku īpašniekiem dzīvnieku reģistrācija datu centra datubāzē pašlaik nav obligāta, īpašnieki var izvēlēties, vai to darīt.</w:t>
            </w:r>
          </w:p>
          <w:p w:rsidR="00FF3337" w:rsidRPr="002F3C59" w:rsidRDefault="00FF3337" w:rsidP="00220FD1">
            <w:pPr>
              <w:jc w:val="both"/>
            </w:pPr>
            <w:r w:rsidRPr="002F3C59">
              <w:rPr>
                <w:iCs/>
              </w:rPr>
              <w:t xml:space="preserve">Lauksaimniecības dzīvnieku – liellopu, aitu un kazu </w:t>
            </w:r>
            <w:r>
              <w:rPr>
                <w:iCs/>
              </w:rPr>
              <w:t xml:space="preserve">– </w:t>
            </w:r>
            <w:r w:rsidRPr="002F3C59">
              <w:rPr>
                <w:iCs/>
              </w:rPr>
              <w:t>īpašnieki. 2012.gada 1.janvār</w:t>
            </w:r>
            <w:r>
              <w:rPr>
                <w:iCs/>
              </w:rPr>
              <w:t>ī</w:t>
            </w:r>
            <w:r w:rsidRPr="002F3C59">
              <w:rPr>
                <w:iCs/>
              </w:rPr>
              <w:t xml:space="preserve"> Latvijā </w:t>
            </w:r>
            <w:r>
              <w:rPr>
                <w:iCs/>
              </w:rPr>
              <w:t xml:space="preserve">bija </w:t>
            </w:r>
            <w:r w:rsidRPr="002F3C59">
              <w:rPr>
                <w:iCs/>
              </w:rPr>
              <w:t xml:space="preserve">reģistrēti 34800 liellopu, 4406 aitu un 2861 kazu ganāmpulku, </w:t>
            </w:r>
            <w:r>
              <w:rPr>
                <w:iCs/>
              </w:rPr>
              <w:t>tāpēc</w:t>
            </w:r>
            <w:r w:rsidRPr="002F3C59">
              <w:rPr>
                <w:iCs/>
              </w:rPr>
              <w:t xml:space="preserve"> </w:t>
            </w:r>
            <w:r w:rsidRPr="002F3C59">
              <w:t>attiecīgo dzīvnieku īpašnieku skaits aptuveni atbilst minētajam daudzumam.</w:t>
            </w:r>
          </w:p>
        </w:tc>
      </w:tr>
      <w:tr w:rsidR="00FF3337" w:rsidRPr="002F3C59" w:rsidTr="00B04F23">
        <w:tc>
          <w:tcPr>
            <w:tcW w:w="540" w:type="dxa"/>
          </w:tcPr>
          <w:p w:rsidR="00FF3337" w:rsidRPr="002F3C59" w:rsidRDefault="00FF3337" w:rsidP="00B04F23">
            <w:pPr>
              <w:pStyle w:val="naislab"/>
              <w:spacing w:before="0" w:after="0"/>
              <w:jc w:val="center"/>
              <w:outlineLvl w:val="0"/>
            </w:pPr>
            <w:r w:rsidRPr="002F3C59">
              <w:rPr>
                <w:sz w:val="22"/>
                <w:szCs w:val="22"/>
              </w:rPr>
              <w:t>2.</w:t>
            </w:r>
          </w:p>
        </w:tc>
        <w:tc>
          <w:tcPr>
            <w:tcW w:w="3420" w:type="dxa"/>
          </w:tcPr>
          <w:p w:rsidR="00FF3337" w:rsidRPr="002F3C59" w:rsidRDefault="00FF3337" w:rsidP="00B04F23">
            <w:pPr>
              <w:pStyle w:val="naislab"/>
              <w:spacing w:before="0" w:after="0"/>
              <w:jc w:val="both"/>
              <w:outlineLvl w:val="0"/>
            </w:pPr>
            <w:r w:rsidRPr="002F3C59">
              <w:t>Citas sabiedrības grupas (bez mērķgrupas), kuras tiesiskais regulējums arī ietekmē vai varētu ietekmēt</w:t>
            </w:r>
          </w:p>
        </w:tc>
        <w:tc>
          <w:tcPr>
            <w:tcW w:w="5579" w:type="dxa"/>
          </w:tcPr>
          <w:p w:rsidR="00FF3337" w:rsidRPr="002F3C59" w:rsidRDefault="00FF3337" w:rsidP="002D6634">
            <w:pPr>
              <w:jc w:val="both"/>
            </w:pPr>
            <w:r w:rsidRPr="002F3C59">
              <w:t>Projekts šo jomu neskar.</w:t>
            </w:r>
          </w:p>
        </w:tc>
      </w:tr>
      <w:tr w:rsidR="00FF3337" w:rsidRPr="002F3C59" w:rsidTr="00B04F23">
        <w:tc>
          <w:tcPr>
            <w:tcW w:w="540" w:type="dxa"/>
          </w:tcPr>
          <w:p w:rsidR="00FF3337" w:rsidRPr="002F3C59" w:rsidRDefault="00FF3337" w:rsidP="00B04F23">
            <w:pPr>
              <w:pStyle w:val="naislab"/>
              <w:spacing w:before="0" w:after="0"/>
              <w:jc w:val="center"/>
              <w:outlineLvl w:val="0"/>
            </w:pPr>
            <w:r w:rsidRPr="002F3C59">
              <w:rPr>
                <w:sz w:val="22"/>
                <w:szCs w:val="22"/>
              </w:rPr>
              <w:t>3.</w:t>
            </w:r>
          </w:p>
        </w:tc>
        <w:tc>
          <w:tcPr>
            <w:tcW w:w="3420" w:type="dxa"/>
          </w:tcPr>
          <w:p w:rsidR="00FF3337" w:rsidRPr="002F3C59" w:rsidRDefault="00FF3337" w:rsidP="00B04F23">
            <w:pPr>
              <w:pStyle w:val="naislab"/>
              <w:spacing w:before="0" w:after="0"/>
              <w:jc w:val="both"/>
              <w:outlineLvl w:val="0"/>
            </w:pPr>
            <w:r w:rsidRPr="002F3C59">
              <w:rPr>
                <w:sz w:val="22"/>
                <w:szCs w:val="22"/>
              </w:rPr>
              <w:t>Tiesiskā regulējuma finansiālā ietekme</w:t>
            </w:r>
          </w:p>
        </w:tc>
        <w:tc>
          <w:tcPr>
            <w:tcW w:w="5579" w:type="dxa"/>
          </w:tcPr>
          <w:p w:rsidR="00FF3337" w:rsidRPr="002F3C59" w:rsidRDefault="00FF3337" w:rsidP="008E578D">
            <w:pPr>
              <w:pStyle w:val="naiskr"/>
              <w:tabs>
                <w:tab w:val="left" w:pos="5363"/>
              </w:tabs>
              <w:spacing w:before="0" w:after="0"/>
              <w:ind w:left="-22" w:right="-1" w:firstLine="22"/>
              <w:jc w:val="both"/>
            </w:pPr>
            <w:r w:rsidRPr="002F3C59">
              <w:t>Projektā tiek precizēti un sabiedrībai norādīti datu centra sniegtie maksas pakalpojumi un tiem piemērojamais izcenojums.</w:t>
            </w:r>
          </w:p>
          <w:p w:rsidR="00FF3337" w:rsidRPr="002F3C59" w:rsidRDefault="00FF3337" w:rsidP="00B04F23">
            <w:pPr>
              <w:jc w:val="both"/>
            </w:pPr>
            <w:r w:rsidRPr="002F3C59">
              <w:t>Mājas (istabas) dzīvnieka īpašniekam</w:t>
            </w:r>
            <w:r>
              <w:t>,</w:t>
            </w:r>
            <w:r w:rsidRPr="002F3C59">
              <w:t xml:space="preserve"> sākot no 2013.gada 1.janvāra</w:t>
            </w:r>
            <w:r>
              <w:t>,</w:t>
            </w:r>
            <w:r w:rsidRPr="002F3C59">
              <w:t xml:space="preserve"> par dzīvnieka reģistrāciju datubāzē būs jāmaksā </w:t>
            </w:r>
            <w:smartTag w:uri="schemas-tilde-lv/tildestengine" w:element="currency2">
              <w:smartTagPr>
                <w:attr w:name="currency_id" w:val="48"/>
                <w:attr w:name="currency_key" w:val="LVL"/>
                <w:attr w:name="currency_value" w:val="5"/>
                <w:attr w:name="currency_text" w:val="Ls"/>
              </w:smartTagPr>
              <w:r w:rsidRPr="002F3C59">
                <w:t>Ls 5</w:t>
              </w:r>
            </w:smartTag>
            <w:r w:rsidRPr="002F3C59">
              <w:t xml:space="preserve"> un par īpašnieka maiņas reģistrāciju </w:t>
            </w:r>
            <w:smartTag w:uri="schemas-tilde-lv/tildestengine" w:element="currency2">
              <w:smartTagPr>
                <w:attr w:name="currency_id" w:val="48"/>
                <w:attr w:name="currency_key" w:val="LVL"/>
                <w:attr w:name="currency_value" w:val="3.50"/>
                <w:attr w:name="currency_text" w:val="Ls"/>
              </w:smartTagPr>
              <w:r w:rsidRPr="002F3C59">
                <w:t>Ls 3,50</w:t>
              </w:r>
            </w:smartTag>
            <w:r w:rsidRPr="002F3C59">
              <w:t xml:space="preserve"> datu centram saskaņā ar cenrādi.</w:t>
            </w:r>
          </w:p>
          <w:p w:rsidR="00FF3337" w:rsidRPr="002F3C59" w:rsidRDefault="00FF3337" w:rsidP="00B04F23">
            <w:pPr>
              <w:jc w:val="both"/>
            </w:pPr>
            <w:r w:rsidRPr="002F3C59">
              <w:t>Bīstama suņa īpašniekam maksa par dzīvnieka apzīmēšanas komplektu nemainās</w:t>
            </w:r>
            <w:r>
              <w:t>;</w:t>
            </w:r>
            <w:r w:rsidRPr="002F3C59">
              <w:t xml:space="preserve"> īpašniekam tiek dota iespēja iegādāties tikai atšķirības lenti, ja suns jau ir apzīmēts ar mikroshēmu.</w:t>
            </w:r>
          </w:p>
          <w:p w:rsidR="00FF3337" w:rsidRPr="002F3C59" w:rsidRDefault="00FF3337" w:rsidP="00B04F23">
            <w:pPr>
              <w:jc w:val="both"/>
            </w:pPr>
            <w:r w:rsidRPr="002F3C59">
              <w:t xml:space="preserve"> Finansiālo ietekmi uz katru lauksaimniecības dzīvnieku īpašnieku un turētāju nav iespējams aprēķināt, jo ir jāņem vērā, ka dzīvnieku skaits un dzīvnieku sugas ganāmpulkos atšķiras.</w:t>
            </w:r>
          </w:p>
        </w:tc>
      </w:tr>
      <w:tr w:rsidR="00FF3337" w:rsidRPr="002F3C59" w:rsidTr="00B04F23">
        <w:tc>
          <w:tcPr>
            <w:tcW w:w="540" w:type="dxa"/>
          </w:tcPr>
          <w:p w:rsidR="00FF3337" w:rsidRPr="002F3C59" w:rsidRDefault="00FF3337" w:rsidP="00B04F23">
            <w:pPr>
              <w:pStyle w:val="naislab"/>
              <w:spacing w:before="0" w:after="0"/>
              <w:jc w:val="center"/>
              <w:outlineLvl w:val="0"/>
            </w:pPr>
            <w:r w:rsidRPr="002F3C59">
              <w:rPr>
                <w:sz w:val="22"/>
                <w:szCs w:val="22"/>
              </w:rPr>
              <w:t>4.</w:t>
            </w:r>
          </w:p>
        </w:tc>
        <w:tc>
          <w:tcPr>
            <w:tcW w:w="3420" w:type="dxa"/>
          </w:tcPr>
          <w:p w:rsidR="00FF3337" w:rsidRPr="002F3C59" w:rsidRDefault="00FF3337" w:rsidP="00B04F23">
            <w:pPr>
              <w:pStyle w:val="naislab"/>
              <w:spacing w:before="0" w:after="0"/>
              <w:jc w:val="both"/>
              <w:outlineLvl w:val="0"/>
            </w:pPr>
            <w:r w:rsidRPr="002F3C59">
              <w:rPr>
                <w:sz w:val="22"/>
                <w:szCs w:val="22"/>
              </w:rPr>
              <w:t>Tiesiskā regulējuma nefinansiālā ietekme</w:t>
            </w:r>
          </w:p>
        </w:tc>
        <w:tc>
          <w:tcPr>
            <w:tcW w:w="5579" w:type="dxa"/>
          </w:tcPr>
          <w:p w:rsidR="00FF3337" w:rsidRPr="002F3C59" w:rsidRDefault="00FF3337" w:rsidP="00AB76E9">
            <w:pPr>
              <w:jc w:val="both"/>
            </w:pPr>
            <w:r w:rsidRPr="002F3C59">
              <w:t>Projekts šo jomu neskar.</w:t>
            </w:r>
          </w:p>
        </w:tc>
      </w:tr>
      <w:tr w:rsidR="00FF3337" w:rsidRPr="002F3C59" w:rsidTr="00B04F23">
        <w:tc>
          <w:tcPr>
            <w:tcW w:w="540" w:type="dxa"/>
          </w:tcPr>
          <w:p w:rsidR="00FF3337" w:rsidRPr="002F3C59" w:rsidRDefault="00FF3337" w:rsidP="00B04F23">
            <w:pPr>
              <w:pStyle w:val="naislab"/>
              <w:spacing w:before="0" w:after="0"/>
              <w:jc w:val="center"/>
              <w:outlineLvl w:val="0"/>
            </w:pPr>
            <w:r w:rsidRPr="002F3C59">
              <w:rPr>
                <w:sz w:val="22"/>
                <w:szCs w:val="22"/>
              </w:rPr>
              <w:t>5.</w:t>
            </w:r>
          </w:p>
        </w:tc>
        <w:tc>
          <w:tcPr>
            <w:tcW w:w="3420" w:type="dxa"/>
          </w:tcPr>
          <w:p w:rsidR="00FF3337" w:rsidRPr="002F3C59" w:rsidRDefault="00FF3337" w:rsidP="00B04F23">
            <w:pPr>
              <w:pStyle w:val="naislab"/>
              <w:spacing w:before="0" w:after="0"/>
              <w:jc w:val="both"/>
              <w:outlineLvl w:val="0"/>
            </w:pPr>
            <w:r w:rsidRPr="002F3C59">
              <w:rPr>
                <w:sz w:val="22"/>
                <w:szCs w:val="22"/>
              </w:rPr>
              <w:t>Administratīvās procedūras raksturojums</w:t>
            </w:r>
          </w:p>
        </w:tc>
        <w:tc>
          <w:tcPr>
            <w:tcW w:w="5579" w:type="dxa"/>
          </w:tcPr>
          <w:p w:rsidR="00FF3337" w:rsidRPr="002F3C59" w:rsidRDefault="00FF3337" w:rsidP="00A2363A">
            <w:pPr>
              <w:jc w:val="both"/>
            </w:pPr>
            <w:r w:rsidRPr="002F3C59">
              <w:t>Projekts šo jomu neskar.</w:t>
            </w:r>
          </w:p>
        </w:tc>
      </w:tr>
      <w:tr w:rsidR="00FF3337" w:rsidRPr="002F3C59" w:rsidTr="00B04F23">
        <w:tc>
          <w:tcPr>
            <w:tcW w:w="540" w:type="dxa"/>
          </w:tcPr>
          <w:p w:rsidR="00FF3337" w:rsidRPr="002F3C59" w:rsidRDefault="00FF3337" w:rsidP="00B04F23">
            <w:pPr>
              <w:pStyle w:val="naislab"/>
              <w:spacing w:before="0" w:after="0"/>
              <w:jc w:val="center"/>
              <w:outlineLvl w:val="0"/>
            </w:pPr>
            <w:r w:rsidRPr="002F3C59">
              <w:rPr>
                <w:sz w:val="22"/>
                <w:szCs w:val="22"/>
              </w:rPr>
              <w:lastRenderedPageBreak/>
              <w:t>6.</w:t>
            </w:r>
          </w:p>
        </w:tc>
        <w:tc>
          <w:tcPr>
            <w:tcW w:w="3420" w:type="dxa"/>
          </w:tcPr>
          <w:p w:rsidR="00FF3337" w:rsidRPr="002F3C59" w:rsidRDefault="00FF3337" w:rsidP="00B04F23">
            <w:pPr>
              <w:pStyle w:val="naislab"/>
              <w:spacing w:before="0" w:after="0"/>
              <w:jc w:val="both"/>
              <w:outlineLvl w:val="0"/>
            </w:pPr>
            <w:r w:rsidRPr="002F3C59">
              <w:rPr>
                <w:sz w:val="22"/>
                <w:szCs w:val="22"/>
              </w:rPr>
              <w:t>Administratīvo izmaksu monetārs novērtējums</w:t>
            </w:r>
          </w:p>
        </w:tc>
        <w:tc>
          <w:tcPr>
            <w:tcW w:w="5579" w:type="dxa"/>
          </w:tcPr>
          <w:p w:rsidR="00FF3337" w:rsidRPr="002F3C59" w:rsidRDefault="00FF3337" w:rsidP="00B04F23">
            <w:pPr>
              <w:jc w:val="both"/>
            </w:pPr>
            <w:r w:rsidRPr="002F3C59">
              <w:t>Projekts šo jomu neskar.</w:t>
            </w:r>
          </w:p>
        </w:tc>
      </w:tr>
      <w:tr w:rsidR="00FF3337" w:rsidRPr="002F3C59" w:rsidTr="00B04F23">
        <w:tc>
          <w:tcPr>
            <w:tcW w:w="540" w:type="dxa"/>
          </w:tcPr>
          <w:p w:rsidR="00FF3337" w:rsidRPr="002F3C59" w:rsidRDefault="00FF3337" w:rsidP="00B04F23">
            <w:pPr>
              <w:pStyle w:val="naislab"/>
              <w:spacing w:before="0" w:after="0"/>
              <w:jc w:val="center"/>
              <w:outlineLvl w:val="0"/>
            </w:pPr>
            <w:r w:rsidRPr="002F3C59">
              <w:rPr>
                <w:sz w:val="22"/>
                <w:szCs w:val="22"/>
              </w:rPr>
              <w:t>7.</w:t>
            </w:r>
          </w:p>
        </w:tc>
        <w:tc>
          <w:tcPr>
            <w:tcW w:w="3420" w:type="dxa"/>
          </w:tcPr>
          <w:p w:rsidR="00FF3337" w:rsidRPr="002F3C59" w:rsidRDefault="00FF3337" w:rsidP="00B04F23">
            <w:pPr>
              <w:pStyle w:val="naislab"/>
              <w:spacing w:before="0" w:after="0"/>
              <w:jc w:val="both"/>
              <w:outlineLvl w:val="0"/>
            </w:pPr>
            <w:r w:rsidRPr="002F3C59">
              <w:rPr>
                <w:sz w:val="22"/>
                <w:szCs w:val="22"/>
              </w:rPr>
              <w:t>Cita informācija</w:t>
            </w:r>
          </w:p>
        </w:tc>
        <w:tc>
          <w:tcPr>
            <w:tcW w:w="5579" w:type="dxa"/>
          </w:tcPr>
          <w:p w:rsidR="00FF3337" w:rsidRPr="002F3C59" w:rsidRDefault="00FF3337" w:rsidP="00B04F23">
            <w:pPr>
              <w:jc w:val="both"/>
            </w:pPr>
            <w:r w:rsidRPr="002F3C59">
              <w:t>Nav.</w:t>
            </w:r>
          </w:p>
        </w:tc>
      </w:tr>
    </w:tbl>
    <w:p w:rsidR="00FF3337" w:rsidRPr="002F3C59" w:rsidRDefault="00FF3337" w:rsidP="00FA338D"/>
    <w:tbl>
      <w:tblPr>
        <w:tblW w:w="5280" w:type="pct"/>
        <w:tblInd w:w="-39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tblPr>
      <w:tblGrid>
        <w:gridCol w:w="2694"/>
        <w:gridCol w:w="1583"/>
        <w:gridCol w:w="1780"/>
        <w:gridCol w:w="1157"/>
        <w:gridCol w:w="1157"/>
        <w:gridCol w:w="1271"/>
      </w:tblGrid>
      <w:tr w:rsidR="00FF3337" w:rsidRPr="002F3C59" w:rsidTr="00FC4CED">
        <w:tc>
          <w:tcPr>
            <w:tcW w:w="5000" w:type="pct"/>
            <w:gridSpan w:val="6"/>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jc w:val="center"/>
            </w:pPr>
            <w:r w:rsidRPr="002F3C59">
              <w:rPr>
                <w:b/>
                <w:bCs/>
              </w:rPr>
              <w:t>III. Tiesību akta projekta ietekme uz valsts budžetu un pašvaldību budžetiem</w:t>
            </w:r>
          </w:p>
        </w:tc>
      </w:tr>
      <w:tr w:rsidR="00FF3337" w:rsidRPr="002F3C59" w:rsidTr="00FC4CED">
        <w:tc>
          <w:tcPr>
            <w:tcW w:w="1397" w:type="pct"/>
            <w:vMerge w:val="restart"/>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spacing w:before="100" w:beforeAutospacing="1" w:after="100" w:afterAutospacing="1"/>
              <w:jc w:val="center"/>
            </w:pPr>
            <w:r w:rsidRPr="002F3C59">
              <w:rPr>
                <w:b/>
                <w:bCs/>
              </w:rPr>
              <w:t>Rādītāji</w:t>
            </w:r>
          </w:p>
        </w:tc>
        <w:tc>
          <w:tcPr>
            <w:tcW w:w="1744" w:type="pct"/>
            <w:gridSpan w:val="2"/>
            <w:vMerge w:val="restart"/>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spacing w:before="100" w:beforeAutospacing="1" w:after="100" w:afterAutospacing="1"/>
              <w:jc w:val="center"/>
            </w:pPr>
            <w:r w:rsidRPr="002F3C59">
              <w:rPr>
                <w:b/>
                <w:bCs/>
              </w:rPr>
              <w:t>2012. gads</w:t>
            </w:r>
          </w:p>
        </w:tc>
        <w:tc>
          <w:tcPr>
            <w:tcW w:w="1859" w:type="pct"/>
            <w:gridSpan w:val="3"/>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spacing w:before="100" w:beforeAutospacing="1" w:after="100" w:afterAutospacing="1"/>
              <w:jc w:val="center"/>
            </w:pPr>
            <w:r w:rsidRPr="002F3C59">
              <w:t>Turpmākie trīs gadi (tūkst. latu)</w:t>
            </w:r>
          </w:p>
        </w:tc>
      </w:tr>
      <w:tr w:rsidR="00FF3337" w:rsidRPr="002F3C59" w:rsidTr="00E44FA6">
        <w:tc>
          <w:tcPr>
            <w:tcW w:w="1397" w:type="pct"/>
            <w:vMerge/>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tc>
        <w:tc>
          <w:tcPr>
            <w:tcW w:w="1744" w:type="pct"/>
            <w:gridSpan w:val="2"/>
            <w:vMerge/>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tc>
        <w:tc>
          <w:tcPr>
            <w:tcW w:w="600" w:type="pct"/>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spacing w:before="100" w:beforeAutospacing="1" w:after="100" w:afterAutospacing="1"/>
              <w:jc w:val="center"/>
            </w:pPr>
            <w:r w:rsidRPr="002F3C59">
              <w:rPr>
                <w:b/>
                <w:bCs/>
              </w:rPr>
              <w:t>2013.</w:t>
            </w:r>
          </w:p>
        </w:tc>
        <w:tc>
          <w:tcPr>
            <w:tcW w:w="600" w:type="pct"/>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spacing w:before="100" w:beforeAutospacing="1" w:after="100" w:afterAutospacing="1"/>
              <w:jc w:val="center"/>
            </w:pPr>
            <w:r w:rsidRPr="002F3C59">
              <w:rPr>
                <w:b/>
                <w:bCs/>
              </w:rPr>
              <w:t>2014.</w:t>
            </w:r>
          </w:p>
        </w:tc>
        <w:tc>
          <w:tcPr>
            <w:tcW w:w="659" w:type="pct"/>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spacing w:before="100" w:beforeAutospacing="1" w:after="100" w:afterAutospacing="1"/>
              <w:jc w:val="center"/>
            </w:pPr>
            <w:r w:rsidRPr="002F3C59">
              <w:rPr>
                <w:b/>
                <w:bCs/>
              </w:rPr>
              <w:t>2015.</w:t>
            </w:r>
          </w:p>
        </w:tc>
      </w:tr>
      <w:tr w:rsidR="00FF3337" w:rsidRPr="002F3C59" w:rsidTr="00E44FA6">
        <w:tc>
          <w:tcPr>
            <w:tcW w:w="1397" w:type="pct"/>
            <w:vMerge/>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tc>
        <w:tc>
          <w:tcPr>
            <w:tcW w:w="821" w:type="pct"/>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spacing w:before="100" w:beforeAutospacing="1" w:after="100" w:afterAutospacing="1"/>
              <w:jc w:val="center"/>
            </w:pPr>
            <w:r w:rsidRPr="002F3C59">
              <w:t>Saskaņā ar valsts budžetu kārtējam gadam</w:t>
            </w:r>
          </w:p>
        </w:tc>
        <w:tc>
          <w:tcPr>
            <w:tcW w:w="923" w:type="pct"/>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spacing w:before="100" w:beforeAutospacing="1" w:after="100" w:afterAutospacing="1"/>
              <w:jc w:val="center"/>
            </w:pPr>
            <w:r w:rsidRPr="002F3C59">
              <w:t>Izmaiņas kārtējā gadā, salīdzinot ar budžetu kārtējam gadam</w:t>
            </w:r>
          </w:p>
        </w:tc>
        <w:tc>
          <w:tcPr>
            <w:tcW w:w="600" w:type="pct"/>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spacing w:before="100" w:beforeAutospacing="1" w:after="100" w:afterAutospacing="1"/>
              <w:jc w:val="center"/>
            </w:pPr>
            <w:r w:rsidRPr="002F3C59">
              <w:t>Izmaiņas, salīdzinot ar kārtējo (n) gadu</w:t>
            </w:r>
          </w:p>
        </w:tc>
        <w:tc>
          <w:tcPr>
            <w:tcW w:w="600" w:type="pct"/>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spacing w:before="100" w:beforeAutospacing="1" w:after="100" w:afterAutospacing="1"/>
              <w:jc w:val="center"/>
            </w:pPr>
            <w:r w:rsidRPr="002F3C59">
              <w:t>Izmaiņas, salīdzinot ar kārtējo (n) gadu</w:t>
            </w:r>
          </w:p>
        </w:tc>
        <w:tc>
          <w:tcPr>
            <w:tcW w:w="659" w:type="pct"/>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spacing w:before="100" w:beforeAutospacing="1" w:after="100" w:afterAutospacing="1"/>
              <w:jc w:val="center"/>
            </w:pPr>
            <w:r w:rsidRPr="002F3C59">
              <w:t>Izmaiņas, salīdzinot ar kārtējo (n) gadu</w:t>
            </w:r>
          </w:p>
        </w:tc>
      </w:tr>
      <w:tr w:rsidR="00FF3337" w:rsidRPr="002F3C59" w:rsidTr="00E44FA6">
        <w:tc>
          <w:tcPr>
            <w:tcW w:w="1397" w:type="pct"/>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spacing w:before="100" w:beforeAutospacing="1" w:after="100" w:afterAutospacing="1"/>
              <w:jc w:val="center"/>
            </w:pPr>
            <w:r w:rsidRPr="002F3C59">
              <w:t>1</w:t>
            </w:r>
          </w:p>
        </w:tc>
        <w:tc>
          <w:tcPr>
            <w:tcW w:w="821" w:type="pct"/>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spacing w:before="100" w:beforeAutospacing="1" w:after="100" w:afterAutospacing="1"/>
              <w:jc w:val="center"/>
            </w:pPr>
            <w:r w:rsidRPr="002F3C59">
              <w:t>2</w:t>
            </w:r>
          </w:p>
        </w:tc>
        <w:tc>
          <w:tcPr>
            <w:tcW w:w="923" w:type="pct"/>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spacing w:before="100" w:beforeAutospacing="1" w:after="100" w:afterAutospacing="1"/>
              <w:jc w:val="center"/>
            </w:pPr>
            <w:r w:rsidRPr="002F3C59">
              <w:t>3</w:t>
            </w:r>
          </w:p>
        </w:tc>
        <w:tc>
          <w:tcPr>
            <w:tcW w:w="600" w:type="pct"/>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spacing w:before="100" w:beforeAutospacing="1" w:after="100" w:afterAutospacing="1"/>
              <w:jc w:val="center"/>
            </w:pPr>
            <w:r w:rsidRPr="002F3C59">
              <w:t>4</w:t>
            </w:r>
          </w:p>
        </w:tc>
        <w:tc>
          <w:tcPr>
            <w:tcW w:w="600" w:type="pct"/>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spacing w:before="100" w:beforeAutospacing="1" w:after="100" w:afterAutospacing="1"/>
              <w:jc w:val="center"/>
            </w:pPr>
            <w:r w:rsidRPr="002F3C59">
              <w:t>5</w:t>
            </w:r>
          </w:p>
        </w:tc>
        <w:tc>
          <w:tcPr>
            <w:tcW w:w="659" w:type="pct"/>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spacing w:before="100" w:beforeAutospacing="1" w:after="100" w:afterAutospacing="1"/>
              <w:jc w:val="center"/>
            </w:pPr>
            <w:r w:rsidRPr="002F3C59">
              <w:t>6</w:t>
            </w:r>
          </w:p>
        </w:tc>
      </w:tr>
      <w:tr w:rsidR="00FF3337" w:rsidRPr="002F3C59" w:rsidTr="00E44FA6">
        <w:tc>
          <w:tcPr>
            <w:tcW w:w="1397"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t>1. Budžeta ieņēmumi:</w:t>
            </w:r>
          </w:p>
        </w:tc>
        <w:tc>
          <w:tcPr>
            <w:tcW w:w="821"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392</w:t>
            </w:r>
          </w:p>
        </w:tc>
        <w:tc>
          <w:tcPr>
            <w:tcW w:w="923"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28,85</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pPr>
            <w:r w:rsidRPr="002F3C59">
              <w:t>185,85</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 w:rsidRPr="002F3C59">
              <w:t>185,85</w:t>
            </w:r>
          </w:p>
        </w:tc>
        <w:tc>
          <w:tcPr>
            <w:tcW w:w="659" w:type="pct"/>
            <w:tcBorders>
              <w:top w:val="single" w:sz="4" w:space="0" w:color="auto"/>
              <w:left w:val="single" w:sz="4" w:space="0" w:color="auto"/>
              <w:bottom w:val="single" w:sz="4" w:space="0" w:color="auto"/>
              <w:right w:val="single" w:sz="4" w:space="0" w:color="auto"/>
            </w:tcBorders>
          </w:tcPr>
          <w:p w:rsidR="00FF3337" w:rsidRPr="002F3C59" w:rsidRDefault="00FF3337">
            <w:r w:rsidRPr="002F3C59">
              <w:t>185,95</w:t>
            </w:r>
          </w:p>
        </w:tc>
      </w:tr>
      <w:tr w:rsidR="00FF3337" w:rsidRPr="002F3C59" w:rsidTr="00E44FA6">
        <w:tc>
          <w:tcPr>
            <w:tcW w:w="1397"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t>1.1. valsts pamatbudžets, tai skaitā ieņēmumi no maksas pakalpojumiem un citi pašu ieņēmumi</w:t>
            </w:r>
          </w:p>
        </w:tc>
        <w:tc>
          <w:tcPr>
            <w:tcW w:w="821"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392</w:t>
            </w:r>
          </w:p>
        </w:tc>
        <w:tc>
          <w:tcPr>
            <w:tcW w:w="923"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28,85</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pPr>
            <w:r w:rsidRPr="002F3C59">
              <w:t>185,85</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 w:rsidRPr="002F3C59">
              <w:t>185,85</w:t>
            </w:r>
          </w:p>
        </w:tc>
        <w:tc>
          <w:tcPr>
            <w:tcW w:w="659" w:type="pct"/>
            <w:tcBorders>
              <w:top w:val="single" w:sz="4" w:space="0" w:color="auto"/>
              <w:left w:val="single" w:sz="4" w:space="0" w:color="auto"/>
              <w:bottom w:val="single" w:sz="4" w:space="0" w:color="auto"/>
              <w:right w:val="single" w:sz="4" w:space="0" w:color="auto"/>
            </w:tcBorders>
          </w:tcPr>
          <w:p w:rsidR="00FF3337" w:rsidRPr="002F3C59" w:rsidRDefault="00FF3337">
            <w:r w:rsidRPr="002F3C59">
              <w:t>185,95</w:t>
            </w:r>
          </w:p>
        </w:tc>
      </w:tr>
      <w:tr w:rsidR="00FF3337" w:rsidRPr="002F3C59" w:rsidTr="00E44FA6">
        <w:tc>
          <w:tcPr>
            <w:tcW w:w="1397"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t>1.2. valsts speciālais budžets</w:t>
            </w:r>
          </w:p>
        </w:tc>
        <w:tc>
          <w:tcPr>
            <w:tcW w:w="821"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p>
        </w:tc>
        <w:tc>
          <w:tcPr>
            <w:tcW w:w="923"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pP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pPr>
          </w:p>
        </w:tc>
        <w:tc>
          <w:tcPr>
            <w:tcW w:w="659"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pPr>
          </w:p>
        </w:tc>
      </w:tr>
      <w:tr w:rsidR="00FF3337" w:rsidRPr="002F3C59" w:rsidTr="00E44FA6">
        <w:tc>
          <w:tcPr>
            <w:tcW w:w="1397"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t>1.3. pašvaldību budžets</w:t>
            </w:r>
          </w:p>
        </w:tc>
        <w:tc>
          <w:tcPr>
            <w:tcW w:w="821"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p>
        </w:tc>
        <w:tc>
          <w:tcPr>
            <w:tcW w:w="923"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pP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pPr>
          </w:p>
        </w:tc>
        <w:tc>
          <w:tcPr>
            <w:tcW w:w="659"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pPr>
          </w:p>
        </w:tc>
      </w:tr>
      <w:tr w:rsidR="00FF3337" w:rsidRPr="002F3C59" w:rsidTr="00E44FA6">
        <w:tc>
          <w:tcPr>
            <w:tcW w:w="1397"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t>2. Budžeta izdevumi:</w:t>
            </w:r>
          </w:p>
        </w:tc>
        <w:tc>
          <w:tcPr>
            <w:tcW w:w="821"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392</w:t>
            </w:r>
          </w:p>
        </w:tc>
        <w:tc>
          <w:tcPr>
            <w:tcW w:w="923"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28,85</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4F1599">
            <w:pPr>
              <w:spacing w:line="360" w:lineRule="auto"/>
            </w:pPr>
            <w:r w:rsidRPr="002F3C59">
              <w:t>185,85</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4F1599">
            <w:r w:rsidRPr="002F3C59">
              <w:t>185,85</w:t>
            </w:r>
          </w:p>
        </w:tc>
        <w:tc>
          <w:tcPr>
            <w:tcW w:w="659" w:type="pct"/>
            <w:tcBorders>
              <w:top w:val="single" w:sz="4" w:space="0" w:color="auto"/>
              <w:left w:val="single" w:sz="4" w:space="0" w:color="auto"/>
              <w:bottom w:val="single" w:sz="4" w:space="0" w:color="auto"/>
              <w:right w:val="single" w:sz="4" w:space="0" w:color="auto"/>
            </w:tcBorders>
          </w:tcPr>
          <w:p w:rsidR="00FF3337" w:rsidRPr="002F3C59" w:rsidRDefault="00FF3337" w:rsidP="004F1599">
            <w:r w:rsidRPr="002F3C59">
              <w:t>185,95</w:t>
            </w:r>
          </w:p>
        </w:tc>
      </w:tr>
      <w:tr w:rsidR="00FF3337" w:rsidRPr="002F3C59" w:rsidTr="00E44FA6">
        <w:tc>
          <w:tcPr>
            <w:tcW w:w="1397"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t>2.1. valsts pamatbudžets</w:t>
            </w:r>
          </w:p>
        </w:tc>
        <w:tc>
          <w:tcPr>
            <w:tcW w:w="821"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392</w:t>
            </w:r>
          </w:p>
        </w:tc>
        <w:tc>
          <w:tcPr>
            <w:tcW w:w="923"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28,85</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4F1599">
            <w:pPr>
              <w:spacing w:line="360" w:lineRule="auto"/>
            </w:pPr>
            <w:r w:rsidRPr="002F3C59">
              <w:t>185,85</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4F1599">
            <w:r w:rsidRPr="002F3C59">
              <w:t>185,85</w:t>
            </w:r>
          </w:p>
        </w:tc>
        <w:tc>
          <w:tcPr>
            <w:tcW w:w="659" w:type="pct"/>
            <w:tcBorders>
              <w:top w:val="single" w:sz="4" w:space="0" w:color="auto"/>
              <w:left w:val="single" w:sz="4" w:space="0" w:color="auto"/>
              <w:bottom w:val="single" w:sz="4" w:space="0" w:color="auto"/>
              <w:right w:val="single" w:sz="4" w:space="0" w:color="auto"/>
            </w:tcBorders>
          </w:tcPr>
          <w:p w:rsidR="00FF3337" w:rsidRPr="002F3C59" w:rsidRDefault="00FF3337" w:rsidP="004F1599">
            <w:r w:rsidRPr="002F3C59">
              <w:t>185,95</w:t>
            </w:r>
          </w:p>
        </w:tc>
      </w:tr>
      <w:tr w:rsidR="00FF3337" w:rsidRPr="002F3C59" w:rsidTr="00E44FA6">
        <w:tc>
          <w:tcPr>
            <w:tcW w:w="1397"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t>2.2. valsts speciālais budžets</w:t>
            </w:r>
          </w:p>
        </w:tc>
        <w:tc>
          <w:tcPr>
            <w:tcW w:w="821"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p>
        </w:tc>
        <w:tc>
          <w:tcPr>
            <w:tcW w:w="923"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pP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pPr>
          </w:p>
        </w:tc>
        <w:tc>
          <w:tcPr>
            <w:tcW w:w="659"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pPr>
          </w:p>
        </w:tc>
      </w:tr>
      <w:tr w:rsidR="00FF3337" w:rsidRPr="002F3C59" w:rsidTr="00E44FA6">
        <w:tc>
          <w:tcPr>
            <w:tcW w:w="1397"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t>2.3. pašvaldību budžets</w:t>
            </w:r>
          </w:p>
        </w:tc>
        <w:tc>
          <w:tcPr>
            <w:tcW w:w="821"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p>
        </w:tc>
        <w:tc>
          <w:tcPr>
            <w:tcW w:w="923"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pP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pPr>
          </w:p>
        </w:tc>
        <w:tc>
          <w:tcPr>
            <w:tcW w:w="659"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pPr>
          </w:p>
        </w:tc>
      </w:tr>
      <w:tr w:rsidR="00FF3337" w:rsidRPr="002F3C59" w:rsidTr="00E44FA6">
        <w:tc>
          <w:tcPr>
            <w:tcW w:w="1397"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t>3. Finansiālā ietekme:</w:t>
            </w:r>
          </w:p>
        </w:tc>
        <w:tc>
          <w:tcPr>
            <w:tcW w:w="821" w:type="pct"/>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spacing w:line="360" w:lineRule="auto"/>
              <w:jc w:val="center"/>
            </w:pPr>
            <w:r w:rsidRPr="002F3C59">
              <w:t>0</w:t>
            </w:r>
          </w:p>
        </w:tc>
        <w:tc>
          <w:tcPr>
            <w:tcW w:w="923"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59"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r>
      <w:tr w:rsidR="00FF3337" w:rsidRPr="002F3C59" w:rsidTr="00E44FA6">
        <w:tc>
          <w:tcPr>
            <w:tcW w:w="1397"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t>3.1. valsts pamatbudžets</w:t>
            </w:r>
          </w:p>
        </w:tc>
        <w:tc>
          <w:tcPr>
            <w:tcW w:w="821"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923"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59"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r>
      <w:tr w:rsidR="00FF3337" w:rsidRPr="002F3C59" w:rsidTr="00E44FA6">
        <w:tc>
          <w:tcPr>
            <w:tcW w:w="1397"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t>3.2. speciālais budžets</w:t>
            </w:r>
          </w:p>
        </w:tc>
        <w:tc>
          <w:tcPr>
            <w:tcW w:w="821"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923"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59"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r>
      <w:tr w:rsidR="00FF3337" w:rsidRPr="002F3C59" w:rsidTr="00E44FA6">
        <w:tc>
          <w:tcPr>
            <w:tcW w:w="1397"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t>3.3. pašvaldību budžets</w:t>
            </w:r>
          </w:p>
        </w:tc>
        <w:tc>
          <w:tcPr>
            <w:tcW w:w="821"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923"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59"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r>
      <w:tr w:rsidR="00FF3337" w:rsidRPr="002F3C59" w:rsidTr="00E44FA6">
        <w:tc>
          <w:tcPr>
            <w:tcW w:w="1397" w:type="pct"/>
            <w:vMerge w:val="restar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t>4. Finanšu līdzekļi papildu izde</w:t>
            </w:r>
            <w:r w:rsidRPr="002F3C59">
              <w:softHyphen/>
              <w:t>vumu finansēšanai (kompensējošu izdevumu samazinājumu norāda ar "+" zīmi)</w:t>
            </w:r>
          </w:p>
        </w:tc>
        <w:tc>
          <w:tcPr>
            <w:tcW w:w="821" w:type="pct"/>
            <w:vMerge w:val="restar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jc w:val="center"/>
            </w:pPr>
            <w:r w:rsidRPr="002F3C59">
              <w:t>X</w:t>
            </w:r>
          </w:p>
        </w:tc>
        <w:tc>
          <w:tcPr>
            <w:tcW w:w="923"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59"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r>
      <w:tr w:rsidR="00FF3337" w:rsidRPr="002F3C59" w:rsidTr="00E44FA6">
        <w:tc>
          <w:tcPr>
            <w:tcW w:w="1397" w:type="pct"/>
            <w:vMerge/>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tc>
        <w:tc>
          <w:tcPr>
            <w:tcW w:w="821" w:type="pct"/>
            <w:vMerge/>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tc>
        <w:tc>
          <w:tcPr>
            <w:tcW w:w="923"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59"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r>
      <w:tr w:rsidR="00FF3337" w:rsidRPr="002F3C59" w:rsidTr="00E44FA6">
        <w:tc>
          <w:tcPr>
            <w:tcW w:w="1397" w:type="pct"/>
            <w:vMerge/>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tc>
        <w:tc>
          <w:tcPr>
            <w:tcW w:w="821" w:type="pct"/>
            <w:vMerge/>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tc>
        <w:tc>
          <w:tcPr>
            <w:tcW w:w="923"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59"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r>
      <w:tr w:rsidR="00FF3337" w:rsidRPr="002F3C59" w:rsidTr="00E44FA6">
        <w:tc>
          <w:tcPr>
            <w:tcW w:w="1397"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t>5. Precizēta finansiālā ietekme:</w:t>
            </w:r>
          </w:p>
        </w:tc>
        <w:tc>
          <w:tcPr>
            <w:tcW w:w="821" w:type="pct"/>
            <w:vMerge w:val="restar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jc w:val="center"/>
            </w:pPr>
            <w:r w:rsidRPr="002F3C59">
              <w:t>X</w:t>
            </w:r>
          </w:p>
        </w:tc>
        <w:tc>
          <w:tcPr>
            <w:tcW w:w="923"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59"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r>
      <w:tr w:rsidR="00FF3337" w:rsidRPr="002F3C59" w:rsidTr="00E44FA6">
        <w:tc>
          <w:tcPr>
            <w:tcW w:w="1397"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t>5.1. valsts pamatbudžets</w:t>
            </w:r>
          </w:p>
        </w:tc>
        <w:tc>
          <w:tcPr>
            <w:tcW w:w="821" w:type="pct"/>
            <w:vMerge/>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tc>
        <w:tc>
          <w:tcPr>
            <w:tcW w:w="923"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59"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r>
      <w:tr w:rsidR="00FF3337" w:rsidRPr="002F3C59" w:rsidTr="00E44FA6">
        <w:tc>
          <w:tcPr>
            <w:tcW w:w="1397"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t>5.2. speciālais budžets</w:t>
            </w:r>
          </w:p>
        </w:tc>
        <w:tc>
          <w:tcPr>
            <w:tcW w:w="821" w:type="pct"/>
            <w:vMerge/>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tc>
        <w:tc>
          <w:tcPr>
            <w:tcW w:w="923"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59"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r>
      <w:tr w:rsidR="00FF3337" w:rsidRPr="002F3C59" w:rsidTr="00E44FA6">
        <w:tc>
          <w:tcPr>
            <w:tcW w:w="1397"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t>5.3. pašvaldību budžets</w:t>
            </w:r>
          </w:p>
        </w:tc>
        <w:tc>
          <w:tcPr>
            <w:tcW w:w="821" w:type="pct"/>
            <w:vMerge/>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tc>
        <w:tc>
          <w:tcPr>
            <w:tcW w:w="923"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00"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c>
          <w:tcPr>
            <w:tcW w:w="659"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line="360" w:lineRule="auto"/>
              <w:jc w:val="center"/>
            </w:pPr>
            <w:r w:rsidRPr="002F3C59">
              <w:t>0</w:t>
            </w:r>
          </w:p>
        </w:tc>
      </w:tr>
      <w:tr w:rsidR="00FF3337" w:rsidRPr="002F3C59" w:rsidTr="00FC4CED">
        <w:trPr>
          <w:trHeight w:val="40"/>
        </w:trPr>
        <w:tc>
          <w:tcPr>
            <w:tcW w:w="1397"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lastRenderedPageBreak/>
              <w:t>6. Detalizēts ieņēmumu un izdevu</w:t>
            </w:r>
            <w:r w:rsidRPr="002F3C59">
              <w:softHyphen/>
              <w:t>mu aprēķins (ja nepieciešams, detalizētu ieņēmumu un izdevumu aprēķinu var pievienot anotācijas pielikumā):</w:t>
            </w:r>
          </w:p>
        </w:tc>
        <w:tc>
          <w:tcPr>
            <w:tcW w:w="3603" w:type="pct"/>
            <w:gridSpan w:val="5"/>
            <w:vMerge w:val="restart"/>
            <w:tcBorders>
              <w:top w:val="single" w:sz="4" w:space="0" w:color="auto"/>
              <w:left w:val="single" w:sz="4" w:space="0" w:color="auto"/>
              <w:bottom w:val="single" w:sz="4" w:space="0" w:color="auto"/>
              <w:right w:val="single" w:sz="4" w:space="0" w:color="auto"/>
            </w:tcBorders>
          </w:tcPr>
          <w:p w:rsidR="00FF3337" w:rsidRPr="002F3C59" w:rsidRDefault="00FF3337" w:rsidP="00F31B1D">
            <w:r w:rsidRPr="002F3C59">
              <w:t>6.1. Detalizēts ieņēmumu aprēķins.</w:t>
            </w:r>
          </w:p>
          <w:p w:rsidR="00FF3337" w:rsidRPr="002F3C59" w:rsidRDefault="00FF3337" w:rsidP="004E4F5B">
            <w:pPr>
              <w:pStyle w:val="naisc"/>
              <w:spacing w:before="0" w:after="0"/>
              <w:jc w:val="both"/>
            </w:pPr>
            <w:r w:rsidRPr="002F3C59">
              <w:t>6.1.1.</w:t>
            </w:r>
            <w:r>
              <w:t xml:space="preserve"> </w:t>
            </w:r>
            <w:r w:rsidRPr="002F3C59">
              <w:t xml:space="preserve">Saskaņā ar valsts aģentūras „Lauksaimniecības datu centrs” sniegto publisko maksas pakalpojumu cenrādi mājas (istabas) dzīvnieka reģistrācija (reģistra uzturēšana, datu ievadīšana, WEB aplikāciju pieprasījumu uzturēšana) maksā Ls 5. Mājas (istabas) dzīvnieka īpašnieka maiņas reģistrācija maksā </w:t>
            </w:r>
            <w:r>
              <w:t xml:space="preserve">Ls </w:t>
            </w:r>
            <w:r w:rsidRPr="002F3C59">
              <w:t xml:space="preserve">3,50. Prognozēts, ka 2012.gadā un katru gadu līdz 2016.gadam tiks reģistrēti ne vairāk kā 16 tūkst. mājas (istabas) dzīvnieku un </w:t>
            </w:r>
            <w:r>
              <w:t>īpašnieka maiņas dēļ</w:t>
            </w:r>
            <w:r w:rsidRPr="002F3C59">
              <w:t xml:space="preserve"> pārreģistrēti ne vairāk kā 100 dzīvniek</w:t>
            </w:r>
            <w:r>
              <w:t>u</w:t>
            </w:r>
            <w:r w:rsidRPr="002F3C59">
              <w:t>. Plānotie ieņēmumi</w:t>
            </w:r>
            <w:r>
              <w:t>,</w:t>
            </w:r>
            <w:r w:rsidRPr="002F3C59">
              <w:t xml:space="preserve"> sākot no 2013.gada</w:t>
            </w:r>
            <w:r>
              <w:t>, </w:t>
            </w:r>
            <w:r w:rsidRPr="002F3C59">
              <w:t>– 80 tūkst latu.</w:t>
            </w:r>
          </w:p>
          <w:p w:rsidR="00FF3337" w:rsidRPr="002F3C59" w:rsidRDefault="00FF3337" w:rsidP="00CD3C67">
            <w:pPr>
              <w:pStyle w:val="ParastaisWeb"/>
              <w:spacing w:before="0" w:beforeAutospacing="0" w:after="0" w:afterAutospacing="0"/>
              <w:jc w:val="both"/>
            </w:pPr>
            <w:r w:rsidRPr="002F3C59">
              <w:t>2012.gadā plānots, ka tiks saņemti 5 iesniegumi atšķirības lentes saņemšanai, t.i., 5</w:t>
            </w:r>
            <w:r>
              <w:t xml:space="preserve"> </w:t>
            </w:r>
            <w:r w:rsidRPr="002F3C59">
              <w:t xml:space="preserve">x </w:t>
            </w:r>
            <w:r>
              <w:t xml:space="preserve">Ls </w:t>
            </w:r>
            <w:r w:rsidRPr="002F3C59">
              <w:t>20,37</w:t>
            </w:r>
            <w:r>
              <w:t xml:space="preserve"> </w:t>
            </w:r>
            <w:r w:rsidRPr="002F3C59">
              <w:t xml:space="preserve">= </w:t>
            </w:r>
            <w:r>
              <w:t xml:space="preserve">Ls </w:t>
            </w:r>
            <w:r w:rsidRPr="002F3C59">
              <w:t>101,85. Kopā</w:t>
            </w:r>
            <w:r>
              <w:t>:</w:t>
            </w:r>
            <w:r w:rsidRPr="002F3C59">
              <w:t xml:space="preserve"> 378,15</w:t>
            </w:r>
            <w:r>
              <w:t xml:space="preserve"> </w:t>
            </w:r>
            <w:r w:rsidRPr="002F3C59">
              <w:t>+</w:t>
            </w:r>
            <w:r>
              <w:t xml:space="preserve"> </w:t>
            </w:r>
            <w:r w:rsidRPr="002F3C59">
              <w:t>101,85</w:t>
            </w:r>
            <w:r>
              <w:t xml:space="preserve"> </w:t>
            </w:r>
            <w:r w:rsidRPr="002F3C59">
              <w:t>=</w:t>
            </w:r>
            <w:r>
              <w:t xml:space="preserve"> </w:t>
            </w:r>
            <w:r w:rsidRPr="002F3C59">
              <w:t>480 lati. (EKK 1100 – 18,15 lati, EKK 1200 – 4,39 lati, EKK 2000 – 457,18, EKK 5000 – 0,27 lati).</w:t>
            </w:r>
          </w:p>
          <w:p w:rsidR="00FF3337" w:rsidRPr="002F3C59" w:rsidRDefault="00FF3337" w:rsidP="004E4F5B">
            <w:pPr>
              <w:pStyle w:val="naisc"/>
              <w:spacing w:before="0" w:after="0"/>
              <w:jc w:val="both"/>
            </w:pPr>
            <w:r w:rsidRPr="002F3C59">
              <w:t>6.1.2. Pašu ieņēmumu palielinājums sakarā ar grozījumiem noteikumu pielikuma 4.1., 4.2., 4.6. un 4.7.apakšpunkt</w:t>
            </w:r>
            <w:r>
              <w:t xml:space="preserve">ā </w:t>
            </w:r>
            <w:r w:rsidRPr="002F3C59">
              <w:t xml:space="preserve">2012.gadā ir 28 </w:t>
            </w:r>
            <w:proofErr w:type="spellStart"/>
            <w:r w:rsidRPr="002F3C59">
              <w:t>tūkst.latu</w:t>
            </w:r>
            <w:proofErr w:type="spellEnd"/>
            <w:r w:rsidRPr="002F3C59">
              <w:t xml:space="preserve"> un 2013. un turpmākajos gados </w:t>
            </w:r>
            <w:r>
              <w:t>–</w:t>
            </w:r>
            <w:r w:rsidRPr="002F3C59">
              <w:t xml:space="preserve"> 105 </w:t>
            </w:r>
            <w:proofErr w:type="spellStart"/>
            <w:r w:rsidRPr="002F3C59">
              <w:t>tūkst.latu</w:t>
            </w:r>
            <w:proofErr w:type="spellEnd"/>
            <w:r w:rsidRPr="002F3C59">
              <w:t>. Gada plānā norādītie 392 tūkst.</w:t>
            </w:r>
            <w:r>
              <w:t> </w:t>
            </w:r>
            <w:r w:rsidRPr="002F3C59">
              <w:t>latu ir attiecināmi tikai uz tiem cenrāža punktiem, k</w:t>
            </w:r>
            <w:r>
              <w:t>as</w:t>
            </w:r>
            <w:r w:rsidRPr="002F3C59">
              <w:t xml:space="preserve"> tiks mainīti. </w:t>
            </w:r>
            <w:proofErr w:type="spellStart"/>
            <w:r>
              <w:t>Tuklāt</w:t>
            </w:r>
            <w:proofErr w:type="spellEnd"/>
            <w:r w:rsidRPr="002F3C59">
              <w:t xml:space="preserve"> ir vēl citi maksas pakalpojumu veidi, kuru izcenojumi netiks mainīti (95 tūkst.</w:t>
            </w:r>
            <w:r>
              <w:t xml:space="preserve"> </w:t>
            </w:r>
            <w:r w:rsidRPr="002F3C59">
              <w:t xml:space="preserve">latu), </w:t>
            </w:r>
            <w:r>
              <w:t>tāpēc</w:t>
            </w:r>
            <w:r w:rsidRPr="002F3C59">
              <w:t xml:space="preserve"> tie neskar anotācijas sadaļu par </w:t>
            </w:r>
            <w:r w:rsidRPr="002F3C59">
              <w:rPr>
                <w:bCs/>
              </w:rPr>
              <w:t>tiesību akta projekta ietekmi uz valsts budžetu un pašvaldību budžetiem.</w:t>
            </w:r>
            <w:r w:rsidRPr="002F3C59">
              <w:t xml:space="preserve"> Detalizēts aprēķins dots anotācijas pielikumā.</w:t>
            </w:r>
          </w:p>
        </w:tc>
      </w:tr>
      <w:tr w:rsidR="00FF3337" w:rsidRPr="002F3C59" w:rsidTr="00FC4CED">
        <w:tc>
          <w:tcPr>
            <w:tcW w:w="1397"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t>6.1. detalizēts ieņēmumu aprēķins</w:t>
            </w:r>
          </w:p>
          <w:p w:rsidR="00FF3337" w:rsidRPr="002F3C59" w:rsidRDefault="00FF3337" w:rsidP="00F31B1D">
            <w:pPr>
              <w:spacing w:before="100" w:beforeAutospacing="1" w:after="100" w:afterAutospacing="1"/>
            </w:pPr>
          </w:p>
          <w:p w:rsidR="00FF3337" w:rsidRPr="002F3C59" w:rsidRDefault="00FF3337" w:rsidP="00F31B1D">
            <w:pPr>
              <w:spacing w:before="100" w:beforeAutospacing="1" w:after="100" w:afterAutospacing="1"/>
            </w:pPr>
          </w:p>
        </w:tc>
        <w:tc>
          <w:tcPr>
            <w:tcW w:w="3603" w:type="pct"/>
            <w:gridSpan w:val="5"/>
            <w:vMerge/>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tc>
      </w:tr>
      <w:tr w:rsidR="00FF3337" w:rsidRPr="002F3C59" w:rsidTr="00CE5151">
        <w:trPr>
          <w:trHeight w:val="805"/>
        </w:trPr>
        <w:tc>
          <w:tcPr>
            <w:tcW w:w="1397"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t>6.2. detalizēts izdevumu aprēķins</w:t>
            </w:r>
          </w:p>
        </w:tc>
        <w:tc>
          <w:tcPr>
            <w:tcW w:w="3603" w:type="pct"/>
            <w:gridSpan w:val="5"/>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r w:rsidRPr="002F3C59">
              <w:t>6.2. Detalizēts izdevumu aprēķins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2"/>
              <w:gridCol w:w="2715"/>
              <w:gridCol w:w="1193"/>
              <w:gridCol w:w="1193"/>
            </w:tblGrid>
            <w:tr w:rsidR="00FF3337" w:rsidRPr="002F3C59" w:rsidTr="00FC4CED">
              <w:tc>
                <w:tcPr>
                  <w:tcW w:w="1252" w:type="dxa"/>
                  <w:tcBorders>
                    <w:top w:val="single" w:sz="4" w:space="0" w:color="auto"/>
                    <w:left w:val="single" w:sz="4" w:space="0" w:color="auto"/>
                    <w:bottom w:val="single" w:sz="4" w:space="0" w:color="auto"/>
                    <w:right w:val="single" w:sz="4" w:space="0" w:color="auto"/>
                  </w:tcBorders>
                </w:tcPr>
                <w:p w:rsidR="00FF3337" w:rsidRPr="002F3C59" w:rsidRDefault="00FF3337" w:rsidP="00F31B1D">
                  <w:pPr>
                    <w:pStyle w:val="naisf"/>
                    <w:spacing w:before="0" w:after="0"/>
                    <w:ind w:firstLine="0"/>
                    <w:rPr>
                      <w:sz w:val="20"/>
                      <w:szCs w:val="20"/>
                    </w:rPr>
                  </w:pPr>
                  <w:r w:rsidRPr="002F3C59">
                    <w:rPr>
                      <w:sz w:val="20"/>
                      <w:szCs w:val="20"/>
                    </w:rPr>
                    <w:t>EKK</w:t>
                  </w:r>
                </w:p>
              </w:tc>
              <w:tc>
                <w:tcPr>
                  <w:tcW w:w="2715" w:type="dxa"/>
                  <w:tcBorders>
                    <w:top w:val="single" w:sz="4" w:space="0" w:color="auto"/>
                    <w:left w:val="single" w:sz="4" w:space="0" w:color="auto"/>
                    <w:bottom w:val="single" w:sz="4" w:space="0" w:color="auto"/>
                    <w:right w:val="single" w:sz="4" w:space="0" w:color="auto"/>
                  </w:tcBorders>
                </w:tcPr>
                <w:p w:rsidR="00FF3337" w:rsidRPr="002F3C59" w:rsidRDefault="00FF3337" w:rsidP="00F31B1D">
                  <w:pPr>
                    <w:pStyle w:val="naisf"/>
                    <w:spacing w:before="0" w:after="0"/>
                    <w:ind w:firstLine="0"/>
                    <w:rPr>
                      <w:sz w:val="20"/>
                      <w:szCs w:val="20"/>
                    </w:rPr>
                  </w:pPr>
                  <w:r w:rsidRPr="002F3C59">
                    <w:rPr>
                      <w:sz w:val="20"/>
                      <w:szCs w:val="20"/>
                    </w:rPr>
                    <w:t>Izdevumu veidi</w:t>
                  </w:r>
                </w:p>
              </w:tc>
              <w:tc>
                <w:tcPr>
                  <w:tcW w:w="1193" w:type="dxa"/>
                  <w:tcBorders>
                    <w:top w:val="single" w:sz="4" w:space="0" w:color="auto"/>
                    <w:left w:val="single" w:sz="4" w:space="0" w:color="auto"/>
                    <w:bottom w:val="single" w:sz="4" w:space="0" w:color="auto"/>
                    <w:right w:val="single" w:sz="4" w:space="0" w:color="auto"/>
                  </w:tcBorders>
                </w:tcPr>
                <w:p w:rsidR="00FF3337" w:rsidRPr="002F3C59" w:rsidRDefault="00FF3337" w:rsidP="00F31B1D">
                  <w:pPr>
                    <w:pStyle w:val="naisf"/>
                    <w:spacing w:before="0" w:after="0"/>
                    <w:ind w:firstLine="0"/>
                    <w:rPr>
                      <w:sz w:val="20"/>
                      <w:szCs w:val="20"/>
                    </w:rPr>
                  </w:pPr>
                  <w:r w:rsidRPr="002F3C59">
                    <w:rPr>
                      <w:sz w:val="20"/>
                      <w:szCs w:val="20"/>
                    </w:rPr>
                    <w:t>2012. gada plāns, tūkst.</w:t>
                  </w:r>
                  <w:r>
                    <w:rPr>
                      <w:sz w:val="20"/>
                      <w:szCs w:val="20"/>
                    </w:rPr>
                    <w:t xml:space="preserve"> </w:t>
                  </w:r>
                  <w:r w:rsidRPr="002F3C59">
                    <w:rPr>
                      <w:sz w:val="20"/>
                      <w:szCs w:val="20"/>
                    </w:rPr>
                    <w:t>latu</w:t>
                  </w:r>
                </w:p>
              </w:tc>
              <w:tc>
                <w:tcPr>
                  <w:tcW w:w="1193" w:type="dxa"/>
                  <w:tcBorders>
                    <w:top w:val="single" w:sz="4" w:space="0" w:color="auto"/>
                    <w:left w:val="single" w:sz="4" w:space="0" w:color="auto"/>
                    <w:bottom w:val="single" w:sz="4" w:space="0" w:color="auto"/>
                    <w:right w:val="single" w:sz="4" w:space="0" w:color="auto"/>
                  </w:tcBorders>
                </w:tcPr>
                <w:p w:rsidR="00FF3337" w:rsidRPr="002F3C59" w:rsidRDefault="00FF3337" w:rsidP="00C04CD3">
                  <w:pPr>
                    <w:pStyle w:val="naisf"/>
                    <w:spacing w:before="0" w:after="0"/>
                    <w:ind w:firstLine="0"/>
                    <w:rPr>
                      <w:sz w:val="20"/>
                      <w:szCs w:val="20"/>
                    </w:rPr>
                  </w:pPr>
                  <w:r w:rsidRPr="002F3C59">
                    <w:rPr>
                      <w:sz w:val="20"/>
                      <w:szCs w:val="20"/>
                    </w:rPr>
                    <w:t>2013.gada plāns, tūkst. latu</w:t>
                  </w:r>
                </w:p>
              </w:tc>
            </w:tr>
            <w:tr w:rsidR="00FF3337" w:rsidRPr="002F3C59" w:rsidTr="00FC4CED">
              <w:tc>
                <w:tcPr>
                  <w:tcW w:w="1252" w:type="dxa"/>
                  <w:tcBorders>
                    <w:top w:val="single" w:sz="4" w:space="0" w:color="auto"/>
                    <w:left w:val="single" w:sz="4" w:space="0" w:color="auto"/>
                    <w:bottom w:val="single" w:sz="4" w:space="0" w:color="auto"/>
                    <w:right w:val="single" w:sz="4" w:space="0" w:color="auto"/>
                  </w:tcBorders>
                </w:tcPr>
                <w:p w:rsidR="00FF3337" w:rsidRPr="002F3C59" w:rsidRDefault="00FF3337" w:rsidP="00F31B1D">
                  <w:pPr>
                    <w:jc w:val="both"/>
                    <w:rPr>
                      <w:bCs/>
                      <w:sz w:val="20"/>
                      <w:szCs w:val="20"/>
                    </w:rPr>
                  </w:pPr>
                  <w:r w:rsidRPr="002F3C59">
                    <w:rPr>
                      <w:bCs/>
                      <w:sz w:val="20"/>
                      <w:szCs w:val="20"/>
                    </w:rPr>
                    <w:t>1000-4000;</w:t>
                  </w:r>
                  <w:r w:rsidRPr="002F3C59">
                    <w:rPr>
                      <w:bCs/>
                      <w:sz w:val="20"/>
                      <w:szCs w:val="20"/>
                    </w:rPr>
                    <w:br/>
                    <w:t>6000-7000</w:t>
                  </w:r>
                </w:p>
                <w:p w:rsidR="00FF3337" w:rsidRPr="002F3C59" w:rsidRDefault="00FF3337" w:rsidP="00F31B1D">
                  <w:pPr>
                    <w:pStyle w:val="naisf"/>
                    <w:spacing w:before="0" w:after="0"/>
                    <w:ind w:firstLine="0"/>
                    <w:rPr>
                      <w:sz w:val="20"/>
                      <w:szCs w:val="20"/>
                    </w:rPr>
                  </w:pPr>
                </w:p>
              </w:tc>
              <w:tc>
                <w:tcPr>
                  <w:tcW w:w="2715" w:type="dxa"/>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rPr>
                      <w:b/>
                      <w:bCs/>
                      <w:sz w:val="20"/>
                      <w:szCs w:val="20"/>
                    </w:rPr>
                  </w:pPr>
                  <w:r w:rsidRPr="002F3C59">
                    <w:rPr>
                      <w:b/>
                      <w:bCs/>
                      <w:sz w:val="20"/>
                      <w:szCs w:val="20"/>
                    </w:rPr>
                    <w:t>Uzturēšanas izdevumi</w:t>
                  </w:r>
                </w:p>
              </w:tc>
              <w:tc>
                <w:tcPr>
                  <w:tcW w:w="1193" w:type="dxa"/>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pStyle w:val="naisf"/>
                    <w:spacing w:before="0" w:after="0"/>
                    <w:ind w:firstLine="0"/>
                    <w:jc w:val="left"/>
                    <w:rPr>
                      <w:b/>
                      <w:sz w:val="20"/>
                      <w:szCs w:val="20"/>
                    </w:rPr>
                  </w:pPr>
                  <w:r w:rsidRPr="002F3C59">
                    <w:rPr>
                      <w:b/>
                      <w:sz w:val="20"/>
                      <w:szCs w:val="20"/>
                    </w:rPr>
                    <w:t>28,85</w:t>
                  </w:r>
                </w:p>
              </w:tc>
              <w:tc>
                <w:tcPr>
                  <w:tcW w:w="1193" w:type="dxa"/>
                  <w:tcBorders>
                    <w:top w:val="single" w:sz="4" w:space="0" w:color="auto"/>
                    <w:left w:val="single" w:sz="4" w:space="0" w:color="auto"/>
                    <w:bottom w:val="single" w:sz="4" w:space="0" w:color="auto"/>
                    <w:right w:val="single" w:sz="4" w:space="0" w:color="auto"/>
                  </w:tcBorders>
                  <w:vAlign w:val="center"/>
                </w:tcPr>
                <w:p w:rsidR="00FF3337" w:rsidRPr="002F3C59" w:rsidRDefault="00FF3337" w:rsidP="00C04CD3">
                  <w:pPr>
                    <w:pStyle w:val="naisf"/>
                    <w:spacing w:before="0" w:after="0"/>
                    <w:ind w:firstLine="0"/>
                    <w:jc w:val="left"/>
                    <w:rPr>
                      <w:b/>
                      <w:sz w:val="20"/>
                      <w:szCs w:val="20"/>
                    </w:rPr>
                  </w:pPr>
                  <w:r w:rsidRPr="002F3C59">
                    <w:rPr>
                      <w:b/>
                      <w:sz w:val="20"/>
                      <w:szCs w:val="20"/>
                    </w:rPr>
                    <w:t>185,85</w:t>
                  </w:r>
                </w:p>
              </w:tc>
            </w:tr>
            <w:tr w:rsidR="00FF3337" w:rsidRPr="002F3C59" w:rsidTr="00FC4CED">
              <w:tc>
                <w:tcPr>
                  <w:tcW w:w="1252" w:type="dxa"/>
                  <w:tcBorders>
                    <w:top w:val="single" w:sz="4" w:space="0" w:color="auto"/>
                    <w:left w:val="single" w:sz="4" w:space="0" w:color="auto"/>
                    <w:bottom w:val="single" w:sz="4" w:space="0" w:color="auto"/>
                    <w:right w:val="single" w:sz="4" w:space="0" w:color="auto"/>
                  </w:tcBorders>
                </w:tcPr>
                <w:p w:rsidR="00FF3337" w:rsidRPr="002F3C59" w:rsidRDefault="00FF3337" w:rsidP="00F31B1D">
                  <w:pPr>
                    <w:jc w:val="both"/>
                    <w:rPr>
                      <w:bCs/>
                      <w:sz w:val="20"/>
                      <w:szCs w:val="20"/>
                    </w:rPr>
                  </w:pPr>
                  <w:r w:rsidRPr="002F3C59">
                    <w:rPr>
                      <w:bCs/>
                      <w:sz w:val="20"/>
                      <w:szCs w:val="20"/>
                    </w:rPr>
                    <w:t>1000-2000</w:t>
                  </w:r>
                </w:p>
                <w:p w:rsidR="00FF3337" w:rsidRPr="002F3C59" w:rsidRDefault="00FF3337" w:rsidP="00F31B1D">
                  <w:pPr>
                    <w:pStyle w:val="naisf"/>
                    <w:spacing w:before="0" w:after="0"/>
                    <w:ind w:firstLine="0"/>
                    <w:rPr>
                      <w:sz w:val="20"/>
                      <w:szCs w:val="20"/>
                    </w:rPr>
                  </w:pPr>
                </w:p>
              </w:tc>
              <w:tc>
                <w:tcPr>
                  <w:tcW w:w="2715" w:type="dxa"/>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rPr>
                      <w:b/>
                      <w:bCs/>
                      <w:sz w:val="20"/>
                      <w:szCs w:val="20"/>
                    </w:rPr>
                  </w:pPr>
                  <w:r w:rsidRPr="002F3C59">
                    <w:rPr>
                      <w:b/>
                      <w:bCs/>
                      <w:sz w:val="20"/>
                      <w:szCs w:val="20"/>
                    </w:rPr>
                    <w:t>Kārtējie izdevumi</w:t>
                  </w:r>
                </w:p>
              </w:tc>
              <w:tc>
                <w:tcPr>
                  <w:tcW w:w="1193" w:type="dxa"/>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pStyle w:val="naisf"/>
                    <w:spacing w:before="0" w:after="0"/>
                    <w:ind w:firstLine="0"/>
                    <w:jc w:val="left"/>
                    <w:rPr>
                      <w:b/>
                      <w:sz w:val="20"/>
                      <w:szCs w:val="20"/>
                    </w:rPr>
                  </w:pPr>
                  <w:r w:rsidRPr="002F3C59">
                    <w:rPr>
                      <w:b/>
                      <w:sz w:val="20"/>
                      <w:szCs w:val="20"/>
                    </w:rPr>
                    <w:t>28,85</w:t>
                  </w:r>
                </w:p>
              </w:tc>
              <w:tc>
                <w:tcPr>
                  <w:tcW w:w="1193" w:type="dxa"/>
                  <w:tcBorders>
                    <w:top w:val="single" w:sz="4" w:space="0" w:color="auto"/>
                    <w:left w:val="single" w:sz="4" w:space="0" w:color="auto"/>
                    <w:bottom w:val="single" w:sz="4" w:space="0" w:color="auto"/>
                    <w:right w:val="single" w:sz="4" w:space="0" w:color="auto"/>
                  </w:tcBorders>
                  <w:vAlign w:val="center"/>
                </w:tcPr>
                <w:p w:rsidR="00FF3337" w:rsidRPr="002F3C59" w:rsidRDefault="00FF3337" w:rsidP="00C04CD3">
                  <w:pPr>
                    <w:pStyle w:val="naisf"/>
                    <w:spacing w:before="0" w:after="0"/>
                    <w:ind w:firstLine="0"/>
                    <w:jc w:val="left"/>
                    <w:rPr>
                      <w:b/>
                      <w:sz w:val="20"/>
                      <w:szCs w:val="20"/>
                    </w:rPr>
                  </w:pPr>
                  <w:r w:rsidRPr="002F3C59">
                    <w:rPr>
                      <w:b/>
                      <w:sz w:val="20"/>
                      <w:szCs w:val="20"/>
                    </w:rPr>
                    <w:t>185,85</w:t>
                  </w:r>
                </w:p>
              </w:tc>
            </w:tr>
            <w:tr w:rsidR="00FF3337" w:rsidRPr="002F3C59" w:rsidTr="00FC4CED">
              <w:tc>
                <w:tcPr>
                  <w:tcW w:w="1252" w:type="dxa"/>
                  <w:tcBorders>
                    <w:top w:val="single" w:sz="4" w:space="0" w:color="auto"/>
                    <w:left w:val="single" w:sz="4" w:space="0" w:color="auto"/>
                    <w:bottom w:val="single" w:sz="4" w:space="0" w:color="auto"/>
                    <w:right w:val="single" w:sz="4" w:space="0" w:color="auto"/>
                  </w:tcBorders>
                </w:tcPr>
                <w:p w:rsidR="00FF3337" w:rsidRPr="002F3C59" w:rsidRDefault="00FF3337" w:rsidP="00F31B1D">
                  <w:pPr>
                    <w:jc w:val="both"/>
                    <w:rPr>
                      <w:bCs/>
                      <w:sz w:val="20"/>
                      <w:szCs w:val="20"/>
                    </w:rPr>
                  </w:pPr>
                  <w:r w:rsidRPr="002F3C59">
                    <w:rPr>
                      <w:bCs/>
                      <w:sz w:val="20"/>
                      <w:szCs w:val="20"/>
                    </w:rPr>
                    <w:t>1000</w:t>
                  </w:r>
                </w:p>
              </w:tc>
              <w:tc>
                <w:tcPr>
                  <w:tcW w:w="2715" w:type="dxa"/>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rPr>
                      <w:bCs/>
                      <w:sz w:val="20"/>
                      <w:szCs w:val="20"/>
                    </w:rPr>
                  </w:pPr>
                  <w:r w:rsidRPr="002F3C59">
                    <w:rPr>
                      <w:bCs/>
                      <w:sz w:val="20"/>
                      <w:szCs w:val="20"/>
                    </w:rPr>
                    <w:t>Atlīdzība</w:t>
                  </w:r>
                </w:p>
              </w:tc>
              <w:tc>
                <w:tcPr>
                  <w:tcW w:w="1193" w:type="dxa"/>
                  <w:tcBorders>
                    <w:top w:val="single" w:sz="4" w:space="0" w:color="auto"/>
                    <w:left w:val="single" w:sz="4" w:space="0" w:color="auto"/>
                    <w:bottom w:val="single" w:sz="4" w:space="0" w:color="auto"/>
                    <w:right w:val="single" w:sz="4" w:space="0" w:color="auto"/>
                  </w:tcBorders>
                </w:tcPr>
                <w:p w:rsidR="00FF3337" w:rsidRPr="002F3C59" w:rsidRDefault="00FF3337" w:rsidP="00F31B1D">
                  <w:pPr>
                    <w:pStyle w:val="naisf"/>
                    <w:spacing w:before="0" w:after="0"/>
                    <w:ind w:firstLine="0"/>
                    <w:rPr>
                      <w:sz w:val="20"/>
                      <w:szCs w:val="20"/>
                    </w:rPr>
                  </w:pPr>
                  <w:r w:rsidRPr="002F3C59">
                    <w:rPr>
                      <w:sz w:val="20"/>
                      <w:szCs w:val="20"/>
                    </w:rPr>
                    <w:t>0</w:t>
                  </w:r>
                </w:p>
              </w:tc>
              <w:tc>
                <w:tcPr>
                  <w:tcW w:w="1193" w:type="dxa"/>
                  <w:tcBorders>
                    <w:top w:val="single" w:sz="4" w:space="0" w:color="auto"/>
                    <w:left w:val="single" w:sz="4" w:space="0" w:color="auto"/>
                    <w:bottom w:val="single" w:sz="4" w:space="0" w:color="auto"/>
                    <w:right w:val="single" w:sz="4" w:space="0" w:color="auto"/>
                  </w:tcBorders>
                </w:tcPr>
                <w:p w:rsidR="00FF3337" w:rsidRPr="002F3C59" w:rsidRDefault="00FF3337" w:rsidP="00C04CD3">
                  <w:pPr>
                    <w:pStyle w:val="naisf"/>
                    <w:spacing w:before="0" w:after="0"/>
                    <w:ind w:firstLine="0"/>
                    <w:rPr>
                      <w:sz w:val="20"/>
                      <w:szCs w:val="20"/>
                    </w:rPr>
                  </w:pPr>
                  <w:r w:rsidRPr="002F3C59">
                    <w:rPr>
                      <w:sz w:val="20"/>
                      <w:szCs w:val="20"/>
                    </w:rPr>
                    <w:t>38,0</w:t>
                  </w:r>
                </w:p>
              </w:tc>
            </w:tr>
            <w:tr w:rsidR="00FF3337" w:rsidRPr="002F3C59" w:rsidTr="00FC4CED">
              <w:tc>
                <w:tcPr>
                  <w:tcW w:w="1252" w:type="dxa"/>
                  <w:tcBorders>
                    <w:top w:val="single" w:sz="4" w:space="0" w:color="auto"/>
                    <w:left w:val="single" w:sz="4" w:space="0" w:color="auto"/>
                    <w:bottom w:val="single" w:sz="4" w:space="0" w:color="auto"/>
                    <w:right w:val="single" w:sz="4" w:space="0" w:color="auto"/>
                  </w:tcBorders>
                </w:tcPr>
                <w:p w:rsidR="00FF3337" w:rsidRPr="002F3C59" w:rsidRDefault="00FF3337" w:rsidP="00F31B1D">
                  <w:pPr>
                    <w:jc w:val="both"/>
                    <w:rPr>
                      <w:bCs/>
                      <w:sz w:val="20"/>
                      <w:szCs w:val="20"/>
                    </w:rPr>
                  </w:pPr>
                  <w:r w:rsidRPr="002F3C59">
                    <w:rPr>
                      <w:bCs/>
                      <w:sz w:val="20"/>
                      <w:szCs w:val="20"/>
                    </w:rPr>
                    <w:t>1100</w:t>
                  </w:r>
                </w:p>
              </w:tc>
              <w:tc>
                <w:tcPr>
                  <w:tcW w:w="2715" w:type="dxa"/>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rPr>
                      <w:bCs/>
                      <w:sz w:val="20"/>
                      <w:szCs w:val="20"/>
                    </w:rPr>
                  </w:pPr>
                  <w:r w:rsidRPr="002F3C59">
                    <w:rPr>
                      <w:bCs/>
                      <w:sz w:val="20"/>
                      <w:szCs w:val="20"/>
                    </w:rPr>
                    <w:t>Atalgojums</w:t>
                  </w:r>
                </w:p>
              </w:tc>
              <w:tc>
                <w:tcPr>
                  <w:tcW w:w="1193" w:type="dxa"/>
                  <w:tcBorders>
                    <w:top w:val="single" w:sz="4" w:space="0" w:color="auto"/>
                    <w:left w:val="single" w:sz="4" w:space="0" w:color="auto"/>
                    <w:bottom w:val="single" w:sz="4" w:space="0" w:color="auto"/>
                    <w:right w:val="single" w:sz="4" w:space="0" w:color="auto"/>
                  </w:tcBorders>
                </w:tcPr>
                <w:p w:rsidR="00FF3337" w:rsidRPr="002F3C59" w:rsidRDefault="00FF3337" w:rsidP="00F31B1D">
                  <w:pPr>
                    <w:pStyle w:val="naisf"/>
                    <w:spacing w:before="0" w:after="0"/>
                    <w:ind w:firstLine="0"/>
                    <w:rPr>
                      <w:sz w:val="20"/>
                      <w:szCs w:val="20"/>
                    </w:rPr>
                  </w:pPr>
                  <w:r w:rsidRPr="002F3C59">
                    <w:rPr>
                      <w:sz w:val="20"/>
                      <w:szCs w:val="20"/>
                    </w:rPr>
                    <w:t>0</w:t>
                  </w:r>
                </w:p>
              </w:tc>
              <w:tc>
                <w:tcPr>
                  <w:tcW w:w="1193" w:type="dxa"/>
                  <w:tcBorders>
                    <w:top w:val="single" w:sz="4" w:space="0" w:color="auto"/>
                    <w:left w:val="single" w:sz="4" w:space="0" w:color="auto"/>
                    <w:bottom w:val="single" w:sz="4" w:space="0" w:color="auto"/>
                    <w:right w:val="single" w:sz="4" w:space="0" w:color="auto"/>
                  </w:tcBorders>
                </w:tcPr>
                <w:p w:rsidR="00FF3337" w:rsidRPr="002F3C59" w:rsidRDefault="00FF3337" w:rsidP="00C04CD3">
                  <w:pPr>
                    <w:pStyle w:val="naisf"/>
                    <w:spacing w:before="0" w:after="0"/>
                    <w:ind w:firstLine="0"/>
                    <w:rPr>
                      <w:sz w:val="20"/>
                      <w:szCs w:val="20"/>
                    </w:rPr>
                  </w:pPr>
                  <w:r w:rsidRPr="002F3C59">
                    <w:rPr>
                      <w:sz w:val="20"/>
                      <w:szCs w:val="20"/>
                    </w:rPr>
                    <w:t>30,7</w:t>
                  </w:r>
                </w:p>
              </w:tc>
            </w:tr>
            <w:tr w:rsidR="00FF3337" w:rsidRPr="002F3C59" w:rsidTr="00FC4CED">
              <w:tc>
                <w:tcPr>
                  <w:tcW w:w="1252" w:type="dxa"/>
                  <w:tcBorders>
                    <w:top w:val="single" w:sz="4" w:space="0" w:color="auto"/>
                    <w:left w:val="single" w:sz="4" w:space="0" w:color="auto"/>
                    <w:bottom w:val="single" w:sz="4" w:space="0" w:color="auto"/>
                    <w:right w:val="single" w:sz="4" w:space="0" w:color="auto"/>
                  </w:tcBorders>
                </w:tcPr>
                <w:p w:rsidR="00FF3337" w:rsidRPr="002F3C59" w:rsidRDefault="00FF3337" w:rsidP="00F31B1D">
                  <w:pPr>
                    <w:pStyle w:val="naisf"/>
                    <w:spacing w:before="0" w:after="0"/>
                    <w:ind w:firstLine="0"/>
                    <w:rPr>
                      <w:sz w:val="20"/>
                      <w:szCs w:val="20"/>
                    </w:rPr>
                  </w:pPr>
                  <w:r w:rsidRPr="002F3C59">
                    <w:rPr>
                      <w:sz w:val="20"/>
                      <w:szCs w:val="20"/>
                    </w:rPr>
                    <w:t>2000</w:t>
                  </w:r>
                </w:p>
              </w:tc>
              <w:tc>
                <w:tcPr>
                  <w:tcW w:w="2715" w:type="dxa"/>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rPr>
                      <w:sz w:val="20"/>
                      <w:szCs w:val="20"/>
                    </w:rPr>
                  </w:pPr>
                  <w:r w:rsidRPr="002F3C59">
                    <w:rPr>
                      <w:sz w:val="20"/>
                      <w:szCs w:val="20"/>
                    </w:rPr>
                    <w:t>Preces un pakalpojumi</w:t>
                  </w:r>
                </w:p>
              </w:tc>
              <w:tc>
                <w:tcPr>
                  <w:tcW w:w="1193" w:type="dxa"/>
                  <w:tcBorders>
                    <w:top w:val="single" w:sz="4" w:space="0" w:color="auto"/>
                    <w:left w:val="single" w:sz="4" w:space="0" w:color="auto"/>
                    <w:bottom w:val="single" w:sz="4" w:space="0" w:color="auto"/>
                    <w:right w:val="single" w:sz="4" w:space="0" w:color="auto"/>
                  </w:tcBorders>
                </w:tcPr>
                <w:p w:rsidR="00FF3337" w:rsidRPr="002F3C59" w:rsidRDefault="00FF3337" w:rsidP="00F31B1D">
                  <w:pPr>
                    <w:pStyle w:val="naisf"/>
                    <w:spacing w:before="0" w:after="0"/>
                    <w:ind w:firstLine="0"/>
                    <w:rPr>
                      <w:sz w:val="20"/>
                      <w:szCs w:val="20"/>
                    </w:rPr>
                  </w:pPr>
                  <w:r w:rsidRPr="002F3C59">
                    <w:rPr>
                      <w:sz w:val="20"/>
                      <w:szCs w:val="20"/>
                    </w:rPr>
                    <w:t>28,85</w:t>
                  </w:r>
                </w:p>
              </w:tc>
              <w:tc>
                <w:tcPr>
                  <w:tcW w:w="1193" w:type="dxa"/>
                  <w:tcBorders>
                    <w:top w:val="single" w:sz="4" w:space="0" w:color="auto"/>
                    <w:left w:val="single" w:sz="4" w:space="0" w:color="auto"/>
                    <w:bottom w:val="single" w:sz="4" w:space="0" w:color="auto"/>
                    <w:right w:val="single" w:sz="4" w:space="0" w:color="auto"/>
                  </w:tcBorders>
                </w:tcPr>
                <w:p w:rsidR="00FF3337" w:rsidRPr="002F3C59" w:rsidRDefault="00FF3337" w:rsidP="00C04CD3">
                  <w:pPr>
                    <w:pStyle w:val="naisf"/>
                    <w:spacing w:before="0" w:after="0"/>
                    <w:ind w:firstLine="0"/>
                    <w:rPr>
                      <w:sz w:val="20"/>
                      <w:szCs w:val="20"/>
                    </w:rPr>
                  </w:pPr>
                  <w:r w:rsidRPr="002F3C59">
                    <w:rPr>
                      <w:sz w:val="20"/>
                      <w:szCs w:val="20"/>
                    </w:rPr>
                    <w:t>147,85</w:t>
                  </w:r>
                </w:p>
              </w:tc>
            </w:tr>
            <w:tr w:rsidR="00FF3337" w:rsidRPr="002F3C59" w:rsidTr="00FC4CED">
              <w:tc>
                <w:tcPr>
                  <w:tcW w:w="1252" w:type="dxa"/>
                  <w:tcBorders>
                    <w:top w:val="single" w:sz="4" w:space="0" w:color="auto"/>
                    <w:left w:val="single" w:sz="4" w:space="0" w:color="auto"/>
                    <w:bottom w:val="single" w:sz="4" w:space="0" w:color="auto"/>
                    <w:right w:val="single" w:sz="4" w:space="0" w:color="auto"/>
                  </w:tcBorders>
                </w:tcPr>
                <w:p w:rsidR="00FF3337" w:rsidRPr="002F3C59" w:rsidRDefault="00FF3337" w:rsidP="00F31B1D">
                  <w:pPr>
                    <w:pStyle w:val="naisf"/>
                    <w:spacing w:before="0" w:after="0"/>
                    <w:ind w:firstLine="0"/>
                    <w:rPr>
                      <w:sz w:val="20"/>
                      <w:szCs w:val="20"/>
                    </w:rPr>
                  </w:pPr>
                </w:p>
              </w:tc>
              <w:tc>
                <w:tcPr>
                  <w:tcW w:w="2715" w:type="dxa"/>
                  <w:tcBorders>
                    <w:top w:val="single" w:sz="4" w:space="0" w:color="auto"/>
                    <w:left w:val="single" w:sz="4" w:space="0" w:color="auto"/>
                    <w:bottom w:val="single" w:sz="4" w:space="0" w:color="auto"/>
                    <w:right w:val="single" w:sz="4" w:space="0" w:color="auto"/>
                  </w:tcBorders>
                  <w:vAlign w:val="center"/>
                </w:tcPr>
                <w:p w:rsidR="00FF3337" w:rsidRPr="002F3C59" w:rsidRDefault="00FF3337" w:rsidP="00F31B1D">
                  <w:pPr>
                    <w:rPr>
                      <w:sz w:val="20"/>
                      <w:szCs w:val="20"/>
                    </w:rPr>
                  </w:pPr>
                </w:p>
              </w:tc>
              <w:tc>
                <w:tcPr>
                  <w:tcW w:w="1193" w:type="dxa"/>
                  <w:tcBorders>
                    <w:top w:val="single" w:sz="4" w:space="0" w:color="auto"/>
                    <w:left w:val="single" w:sz="4" w:space="0" w:color="auto"/>
                    <w:bottom w:val="single" w:sz="4" w:space="0" w:color="auto"/>
                    <w:right w:val="single" w:sz="4" w:space="0" w:color="auto"/>
                  </w:tcBorders>
                </w:tcPr>
                <w:p w:rsidR="00FF3337" w:rsidRPr="002F3C59" w:rsidRDefault="00FF3337" w:rsidP="00F31B1D">
                  <w:pPr>
                    <w:pStyle w:val="naisf"/>
                    <w:spacing w:before="0" w:after="0"/>
                    <w:ind w:firstLine="0"/>
                    <w:rPr>
                      <w:sz w:val="20"/>
                      <w:szCs w:val="20"/>
                    </w:rPr>
                  </w:pPr>
                </w:p>
              </w:tc>
              <w:tc>
                <w:tcPr>
                  <w:tcW w:w="1193" w:type="dxa"/>
                  <w:tcBorders>
                    <w:top w:val="single" w:sz="4" w:space="0" w:color="auto"/>
                    <w:left w:val="single" w:sz="4" w:space="0" w:color="auto"/>
                    <w:bottom w:val="single" w:sz="4" w:space="0" w:color="auto"/>
                    <w:right w:val="single" w:sz="4" w:space="0" w:color="auto"/>
                  </w:tcBorders>
                </w:tcPr>
                <w:p w:rsidR="00FF3337" w:rsidRPr="002F3C59" w:rsidRDefault="00FF3337" w:rsidP="00C04CD3">
                  <w:pPr>
                    <w:pStyle w:val="naisf"/>
                    <w:spacing w:before="0" w:after="0"/>
                    <w:ind w:firstLine="0"/>
                    <w:rPr>
                      <w:sz w:val="20"/>
                      <w:szCs w:val="20"/>
                    </w:rPr>
                  </w:pPr>
                </w:p>
              </w:tc>
            </w:tr>
          </w:tbl>
          <w:p w:rsidR="00FF3337" w:rsidRPr="002F3C59" w:rsidRDefault="00FF3337" w:rsidP="00F31B1D"/>
          <w:p w:rsidR="00FF3337" w:rsidRPr="002F3C59" w:rsidRDefault="00FF3337" w:rsidP="00B32FF5">
            <w:pPr>
              <w:jc w:val="both"/>
            </w:pPr>
            <w:r w:rsidRPr="002F3C59">
              <w:t>Saistībā ar izteiktajiem iebildumiem norādām aprēķinu par mājas (istabas) dzīvnieku reģistrēšanas maksas apmēru un algoto personu pienākumiem:</w:t>
            </w:r>
          </w:p>
          <w:tbl>
            <w:tblPr>
              <w:tblW w:w="6769" w:type="dxa"/>
              <w:tblLayout w:type="fixed"/>
              <w:tblLook w:val="0000"/>
            </w:tblPr>
            <w:tblGrid>
              <w:gridCol w:w="674"/>
              <w:gridCol w:w="3260"/>
              <w:gridCol w:w="1418"/>
              <w:gridCol w:w="1417"/>
            </w:tblGrid>
            <w:tr w:rsidR="00FF3337" w:rsidRPr="002F3C59" w:rsidTr="00CE5151">
              <w:trPr>
                <w:trHeight w:val="834"/>
              </w:trPr>
              <w:tc>
                <w:tcPr>
                  <w:tcW w:w="674" w:type="dxa"/>
                  <w:tcBorders>
                    <w:top w:val="single" w:sz="4" w:space="0" w:color="auto"/>
                    <w:left w:val="single" w:sz="4" w:space="0" w:color="auto"/>
                    <w:bottom w:val="single" w:sz="4" w:space="0" w:color="auto"/>
                    <w:right w:val="single" w:sz="4" w:space="0" w:color="auto"/>
                  </w:tcBorders>
                  <w:vAlign w:val="bottom"/>
                </w:tcPr>
                <w:p w:rsidR="00FF3337" w:rsidRPr="002F3C59" w:rsidRDefault="00FF3337">
                  <w:pPr>
                    <w:rPr>
                      <w:sz w:val="20"/>
                      <w:szCs w:val="20"/>
                    </w:rPr>
                  </w:pPr>
                  <w:proofErr w:type="spellStart"/>
                  <w:r w:rsidRPr="002F3C59">
                    <w:rPr>
                      <w:sz w:val="20"/>
                      <w:szCs w:val="20"/>
                    </w:rPr>
                    <w:t>Izde-vumu</w:t>
                  </w:r>
                  <w:proofErr w:type="spellEnd"/>
                  <w:r w:rsidRPr="002F3C59">
                    <w:rPr>
                      <w:sz w:val="20"/>
                      <w:szCs w:val="20"/>
                    </w:rPr>
                    <w:t xml:space="preserve"> EKK kods</w:t>
                  </w:r>
                </w:p>
              </w:tc>
              <w:tc>
                <w:tcPr>
                  <w:tcW w:w="3260" w:type="dxa"/>
                  <w:tcBorders>
                    <w:top w:val="single" w:sz="4" w:space="0" w:color="auto"/>
                    <w:left w:val="nil"/>
                    <w:bottom w:val="single" w:sz="4" w:space="0" w:color="auto"/>
                    <w:right w:val="single" w:sz="4" w:space="0" w:color="auto"/>
                  </w:tcBorders>
                  <w:vAlign w:val="bottom"/>
                </w:tcPr>
                <w:p w:rsidR="00FF3337" w:rsidRPr="002F3C59" w:rsidRDefault="00FF3337">
                  <w:pPr>
                    <w:rPr>
                      <w:sz w:val="20"/>
                      <w:szCs w:val="20"/>
                    </w:rPr>
                  </w:pPr>
                  <w:r w:rsidRPr="002F3C59">
                    <w:rPr>
                      <w:sz w:val="20"/>
                      <w:szCs w:val="20"/>
                    </w:rPr>
                    <w:t xml:space="preserve">                      Rādītājs/koda nosaukums</w:t>
                  </w:r>
                </w:p>
              </w:tc>
              <w:tc>
                <w:tcPr>
                  <w:tcW w:w="1418" w:type="dxa"/>
                  <w:tcBorders>
                    <w:top w:val="single" w:sz="4" w:space="0" w:color="auto"/>
                    <w:left w:val="nil"/>
                    <w:bottom w:val="single" w:sz="4" w:space="0" w:color="auto"/>
                    <w:right w:val="single" w:sz="4" w:space="0" w:color="auto"/>
                  </w:tcBorders>
                  <w:vAlign w:val="bottom"/>
                </w:tcPr>
                <w:p w:rsidR="00FF3337" w:rsidRPr="002F3C59" w:rsidRDefault="00FF3337">
                  <w:pPr>
                    <w:rPr>
                      <w:sz w:val="20"/>
                      <w:szCs w:val="20"/>
                    </w:rPr>
                  </w:pPr>
                  <w:r w:rsidRPr="002F3C59">
                    <w:rPr>
                      <w:sz w:val="20"/>
                      <w:szCs w:val="20"/>
                    </w:rPr>
                    <w:t>Izmaksu apmērs (Ls) par vienu mājdzīvnieku</w:t>
                  </w:r>
                </w:p>
              </w:tc>
              <w:tc>
                <w:tcPr>
                  <w:tcW w:w="1417" w:type="dxa"/>
                  <w:tcBorders>
                    <w:top w:val="single" w:sz="4" w:space="0" w:color="auto"/>
                    <w:left w:val="nil"/>
                    <w:bottom w:val="single" w:sz="4" w:space="0" w:color="auto"/>
                    <w:right w:val="single" w:sz="4" w:space="0" w:color="auto"/>
                  </w:tcBorders>
                  <w:vAlign w:val="bottom"/>
                </w:tcPr>
                <w:p w:rsidR="00FF3337" w:rsidRPr="002F3C59" w:rsidRDefault="00FF3337">
                  <w:pPr>
                    <w:rPr>
                      <w:sz w:val="20"/>
                      <w:szCs w:val="20"/>
                    </w:rPr>
                  </w:pPr>
                  <w:r w:rsidRPr="002F3C59">
                    <w:rPr>
                      <w:sz w:val="20"/>
                      <w:szCs w:val="20"/>
                    </w:rPr>
                    <w:t>Izmaksu apmērs (Ls) par 16 000 mājdzīvnieku</w:t>
                  </w:r>
                </w:p>
              </w:tc>
            </w:tr>
            <w:tr w:rsidR="00FF3337" w:rsidRPr="002F3C59" w:rsidTr="006C7BF3">
              <w:trPr>
                <w:trHeight w:val="315"/>
              </w:trPr>
              <w:tc>
                <w:tcPr>
                  <w:tcW w:w="674" w:type="dxa"/>
                  <w:tcBorders>
                    <w:top w:val="nil"/>
                    <w:left w:val="single" w:sz="4" w:space="0" w:color="auto"/>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 </w:t>
                  </w:r>
                </w:p>
              </w:tc>
              <w:tc>
                <w:tcPr>
                  <w:tcW w:w="3260" w:type="dxa"/>
                  <w:tcBorders>
                    <w:top w:val="nil"/>
                    <w:left w:val="nil"/>
                    <w:bottom w:val="single" w:sz="4" w:space="0" w:color="auto"/>
                    <w:right w:val="single" w:sz="4" w:space="0" w:color="auto"/>
                  </w:tcBorders>
                  <w:noWrap/>
                  <w:vAlign w:val="bottom"/>
                </w:tcPr>
                <w:p w:rsidR="00FF3337" w:rsidRPr="002F3C59" w:rsidRDefault="00FF3337">
                  <w:pPr>
                    <w:rPr>
                      <w:b/>
                      <w:bCs/>
                      <w:sz w:val="20"/>
                      <w:szCs w:val="20"/>
                      <w:u w:val="single"/>
                    </w:rPr>
                  </w:pPr>
                  <w:r w:rsidRPr="002F3C59">
                    <w:rPr>
                      <w:b/>
                      <w:bCs/>
                      <w:sz w:val="20"/>
                      <w:szCs w:val="20"/>
                      <w:u w:val="single"/>
                    </w:rPr>
                    <w:t>Tiešās izmaksas:</w:t>
                  </w:r>
                </w:p>
              </w:tc>
              <w:tc>
                <w:tcPr>
                  <w:tcW w:w="1418" w:type="dxa"/>
                  <w:tcBorders>
                    <w:top w:val="nil"/>
                    <w:left w:val="nil"/>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 </w:t>
                  </w:r>
                </w:p>
              </w:tc>
              <w:tc>
                <w:tcPr>
                  <w:tcW w:w="1417" w:type="dxa"/>
                  <w:tcBorders>
                    <w:top w:val="nil"/>
                    <w:left w:val="nil"/>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 </w:t>
                  </w:r>
                </w:p>
              </w:tc>
            </w:tr>
            <w:tr w:rsidR="00FF3337" w:rsidRPr="002F3C59" w:rsidTr="006C7BF3">
              <w:trPr>
                <w:trHeight w:val="960"/>
              </w:trPr>
              <w:tc>
                <w:tcPr>
                  <w:tcW w:w="674" w:type="dxa"/>
                  <w:tcBorders>
                    <w:top w:val="nil"/>
                    <w:left w:val="single" w:sz="4" w:space="0" w:color="auto"/>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1119</w:t>
                  </w:r>
                </w:p>
              </w:tc>
              <w:tc>
                <w:tcPr>
                  <w:tcW w:w="3260" w:type="dxa"/>
                  <w:tcBorders>
                    <w:top w:val="nil"/>
                    <w:left w:val="nil"/>
                    <w:bottom w:val="single" w:sz="4" w:space="0" w:color="auto"/>
                    <w:right w:val="single" w:sz="4" w:space="0" w:color="auto"/>
                  </w:tcBorders>
                  <w:vAlign w:val="bottom"/>
                </w:tcPr>
                <w:p w:rsidR="00FF3337" w:rsidRPr="002F3C59" w:rsidRDefault="00FF3337">
                  <w:pPr>
                    <w:rPr>
                      <w:sz w:val="20"/>
                      <w:szCs w:val="20"/>
                    </w:rPr>
                  </w:pPr>
                  <w:r w:rsidRPr="002F3C59">
                    <w:rPr>
                      <w:sz w:val="20"/>
                      <w:szCs w:val="20"/>
                    </w:rPr>
                    <w:t>Atalgojums (sistēmas administrators 0,15 st. x Ls 4,75 = Ls 0,71, datubāzes administrators 0.12 st. x Ls 3.94 = Ls 0,47 Ls, vadošais speciālists 0.25 st. x Ls 2,97 = Ls 0,74)</w:t>
                  </w:r>
                </w:p>
              </w:tc>
              <w:tc>
                <w:tcPr>
                  <w:tcW w:w="1418" w:type="dxa"/>
                  <w:tcBorders>
                    <w:top w:val="nil"/>
                    <w:left w:val="nil"/>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1,92</w:t>
                  </w:r>
                </w:p>
              </w:tc>
              <w:tc>
                <w:tcPr>
                  <w:tcW w:w="1417" w:type="dxa"/>
                  <w:tcBorders>
                    <w:top w:val="nil"/>
                    <w:left w:val="nil"/>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30 720</w:t>
                  </w:r>
                </w:p>
              </w:tc>
            </w:tr>
            <w:tr w:rsidR="00FF3337" w:rsidRPr="002F3C59" w:rsidTr="006C7BF3">
              <w:trPr>
                <w:trHeight w:val="295"/>
              </w:trPr>
              <w:tc>
                <w:tcPr>
                  <w:tcW w:w="674" w:type="dxa"/>
                  <w:tcBorders>
                    <w:top w:val="nil"/>
                    <w:left w:val="single" w:sz="4" w:space="0" w:color="auto"/>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1210</w:t>
                  </w:r>
                </w:p>
              </w:tc>
              <w:tc>
                <w:tcPr>
                  <w:tcW w:w="3260" w:type="dxa"/>
                  <w:tcBorders>
                    <w:top w:val="nil"/>
                    <w:left w:val="nil"/>
                    <w:bottom w:val="single" w:sz="4" w:space="0" w:color="auto"/>
                    <w:right w:val="single" w:sz="4" w:space="0" w:color="auto"/>
                  </w:tcBorders>
                  <w:vAlign w:val="bottom"/>
                </w:tcPr>
                <w:p w:rsidR="00FF3337" w:rsidRPr="002F3C59" w:rsidRDefault="00FF3337">
                  <w:pPr>
                    <w:rPr>
                      <w:sz w:val="20"/>
                      <w:szCs w:val="20"/>
                    </w:rPr>
                  </w:pPr>
                  <w:r w:rsidRPr="002F3C59">
                    <w:rPr>
                      <w:sz w:val="20"/>
                      <w:szCs w:val="20"/>
                    </w:rPr>
                    <w:t>Valsts sociālās apdrošināšanas obligātās iemaksas 24,09%</w:t>
                  </w:r>
                </w:p>
              </w:tc>
              <w:tc>
                <w:tcPr>
                  <w:tcW w:w="1418" w:type="dxa"/>
                  <w:tcBorders>
                    <w:top w:val="nil"/>
                    <w:left w:val="nil"/>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0,46</w:t>
                  </w:r>
                </w:p>
              </w:tc>
              <w:tc>
                <w:tcPr>
                  <w:tcW w:w="1417" w:type="dxa"/>
                  <w:tcBorders>
                    <w:top w:val="nil"/>
                    <w:left w:val="nil"/>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7360</w:t>
                  </w:r>
                </w:p>
              </w:tc>
            </w:tr>
            <w:tr w:rsidR="00FF3337" w:rsidRPr="002F3C59" w:rsidTr="006C7BF3">
              <w:trPr>
                <w:trHeight w:val="112"/>
              </w:trPr>
              <w:tc>
                <w:tcPr>
                  <w:tcW w:w="674" w:type="dxa"/>
                  <w:tcBorders>
                    <w:top w:val="nil"/>
                    <w:left w:val="single" w:sz="4" w:space="0" w:color="auto"/>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2251</w:t>
                  </w:r>
                </w:p>
              </w:tc>
              <w:tc>
                <w:tcPr>
                  <w:tcW w:w="3260" w:type="dxa"/>
                  <w:tcBorders>
                    <w:top w:val="nil"/>
                    <w:left w:val="nil"/>
                    <w:bottom w:val="single" w:sz="4" w:space="0" w:color="auto"/>
                    <w:right w:val="single" w:sz="4" w:space="0" w:color="auto"/>
                  </w:tcBorders>
                  <w:vAlign w:val="bottom"/>
                </w:tcPr>
                <w:p w:rsidR="00FF3337" w:rsidRPr="002F3C59" w:rsidRDefault="00FF3337">
                  <w:pPr>
                    <w:rPr>
                      <w:sz w:val="20"/>
                      <w:szCs w:val="20"/>
                    </w:rPr>
                  </w:pPr>
                  <w:r w:rsidRPr="002F3C59">
                    <w:rPr>
                      <w:sz w:val="20"/>
                      <w:szCs w:val="20"/>
                    </w:rPr>
                    <w:t xml:space="preserve">Datubāzes uzturēšana </w:t>
                  </w:r>
                </w:p>
              </w:tc>
              <w:tc>
                <w:tcPr>
                  <w:tcW w:w="1418" w:type="dxa"/>
                  <w:tcBorders>
                    <w:top w:val="nil"/>
                    <w:left w:val="nil"/>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1,89</w:t>
                  </w:r>
                </w:p>
              </w:tc>
              <w:tc>
                <w:tcPr>
                  <w:tcW w:w="1417" w:type="dxa"/>
                  <w:tcBorders>
                    <w:top w:val="nil"/>
                    <w:left w:val="nil"/>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30 240</w:t>
                  </w:r>
                </w:p>
              </w:tc>
            </w:tr>
            <w:tr w:rsidR="00FF3337" w:rsidRPr="002F3C59" w:rsidTr="006C7BF3">
              <w:trPr>
                <w:trHeight w:val="129"/>
              </w:trPr>
              <w:tc>
                <w:tcPr>
                  <w:tcW w:w="674" w:type="dxa"/>
                  <w:tcBorders>
                    <w:top w:val="nil"/>
                    <w:left w:val="single" w:sz="4" w:space="0" w:color="auto"/>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2219</w:t>
                  </w:r>
                </w:p>
              </w:tc>
              <w:tc>
                <w:tcPr>
                  <w:tcW w:w="3260" w:type="dxa"/>
                  <w:tcBorders>
                    <w:top w:val="nil"/>
                    <w:left w:val="nil"/>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Sakaru pakalpojumi</w:t>
                  </w:r>
                </w:p>
              </w:tc>
              <w:tc>
                <w:tcPr>
                  <w:tcW w:w="1418" w:type="dxa"/>
                  <w:tcBorders>
                    <w:top w:val="nil"/>
                    <w:left w:val="nil"/>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0,29</w:t>
                  </w:r>
                </w:p>
              </w:tc>
              <w:tc>
                <w:tcPr>
                  <w:tcW w:w="1417" w:type="dxa"/>
                  <w:tcBorders>
                    <w:top w:val="nil"/>
                    <w:left w:val="nil"/>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4640</w:t>
                  </w:r>
                </w:p>
              </w:tc>
            </w:tr>
            <w:tr w:rsidR="00FF3337" w:rsidRPr="002F3C59" w:rsidTr="006C7BF3">
              <w:trPr>
                <w:trHeight w:val="143"/>
              </w:trPr>
              <w:tc>
                <w:tcPr>
                  <w:tcW w:w="674" w:type="dxa"/>
                  <w:tcBorders>
                    <w:top w:val="nil"/>
                    <w:left w:val="single" w:sz="4" w:space="0" w:color="auto"/>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lastRenderedPageBreak/>
                    <w:t> </w:t>
                  </w:r>
                </w:p>
              </w:tc>
              <w:tc>
                <w:tcPr>
                  <w:tcW w:w="3260" w:type="dxa"/>
                  <w:tcBorders>
                    <w:top w:val="nil"/>
                    <w:left w:val="nil"/>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Kopā:</w:t>
                  </w:r>
                </w:p>
              </w:tc>
              <w:tc>
                <w:tcPr>
                  <w:tcW w:w="1418" w:type="dxa"/>
                  <w:tcBorders>
                    <w:top w:val="nil"/>
                    <w:left w:val="nil"/>
                    <w:bottom w:val="single" w:sz="4" w:space="0" w:color="auto"/>
                    <w:right w:val="single" w:sz="4" w:space="0" w:color="auto"/>
                  </w:tcBorders>
                  <w:noWrap/>
                  <w:vAlign w:val="bottom"/>
                </w:tcPr>
                <w:p w:rsidR="00FF3337" w:rsidRPr="002F3C59" w:rsidRDefault="00FF3337">
                  <w:pPr>
                    <w:jc w:val="right"/>
                    <w:rPr>
                      <w:b/>
                      <w:bCs/>
                      <w:sz w:val="20"/>
                      <w:szCs w:val="20"/>
                    </w:rPr>
                  </w:pPr>
                  <w:r w:rsidRPr="002F3C59">
                    <w:rPr>
                      <w:b/>
                      <w:bCs/>
                      <w:sz w:val="20"/>
                      <w:szCs w:val="20"/>
                    </w:rPr>
                    <w:t>4,56</w:t>
                  </w:r>
                </w:p>
              </w:tc>
              <w:tc>
                <w:tcPr>
                  <w:tcW w:w="1417" w:type="dxa"/>
                  <w:tcBorders>
                    <w:top w:val="nil"/>
                    <w:left w:val="nil"/>
                    <w:bottom w:val="single" w:sz="4" w:space="0" w:color="auto"/>
                    <w:right w:val="single" w:sz="4" w:space="0" w:color="auto"/>
                  </w:tcBorders>
                  <w:noWrap/>
                  <w:vAlign w:val="bottom"/>
                </w:tcPr>
                <w:p w:rsidR="00FF3337" w:rsidRPr="002F3C59" w:rsidRDefault="00FF3337">
                  <w:pPr>
                    <w:jc w:val="right"/>
                    <w:rPr>
                      <w:b/>
                      <w:bCs/>
                      <w:sz w:val="20"/>
                      <w:szCs w:val="20"/>
                    </w:rPr>
                  </w:pPr>
                  <w:r w:rsidRPr="002F3C59">
                    <w:rPr>
                      <w:b/>
                      <w:bCs/>
                      <w:sz w:val="20"/>
                      <w:szCs w:val="20"/>
                    </w:rPr>
                    <w:t>72 960</w:t>
                  </w:r>
                </w:p>
              </w:tc>
            </w:tr>
            <w:tr w:rsidR="00FF3337" w:rsidRPr="002F3C59" w:rsidTr="006C7BF3">
              <w:trPr>
                <w:trHeight w:val="189"/>
              </w:trPr>
              <w:tc>
                <w:tcPr>
                  <w:tcW w:w="674" w:type="dxa"/>
                  <w:tcBorders>
                    <w:top w:val="nil"/>
                    <w:left w:val="single" w:sz="4" w:space="0" w:color="auto"/>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 </w:t>
                  </w:r>
                </w:p>
              </w:tc>
              <w:tc>
                <w:tcPr>
                  <w:tcW w:w="3260" w:type="dxa"/>
                  <w:tcBorders>
                    <w:top w:val="nil"/>
                    <w:left w:val="nil"/>
                    <w:bottom w:val="single" w:sz="4" w:space="0" w:color="auto"/>
                    <w:right w:val="single" w:sz="4" w:space="0" w:color="auto"/>
                  </w:tcBorders>
                  <w:noWrap/>
                  <w:vAlign w:val="bottom"/>
                </w:tcPr>
                <w:p w:rsidR="00FF3337" w:rsidRPr="002F3C59" w:rsidRDefault="00FF3337">
                  <w:pPr>
                    <w:rPr>
                      <w:b/>
                      <w:bCs/>
                      <w:sz w:val="20"/>
                      <w:szCs w:val="20"/>
                      <w:u w:val="single"/>
                    </w:rPr>
                  </w:pPr>
                  <w:r w:rsidRPr="002F3C59">
                    <w:rPr>
                      <w:b/>
                      <w:bCs/>
                      <w:sz w:val="20"/>
                      <w:szCs w:val="20"/>
                      <w:u w:val="single"/>
                    </w:rPr>
                    <w:t>Netiešās izmaksas:</w:t>
                  </w:r>
                </w:p>
              </w:tc>
              <w:tc>
                <w:tcPr>
                  <w:tcW w:w="1418" w:type="dxa"/>
                  <w:tcBorders>
                    <w:top w:val="nil"/>
                    <w:left w:val="nil"/>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 </w:t>
                  </w:r>
                </w:p>
              </w:tc>
              <w:tc>
                <w:tcPr>
                  <w:tcW w:w="1417" w:type="dxa"/>
                  <w:tcBorders>
                    <w:top w:val="nil"/>
                    <w:left w:val="nil"/>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 </w:t>
                  </w:r>
                </w:p>
              </w:tc>
            </w:tr>
            <w:tr w:rsidR="00FF3337" w:rsidRPr="002F3C59" w:rsidTr="006C7BF3">
              <w:trPr>
                <w:trHeight w:val="235"/>
              </w:trPr>
              <w:tc>
                <w:tcPr>
                  <w:tcW w:w="674" w:type="dxa"/>
                  <w:tcBorders>
                    <w:top w:val="nil"/>
                    <w:left w:val="single" w:sz="4" w:space="0" w:color="auto"/>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2239</w:t>
                  </w:r>
                </w:p>
              </w:tc>
              <w:tc>
                <w:tcPr>
                  <w:tcW w:w="3260" w:type="dxa"/>
                  <w:tcBorders>
                    <w:top w:val="nil"/>
                    <w:left w:val="nil"/>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Administratīvie izdevumi</w:t>
                  </w:r>
                </w:p>
              </w:tc>
              <w:tc>
                <w:tcPr>
                  <w:tcW w:w="1418" w:type="dxa"/>
                  <w:tcBorders>
                    <w:top w:val="nil"/>
                    <w:left w:val="nil"/>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0,04</w:t>
                  </w:r>
                </w:p>
              </w:tc>
              <w:tc>
                <w:tcPr>
                  <w:tcW w:w="1417" w:type="dxa"/>
                  <w:tcBorders>
                    <w:top w:val="nil"/>
                    <w:left w:val="nil"/>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640</w:t>
                  </w:r>
                </w:p>
              </w:tc>
            </w:tr>
            <w:tr w:rsidR="00FF3337" w:rsidRPr="002F3C59" w:rsidTr="006C7BF3">
              <w:trPr>
                <w:trHeight w:val="423"/>
              </w:trPr>
              <w:tc>
                <w:tcPr>
                  <w:tcW w:w="674" w:type="dxa"/>
                  <w:tcBorders>
                    <w:top w:val="nil"/>
                    <w:left w:val="single" w:sz="4" w:space="0" w:color="auto"/>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2243</w:t>
                  </w:r>
                </w:p>
              </w:tc>
              <w:tc>
                <w:tcPr>
                  <w:tcW w:w="3260" w:type="dxa"/>
                  <w:tcBorders>
                    <w:top w:val="nil"/>
                    <w:left w:val="nil"/>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Iekārtas, inventāra un aparatūras remonts</w:t>
                  </w:r>
                </w:p>
              </w:tc>
              <w:tc>
                <w:tcPr>
                  <w:tcW w:w="1418" w:type="dxa"/>
                  <w:tcBorders>
                    <w:top w:val="nil"/>
                    <w:left w:val="nil"/>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0,01</w:t>
                  </w:r>
                </w:p>
              </w:tc>
              <w:tc>
                <w:tcPr>
                  <w:tcW w:w="1417" w:type="dxa"/>
                  <w:tcBorders>
                    <w:top w:val="nil"/>
                    <w:left w:val="nil"/>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160</w:t>
                  </w:r>
                </w:p>
              </w:tc>
            </w:tr>
            <w:tr w:rsidR="00FF3337" w:rsidRPr="002F3C59" w:rsidTr="006C7BF3">
              <w:trPr>
                <w:trHeight w:val="231"/>
              </w:trPr>
              <w:tc>
                <w:tcPr>
                  <w:tcW w:w="674" w:type="dxa"/>
                  <w:tcBorders>
                    <w:top w:val="nil"/>
                    <w:left w:val="single" w:sz="4" w:space="0" w:color="auto"/>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2244</w:t>
                  </w:r>
                </w:p>
              </w:tc>
              <w:tc>
                <w:tcPr>
                  <w:tcW w:w="3260" w:type="dxa"/>
                  <w:tcBorders>
                    <w:top w:val="nil"/>
                    <w:left w:val="nil"/>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Ēku un telpu uzturēšana</w:t>
                  </w:r>
                </w:p>
              </w:tc>
              <w:tc>
                <w:tcPr>
                  <w:tcW w:w="1418" w:type="dxa"/>
                  <w:tcBorders>
                    <w:top w:val="nil"/>
                    <w:left w:val="nil"/>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0,10</w:t>
                  </w:r>
                </w:p>
              </w:tc>
              <w:tc>
                <w:tcPr>
                  <w:tcW w:w="1417" w:type="dxa"/>
                  <w:tcBorders>
                    <w:top w:val="nil"/>
                    <w:left w:val="nil"/>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1600</w:t>
                  </w:r>
                </w:p>
              </w:tc>
            </w:tr>
            <w:tr w:rsidR="00FF3337" w:rsidRPr="002F3C59" w:rsidTr="006C7BF3">
              <w:trPr>
                <w:trHeight w:val="264"/>
              </w:trPr>
              <w:tc>
                <w:tcPr>
                  <w:tcW w:w="674" w:type="dxa"/>
                  <w:tcBorders>
                    <w:top w:val="nil"/>
                    <w:left w:val="single" w:sz="4" w:space="0" w:color="auto"/>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2311</w:t>
                  </w:r>
                </w:p>
              </w:tc>
              <w:tc>
                <w:tcPr>
                  <w:tcW w:w="3260" w:type="dxa"/>
                  <w:tcBorders>
                    <w:top w:val="nil"/>
                    <w:left w:val="nil"/>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Biroja preces</w:t>
                  </w:r>
                </w:p>
              </w:tc>
              <w:tc>
                <w:tcPr>
                  <w:tcW w:w="1418" w:type="dxa"/>
                  <w:tcBorders>
                    <w:top w:val="nil"/>
                    <w:left w:val="nil"/>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0,05</w:t>
                  </w:r>
                </w:p>
              </w:tc>
              <w:tc>
                <w:tcPr>
                  <w:tcW w:w="1417" w:type="dxa"/>
                  <w:tcBorders>
                    <w:top w:val="nil"/>
                    <w:left w:val="nil"/>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800</w:t>
                  </w:r>
                </w:p>
              </w:tc>
            </w:tr>
            <w:tr w:rsidR="00FF3337" w:rsidRPr="002F3C59" w:rsidTr="006C7BF3">
              <w:trPr>
                <w:trHeight w:val="281"/>
              </w:trPr>
              <w:tc>
                <w:tcPr>
                  <w:tcW w:w="674" w:type="dxa"/>
                  <w:tcBorders>
                    <w:top w:val="nil"/>
                    <w:left w:val="single" w:sz="4" w:space="0" w:color="auto"/>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2261</w:t>
                  </w:r>
                </w:p>
              </w:tc>
              <w:tc>
                <w:tcPr>
                  <w:tcW w:w="3260" w:type="dxa"/>
                  <w:tcBorders>
                    <w:top w:val="nil"/>
                    <w:left w:val="nil"/>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Telpu īre</w:t>
                  </w:r>
                </w:p>
              </w:tc>
              <w:tc>
                <w:tcPr>
                  <w:tcW w:w="1418" w:type="dxa"/>
                  <w:tcBorders>
                    <w:top w:val="nil"/>
                    <w:left w:val="nil"/>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0,24</w:t>
                  </w:r>
                </w:p>
              </w:tc>
              <w:tc>
                <w:tcPr>
                  <w:tcW w:w="1417" w:type="dxa"/>
                  <w:tcBorders>
                    <w:top w:val="nil"/>
                    <w:left w:val="nil"/>
                    <w:bottom w:val="single" w:sz="4" w:space="0" w:color="auto"/>
                    <w:right w:val="single" w:sz="4" w:space="0" w:color="auto"/>
                  </w:tcBorders>
                  <w:noWrap/>
                  <w:vAlign w:val="bottom"/>
                </w:tcPr>
                <w:p w:rsidR="00FF3337" w:rsidRPr="002F3C59" w:rsidRDefault="00FF3337">
                  <w:pPr>
                    <w:jc w:val="right"/>
                    <w:rPr>
                      <w:sz w:val="20"/>
                      <w:szCs w:val="20"/>
                    </w:rPr>
                  </w:pPr>
                  <w:r w:rsidRPr="002F3C59">
                    <w:rPr>
                      <w:sz w:val="20"/>
                      <w:szCs w:val="20"/>
                    </w:rPr>
                    <w:t>3840</w:t>
                  </w:r>
                </w:p>
              </w:tc>
            </w:tr>
            <w:tr w:rsidR="00FF3337" w:rsidRPr="002F3C59" w:rsidTr="006C7BF3">
              <w:trPr>
                <w:trHeight w:val="129"/>
              </w:trPr>
              <w:tc>
                <w:tcPr>
                  <w:tcW w:w="674" w:type="dxa"/>
                  <w:tcBorders>
                    <w:top w:val="nil"/>
                    <w:left w:val="single" w:sz="4" w:space="0" w:color="auto"/>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 </w:t>
                  </w:r>
                </w:p>
              </w:tc>
              <w:tc>
                <w:tcPr>
                  <w:tcW w:w="3260" w:type="dxa"/>
                  <w:tcBorders>
                    <w:top w:val="nil"/>
                    <w:left w:val="nil"/>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Kopā:</w:t>
                  </w:r>
                </w:p>
              </w:tc>
              <w:tc>
                <w:tcPr>
                  <w:tcW w:w="1418" w:type="dxa"/>
                  <w:tcBorders>
                    <w:top w:val="nil"/>
                    <w:left w:val="nil"/>
                    <w:bottom w:val="single" w:sz="4" w:space="0" w:color="auto"/>
                    <w:right w:val="single" w:sz="4" w:space="0" w:color="auto"/>
                  </w:tcBorders>
                  <w:noWrap/>
                  <w:vAlign w:val="bottom"/>
                </w:tcPr>
                <w:p w:rsidR="00FF3337" w:rsidRPr="002F3C59" w:rsidRDefault="00FF3337">
                  <w:pPr>
                    <w:jc w:val="right"/>
                    <w:rPr>
                      <w:b/>
                      <w:bCs/>
                      <w:sz w:val="20"/>
                      <w:szCs w:val="20"/>
                    </w:rPr>
                  </w:pPr>
                  <w:r w:rsidRPr="002F3C59">
                    <w:rPr>
                      <w:b/>
                      <w:bCs/>
                      <w:sz w:val="20"/>
                      <w:szCs w:val="20"/>
                    </w:rPr>
                    <w:t>0,44</w:t>
                  </w:r>
                </w:p>
              </w:tc>
              <w:tc>
                <w:tcPr>
                  <w:tcW w:w="1417" w:type="dxa"/>
                  <w:tcBorders>
                    <w:top w:val="nil"/>
                    <w:left w:val="nil"/>
                    <w:bottom w:val="single" w:sz="4" w:space="0" w:color="auto"/>
                    <w:right w:val="single" w:sz="4" w:space="0" w:color="auto"/>
                  </w:tcBorders>
                  <w:noWrap/>
                  <w:vAlign w:val="bottom"/>
                </w:tcPr>
                <w:p w:rsidR="00FF3337" w:rsidRPr="002F3C59" w:rsidRDefault="00FF3337">
                  <w:pPr>
                    <w:jc w:val="right"/>
                    <w:rPr>
                      <w:b/>
                      <w:bCs/>
                      <w:sz w:val="20"/>
                      <w:szCs w:val="20"/>
                    </w:rPr>
                  </w:pPr>
                  <w:r w:rsidRPr="002F3C59">
                    <w:rPr>
                      <w:b/>
                      <w:bCs/>
                      <w:sz w:val="20"/>
                      <w:szCs w:val="20"/>
                    </w:rPr>
                    <w:t>7040,00</w:t>
                  </w:r>
                </w:p>
              </w:tc>
            </w:tr>
            <w:tr w:rsidR="00FF3337" w:rsidRPr="002F3C59" w:rsidTr="006C7BF3">
              <w:trPr>
                <w:trHeight w:val="175"/>
              </w:trPr>
              <w:tc>
                <w:tcPr>
                  <w:tcW w:w="674" w:type="dxa"/>
                  <w:tcBorders>
                    <w:top w:val="nil"/>
                    <w:left w:val="single" w:sz="4" w:space="0" w:color="auto"/>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 </w:t>
                  </w:r>
                </w:p>
              </w:tc>
              <w:tc>
                <w:tcPr>
                  <w:tcW w:w="3260" w:type="dxa"/>
                  <w:tcBorders>
                    <w:top w:val="nil"/>
                    <w:left w:val="nil"/>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Kopā tiešās un netiešās izmaksas</w:t>
                  </w:r>
                </w:p>
              </w:tc>
              <w:tc>
                <w:tcPr>
                  <w:tcW w:w="1418" w:type="dxa"/>
                  <w:tcBorders>
                    <w:top w:val="nil"/>
                    <w:left w:val="nil"/>
                    <w:bottom w:val="single" w:sz="4" w:space="0" w:color="auto"/>
                    <w:right w:val="single" w:sz="4" w:space="0" w:color="auto"/>
                  </w:tcBorders>
                  <w:noWrap/>
                  <w:vAlign w:val="bottom"/>
                </w:tcPr>
                <w:p w:rsidR="00FF3337" w:rsidRPr="002F3C59" w:rsidRDefault="00FF3337">
                  <w:pPr>
                    <w:jc w:val="right"/>
                    <w:rPr>
                      <w:b/>
                      <w:bCs/>
                      <w:sz w:val="20"/>
                      <w:szCs w:val="20"/>
                    </w:rPr>
                  </w:pPr>
                  <w:r w:rsidRPr="002F3C59">
                    <w:rPr>
                      <w:b/>
                      <w:bCs/>
                      <w:sz w:val="20"/>
                      <w:szCs w:val="20"/>
                    </w:rPr>
                    <w:t>5,00</w:t>
                  </w:r>
                </w:p>
              </w:tc>
              <w:tc>
                <w:tcPr>
                  <w:tcW w:w="1417" w:type="dxa"/>
                  <w:tcBorders>
                    <w:top w:val="nil"/>
                    <w:left w:val="nil"/>
                    <w:bottom w:val="single" w:sz="4" w:space="0" w:color="auto"/>
                    <w:right w:val="single" w:sz="4" w:space="0" w:color="auto"/>
                  </w:tcBorders>
                  <w:noWrap/>
                  <w:vAlign w:val="bottom"/>
                </w:tcPr>
                <w:p w:rsidR="00FF3337" w:rsidRPr="002F3C59" w:rsidRDefault="00FF3337">
                  <w:pPr>
                    <w:jc w:val="right"/>
                    <w:rPr>
                      <w:b/>
                      <w:bCs/>
                      <w:sz w:val="20"/>
                      <w:szCs w:val="20"/>
                    </w:rPr>
                  </w:pPr>
                  <w:r w:rsidRPr="002F3C59">
                    <w:rPr>
                      <w:b/>
                      <w:bCs/>
                      <w:sz w:val="20"/>
                      <w:szCs w:val="20"/>
                    </w:rPr>
                    <w:t>80 000,00</w:t>
                  </w:r>
                </w:p>
              </w:tc>
            </w:tr>
            <w:tr w:rsidR="00FF3337" w:rsidRPr="002F3C59" w:rsidTr="006C7BF3">
              <w:trPr>
                <w:trHeight w:val="221"/>
              </w:trPr>
              <w:tc>
                <w:tcPr>
                  <w:tcW w:w="674" w:type="dxa"/>
                  <w:tcBorders>
                    <w:top w:val="nil"/>
                    <w:left w:val="single" w:sz="4" w:space="0" w:color="auto"/>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 </w:t>
                  </w:r>
                </w:p>
              </w:tc>
              <w:tc>
                <w:tcPr>
                  <w:tcW w:w="3260" w:type="dxa"/>
                  <w:tcBorders>
                    <w:top w:val="nil"/>
                    <w:left w:val="nil"/>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PVN 22%</w:t>
                  </w:r>
                </w:p>
              </w:tc>
              <w:tc>
                <w:tcPr>
                  <w:tcW w:w="1418" w:type="dxa"/>
                  <w:tcBorders>
                    <w:top w:val="nil"/>
                    <w:left w:val="nil"/>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neapliek</w:t>
                  </w:r>
                </w:p>
              </w:tc>
              <w:tc>
                <w:tcPr>
                  <w:tcW w:w="1417" w:type="dxa"/>
                  <w:tcBorders>
                    <w:top w:val="nil"/>
                    <w:left w:val="nil"/>
                    <w:bottom w:val="single" w:sz="4" w:space="0" w:color="auto"/>
                    <w:right w:val="single" w:sz="4" w:space="0" w:color="auto"/>
                  </w:tcBorders>
                  <w:noWrap/>
                  <w:vAlign w:val="bottom"/>
                </w:tcPr>
                <w:p w:rsidR="00FF3337" w:rsidRPr="002F3C59" w:rsidRDefault="00FF3337">
                  <w:pPr>
                    <w:rPr>
                      <w:sz w:val="20"/>
                      <w:szCs w:val="20"/>
                    </w:rPr>
                  </w:pPr>
                  <w:r w:rsidRPr="002F3C59">
                    <w:rPr>
                      <w:sz w:val="20"/>
                      <w:szCs w:val="20"/>
                    </w:rPr>
                    <w:t>neapliek</w:t>
                  </w:r>
                </w:p>
              </w:tc>
            </w:tr>
            <w:tr w:rsidR="00FF3337" w:rsidRPr="002F3C59" w:rsidTr="006C7BF3">
              <w:trPr>
                <w:trHeight w:val="125"/>
              </w:trPr>
              <w:tc>
                <w:tcPr>
                  <w:tcW w:w="674" w:type="dxa"/>
                  <w:tcBorders>
                    <w:top w:val="nil"/>
                    <w:left w:val="single" w:sz="4" w:space="0" w:color="auto"/>
                    <w:bottom w:val="single" w:sz="4" w:space="0" w:color="auto"/>
                    <w:right w:val="single" w:sz="4" w:space="0" w:color="auto"/>
                  </w:tcBorders>
                  <w:noWrap/>
                  <w:vAlign w:val="bottom"/>
                </w:tcPr>
                <w:p w:rsidR="00FF3337" w:rsidRPr="002F3C59" w:rsidRDefault="00FF3337">
                  <w:pPr>
                    <w:rPr>
                      <w:b/>
                      <w:bCs/>
                      <w:sz w:val="20"/>
                      <w:szCs w:val="20"/>
                    </w:rPr>
                  </w:pPr>
                  <w:r w:rsidRPr="002F3C59">
                    <w:rPr>
                      <w:b/>
                      <w:bCs/>
                      <w:sz w:val="20"/>
                      <w:szCs w:val="20"/>
                    </w:rPr>
                    <w:t> </w:t>
                  </w:r>
                </w:p>
              </w:tc>
              <w:tc>
                <w:tcPr>
                  <w:tcW w:w="3260" w:type="dxa"/>
                  <w:tcBorders>
                    <w:top w:val="nil"/>
                    <w:left w:val="nil"/>
                    <w:bottom w:val="single" w:sz="4" w:space="0" w:color="auto"/>
                    <w:right w:val="nil"/>
                  </w:tcBorders>
                  <w:noWrap/>
                  <w:vAlign w:val="bottom"/>
                </w:tcPr>
                <w:p w:rsidR="00FF3337" w:rsidRPr="002F3C59" w:rsidRDefault="00FF3337">
                  <w:pPr>
                    <w:rPr>
                      <w:sz w:val="20"/>
                      <w:szCs w:val="20"/>
                    </w:rPr>
                  </w:pPr>
                  <w:r w:rsidRPr="002F3C59">
                    <w:rPr>
                      <w:sz w:val="20"/>
                      <w:szCs w:val="20"/>
                    </w:rPr>
                    <w:t>Publiskā pakalpojuma izcenojums</w:t>
                  </w:r>
                </w:p>
              </w:tc>
              <w:tc>
                <w:tcPr>
                  <w:tcW w:w="1418" w:type="dxa"/>
                  <w:tcBorders>
                    <w:top w:val="nil"/>
                    <w:left w:val="single" w:sz="4" w:space="0" w:color="auto"/>
                    <w:bottom w:val="single" w:sz="4" w:space="0" w:color="auto"/>
                    <w:right w:val="single" w:sz="4" w:space="0" w:color="auto"/>
                  </w:tcBorders>
                  <w:noWrap/>
                  <w:vAlign w:val="bottom"/>
                </w:tcPr>
                <w:p w:rsidR="00FF3337" w:rsidRPr="002F3C59" w:rsidRDefault="00FF3337">
                  <w:pPr>
                    <w:jc w:val="right"/>
                    <w:rPr>
                      <w:b/>
                      <w:bCs/>
                      <w:sz w:val="20"/>
                      <w:szCs w:val="20"/>
                    </w:rPr>
                  </w:pPr>
                  <w:r w:rsidRPr="002F3C59">
                    <w:rPr>
                      <w:b/>
                      <w:bCs/>
                      <w:sz w:val="20"/>
                      <w:szCs w:val="20"/>
                    </w:rPr>
                    <w:t>5,00</w:t>
                  </w:r>
                </w:p>
              </w:tc>
              <w:tc>
                <w:tcPr>
                  <w:tcW w:w="1417" w:type="dxa"/>
                  <w:tcBorders>
                    <w:top w:val="nil"/>
                    <w:left w:val="nil"/>
                    <w:bottom w:val="single" w:sz="4" w:space="0" w:color="auto"/>
                    <w:right w:val="single" w:sz="4" w:space="0" w:color="auto"/>
                  </w:tcBorders>
                  <w:noWrap/>
                  <w:vAlign w:val="bottom"/>
                </w:tcPr>
                <w:p w:rsidR="00FF3337" w:rsidRPr="002F3C59" w:rsidRDefault="00FF3337">
                  <w:pPr>
                    <w:jc w:val="right"/>
                    <w:rPr>
                      <w:b/>
                      <w:bCs/>
                      <w:sz w:val="20"/>
                      <w:szCs w:val="20"/>
                    </w:rPr>
                  </w:pPr>
                  <w:r w:rsidRPr="002F3C59">
                    <w:rPr>
                      <w:b/>
                      <w:bCs/>
                      <w:sz w:val="20"/>
                      <w:szCs w:val="20"/>
                    </w:rPr>
                    <w:t>80 000,00</w:t>
                  </w:r>
                </w:p>
              </w:tc>
            </w:tr>
          </w:tbl>
          <w:p w:rsidR="00FF3337" w:rsidRPr="002F3C59" w:rsidRDefault="00FF3337" w:rsidP="006C7BF3">
            <w:pPr>
              <w:pStyle w:val="naisc"/>
              <w:spacing w:before="0" w:after="0"/>
              <w:jc w:val="both"/>
            </w:pPr>
            <w:r w:rsidRPr="002F3C59">
              <w:t>Trīs algoto personu pienākumu sīkāks skaidrojums:</w:t>
            </w:r>
          </w:p>
          <w:p w:rsidR="00FF3337" w:rsidRPr="002F3C59" w:rsidRDefault="00FF3337" w:rsidP="006C7BF3">
            <w:pPr>
              <w:pStyle w:val="ParastaisWeb"/>
              <w:spacing w:before="0" w:beforeAutospacing="0" w:after="0" w:afterAutospacing="0"/>
              <w:jc w:val="both"/>
            </w:pPr>
            <w:r w:rsidRPr="002F3C59">
              <w:t>Sistēmas un datubāzes uzturēšana (</w:t>
            </w:r>
            <w:r w:rsidRPr="002F3C59">
              <w:rPr>
                <w:szCs w:val="24"/>
                <w:lang w:eastAsia="lv-LV"/>
              </w:rPr>
              <w:t xml:space="preserve">sistēmu un tīklu uzturēšana tehniskā kārtībā, bojājumu novēršana, lietotāju problēmu risināšana. </w:t>
            </w:r>
            <w:r w:rsidRPr="002F3C59">
              <w:t>Datortehnikas uzstādīšana un konfigurēšana, datortehnikas apkope un modernizācija, ieskaitot datoru un datortīklu sīkus remontdarbus, problēmu diagnostiku un novēršanu, sistēmas pieejas tiesību piešķiršana lietotājiem, datu rezerves kopiju veidošana).</w:t>
            </w:r>
          </w:p>
          <w:p w:rsidR="00FF3337" w:rsidRPr="002F3C59" w:rsidRDefault="00FF3337" w:rsidP="006C7BF3">
            <w:pPr>
              <w:jc w:val="both"/>
              <w:rPr>
                <w:sz w:val="20"/>
                <w:szCs w:val="20"/>
              </w:rPr>
            </w:pPr>
            <w:r w:rsidRPr="002F3C59">
              <w:t>Reģistra uzturēšana (datu ievade, datu pārbaude, kļūdainās informācijas apkopošana un labošana, datu atlase), informācijas izvietošana tīmekļa vietnē, informācijas apmaiņa ar ES tīmekļa vietni EUROPETNET.</w:t>
            </w:r>
          </w:p>
        </w:tc>
      </w:tr>
      <w:tr w:rsidR="00FF3337" w:rsidRPr="002F3C59" w:rsidTr="00FC4CED">
        <w:tc>
          <w:tcPr>
            <w:tcW w:w="1397" w:type="pct"/>
            <w:tcBorders>
              <w:top w:val="single" w:sz="4" w:space="0" w:color="auto"/>
              <w:left w:val="single" w:sz="4" w:space="0" w:color="auto"/>
              <w:bottom w:val="single" w:sz="4" w:space="0" w:color="auto"/>
              <w:right w:val="single" w:sz="4" w:space="0" w:color="auto"/>
            </w:tcBorders>
          </w:tcPr>
          <w:p w:rsidR="00FF3337" w:rsidRPr="002F3C59" w:rsidRDefault="00FF3337" w:rsidP="00F31B1D">
            <w:pPr>
              <w:spacing w:before="100" w:beforeAutospacing="1" w:after="100" w:afterAutospacing="1"/>
            </w:pPr>
            <w:r w:rsidRPr="002F3C59">
              <w:lastRenderedPageBreak/>
              <w:t>7. Cita informācija</w:t>
            </w:r>
          </w:p>
        </w:tc>
        <w:tc>
          <w:tcPr>
            <w:tcW w:w="3603" w:type="pct"/>
            <w:gridSpan w:val="5"/>
            <w:tcBorders>
              <w:top w:val="single" w:sz="4" w:space="0" w:color="auto"/>
              <w:left w:val="single" w:sz="4" w:space="0" w:color="auto"/>
              <w:bottom w:val="single" w:sz="4" w:space="0" w:color="auto"/>
              <w:right w:val="single" w:sz="4" w:space="0" w:color="auto"/>
            </w:tcBorders>
          </w:tcPr>
          <w:p w:rsidR="00FF3337" w:rsidRPr="002F3C59" w:rsidRDefault="00FF3337" w:rsidP="00F31B1D">
            <w:pPr>
              <w:jc w:val="both"/>
            </w:pPr>
            <w:r w:rsidRPr="002F3C59">
              <w:t>Nav.</w:t>
            </w:r>
          </w:p>
        </w:tc>
      </w:tr>
    </w:tbl>
    <w:p w:rsidR="00FF3337" w:rsidRPr="002F3C59" w:rsidRDefault="00FF3337" w:rsidP="00A41878"/>
    <w:p w:rsidR="00FF3337" w:rsidRPr="002F3C59" w:rsidRDefault="00FF3337" w:rsidP="00A41878">
      <w:r w:rsidRPr="002F3C59">
        <w:t>Anotācijas IV, V un VI sadaļa – projekts šīs jomas neskar.</w:t>
      </w:r>
    </w:p>
    <w:p w:rsidR="00FF3337" w:rsidRPr="002F3C59" w:rsidRDefault="00FF3337" w:rsidP="00A41878"/>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0"/>
        <w:gridCol w:w="5999"/>
      </w:tblGrid>
      <w:tr w:rsidR="00FF3337" w:rsidRPr="002F3C59" w:rsidTr="00CA5C5E">
        <w:trPr>
          <w:trHeight w:val="279"/>
        </w:trPr>
        <w:tc>
          <w:tcPr>
            <w:tcW w:w="9539" w:type="dxa"/>
            <w:gridSpan w:val="2"/>
          </w:tcPr>
          <w:p w:rsidR="00FF3337" w:rsidRPr="002F3C59" w:rsidRDefault="00FF3337">
            <w:pPr>
              <w:jc w:val="center"/>
              <w:rPr>
                <w:b/>
              </w:rPr>
            </w:pPr>
            <w:r w:rsidRPr="002F3C59">
              <w:rPr>
                <w:b/>
              </w:rPr>
              <w:t>VII. Tiesību akta projekta izpildes nodrošināšana un tās ietekme uz institūcijām</w:t>
            </w:r>
          </w:p>
        </w:tc>
      </w:tr>
      <w:tr w:rsidR="00FF3337" w:rsidRPr="002F3C59" w:rsidTr="00CA5C5E">
        <w:trPr>
          <w:trHeight w:val="279"/>
        </w:trPr>
        <w:tc>
          <w:tcPr>
            <w:tcW w:w="3540" w:type="dxa"/>
          </w:tcPr>
          <w:p w:rsidR="00FF3337" w:rsidRPr="002F3C59" w:rsidRDefault="00FF3337">
            <w:pPr>
              <w:jc w:val="both"/>
            </w:pPr>
            <w:r w:rsidRPr="002F3C59">
              <w:rPr>
                <w:sz w:val="22"/>
                <w:szCs w:val="22"/>
              </w:rPr>
              <w:t>Projekta izpildē iesaistītās institūcijas</w:t>
            </w:r>
          </w:p>
        </w:tc>
        <w:tc>
          <w:tcPr>
            <w:tcW w:w="5999" w:type="dxa"/>
          </w:tcPr>
          <w:p w:rsidR="00FF3337" w:rsidRPr="002F3C59" w:rsidRDefault="00FF3337">
            <w:pPr>
              <w:pStyle w:val="naisnod"/>
              <w:spacing w:before="0" w:after="0"/>
              <w:ind w:right="57"/>
              <w:jc w:val="left"/>
              <w:rPr>
                <w:b w:val="0"/>
              </w:rPr>
            </w:pPr>
            <w:r w:rsidRPr="002F3C59">
              <w:rPr>
                <w:b w:val="0"/>
              </w:rPr>
              <w:t>Datu centrs, pašvaldības, praktizējoši veterinārārsti</w:t>
            </w:r>
          </w:p>
        </w:tc>
      </w:tr>
      <w:tr w:rsidR="00FF3337" w:rsidRPr="002F3C59" w:rsidTr="00CA5C5E">
        <w:trPr>
          <w:trHeight w:val="279"/>
        </w:trPr>
        <w:tc>
          <w:tcPr>
            <w:tcW w:w="3540" w:type="dxa"/>
          </w:tcPr>
          <w:p w:rsidR="00FF3337" w:rsidRPr="002F3C59" w:rsidRDefault="00FF3337">
            <w:r w:rsidRPr="002F3C59">
              <w:rPr>
                <w:sz w:val="22"/>
                <w:szCs w:val="22"/>
              </w:rPr>
              <w:t>Projekta izpildes ietekme uz pārvaldes funkcijām</w:t>
            </w:r>
          </w:p>
        </w:tc>
        <w:tc>
          <w:tcPr>
            <w:tcW w:w="5999" w:type="dxa"/>
          </w:tcPr>
          <w:p w:rsidR="00FF3337" w:rsidRPr="002F3C59" w:rsidRDefault="00FF3337">
            <w:pPr>
              <w:pStyle w:val="naisnod"/>
              <w:spacing w:before="0" w:after="0"/>
              <w:ind w:left="57" w:right="57"/>
              <w:jc w:val="both"/>
              <w:rPr>
                <w:b w:val="0"/>
              </w:rPr>
            </w:pPr>
            <w:r w:rsidRPr="002F3C59">
              <w:rPr>
                <w:b w:val="0"/>
              </w:rPr>
              <w:t>Projekts šo jomu neskar.</w:t>
            </w:r>
          </w:p>
        </w:tc>
      </w:tr>
      <w:tr w:rsidR="00FF3337" w:rsidRPr="002F3C59" w:rsidTr="00CA5C5E">
        <w:trPr>
          <w:trHeight w:val="279"/>
        </w:trPr>
        <w:tc>
          <w:tcPr>
            <w:tcW w:w="3540" w:type="dxa"/>
          </w:tcPr>
          <w:p w:rsidR="00FF3337" w:rsidRPr="002F3C59" w:rsidRDefault="00FF3337">
            <w:pPr>
              <w:ind w:right="57"/>
            </w:pPr>
            <w:r w:rsidRPr="002F3C59">
              <w:rPr>
                <w:sz w:val="22"/>
                <w:szCs w:val="22"/>
              </w:rPr>
              <w:t>Projekta izpildes ietekme uz pārvaldes institucionālo struktūru.</w:t>
            </w:r>
          </w:p>
          <w:p w:rsidR="00FF3337" w:rsidRPr="002F3C59" w:rsidRDefault="00FF3337">
            <w:r w:rsidRPr="002F3C59">
              <w:rPr>
                <w:sz w:val="22"/>
                <w:szCs w:val="22"/>
              </w:rPr>
              <w:t>Jaunu institūciju izveide</w:t>
            </w:r>
          </w:p>
        </w:tc>
        <w:tc>
          <w:tcPr>
            <w:tcW w:w="5999" w:type="dxa"/>
          </w:tcPr>
          <w:p w:rsidR="00FF3337" w:rsidRPr="002F3C59" w:rsidRDefault="00FF3337">
            <w:pPr>
              <w:pStyle w:val="naisnod"/>
              <w:spacing w:before="0" w:after="0"/>
              <w:ind w:left="57" w:right="57"/>
              <w:jc w:val="both"/>
              <w:rPr>
                <w:b w:val="0"/>
              </w:rPr>
            </w:pPr>
            <w:r w:rsidRPr="002F3C59">
              <w:rPr>
                <w:b w:val="0"/>
              </w:rPr>
              <w:t>Projekts šo jomu neskar.</w:t>
            </w:r>
          </w:p>
        </w:tc>
      </w:tr>
      <w:tr w:rsidR="00FF3337" w:rsidRPr="002F3C59" w:rsidTr="00CA5C5E">
        <w:trPr>
          <w:trHeight w:val="279"/>
        </w:trPr>
        <w:tc>
          <w:tcPr>
            <w:tcW w:w="3540" w:type="dxa"/>
          </w:tcPr>
          <w:p w:rsidR="00FF3337" w:rsidRPr="002F3C59" w:rsidRDefault="00FF3337">
            <w:pPr>
              <w:ind w:right="57"/>
            </w:pPr>
            <w:r w:rsidRPr="002F3C59">
              <w:rPr>
                <w:sz w:val="22"/>
                <w:szCs w:val="22"/>
              </w:rPr>
              <w:t>Projekta izpildes ietekme uz pārvaldes institucionālo struktūru.</w:t>
            </w:r>
          </w:p>
          <w:p w:rsidR="00FF3337" w:rsidRPr="002F3C59" w:rsidRDefault="00FF3337">
            <w:r w:rsidRPr="002F3C59">
              <w:rPr>
                <w:sz w:val="22"/>
                <w:szCs w:val="22"/>
              </w:rPr>
              <w:t>Esošu institūciju likvidācija</w:t>
            </w:r>
          </w:p>
        </w:tc>
        <w:tc>
          <w:tcPr>
            <w:tcW w:w="5999" w:type="dxa"/>
          </w:tcPr>
          <w:p w:rsidR="00FF3337" w:rsidRPr="002F3C59" w:rsidRDefault="00FF3337">
            <w:pPr>
              <w:pStyle w:val="naisnod"/>
              <w:spacing w:before="0" w:after="0"/>
              <w:ind w:left="57" w:right="57"/>
              <w:jc w:val="both"/>
              <w:rPr>
                <w:b w:val="0"/>
              </w:rPr>
            </w:pPr>
            <w:r w:rsidRPr="002F3C59">
              <w:rPr>
                <w:b w:val="0"/>
              </w:rPr>
              <w:t>Projekts šo jomu neskar.</w:t>
            </w:r>
          </w:p>
        </w:tc>
      </w:tr>
      <w:tr w:rsidR="00FF3337" w:rsidRPr="002F3C59" w:rsidTr="00CA5C5E">
        <w:trPr>
          <w:trHeight w:val="279"/>
        </w:trPr>
        <w:tc>
          <w:tcPr>
            <w:tcW w:w="3540" w:type="dxa"/>
          </w:tcPr>
          <w:p w:rsidR="00FF3337" w:rsidRPr="002F3C59" w:rsidRDefault="00FF3337">
            <w:pPr>
              <w:ind w:right="57"/>
            </w:pPr>
            <w:r w:rsidRPr="002F3C59">
              <w:rPr>
                <w:sz w:val="22"/>
                <w:szCs w:val="22"/>
              </w:rPr>
              <w:t>Projekta izpildes ietekme uz pārvaldes institucionālo struktūru.</w:t>
            </w:r>
          </w:p>
          <w:p w:rsidR="00FF3337" w:rsidRPr="002F3C59" w:rsidRDefault="00FF3337">
            <w:r w:rsidRPr="002F3C59">
              <w:rPr>
                <w:sz w:val="22"/>
                <w:szCs w:val="22"/>
              </w:rPr>
              <w:t>Esošu institūciju reorganizācija</w:t>
            </w:r>
          </w:p>
        </w:tc>
        <w:tc>
          <w:tcPr>
            <w:tcW w:w="5999" w:type="dxa"/>
          </w:tcPr>
          <w:p w:rsidR="00FF3337" w:rsidRPr="002F3C59" w:rsidRDefault="00FF3337">
            <w:pPr>
              <w:pStyle w:val="naisnod"/>
              <w:spacing w:before="0" w:after="0"/>
              <w:ind w:left="57" w:right="57"/>
              <w:jc w:val="both"/>
              <w:rPr>
                <w:b w:val="0"/>
              </w:rPr>
            </w:pPr>
            <w:r w:rsidRPr="002F3C59">
              <w:rPr>
                <w:b w:val="0"/>
              </w:rPr>
              <w:t>Projekts šo jomu neskar.</w:t>
            </w:r>
          </w:p>
        </w:tc>
      </w:tr>
      <w:tr w:rsidR="00FF3337" w:rsidRPr="002F3C59" w:rsidTr="00CA5C5E">
        <w:trPr>
          <w:trHeight w:val="279"/>
        </w:trPr>
        <w:tc>
          <w:tcPr>
            <w:tcW w:w="3540" w:type="dxa"/>
          </w:tcPr>
          <w:p w:rsidR="00FF3337" w:rsidRPr="002F3C59" w:rsidRDefault="00FF3337">
            <w:pPr>
              <w:jc w:val="both"/>
            </w:pPr>
            <w:r w:rsidRPr="002F3C59">
              <w:rPr>
                <w:sz w:val="22"/>
                <w:szCs w:val="22"/>
              </w:rPr>
              <w:t>Cita informācija</w:t>
            </w:r>
          </w:p>
        </w:tc>
        <w:tc>
          <w:tcPr>
            <w:tcW w:w="5999" w:type="dxa"/>
          </w:tcPr>
          <w:p w:rsidR="00FF3337" w:rsidRPr="002F3C59" w:rsidRDefault="00FF3337">
            <w:pPr>
              <w:pStyle w:val="naiskr"/>
              <w:spacing w:before="0" w:after="0"/>
              <w:ind w:left="57" w:right="57"/>
            </w:pPr>
            <w:r w:rsidRPr="002F3C59">
              <w:t>Nav.</w:t>
            </w:r>
          </w:p>
        </w:tc>
      </w:tr>
    </w:tbl>
    <w:p w:rsidR="00FF3337" w:rsidRPr="002F3C59" w:rsidRDefault="00FF3337" w:rsidP="00A41878"/>
    <w:p w:rsidR="00FF3337" w:rsidRPr="002F3C59" w:rsidRDefault="00FF3337" w:rsidP="007432C9">
      <w:pPr>
        <w:ind w:firstLine="720"/>
        <w:jc w:val="both"/>
        <w:rPr>
          <w:sz w:val="28"/>
          <w:szCs w:val="28"/>
        </w:rPr>
      </w:pPr>
    </w:p>
    <w:p w:rsidR="00FF3337" w:rsidRPr="002F3C59" w:rsidRDefault="00FF3337" w:rsidP="007432C9">
      <w:pPr>
        <w:ind w:firstLine="720"/>
        <w:jc w:val="both"/>
        <w:rPr>
          <w:sz w:val="28"/>
          <w:szCs w:val="28"/>
        </w:rPr>
      </w:pPr>
      <w:r w:rsidRPr="002F3C59">
        <w:rPr>
          <w:sz w:val="28"/>
          <w:szCs w:val="28"/>
        </w:rPr>
        <w:t>Zemkopības ministre</w:t>
      </w:r>
      <w:r w:rsidRPr="002F3C59">
        <w:rPr>
          <w:sz w:val="28"/>
          <w:szCs w:val="28"/>
        </w:rPr>
        <w:tab/>
      </w:r>
      <w:r w:rsidRPr="002F3C59">
        <w:rPr>
          <w:sz w:val="28"/>
          <w:szCs w:val="28"/>
        </w:rPr>
        <w:tab/>
      </w:r>
      <w:r w:rsidRPr="002F3C59">
        <w:rPr>
          <w:sz w:val="28"/>
          <w:szCs w:val="28"/>
        </w:rPr>
        <w:tab/>
      </w:r>
      <w:r w:rsidRPr="002F3C59">
        <w:rPr>
          <w:sz w:val="28"/>
          <w:szCs w:val="28"/>
        </w:rPr>
        <w:tab/>
      </w:r>
      <w:r w:rsidRPr="002F3C59">
        <w:rPr>
          <w:sz w:val="28"/>
          <w:szCs w:val="28"/>
        </w:rPr>
        <w:tab/>
        <w:t>L.Straujuma</w:t>
      </w:r>
    </w:p>
    <w:p w:rsidR="00FF3337" w:rsidRPr="002F3C59" w:rsidRDefault="00FF3337" w:rsidP="00FA338D">
      <w:pPr>
        <w:ind w:firstLine="709"/>
        <w:jc w:val="both"/>
        <w:rPr>
          <w:sz w:val="28"/>
          <w:szCs w:val="28"/>
        </w:rPr>
      </w:pPr>
      <w:r w:rsidRPr="002F3C59">
        <w:rPr>
          <w:sz w:val="28"/>
          <w:szCs w:val="28"/>
        </w:rPr>
        <w:tab/>
      </w:r>
      <w:r w:rsidRPr="002F3C59">
        <w:rPr>
          <w:sz w:val="28"/>
          <w:szCs w:val="28"/>
        </w:rPr>
        <w:tab/>
      </w:r>
    </w:p>
    <w:p w:rsidR="00FF3337" w:rsidRDefault="00FF3337" w:rsidP="00830C4E">
      <w:pPr>
        <w:jc w:val="both"/>
        <w:rPr>
          <w:sz w:val="20"/>
          <w:szCs w:val="20"/>
        </w:rPr>
      </w:pPr>
    </w:p>
    <w:p w:rsidR="00DA62D7" w:rsidRDefault="00DA62D7" w:rsidP="00830C4E">
      <w:pPr>
        <w:jc w:val="both"/>
        <w:rPr>
          <w:sz w:val="20"/>
          <w:szCs w:val="20"/>
        </w:rPr>
      </w:pPr>
    </w:p>
    <w:p w:rsidR="00DA62D7" w:rsidRPr="002F3C59" w:rsidRDefault="00DA62D7" w:rsidP="00830C4E">
      <w:pPr>
        <w:jc w:val="both"/>
        <w:rPr>
          <w:sz w:val="20"/>
          <w:szCs w:val="20"/>
        </w:rPr>
      </w:pPr>
    </w:p>
    <w:p w:rsidR="00DA62D7" w:rsidRDefault="00DA62D7" w:rsidP="00512076">
      <w:pPr>
        <w:jc w:val="both"/>
        <w:rPr>
          <w:sz w:val="20"/>
          <w:szCs w:val="20"/>
        </w:rPr>
      </w:pPr>
      <w:r>
        <w:rPr>
          <w:sz w:val="20"/>
          <w:szCs w:val="20"/>
        </w:rPr>
        <w:t>2012.03.21. 13:00</w:t>
      </w:r>
    </w:p>
    <w:p w:rsidR="00DA62D7" w:rsidRDefault="00DA62D7" w:rsidP="00512076">
      <w:pPr>
        <w:jc w:val="both"/>
        <w:rPr>
          <w:sz w:val="20"/>
          <w:szCs w:val="20"/>
        </w:rPr>
      </w:pPr>
      <w:fldSimple w:instr=" NUMWORDS   \* MERGEFORMAT ">
        <w:r>
          <w:rPr>
            <w:noProof/>
            <w:sz w:val="20"/>
            <w:szCs w:val="20"/>
          </w:rPr>
          <w:t>1847</w:t>
        </w:r>
      </w:fldSimple>
    </w:p>
    <w:p w:rsidR="00FF3337" w:rsidRPr="002F3C59" w:rsidRDefault="00FF3337" w:rsidP="00512076">
      <w:pPr>
        <w:jc w:val="both"/>
        <w:rPr>
          <w:sz w:val="20"/>
          <w:szCs w:val="20"/>
        </w:rPr>
      </w:pPr>
      <w:r w:rsidRPr="002F3C59">
        <w:rPr>
          <w:sz w:val="20"/>
          <w:szCs w:val="20"/>
        </w:rPr>
        <w:t>L.Ozoliņa</w:t>
      </w:r>
    </w:p>
    <w:p w:rsidR="00FF3337" w:rsidRPr="002F3C59" w:rsidRDefault="00FF3337" w:rsidP="00FA338D">
      <w:pPr>
        <w:jc w:val="both"/>
        <w:rPr>
          <w:sz w:val="20"/>
          <w:szCs w:val="20"/>
        </w:rPr>
      </w:pPr>
      <w:r w:rsidRPr="002F3C59">
        <w:rPr>
          <w:sz w:val="20"/>
          <w:szCs w:val="20"/>
        </w:rPr>
        <w:t>67027422, Ligija.Ozolina@zm.gov.lv</w:t>
      </w:r>
    </w:p>
    <w:sectPr w:rsidR="00FF3337" w:rsidRPr="002F3C59" w:rsidSect="00DA62D7">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843" w:rsidRDefault="00810843">
      <w:r>
        <w:separator/>
      </w:r>
    </w:p>
  </w:endnote>
  <w:endnote w:type="continuationSeparator" w:id="0">
    <w:p w:rsidR="00810843" w:rsidRDefault="00810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37" w:rsidRPr="00E77ADF" w:rsidRDefault="00FF3337" w:rsidP="00E77ADF">
    <w:pPr>
      <w:pStyle w:val="Kjene"/>
      <w:jc w:val="both"/>
      <w:rPr>
        <w:sz w:val="20"/>
        <w:szCs w:val="20"/>
      </w:rPr>
    </w:pPr>
    <w:smartTag w:uri="urn:schemas-microsoft-com:office:smarttags" w:element="PersonName">
      <w:r>
        <w:rPr>
          <w:sz w:val="20"/>
        </w:rPr>
        <w:t>ZM</w:t>
      </w:r>
    </w:smartTag>
    <w:r>
      <w:rPr>
        <w:sz w:val="20"/>
      </w:rPr>
      <w:t>Anot_210312_ldccenradis</w:t>
    </w:r>
    <w:r>
      <w:rPr>
        <w:sz w:val="20"/>
        <w:szCs w:val="20"/>
      </w:rPr>
      <w:t>; Grozījumi</w:t>
    </w:r>
    <w:r w:rsidRPr="00E77ADF">
      <w:rPr>
        <w:sz w:val="20"/>
        <w:szCs w:val="20"/>
      </w:rPr>
      <w:t xml:space="preserve"> Ministru kabineta 2011.gada 22.februāra noteikumos Nr.156 „Valsts aģentūras „Lauksaimniecības datu centrs” sniegto publisko maksas pakalpojumu cenrādis”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37" w:rsidRPr="004A00AF" w:rsidRDefault="00FF3337" w:rsidP="008E18DD">
    <w:pPr>
      <w:pStyle w:val="Kjene"/>
      <w:tabs>
        <w:tab w:val="clear" w:pos="4153"/>
        <w:tab w:val="clear" w:pos="8306"/>
      </w:tabs>
      <w:jc w:val="both"/>
      <w:rPr>
        <w:sz w:val="20"/>
        <w:szCs w:val="20"/>
      </w:rPr>
    </w:pPr>
    <w:smartTag w:uri="urn:schemas-microsoft-com:office:smarttags" w:element="PersonName">
      <w:r>
        <w:rPr>
          <w:sz w:val="20"/>
        </w:rPr>
        <w:t>ZM</w:t>
      </w:r>
    </w:smartTag>
    <w:r>
      <w:rPr>
        <w:sz w:val="20"/>
      </w:rPr>
      <w:t>Anot_210312_ldccenradis</w:t>
    </w:r>
    <w:r w:rsidRPr="004A00AF">
      <w:rPr>
        <w:sz w:val="20"/>
        <w:szCs w:val="20"/>
      </w:rPr>
      <w:t xml:space="preserve">; </w:t>
    </w:r>
    <w:r>
      <w:rPr>
        <w:sz w:val="20"/>
        <w:szCs w:val="20"/>
      </w:rPr>
      <w:t>Grozījumi</w:t>
    </w:r>
    <w:r w:rsidRPr="004A00AF">
      <w:rPr>
        <w:sz w:val="20"/>
        <w:szCs w:val="20"/>
      </w:rPr>
      <w:t xml:space="preserve"> Ministru kabineta 2011.gada 22.februāra noteikumos Nr.156 „Valsts aģentūras „Lauksaimniecības datu centrs” sniegto publisko maksas pakalpojumu cenrādis”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843" w:rsidRDefault="00810843">
      <w:r>
        <w:separator/>
      </w:r>
    </w:p>
  </w:footnote>
  <w:footnote w:type="continuationSeparator" w:id="0">
    <w:p w:rsidR="00810843" w:rsidRDefault="00810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37" w:rsidRDefault="0088554F" w:rsidP="006562F3">
    <w:pPr>
      <w:pStyle w:val="Galvene"/>
      <w:framePr w:wrap="around" w:vAnchor="text" w:hAnchor="margin" w:xAlign="center" w:y="1"/>
      <w:rPr>
        <w:rStyle w:val="Lappusesnumurs"/>
      </w:rPr>
    </w:pPr>
    <w:r>
      <w:rPr>
        <w:rStyle w:val="Lappusesnumurs"/>
      </w:rPr>
      <w:fldChar w:fldCharType="begin"/>
    </w:r>
    <w:r w:rsidR="00FF3337">
      <w:rPr>
        <w:rStyle w:val="Lappusesnumurs"/>
      </w:rPr>
      <w:instrText xml:space="preserve">PAGE  </w:instrText>
    </w:r>
    <w:r>
      <w:rPr>
        <w:rStyle w:val="Lappusesnumurs"/>
      </w:rPr>
      <w:fldChar w:fldCharType="end"/>
    </w:r>
  </w:p>
  <w:p w:rsidR="00FF3337" w:rsidRDefault="00FF333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37" w:rsidRDefault="0088554F" w:rsidP="006562F3">
    <w:pPr>
      <w:pStyle w:val="Galvene"/>
      <w:framePr w:wrap="around" w:vAnchor="text" w:hAnchor="margin" w:xAlign="center" w:y="1"/>
      <w:rPr>
        <w:rStyle w:val="Lappusesnumurs"/>
      </w:rPr>
    </w:pPr>
    <w:r>
      <w:rPr>
        <w:rStyle w:val="Lappusesnumurs"/>
      </w:rPr>
      <w:fldChar w:fldCharType="begin"/>
    </w:r>
    <w:r w:rsidR="00FF3337">
      <w:rPr>
        <w:rStyle w:val="Lappusesnumurs"/>
      </w:rPr>
      <w:instrText xml:space="preserve">PAGE  </w:instrText>
    </w:r>
    <w:r>
      <w:rPr>
        <w:rStyle w:val="Lappusesnumurs"/>
      </w:rPr>
      <w:fldChar w:fldCharType="separate"/>
    </w:r>
    <w:r w:rsidR="00DA62D7">
      <w:rPr>
        <w:rStyle w:val="Lappusesnumurs"/>
        <w:noProof/>
      </w:rPr>
      <w:t>6</w:t>
    </w:r>
    <w:r>
      <w:rPr>
        <w:rStyle w:val="Lappusesnumurs"/>
      </w:rPr>
      <w:fldChar w:fldCharType="end"/>
    </w:r>
  </w:p>
  <w:p w:rsidR="00FF3337" w:rsidRDefault="00FF333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F8DD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C50B3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881C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40A4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FBE00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367E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36A2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7A73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F638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5E7AF0"/>
    <w:lvl w:ilvl="0">
      <w:start w:val="1"/>
      <w:numFmt w:val="bullet"/>
      <w:lvlText w:val=""/>
      <w:lvlJc w:val="left"/>
      <w:pPr>
        <w:tabs>
          <w:tab w:val="num" w:pos="360"/>
        </w:tabs>
        <w:ind w:left="360" w:hanging="360"/>
      </w:pPr>
      <w:rPr>
        <w:rFonts w:ascii="Symbol" w:hAnsi="Symbol" w:hint="default"/>
      </w:rPr>
    </w:lvl>
  </w:abstractNum>
  <w:abstractNum w:abstractNumId="10">
    <w:nsid w:val="00CF31B9"/>
    <w:multiLevelType w:val="hybridMultilevel"/>
    <w:tmpl w:val="EF425496"/>
    <w:lvl w:ilvl="0" w:tplc="475E6FD0">
      <w:start w:val="1"/>
      <w:numFmt w:val="decimal"/>
      <w:lvlText w:val="%1."/>
      <w:lvlJc w:val="left"/>
      <w:pPr>
        <w:tabs>
          <w:tab w:val="num" w:pos="372"/>
        </w:tabs>
        <w:ind w:left="372" w:hanging="360"/>
      </w:pPr>
      <w:rPr>
        <w:rFonts w:cs="Times New Roman" w:hint="default"/>
      </w:rPr>
    </w:lvl>
    <w:lvl w:ilvl="1" w:tplc="04260019" w:tentative="1">
      <w:start w:val="1"/>
      <w:numFmt w:val="lowerLetter"/>
      <w:lvlText w:val="%2."/>
      <w:lvlJc w:val="left"/>
      <w:pPr>
        <w:tabs>
          <w:tab w:val="num" w:pos="1092"/>
        </w:tabs>
        <w:ind w:left="1092" w:hanging="360"/>
      </w:pPr>
      <w:rPr>
        <w:rFonts w:cs="Times New Roman"/>
      </w:rPr>
    </w:lvl>
    <w:lvl w:ilvl="2" w:tplc="0426001B" w:tentative="1">
      <w:start w:val="1"/>
      <w:numFmt w:val="lowerRoman"/>
      <w:lvlText w:val="%3."/>
      <w:lvlJc w:val="right"/>
      <w:pPr>
        <w:tabs>
          <w:tab w:val="num" w:pos="1812"/>
        </w:tabs>
        <w:ind w:left="1812" w:hanging="180"/>
      </w:pPr>
      <w:rPr>
        <w:rFonts w:cs="Times New Roman"/>
      </w:rPr>
    </w:lvl>
    <w:lvl w:ilvl="3" w:tplc="0426000F" w:tentative="1">
      <w:start w:val="1"/>
      <w:numFmt w:val="decimal"/>
      <w:lvlText w:val="%4."/>
      <w:lvlJc w:val="left"/>
      <w:pPr>
        <w:tabs>
          <w:tab w:val="num" w:pos="2532"/>
        </w:tabs>
        <w:ind w:left="2532" w:hanging="360"/>
      </w:pPr>
      <w:rPr>
        <w:rFonts w:cs="Times New Roman"/>
      </w:rPr>
    </w:lvl>
    <w:lvl w:ilvl="4" w:tplc="04260019" w:tentative="1">
      <w:start w:val="1"/>
      <w:numFmt w:val="lowerLetter"/>
      <w:lvlText w:val="%5."/>
      <w:lvlJc w:val="left"/>
      <w:pPr>
        <w:tabs>
          <w:tab w:val="num" w:pos="3252"/>
        </w:tabs>
        <w:ind w:left="3252" w:hanging="360"/>
      </w:pPr>
      <w:rPr>
        <w:rFonts w:cs="Times New Roman"/>
      </w:rPr>
    </w:lvl>
    <w:lvl w:ilvl="5" w:tplc="0426001B" w:tentative="1">
      <w:start w:val="1"/>
      <w:numFmt w:val="lowerRoman"/>
      <w:lvlText w:val="%6."/>
      <w:lvlJc w:val="right"/>
      <w:pPr>
        <w:tabs>
          <w:tab w:val="num" w:pos="3972"/>
        </w:tabs>
        <w:ind w:left="3972" w:hanging="180"/>
      </w:pPr>
      <w:rPr>
        <w:rFonts w:cs="Times New Roman"/>
      </w:rPr>
    </w:lvl>
    <w:lvl w:ilvl="6" w:tplc="0426000F" w:tentative="1">
      <w:start w:val="1"/>
      <w:numFmt w:val="decimal"/>
      <w:lvlText w:val="%7."/>
      <w:lvlJc w:val="left"/>
      <w:pPr>
        <w:tabs>
          <w:tab w:val="num" w:pos="4692"/>
        </w:tabs>
        <w:ind w:left="4692" w:hanging="360"/>
      </w:pPr>
      <w:rPr>
        <w:rFonts w:cs="Times New Roman"/>
      </w:rPr>
    </w:lvl>
    <w:lvl w:ilvl="7" w:tplc="04260019" w:tentative="1">
      <w:start w:val="1"/>
      <w:numFmt w:val="lowerLetter"/>
      <w:lvlText w:val="%8."/>
      <w:lvlJc w:val="left"/>
      <w:pPr>
        <w:tabs>
          <w:tab w:val="num" w:pos="5412"/>
        </w:tabs>
        <w:ind w:left="5412" w:hanging="360"/>
      </w:pPr>
      <w:rPr>
        <w:rFonts w:cs="Times New Roman"/>
      </w:rPr>
    </w:lvl>
    <w:lvl w:ilvl="8" w:tplc="0426001B" w:tentative="1">
      <w:start w:val="1"/>
      <w:numFmt w:val="lowerRoman"/>
      <w:lvlText w:val="%9."/>
      <w:lvlJc w:val="right"/>
      <w:pPr>
        <w:tabs>
          <w:tab w:val="num" w:pos="6132"/>
        </w:tabs>
        <w:ind w:left="6132" w:hanging="180"/>
      </w:pPr>
      <w:rPr>
        <w:rFonts w:cs="Times New Roman"/>
      </w:rPr>
    </w:lvl>
  </w:abstractNum>
  <w:abstractNum w:abstractNumId="11">
    <w:nsid w:val="08F30D30"/>
    <w:multiLevelType w:val="hybridMultilevel"/>
    <w:tmpl w:val="5DB07E72"/>
    <w:lvl w:ilvl="0" w:tplc="04260001">
      <w:start w:val="1"/>
      <w:numFmt w:val="bullet"/>
      <w:pStyle w:val="Sarakstaaizzme"/>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3EA601A"/>
    <w:multiLevelType w:val="hybridMultilevel"/>
    <w:tmpl w:val="137492BA"/>
    <w:lvl w:ilvl="0" w:tplc="6FC2C612">
      <w:start w:val="1"/>
      <w:numFmt w:val="bullet"/>
      <w:lvlText w:val=""/>
      <w:lvlJc w:val="left"/>
      <w:pPr>
        <w:tabs>
          <w:tab w:val="num" w:pos="720"/>
        </w:tabs>
        <w:ind w:left="720" w:hanging="360"/>
      </w:pPr>
      <w:rPr>
        <w:rFonts w:ascii="Wingdings" w:hAnsi="Wingdings" w:hint="default"/>
      </w:rPr>
    </w:lvl>
    <w:lvl w:ilvl="1" w:tplc="21BEC7BA" w:tentative="1">
      <w:start w:val="1"/>
      <w:numFmt w:val="bullet"/>
      <w:lvlText w:val=""/>
      <w:lvlJc w:val="left"/>
      <w:pPr>
        <w:tabs>
          <w:tab w:val="num" w:pos="1440"/>
        </w:tabs>
        <w:ind w:left="1440" w:hanging="360"/>
      </w:pPr>
      <w:rPr>
        <w:rFonts w:ascii="Wingdings" w:hAnsi="Wingdings" w:hint="default"/>
      </w:rPr>
    </w:lvl>
    <w:lvl w:ilvl="2" w:tplc="C07AA924" w:tentative="1">
      <w:start w:val="1"/>
      <w:numFmt w:val="bullet"/>
      <w:lvlText w:val=""/>
      <w:lvlJc w:val="left"/>
      <w:pPr>
        <w:tabs>
          <w:tab w:val="num" w:pos="2160"/>
        </w:tabs>
        <w:ind w:left="2160" w:hanging="360"/>
      </w:pPr>
      <w:rPr>
        <w:rFonts w:ascii="Wingdings" w:hAnsi="Wingdings" w:hint="default"/>
      </w:rPr>
    </w:lvl>
    <w:lvl w:ilvl="3" w:tplc="66541B5C" w:tentative="1">
      <w:start w:val="1"/>
      <w:numFmt w:val="bullet"/>
      <w:lvlText w:val=""/>
      <w:lvlJc w:val="left"/>
      <w:pPr>
        <w:tabs>
          <w:tab w:val="num" w:pos="2880"/>
        </w:tabs>
        <w:ind w:left="2880" w:hanging="360"/>
      </w:pPr>
      <w:rPr>
        <w:rFonts w:ascii="Wingdings" w:hAnsi="Wingdings" w:hint="default"/>
      </w:rPr>
    </w:lvl>
    <w:lvl w:ilvl="4" w:tplc="F63ACD10" w:tentative="1">
      <w:start w:val="1"/>
      <w:numFmt w:val="bullet"/>
      <w:lvlText w:val=""/>
      <w:lvlJc w:val="left"/>
      <w:pPr>
        <w:tabs>
          <w:tab w:val="num" w:pos="3600"/>
        </w:tabs>
        <w:ind w:left="3600" w:hanging="360"/>
      </w:pPr>
      <w:rPr>
        <w:rFonts w:ascii="Wingdings" w:hAnsi="Wingdings" w:hint="default"/>
      </w:rPr>
    </w:lvl>
    <w:lvl w:ilvl="5" w:tplc="8BA49D74" w:tentative="1">
      <w:start w:val="1"/>
      <w:numFmt w:val="bullet"/>
      <w:lvlText w:val=""/>
      <w:lvlJc w:val="left"/>
      <w:pPr>
        <w:tabs>
          <w:tab w:val="num" w:pos="4320"/>
        </w:tabs>
        <w:ind w:left="4320" w:hanging="360"/>
      </w:pPr>
      <w:rPr>
        <w:rFonts w:ascii="Wingdings" w:hAnsi="Wingdings" w:hint="default"/>
      </w:rPr>
    </w:lvl>
    <w:lvl w:ilvl="6" w:tplc="DB281C9C" w:tentative="1">
      <w:start w:val="1"/>
      <w:numFmt w:val="bullet"/>
      <w:lvlText w:val=""/>
      <w:lvlJc w:val="left"/>
      <w:pPr>
        <w:tabs>
          <w:tab w:val="num" w:pos="5040"/>
        </w:tabs>
        <w:ind w:left="5040" w:hanging="360"/>
      </w:pPr>
      <w:rPr>
        <w:rFonts w:ascii="Wingdings" w:hAnsi="Wingdings" w:hint="default"/>
      </w:rPr>
    </w:lvl>
    <w:lvl w:ilvl="7" w:tplc="ED92AFD2" w:tentative="1">
      <w:start w:val="1"/>
      <w:numFmt w:val="bullet"/>
      <w:lvlText w:val=""/>
      <w:lvlJc w:val="left"/>
      <w:pPr>
        <w:tabs>
          <w:tab w:val="num" w:pos="5760"/>
        </w:tabs>
        <w:ind w:left="5760" w:hanging="360"/>
      </w:pPr>
      <w:rPr>
        <w:rFonts w:ascii="Wingdings" w:hAnsi="Wingdings" w:hint="default"/>
      </w:rPr>
    </w:lvl>
    <w:lvl w:ilvl="8" w:tplc="A0623856" w:tentative="1">
      <w:start w:val="1"/>
      <w:numFmt w:val="bullet"/>
      <w:lvlText w:val=""/>
      <w:lvlJc w:val="left"/>
      <w:pPr>
        <w:tabs>
          <w:tab w:val="num" w:pos="6480"/>
        </w:tabs>
        <w:ind w:left="6480" w:hanging="360"/>
      </w:pPr>
      <w:rPr>
        <w:rFonts w:ascii="Wingdings" w:hAnsi="Wingdings" w:hint="default"/>
      </w:rPr>
    </w:lvl>
  </w:abstractNum>
  <w:abstractNum w:abstractNumId="14">
    <w:nsid w:val="73E60A61"/>
    <w:multiLevelType w:val="hybridMultilevel"/>
    <w:tmpl w:val="EAD23C40"/>
    <w:lvl w:ilvl="0" w:tplc="DF30D94A">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15"/>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3"/>
  </w:num>
  <w:num w:numId="21">
    <w:abstractNumId w:val="1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562F3"/>
    <w:rsid w:val="000027D9"/>
    <w:rsid w:val="000036D5"/>
    <w:rsid w:val="00003A43"/>
    <w:rsid w:val="0000466D"/>
    <w:rsid w:val="000056FE"/>
    <w:rsid w:val="00005EAA"/>
    <w:rsid w:val="00006F4B"/>
    <w:rsid w:val="00010679"/>
    <w:rsid w:val="00010932"/>
    <w:rsid w:val="0001307B"/>
    <w:rsid w:val="00020260"/>
    <w:rsid w:val="000222D8"/>
    <w:rsid w:val="00022510"/>
    <w:rsid w:val="0002675C"/>
    <w:rsid w:val="00026D8E"/>
    <w:rsid w:val="00027F1D"/>
    <w:rsid w:val="00027FA9"/>
    <w:rsid w:val="00031DF1"/>
    <w:rsid w:val="000329E8"/>
    <w:rsid w:val="00033512"/>
    <w:rsid w:val="0003538A"/>
    <w:rsid w:val="00036C54"/>
    <w:rsid w:val="00043A7D"/>
    <w:rsid w:val="00054850"/>
    <w:rsid w:val="000563A3"/>
    <w:rsid w:val="00057A1A"/>
    <w:rsid w:val="00060B9E"/>
    <w:rsid w:val="00061161"/>
    <w:rsid w:val="00062A93"/>
    <w:rsid w:val="000638BB"/>
    <w:rsid w:val="00065A3A"/>
    <w:rsid w:val="00065F9C"/>
    <w:rsid w:val="00067C1D"/>
    <w:rsid w:val="000703E2"/>
    <w:rsid w:val="00070B17"/>
    <w:rsid w:val="0007261C"/>
    <w:rsid w:val="0007294C"/>
    <w:rsid w:val="00076A5F"/>
    <w:rsid w:val="00076F52"/>
    <w:rsid w:val="0008365A"/>
    <w:rsid w:val="00084592"/>
    <w:rsid w:val="0008501C"/>
    <w:rsid w:val="000851AA"/>
    <w:rsid w:val="00090F6A"/>
    <w:rsid w:val="00092025"/>
    <w:rsid w:val="000923F8"/>
    <w:rsid w:val="000930DE"/>
    <w:rsid w:val="00094CBC"/>
    <w:rsid w:val="000955B6"/>
    <w:rsid w:val="0009628C"/>
    <w:rsid w:val="00097F6A"/>
    <w:rsid w:val="000A02D7"/>
    <w:rsid w:val="000A0BB9"/>
    <w:rsid w:val="000A15B9"/>
    <w:rsid w:val="000A4D7D"/>
    <w:rsid w:val="000A529B"/>
    <w:rsid w:val="000A70E1"/>
    <w:rsid w:val="000A77AA"/>
    <w:rsid w:val="000B17D1"/>
    <w:rsid w:val="000B55A2"/>
    <w:rsid w:val="000B6546"/>
    <w:rsid w:val="000B6B10"/>
    <w:rsid w:val="000C0B49"/>
    <w:rsid w:val="000C3E14"/>
    <w:rsid w:val="000C458C"/>
    <w:rsid w:val="000C4EDD"/>
    <w:rsid w:val="000C5EC6"/>
    <w:rsid w:val="000D6AA9"/>
    <w:rsid w:val="000E68B7"/>
    <w:rsid w:val="000F0DCC"/>
    <w:rsid w:val="000F2C71"/>
    <w:rsid w:val="000F335C"/>
    <w:rsid w:val="000F3479"/>
    <w:rsid w:val="000F46BC"/>
    <w:rsid w:val="00102CDE"/>
    <w:rsid w:val="00103976"/>
    <w:rsid w:val="00104263"/>
    <w:rsid w:val="00105102"/>
    <w:rsid w:val="001070BF"/>
    <w:rsid w:val="001123DB"/>
    <w:rsid w:val="00113A33"/>
    <w:rsid w:val="00113E93"/>
    <w:rsid w:val="00115189"/>
    <w:rsid w:val="001152B6"/>
    <w:rsid w:val="001159AC"/>
    <w:rsid w:val="0011755B"/>
    <w:rsid w:val="00120F11"/>
    <w:rsid w:val="00123472"/>
    <w:rsid w:val="00124123"/>
    <w:rsid w:val="00124B66"/>
    <w:rsid w:val="00124EB3"/>
    <w:rsid w:val="00125010"/>
    <w:rsid w:val="001300AB"/>
    <w:rsid w:val="00132320"/>
    <w:rsid w:val="00141554"/>
    <w:rsid w:val="00141E29"/>
    <w:rsid w:val="00142640"/>
    <w:rsid w:val="00143459"/>
    <w:rsid w:val="00150923"/>
    <w:rsid w:val="001517AC"/>
    <w:rsid w:val="00151A94"/>
    <w:rsid w:val="00152AEC"/>
    <w:rsid w:val="00155385"/>
    <w:rsid w:val="00155A15"/>
    <w:rsid w:val="0016034A"/>
    <w:rsid w:val="00160907"/>
    <w:rsid w:val="00161409"/>
    <w:rsid w:val="00162FE4"/>
    <w:rsid w:val="00163389"/>
    <w:rsid w:val="00163F8A"/>
    <w:rsid w:val="00174215"/>
    <w:rsid w:val="00177539"/>
    <w:rsid w:val="00177990"/>
    <w:rsid w:val="001829C3"/>
    <w:rsid w:val="00184851"/>
    <w:rsid w:val="001907E9"/>
    <w:rsid w:val="0019199C"/>
    <w:rsid w:val="00194CC3"/>
    <w:rsid w:val="00197EA8"/>
    <w:rsid w:val="001A1034"/>
    <w:rsid w:val="001A1BA4"/>
    <w:rsid w:val="001A2F77"/>
    <w:rsid w:val="001A3E97"/>
    <w:rsid w:val="001A4D5A"/>
    <w:rsid w:val="001A7669"/>
    <w:rsid w:val="001B2DF3"/>
    <w:rsid w:val="001B355A"/>
    <w:rsid w:val="001B4D26"/>
    <w:rsid w:val="001B7BBF"/>
    <w:rsid w:val="001C38C4"/>
    <w:rsid w:val="001C6472"/>
    <w:rsid w:val="001D0368"/>
    <w:rsid w:val="001D117E"/>
    <w:rsid w:val="001D204D"/>
    <w:rsid w:val="001D46DD"/>
    <w:rsid w:val="001D6E6D"/>
    <w:rsid w:val="001E14D2"/>
    <w:rsid w:val="001E19C0"/>
    <w:rsid w:val="001E22C1"/>
    <w:rsid w:val="001E22D0"/>
    <w:rsid w:val="001F1000"/>
    <w:rsid w:val="001F484B"/>
    <w:rsid w:val="001F6F8D"/>
    <w:rsid w:val="00200E08"/>
    <w:rsid w:val="00204005"/>
    <w:rsid w:val="00210D8E"/>
    <w:rsid w:val="0021222E"/>
    <w:rsid w:val="00212718"/>
    <w:rsid w:val="00213EC3"/>
    <w:rsid w:val="0021535B"/>
    <w:rsid w:val="00216F18"/>
    <w:rsid w:val="00220FD1"/>
    <w:rsid w:val="00222385"/>
    <w:rsid w:val="00223A36"/>
    <w:rsid w:val="0022479D"/>
    <w:rsid w:val="00224876"/>
    <w:rsid w:val="002261CF"/>
    <w:rsid w:val="0022703F"/>
    <w:rsid w:val="00230167"/>
    <w:rsid w:val="00232978"/>
    <w:rsid w:val="00233D14"/>
    <w:rsid w:val="00235AAA"/>
    <w:rsid w:val="00236166"/>
    <w:rsid w:val="00236325"/>
    <w:rsid w:val="00236656"/>
    <w:rsid w:val="002401C1"/>
    <w:rsid w:val="00242343"/>
    <w:rsid w:val="0024291B"/>
    <w:rsid w:val="0026572A"/>
    <w:rsid w:val="0026597E"/>
    <w:rsid w:val="00266533"/>
    <w:rsid w:val="00266829"/>
    <w:rsid w:val="0027382E"/>
    <w:rsid w:val="00275C6B"/>
    <w:rsid w:val="00276901"/>
    <w:rsid w:val="0027710D"/>
    <w:rsid w:val="002815D2"/>
    <w:rsid w:val="00282491"/>
    <w:rsid w:val="002832CD"/>
    <w:rsid w:val="00283838"/>
    <w:rsid w:val="00284BCA"/>
    <w:rsid w:val="00287D8C"/>
    <w:rsid w:val="002902F8"/>
    <w:rsid w:val="00291A57"/>
    <w:rsid w:val="00294287"/>
    <w:rsid w:val="00296494"/>
    <w:rsid w:val="002A0472"/>
    <w:rsid w:val="002A1090"/>
    <w:rsid w:val="002A2313"/>
    <w:rsid w:val="002A31BC"/>
    <w:rsid w:val="002A33CE"/>
    <w:rsid w:val="002A5F21"/>
    <w:rsid w:val="002B2462"/>
    <w:rsid w:val="002B3643"/>
    <w:rsid w:val="002B3907"/>
    <w:rsid w:val="002B3DB8"/>
    <w:rsid w:val="002B430F"/>
    <w:rsid w:val="002B6F63"/>
    <w:rsid w:val="002B784E"/>
    <w:rsid w:val="002C28B0"/>
    <w:rsid w:val="002C4E3F"/>
    <w:rsid w:val="002C65A6"/>
    <w:rsid w:val="002C674B"/>
    <w:rsid w:val="002C736E"/>
    <w:rsid w:val="002D0111"/>
    <w:rsid w:val="002D0EF6"/>
    <w:rsid w:val="002D3D20"/>
    <w:rsid w:val="002D4AFC"/>
    <w:rsid w:val="002D510B"/>
    <w:rsid w:val="002D61A7"/>
    <w:rsid w:val="002D6634"/>
    <w:rsid w:val="002D7763"/>
    <w:rsid w:val="002E0426"/>
    <w:rsid w:val="002E1F7B"/>
    <w:rsid w:val="002E3E32"/>
    <w:rsid w:val="002E5463"/>
    <w:rsid w:val="002E5DCE"/>
    <w:rsid w:val="002E741A"/>
    <w:rsid w:val="002E7860"/>
    <w:rsid w:val="002F0F74"/>
    <w:rsid w:val="002F3C59"/>
    <w:rsid w:val="002F59D8"/>
    <w:rsid w:val="002F63B6"/>
    <w:rsid w:val="00300F58"/>
    <w:rsid w:val="003011E4"/>
    <w:rsid w:val="0030181F"/>
    <w:rsid w:val="00306767"/>
    <w:rsid w:val="00306E72"/>
    <w:rsid w:val="0031063C"/>
    <w:rsid w:val="00310D8F"/>
    <w:rsid w:val="00320DED"/>
    <w:rsid w:val="00322D3F"/>
    <w:rsid w:val="003265F4"/>
    <w:rsid w:val="00326992"/>
    <w:rsid w:val="0033727F"/>
    <w:rsid w:val="00337CF9"/>
    <w:rsid w:val="00340AEE"/>
    <w:rsid w:val="00343DD2"/>
    <w:rsid w:val="003517D0"/>
    <w:rsid w:val="003519B1"/>
    <w:rsid w:val="00351B11"/>
    <w:rsid w:val="0035306C"/>
    <w:rsid w:val="00354301"/>
    <w:rsid w:val="003568D9"/>
    <w:rsid w:val="00361D88"/>
    <w:rsid w:val="0036338D"/>
    <w:rsid w:val="0036419C"/>
    <w:rsid w:val="00366B72"/>
    <w:rsid w:val="0036748F"/>
    <w:rsid w:val="003752A8"/>
    <w:rsid w:val="0037575C"/>
    <w:rsid w:val="0037671B"/>
    <w:rsid w:val="0037683E"/>
    <w:rsid w:val="00376A0B"/>
    <w:rsid w:val="00377CB0"/>
    <w:rsid w:val="00380A27"/>
    <w:rsid w:val="003842F9"/>
    <w:rsid w:val="0038467B"/>
    <w:rsid w:val="00386453"/>
    <w:rsid w:val="0038665A"/>
    <w:rsid w:val="00386926"/>
    <w:rsid w:val="003902AF"/>
    <w:rsid w:val="00390700"/>
    <w:rsid w:val="00391933"/>
    <w:rsid w:val="00394D76"/>
    <w:rsid w:val="003951B8"/>
    <w:rsid w:val="0039591B"/>
    <w:rsid w:val="003970C8"/>
    <w:rsid w:val="003975F3"/>
    <w:rsid w:val="003A025C"/>
    <w:rsid w:val="003A0927"/>
    <w:rsid w:val="003A0C27"/>
    <w:rsid w:val="003A0C41"/>
    <w:rsid w:val="003A43E3"/>
    <w:rsid w:val="003A5604"/>
    <w:rsid w:val="003A597C"/>
    <w:rsid w:val="003A74E9"/>
    <w:rsid w:val="003B59BF"/>
    <w:rsid w:val="003B5E79"/>
    <w:rsid w:val="003C2DA3"/>
    <w:rsid w:val="003C4FF8"/>
    <w:rsid w:val="003C5C8C"/>
    <w:rsid w:val="003C6940"/>
    <w:rsid w:val="003D0004"/>
    <w:rsid w:val="003D0763"/>
    <w:rsid w:val="003D1263"/>
    <w:rsid w:val="003D1ACF"/>
    <w:rsid w:val="003D1B0F"/>
    <w:rsid w:val="003D27DD"/>
    <w:rsid w:val="003D2AC3"/>
    <w:rsid w:val="003D331C"/>
    <w:rsid w:val="003D3C5B"/>
    <w:rsid w:val="003D402F"/>
    <w:rsid w:val="003D487D"/>
    <w:rsid w:val="003D6645"/>
    <w:rsid w:val="003D6825"/>
    <w:rsid w:val="003D6C00"/>
    <w:rsid w:val="003E635C"/>
    <w:rsid w:val="003E687F"/>
    <w:rsid w:val="003E7495"/>
    <w:rsid w:val="003F1E8E"/>
    <w:rsid w:val="003F3536"/>
    <w:rsid w:val="003F4DA4"/>
    <w:rsid w:val="003F64A0"/>
    <w:rsid w:val="003F6C89"/>
    <w:rsid w:val="003F7767"/>
    <w:rsid w:val="004021F2"/>
    <w:rsid w:val="00403BC6"/>
    <w:rsid w:val="0040506E"/>
    <w:rsid w:val="00406E00"/>
    <w:rsid w:val="00410CB4"/>
    <w:rsid w:val="0041268D"/>
    <w:rsid w:val="00412B56"/>
    <w:rsid w:val="00413643"/>
    <w:rsid w:val="004138A0"/>
    <w:rsid w:val="004160A5"/>
    <w:rsid w:val="004177C8"/>
    <w:rsid w:val="00425396"/>
    <w:rsid w:val="00425B49"/>
    <w:rsid w:val="004264F4"/>
    <w:rsid w:val="004268F4"/>
    <w:rsid w:val="00430E33"/>
    <w:rsid w:val="00432EC9"/>
    <w:rsid w:val="00433887"/>
    <w:rsid w:val="00434021"/>
    <w:rsid w:val="00434C41"/>
    <w:rsid w:val="004350FE"/>
    <w:rsid w:val="004360DA"/>
    <w:rsid w:val="004410BA"/>
    <w:rsid w:val="00443804"/>
    <w:rsid w:val="00445089"/>
    <w:rsid w:val="00447AD9"/>
    <w:rsid w:val="00450739"/>
    <w:rsid w:val="0045325F"/>
    <w:rsid w:val="00453376"/>
    <w:rsid w:val="00453578"/>
    <w:rsid w:val="00454834"/>
    <w:rsid w:val="00457521"/>
    <w:rsid w:val="00460A69"/>
    <w:rsid w:val="00461B88"/>
    <w:rsid w:val="00463B96"/>
    <w:rsid w:val="00463EF2"/>
    <w:rsid w:val="0047028A"/>
    <w:rsid w:val="00471820"/>
    <w:rsid w:val="00472D3C"/>
    <w:rsid w:val="004730CA"/>
    <w:rsid w:val="004746B0"/>
    <w:rsid w:val="00475455"/>
    <w:rsid w:val="00476AB0"/>
    <w:rsid w:val="00477DFE"/>
    <w:rsid w:val="00481E99"/>
    <w:rsid w:val="0049105B"/>
    <w:rsid w:val="00491965"/>
    <w:rsid w:val="00492026"/>
    <w:rsid w:val="00493444"/>
    <w:rsid w:val="004937C2"/>
    <w:rsid w:val="00497A47"/>
    <w:rsid w:val="00497D66"/>
    <w:rsid w:val="004A00AF"/>
    <w:rsid w:val="004A0CFD"/>
    <w:rsid w:val="004A1285"/>
    <w:rsid w:val="004A45DE"/>
    <w:rsid w:val="004A6F9C"/>
    <w:rsid w:val="004A7A92"/>
    <w:rsid w:val="004B1AA6"/>
    <w:rsid w:val="004B3556"/>
    <w:rsid w:val="004B3EBF"/>
    <w:rsid w:val="004B4754"/>
    <w:rsid w:val="004B749C"/>
    <w:rsid w:val="004C06EE"/>
    <w:rsid w:val="004C091D"/>
    <w:rsid w:val="004C193D"/>
    <w:rsid w:val="004C1F91"/>
    <w:rsid w:val="004C3F31"/>
    <w:rsid w:val="004C6BB9"/>
    <w:rsid w:val="004D1DCE"/>
    <w:rsid w:val="004D25AA"/>
    <w:rsid w:val="004D2E65"/>
    <w:rsid w:val="004D2EED"/>
    <w:rsid w:val="004D6EFE"/>
    <w:rsid w:val="004D74D3"/>
    <w:rsid w:val="004E1A7B"/>
    <w:rsid w:val="004E3065"/>
    <w:rsid w:val="004E3E49"/>
    <w:rsid w:val="004E4F5B"/>
    <w:rsid w:val="004E50F4"/>
    <w:rsid w:val="004E659B"/>
    <w:rsid w:val="004E6645"/>
    <w:rsid w:val="004F1599"/>
    <w:rsid w:val="004F20D4"/>
    <w:rsid w:val="004F396C"/>
    <w:rsid w:val="00500B24"/>
    <w:rsid w:val="00502C30"/>
    <w:rsid w:val="00502E52"/>
    <w:rsid w:val="00504B9E"/>
    <w:rsid w:val="00506C84"/>
    <w:rsid w:val="005075CC"/>
    <w:rsid w:val="00512076"/>
    <w:rsid w:val="00512B3C"/>
    <w:rsid w:val="00512DAB"/>
    <w:rsid w:val="00517CC8"/>
    <w:rsid w:val="00520799"/>
    <w:rsid w:val="0052105B"/>
    <w:rsid w:val="00523C97"/>
    <w:rsid w:val="00525560"/>
    <w:rsid w:val="00525F38"/>
    <w:rsid w:val="00526C2D"/>
    <w:rsid w:val="0052706C"/>
    <w:rsid w:val="0053173D"/>
    <w:rsid w:val="00536CC1"/>
    <w:rsid w:val="005377DB"/>
    <w:rsid w:val="00542B46"/>
    <w:rsid w:val="00544976"/>
    <w:rsid w:val="00544E6D"/>
    <w:rsid w:val="00545F88"/>
    <w:rsid w:val="00546199"/>
    <w:rsid w:val="005474D4"/>
    <w:rsid w:val="0054776A"/>
    <w:rsid w:val="00550CA3"/>
    <w:rsid w:val="005519EE"/>
    <w:rsid w:val="00555A1A"/>
    <w:rsid w:val="00557081"/>
    <w:rsid w:val="00557D13"/>
    <w:rsid w:val="005618C7"/>
    <w:rsid w:val="005732DB"/>
    <w:rsid w:val="005733C9"/>
    <w:rsid w:val="0057349C"/>
    <w:rsid w:val="005776E5"/>
    <w:rsid w:val="00580BDB"/>
    <w:rsid w:val="00583085"/>
    <w:rsid w:val="0058398A"/>
    <w:rsid w:val="005847D7"/>
    <w:rsid w:val="00585DE0"/>
    <w:rsid w:val="0058752D"/>
    <w:rsid w:val="005932F4"/>
    <w:rsid w:val="00594FC4"/>
    <w:rsid w:val="00595AB9"/>
    <w:rsid w:val="005A1614"/>
    <w:rsid w:val="005A20D5"/>
    <w:rsid w:val="005A276A"/>
    <w:rsid w:val="005A38DD"/>
    <w:rsid w:val="005A445D"/>
    <w:rsid w:val="005B0A3C"/>
    <w:rsid w:val="005B3A6E"/>
    <w:rsid w:val="005B5361"/>
    <w:rsid w:val="005B68E9"/>
    <w:rsid w:val="005C0CA0"/>
    <w:rsid w:val="005C1FE9"/>
    <w:rsid w:val="005C27CC"/>
    <w:rsid w:val="005C3140"/>
    <w:rsid w:val="005C56EC"/>
    <w:rsid w:val="005C57B5"/>
    <w:rsid w:val="005D1AB7"/>
    <w:rsid w:val="005D1F61"/>
    <w:rsid w:val="005D21FA"/>
    <w:rsid w:val="005D6EC1"/>
    <w:rsid w:val="005E3C04"/>
    <w:rsid w:val="005E4AAD"/>
    <w:rsid w:val="005E621C"/>
    <w:rsid w:val="005E70EC"/>
    <w:rsid w:val="005E73EF"/>
    <w:rsid w:val="005F00D7"/>
    <w:rsid w:val="005F158B"/>
    <w:rsid w:val="005F6419"/>
    <w:rsid w:val="005F7E31"/>
    <w:rsid w:val="0060271D"/>
    <w:rsid w:val="00602B28"/>
    <w:rsid w:val="00603453"/>
    <w:rsid w:val="00606773"/>
    <w:rsid w:val="00612296"/>
    <w:rsid w:val="00612A01"/>
    <w:rsid w:val="00616B2B"/>
    <w:rsid w:val="006227BB"/>
    <w:rsid w:val="0062354E"/>
    <w:rsid w:val="006246D7"/>
    <w:rsid w:val="00625823"/>
    <w:rsid w:val="006264A1"/>
    <w:rsid w:val="0063022F"/>
    <w:rsid w:val="00630322"/>
    <w:rsid w:val="00630942"/>
    <w:rsid w:val="00630DBF"/>
    <w:rsid w:val="00631626"/>
    <w:rsid w:val="00632282"/>
    <w:rsid w:val="00633747"/>
    <w:rsid w:val="00634016"/>
    <w:rsid w:val="0063459E"/>
    <w:rsid w:val="0063659E"/>
    <w:rsid w:val="0063696E"/>
    <w:rsid w:val="00640501"/>
    <w:rsid w:val="00640D40"/>
    <w:rsid w:val="00641393"/>
    <w:rsid w:val="0064207C"/>
    <w:rsid w:val="00644BEB"/>
    <w:rsid w:val="006502CE"/>
    <w:rsid w:val="006518F9"/>
    <w:rsid w:val="00651983"/>
    <w:rsid w:val="00655765"/>
    <w:rsid w:val="00655BDD"/>
    <w:rsid w:val="006562F3"/>
    <w:rsid w:val="006575BE"/>
    <w:rsid w:val="00660262"/>
    <w:rsid w:val="00660958"/>
    <w:rsid w:val="006617E0"/>
    <w:rsid w:val="00661D5F"/>
    <w:rsid w:val="00662623"/>
    <w:rsid w:val="006631B9"/>
    <w:rsid w:val="00664237"/>
    <w:rsid w:val="00666ED1"/>
    <w:rsid w:val="006671C5"/>
    <w:rsid w:val="00674A14"/>
    <w:rsid w:val="00675EEE"/>
    <w:rsid w:val="00676F28"/>
    <w:rsid w:val="00680D30"/>
    <w:rsid w:val="0068186C"/>
    <w:rsid w:val="00681D02"/>
    <w:rsid w:val="00682138"/>
    <w:rsid w:val="006865FD"/>
    <w:rsid w:val="00692350"/>
    <w:rsid w:val="00693212"/>
    <w:rsid w:val="00693382"/>
    <w:rsid w:val="00695873"/>
    <w:rsid w:val="00695F28"/>
    <w:rsid w:val="0069605A"/>
    <w:rsid w:val="006A141F"/>
    <w:rsid w:val="006A15CD"/>
    <w:rsid w:val="006A1E08"/>
    <w:rsid w:val="006A2E84"/>
    <w:rsid w:val="006A4B29"/>
    <w:rsid w:val="006A5950"/>
    <w:rsid w:val="006A6B9D"/>
    <w:rsid w:val="006A70FC"/>
    <w:rsid w:val="006A7EC3"/>
    <w:rsid w:val="006B0747"/>
    <w:rsid w:val="006B14A8"/>
    <w:rsid w:val="006B2EA1"/>
    <w:rsid w:val="006B4838"/>
    <w:rsid w:val="006B5383"/>
    <w:rsid w:val="006B6BD4"/>
    <w:rsid w:val="006C3EE8"/>
    <w:rsid w:val="006C4E69"/>
    <w:rsid w:val="006C7BF3"/>
    <w:rsid w:val="006C7DEC"/>
    <w:rsid w:val="006D022A"/>
    <w:rsid w:val="006D073A"/>
    <w:rsid w:val="006D21DF"/>
    <w:rsid w:val="006D2963"/>
    <w:rsid w:val="006D7887"/>
    <w:rsid w:val="006E00CE"/>
    <w:rsid w:val="006E0357"/>
    <w:rsid w:val="006E0BE1"/>
    <w:rsid w:val="006E2683"/>
    <w:rsid w:val="006E3BBA"/>
    <w:rsid w:val="006E4DA0"/>
    <w:rsid w:val="006E53E6"/>
    <w:rsid w:val="006E7724"/>
    <w:rsid w:val="006F1332"/>
    <w:rsid w:val="006F1FF2"/>
    <w:rsid w:val="006F289A"/>
    <w:rsid w:val="006F2F17"/>
    <w:rsid w:val="006F3964"/>
    <w:rsid w:val="006F4417"/>
    <w:rsid w:val="006F63F7"/>
    <w:rsid w:val="006F6C5B"/>
    <w:rsid w:val="007033F7"/>
    <w:rsid w:val="00703B09"/>
    <w:rsid w:val="00704090"/>
    <w:rsid w:val="007131E9"/>
    <w:rsid w:val="00716052"/>
    <w:rsid w:val="007173A7"/>
    <w:rsid w:val="00717B68"/>
    <w:rsid w:val="00722CCF"/>
    <w:rsid w:val="00725049"/>
    <w:rsid w:val="00726DB6"/>
    <w:rsid w:val="0073264D"/>
    <w:rsid w:val="00737990"/>
    <w:rsid w:val="007432C9"/>
    <w:rsid w:val="00744CE2"/>
    <w:rsid w:val="007457BE"/>
    <w:rsid w:val="007539CC"/>
    <w:rsid w:val="00753B70"/>
    <w:rsid w:val="0075553B"/>
    <w:rsid w:val="007559CE"/>
    <w:rsid w:val="007633B0"/>
    <w:rsid w:val="0077264E"/>
    <w:rsid w:val="007764EC"/>
    <w:rsid w:val="0077654E"/>
    <w:rsid w:val="00776F18"/>
    <w:rsid w:val="0077784C"/>
    <w:rsid w:val="0078013D"/>
    <w:rsid w:val="007802F5"/>
    <w:rsid w:val="00780AEC"/>
    <w:rsid w:val="007835FF"/>
    <w:rsid w:val="00785283"/>
    <w:rsid w:val="00785295"/>
    <w:rsid w:val="0078743D"/>
    <w:rsid w:val="007909BB"/>
    <w:rsid w:val="00791CC8"/>
    <w:rsid w:val="00791E13"/>
    <w:rsid w:val="007922FF"/>
    <w:rsid w:val="00792E8F"/>
    <w:rsid w:val="007977A8"/>
    <w:rsid w:val="00797DF7"/>
    <w:rsid w:val="007A14E1"/>
    <w:rsid w:val="007A4ED6"/>
    <w:rsid w:val="007A659A"/>
    <w:rsid w:val="007B1CCE"/>
    <w:rsid w:val="007B207F"/>
    <w:rsid w:val="007B3296"/>
    <w:rsid w:val="007B48E8"/>
    <w:rsid w:val="007C0840"/>
    <w:rsid w:val="007C121D"/>
    <w:rsid w:val="007C163B"/>
    <w:rsid w:val="007C325E"/>
    <w:rsid w:val="007C3854"/>
    <w:rsid w:val="007C4CF4"/>
    <w:rsid w:val="007C60BD"/>
    <w:rsid w:val="007C6C6E"/>
    <w:rsid w:val="007C6D90"/>
    <w:rsid w:val="007C78EB"/>
    <w:rsid w:val="007C7A87"/>
    <w:rsid w:val="007D026F"/>
    <w:rsid w:val="007D03CD"/>
    <w:rsid w:val="007D2CD9"/>
    <w:rsid w:val="007E1E40"/>
    <w:rsid w:val="007E6807"/>
    <w:rsid w:val="007E7C0F"/>
    <w:rsid w:val="007F24EF"/>
    <w:rsid w:val="007F4FC6"/>
    <w:rsid w:val="007F6C6F"/>
    <w:rsid w:val="00800A74"/>
    <w:rsid w:val="008042AB"/>
    <w:rsid w:val="00804ECD"/>
    <w:rsid w:val="008050E0"/>
    <w:rsid w:val="00810843"/>
    <w:rsid w:val="0081216C"/>
    <w:rsid w:val="00815A5B"/>
    <w:rsid w:val="00816B82"/>
    <w:rsid w:val="008207E9"/>
    <w:rsid w:val="008216BF"/>
    <w:rsid w:val="00822F60"/>
    <w:rsid w:val="00823A72"/>
    <w:rsid w:val="00823EC9"/>
    <w:rsid w:val="00824A67"/>
    <w:rsid w:val="00826F14"/>
    <w:rsid w:val="00827472"/>
    <w:rsid w:val="00827DA6"/>
    <w:rsid w:val="00830274"/>
    <w:rsid w:val="00830C4E"/>
    <w:rsid w:val="00830DD7"/>
    <w:rsid w:val="008319FE"/>
    <w:rsid w:val="00831C2E"/>
    <w:rsid w:val="008345F2"/>
    <w:rsid w:val="00840632"/>
    <w:rsid w:val="008408B6"/>
    <w:rsid w:val="00841E5F"/>
    <w:rsid w:val="00842EF4"/>
    <w:rsid w:val="00844CE6"/>
    <w:rsid w:val="008519A3"/>
    <w:rsid w:val="00852896"/>
    <w:rsid w:val="00856EA4"/>
    <w:rsid w:val="00861ACB"/>
    <w:rsid w:val="00861C1E"/>
    <w:rsid w:val="00862CBE"/>
    <w:rsid w:val="00864EA4"/>
    <w:rsid w:val="00865ED9"/>
    <w:rsid w:val="00867AEC"/>
    <w:rsid w:val="008717F3"/>
    <w:rsid w:val="00872C01"/>
    <w:rsid w:val="00874090"/>
    <w:rsid w:val="00874350"/>
    <w:rsid w:val="00874451"/>
    <w:rsid w:val="00875363"/>
    <w:rsid w:val="00875DF3"/>
    <w:rsid w:val="00876495"/>
    <w:rsid w:val="00876777"/>
    <w:rsid w:val="00877182"/>
    <w:rsid w:val="00881A2E"/>
    <w:rsid w:val="0088262F"/>
    <w:rsid w:val="00883AFE"/>
    <w:rsid w:val="0088554F"/>
    <w:rsid w:val="00892830"/>
    <w:rsid w:val="00893112"/>
    <w:rsid w:val="008939F2"/>
    <w:rsid w:val="00897C67"/>
    <w:rsid w:val="008A0AE7"/>
    <w:rsid w:val="008A0E91"/>
    <w:rsid w:val="008A14BB"/>
    <w:rsid w:val="008A1D8B"/>
    <w:rsid w:val="008A2706"/>
    <w:rsid w:val="008A5861"/>
    <w:rsid w:val="008A5F92"/>
    <w:rsid w:val="008B2F5E"/>
    <w:rsid w:val="008B6BDB"/>
    <w:rsid w:val="008B78D6"/>
    <w:rsid w:val="008C0AE6"/>
    <w:rsid w:val="008C2AA4"/>
    <w:rsid w:val="008C7B46"/>
    <w:rsid w:val="008D00B4"/>
    <w:rsid w:val="008D0B39"/>
    <w:rsid w:val="008D6AE0"/>
    <w:rsid w:val="008D7C54"/>
    <w:rsid w:val="008E18DD"/>
    <w:rsid w:val="008E27C4"/>
    <w:rsid w:val="008E2E3C"/>
    <w:rsid w:val="008E578D"/>
    <w:rsid w:val="008F1A39"/>
    <w:rsid w:val="008F4417"/>
    <w:rsid w:val="008F6ABD"/>
    <w:rsid w:val="009009B3"/>
    <w:rsid w:val="009034C2"/>
    <w:rsid w:val="00904C2F"/>
    <w:rsid w:val="009055C4"/>
    <w:rsid w:val="00905C1D"/>
    <w:rsid w:val="009072FA"/>
    <w:rsid w:val="009101DD"/>
    <w:rsid w:val="00910BF3"/>
    <w:rsid w:val="00916DC9"/>
    <w:rsid w:val="00917392"/>
    <w:rsid w:val="00917BAF"/>
    <w:rsid w:val="00920630"/>
    <w:rsid w:val="00922535"/>
    <w:rsid w:val="00922C5C"/>
    <w:rsid w:val="00922D56"/>
    <w:rsid w:val="00923CC3"/>
    <w:rsid w:val="009255C5"/>
    <w:rsid w:val="00925C0C"/>
    <w:rsid w:val="00925F8E"/>
    <w:rsid w:val="00927B1C"/>
    <w:rsid w:val="009316AF"/>
    <w:rsid w:val="009326CE"/>
    <w:rsid w:val="00934E3A"/>
    <w:rsid w:val="009437C0"/>
    <w:rsid w:val="009448C5"/>
    <w:rsid w:val="0094533D"/>
    <w:rsid w:val="009465BB"/>
    <w:rsid w:val="00947485"/>
    <w:rsid w:val="00947633"/>
    <w:rsid w:val="00950670"/>
    <w:rsid w:val="009506E5"/>
    <w:rsid w:val="009515A1"/>
    <w:rsid w:val="009534C1"/>
    <w:rsid w:val="00953897"/>
    <w:rsid w:val="00953F2A"/>
    <w:rsid w:val="00955418"/>
    <w:rsid w:val="00957CD5"/>
    <w:rsid w:val="00965725"/>
    <w:rsid w:val="00965DAE"/>
    <w:rsid w:val="009756A4"/>
    <w:rsid w:val="009804F8"/>
    <w:rsid w:val="00981779"/>
    <w:rsid w:val="00981DD4"/>
    <w:rsid w:val="009834FD"/>
    <w:rsid w:val="00984786"/>
    <w:rsid w:val="009857BE"/>
    <w:rsid w:val="00986784"/>
    <w:rsid w:val="009906B7"/>
    <w:rsid w:val="00991337"/>
    <w:rsid w:val="00993179"/>
    <w:rsid w:val="009A002D"/>
    <w:rsid w:val="009A09A5"/>
    <w:rsid w:val="009A1A7F"/>
    <w:rsid w:val="009A31A3"/>
    <w:rsid w:val="009A4B79"/>
    <w:rsid w:val="009A5151"/>
    <w:rsid w:val="009A57E9"/>
    <w:rsid w:val="009A5BA6"/>
    <w:rsid w:val="009B1735"/>
    <w:rsid w:val="009B3DB2"/>
    <w:rsid w:val="009B4C4A"/>
    <w:rsid w:val="009B5469"/>
    <w:rsid w:val="009B67B4"/>
    <w:rsid w:val="009C4619"/>
    <w:rsid w:val="009C4908"/>
    <w:rsid w:val="009C6440"/>
    <w:rsid w:val="009C6D85"/>
    <w:rsid w:val="009C7F08"/>
    <w:rsid w:val="009D1405"/>
    <w:rsid w:val="009D41BE"/>
    <w:rsid w:val="009D4A0A"/>
    <w:rsid w:val="009D4FD4"/>
    <w:rsid w:val="009D7933"/>
    <w:rsid w:val="009E250F"/>
    <w:rsid w:val="009E2BCE"/>
    <w:rsid w:val="009E61B9"/>
    <w:rsid w:val="009E6C5B"/>
    <w:rsid w:val="009F3C5B"/>
    <w:rsid w:val="009F43DD"/>
    <w:rsid w:val="009F6306"/>
    <w:rsid w:val="009F701A"/>
    <w:rsid w:val="009F73A3"/>
    <w:rsid w:val="009F7FC1"/>
    <w:rsid w:val="00A00081"/>
    <w:rsid w:val="00A006EA"/>
    <w:rsid w:val="00A012FB"/>
    <w:rsid w:val="00A02508"/>
    <w:rsid w:val="00A057DC"/>
    <w:rsid w:val="00A05BFC"/>
    <w:rsid w:val="00A061DD"/>
    <w:rsid w:val="00A07494"/>
    <w:rsid w:val="00A11A67"/>
    <w:rsid w:val="00A12A2A"/>
    <w:rsid w:val="00A173C3"/>
    <w:rsid w:val="00A2282A"/>
    <w:rsid w:val="00A2363A"/>
    <w:rsid w:val="00A2489F"/>
    <w:rsid w:val="00A26152"/>
    <w:rsid w:val="00A30585"/>
    <w:rsid w:val="00A3245B"/>
    <w:rsid w:val="00A3731D"/>
    <w:rsid w:val="00A41878"/>
    <w:rsid w:val="00A5154D"/>
    <w:rsid w:val="00A5184C"/>
    <w:rsid w:val="00A538D8"/>
    <w:rsid w:val="00A53BEC"/>
    <w:rsid w:val="00A53DF1"/>
    <w:rsid w:val="00A54A7D"/>
    <w:rsid w:val="00A553AD"/>
    <w:rsid w:val="00A57809"/>
    <w:rsid w:val="00A61740"/>
    <w:rsid w:val="00A618C4"/>
    <w:rsid w:val="00A632FD"/>
    <w:rsid w:val="00A66AE8"/>
    <w:rsid w:val="00A66D1D"/>
    <w:rsid w:val="00A66DB2"/>
    <w:rsid w:val="00A749DF"/>
    <w:rsid w:val="00A74C55"/>
    <w:rsid w:val="00A76D3B"/>
    <w:rsid w:val="00A777D5"/>
    <w:rsid w:val="00A8250C"/>
    <w:rsid w:val="00A83234"/>
    <w:rsid w:val="00A832F5"/>
    <w:rsid w:val="00A83442"/>
    <w:rsid w:val="00A83815"/>
    <w:rsid w:val="00A8391C"/>
    <w:rsid w:val="00A8485F"/>
    <w:rsid w:val="00A84C47"/>
    <w:rsid w:val="00A85527"/>
    <w:rsid w:val="00A90694"/>
    <w:rsid w:val="00A90CD9"/>
    <w:rsid w:val="00A90E57"/>
    <w:rsid w:val="00A91C97"/>
    <w:rsid w:val="00AA02C9"/>
    <w:rsid w:val="00AA1989"/>
    <w:rsid w:val="00AA3491"/>
    <w:rsid w:val="00AA3B01"/>
    <w:rsid w:val="00AA4CE2"/>
    <w:rsid w:val="00AA5C82"/>
    <w:rsid w:val="00AA6B63"/>
    <w:rsid w:val="00AA72AD"/>
    <w:rsid w:val="00AB23F0"/>
    <w:rsid w:val="00AB2FB1"/>
    <w:rsid w:val="00AB4A3F"/>
    <w:rsid w:val="00AB5790"/>
    <w:rsid w:val="00AB5F89"/>
    <w:rsid w:val="00AB76E9"/>
    <w:rsid w:val="00AC349A"/>
    <w:rsid w:val="00AC5465"/>
    <w:rsid w:val="00AC5C1B"/>
    <w:rsid w:val="00AC5DBD"/>
    <w:rsid w:val="00AC7E71"/>
    <w:rsid w:val="00AD048B"/>
    <w:rsid w:val="00AD1903"/>
    <w:rsid w:val="00AD304B"/>
    <w:rsid w:val="00AD34A2"/>
    <w:rsid w:val="00AD5A1E"/>
    <w:rsid w:val="00AD6A5D"/>
    <w:rsid w:val="00AD705D"/>
    <w:rsid w:val="00AE04C8"/>
    <w:rsid w:val="00AE0D18"/>
    <w:rsid w:val="00AE1237"/>
    <w:rsid w:val="00AE2346"/>
    <w:rsid w:val="00AE336E"/>
    <w:rsid w:val="00AF2EA9"/>
    <w:rsid w:val="00AF636E"/>
    <w:rsid w:val="00B011DD"/>
    <w:rsid w:val="00B0294D"/>
    <w:rsid w:val="00B04F23"/>
    <w:rsid w:val="00B1028A"/>
    <w:rsid w:val="00B14306"/>
    <w:rsid w:val="00B14A69"/>
    <w:rsid w:val="00B16285"/>
    <w:rsid w:val="00B32FF5"/>
    <w:rsid w:val="00B33CAC"/>
    <w:rsid w:val="00B34222"/>
    <w:rsid w:val="00B34BC0"/>
    <w:rsid w:val="00B36DA6"/>
    <w:rsid w:val="00B37664"/>
    <w:rsid w:val="00B43716"/>
    <w:rsid w:val="00B43A43"/>
    <w:rsid w:val="00B4417E"/>
    <w:rsid w:val="00B46741"/>
    <w:rsid w:val="00B506C2"/>
    <w:rsid w:val="00B518AB"/>
    <w:rsid w:val="00B52CBC"/>
    <w:rsid w:val="00B54103"/>
    <w:rsid w:val="00B54748"/>
    <w:rsid w:val="00B54B0A"/>
    <w:rsid w:val="00B60D77"/>
    <w:rsid w:val="00B61D64"/>
    <w:rsid w:val="00B63351"/>
    <w:rsid w:val="00B65A97"/>
    <w:rsid w:val="00B665FF"/>
    <w:rsid w:val="00B66E0E"/>
    <w:rsid w:val="00B71020"/>
    <w:rsid w:val="00B71188"/>
    <w:rsid w:val="00B769F4"/>
    <w:rsid w:val="00B76A5C"/>
    <w:rsid w:val="00B76D2D"/>
    <w:rsid w:val="00B81270"/>
    <w:rsid w:val="00B81E60"/>
    <w:rsid w:val="00B82102"/>
    <w:rsid w:val="00B8404C"/>
    <w:rsid w:val="00B84AA5"/>
    <w:rsid w:val="00B90757"/>
    <w:rsid w:val="00B91AF1"/>
    <w:rsid w:val="00B91EE6"/>
    <w:rsid w:val="00B9442B"/>
    <w:rsid w:val="00B948E9"/>
    <w:rsid w:val="00B94B1C"/>
    <w:rsid w:val="00B96318"/>
    <w:rsid w:val="00BA0F85"/>
    <w:rsid w:val="00BA1945"/>
    <w:rsid w:val="00BA27BD"/>
    <w:rsid w:val="00BA3055"/>
    <w:rsid w:val="00BA3F2C"/>
    <w:rsid w:val="00BA5091"/>
    <w:rsid w:val="00BA72C7"/>
    <w:rsid w:val="00BB38A4"/>
    <w:rsid w:val="00BB3E61"/>
    <w:rsid w:val="00BB53F3"/>
    <w:rsid w:val="00BB5A04"/>
    <w:rsid w:val="00BB62BF"/>
    <w:rsid w:val="00BB6D0D"/>
    <w:rsid w:val="00BB749E"/>
    <w:rsid w:val="00BB7588"/>
    <w:rsid w:val="00BB7922"/>
    <w:rsid w:val="00BC117E"/>
    <w:rsid w:val="00BC5115"/>
    <w:rsid w:val="00BC6116"/>
    <w:rsid w:val="00BD1F21"/>
    <w:rsid w:val="00BD3107"/>
    <w:rsid w:val="00BE0879"/>
    <w:rsid w:val="00BE32C5"/>
    <w:rsid w:val="00BE3D45"/>
    <w:rsid w:val="00BE4486"/>
    <w:rsid w:val="00BE52B7"/>
    <w:rsid w:val="00BE6107"/>
    <w:rsid w:val="00BE6513"/>
    <w:rsid w:val="00BF205C"/>
    <w:rsid w:val="00BF2984"/>
    <w:rsid w:val="00BF4152"/>
    <w:rsid w:val="00BF614E"/>
    <w:rsid w:val="00BF68C2"/>
    <w:rsid w:val="00BF7AEE"/>
    <w:rsid w:val="00C00106"/>
    <w:rsid w:val="00C04CD3"/>
    <w:rsid w:val="00C06530"/>
    <w:rsid w:val="00C06652"/>
    <w:rsid w:val="00C1031D"/>
    <w:rsid w:val="00C1442E"/>
    <w:rsid w:val="00C14B3F"/>
    <w:rsid w:val="00C20903"/>
    <w:rsid w:val="00C21503"/>
    <w:rsid w:val="00C22AB9"/>
    <w:rsid w:val="00C23789"/>
    <w:rsid w:val="00C245D4"/>
    <w:rsid w:val="00C32BB1"/>
    <w:rsid w:val="00C34156"/>
    <w:rsid w:val="00C34570"/>
    <w:rsid w:val="00C368DF"/>
    <w:rsid w:val="00C40AD8"/>
    <w:rsid w:val="00C40ED9"/>
    <w:rsid w:val="00C40EE7"/>
    <w:rsid w:val="00C422F8"/>
    <w:rsid w:val="00C433F3"/>
    <w:rsid w:val="00C44FA3"/>
    <w:rsid w:val="00C45A37"/>
    <w:rsid w:val="00C538FD"/>
    <w:rsid w:val="00C546AC"/>
    <w:rsid w:val="00C56F58"/>
    <w:rsid w:val="00C61342"/>
    <w:rsid w:val="00C62E31"/>
    <w:rsid w:val="00C649E2"/>
    <w:rsid w:val="00C665AA"/>
    <w:rsid w:val="00C67C09"/>
    <w:rsid w:val="00C77335"/>
    <w:rsid w:val="00C80CC1"/>
    <w:rsid w:val="00C81A31"/>
    <w:rsid w:val="00C836C1"/>
    <w:rsid w:val="00C8571F"/>
    <w:rsid w:val="00C85A06"/>
    <w:rsid w:val="00C91F1E"/>
    <w:rsid w:val="00C923D6"/>
    <w:rsid w:val="00C93511"/>
    <w:rsid w:val="00C975A8"/>
    <w:rsid w:val="00CA1C72"/>
    <w:rsid w:val="00CA3012"/>
    <w:rsid w:val="00CA5B7F"/>
    <w:rsid w:val="00CA5C5E"/>
    <w:rsid w:val="00CB49C2"/>
    <w:rsid w:val="00CB6742"/>
    <w:rsid w:val="00CB69A7"/>
    <w:rsid w:val="00CB7F22"/>
    <w:rsid w:val="00CC00BE"/>
    <w:rsid w:val="00CC3722"/>
    <w:rsid w:val="00CC638F"/>
    <w:rsid w:val="00CC658B"/>
    <w:rsid w:val="00CD1C61"/>
    <w:rsid w:val="00CD3C67"/>
    <w:rsid w:val="00CD4FDA"/>
    <w:rsid w:val="00CD6CD0"/>
    <w:rsid w:val="00CE0C39"/>
    <w:rsid w:val="00CE103C"/>
    <w:rsid w:val="00CE2D11"/>
    <w:rsid w:val="00CE3298"/>
    <w:rsid w:val="00CE4171"/>
    <w:rsid w:val="00CE49A6"/>
    <w:rsid w:val="00CE5151"/>
    <w:rsid w:val="00CE7706"/>
    <w:rsid w:val="00CE7FC6"/>
    <w:rsid w:val="00CF111E"/>
    <w:rsid w:val="00CF37E9"/>
    <w:rsid w:val="00CF523D"/>
    <w:rsid w:val="00D03013"/>
    <w:rsid w:val="00D03A02"/>
    <w:rsid w:val="00D03A33"/>
    <w:rsid w:val="00D116DA"/>
    <w:rsid w:val="00D16ABB"/>
    <w:rsid w:val="00D16EBB"/>
    <w:rsid w:val="00D170DB"/>
    <w:rsid w:val="00D2043D"/>
    <w:rsid w:val="00D24923"/>
    <w:rsid w:val="00D26078"/>
    <w:rsid w:val="00D31099"/>
    <w:rsid w:val="00D331F4"/>
    <w:rsid w:val="00D34484"/>
    <w:rsid w:val="00D36972"/>
    <w:rsid w:val="00D4203A"/>
    <w:rsid w:val="00D43974"/>
    <w:rsid w:val="00D4568D"/>
    <w:rsid w:val="00D50A0D"/>
    <w:rsid w:val="00D52648"/>
    <w:rsid w:val="00D53581"/>
    <w:rsid w:val="00D57247"/>
    <w:rsid w:val="00D62081"/>
    <w:rsid w:val="00D6263D"/>
    <w:rsid w:val="00D627FD"/>
    <w:rsid w:val="00D655D5"/>
    <w:rsid w:val="00D658BC"/>
    <w:rsid w:val="00D66C3A"/>
    <w:rsid w:val="00D72073"/>
    <w:rsid w:val="00D81D13"/>
    <w:rsid w:val="00D830CC"/>
    <w:rsid w:val="00D90428"/>
    <w:rsid w:val="00D90747"/>
    <w:rsid w:val="00D90B28"/>
    <w:rsid w:val="00D94F00"/>
    <w:rsid w:val="00DA03DF"/>
    <w:rsid w:val="00DA0D16"/>
    <w:rsid w:val="00DA128E"/>
    <w:rsid w:val="00DA1505"/>
    <w:rsid w:val="00DA17FF"/>
    <w:rsid w:val="00DA3797"/>
    <w:rsid w:val="00DA460A"/>
    <w:rsid w:val="00DA62D7"/>
    <w:rsid w:val="00DA664D"/>
    <w:rsid w:val="00DB07BE"/>
    <w:rsid w:val="00DB0AC0"/>
    <w:rsid w:val="00DB1FB1"/>
    <w:rsid w:val="00DB722B"/>
    <w:rsid w:val="00DC07F9"/>
    <w:rsid w:val="00DC19D2"/>
    <w:rsid w:val="00DC4300"/>
    <w:rsid w:val="00DC46D5"/>
    <w:rsid w:val="00DD3F0E"/>
    <w:rsid w:val="00DD51E3"/>
    <w:rsid w:val="00DD58AB"/>
    <w:rsid w:val="00DD731D"/>
    <w:rsid w:val="00DE3A5E"/>
    <w:rsid w:val="00DE48F8"/>
    <w:rsid w:val="00DE6535"/>
    <w:rsid w:val="00DE7A06"/>
    <w:rsid w:val="00DE7B9C"/>
    <w:rsid w:val="00DF19B9"/>
    <w:rsid w:val="00DF2881"/>
    <w:rsid w:val="00DF37B0"/>
    <w:rsid w:val="00DF43DF"/>
    <w:rsid w:val="00E01108"/>
    <w:rsid w:val="00E03FB7"/>
    <w:rsid w:val="00E04561"/>
    <w:rsid w:val="00E04838"/>
    <w:rsid w:val="00E052A6"/>
    <w:rsid w:val="00E061BC"/>
    <w:rsid w:val="00E062B4"/>
    <w:rsid w:val="00E06819"/>
    <w:rsid w:val="00E1067D"/>
    <w:rsid w:val="00E133F9"/>
    <w:rsid w:val="00E140E1"/>
    <w:rsid w:val="00E162A5"/>
    <w:rsid w:val="00E16974"/>
    <w:rsid w:val="00E171F3"/>
    <w:rsid w:val="00E221DB"/>
    <w:rsid w:val="00E22860"/>
    <w:rsid w:val="00E22ED4"/>
    <w:rsid w:val="00E23FEB"/>
    <w:rsid w:val="00E247AD"/>
    <w:rsid w:val="00E2688A"/>
    <w:rsid w:val="00E31EE2"/>
    <w:rsid w:val="00E33A81"/>
    <w:rsid w:val="00E33DBE"/>
    <w:rsid w:val="00E346DF"/>
    <w:rsid w:val="00E34A4B"/>
    <w:rsid w:val="00E37BB2"/>
    <w:rsid w:val="00E4289D"/>
    <w:rsid w:val="00E44FA6"/>
    <w:rsid w:val="00E461DD"/>
    <w:rsid w:val="00E478A2"/>
    <w:rsid w:val="00E50D8A"/>
    <w:rsid w:val="00E50F84"/>
    <w:rsid w:val="00E51078"/>
    <w:rsid w:val="00E518A3"/>
    <w:rsid w:val="00E52821"/>
    <w:rsid w:val="00E52BE0"/>
    <w:rsid w:val="00E53DA2"/>
    <w:rsid w:val="00E54EB0"/>
    <w:rsid w:val="00E5568A"/>
    <w:rsid w:val="00E56394"/>
    <w:rsid w:val="00E568DD"/>
    <w:rsid w:val="00E61C8E"/>
    <w:rsid w:val="00E62311"/>
    <w:rsid w:val="00E65F57"/>
    <w:rsid w:val="00E71146"/>
    <w:rsid w:val="00E71616"/>
    <w:rsid w:val="00E71D87"/>
    <w:rsid w:val="00E71F89"/>
    <w:rsid w:val="00E77ADF"/>
    <w:rsid w:val="00E80416"/>
    <w:rsid w:val="00E81D4A"/>
    <w:rsid w:val="00E81D54"/>
    <w:rsid w:val="00E82256"/>
    <w:rsid w:val="00E82B9C"/>
    <w:rsid w:val="00E86019"/>
    <w:rsid w:val="00E931EB"/>
    <w:rsid w:val="00E9375C"/>
    <w:rsid w:val="00E94830"/>
    <w:rsid w:val="00E94A4A"/>
    <w:rsid w:val="00E97CDF"/>
    <w:rsid w:val="00EA29A8"/>
    <w:rsid w:val="00EA71CC"/>
    <w:rsid w:val="00EA78E6"/>
    <w:rsid w:val="00EB0C00"/>
    <w:rsid w:val="00EB1A7D"/>
    <w:rsid w:val="00EB22CF"/>
    <w:rsid w:val="00EB3C3F"/>
    <w:rsid w:val="00EB7472"/>
    <w:rsid w:val="00EC4A64"/>
    <w:rsid w:val="00ED0E11"/>
    <w:rsid w:val="00EE0FB7"/>
    <w:rsid w:val="00EE1542"/>
    <w:rsid w:val="00EE31EE"/>
    <w:rsid w:val="00EE3795"/>
    <w:rsid w:val="00EF0E31"/>
    <w:rsid w:val="00EF13A1"/>
    <w:rsid w:val="00EF5535"/>
    <w:rsid w:val="00F00179"/>
    <w:rsid w:val="00F00E89"/>
    <w:rsid w:val="00F01A87"/>
    <w:rsid w:val="00F05E20"/>
    <w:rsid w:val="00F06824"/>
    <w:rsid w:val="00F1268B"/>
    <w:rsid w:val="00F14F5B"/>
    <w:rsid w:val="00F22780"/>
    <w:rsid w:val="00F237EB"/>
    <w:rsid w:val="00F25EC0"/>
    <w:rsid w:val="00F27E95"/>
    <w:rsid w:val="00F27F0F"/>
    <w:rsid w:val="00F27FA0"/>
    <w:rsid w:val="00F31B1D"/>
    <w:rsid w:val="00F32729"/>
    <w:rsid w:val="00F32CAD"/>
    <w:rsid w:val="00F32DD8"/>
    <w:rsid w:val="00F3517A"/>
    <w:rsid w:val="00F3656F"/>
    <w:rsid w:val="00F37555"/>
    <w:rsid w:val="00F37635"/>
    <w:rsid w:val="00F40C74"/>
    <w:rsid w:val="00F4137B"/>
    <w:rsid w:val="00F416E3"/>
    <w:rsid w:val="00F4235D"/>
    <w:rsid w:val="00F423A1"/>
    <w:rsid w:val="00F42EB0"/>
    <w:rsid w:val="00F44B37"/>
    <w:rsid w:val="00F46E9E"/>
    <w:rsid w:val="00F51403"/>
    <w:rsid w:val="00F549B3"/>
    <w:rsid w:val="00F55DB2"/>
    <w:rsid w:val="00F56134"/>
    <w:rsid w:val="00F56ABB"/>
    <w:rsid w:val="00F60FD4"/>
    <w:rsid w:val="00F63844"/>
    <w:rsid w:val="00F64B8E"/>
    <w:rsid w:val="00F66014"/>
    <w:rsid w:val="00F706C8"/>
    <w:rsid w:val="00F712E1"/>
    <w:rsid w:val="00F72A4C"/>
    <w:rsid w:val="00F76B97"/>
    <w:rsid w:val="00F7753F"/>
    <w:rsid w:val="00F77EFD"/>
    <w:rsid w:val="00F805DE"/>
    <w:rsid w:val="00F84191"/>
    <w:rsid w:val="00F8685C"/>
    <w:rsid w:val="00F86E82"/>
    <w:rsid w:val="00F96805"/>
    <w:rsid w:val="00F96CF5"/>
    <w:rsid w:val="00F9751D"/>
    <w:rsid w:val="00FA0549"/>
    <w:rsid w:val="00FA059E"/>
    <w:rsid w:val="00FA301D"/>
    <w:rsid w:val="00FA338D"/>
    <w:rsid w:val="00FA33C1"/>
    <w:rsid w:val="00FA3E2C"/>
    <w:rsid w:val="00FA46FC"/>
    <w:rsid w:val="00FA709C"/>
    <w:rsid w:val="00FB1356"/>
    <w:rsid w:val="00FB4121"/>
    <w:rsid w:val="00FB6324"/>
    <w:rsid w:val="00FB6D85"/>
    <w:rsid w:val="00FB75DB"/>
    <w:rsid w:val="00FC1270"/>
    <w:rsid w:val="00FC21B9"/>
    <w:rsid w:val="00FC3D9A"/>
    <w:rsid w:val="00FC4CED"/>
    <w:rsid w:val="00FC6C8A"/>
    <w:rsid w:val="00FC77AD"/>
    <w:rsid w:val="00FC77B9"/>
    <w:rsid w:val="00FD5A34"/>
    <w:rsid w:val="00FD7D84"/>
    <w:rsid w:val="00FE056B"/>
    <w:rsid w:val="00FE2C79"/>
    <w:rsid w:val="00FE553C"/>
    <w:rsid w:val="00FE5971"/>
    <w:rsid w:val="00FE5E15"/>
    <w:rsid w:val="00FF02E1"/>
    <w:rsid w:val="00FF33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currency2"/>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A338D"/>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uiPriority w:val="99"/>
    <w:rsid w:val="006562F3"/>
    <w:pPr>
      <w:spacing w:before="75" w:after="75"/>
      <w:jc w:val="right"/>
    </w:pPr>
  </w:style>
  <w:style w:type="table" w:styleId="Reatabula">
    <w:name w:val="Table Grid"/>
    <w:basedOn w:val="Parastatabula"/>
    <w:uiPriority w:val="99"/>
    <w:rsid w:val="006562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ais"/>
    <w:uiPriority w:val="99"/>
    <w:rsid w:val="006562F3"/>
    <w:pPr>
      <w:spacing w:before="75" w:after="75"/>
    </w:pPr>
  </w:style>
  <w:style w:type="paragraph" w:customStyle="1" w:styleId="naispant">
    <w:name w:val="naispant"/>
    <w:basedOn w:val="Parastais"/>
    <w:uiPriority w:val="99"/>
    <w:rsid w:val="006562F3"/>
    <w:pPr>
      <w:spacing w:before="100" w:beforeAutospacing="1" w:after="100" w:afterAutospacing="1"/>
    </w:pPr>
  </w:style>
  <w:style w:type="paragraph" w:styleId="Galvene">
    <w:name w:val="header"/>
    <w:basedOn w:val="Parastais"/>
    <w:link w:val="GalveneRakstz"/>
    <w:uiPriority w:val="99"/>
    <w:rsid w:val="006562F3"/>
    <w:pPr>
      <w:tabs>
        <w:tab w:val="center" w:pos="4153"/>
        <w:tab w:val="right" w:pos="8306"/>
      </w:tabs>
    </w:pPr>
  </w:style>
  <w:style w:type="character" w:customStyle="1" w:styleId="GalveneRakstz">
    <w:name w:val="Galvene Rakstz."/>
    <w:basedOn w:val="Noklusjumarindkopasfonts"/>
    <w:link w:val="Galvene"/>
    <w:uiPriority w:val="99"/>
    <w:semiHidden/>
    <w:locked/>
    <w:rsid w:val="00633747"/>
    <w:rPr>
      <w:rFonts w:cs="Times New Roman"/>
      <w:sz w:val="24"/>
      <w:szCs w:val="24"/>
    </w:rPr>
  </w:style>
  <w:style w:type="character" w:styleId="Lappusesnumurs">
    <w:name w:val="page number"/>
    <w:basedOn w:val="Noklusjumarindkopasfonts"/>
    <w:uiPriority w:val="99"/>
    <w:rsid w:val="006562F3"/>
    <w:rPr>
      <w:rFonts w:cs="Times New Roman"/>
    </w:rPr>
  </w:style>
  <w:style w:type="paragraph" w:customStyle="1" w:styleId="naisnod">
    <w:name w:val="naisnod"/>
    <w:basedOn w:val="Parastais"/>
    <w:uiPriority w:val="99"/>
    <w:rsid w:val="006562F3"/>
    <w:pPr>
      <w:spacing w:before="150" w:after="150"/>
      <w:jc w:val="center"/>
    </w:pPr>
    <w:rPr>
      <w:b/>
      <w:bCs/>
    </w:rPr>
  </w:style>
  <w:style w:type="paragraph" w:customStyle="1" w:styleId="naisf">
    <w:name w:val="naisf"/>
    <w:basedOn w:val="Parastais"/>
    <w:uiPriority w:val="99"/>
    <w:rsid w:val="006562F3"/>
    <w:pPr>
      <w:spacing w:before="75" w:after="75"/>
      <w:ind w:firstLine="375"/>
      <w:jc w:val="both"/>
    </w:pPr>
  </w:style>
  <w:style w:type="paragraph" w:customStyle="1" w:styleId="CharChar3RakstzRakstzCharChar">
    <w:name w:val="Char Char3 Rakstz. Rakstz. Char Char"/>
    <w:basedOn w:val="Parastais"/>
    <w:uiPriority w:val="99"/>
    <w:rsid w:val="006562F3"/>
    <w:pPr>
      <w:spacing w:before="40"/>
    </w:pPr>
    <w:rPr>
      <w:lang w:val="pl-PL" w:eastAsia="pl-PL"/>
    </w:rPr>
  </w:style>
  <w:style w:type="character" w:styleId="Izteiksmgs">
    <w:name w:val="Strong"/>
    <w:basedOn w:val="Noklusjumarindkopasfonts"/>
    <w:uiPriority w:val="99"/>
    <w:qFormat/>
    <w:rsid w:val="006562F3"/>
    <w:rPr>
      <w:rFonts w:cs="Times New Roman"/>
      <w:b/>
      <w:bCs/>
    </w:rPr>
  </w:style>
  <w:style w:type="paragraph" w:styleId="Kjene">
    <w:name w:val="footer"/>
    <w:basedOn w:val="Parastais"/>
    <w:link w:val="KjeneRakstz"/>
    <w:uiPriority w:val="99"/>
    <w:rsid w:val="00BA72C7"/>
    <w:pPr>
      <w:tabs>
        <w:tab w:val="center" w:pos="4153"/>
        <w:tab w:val="right" w:pos="8306"/>
      </w:tabs>
    </w:pPr>
  </w:style>
  <w:style w:type="character" w:customStyle="1" w:styleId="KjeneRakstz">
    <w:name w:val="Kājene Rakstz."/>
    <w:basedOn w:val="Noklusjumarindkopasfonts"/>
    <w:link w:val="Kjene"/>
    <w:uiPriority w:val="99"/>
    <w:semiHidden/>
    <w:locked/>
    <w:rsid w:val="008E18DD"/>
    <w:rPr>
      <w:rFonts w:cs="Times New Roman"/>
      <w:sz w:val="24"/>
      <w:szCs w:val="24"/>
      <w:lang w:val="lv-LV" w:eastAsia="lv-LV" w:bidi="ar-SA"/>
    </w:rPr>
  </w:style>
  <w:style w:type="paragraph" w:styleId="Pamattekstaatkpe2">
    <w:name w:val="Body Text Indent 2"/>
    <w:basedOn w:val="Parastais"/>
    <w:link w:val="Pamattekstaatkpe2Rakstz"/>
    <w:uiPriority w:val="99"/>
    <w:rsid w:val="006502CE"/>
    <w:pPr>
      <w:ind w:firstLine="435"/>
      <w:jc w:val="both"/>
    </w:pPr>
    <w:rPr>
      <w:szCs w:val="20"/>
      <w:lang w:eastAsia="en-US"/>
    </w:rPr>
  </w:style>
  <w:style w:type="character" w:customStyle="1" w:styleId="Pamattekstaatkpe2Rakstz">
    <w:name w:val="Pamatteksta atkāpe 2 Rakstz."/>
    <w:basedOn w:val="Noklusjumarindkopasfonts"/>
    <w:link w:val="Pamattekstaatkpe2"/>
    <w:uiPriority w:val="99"/>
    <w:semiHidden/>
    <w:locked/>
    <w:rsid w:val="00633747"/>
    <w:rPr>
      <w:rFonts w:cs="Times New Roman"/>
      <w:sz w:val="24"/>
      <w:szCs w:val="24"/>
    </w:rPr>
  </w:style>
  <w:style w:type="character" w:styleId="Komentraatsauce">
    <w:name w:val="annotation reference"/>
    <w:basedOn w:val="Noklusjumarindkopasfonts"/>
    <w:uiPriority w:val="99"/>
    <w:rsid w:val="006502CE"/>
    <w:rPr>
      <w:rFonts w:cs="Times New Roman"/>
      <w:sz w:val="16"/>
      <w:szCs w:val="16"/>
    </w:rPr>
  </w:style>
  <w:style w:type="paragraph" w:styleId="Komentrateksts">
    <w:name w:val="annotation text"/>
    <w:basedOn w:val="Parastais"/>
    <w:link w:val="KomentratekstsRakstz"/>
    <w:uiPriority w:val="99"/>
    <w:rsid w:val="006502CE"/>
    <w:rPr>
      <w:sz w:val="20"/>
      <w:szCs w:val="20"/>
    </w:rPr>
  </w:style>
  <w:style w:type="character" w:customStyle="1" w:styleId="KomentratekstsRakstz">
    <w:name w:val="Komentāra teksts Rakstz."/>
    <w:basedOn w:val="Noklusjumarindkopasfonts"/>
    <w:link w:val="Komentrateksts"/>
    <w:uiPriority w:val="99"/>
    <w:locked/>
    <w:rsid w:val="006502CE"/>
    <w:rPr>
      <w:rFonts w:cs="Times New Roman"/>
      <w:lang w:val="lv-LV" w:eastAsia="lv-LV" w:bidi="ar-SA"/>
    </w:rPr>
  </w:style>
  <w:style w:type="paragraph" w:styleId="Balonteksts">
    <w:name w:val="Balloon Text"/>
    <w:basedOn w:val="Parastais"/>
    <w:link w:val="BalontekstsRakstz"/>
    <w:uiPriority w:val="99"/>
    <w:semiHidden/>
    <w:rsid w:val="006502CE"/>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633747"/>
    <w:rPr>
      <w:rFonts w:cs="Times New Roman"/>
      <w:sz w:val="2"/>
    </w:rPr>
  </w:style>
  <w:style w:type="paragraph" w:styleId="ParastaisWeb">
    <w:name w:val="Normal (Web)"/>
    <w:basedOn w:val="Parastais"/>
    <w:uiPriority w:val="99"/>
    <w:rsid w:val="006502CE"/>
    <w:pPr>
      <w:spacing w:before="100" w:beforeAutospacing="1" w:after="100" w:afterAutospacing="1"/>
    </w:pPr>
    <w:rPr>
      <w:szCs w:val="20"/>
      <w:lang w:eastAsia="en-US"/>
    </w:rPr>
  </w:style>
  <w:style w:type="character" w:customStyle="1" w:styleId="th1">
    <w:name w:val="th1"/>
    <w:basedOn w:val="Noklusjumarindkopasfonts"/>
    <w:uiPriority w:val="99"/>
    <w:rsid w:val="008E18DD"/>
    <w:rPr>
      <w:rFonts w:cs="Times New Roman"/>
      <w:b/>
      <w:bCs/>
      <w:color w:val="333333"/>
    </w:rPr>
  </w:style>
  <w:style w:type="paragraph" w:styleId="Komentratma">
    <w:name w:val="annotation subject"/>
    <w:basedOn w:val="Komentrateksts"/>
    <w:next w:val="Komentrateksts"/>
    <w:link w:val="KomentratmaRakstz"/>
    <w:uiPriority w:val="99"/>
    <w:semiHidden/>
    <w:rsid w:val="00DD51E3"/>
    <w:rPr>
      <w:b/>
      <w:bCs/>
    </w:rPr>
  </w:style>
  <w:style w:type="character" w:customStyle="1" w:styleId="KomentratmaRakstz">
    <w:name w:val="Komentāra tēma Rakstz."/>
    <w:basedOn w:val="KomentratekstsRakstz"/>
    <w:link w:val="Komentratma"/>
    <w:uiPriority w:val="99"/>
    <w:semiHidden/>
    <w:locked/>
    <w:rsid w:val="00633747"/>
    <w:rPr>
      <w:b/>
      <w:bCs/>
      <w:sz w:val="20"/>
      <w:szCs w:val="20"/>
    </w:rPr>
  </w:style>
  <w:style w:type="paragraph" w:customStyle="1" w:styleId="naisc">
    <w:name w:val="naisc"/>
    <w:basedOn w:val="Parastais"/>
    <w:uiPriority w:val="99"/>
    <w:rsid w:val="000B6546"/>
    <w:pPr>
      <w:spacing w:before="75" w:after="75"/>
      <w:jc w:val="center"/>
    </w:pPr>
  </w:style>
  <w:style w:type="paragraph" w:styleId="Sarakstaaizzme">
    <w:name w:val="List Bullet"/>
    <w:basedOn w:val="Parastais"/>
    <w:uiPriority w:val="99"/>
    <w:rsid w:val="003D2AC3"/>
    <w:pPr>
      <w:numPr>
        <w:numId w:val="8"/>
      </w:numPr>
      <w:tabs>
        <w:tab w:val="clear" w:pos="720"/>
        <w:tab w:val="num" w:pos="360"/>
      </w:tabs>
      <w:ind w:left="360"/>
    </w:pPr>
  </w:style>
  <w:style w:type="paragraph" w:styleId="Pamattekstsaratkpi">
    <w:name w:val="Body Text Indent"/>
    <w:basedOn w:val="Parastais"/>
    <w:link w:val="PamattekstsaratkpiRakstz"/>
    <w:uiPriority w:val="99"/>
    <w:rsid w:val="00525F38"/>
    <w:pPr>
      <w:spacing w:after="120"/>
      <w:ind w:left="283"/>
    </w:pPr>
  </w:style>
  <w:style w:type="character" w:customStyle="1" w:styleId="PamattekstsaratkpiRakstz">
    <w:name w:val="Pamatteksts ar atkāpi Rakstz."/>
    <w:basedOn w:val="Noklusjumarindkopasfonts"/>
    <w:link w:val="Pamattekstsaratkpi"/>
    <w:uiPriority w:val="99"/>
    <w:locked/>
    <w:rsid w:val="00525F38"/>
    <w:rPr>
      <w:rFonts w:cs="Times New Roman"/>
      <w:sz w:val="24"/>
      <w:szCs w:val="24"/>
    </w:rPr>
  </w:style>
  <w:style w:type="paragraph" w:customStyle="1" w:styleId="vline">
    <w:name w:val="vline"/>
    <w:basedOn w:val="Parastais"/>
    <w:uiPriority w:val="99"/>
    <w:rsid w:val="005A20D5"/>
    <w:pPr>
      <w:spacing w:before="100" w:beforeAutospacing="1" w:after="100" w:afterAutospacing="1"/>
    </w:pPr>
  </w:style>
  <w:style w:type="paragraph" w:styleId="Dokumentakarte">
    <w:name w:val="Document Map"/>
    <w:basedOn w:val="Parastais"/>
    <w:link w:val="DokumentakarteRakstz"/>
    <w:uiPriority w:val="99"/>
    <w:semiHidden/>
    <w:rsid w:val="003A5604"/>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uiPriority w:val="99"/>
    <w:semiHidden/>
    <w:locked/>
    <w:rsid w:val="00633747"/>
    <w:rPr>
      <w:rFonts w:cs="Times New Roman"/>
      <w:sz w:val="2"/>
    </w:rPr>
  </w:style>
  <w:style w:type="character" w:styleId="Hipersaite">
    <w:name w:val="Hyperlink"/>
    <w:basedOn w:val="Noklusjumarindkopasfonts"/>
    <w:uiPriority w:val="99"/>
    <w:rsid w:val="006C7BF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02336265">
      <w:marLeft w:val="0"/>
      <w:marRight w:val="0"/>
      <w:marTop w:val="0"/>
      <w:marBottom w:val="0"/>
      <w:divBdr>
        <w:top w:val="none" w:sz="0" w:space="0" w:color="auto"/>
        <w:left w:val="none" w:sz="0" w:space="0" w:color="auto"/>
        <w:bottom w:val="none" w:sz="0" w:space="0" w:color="auto"/>
        <w:right w:val="none" w:sz="0" w:space="0" w:color="auto"/>
      </w:divBdr>
    </w:div>
    <w:div w:id="1802336266">
      <w:marLeft w:val="0"/>
      <w:marRight w:val="0"/>
      <w:marTop w:val="0"/>
      <w:marBottom w:val="0"/>
      <w:divBdr>
        <w:top w:val="none" w:sz="0" w:space="0" w:color="auto"/>
        <w:left w:val="none" w:sz="0" w:space="0" w:color="auto"/>
        <w:bottom w:val="none" w:sz="0" w:space="0" w:color="auto"/>
        <w:right w:val="none" w:sz="0" w:space="0" w:color="auto"/>
      </w:divBdr>
      <w:divsChild>
        <w:div w:id="1802336268">
          <w:marLeft w:val="0"/>
          <w:marRight w:val="0"/>
          <w:marTop w:val="0"/>
          <w:marBottom w:val="0"/>
          <w:divBdr>
            <w:top w:val="none" w:sz="0" w:space="0" w:color="auto"/>
            <w:left w:val="none" w:sz="0" w:space="0" w:color="auto"/>
            <w:bottom w:val="none" w:sz="0" w:space="0" w:color="auto"/>
            <w:right w:val="none" w:sz="0" w:space="0" w:color="auto"/>
          </w:divBdr>
          <w:divsChild>
            <w:div w:id="1802336272">
              <w:marLeft w:val="0"/>
              <w:marRight w:val="0"/>
              <w:marTop w:val="0"/>
              <w:marBottom w:val="0"/>
              <w:divBdr>
                <w:top w:val="none" w:sz="0" w:space="0" w:color="auto"/>
                <w:left w:val="none" w:sz="0" w:space="0" w:color="auto"/>
                <w:bottom w:val="none" w:sz="0" w:space="0" w:color="auto"/>
                <w:right w:val="none" w:sz="0" w:space="0" w:color="auto"/>
              </w:divBdr>
              <w:divsChild>
                <w:div w:id="1802336274">
                  <w:marLeft w:val="0"/>
                  <w:marRight w:val="0"/>
                  <w:marTop w:val="0"/>
                  <w:marBottom w:val="0"/>
                  <w:divBdr>
                    <w:top w:val="none" w:sz="0" w:space="0" w:color="auto"/>
                    <w:left w:val="none" w:sz="0" w:space="0" w:color="auto"/>
                    <w:bottom w:val="none" w:sz="0" w:space="0" w:color="auto"/>
                    <w:right w:val="none" w:sz="0" w:space="0" w:color="auto"/>
                  </w:divBdr>
                  <w:divsChild>
                    <w:div w:id="1802336271">
                      <w:marLeft w:val="0"/>
                      <w:marRight w:val="0"/>
                      <w:marTop w:val="0"/>
                      <w:marBottom w:val="0"/>
                      <w:divBdr>
                        <w:top w:val="none" w:sz="0" w:space="0" w:color="auto"/>
                        <w:left w:val="none" w:sz="0" w:space="0" w:color="auto"/>
                        <w:bottom w:val="none" w:sz="0" w:space="0" w:color="auto"/>
                        <w:right w:val="none" w:sz="0" w:space="0" w:color="auto"/>
                      </w:divBdr>
                      <w:divsChild>
                        <w:div w:id="1802336270">
                          <w:marLeft w:val="0"/>
                          <w:marRight w:val="0"/>
                          <w:marTop w:val="0"/>
                          <w:marBottom w:val="0"/>
                          <w:divBdr>
                            <w:top w:val="none" w:sz="0" w:space="0" w:color="auto"/>
                            <w:left w:val="none" w:sz="0" w:space="0" w:color="auto"/>
                            <w:bottom w:val="none" w:sz="0" w:space="0" w:color="auto"/>
                            <w:right w:val="none" w:sz="0" w:space="0" w:color="auto"/>
                          </w:divBdr>
                          <w:divsChild>
                            <w:div w:id="18023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336269">
      <w:marLeft w:val="0"/>
      <w:marRight w:val="0"/>
      <w:marTop w:val="0"/>
      <w:marBottom w:val="0"/>
      <w:divBdr>
        <w:top w:val="none" w:sz="0" w:space="0" w:color="auto"/>
        <w:left w:val="none" w:sz="0" w:space="0" w:color="auto"/>
        <w:bottom w:val="none" w:sz="0" w:space="0" w:color="auto"/>
        <w:right w:val="none" w:sz="0" w:space="0" w:color="auto"/>
      </w:divBdr>
    </w:div>
    <w:div w:id="1802336273">
      <w:marLeft w:val="0"/>
      <w:marRight w:val="0"/>
      <w:marTop w:val="0"/>
      <w:marBottom w:val="0"/>
      <w:divBdr>
        <w:top w:val="none" w:sz="0" w:space="0" w:color="auto"/>
        <w:left w:val="none" w:sz="0" w:space="0" w:color="auto"/>
        <w:bottom w:val="none" w:sz="0" w:space="0" w:color="auto"/>
        <w:right w:val="none" w:sz="0" w:space="0" w:color="auto"/>
      </w:divBdr>
    </w:div>
    <w:div w:id="1802336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1879</Words>
  <Characters>12312</Characters>
  <Application>Microsoft Office Word</Application>
  <DocSecurity>0</DocSecurity>
  <Lines>586</Lines>
  <Paragraphs>330</Paragraphs>
  <ScaleCrop>false</ScaleCrop>
  <Company>zm</Company>
  <LinksUpToDate>false</LinksUpToDate>
  <CharactersWithSpaces>13861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22.februāra noteikumos Nr.156 „Noteikumi par valsts aģentūras„Lauksaimniecības datu centrs” sniegto publisko maksas pakalpojumu cenrādi”</dc:title>
  <dc:subject>Anotācija</dc:subject>
  <dc:creator>Ligija Ozoliņa</dc:creator>
  <cp:keywords/>
  <dc:description>Ligija.Ozolina@zm.gov.lv, 67027422</dc:description>
  <cp:lastModifiedBy>Renārs Žagars</cp:lastModifiedBy>
  <cp:revision>5</cp:revision>
  <cp:lastPrinted>2011-07-21T10:59:00Z</cp:lastPrinted>
  <dcterms:created xsi:type="dcterms:W3CDTF">2012-03-21T10:19:00Z</dcterms:created>
  <dcterms:modified xsi:type="dcterms:W3CDTF">2012-03-21T11:00:00Z</dcterms:modified>
</cp:coreProperties>
</file>