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4F" w:rsidRPr="00CD3CA1" w:rsidRDefault="0035664F" w:rsidP="0049296D">
      <w:pPr>
        <w:pStyle w:val="Pamatteksts"/>
        <w:spacing w:after="0"/>
        <w:jc w:val="center"/>
        <w:rPr>
          <w:b/>
          <w:sz w:val="28"/>
          <w:szCs w:val="28"/>
        </w:rPr>
      </w:pPr>
      <w:r w:rsidRPr="00CD3CA1">
        <w:rPr>
          <w:b/>
          <w:sz w:val="28"/>
          <w:szCs w:val="28"/>
        </w:rPr>
        <w:t>Ministru kabineta noteikumu projekta</w:t>
      </w:r>
    </w:p>
    <w:p w:rsidR="0035664F" w:rsidRPr="00CD3CA1" w:rsidRDefault="0035664F" w:rsidP="00841476">
      <w:pPr>
        <w:pStyle w:val="naisvisr"/>
        <w:spacing w:before="0" w:after="0"/>
      </w:pPr>
      <w:r w:rsidRPr="00CD3CA1">
        <w:t>„Lauksai</w:t>
      </w:r>
      <w:r w:rsidR="00841476">
        <w:t>mniecības datu centra nolikums</w:t>
      </w:r>
      <w:r w:rsidRPr="00CD3CA1">
        <w:t>”</w:t>
      </w:r>
    </w:p>
    <w:p w:rsidR="0035664F" w:rsidRPr="00CD3CA1" w:rsidRDefault="0035664F" w:rsidP="0049296D">
      <w:pPr>
        <w:jc w:val="center"/>
        <w:rPr>
          <w:b/>
          <w:sz w:val="28"/>
          <w:szCs w:val="28"/>
        </w:rPr>
      </w:pPr>
      <w:r w:rsidRPr="00CD3CA1">
        <w:rPr>
          <w:b/>
          <w:sz w:val="28"/>
          <w:szCs w:val="28"/>
        </w:rPr>
        <w:t xml:space="preserve">sākotnējās ietekmes novērtējuma </w:t>
      </w:r>
      <w:smartTag w:uri="schemas-tilde-lv/tildestengine" w:element="veidnes">
        <w:smartTagPr>
          <w:attr w:name="id" w:val="-1"/>
          <w:attr w:name="baseform" w:val="ziņojum|s"/>
          <w:attr w:name="text" w:val="ziņojums"/>
        </w:smartTagPr>
        <w:r w:rsidRPr="00CD3CA1">
          <w:rPr>
            <w:b/>
            <w:sz w:val="28"/>
            <w:szCs w:val="28"/>
          </w:rPr>
          <w:t>ziņojums</w:t>
        </w:r>
      </w:smartTag>
      <w:r w:rsidRPr="00CD3CA1">
        <w:rPr>
          <w:b/>
          <w:sz w:val="28"/>
          <w:szCs w:val="28"/>
        </w:rPr>
        <w:t xml:space="preserve"> (anotācija)</w:t>
      </w:r>
    </w:p>
    <w:p w:rsidR="0035664F" w:rsidRPr="00CD3CA1" w:rsidRDefault="0035664F" w:rsidP="00FA338D">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7559"/>
      </w:tblGrid>
      <w:tr w:rsidR="0035664F" w:rsidRPr="00CD3CA1" w:rsidTr="003A5604">
        <w:tc>
          <w:tcPr>
            <w:tcW w:w="9539" w:type="dxa"/>
            <w:gridSpan w:val="3"/>
          </w:tcPr>
          <w:p w:rsidR="0035664F" w:rsidRPr="00CD3CA1" w:rsidRDefault="0035664F" w:rsidP="00B04F23">
            <w:pPr>
              <w:pStyle w:val="naislab"/>
              <w:spacing w:before="0" w:after="0"/>
              <w:jc w:val="center"/>
              <w:outlineLvl w:val="0"/>
              <w:rPr>
                <w:b/>
                <w:sz w:val="28"/>
                <w:szCs w:val="28"/>
              </w:rPr>
            </w:pPr>
            <w:r w:rsidRPr="00CD3CA1">
              <w:rPr>
                <w:b/>
              </w:rPr>
              <w:t>I. Tiesību akta projekta izstrādes nepieciešamība</w:t>
            </w:r>
          </w:p>
        </w:tc>
      </w:tr>
      <w:tr w:rsidR="0035664F" w:rsidRPr="00CD3CA1" w:rsidTr="003A5604">
        <w:tc>
          <w:tcPr>
            <w:tcW w:w="540" w:type="dxa"/>
          </w:tcPr>
          <w:p w:rsidR="0035664F" w:rsidRPr="00CD3CA1" w:rsidRDefault="0035664F" w:rsidP="00B04F23">
            <w:pPr>
              <w:pStyle w:val="naislab"/>
              <w:spacing w:before="0" w:after="0"/>
              <w:jc w:val="center"/>
              <w:outlineLvl w:val="0"/>
              <w:rPr>
                <w:sz w:val="28"/>
                <w:szCs w:val="28"/>
              </w:rPr>
            </w:pPr>
            <w:r w:rsidRPr="00CD3CA1">
              <w:rPr>
                <w:sz w:val="22"/>
                <w:szCs w:val="22"/>
              </w:rPr>
              <w:t>1.</w:t>
            </w:r>
          </w:p>
        </w:tc>
        <w:tc>
          <w:tcPr>
            <w:tcW w:w="1440" w:type="dxa"/>
          </w:tcPr>
          <w:p w:rsidR="0035664F" w:rsidRPr="00CD3CA1" w:rsidRDefault="0035664F" w:rsidP="00B04F23">
            <w:pPr>
              <w:pStyle w:val="naislab"/>
              <w:spacing w:before="0" w:after="0"/>
              <w:jc w:val="both"/>
              <w:outlineLvl w:val="0"/>
              <w:rPr>
                <w:sz w:val="28"/>
                <w:szCs w:val="28"/>
              </w:rPr>
            </w:pPr>
            <w:r w:rsidRPr="00CD3CA1">
              <w:rPr>
                <w:sz w:val="22"/>
                <w:szCs w:val="22"/>
              </w:rPr>
              <w:t>Pamatojums</w:t>
            </w:r>
          </w:p>
        </w:tc>
        <w:tc>
          <w:tcPr>
            <w:tcW w:w="7559" w:type="dxa"/>
          </w:tcPr>
          <w:p w:rsidR="0035664F" w:rsidRPr="00CD3CA1" w:rsidRDefault="0035664F" w:rsidP="002A6D87">
            <w:pPr>
              <w:jc w:val="both"/>
            </w:pPr>
            <w:r w:rsidRPr="00CD3CA1">
              <w:t>Saskaņā ar Publisko aģentūru likuma pārejas noteikumu 2. punktu m</w:t>
            </w:r>
            <w:r w:rsidRPr="00CD3CA1">
              <w:rPr>
                <w:color w:val="000000"/>
                <w:shd w:val="clear" w:color="auto" w:fill="FFFFFF"/>
              </w:rPr>
              <w:t xml:space="preserve">inistrijas izvērtē valsts aģentūru darbības atbilstību šā likuma prasībām, un Ministru kabinets līdz 2013.gada 1.janvārim pieņem lēmumu par attiecīgās aģentūras darbības turpināšanu, aģentūras likvidēšanu vai reorganizēšanu, ievērojot Valsts pārvaldes iekārtas likuma 15.pantā noteiktās prasības. Atbilstoši šim uzdevumam Zemkopības </w:t>
            </w:r>
            <w:r w:rsidRPr="00CD3CA1">
              <w:t>ministrija (turpmāk</w:t>
            </w:r>
            <w:r w:rsidR="00F00385">
              <w:t xml:space="preserve"> – </w:t>
            </w:r>
            <w:r w:rsidRPr="00CD3CA1">
              <w:t>Z</w:t>
            </w:r>
            <w:r w:rsidRPr="00CD3CA1">
              <w:rPr>
                <w:color w:val="000000"/>
                <w:shd w:val="clear" w:color="auto" w:fill="FFFFFF"/>
              </w:rPr>
              <w:t xml:space="preserve">M) ir sagatavojusi </w:t>
            </w:r>
            <w:r w:rsidRPr="00CD3CA1">
              <w:t>noteikumu projektu „Lauksaimniecības datu centra nolikums” (turpmāk</w:t>
            </w:r>
            <w:r w:rsidR="00FB7A69">
              <w:t xml:space="preserve"> </w:t>
            </w:r>
            <w:r w:rsidR="00F00385">
              <w:t>–</w:t>
            </w:r>
            <w:r w:rsidRPr="00CD3CA1">
              <w:t xml:space="preserve"> noteikumu projekts).</w:t>
            </w:r>
          </w:p>
        </w:tc>
      </w:tr>
      <w:tr w:rsidR="0035664F" w:rsidRPr="00CD3CA1" w:rsidTr="004815CB">
        <w:trPr>
          <w:trHeight w:val="1691"/>
        </w:trPr>
        <w:tc>
          <w:tcPr>
            <w:tcW w:w="540" w:type="dxa"/>
          </w:tcPr>
          <w:p w:rsidR="0035664F" w:rsidRPr="00CD3CA1" w:rsidRDefault="0035664F" w:rsidP="00B04F23">
            <w:pPr>
              <w:pStyle w:val="naislab"/>
              <w:spacing w:before="0" w:after="0"/>
              <w:jc w:val="center"/>
              <w:outlineLvl w:val="0"/>
              <w:rPr>
                <w:sz w:val="28"/>
                <w:szCs w:val="28"/>
              </w:rPr>
            </w:pPr>
            <w:r w:rsidRPr="00CD3CA1">
              <w:rPr>
                <w:sz w:val="22"/>
                <w:szCs w:val="22"/>
              </w:rPr>
              <w:t>2.</w:t>
            </w:r>
          </w:p>
        </w:tc>
        <w:tc>
          <w:tcPr>
            <w:tcW w:w="1440" w:type="dxa"/>
          </w:tcPr>
          <w:p w:rsidR="0035664F" w:rsidRPr="00CD3CA1" w:rsidRDefault="0035664F" w:rsidP="00B04F23">
            <w:pPr>
              <w:pStyle w:val="naislab"/>
              <w:spacing w:before="0" w:after="0"/>
              <w:jc w:val="both"/>
              <w:outlineLvl w:val="0"/>
              <w:rPr>
                <w:sz w:val="28"/>
                <w:szCs w:val="28"/>
              </w:rPr>
            </w:pPr>
            <w:r w:rsidRPr="00CD3CA1">
              <w:rPr>
                <w:sz w:val="22"/>
                <w:szCs w:val="22"/>
              </w:rPr>
              <w:t>Pašreizējā situācija un problēmas</w:t>
            </w:r>
          </w:p>
        </w:tc>
        <w:tc>
          <w:tcPr>
            <w:tcW w:w="7559" w:type="dxa"/>
          </w:tcPr>
          <w:p w:rsidR="0035664F" w:rsidRPr="004E3BE6" w:rsidRDefault="0035664F" w:rsidP="000E1D30">
            <w:pPr>
              <w:jc w:val="both"/>
              <w:rPr>
                <w:shd w:val="clear" w:color="auto" w:fill="FFFFFF"/>
              </w:rPr>
            </w:pPr>
            <w:r w:rsidRPr="004E3BE6">
              <w:t xml:space="preserve">Saskaņā ar Publisko aģentūru likuma pārejas noteikumu 4. punktu </w:t>
            </w:r>
            <w:r w:rsidRPr="004E3BE6">
              <w:rPr>
                <w:shd w:val="clear" w:color="auto" w:fill="FFFFFF"/>
              </w:rPr>
              <w:t xml:space="preserve">Ministru kabinets līdz 2013.gada 1.janvārim nodrošina nepieciešamo normatīvo </w:t>
            </w:r>
            <w:smartTag w:uri="schemas-tilde-lv/tildestengine" w:element="veidnes">
              <w:smartTagPr>
                <w:attr w:name="text" w:val="aktu"/>
                <w:attr w:name="id" w:val="-1"/>
                <w:attr w:name="baseform" w:val="akt|s"/>
              </w:smartTagPr>
              <w:r w:rsidRPr="004E3BE6">
                <w:rPr>
                  <w:shd w:val="clear" w:color="auto" w:fill="FFFFFF"/>
                </w:rPr>
                <w:t>aktu</w:t>
              </w:r>
            </w:smartTag>
            <w:r w:rsidRPr="004E3BE6">
              <w:rPr>
                <w:shd w:val="clear" w:color="auto" w:fill="FFFFFF"/>
              </w:rPr>
              <w:t xml:space="preserve"> projektu izstrādi atbilstoši šā likuma prasībām.</w:t>
            </w:r>
          </w:p>
          <w:p w:rsidR="0035664F" w:rsidRPr="004E3BE6" w:rsidRDefault="0035664F" w:rsidP="000E1D30">
            <w:pPr>
              <w:jc w:val="both"/>
            </w:pPr>
            <w:r w:rsidRPr="004E3BE6">
              <w:t xml:space="preserve">ZM pārraudzībā ir </w:t>
            </w:r>
            <w:r w:rsidR="00424F61" w:rsidRPr="004E3BE6">
              <w:t xml:space="preserve">valsts aģentūra „Lauksaimniecības datu centrs” (turpmāk </w:t>
            </w:r>
            <w:r w:rsidR="00F00385">
              <w:t>–</w:t>
            </w:r>
            <w:r w:rsidR="00424F61" w:rsidRPr="004E3BE6">
              <w:t xml:space="preserve"> Centrs), kuras darbību reglamentē Ministru kabineta 2011. gada 21. jūnija noteikumi Nr. 476 „Valsts aģentūras </w:t>
            </w:r>
            <w:r w:rsidR="00F00385">
              <w:t>„</w:t>
            </w:r>
            <w:r w:rsidR="00424F61" w:rsidRPr="004E3BE6">
              <w:t>Lauksaimniecības datu centrs</w:t>
            </w:r>
            <w:r w:rsidR="00F00385">
              <w:t>”</w:t>
            </w:r>
            <w:r w:rsidR="00424F61" w:rsidRPr="004E3BE6">
              <w:t xml:space="preserve"> </w:t>
            </w:r>
            <w:smartTag w:uri="schemas-tilde-lv/tildestengine" w:element="veidnes">
              <w:smartTagPr>
                <w:attr w:name="text" w:val="nolikums"/>
                <w:attr w:name="id" w:val="-1"/>
                <w:attr w:name="baseform" w:val="nolikum|s"/>
              </w:smartTagPr>
              <w:r w:rsidR="00424F61" w:rsidRPr="004E3BE6">
                <w:t>nolikums</w:t>
              </w:r>
            </w:smartTag>
            <w:r w:rsidR="00424F61" w:rsidRPr="004E3BE6">
              <w:t>” (turpmāk – noteikumi Nr. 476).</w:t>
            </w:r>
          </w:p>
          <w:p w:rsidR="0035664F" w:rsidRPr="004E3BE6" w:rsidRDefault="00424F61" w:rsidP="00841B82">
            <w:pPr>
              <w:ind w:right="69"/>
              <w:jc w:val="both"/>
            </w:pPr>
            <w:r w:rsidRPr="004E3BE6">
              <w:t xml:space="preserve">Saskaņā ar Publisko aģentūru likuma 3.panta pirmo daļu valsts var izveidot valsts aģentūras, lai nodrošinātu pakalpojumu sniegšanu pārvaldes uzdevumu īstenošanā. </w:t>
            </w:r>
            <w:r w:rsidR="00F00385">
              <w:t>Pamatojoties uz</w:t>
            </w:r>
            <w:r w:rsidRPr="004E3BE6">
              <w:t xml:space="preserve"> minētā likuma 4.pantu</w:t>
            </w:r>
            <w:r w:rsidR="00F00385">
              <w:t>,</w:t>
            </w:r>
            <w:r w:rsidRPr="004E3BE6">
              <w:t xml:space="preserve"> valsts aģentūras nodrošina pakalpojumu sniegšanu </w:t>
            </w:r>
            <w:r w:rsidR="00F00385">
              <w:t xml:space="preserve">saskaņā ar </w:t>
            </w:r>
            <w:r w:rsidRPr="004E3BE6">
              <w:t>likumos un M</w:t>
            </w:r>
            <w:r w:rsidR="00F00385">
              <w:t>inistru kabineta</w:t>
            </w:r>
            <w:r w:rsidRPr="004E3BE6">
              <w:t xml:space="preserve"> noteikumos noteikt</w:t>
            </w:r>
            <w:r w:rsidR="00F00385">
              <w:t>ajiem</w:t>
            </w:r>
            <w:r w:rsidRPr="004E3BE6">
              <w:t xml:space="preserve"> valsts pārvaldes uzdevum</w:t>
            </w:r>
            <w:r w:rsidR="00F00385">
              <w:t>iem</w:t>
            </w:r>
            <w:r w:rsidRPr="004E3BE6">
              <w:t xml:space="preserve"> no ieņēmumiem par sniegtajiem maksas pakalpojumiem, citiem pašu ieņēmumiem, dāvinājumiem, ziedojumiem un ārvalstu finanšu palīdzības.</w:t>
            </w:r>
          </w:p>
          <w:p w:rsidR="0035664F" w:rsidRPr="004E3BE6" w:rsidRDefault="00424F61" w:rsidP="000E1D30">
            <w:pPr>
              <w:ind w:right="69"/>
              <w:jc w:val="both"/>
            </w:pPr>
            <w:r w:rsidRPr="004E3BE6">
              <w:t>Valsts pārvaldes iekārtas likuma 9.pants nosaka, ka valsts pārvalde, tai skaitā tiešās pārvaldes iestādes, M</w:t>
            </w:r>
            <w:r w:rsidR="00F00385">
              <w:t>inistru kabineta</w:t>
            </w:r>
            <w:r w:rsidRPr="004E3BE6">
              <w:t xml:space="preserve"> vadībā pilda valsts pārvaldes funkcijas, kas </w:t>
            </w:r>
            <w:r w:rsidR="00F00385">
              <w:t>ietver</w:t>
            </w:r>
            <w:r w:rsidRPr="004E3BE6">
              <w:t xml:space="preserve"> atsevišķ</w:t>
            </w:r>
            <w:r w:rsidR="00F00385">
              <w:t>us</w:t>
            </w:r>
            <w:r w:rsidRPr="004E3BE6">
              <w:t xml:space="preserve"> pārvaldes uzdevum</w:t>
            </w:r>
            <w:r w:rsidR="00F00385">
              <w:t>us</w:t>
            </w:r>
            <w:r w:rsidRPr="004E3BE6">
              <w:t xml:space="preserve"> un atbildīb</w:t>
            </w:r>
            <w:r w:rsidR="00F00385">
              <w:t>u</w:t>
            </w:r>
            <w:r w:rsidRPr="004E3BE6">
              <w:t xml:space="preserve"> par to izpildi. Tiešās pārvaldes iestādes funkciju izpild</w:t>
            </w:r>
            <w:r w:rsidR="00F00385">
              <w:t>e tiek</w:t>
            </w:r>
            <w:r w:rsidRPr="004E3BE6">
              <w:t xml:space="preserve"> nodrošin</w:t>
            </w:r>
            <w:r w:rsidR="00F00385">
              <w:t>āt</w:t>
            </w:r>
            <w:r w:rsidRPr="004E3BE6">
              <w:t>a saskaņā ar likumā „Par budžetu un finanšu vadību” noteikto kārtību no budžeta līdzekļiem.</w:t>
            </w:r>
          </w:p>
          <w:p w:rsidR="0035664F" w:rsidRPr="004E3BE6" w:rsidRDefault="00424F61" w:rsidP="00025888">
            <w:pPr>
              <w:ind w:right="69"/>
              <w:jc w:val="both"/>
            </w:pPr>
            <w:r w:rsidRPr="004E3BE6">
              <w:t xml:space="preserve">Centrs nodrošina valsts funkciju izpildi atbilstoši likumam „Par budžetu un finanšu vadību” un citiem normatīvajiem aktiem, kas </w:t>
            </w:r>
            <w:r w:rsidR="00F00385">
              <w:t xml:space="preserve">ir </w:t>
            </w:r>
            <w:r w:rsidRPr="004E3BE6">
              <w:t xml:space="preserve">saistoši tiešās pārvaldes iestādēm. Saskaņā ar iepriekš minētā likuma 5.panta pirmo daļu Centrs ir valsts budžeta iestāde, kas saņem un izlieto valsts funkciju izpildei valsts budžeta līdzekļus (dotācijas un ieņēmumus no sniegtajiem maksas pakalpojumiem) ārējos normatīvajos aktos paredzētajos gadījumos, lai nodrošinātu sabiedrības vajadzību ievērošanu. </w:t>
            </w:r>
          </w:p>
          <w:p w:rsidR="0035664F" w:rsidRPr="004E3BE6" w:rsidRDefault="00424F61" w:rsidP="001F555C">
            <w:pPr>
              <w:tabs>
                <w:tab w:val="left" w:pos="1134"/>
                <w:tab w:val="left" w:pos="1276"/>
              </w:tabs>
              <w:jc w:val="both"/>
            </w:pPr>
            <w:r w:rsidRPr="004E3BE6">
              <w:t xml:space="preserve">Centrs </w:t>
            </w:r>
            <w:r w:rsidR="00F00385">
              <w:t>pilda</w:t>
            </w:r>
            <w:r w:rsidRPr="004E3BE6">
              <w:t xml:space="preserve"> šād</w:t>
            </w:r>
            <w:r w:rsidR="00F00385">
              <w:t>as</w:t>
            </w:r>
            <w:r w:rsidRPr="004E3BE6">
              <w:t xml:space="preserve"> funkcij</w:t>
            </w:r>
            <w:r w:rsidR="00F00385">
              <w:t>as</w:t>
            </w:r>
            <w:r w:rsidRPr="004E3BE6">
              <w:t>:</w:t>
            </w:r>
          </w:p>
          <w:p w:rsidR="00C42445" w:rsidRPr="004E3BE6" w:rsidRDefault="00424F61" w:rsidP="00C42445">
            <w:pPr>
              <w:tabs>
                <w:tab w:val="left" w:pos="1134"/>
                <w:tab w:val="left" w:pos="1276"/>
              </w:tabs>
              <w:jc w:val="both"/>
            </w:pPr>
            <w:r w:rsidRPr="004E3BE6">
              <w:t xml:space="preserve">1) </w:t>
            </w:r>
            <w:r w:rsidR="00C42445" w:rsidRPr="004E3BE6">
              <w:t>nodrošina valsts pārvaldes funkciju veikšanai nepieciešamo informāciju lopkopības nozarē</w:t>
            </w:r>
            <w:r w:rsidR="00F00385">
              <w:t>.</w:t>
            </w:r>
          </w:p>
          <w:p w:rsidR="00894E1B" w:rsidRDefault="00424F61" w:rsidP="00C46492">
            <w:pPr>
              <w:jc w:val="both"/>
            </w:pPr>
            <w:r w:rsidRPr="004E3BE6">
              <w:t>Minētās funkcijas izpilde nav saistīta ar pakalpojumu sniegšanu. Izmantojot Centra datubāzes</w:t>
            </w:r>
            <w:r w:rsidR="00F00385">
              <w:t>,</w:t>
            </w:r>
            <w:r w:rsidRPr="004E3BE6">
              <w:t xml:space="preserve"> Pārtikas un veterinārais dienests uzrauga un kontrolē š</w:t>
            </w:r>
            <w:r w:rsidR="00F00385">
              <w:t>ād</w:t>
            </w:r>
            <w:r w:rsidRPr="004E3BE6">
              <w:t>as jomas: veterinārmedicīnas jomu, lauksaimniecības dzīvnieku un mājas (istabas) dzīvnieku ciltsdarba jomu, piena ražošanas jom</w:t>
            </w:r>
            <w:r w:rsidR="00F00385">
              <w:t>u</w:t>
            </w:r>
            <w:r w:rsidRPr="004E3BE6">
              <w:t xml:space="preserve"> (</w:t>
            </w:r>
            <w:r w:rsidR="00F00385">
              <w:t>arī</w:t>
            </w:r>
            <w:r w:rsidRPr="004E3BE6">
              <w:t xml:space="preserve"> piena kvotas un svaigpiena kvalitāti)</w:t>
            </w:r>
            <w:r w:rsidR="00F00385">
              <w:t xml:space="preserve"> un</w:t>
            </w:r>
            <w:r w:rsidRPr="004E3BE6">
              <w:t xml:space="preserve"> bioloģiskās lauksaimniecības jomu. Centrs nodrošina arī informāciju valsts un Eiropas Savienības atbalsta saņemšanai</w:t>
            </w:r>
            <w:r w:rsidR="007742BE" w:rsidRPr="004E3BE6">
              <w:t xml:space="preserve"> (Zemkop</w:t>
            </w:r>
            <w:r w:rsidR="00062FEE" w:rsidRPr="004E3BE6">
              <w:t>ības ministrijai</w:t>
            </w:r>
            <w:r w:rsidR="00F84B5F" w:rsidRPr="004E3BE6">
              <w:t>,</w:t>
            </w:r>
            <w:r w:rsidR="00062FEE" w:rsidRPr="004E3BE6">
              <w:t xml:space="preserve"> Eiropas Komisijai,</w:t>
            </w:r>
            <w:r w:rsidR="00F84B5F" w:rsidRPr="004E3BE6">
              <w:t xml:space="preserve"> Lauku atbalsta </w:t>
            </w:r>
            <w:r w:rsidR="00F84B5F" w:rsidRPr="004E3BE6">
              <w:lastRenderedPageBreak/>
              <w:t>dienestam</w:t>
            </w:r>
            <w:r w:rsidR="00062FEE" w:rsidRPr="004E3BE6">
              <w:t>, šķirnes lauksaimniecības dzīvnieku audzētāju organizācijām</w:t>
            </w:r>
            <w:r w:rsidR="0070072A" w:rsidRPr="004E3BE6">
              <w:t>)</w:t>
            </w:r>
            <w:r w:rsidRPr="004E3BE6">
              <w:t xml:space="preserve"> </w:t>
            </w:r>
            <w:r w:rsidR="00894E1B" w:rsidRPr="004E3BE6">
              <w:t>un integrētās administrēšanas un kontroles sistēmai</w:t>
            </w:r>
            <w:r w:rsidR="00F00385">
              <w:t>;</w:t>
            </w:r>
          </w:p>
          <w:p w:rsidR="00C42445" w:rsidRPr="004E3BE6" w:rsidRDefault="00C42445" w:rsidP="00C42445">
            <w:pPr>
              <w:tabs>
                <w:tab w:val="left" w:pos="1134"/>
                <w:tab w:val="left" w:pos="1276"/>
              </w:tabs>
              <w:jc w:val="both"/>
            </w:pPr>
            <w:r w:rsidRPr="004E3BE6">
              <w:t>2)</w:t>
            </w:r>
            <w:r w:rsidR="00884430" w:rsidRPr="004E3BE6">
              <w:rPr>
                <w:sz w:val="28"/>
                <w:szCs w:val="28"/>
              </w:rPr>
              <w:t xml:space="preserve"> </w:t>
            </w:r>
            <w:r w:rsidR="00884430" w:rsidRPr="004E3BE6">
              <w:t>īsteno valsts un starptautisko politiku attiecībā uz ganāmpulkiem, novietnēm, lauksaimniecības dzīvniekiem, lauksaimniecības dzīvnieku īpašniekiem (turētājiem), dzīvnieku barības apritē un lauksaimniecības dzīvnieku ciltsdarba pakalpojumu sniegšanā iesaistītajām sertificētajām personām, bioloģiskām saimniecībām lopkopībā, veterinārās informācijas sistēmu, kā arī lauksaimniecības dzīvnieku ciltsdarbu, lauksaimniecības dzīvnieku ciltsdarba organizācijām un piena kvotām</w:t>
            </w:r>
            <w:r w:rsidR="00CD5B25" w:rsidRPr="004E3BE6">
              <w:t>.</w:t>
            </w:r>
          </w:p>
          <w:p w:rsidR="00424635" w:rsidRPr="004E3BE6" w:rsidRDefault="00F00385" w:rsidP="00EC1BA9">
            <w:pPr>
              <w:tabs>
                <w:tab w:val="left" w:pos="1134"/>
                <w:tab w:val="left" w:pos="1276"/>
              </w:tabs>
              <w:jc w:val="both"/>
            </w:pPr>
            <w:r>
              <w:t>Pildot šo f</w:t>
            </w:r>
            <w:r w:rsidR="00424F61" w:rsidRPr="004E3BE6">
              <w:t>unkcij</w:t>
            </w:r>
            <w:r>
              <w:t>u,</w:t>
            </w:r>
            <w:r w:rsidR="00424F61" w:rsidRPr="004E3BE6">
              <w:t xml:space="preserve"> Centrs veic ganāmpulku, novietņu un lauksaimniecības dzīvnieku reģistrēšanu atbilstoši ES prasībām un M</w:t>
            </w:r>
            <w:r>
              <w:t>inistru kabineta</w:t>
            </w:r>
            <w:r w:rsidR="00424F61" w:rsidRPr="004E3BE6">
              <w:t xml:space="preserve"> noteikumiem, uztur bioloģiskās lauksaimniecības statistikas informācijas sistēmu, t</w:t>
            </w:r>
            <w:r>
              <w:t>ostarp</w:t>
            </w:r>
            <w:r w:rsidR="00424F61" w:rsidRPr="004E3BE6">
              <w:t xml:space="preserve"> bioloģiskās lauksaimniecības statistikas klasifikatoru, sagatavo informācijas kopsavilkumus un informāciju par bioloģiski audzēto lauksaimniecības dzīvnieku skaitu, izveido un uztur vienotu svaigpiena kvalitātes datubāzi, izsniedz sertifikātus lauksaimniecības dzīvnieku pārraudzības, vērtēšanas, mākslīgās apsēklošanas, olšūnu un embriju transplantācijas darba veicējiem, veic dažādas ar piena kvotu administrēšanu saistītas darbības (apstiprina piena pircējus, uzrauga kopējo piena kvotu izpildi, veic katra ražotāja gan tiešās tirdzniecības kvotas, gan piegādes kvotas neizmantotās daļas pārdali, uztur piena kvotas pārdošanas un pirkšanas piedāvājumu informatīvo datubāzi un reģistrē piena kvotas pirkšanas, pārdošanas un pārveidošanas darījumus, reģistrē piena piegādes un tiešās tirdzniecības datus, administrē kvotas piešķiršanu no valsts rezerves, katru gadu izlīdzina ražotāju un kopējo valsts piegādes kvotu, katram ražotājam aprēķina maksājumu par pārsniegto kvotas apjomu, aprēķina piegādes kvotas reprezentatīvo tauku saturu ražotājam u.c.).</w:t>
            </w:r>
          </w:p>
          <w:p w:rsidR="007A2428" w:rsidRPr="004E3BE6" w:rsidRDefault="00F00385" w:rsidP="007A2428">
            <w:pPr>
              <w:jc w:val="both"/>
            </w:pPr>
            <w:r>
              <w:t>Saistībā ar šīs f</w:t>
            </w:r>
            <w:r w:rsidRPr="004E3BE6">
              <w:t>unkcij</w:t>
            </w:r>
            <w:r>
              <w:t>as izpildi</w:t>
            </w:r>
            <w:r w:rsidRPr="004E3BE6">
              <w:t xml:space="preserve"> </w:t>
            </w:r>
            <w:r w:rsidR="00424F61" w:rsidRPr="004E3BE6">
              <w:t>Centrs sniedz arī šādus maksas pakalpojumus:</w:t>
            </w:r>
          </w:p>
          <w:p w:rsidR="007A2428" w:rsidRPr="004E3BE6" w:rsidRDefault="00F00385" w:rsidP="007A2428">
            <w:pPr>
              <w:jc w:val="both"/>
            </w:pPr>
            <w:r>
              <w:t>a)</w:t>
            </w:r>
            <w:r w:rsidR="00424F61" w:rsidRPr="004E3BE6">
              <w:t xml:space="preserve"> izsniedz lauksaimniecības dzīvnieku īpašniekiem dzīvnieku apzīmēšanas komplektus un dzīvnieku uzskaites žurnālus;</w:t>
            </w:r>
          </w:p>
          <w:p w:rsidR="007A2428" w:rsidRPr="004E3BE6" w:rsidRDefault="00F00385" w:rsidP="007A2428">
            <w:pPr>
              <w:jc w:val="both"/>
            </w:pPr>
            <w:r>
              <w:t>b)</w:t>
            </w:r>
            <w:r w:rsidR="00424F61" w:rsidRPr="004E3BE6">
              <w:t xml:space="preserve"> sagatavo un izsniedz liellopu pases un lauksaimniecības dzīvnieku apzīmēšanas aktus;</w:t>
            </w:r>
          </w:p>
          <w:p w:rsidR="007A2428" w:rsidRPr="004E3BE6" w:rsidRDefault="00F00385" w:rsidP="007A2428">
            <w:pPr>
              <w:jc w:val="both"/>
            </w:pPr>
            <w:r>
              <w:t>c)</w:t>
            </w:r>
            <w:r w:rsidR="00424F61" w:rsidRPr="004E3BE6">
              <w:t xml:space="preserve"> piešķir statusu lauksaimniecības dzīvnieku audzētāju organizācijām (statusa pagarināšana minētajām organizācijām ir bez maksas);</w:t>
            </w:r>
          </w:p>
          <w:p w:rsidR="007A2428" w:rsidRPr="004E3BE6" w:rsidRDefault="00F00385" w:rsidP="007A2428">
            <w:pPr>
              <w:jc w:val="both"/>
            </w:pPr>
            <w:r>
              <w:t>d)</w:t>
            </w:r>
            <w:r w:rsidR="00424F61" w:rsidRPr="004E3BE6">
              <w:t xml:space="preserve"> izsniedz apliecības pārraudzības un mākslīgās apsēklošanas darba veikšanai;</w:t>
            </w:r>
          </w:p>
          <w:p w:rsidR="007A2428" w:rsidRPr="004E3BE6" w:rsidRDefault="00F00385" w:rsidP="007A2428">
            <w:pPr>
              <w:jc w:val="both"/>
            </w:pPr>
            <w:r>
              <w:t>e)</w:t>
            </w:r>
            <w:r w:rsidR="00424F61" w:rsidRPr="004E3BE6">
              <w:t xml:space="preserve"> sagatavo izziņas;</w:t>
            </w:r>
          </w:p>
          <w:p w:rsidR="0063661D" w:rsidRPr="004E3BE6" w:rsidRDefault="00F00385" w:rsidP="0063661D">
            <w:pPr>
              <w:jc w:val="both"/>
            </w:pPr>
            <w:r>
              <w:t xml:space="preserve">f) </w:t>
            </w:r>
            <w:r w:rsidR="00424F61" w:rsidRPr="004E3BE6">
              <w:t>sagatavo datus no datubāzēm un izsniedz autorizētas pieejas datubāzei</w:t>
            </w:r>
            <w:r>
              <w:t>;</w:t>
            </w:r>
          </w:p>
          <w:p w:rsidR="00C42445" w:rsidRPr="004E3BE6" w:rsidRDefault="00424F61" w:rsidP="00C42445">
            <w:pPr>
              <w:tabs>
                <w:tab w:val="left" w:pos="1134"/>
                <w:tab w:val="left" w:pos="1276"/>
              </w:tabs>
              <w:jc w:val="both"/>
            </w:pPr>
            <w:r w:rsidRPr="004E3BE6">
              <w:t xml:space="preserve">3) </w:t>
            </w:r>
            <w:r w:rsidR="00C42445" w:rsidRPr="004E3BE6">
              <w:t>ievieš, uztur un attīsta valstī vienotu ciltsdarba informācijas sistēmu lauksaimniecības dzīvnieku pārraudzībai un ciltsvērtības noteikšanai.</w:t>
            </w:r>
          </w:p>
          <w:p w:rsidR="00B035EA" w:rsidRPr="004E3BE6" w:rsidRDefault="00F00385" w:rsidP="00B035EA">
            <w:pPr>
              <w:tabs>
                <w:tab w:val="left" w:pos="1134"/>
                <w:tab w:val="left" w:pos="1276"/>
              </w:tabs>
              <w:jc w:val="both"/>
            </w:pPr>
            <w:r>
              <w:t>Pildot šo f</w:t>
            </w:r>
            <w:r w:rsidRPr="004E3BE6">
              <w:t>unkcij</w:t>
            </w:r>
            <w:r>
              <w:t>u,</w:t>
            </w:r>
            <w:r w:rsidRPr="004E3BE6">
              <w:t xml:space="preserve"> </w:t>
            </w:r>
            <w:r w:rsidR="00424F61" w:rsidRPr="004E3BE6">
              <w:t>Centrs veic lauksaimniecības dzīvnieku pārraudzības datu uzskaites un ciltsvērtēšanas programmu izstrādi atbilstoši starptautiskajām vadlīnijām par dzīvnieku pārraudzību un ciltsvērtēšanu, nodrošina pārraudzības datu uzskaiti, virspārraudzību</w:t>
            </w:r>
            <w:r>
              <w:t xml:space="preserve"> un</w:t>
            </w:r>
            <w:r w:rsidR="00424F61" w:rsidRPr="004E3BE6">
              <w:t xml:space="preserve"> reģistrē jaunas lauksaimniecības dzīvnieku šķirnes.</w:t>
            </w:r>
          </w:p>
          <w:p w:rsidR="00172D54" w:rsidRPr="004E3BE6" w:rsidRDefault="00F00385" w:rsidP="00172D54">
            <w:pPr>
              <w:jc w:val="both"/>
            </w:pPr>
            <w:r>
              <w:t>Saistībā ar šīs f</w:t>
            </w:r>
            <w:r w:rsidRPr="004E3BE6">
              <w:t>unkcij</w:t>
            </w:r>
            <w:r>
              <w:t>as izpildi</w:t>
            </w:r>
            <w:r w:rsidRPr="004E3BE6">
              <w:t xml:space="preserve"> </w:t>
            </w:r>
            <w:r w:rsidR="00424F61" w:rsidRPr="004E3BE6">
              <w:t>Centrs sniedz arī šādus maksas pakalpojumus:</w:t>
            </w:r>
          </w:p>
          <w:p w:rsidR="00172D54" w:rsidRPr="004E3BE6" w:rsidRDefault="00F00385" w:rsidP="007A2428">
            <w:pPr>
              <w:jc w:val="both"/>
            </w:pPr>
            <w:r>
              <w:t>a)</w:t>
            </w:r>
            <w:r w:rsidR="00424F61" w:rsidRPr="004E3BE6">
              <w:t xml:space="preserve"> apstrādā un aitu gaļas liellopu pārraudzības datus (slaucamo govju un piena šķirņu kazu pārraudzības datu apstrāde ir bez maksas);</w:t>
            </w:r>
          </w:p>
          <w:p w:rsidR="008215FE" w:rsidRDefault="00424F61">
            <w:pPr>
              <w:jc w:val="both"/>
            </w:pPr>
            <w:r w:rsidRPr="004E3BE6">
              <w:t xml:space="preserve"> </w:t>
            </w:r>
            <w:r w:rsidR="00F00385">
              <w:t>b)</w:t>
            </w:r>
            <w:r w:rsidRPr="004E3BE6">
              <w:t xml:space="preserve"> labo datubāzēs kļūdainus datus</w:t>
            </w:r>
            <w:r w:rsidR="00F00385">
              <w:t>;</w:t>
            </w:r>
          </w:p>
          <w:p w:rsidR="00B479BE" w:rsidRPr="004E3BE6" w:rsidRDefault="00424F61" w:rsidP="00F00385">
            <w:pPr>
              <w:tabs>
                <w:tab w:val="left" w:pos="1134"/>
                <w:tab w:val="left" w:pos="1276"/>
              </w:tabs>
              <w:jc w:val="both"/>
            </w:pPr>
            <w:r w:rsidRPr="004E3BE6">
              <w:lastRenderedPageBreak/>
              <w:t>4) īstenot valsts politiku attiecībā uz mājas (istabas) dzīvnieku reģistrēšanas kārtību, mājas (istabas) dzīvnieku ciltsdarbu un mājas (istabas) dzīvnieku audzētāju organizācijām</w:t>
            </w:r>
            <w:r w:rsidR="00CD5B25" w:rsidRPr="004E3BE6">
              <w:t>.</w:t>
            </w:r>
          </w:p>
          <w:p w:rsidR="00B479BE" w:rsidRPr="004E3BE6" w:rsidRDefault="00F00385" w:rsidP="00F00385">
            <w:pPr>
              <w:jc w:val="both"/>
            </w:pPr>
            <w:r>
              <w:t>Pildot šo f</w:t>
            </w:r>
            <w:r w:rsidRPr="004E3BE6">
              <w:t>unkcij</w:t>
            </w:r>
            <w:r>
              <w:t>u,</w:t>
            </w:r>
            <w:r w:rsidRPr="004E3BE6">
              <w:t xml:space="preserve"> </w:t>
            </w:r>
            <w:r w:rsidR="00424F61" w:rsidRPr="004E3BE6">
              <w:t>Centrs uztur un attīsta mājas (istabas) dzīvnieku datubāzi, reģistrē mājas (istabas) dzīvnieku audzētāju organizācijas.</w:t>
            </w:r>
          </w:p>
          <w:p w:rsidR="00B479BE" w:rsidRPr="004E3BE6" w:rsidRDefault="00F00385" w:rsidP="00F00385">
            <w:pPr>
              <w:jc w:val="both"/>
            </w:pPr>
            <w:r>
              <w:t>Saistībā ar šīs f</w:t>
            </w:r>
            <w:r w:rsidRPr="004E3BE6">
              <w:t>unkcij</w:t>
            </w:r>
            <w:r>
              <w:t>as izpildi</w:t>
            </w:r>
            <w:r w:rsidRPr="004E3BE6">
              <w:t xml:space="preserve"> </w:t>
            </w:r>
            <w:r w:rsidR="00424F61" w:rsidRPr="004E3BE6">
              <w:t>Centrs sniedz šādus maksas pakalpojumus:</w:t>
            </w:r>
          </w:p>
          <w:p w:rsidR="00B479BE" w:rsidRPr="004E3BE6" w:rsidRDefault="00F00385" w:rsidP="00F00385">
            <w:pPr>
              <w:jc w:val="both"/>
            </w:pPr>
            <w:r>
              <w:t>a)</w:t>
            </w:r>
            <w:r w:rsidR="00424F61" w:rsidRPr="004E3BE6">
              <w:t xml:space="preserve"> reģistrē mājas (istabas) dzīvniekus (2012.gadā tika rasta iespēja suņus reģistrēt bez maksas, jo ir ļoti </w:t>
            </w:r>
            <w:r>
              <w:t>maza</w:t>
            </w:r>
            <w:r w:rsidR="00424F61" w:rsidRPr="004E3BE6">
              <w:t xml:space="preserve"> reģistrēšanas aktivitāte);</w:t>
            </w:r>
          </w:p>
          <w:p w:rsidR="008215FE" w:rsidRDefault="00F00385">
            <w:pPr>
              <w:jc w:val="both"/>
            </w:pPr>
            <w:r>
              <w:t>b)</w:t>
            </w:r>
            <w:r w:rsidR="00424F61" w:rsidRPr="004E3BE6">
              <w:t xml:space="preserve"> reģistrē bīstamus suņus</w:t>
            </w:r>
            <w:r>
              <w:t>;</w:t>
            </w:r>
          </w:p>
          <w:p w:rsidR="00C42445" w:rsidRPr="004E3BE6" w:rsidRDefault="00424F61" w:rsidP="00C42445">
            <w:pPr>
              <w:tabs>
                <w:tab w:val="left" w:pos="1134"/>
                <w:tab w:val="left" w:pos="1276"/>
              </w:tabs>
              <w:jc w:val="both"/>
            </w:pPr>
            <w:r w:rsidRPr="004E3BE6">
              <w:t>5)</w:t>
            </w:r>
            <w:r w:rsidR="00884430" w:rsidRPr="004E3BE6">
              <w:t xml:space="preserve"> informē sabiedrību par normatīvajiem aktiem, kas regulē ganāmpulku, novietņu, dzīvnieku un to barības apritē iesaistīto personu reģistrēšanu, dzīvnieku apzīmēšanu, kā arī ciltsdarbu un piena kvotu administrēšanu</w:t>
            </w:r>
            <w:r w:rsidRPr="004E3BE6">
              <w:t>.</w:t>
            </w:r>
          </w:p>
          <w:p w:rsidR="00F57EE5" w:rsidRPr="004E3BE6" w:rsidRDefault="00F00385" w:rsidP="00172D54">
            <w:pPr>
              <w:jc w:val="both"/>
            </w:pPr>
            <w:r>
              <w:t>Pildot šo f</w:t>
            </w:r>
            <w:r w:rsidRPr="004E3BE6">
              <w:t>unkcij</w:t>
            </w:r>
            <w:r>
              <w:t>u,</w:t>
            </w:r>
            <w:r w:rsidRPr="004E3BE6">
              <w:t xml:space="preserve"> </w:t>
            </w:r>
            <w:r w:rsidR="00424F61" w:rsidRPr="004E3BE6">
              <w:t xml:space="preserve">Centrs saskaņā ar normatīvajiem aktiem, kā arī citos gadījumos </w:t>
            </w:r>
            <w:r>
              <w:t xml:space="preserve">pēc </w:t>
            </w:r>
            <w:r w:rsidRPr="004E3BE6">
              <w:t xml:space="preserve">nepieciešamības </w:t>
            </w:r>
            <w:r w:rsidR="00424F61" w:rsidRPr="004E3BE6">
              <w:t>sniedz informāciju dažādām personām.</w:t>
            </w:r>
          </w:p>
          <w:p w:rsidR="00172D54" w:rsidRPr="004E3BE6" w:rsidRDefault="00F00385" w:rsidP="00172D54">
            <w:pPr>
              <w:jc w:val="both"/>
            </w:pPr>
            <w:r>
              <w:t>Saistībā ar šīs f</w:t>
            </w:r>
            <w:r w:rsidRPr="004E3BE6">
              <w:t>unkcij</w:t>
            </w:r>
            <w:r>
              <w:t>as izpildi</w:t>
            </w:r>
            <w:r w:rsidRPr="004E3BE6">
              <w:t xml:space="preserve"> </w:t>
            </w:r>
            <w:r w:rsidR="00424F61" w:rsidRPr="004E3BE6">
              <w:t>Centrs sniedz arī maksas pakalpojumu</w:t>
            </w:r>
            <w:r>
              <w:t>, t.i.,</w:t>
            </w:r>
            <w:r w:rsidR="00424F61" w:rsidRPr="004E3BE6">
              <w:t xml:space="preserve"> konsultācij</w:t>
            </w:r>
            <w:r>
              <w:t>as</w:t>
            </w:r>
            <w:r w:rsidR="00424F61" w:rsidRPr="004E3BE6">
              <w:t xml:space="preserve">, </w:t>
            </w:r>
            <w:r>
              <w:t>no kurām liela daļa gan ir</w:t>
            </w:r>
            <w:r w:rsidR="00424F61" w:rsidRPr="004E3BE6">
              <w:t xml:space="preserve"> bezmaksas.</w:t>
            </w:r>
          </w:p>
          <w:p w:rsidR="007A6236" w:rsidRPr="004E3BE6" w:rsidRDefault="007A6236" w:rsidP="00C42445">
            <w:pPr>
              <w:tabs>
                <w:tab w:val="left" w:pos="1134"/>
                <w:tab w:val="left" w:pos="1276"/>
              </w:tabs>
              <w:jc w:val="both"/>
            </w:pPr>
          </w:p>
          <w:p w:rsidR="0035664F" w:rsidRPr="004E3BE6" w:rsidRDefault="0035664F" w:rsidP="00F00385">
            <w:pPr>
              <w:ind w:right="69"/>
              <w:jc w:val="both"/>
            </w:pPr>
            <w:r w:rsidRPr="004E3BE6">
              <w:t>Valsts pārvaldes uzdevumu veikšanai Centrs lielāko finansējuma daļu saņem kā dotāciju no valsts budžeta:</w:t>
            </w:r>
          </w:p>
          <w:p w:rsidR="008215FE" w:rsidRDefault="0035664F">
            <w:pPr>
              <w:jc w:val="both"/>
            </w:pPr>
            <w:r w:rsidRPr="004E3BE6">
              <w:t>Pamatojoties uz likumu „Par valsts budžetu 2012.gadam”</w:t>
            </w:r>
            <w:r w:rsidR="00F00385">
              <w:t>,</w:t>
            </w:r>
            <w:r w:rsidRPr="004E3BE6">
              <w:t xml:space="preserve"> Valsts budžeta programmas 21.00.00 „Valsts atbalsts lauksaimniecības un lauku attīstībai, sabiedriskā finansējuma administrēšana un valsts uzraudzība lauksaimniecībā”: </w:t>
            </w:r>
          </w:p>
          <w:p w:rsidR="0035664F" w:rsidRPr="004E3BE6" w:rsidRDefault="00424F61" w:rsidP="00CE157D">
            <w:r w:rsidRPr="004E3BE6">
              <w:t>1</w:t>
            </w:r>
            <w:r w:rsidR="00F00385">
              <w:t>)</w:t>
            </w:r>
            <w:r w:rsidRPr="004E3BE6">
              <w:t xml:space="preserve"> </w:t>
            </w:r>
            <w:r w:rsidR="00F00385">
              <w:t>a</w:t>
            </w:r>
            <w:r w:rsidRPr="004E3BE6">
              <w:t>pakšprogrammā 21.02.00 „Sabiedriskā finansējuma administrēšana un valsts uzraudzība lauksaimniecībā” aģentūrai pamatfunkciju nodrošināšanai plānotie resursi izdevumu segšanai – Ls 826</w:t>
            </w:r>
            <w:r w:rsidR="00F00385">
              <w:t> </w:t>
            </w:r>
            <w:r w:rsidRPr="004E3BE6">
              <w:t>145, tai skaitā:</w:t>
            </w:r>
          </w:p>
          <w:p w:rsidR="0035664F" w:rsidRPr="004E3BE6" w:rsidRDefault="00F00385" w:rsidP="00CE157D">
            <w:r>
              <w:t>a)</w:t>
            </w:r>
            <w:r w:rsidR="00424F61" w:rsidRPr="004E3BE6">
              <w:t xml:space="preserve"> dotācija no vispārējiem ieņēmumiem </w:t>
            </w:r>
            <w:r>
              <w:t>–</w:t>
            </w:r>
            <w:r w:rsidR="00424F61" w:rsidRPr="004E3BE6">
              <w:t xml:space="preserve"> Ls 279</w:t>
            </w:r>
            <w:r>
              <w:t> </w:t>
            </w:r>
            <w:r w:rsidR="00424F61" w:rsidRPr="004E3BE6">
              <w:t>128;</w:t>
            </w:r>
          </w:p>
          <w:p w:rsidR="0035664F" w:rsidRPr="004E3BE6" w:rsidRDefault="00F00385" w:rsidP="00CE157D">
            <w:r>
              <w:t xml:space="preserve">b) </w:t>
            </w:r>
            <w:r w:rsidR="00424F61" w:rsidRPr="004E3BE6">
              <w:t xml:space="preserve">ieņēmumi no maksas pakalpojumiem </w:t>
            </w:r>
            <w:r>
              <w:t>–</w:t>
            </w:r>
            <w:r w:rsidR="00424F61" w:rsidRPr="004E3BE6">
              <w:t xml:space="preserve"> Ls 547</w:t>
            </w:r>
            <w:r>
              <w:t> </w:t>
            </w:r>
            <w:r w:rsidR="00424F61" w:rsidRPr="004E3BE6">
              <w:t>017.</w:t>
            </w:r>
          </w:p>
          <w:p w:rsidR="0035664F" w:rsidRPr="004E3BE6" w:rsidRDefault="00424F61" w:rsidP="00CE157D">
            <w:r w:rsidRPr="004E3BE6">
              <w:t xml:space="preserve">Resursiem atbilstoši izdevumi </w:t>
            </w:r>
            <w:r w:rsidR="00F00385">
              <w:t xml:space="preserve">– </w:t>
            </w:r>
            <w:r w:rsidRPr="004E3BE6">
              <w:t>Ls 917</w:t>
            </w:r>
            <w:r w:rsidR="00F00385">
              <w:t> </w:t>
            </w:r>
            <w:r w:rsidRPr="004E3BE6">
              <w:t>742, tai skaitā:</w:t>
            </w:r>
          </w:p>
          <w:p w:rsidR="0035664F" w:rsidRPr="004E3BE6" w:rsidRDefault="00F00385" w:rsidP="00CE157D">
            <w:r>
              <w:t>a)</w:t>
            </w:r>
            <w:r w:rsidR="00424F61" w:rsidRPr="004E3BE6">
              <w:t xml:space="preserve"> atlīdzība </w:t>
            </w:r>
            <w:r>
              <w:t xml:space="preserve">– </w:t>
            </w:r>
            <w:r w:rsidR="00424F61" w:rsidRPr="004E3BE6">
              <w:t>Ls 647</w:t>
            </w:r>
            <w:r>
              <w:t> </w:t>
            </w:r>
            <w:r w:rsidR="00424F61" w:rsidRPr="004E3BE6">
              <w:t>210 (tai skaitā izdevumi atalgojumam Ls 496</w:t>
            </w:r>
            <w:r>
              <w:t> </w:t>
            </w:r>
            <w:r w:rsidR="00424F61" w:rsidRPr="004E3BE6">
              <w:t>005) – finansējums plānots uz 72 amata vietām;</w:t>
            </w:r>
          </w:p>
          <w:p w:rsidR="0035664F" w:rsidRPr="004E3BE6" w:rsidRDefault="00F00385" w:rsidP="00CE157D">
            <w:r>
              <w:t xml:space="preserve">b) </w:t>
            </w:r>
            <w:r w:rsidR="00424F61" w:rsidRPr="004E3BE6">
              <w:t xml:space="preserve">preces un pakalpojumi </w:t>
            </w:r>
            <w:r>
              <w:t xml:space="preserve">– </w:t>
            </w:r>
            <w:r w:rsidR="00424F61" w:rsidRPr="004E3BE6">
              <w:t xml:space="preserve">Ls </w:t>
            </w:r>
            <w:r w:rsidR="00424F61" w:rsidRPr="00F00385">
              <w:t>270532</w:t>
            </w:r>
            <w:r>
              <w:t>;</w:t>
            </w:r>
          </w:p>
          <w:p w:rsidR="0035664F" w:rsidRPr="004E3BE6" w:rsidRDefault="00424F61" w:rsidP="00CE157D">
            <w:r w:rsidRPr="004E3BE6">
              <w:t>2</w:t>
            </w:r>
            <w:r w:rsidR="00F00385">
              <w:t>)</w:t>
            </w:r>
            <w:r w:rsidRPr="004E3BE6">
              <w:t xml:space="preserve"> </w:t>
            </w:r>
            <w:r w:rsidR="00F00385">
              <w:t>a</w:t>
            </w:r>
            <w:r w:rsidRPr="004E3BE6">
              <w:t>pakšprogrammā 21.01.00 „Valsts atbalsts lauksaimniecības un lauku attīstībai (subsīdijas)” aģentūrai pamatfunkciju nodrošināšanai plānotie resursi izdevumu segšanai – Ls 489</w:t>
            </w:r>
            <w:r w:rsidR="00F00385">
              <w:t> </w:t>
            </w:r>
            <w:r w:rsidRPr="004E3BE6">
              <w:t>000, tai skaitā:</w:t>
            </w:r>
          </w:p>
          <w:p w:rsidR="0035664F" w:rsidRPr="004E3BE6" w:rsidRDefault="00F00385" w:rsidP="00CE157D">
            <w:r>
              <w:t>a)</w:t>
            </w:r>
            <w:r w:rsidR="00424F61" w:rsidRPr="004E3BE6">
              <w:t xml:space="preserve"> dotācija no vispārējiem ieņēmumiem </w:t>
            </w:r>
            <w:r>
              <w:t>–</w:t>
            </w:r>
            <w:r w:rsidR="00424F61" w:rsidRPr="004E3BE6">
              <w:t xml:space="preserve"> Ls 489</w:t>
            </w:r>
            <w:r>
              <w:t> </w:t>
            </w:r>
            <w:r w:rsidR="00424F61" w:rsidRPr="004E3BE6">
              <w:t>000.</w:t>
            </w:r>
          </w:p>
          <w:p w:rsidR="0035664F" w:rsidRPr="004E3BE6" w:rsidRDefault="00424F61" w:rsidP="00CE157D">
            <w:r w:rsidRPr="004E3BE6">
              <w:t xml:space="preserve">Resursiem atbilstoši izdevumi </w:t>
            </w:r>
            <w:r w:rsidR="00F00385">
              <w:t xml:space="preserve">– </w:t>
            </w:r>
            <w:r w:rsidRPr="004E3BE6">
              <w:t>Ls 489</w:t>
            </w:r>
            <w:r w:rsidR="00F00385">
              <w:t> </w:t>
            </w:r>
            <w:r w:rsidRPr="004E3BE6">
              <w:t>000, tai skaitā:</w:t>
            </w:r>
          </w:p>
          <w:p w:rsidR="0035664F" w:rsidRPr="004E3BE6" w:rsidRDefault="00F00385" w:rsidP="00CE157D">
            <w:r>
              <w:t xml:space="preserve">a) </w:t>
            </w:r>
            <w:r w:rsidR="00424F61" w:rsidRPr="004E3BE6">
              <w:t xml:space="preserve">preces un pakalpojumi </w:t>
            </w:r>
            <w:r>
              <w:t xml:space="preserve">– </w:t>
            </w:r>
            <w:r w:rsidR="00424F61" w:rsidRPr="004E3BE6">
              <w:t>Ls 467</w:t>
            </w:r>
            <w:r>
              <w:t> </w:t>
            </w:r>
            <w:r w:rsidR="00424F61" w:rsidRPr="004E3BE6">
              <w:t>650;</w:t>
            </w:r>
          </w:p>
          <w:p w:rsidR="0035664F" w:rsidRPr="004E3BE6" w:rsidRDefault="00F00385" w:rsidP="00CE157D">
            <w:r>
              <w:t>b)</w:t>
            </w:r>
            <w:r w:rsidR="00424F61" w:rsidRPr="004E3BE6">
              <w:t xml:space="preserve"> kapitālie izdevumi </w:t>
            </w:r>
            <w:r>
              <w:t xml:space="preserve">– </w:t>
            </w:r>
            <w:r w:rsidR="00424F61" w:rsidRPr="004E3BE6">
              <w:t>Ls 21</w:t>
            </w:r>
            <w:r>
              <w:t> </w:t>
            </w:r>
            <w:r w:rsidR="00424F61" w:rsidRPr="004E3BE6">
              <w:t>350.</w:t>
            </w:r>
          </w:p>
          <w:p w:rsidR="008215FE" w:rsidRDefault="00424F61">
            <w:pPr>
              <w:jc w:val="both"/>
            </w:pPr>
            <w:r w:rsidRPr="004E3BE6">
              <w:t>Programmas 65.00.00 „Eiropas Lauksaimniecības fonda lauku attīstībai (ELFLA) projektu un pasākumu īstenošanai” apakšprogrammā 65.05.00 „Tehniskā palīdzība Eiropas Lauksaimniecības fonda lauku attīstībai (ELFLA) apgūšanai (2007</w:t>
            </w:r>
            <w:r w:rsidR="00F00385">
              <w:t>–</w:t>
            </w:r>
            <w:r w:rsidRPr="004E3BE6">
              <w:t xml:space="preserve">2013) plānotie resursi izdevumu segšanai </w:t>
            </w:r>
            <w:r w:rsidR="00C1437B">
              <w:t xml:space="preserve">– </w:t>
            </w:r>
            <w:r w:rsidRPr="004E3BE6">
              <w:t>Ls 265</w:t>
            </w:r>
            <w:r w:rsidR="00C1437B">
              <w:t> </w:t>
            </w:r>
            <w:r w:rsidRPr="004E3BE6">
              <w:t xml:space="preserve">325, tai skaitā: </w:t>
            </w:r>
          </w:p>
          <w:p w:rsidR="0035664F" w:rsidRPr="004E3BE6" w:rsidRDefault="00C1437B" w:rsidP="00CE157D">
            <w:r>
              <w:t>a)</w:t>
            </w:r>
            <w:r w:rsidR="00424F61" w:rsidRPr="004E3BE6">
              <w:t xml:space="preserve"> dotācija no vispārējiem ieņēmumiem Ls 265</w:t>
            </w:r>
            <w:r>
              <w:t> </w:t>
            </w:r>
            <w:r w:rsidR="00424F61" w:rsidRPr="004E3BE6">
              <w:t>325.</w:t>
            </w:r>
          </w:p>
          <w:p w:rsidR="0035664F" w:rsidRPr="004E3BE6" w:rsidRDefault="00424F61" w:rsidP="00CE157D">
            <w:r w:rsidRPr="004E3BE6">
              <w:t>Resursiem atbilstoši izdevumi Ls 265</w:t>
            </w:r>
            <w:r w:rsidR="00C1437B">
              <w:t> </w:t>
            </w:r>
            <w:r w:rsidRPr="004E3BE6">
              <w:t>325, tai skaitā:</w:t>
            </w:r>
          </w:p>
          <w:p w:rsidR="0035664F" w:rsidRPr="004E3BE6" w:rsidRDefault="00C1437B" w:rsidP="00CE157D">
            <w:r>
              <w:t>a)</w:t>
            </w:r>
            <w:r w:rsidR="00424F61" w:rsidRPr="004E3BE6">
              <w:t xml:space="preserve"> preces un pakalpojumi </w:t>
            </w:r>
            <w:r>
              <w:t xml:space="preserve">– </w:t>
            </w:r>
            <w:r w:rsidR="00424F61" w:rsidRPr="004E3BE6">
              <w:t>Ls 79</w:t>
            </w:r>
            <w:r>
              <w:t> </w:t>
            </w:r>
            <w:r w:rsidR="00424F61" w:rsidRPr="004E3BE6">
              <w:t>900;</w:t>
            </w:r>
          </w:p>
          <w:p w:rsidR="0035664F" w:rsidRPr="004E3BE6" w:rsidRDefault="00C1437B" w:rsidP="00CE157D">
            <w:r>
              <w:t>b)</w:t>
            </w:r>
            <w:r w:rsidR="00424F61" w:rsidRPr="004E3BE6">
              <w:t xml:space="preserve"> kapitālie izdevumi </w:t>
            </w:r>
            <w:r>
              <w:t xml:space="preserve">– </w:t>
            </w:r>
            <w:r w:rsidR="00424F61" w:rsidRPr="004E3BE6">
              <w:t>Ls 185425.</w:t>
            </w:r>
          </w:p>
          <w:p w:rsidR="0035664F" w:rsidRPr="004E3BE6" w:rsidRDefault="0035664F" w:rsidP="00CE157D"/>
          <w:p w:rsidR="00CD5B25" w:rsidRPr="004E3BE6" w:rsidRDefault="00CD5B25" w:rsidP="005822B9">
            <w:pPr>
              <w:jc w:val="both"/>
            </w:pPr>
            <w:r w:rsidRPr="004E3BE6">
              <w:t xml:space="preserve">Kopumā dotācija no valsts budžeta </w:t>
            </w:r>
            <w:r w:rsidR="00C1437B">
              <w:t>veido</w:t>
            </w:r>
            <w:r w:rsidRPr="004E3BE6">
              <w:t xml:space="preserve"> 65% </w:t>
            </w:r>
            <w:r w:rsidR="005822B9" w:rsidRPr="004E3BE6">
              <w:t xml:space="preserve">un pašu ieņēmumi </w:t>
            </w:r>
            <w:r w:rsidR="00D3125C" w:rsidRPr="004E3BE6">
              <w:t xml:space="preserve">no sniegtajiem pakalpojumiem </w:t>
            </w:r>
            <w:r w:rsidR="00C1437B">
              <w:t>–</w:t>
            </w:r>
            <w:r w:rsidR="005822B9" w:rsidRPr="004E3BE6">
              <w:t xml:space="preserve"> 35% no Centra kopējā budžeta.</w:t>
            </w:r>
          </w:p>
          <w:p w:rsidR="0035664F" w:rsidRPr="004E3BE6" w:rsidRDefault="0035664F" w:rsidP="00E07B1C">
            <w:pPr>
              <w:ind w:right="69"/>
              <w:jc w:val="both"/>
            </w:pPr>
            <w:r w:rsidRPr="004E3BE6">
              <w:lastRenderedPageBreak/>
              <w:t>Iepriekš izklāstītā izvērtējuma rezultā</w:t>
            </w:r>
            <w:r w:rsidR="00742E36" w:rsidRPr="004E3BE6">
              <w:t>tā ZM ir konstatējusi, ka pa</w:t>
            </w:r>
            <w:r w:rsidR="00C1437B">
              <w:t>k</w:t>
            </w:r>
            <w:r w:rsidR="00742E36" w:rsidRPr="004E3BE6">
              <w:t>alpojumu sniegšana neveido lielāko Centra kompetences daļu</w:t>
            </w:r>
            <w:r w:rsidR="00C1437B">
              <w:t>, tāpēc</w:t>
            </w:r>
            <w:r w:rsidR="00742E36" w:rsidRPr="004E3BE6">
              <w:t xml:space="preserve"> Centra</w:t>
            </w:r>
            <w:r w:rsidRPr="004E3BE6">
              <w:t xml:space="preserve"> darbība atbilst tiešās pārvaldes iestādes statusam un ir maināms tā tiesiskais statuss no valsts aģentūras uz tiešās pārvaldes iestādi – Lauksaimniecības datu centru. Centrs pilnībā pārņems valsts aģentūras „Lauksaimniecības datu centrs” funkcijas, tiesības, saistības, prasības, bilancē esošo mantu, lietvedību un arhīvu.</w:t>
            </w:r>
          </w:p>
          <w:p w:rsidR="0035664F" w:rsidRPr="004E3BE6" w:rsidRDefault="00C1437B" w:rsidP="007F03B8">
            <w:pPr>
              <w:jc w:val="both"/>
            </w:pPr>
            <w:r>
              <w:t>Ievērojot</w:t>
            </w:r>
            <w:r w:rsidR="0035664F" w:rsidRPr="004E3BE6">
              <w:t xml:space="preserve"> iepriekš minēto, ZM virza izskatīšanai M</w:t>
            </w:r>
            <w:r>
              <w:t>inistru kabinetā</w:t>
            </w:r>
            <w:r w:rsidR="0035664F" w:rsidRPr="004E3BE6">
              <w:t xml:space="preserve"> Centra kā tiešās valsts pārvaldes iest</w:t>
            </w:r>
            <w:r w:rsidR="00424F61" w:rsidRPr="004E3BE6">
              <w:t>ādes nolikumu, kas paredz valsts aģentūras tiesiskā statusa zaudēšanu.</w:t>
            </w:r>
          </w:p>
          <w:p w:rsidR="0035664F" w:rsidRPr="004E3BE6" w:rsidRDefault="00424F61" w:rsidP="000D2502">
            <w:pPr>
              <w:jc w:val="both"/>
            </w:pPr>
            <w:r w:rsidRPr="004E3BE6">
              <w:t>Centra nosaukums netiks mainīts, jo ta</w:t>
            </w:r>
            <w:r w:rsidR="00C1437B">
              <w:t>s</w:t>
            </w:r>
            <w:r w:rsidRPr="004E3BE6">
              <w:t xml:space="preserve"> ir lab</w:t>
            </w:r>
            <w:r w:rsidR="00C1437B">
              <w:t>i</w:t>
            </w:r>
            <w:r w:rsidRPr="004E3BE6">
              <w:t xml:space="preserve"> pazīstam</w:t>
            </w:r>
            <w:r w:rsidR="00C1437B">
              <w:t>s</w:t>
            </w:r>
            <w:r w:rsidRPr="004E3BE6">
              <w:t>. Tiešās pārvaldes iestādes nosaukums turpmāk būs Lauksaimniecības datu centrs.</w:t>
            </w:r>
          </w:p>
        </w:tc>
      </w:tr>
      <w:tr w:rsidR="0035664F" w:rsidRPr="00CD3CA1" w:rsidTr="003A5604">
        <w:tc>
          <w:tcPr>
            <w:tcW w:w="540" w:type="dxa"/>
          </w:tcPr>
          <w:p w:rsidR="0035664F" w:rsidRPr="00CD3CA1" w:rsidRDefault="00424F61" w:rsidP="00B04F23">
            <w:pPr>
              <w:pStyle w:val="naislab"/>
              <w:spacing w:before="0" w:after="0"/>
              <w:jc w:val="center"/>
              <w:outlineLvl w:val="0"/>
            </w:pPr>
            <w:r>
              <w:rPr>
                <w:sz w:val="22"/>
                <w:szCs w:val="22"/>
              </w:rPr>
              <w:lastRenderedPageBreak/>
              <w:t>3.</w:t>
            </w:r>
          </w:p>
        </w:tc>
        <w:tc>
          <w:tcPr>
            <w:tcW w:w="1440" w:type="dxa"/>
          </w:tcPr>
          <w:p w:rsidR="0035664F" w:rsidRPr="00CD3CA1" w:rsidRDefault="00424F61" w:rsidP="00B04F23">
            <w:pPr>
              <w:pStyle w:val="naislab"/>
              <w:spacing w:before="0" w:after="0"/>
              <w:jc w:val="both"/>
              <w:outlineLvl w:val="0"/>
            </w:pPr>
            <w:r>
              <w:rPr>
                <w:sz w:val="22"/>
                <w:szCs w:val="22"/>
              </w:rPr>
              <w:t>Saistītie politikas ietekmes novērtējumi un pētījumi</w:t>
            </w:r>
          </w:p>
        </w:tc>
        <w:tc>
          <w:tcPr>
            <w:tcW w:w="7559" w:type="dxa"/>
          </w:tcPr>
          <w:p w:rsidR="0035664F" w:rsidRPr="00CD3CA1" w:rsidRDefault="00424F61" w:rsidP="00B04F23">
            <w:pPr>
              <w:jc w:val="both"/>
            </w:pPr>
            <w:r>
              <w:t>Projekts šo jomu neskar.</w:t>
            </w:r>
          </w:p>
        </w:tc>
      </w:tr>
      <w:tr w:rsidR="0035664F" w:rsidRPr="00CD3CA1" w:rsidTr="003A5604">
        <w:tc>
          <w:tcPr>
            <w:tcW w:w="540" w:type="dxa"/>
          </w:tcPr>
          <w:p w:rsidR="0035664F" w:rsidRPr="00CD3CA1" w:rsidRDefault="00424F61" w:rsidP="00B04F23">
            <w:pPr>
              <w:pStyle w:val="naislab"/>
              <w:spacing w:before="0" w:after="0"/>
              <w:jc w:val="center"/>
              <w:outlineLvl w:val="0"/>
            </w:pPr>
            <w:r>
              <w:rPr>
                <w:sz w:val="22"/>
                <w:szCs w:val="22"/>
              </w:rPr>
              <w:t>4.</w:t>
            </w:r>
          </w:p>
        </w:tc>
        <w:tc>
          <w:tcPr>
            <w:tcW w:w="1440" w:type="dxa"/>
          </w:tcPr>
          <w:p w:rsidR="0035664F" w:rsidRPr="00CD3CA1" w:rsidRDefault="00424F61" w:rsidP="00B04F23">
            <w:pPr>
              <w:pStyle w:val="naislab"/>
              <w:spacing w:before="0" w:after="0"/>
              <w:jc w:val="both"/>
              <w:outlineLvl w:val="0"/>
            </w:pPr>
            <w:r>
              <w:rPr>
                <w:sz w:val="22"/>
                <w:szCs w:val="22"/>
              </w:rPr>
              <w:t>Tiesiskā regulējuma mērķis un būtība</w:t>
            </w:r>
          </w:p>
        </w:tc>
        <w:tc>
          <w:tcPr>
            <w:tcW w:w="7559" w:type="dxa"/>
          </w:tcPr>
          <w:p w:rsidR="0035664F" w:rsidRPr="00CD3CA1" w:rsidRDefault="00424F61" w:rsidP="007F03B8">
            <w:pPr>
              <w:jc w:val="both"/>
            </w:pPr>
            <w:r>
              <w:t>Tiesiskā regulējuma mērķis ir Centra</w:t>
            </w:r>
            <w:r>
              <w:rPr>
                <w:color w:val="000000"/>
                <w:shd w:val="clear" w:color="auto" w:fill="FFFFFF"/>
              </w:rPr>
              <w:t xml:space="preserve"> darbības turpināšana</w:t>
            </w:r>
            <w:r>
              <w:t xml:space="preserve"> tiešās pārvaldes iestādes statusā no 2013.gada.</w:t>
            </w:r>
          </w:p>
          <w:p w:rsidR="0035664F" w:rsidRPr="00CD3CA1" w:rsidRDefault="00424F61" w:rsidP="00D9581E">
            <w:pPr>
              <w:jc w:val="both"/>
            </w:pPr>
            <w:r>
              <w:t xml:space="preserve">Noteikumu projekts </w:t>
            </w:r>
            <w:r>
              <w:rPr>
                <w:bCs/>
              </w:rPr>
              <w:t xml:space="preserve">nosaka Centra darbības mērķi, </w:t>
            </w:r>
            <w:r>
              <w:t>funkcijas, uzdevumus</w:t>
            </w:r>
            <w:r w:rsidR="007742BE">
              <w:t xml:space="preserve"> un</w:t>
            </w:r>
            <w:r w:rsidR="0035664F" w:rsidRPr="00CD3CA1">
              <w:t xml:space="preserve"> pārvaldi, kā arī Centra tiesiskuma nodrošināšanu un pārskatu sniegšanas kārtību.</w:t>
            </w:r>
          </w:p>
          <w:p w:rsidR="0035664F" w:rsidRPr="00CD3CA1" w:rsidRDefault="00424F61" w:rsidP="000D2502">
            <w:pPr>
              <w:jc w:val="both"/>
            </w:pPr>
            <w:r>
              <w:t>Noteikumu projektā noteikts, ka Centrs ir zemkopības ministra pakļautībā esoša tiešās pārvaldes iestāde.</w:t>
            </w:r>
          </w:p>
          <w:p w:rsidR="0035664F" w:rsidRPr="00CD3CA1" w:rsidRDefault="00424F61" w:rsidP="000D2502">
            <w:pPr>
              <w:jc w:val="both"/>
              <w:rPr>
                <w:color w:val="FF0000"/>
              </w:rPr>
            </w:pPr>
            <w:r>
              <w:t>Centra mērķis ir</w:t>
            </w:r>
            <w:r>
              <w:rPr>
                <w:rFonts w:ascii="Arial" w:hAnsi="Arial" w:cs="Arial"/>
                <w:color w:val="000000"/>
                <w:sz w:val="20"/>
                <w:szCs w:val="20"/>
              </w:rPr>
              <w:t xml:space="preserve"> </w:t>
            </w:r>
            <w:r>
              <w:rPr>
                <w:color w:val="000000"/>
              </w:rPr>
              <w:t xml:space="preserve">nodrošināt valstī vienotu informācijas datubāzi par dzīvniekiem un lopkopības nozari, lai šo datubāzi varētu izmantot administrēšanas, uzraudzības un kontroles nodrošināšanai. </w:t>
            </w:r>
          </w:p>
          <w:p w:rsidR="001015AE" w:rsidRPr="007742BE" w:rsidRDefault="00424F61" w:rsidP="000D338E">
            <w:pPr>
              <w:jc w:val="both"/>
            </w:pPr>
            <w:r w:rsidRPr="007742BE">
              <w:t>Saistībā ar izvirzīto mērķi centram ir noteiktas funkcijas un virkne valsts pārvaldes uzdevumu šo funkciju izpildes nodrošināšanai.</w:t>
            </w:r>
          </w:p>
          <w:p w:rsidR="00EB4F7B" w:rsidRPr="007742BE" w:rsidRDefault="00424F61" w:rsidP="000D338E">
            <w:pPr>
              <w:jc w:val="both"/>
            </w:pPr>
            <w:r w:rsidRPr="007742BE">
              <w:t xml:space="preserve">Noteikumu projekts </w:t>
            </w:r>
            <w:r w:rsidR="00744010" w:rsidRPr="007742BE">
              <w:t xml:space="preserve">(salīdzinājumā ar noteikumiem Nr. 476) </w:t>
            </w:r>
            <w:r w:rsidR="00EB4F7B" w:rsidRPr="007742BE">
              <w:t>papildin</w:t>
            </w:r>
            <w:r w:rsidR="00DB2DAA" w:rsidRPr="007742BE">
              <w:t>āts ar</w:t>
            </w:r>
            <w:r w:rsidR="00EB4F7B" w:rsidRPr="007742BE">
              <w:t xml:space="preserve"> fun</w:t>
            </w:r>
            <w:r w:rsidR="00DB2DAA" w:rsidRPr="007742BE">
              <w:t xml:space="preserve">kcijām, kuras centrs </w:t>
            </w:r>
            <w:r w:rsidR="00C1437B" w:rsidRPr="007742BE">
              <w:t xml:space="preserve">veic </w:t>
            </w:r>
            <w:r w:rsidR="00DB2DAA" w:rsidRPr="007742BE">
              <w:t xml:space="preserve">jau pašlaik </w:t>
            </w:r>
            <w:r w:rsidR="00321B4C" w:rsidRPr="007742BE">
              <w:t>– īsteno valsts politiku attiecībā uz bioloģiskām saimniecībām lopkopībā, veterinārās informācijas sistēmu,</w:t>
            </w:r>
            <w:r w:rsidR="00EB4F7B" w:rsidRPr="007742BE">
              <w:t xml:space="preserve"> mājas (istabas) dzīvnieku reģistrēšanu, ciltsdarbu un ciltsdarba organizācij</w:t>
            </w:r>
            <w:r w:rsidR="00321B4C" w:rsidRPr="007742BE">
              <w:t>ām.</w:t>
            </w:r>
          </w:p>
          <w:p w:rsidR="00321B4C" w:rsidRPr="007742BE" w:rsidRDefault="00424F61" w:rsidP="000D338E">
            <w:pPr>
              <w:jc w:val="both"/>
            </w:pPr>
            <w:r w:rsidRPr="007742BE">
              <w:t>Atbilstoši precizētajām funkcijām precizēti arī Centra uzdevumi.</w:t>
            </w:r>
          </w:p>
          <w:p w:rsidR="0035664F" w:rsidRPr="00CD3CA1" w:rsidRDefault="00424F61" w:rsidP="000D338E">
            <w:pPr>
              <w:jc w:val="both"/>
            </w:pPr>
            <w:r>
              <w:t xml:space="preserve">Līdztekus citiem veicamajiem uzdevumiem Centrs sniedz iedzīvotājiem arī pakalpojumus, no kuriem būtiska daļa saistīta ar informācijas vākšanu un aktualizēšanu datubāzē. Centrs iedzīvotājiem sniedz arī konsultācijas un informāciju (izziņas) par iestādes kompetences jautājumiem. </w:t>
            </w:r>
          </w:p>
          <w:p w:rsidR="0035664F" w:rsidRPr="00CD3CA1" w:rsidRDefault="00424F61" w:rsidP="004D7209">
            <w:pPr>
              <w:ind w:firstLine="12"/>
              <w:jc w:val="both"/>
            </w:pPr>
            <w:r>
              <w:t>Paredzēts, ka noteikumu projekts stāsies spēkā 2013.gada 1.janvārī, ievērojot Valsts sekretāru sanāksmes 2012. gada 28. jūnija protokollēmumā (prot. Nr. 26, 52. §) noteikto.</w:t>
            </w:r>
          </w:p>
        </w:tc>
      </w:tr>
      <w:tr w:rsidR="0035664F" w:rsidRPr="00CD3CA1" w:rsidTr="003A5604">
        <w:tc>
          <w:tcPr>
            <w:tcW w:w="540" w:type="dxa"/>
          </w:tcPr>
          <w:p w:rsidR="0035664F" w:rsidRPr="00CD3CA1" w:rsidRDefault="00424F61" w:rsidP="00B04F23">
            <w:pPr>
              <w:pStyle w:val="Galvene"/>
              <w:jc w:val="center"/>
              <w:outlineLvl w:val="0"/>
            </w:pPr>
            <w:r>
              <w:rPr>
                <w:sz w:val="22"/>
                <w:szCs w:val="22"/>
              </w:rPr>
              <w:t>5.</w:t>
            </w:r>
          </w:p>
        </w:tc>
        <w:tc>
          <w:tcPr>
            <w:tcW w:w="1440" w:type="dxa"/>
          </w:tcPr>
          <w:p w:rsidR="0035664F" w:rsidRPr="00CD3CA1" w:rsidRDefault="00424F61" w:rsidP="00B04F23">
            <w:pPr>
              <w:pStyle w:val="Galvene"/>
              <w:jc w:val="both"/>
              <w:outlineLvl w:val="0"/>
            </w:pPr>
            <w:r>
              <w:rPr>
                <w:sz w:val="22"/>
                <w:szCs w:val="22"/>
              </w:rPr>
              <w:t>Projekta izstrādē iesaistītās institūcijas</w:t>
            </w:r>
          </w:p>
        </w:tc>
        <w:tc>
          <w:tcPr>
            <w:tcW w:w="7559" w:type="dxa"/>
          </w:tcPr>
          <w:p w:rsidR="0035664F" w:rsidRPr="00CD3CA1" w:rsidRDefault="00424F61" w:rsidP="00B90757">
            <w:pPr>
              <w:jc w:val="both"/>
            </w:pPr>
            <w:r>
              <w:t>Zemkopības ministrija</w:t>
            </w:r>
            <w:r w:rsidR="00C1437B">
              <w:t xml:space="preserve"> un</w:t>
            </w:r>
            <w:r>
              <w:t xml:space="preserve"> Centrs</w:t>
            </w:r>
          </w:p>
        </w:tc>
      </w:tr>
      <w:tr w:rsidR="0035664F" w:rsidRPr="00CD3CA1" w:rsidTr="003A5604">
        <w:tc>
          <w:tcPr>
            <w:tcW w:w="540" w:type="dxa"/>
          </w:tcPr>
          <w:p w:rsidR="0035664F" w:rsidRPr="00CD3CA1" w:rsidRDefault="00424F61" w:rsidP="00B04F23">
            <w:pPr>
              <w:pStyle w:val="naislab"/>
              <w:spacing w:before="0" w:after="0"/>
              <w:jc w:val="center"/>
              <w:outlineLvl w:val="0"/>
            </w:pPr>
            <w:r>
              <w:rPr>
                <w:sz w:val="22"/>
                <w:szCs w:val="22"/>
              </w:rPr>
              <w:t>6.</w:t>
            </w:r>
          </w:p>
        </w:tc>
        <w:tc>
          <w:tcPr>
            <w:tcW w:w="1440" w:type="dxa"/>
          </w:tcPr>
          <w:p w:rsidR="0035664F" w:rsidRPr="00CD3CA1" w:rsidRDefault="00424F61" w:rsidP="00B04F23">
            <w:pPr>
              <w:pStyle w:val="naislab"/>
              <w:spacing w:before="0" w:after="0"/>
              <w:jc w:val="both"/>
              <w:outlineLvl w:val="0"/>
            </w:pPr>
            <w:r>
              <w:rPr>
                <w:sz w:val="22"/>
                <w:szCs w:val="22"/>
              </w:rPr>
              <w:t>Iemesli, kādēļ netika nodrošināta sabiedrības līdzdalība</w:t>
            </w:r>
          </w:p>
        </w:tc>
        <w:tc>
          <w:tcPr>
            <w:tcW w:w="7559" w:type="dxa"/>
          </w:tcPr>
          <w:p w:rsidR="0035664F" w:rsidRPr="00CD3CA1" w:rsidRDefault="00424F61" w:rsidP="007F03B8">
            <w:pPr>
              <w:jc w:val="both"/>
              <w:rPr>
                <w:iCs/>
              </w:rPr>
            </w:pPr>
            <w:r>
              <w:rPr>
                <w:iCs/>
              </w:rPr>
              <w:t>Noteikumu projekta izstrādē sabiedrības līdzdalība netika nodrošināta, jo nav paredzētas izmaiņas Centra turpmākā darbībā</w:t>
            </w:r>
            <w:r w:rsidR="00C1437B">
              <w:rPr>
                <w:iCs/>
              </w:rPr>
              <w:t>, tāpēc</w:t>
            </w:r>
            <w:r>
              <w:rPr>
                <w:iCs/>
              </w:rPr>
              <w:t xml:space="preserve"> noteikumu projekts uz sabiedrību tieši neattiecas.</w:t>
            </w:r>
          </w:p>
          <w:p w:rsidR="0035664F" w:rsidRPr="00CD3CA1" w:rsidRDefault="0035664F" w:rsidP="00B04F23">
            <w:pPr>
              <w:jc w:val="both"/>
            </w:pPr>
          </w:p>
        </w:tc>
      </w:tr>
      <w:tr w:rsidR="0035664F" w:rsidRPr="00CD3CA1" w:rsidTr="003A5604">
        <w:tc>
          <w:tcPr>
            <w:tcW w:w="540" w:type="dxa"/>
          </w:tcPr>
          <w:p w:rsidR="0035664F" w:rsidRPr="00CD3CA1" w:rsidRDefault="00424F61" w:rsidP="00B04F23">
            <w:pPr>
              <w:pStyle w:val="naislab"/>
              <w:spacing w:before="0" w:after="0"/>
              <w:jc w:val="center"/>
              <w:outlineLvl w:val="0"/>
            </w:pPr>
            <w:r>
              <w:rPr>
                <w:sz w:val="22"/>
                <w:szCs w:val="22"/>
              </w:rPr>
              <w:t>7.</w:t>
            </w:r>
          </w:p>
        </w:tc>
        <w:tc>
          <w:tcPr>
            <w:tcW w:w="1440" w:type="dxa"/>
          </w:tcPr>
          <w:p w:rsidR="0035664F" w:rsidRPr="00CD3CA1" w:rsidRDefault="00424F61" w:rsidP="00B04F23">
            <w:pPr>
              <w:pStyle w:val="naislab"/>
              <w:spacing w:before="0" w:after="0"/>
              <w:jc w:val="both"/>
              <w:outlineLvl w:val="0"/>
            </w:pPr>
            <w:r>
              <w:rPr>
                <w:sz w:val="22"/>
                <w:szCs w:val="22"/>
              </w:rPr>
              <w:t xml:space="preserve">Cita </w:t>
            </w:r>
            <w:r>
              <w:rPr>
                <w:sz w:val="22"/>
                <w:szCs w:val="22"/>
              </w:rPr>
              <w:lastRenderedPageBreak/>
              <w:t>informācija</w:t>
            </w:r>
          </w:p>
        </w:tc>
        <w:tc>
          <w:tcPr>
            <w:tcW w:w="7559" w:type="dxa"/>
          </w:tcPr>
          <w:p w:rsidR="0035664F" w:rsidRPr="00CD3CA1" w:rsidRDefault="00424F61" w:rsidP="0049296D">
            <w:pPr>
              <w:autoSpaceDE w:val="0"/>
              <w:autoSpaceDN w:val="0"/>
              <w:adjustRightInd w:val="0"/>
              <w:jc w:val="both"/>
              <w:rPr>
                <w:color w:val="000000"/>
              </w:rPr>
            </w:pPr>
            <w:r>
              <w:lastRenderedPageBreak/>
              <w:t>Nav</w:t>
            </w:r>
          </w:p>
        </w:tc>
      </w:tr>
    </w:tbl>
    <w:p w:rsidR="0035664F" w:rsidRPr="00CD3CA1" w:rsidRDefault="0035664F" w:rsidP="00FA338D"/>
    <w:p w:rsidR="0035664F" w:rsidRPr="00CD3CA1" w:rsidRDefault="00424F61" w:rsidP="00A41878">
      <w:r>
        <w:t>Anotācijas II un III sadaļa – projekts šīs jomas neskar.</w:t>
      </w:r>
    </w:p>
    <w:p w:rsidR="0035664F" w:rsidRPr="00CD3CA1" w:rsidRDefault="0035664F" w:rsidP="00A4187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6179"/>
      </w:tblGrid>
      <w:tr w:rsidR="0035664F" w:rsidRPr="00CD3CA1" w:rsidTr="004673F4">
        <w:trPr>
          <w:trHeight w:val="279"/>
        </w:trPr>
        <w:tc>
          <w:tcPr>
            <w:tcW w:w="9539" w:type="dxa"/>
            <w:gridSpan w:val="2"/>
          </w:tcPr>
          <w:p w:rsidR="0035664F" w:rsidRPr="00CD3CA1" w:rsidRDefault="00424F61" w:rsidP="004673F4">
            <w:pPr>
              <w:jc w:val="center"/>
              <w:rPr>
                <w:b/>
              </w:rPr>
            </w:pPr>
            <w:r>
              <w:rPr>
                <w:b/>
              </w:rPr>
              <w:t xml:space="preserve">IV. Tiesību </w:t>
            </w:r>
            <w:smartTag w:uri="schemas-tilde-lv/tildestengine" w:element="veidnes">
              <w:smartTagPr>
                <w:attr w:name="baseform" w:val="akt|s"/>
                <w:attr w:name="id" w:val="-1"/>
                <w:attr w:name="text" w:val="aktu"/>
              </w:smartTagPr>
              <w:r>
                <w:rPr>
                  <w:b/>
                </w:rPr>
                <w:t>akta</w:t>
              </w:r>
            </w:smartTag>
            <w:r>
              <w:rPr>
                <w:b/>
              </w:rPr>
              <w:t xml:space="preserve"> projekta ietekme uz spēkā esošo tiesību normu sistēmu</w:t>
            </w:r>
          </w:p>
        </w:tc>
      </w:tr>
      <w:tr w:rsidR="0035664F" w:rsidRPr="00CD3CA1" w:rsidTr="00AE20EC">
        <w:trPr>
          <w:trHeight w:val="603"/>
        </w:trPr>
        <w:tc>
          <w:tcPr>
            <w:tcW w:w="3360" w:type="dxa"/>
          </w:tcPr>
          <w:p w:rsidR="0035664F" w:rsidRPr="00CD3CA1" w:rsidRDefault="00424F61" w:rsidP="004673F4">
            <w:pPr>
              <w:rPr>
                <w:bCs/>
              </w:rPr>
            </w:pPr>
            <w:r>
              <w:rPr>
                <w:sz w:val="22"/>
                <w:szCs w:val="22"/>
              </w:rPr>
              <w:t>Nepieciešamie saistītie tiesību aktu projekti</w:t>
            </w:r>
          </w:p>
        </w:tc>
        <w:tc>
          <w:tcPr>
            <w:tcW w:w="6179" w:type="dxa"/>
          </w:tcPr>
          <w:p w:rsidR="0035664F" w:rsidRPr="00CD3CA1" w:rsidRDefault="00C1437B" w:rsidP="00B476FF">
            <w:pPr>
              <w:pStyle w:val="naiskr"/>
              <w:spacing w:before="0" w:after="0"/>
              <w:jc w:val="both"/>
              <w:rPr>
                <w:iCs/>
              </w:rPr>
            </w:pPr>
            <w:r>
              <w:rPr>
                <w:iCs/>
              </w:rPr>
              <w:t>Tā kā</w:t>
            </w:r>
            <w:r w:rsidR="00424F61">
              <w:rPr>
                <w:iCs/>
              </w:rPr>
              <w:t xml:space="preserve"> Centram tiek mainīts nosaukums, ir nepieciešams grozīt visus spēkā esošos normatīvos aktus, kuros minēta vārdkopa </w:t>
            </w:r>
            <w:r>
              <w:rPr>
                <w:iCs/>
              </w:rPr>
              <w:t>„</w:t>
            </w:r>
            <w:r w:rsidR="00424F61">
              <w:rPr>
                <w:iCs/>
              </w:rPr>
              <w:t>valsts aģentūra „Lauksaimniecības datu centrs”</w:t>
            </w:r>
            <w:r>
              <w:rPr>
                <w:iCs/>
              </w:rPr>
              <w:t>”</w:t>
            </w:r>
            <w:r w:rsidR="00424F61">
              <w:rPr>
                <w:iCs/>
              </w:rPr>
              <w:t xml:space="preserve">. </w:t>
            </w:r>
          </w:p>
          <w:p w:rsidR="0035664F" w:rsidRPr="00CD3CA1" w:rsidRDefault="00424F61" w:rsidP="00B476FF">
            <w:pPr>
              <w:pStyle w:val="naiskr"/>
              <w:spacing w:before="0" w:after="0"/>
              <w:jc w:val="both"/>
              <w:rPr>
                <w:iCs/>
              </w:rPr>
            </w:pPr>
            <w:r>
              <w:rPr>
                <w:iCs/>
              </w:rPr>
              <w:t>1. Ir nepieciešami tehniski grozījumi šādos normatīvajos aktos:</w:t>
            </w:r>
          </w:p>
          <w:p w:rsidR="0035664F" w:rsidRPr="00CD3CA1" w:rsidRDefault="00424F61" w:rsidP="00561FC3">
            <w:pPr>
              <w:pStyle w:val="naiskr"/>
              <w:numPr>
                <w:ilvl w:val="0"/>
                <w:numId w:val="28"/>
              </w:numPr>
              <w:spacing w:before="0" w:after="0"/>
              <w:jc w:val="both"/>
              <w:rPr>
                <w:iCs/>
              </w:rPr>
            </w:pPr>
            <w:r>
              <w:rPr>
                <w:iCs/>
              </w:rPr>
              <w:t>Ciltsdarba un dzīvnieku audzēšanas likumā;</w:t>
            </w:r>
          </w:p>
          <w:p w:rsidR="0035664F" w:rsidRPr="00CD3CA1" w:rsidRDefault="00424F61" w:rsidP="00561FC3">
            <w:pPr>
              <w:pStyle w:val="naiskr"/>
              <w:numPr>
                <w:ilvl w:val="0"/>
                <w:numId w:val="28"/>
              </w:numPr>
              <w:spacing w:before="0" w:after="0"/>
              <w:jc w:val="both"/>
              <w:rPr>
                <w:iCs/>
              </w:rPr>
            </w:pPr>
            <w:r>
              <w:rPr>
                <w:iCs/>
              </w:rPr>
              <w:t>Veterinārmedicīnas likumā;</w:t>
            </w:r>
          </w:p>
          <w:p w:rsidR="0035664F" w:rsidRPr="00CD3CA1" w:rsidRDefault="00424F61" w:rsidP="00561FC3">
            <w:pPr>
              <w:pStyle w:val="naiskr"/>
              <w:numPr>
                <w:ilvl w:val="0"/>
                <w:numId w:val="28"/>
              </w:numPr>
              <w:spacing w:before="0" w:after="0"/>
              <w:jc w:val="both"/>
              <w:rPr>
                <w:iCs/>
              </w:rPr>
            </w:pPr>
            <w:r>
              <w:rPr>
                <w:iCs/>
              </w:rPr>
              <w:t>Dzīvnieku barības aprites likumā;</w:t>
            </w:r>
          </w:p>
          <w:p w:rsidR="0035664F" w:rsidRPr="00CD3CA1" w:rsidRDefault="00424F61" w:rsidP="00766C2F">
            <w:pPr>
              <w:pStyle w:val="naiskr"/>
              <w:numPr>
                <w:ilvl w:val="0"/>
                <w:numId w:val="28"/>
              </w:numPr>
              <w:spacing w:before="0" w:after="0"/>
              <w:jc w:val="both"/>
              <w:rPr>
                <w:iCs/>
              </w:rPr>
            </w:pPr>
            <w:r>
              <w:rPr>
                <w:iCs/>
              </w:rPr>
              <w:t>Transportlīdzekļa ekspluatācijas nodokļa un uzņēmumu vieglo transportlīdzekļu nodokļa likum</w:t>
            </w:r>
            <w:r w:rsidR="00C1437B">
              <w:rPr>
                <w:iCs/>
              </w:rPr>
              <w:t>ā</w:t>
            </w:r>
            <w:r>
              <w:rPr>
                <w:iCs/>
              </w:rPr>
              <w:t>;</w:t>
            </w:r>
          </w:p>
          <w:p w:rsidR="0035664F" w:rsidRPr="00CD3CA1" w:rsidRDefault="00424F61" w:rsidP="00561FC3">
            <w:pPr>
              <w:pStyle w:val="naiskr"/>
              <w:numPr>
                <w:ilvl w:val="0"/>
                <w:numId w:val="28"/>
              </w:numPr>
              <w:spacing w:before="0" w:after="0"/>
              <w:ind w:left="0" w:firstLine="360"/>
              <w:jc w:val="both"/>
              <w:rPr>
                <w:iCs/>
              </w:rPr>
            </w:pPr>
            <w:r>
              <w:rPr>
                <w:iCs/>
              </w:rPr>
              <w:t>Ministru kabineta 2011.gada 16.augusta noteikumos Nr.650 „Lauksaimniecības dzīvnieku, to ganāmpulku un novietņu reģistrēšanas kārtība un lauksaimniecības dzīvnieku apzīmēšanas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2011.gada 5.jūlija noteikumos Nr.547 „Slaucamo govju un piena šķirņu kazu pārraudzības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2011.gada 5.jūlija noteikumos Nr.528 „Aitu pārraudzības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2011.gada 5.jūlija noteikumos Nr.538 „Gaļas liellopu pārraudzības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2011.gada 21.jūnija noteikumos Nr.479 „Cūku pārraudzības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2011.gada 5.jūlija noteikumos Nr.548 „Zirgu pārraudzības un zirgu darbaspēju novērtēšanas kārtība, kā arī kārtība, kādā zirgi piedalās sacensībās</w:t>
            </w:r>
            <w:r w:rsidR="00C1437B">
              <w:rPr>
                <w:iCs/>
              </w:rPr>
              <w:t>”</w:t>
            </w:r>
            <w:r>
              <w:rPr>
                <w:iCs/>
              </w:rPr>
              <w:t>;</w:t>
            </w:r>
          </w:p>
          <w:p w:rsidR="0035664F" w:rsidRPr="00CD3CA1" w:rsidRDefault="00424F61" w:rsidP="00561FC3">
            <w:pPr>
              <w:pStyle w:val="naiskr"/>
              <w:numPr>
                <w:ilvl w:val="0"/>
                <w:numId w:val="28"/>
              </w:numPr>
              <w:spacing w:before="0" w:after="0"/>
              <w:ind w:left="0" w:firstLine="360"/>
              <w:jc w:val="both"/>
              <w:rPr>
                <w:iCs/>
              </w:rPr>
            </w:pPr>
            <w:r>
              <w:rPr>
                <w:iCs/>
              </w:rPr>
              <w:t>Ministru kabineta 2011.gada 16.augusta noteikumos Nr.637 „Gaļas kazu pārraudzības noteikumi”;</w:t>
            </w:r>
          </w:p>
          <w:p w:rsidR="0035664F" w:rsidRPr="00CD3CA1" w:rsidRDefault="00424F61" w:rsidP="00561FC3">
            <w:pPr>
              <w:pStyle w:val="naiskr"/>
              <w:numPr>
                <w:ilvl w:val="0"/>
                <w:numId w:val="28"/>
              </w:numPr>
              <w:spacing w:before="0" w:after="0"/>
              <w:ind w:left="0" w:firstLine="360"/>
              <w:jc w:val="both"/>
              <w:rPr>
                <w:iCs/>
              </w:rPr>
            </w:pPr>
            <w:r>
              <w:rPr>
                <w:iCs/>
              </w:rPr>
              <w:t>Ministru kabineta 2011.gada 16.augusta noteikumos Nr.649 „Trušu un kažokzvēru pārraudzības kārtība”;</w:t>
            </w:r>
          </w:p>
          <w:p w:rsidR="0035664F" w:rsidRPr="00CD3CA1" w:rsidRDefault="00424F61" w:rsidP="00561FC3">
            <w:pPr>
              <w:pStyle w:val="naiskr"/>
              <w:numPr>
                <w:ilvl w:val="0"/>
                <w:numId w:val="28"/>
              </w:numPr>
              <w:spacing w:before="0" w:after="0"/>
              <w:ind w:left="0" w:firstLine="360"/>
              <w:jc w:val="both"/>
              <w:rPr>
                <w:iCs/>
              </w:rPr>
            </w:pPr>
            <w:r>
              <w:rPr>
                <w:iCs/>
              </w:rPr>
              <w:t xml:space="preserve"> Ministru kabineta 2011.gada 16.augusta noteikumos Nr.648 „Noteikumi par valsts nodevu par ganāmpulku un novietņu reģistrēšanu un zirgu pases izsniegšanu”;</w:t>
            </w:r>
          </w:p>
          <w:p w:rsidR="0035664F" w:rsidRPr="00CD3CA1" w:rsidRDefault="00424F61" w:rsidP="00561FC3">
            <w:pPr>
              <w:pStyle w:val="naiskr"/>
              <w:numPr>
                <w:ilvl w:val="0"/>
                <w:numId w:val="28"/>
              </w:numPr>
              <w:spacing w:before="0" w:after="0"/>
              <w:ind w:left="0" w:firstLine="360"/>
              <w:jc w:val="both"/>
              <w:rPr>
                <w:iCs/>
              </w:rPr>
            </w:pPr>
            <w:r>
              <w:rPr>
                <w:iCs/>
              </w:rPr>
              <w:t>Ministru kabineta 2011.gada 5.jūlija noteikumos Nr.546 „Noteikumi par lauksaimniecības dzīvnieku vērtēšanas, pārraudzības, mākslīgās apsēklošanas, olšūnu un embriju transplantācijas sertifikāta izsniegšanas valsts nodevu”;</w:t>
            </w:r>
          </w:p>
          <w:p w:rsidR="0035664F" w:rsidRPr="00CD3CA1" w:rsidRDefault="00424F61" w:rsidP="00561FC3">
            <w:pPr>
              <w:pStyle w:val="naiskr"/>
              <w:numPr>
                <w:ilvl w:val="0"/>
                <w:numId w:val="28"/>
              </w:numPr>
              <w:spacing w:before="0" w:after="0"/>
              <w:ind w:left="0" w:firstLine="360"/>
              <w:jc w:val="both"/>
              <w:rPr>
                <w:iCs/>
              </w:rPr>
            </w:pPr>
            <w:r>
              <w:rPr>
                <w:iCs/>
              </w:rPr>
              <w:t>Ministru kabineta 2011.gada 12.jūlija noteikumos Nr.567 „Noteikumi par šķirnes lauksaimniecības dzīvnieku audzētāju organizāciju atbilstības kritērijiem un šķirnes lauksaimniecības dzīvnieku audzētāju organizācijas statusa piešķiršanas kārtību”;</w:t>
            </w:r>
          </w:p>
          <w:p w:rsidR="0035664F" w:rsidRPr="00CD3CA1" w:rsidRDefault="00424F61" w:rsidP="00561FC3">
            <w:pPr>
              <w:pStyle w:val="naiskr"/>
              <w:numPr>
                <w:ilvl w:val="0"/>
                <w:numId w:val="28"/>
              </w:numPr>
              <w:spacing w:before="0" w:after="0"/>
              <w:ind w:left="0" w:firstLine="360"/>
              <w:jc w:val="both"/>
              <w:rPr>
                <w:iCs/>
              </w:rPr>
            </w:pPr>
            <w:r>
              <w:rPr>
                <w:iCs/>
              </w:rPr>
              <w:t>Ministru kabineta 2011.gada 21.jūnija noteikumos Nr.474 „Liellopu, cūku, aitu, kazu un zirgu vaislinieku, to spermas, olšūnu un embriju sertifikācijas kārtība”;</w:t>
            </w:r>
          </w:p>
          <w:p w:rsidR="0035664F" w:rsidRPr="00CD3CA1" w:rsidRDefault="00424F61" w:rsidP="00561FC3">
            <w:pPr>
              <w:pStyle w:val="naiskr"/>
              <w:numPr>
                <w:ilvl w:val="0"/>
                <w:numId w:val="28"/>
              </w:numPr>
              <w:spacing w:before="0" w:after="0"/>
              <w:ind w:left="0" w:firstLine="360"/>
              <w:jc w:val="both"/>
              <w:rPr>
                <w:iCs/>
              </w:rPr>
            </w:pPr>
            <w:r>
              <w:rPr>
                <w:iCs/>
              </w:rPr>
              <w:lastRenderedPageBreak/>
              <w:t>Ministru kabineta 2011.gada 21.jūnija noteikumos Nr.478 „Liellopu, cūku, aitu, kazu un zirgu ciltsgrāmatas kārtošanas noteikumi”;</w:t>
            </w:r>
          </w:p>
          <w:p w:rsidR="0035664F" w:rsidRPr="00CD3CA1" w:rsidRDefault="00424F61" w:rsidP="00561FC3">
            <w:pPr>
              <w:pStyle w:val="naiskr"/>
              <w:numPr>
                <w:ilvl w:val="0"/>
                <w:numId w:val="28"/>
              </w:numPr>
              <w:spacing w:before="0" w:after="0"/>
              <w:ind w:left="0" w:firstLine="360"/>
              <w:jc w:val="both"/>
              <w:rPr>
                <w:iCs/>
              </w:rPr>
            </w:pPr>
            <w:r>
              <w:rPr>
                <w:iCs/>
              </w:rPr>
              <w:t>Ministru kabineta 2011.gada 21.jūnija noteikumos Nr.475 „Lauksaimniecības dzīvnieku šķirnes apstiprināšanas un reģistrācijas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2011.gada 14.jūnija noteikumos Nr.447 „Noteikumi par šķirnes lauksaimniecības dzīvnieku audzēšanas saimniecības atbilstības kritērijiem un šķirnes lauksaimniecības dzīvnieku audzēšanas saimniecības statusa piešķiršanas un anulēšanas kārtību”;</w:t>
            </w:r>
          </w:p>
          <w:p w:rsidR="0035664F" w:rsidRPr="00CD3CA1" w:rsidRDefault="00424F61" w:rsidP="00561FC3">
            <w:pPr>
              <w:pStyle w:val="naiskr"/>
              <w:numPr>
                <w:ilvl w:val="0"/>
                <w:numId w:val="28"/>
              </w:numPr>
              <w:spacing w:before="0" w:after="0"/>
              <w:ind w:left="0" w:firstLine="360"/>
              <w:jc w:val="both"/>
              <w:rPr>
                <w:iCs/>
              </w:rPr>
            </w:pPr>
            <w:r>
              <w:rPr>
                <w:iCs/>
              </w:rPr>
              <w:t>Ministru kabineta 2011.gada 12.jūlija noteikumos Nr.566 „Kārtība, kādā apmāca fiziskās personas, kas veic lauksaimniecības dzīvnieku vērtēšanu, pārraudzību, mākslīgo apsēklošanu, olšūnu un embriju transplantāciju, un kārtība, kādā šīm personām izsniedz un anulē sertifikātus un apliecības”;</w:t>
            </w:r>
          </w:p>
          <w:p w:rsidR="0035664F" w:rsidRPr="00CD3CA1" w:rsidRDefault="00424F61" w:rsidP="00561FC3">
            <w:pPr>
              <w:pStyle w:val="naiskr"/>
              <w:numPr>
                <w:ilvl w:val="0"/>
                <w:numId w:val="28"/>
              </w:numPr>
              <w:spacing w:before="0" w:after="0"/>
              <w:ind w:left="0" w:firstLine="360"/>
              <w:jc w:val="both"/>
              <w:rPr>
                <w:iCs/>
              </w:rPr>
            </w:pPr>
            <w:r>
              <w:rPr>
                <w:iCs/>
              </w:rPr>
              <w:t>Ministru kabineta 2011.gada 21.jūnija noteikumos Nr.473 „Šķirnes mājas (istabas) dzīvnieku audzētāju organizāciju reģistrēšanas, šķirnes mājas (istabas) dzīvnieku ciltsgrāmatas kārtošanas un ciltsrakstu izsniegšanas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2012.gada 24.jūlija noteikumos Nr.507 „Govju veneriskās kampilobakteriozes uzraudzības, kontroles un apkarošanas kārtība”;</w:t>
            </w:r>
          </w:p>
          <w:p w:rsidR="0035664F" w:rsidRPr="00CD3CA1" w:rsidRDefault="00424F61" w:rsidP="00561FC3">
            <w:pPr>
              <w:pStyle w:val="naiskr"/>
              <w:numPr>
                <w:ilvl w:val="0"/>
                <w:numId w:val="28"/>
              </w:numPr>
              <w:spacing w:before="0" w:after="0"/>
              <w:ind w:left="0" w:firstLine="360"/>
              <w:jc w:val="both"/>
              <w:rPr>
                <w:iCs/>
              </w:rPr>
            </w:pPr>
            <w:r>
              <w:rPr>
                <w:iCs/>
              </w:rPr>
              <w:t>Ministru kabineta 2012.gada 19.jūnija noteikumos Nr.428 „</w:t>
            </w:r>
            <w:hyperlink r:id="rId8" w:tgtFrame="_blank" w:history="1">
              <w:r>
                <w:rPr>
                  <w:rStyle w:val="Hipersaite"/>
                  <w:bCs/>
                  <w:color w:val="2E2E2E"/>
                  <w:u w:val="none"/>
                </w:rPr>
                <w:t>Kārtība, kādā suni atzīst par bīstamu, un prasības bīstama suņa turēšanai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2012.gada 17.aprīļa noteikumos Nr,275 „</w:t>
            </w:r>
            <w:hyperlink r:id="rId9" w:tgtFrame="_blank" w:history="1">
              <w:r>
                <w:rPr>
                  <w:rStyle w:val="Hipersaite"/>
                  <w:bCs/>
                  <w:color w:val="2E2E2E"/>
                  <w:u w:val="none"/>
                </w:rPr>
                <w:t>Prasības tādu dzīvnieku izcelsmes blakusproduktu un atvasinātu produktu apritei, kas nav paredzēti cilvēku patēriņam</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2012.gada 17.aprīļa noteikumos 274 „</w:t>
            </w:r>
            <w:hyperlink r:id="rId10" w:tgtFrame="_blank" w:history="1">
              <w:r>
                <w:rPr>
                  <w:rStyle w:val="Hipersaite"/>
                  <w:bCs/>
                  <w:color w:val="2E2E2E"/>
                  <w:u w:val="none"/>
                </w:rPr>
                <w:t>Kārtība, kādā atzīst uzņēmumus un iekārtas un reģistrē personas, kas iesaistītas tādu dzīvnieku izcelsmes blakusproduktu un atvasinātu produktu apritē, kas nav paredzēti cilvēku patēriņam</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2012.gada 14.februāra noteikumos Nr.112 „</w:t>
            </w:r>
            <w:hyperlink r:id="rId11" w:tgtFrame="_blank" w:history="1">
              <w:r>
                <w:rPr>
                  <w:rStyle w:val="Hipersaite"/>
                  <w:bCs/>
                  <w:color w:val="2E2E2E"/>
                  <w:u w:val="none"/>
                </w:rPr>
                <w:t>Noteikumi par valsts atbalstu lauksaimniecībai un tā piešķiršanas kārtību</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2012.gada 7.februāra noteikumos Nr.98 „</w:t>
            </w:r>
            <w:hyperlink r:id="rId12" w:tgtFrame="_blank" w:history="1">
              <w:r>
                <w:rPr>
                  <w:rStyle w:val="Hipersaite"/>
                  <w:bCs/>
                  <w:color w:val="2E2E2E"/>
                  <w:u w:val="none"/>
                </w:rPr>
                <w:t>Noteikumi par meža apsaimniekošanu iežogotā meža platībā, kas izveidota dzīvnieku turēšanai nebrīvē</w:t>
              </w:r>
            </w:hyperlink>
            <w:r w:rsidRPr="00424F61">
              <w:rPr>
                <w:iCs/>
              </w:rPr>
              <w:t>”;</w:t>
            </w:r>
          </w:p>
          <w:p w:rsidR="0035664F" w:rsidRPr="00CD3CA1" w:rsidRDefault="00424F61" w:rsidP="00561FC3">
            <w:pPr>
              <w:pStyle w:val="naiskr"/>
              <w:numPr>
                <w:ilvl w:val="0"/>
                <w:numId w:val="28"/>
              </w:numPr>
              <w:spacing w:before="0" w:beforeAutospacing="1" w:after="0" w:afterAutospacing="1"/>
              <w:ind w:left="0" w:firstLine="360"/>
              <w:jc w:val="both"/>
              <w:rPr>
                <w:iCs/>
              </w:rPr>
            </w:pPr>
            <w:r w:rsidRPr="00424F61">
              <w:rPr>
                <w:iCs/>
              </w:rPr>
              <w:t>Ministru kabineta 2012.gada 17.janvār</w:t>
            </w:r>
            <w:r w:rsidR="00A378B1">
              <w:rPr>
                <w:iCs/>
              </w:rPr>
              <w:t xml:space="preserve">a </w:t>
            </w:r>
            <w:r w:rsidR="0035664F" w:rsidRPr="00CD3CA1">
              <w:rPr>
                <w:iCs/>
              </w:rPr>
              <w:t>noteikumos Nr.64 „</w:t>
            </w:r>
            <w:hyperlink r:id="rId13" w:tgtFrame="_blank" w:history="1">
              <w:r>
                <w:rPr>
                  <w:rStyle w:val="Hipersaite"/>
                  <w:bCs/>
                  <w:color w:val="auto"/>
                  <w:u w:val="none"/>
                </w:rPr>
                <w:t>Kārtība, kādā piešķir valsts atbalstu vaislas lauksaimniecības dzīvnieku ierakstīšanai ciltsgrāmatā, kā arī to ģenētiskās kvalitātes noteikšanai un produktivitātes datu izvērtēšanai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2012.gada 10.janvāra noteikumos Nr.40 „</w:t>
            </w:r>
            <w:hyperlink r:id="rId14" w:tgtFrame="_blank" w:history="1">
              <w:r>
                <w:rPr>
                  <w:rStyle w:val="Hipersaite"/>
                  <w:bCs/>
                  <w:color w:val="auto"/>
                  <w:u w:val="none"/>
                </w:rPr>
                <w:t>Zirgu infekciozās anēmijas uzraudzības, kontroles un apkarošanas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 xml:space="preserve">Ministru kabineta 2011.gada 20.decembra noteikumos </w:t>
            </w:r>
            <w:r w:rsidRPr="00424F61">
              <w:rPr>
                <w:iCs/>
              </w:rPr>
              <w:lastRenderedPageBreak/>
              <w:t>Nr.988 „</w:t>
            </w:r>
            <w:hyperlink r:id="rId15" w:tgtFrame="_blank" w:history="1">
              <w:r>
                <w:rPr>
                  <w:rStyle w:val="Hipersaite"/>
                  <w:bCs/>
                  <w:color w:val="auto"/>
                  <w:u w:val="none"/>
                </w:rPr>
                <w:t>Kārtība, kādā veic brucelozes profilakses un apkarošanas pasākumus aitām un kazām</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2011.gada 15.novembra noteikumos Nr.880 „</w:t>
            </w:r>
            <w:hyperlink r:id="rId16" w:tgtFrame="_blank" w:history="1">
              <w:r>
                <w:rPr>
                  <w:rStyle w:val="Hipersaite"/>
                  <w:bCs/>
                  <w:color w:val="auto"/>
                  <w:u w:val="none"/>
                </w:rPr>
                <w:t>Govju enzootiskās leikozes uzraudzības, kontroles un apkarošanas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2011.gada 1.novembra noteikumos Nr.841 „</w:t>
            </w:r>
            <w:hyperlink r:id="rId17" w:tgtFrame="_blank" w:history="1">
              <w:r>
                <w:rPr>
                  <w:rStyle w:val="Hipersaite"/>
                  <w:bCs/>
                  <w:color w:val="auto"/>
                  <w:u w:val="none"/>
                </w:rPr>
                <w:t>Kārtība, kādā tiek vākta un apkopota informācija par lauksaimniecības produktu cenām un tirdzniecības apjomiem noteiktā pārskata periodā</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2011.gada 21.jūnija noteikumos Nr.491 „</w:t>
            </w:r>
            <w:hyperlink r:id="rId18" w:tgtFrame="_blank" w:history="1">
              <w:r>
                <w:rPr>
                  <w:rStyle w:val="Hipersaite"/>
                  <w:bCs/>
                  <w:color w:val="auto"/>
                  <w:u w:val="none"/>
                </w:rPr>
                <w:t>Mājas (istabas) dzīvnieku reģistrācijas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2011.gada 3.maija noteikumos Nr.344 „</w:t>
            </w:r>
            <w:hyperlink r:id="rId19" w:tgtFrame="_blank" w:history="1">
              <w:r>
                <w:rPr>
                  <w:rStyle w:val="Hipersaite"/>
                  <w:bCs/>
                  <w:color w:val="auto"/>
                  <w:u w:val="none"/>
                </w:rPr>
                <w:t>Kārtība, kādā no akcīzes nodokļa atbrīvo dīzeļdegvielu (gāzeļļu), ko izmanto lauksaimniecības produkcijas ražošanai, lauksaimniecības zemes apstrādei un meža vai purva zemes apstrādei, kurā kultivē dzērvenes vai mellenes, kā arī zemes apstrādei zem zivju dīķiem</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2010.gada 1.novembra noteikumos Nr.1026 „</w:t>
            </w:r>
            <w:r w:rsidRPr="00424F61">
              <w:rPr>
                <w:bCs/>
              </w:rPr>
              <w:t>Kārtība, kādā piešķir valsts un Eiropas Savienības atbalstu atklātu projektu iesniegumu konkursu veidā pasākumam "Lauku saimniecību modernizācija</w:t>
            </w:r>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2010.gada 14.septembra noteikumos Nr.858 „</w:t>
            </w:r>
            <w:hyperlink r:id="rId20" w:tgtFrame="_blank" w:history="1">
              <w:r>
                <w:rPr>
                  <w:rStyle w:val="Hipersaite"/>
                  <w:bCs/>
                  <w:color w:val="auto"/>
                  <w:u w:val="none"/>
                </w:rPr>
                <w:t>Veterinārās prasības cirka dzīvnieku pārvietošanai starp Latviju un citām Eiropas Savienības dalībvalstīm</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2010.gada 23.marta noteikumos Nr.295 „</w:t>
            </w:r>
            <w:hyperlink r:id="rId21" w:tgtFrame="_blank" w:history="1">
              <w:r>
                <w:rPr>
                  <w:rStyle w:val="Hipersaite"/>
                  <w:bCs/>
                  <w:color w:val="auto"/>
                  <w:u w:val="none"/>
                </w:rPr>
                <w:t>Noteikumi par valsts un Eiropas Savienības lauku attīstības atbalsta piešķiršanu, administrēšanu un uzraudzību vides un lauku ainavas uzlabošanai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2010.gada 9.februāra noteikumos Nr.127 „</w:t>
            </w:r>
            <w:hyperlink r:id="rId22" w:tgtFrame="_blank" w:history="1">
              <w:r>
                <w:rPr>
                  <w:rStyle w:val="Hipersaite"/>
                  <w:bCs/>
                  <w:color w:val="auto"/>
                  <w:u w:val="none"/>
                </w:rPr>
                <w:t>Noteikumi par aitu gaļas marķēšanu</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2010.gada 9.februāra noteikumos Nr.123 „</w:t>
            </w:r>
            <w:hyperlink r:id="rId23" w:tgtFrame="_blank" w:history="1">
              <w:r>
                <w:rPr>
                  <w:rStyle w:val="Hipersaite"/>
                  <w:bCs/>
                  <w:color w:val="auto"/>
                  <w:u w:val="none"/>
                </w:rPr>
                <w:t>Veterinārās, higiēnas un nekaitīguma prasības svaigpiena apritei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2009.gada 20.oktobra noteikumos Nr.1203 „</w:t>
            </w:r>
            <w:hyperlink r:id="rId24" w:tgtFrame="_blank" w:history="1">
              <w:r>
                <w:rPr>
                  <w:rStyle w:val="Hipersaite"/>
                  <w:bCs/>
                  <w:color w:val="auto"/>
                  <w:u w:val="none"/>
                </w:rPr>
                <w:t>Reģistrēto dzīvnieku datubāzēs esošās informācijas izmantošanas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2009.gada 8.septembra noteikumos Nr.1040 „</w:t>
            </w:r>
            <w:hyperlink r:id="rId25" w:tgtFrame="_blank" w:history="1">
              <w:r>
                <w:rPr>
                  <w:rStyle w:val="Hipersaite"/>
                  <w:bCs/>
                  <w:color w:val="auto"/>
                  <w:u w:val="none"/>
                </w:rPr>
                <w:t>Piena kvotu administrēšanas noteikumi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2009.gada 30.jūnija noteikumos Nr.730 „</w:t>
            </w:r>
            <w:hyperlink r:id="rId26" w:tgtFrame="_blank" w:history="1">
              <w:r>
                <w:rPr>
                  <w:rStyle w:val="Hipersaite"/>
                  <w:bCs/>
                  <w:color w:val="auto"/>
                  <w:u w:val="none"/>
                </w:rPr>
                <w:t>Dzīvnieku barības apritē iesaistītā uzņēmuma reģistrācijas un atzīšanas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2009.gada 17.jūnija noteikumos Nr.573 „</w:t>
            </w:r>
            <w:hyperlink r:id="rId27" w:tgtFrame="_blank" w:history="1">
              <w:r>
                <w:rPr>
                  <w:rStyle w:val="Hipersaite"/>
                  <w:bCs/>
                  <w:color w:val="auto"/>
                  <w:u w:val="none"/>
                </w:rPr>
                <w:t>Kārtība, kādā administrē Eiropas Lauksaimniecības garantiju fondu, Eiropas Lauksaimniecības fondu lauku attīstībai un Eiropas Zivsaimniecības fondu, kā arī valsts un Eiropas Savienības atbalstu lauksaimniecībai, lauku un zivsaimniecības attīstībai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2009.gada 26.maija noteikumos Nr.485 „</w:t>
            </w:r>
            <w:hyperlink r:id="rId28" w:tgtFrame="_blank" w:history="1">
              <w:r>
                <w:rPr>
                  <w:rStyle w:val="Hipersaite"/>
                  <w:bCs/>
                  <w:color w:val="auto"/>
                  <w:u w:val="none"/>
                </w:rPr>
                <w:t>Bioloģiskās lauksaimniecības uzraudzības un kontroles kārtība</w:t>
              </w:r>
            </w:hyperlink>
            <w:r w:rsidRPr="00424F61">
              <w:rPr>
                <w:iCs/>
              </w:rPr>
              <w:t>”</w:t>
            </w:r>
            <w:r w:rsidRPr="00424F61">
              <w:rPr>
                <w:iCs/>
                <w:vanish/>
              </w:rPr>
              <w:t xml:space="preserve">"85 neta 2009.gada 26.maija noteikumos Nr.teikumos Nr..48 </w:t>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vanish/>
              </w:rPr>
              <w:pgNum/>
            </w:r>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lastRenderedPageBreak/>
              <w:t>Ministru kabineta 2008.gada 3.jīnija noteikumos Nr.404 „</w:t>
            </w:r>
            <w:hyperlink r:id="rId29" w:tgtFrame="_blank" w:history="1">
              <w:r>
                <w:rPr>
                  <w:rStyle w:val="Hipersaite"/>
                  <w:bCs/>
                  <w:color w:val="auto"/>
                  <w:u w:val="none"/>
                </w:rPr>
                <w:t>Svaigpiena kvalitātes kontroles laboratoriju atzīšanas un uzraudzības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2008.gada 1.aprīļa noteikumos Nr.237 „</w:t>
            </w:r>
            <w:hyperlink r:id="rId30" w:tgtFrame="_blank" w:history="1">
              <w:r>
                <w:rPr>
                  <w:rStyle w:val="Hipersaite"/>
                  <w:bCs/>
                  <w:color w:val="auto"/>
                  <w:u w:val="none"/>
                </w:rPr>
                <w:t>Lauksaimniecības un pārstrādāto lauksaimniecības produktu Eiropas Savienības ārējās tirdzniecības režīma administrēšanas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2007.gada 19.jūnija noteikumos Nr.407 „</w:t>
            </w:r>
            <w:hyperlink r:id="rId31" w:tgtFrame="_blank" w:history="1">
              <w:r>
                <w:rPr>
                  <w:rStyle w:val="Hipersaite"/>
                  <w:bCs/>
                  <w:color w:val="auto"/>
                  <w:u w:val="none"/>
                </w:rPr>
                <w:t>Veterināro zāļu marķēšanas, izplatīšanas un kontroles noteikumi</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2007.gada 24.aprīļa noteikumos Nr.279 „</w:t>
            </w:r>
            <w:hyperlink r:id="rId32" w:tgtFrame="_blank" w:history="1">
              <w:r>
                <w:rPr>
                  <w:rStyle w:val="Hipersaite"/>
                  <w:bCs/>
                  <w:color w:val="auto"/>
                  <w:u w:val="none"/>
                </w:rPr>
                <w:t>Noteikumi par izņēmumiem, kad nepiemēro Eiropas Parlamenta un Padomes 2006.gada 15.marta Regulu (EK) Nr.561/2006, ar ko paredz dažu sociālās jomas tiesību aktu saskaņošanu saistībā ar autotransportu, groza Padomes Regulu (EEK) Nr.3821/85 un Padomes Regulu (EK) Nr.2135/98 un atceļ Padomes Regulu (EEK) Nr.3820/85</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2006.gada 31.oktobra noteikumos Nr.886 „</w:t>
            </w:r>
            <w:hyperlink r:id="rId33" w:tgtFrame="_blank" w:history="1">
              <w:r>
                <w:rPr>
                  <w:rStyle w:val="Hipersaite"/>
                  <w:bCs/>
                  <w:color w:val="auto"/>
                  <w:u w:val="none"/>
                </w:rPr>
                <w:t>Noteikumi par institūcijām, kas izsniedz ārvalstīs iegūtās profesionālās kvalifikācijas atzīšanas apliecības reglamentētajās profesijās</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2005.gada 20.decembra noteikumos Nr.959 „</w:t>
            </w:r>
            <w:hyperlink r:id="rId34" w:tgtFrame="_blank" w:history="1">
              <w:r>
                <w:rPr>
                  <w:rStyle w:val="Hipersaite"/>
                  <w:bCs/>
                  <w:color w:val="auto"/>
                  <w:u w:val="none"/>
                </w:rPr>
                <w:t>Labturības prasības sporta, darba un atrakciju dzīvnieku turēšanai, apmācībai un izmantošanai sacensībās, darbā vai atrakcijās</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2005.gada 2.augusta noteikumos Nr.582 „</w:t>
            </w:r>
            <w:hyperlink r:id="rId35" w:tgtFrame="_blank" w:history="1">
              <w:r>
                <w:rPr>
                  <w:rStyle w:val="Hipersaite"/>
                  <w:bCs/>
                  <w:color w:val="auto"/>
                  <w:u w:val="none"/>
                </w:rPr>
                <w:t>Mutes un nagu sērgas likvidēšanas un draudu novēršanas kārtība</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2004.gada 26.oktobra noteikumos Nr.895 „</w:t>
            </w:r>
            <w:hyperlink r:id="rId36" w:tgtFrame="_blank" w:history="1">
              <w:r>
                <w:rPr>
                  <w:rStyle w:val="Hipersaite"/>
                  <w:bCs/>
                  <w:color w:val="auto"/>
                  <w:u w:val="none"/>
                </w:rPr>
                <w:t>Kārtība, kādā organizējamas dzīvnieku sacensības, tirgi, izsoles, izstādes un citi pasākumi ar dzīvnieku piedalīšanos</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2003.gada 3.jūnija noteikumos Nr.291 „</w:t>
            </w:r>
            <w:hyperlink r:id="rId37" w:tgtFrame="_blank" w:history="1">
              <w:r>
                <w:rPr>
                  <w:rStyle w:val="Hipersaite"/>
                  <w:bCs/>
                  <w:color w:val="auto"/>
                  <w:u w:val="none"/>
                </w:rPr>
                <w:t>Prasības sociālo pakalpojumu sniedzējiem</w:t>
              </w:r>
            </w:hyperlink>
            <w:r w:rsidRPr="00424F61">
              <w:rPr>
                <w:iCs/>
              </w:rPr>
              <w:t>”;</w:t>
            </w:r>
          </w:p>
          <w:p w:rsidR="0035664F" w:rsidRPr="00CD3CA1" w:rsidRDefault="00424F61" w:rsidP="00561FC3">
            <w:pPr>
              <w:pStyle w:val="naiskr"/>
              <w:numPr>
                <w:ilvl w:val="0"/>
                <w:numId w:val="28"/>
              </w:numPr>
              <w:spacing w:before="0" w:after="0"/>
              <w:ind w:left="0" w:firstLine="360"/>
              <w:jc w:val="both"/>
              <w:rPr>
                <w:iCs/>
              </w:rPr>
            </w:pPr>
            <w:r w:rsidRPr="00424F61">
              <w:rPr>
                <w:iCs/>
              </w:rPr>
              <w:t>Ministru kabineta 2003.gada 29.aprīļa noteikumos Nr.245 „</w:t>
            </w:r>
            <w:hyperlink r:id="rId38" w:tgtFrame="_blank" w:history="1">
              <w:r>
                <w:rPr>
                  <w:rStyle w:val="Hipersaite"/>
                  <w:bCs/>
                  <w:color w:val="auto"/>
                  <w:u w:val="none"/>
                </w:rPr>
                <w:t>Zemkopības ministrijas nolikums</w:t>
              </w:r>
            </w:hyperlink>
            <w:r w:rsidRPr="00424F61">
              <w:rPr>
                <w:iCs/>
              </w:rPr>
              <w:t>”.</w:t>
            </w:r>
          </w:p>
          <w:p w:rsidR="0035664F" w:rsidRPr="00CD3CA1" w:rsidRDefault="0035664F" w:rsidP="00766C2F">
            <w:pPr>
              <w:pStyle w:val="naiskr"/>
              <w:spacing w:before="0" w:after="0"/>
              <w:jc w:val="both"/>
              <w:rPr>
                <w:iCs/>
              </w:rPr>
            </w:pPr>
          </w:p>
          <w:p w:rsidR="0035664F" w:rsidRPr="00CD3CA1" w:rsidRDefault="00424F61" w:rsidP="002548B3">
            <w:pPr>
              <w:pStyle w:val="naiskr"/>
              <w:spacing w:before="0" w:after="0"/>
              <w:jc w:val="both"/>
              <w:rPr>
                <w:iCs/>
              </w:rPr>
            </w:pPr>
            <w:r w:rsidRPr="00424F61">
              <w:rPr>
                <w:iCs/>
              </w:rPr>
              <w:t>2. Nepieciešams jaunā redakcijā izdot Ministru kabineta 2011.gada 22.februāra noteikumus Nr.156 „Noteikumi par valsts aģentūras „Lauksaimniecības datu centrs” sniegto publisko maksas pakalpojumu cenrādi”</w:t>
            </w:r>
          </w:p>
          <w:p w:rsidR="0035664F" w:rsidRPr="00CD3CA1" w:rsidRDefault="00424F61" w:rsidP="00B476FF">
            <w:pPr>
              <w:pStyle w:val="naiskr"/>
              <w:tabs>
                <w:tab w:val="left" w:pos="2628"/>
              </w:tabs>
              <w:spacing w:before="0" w:after="0"/>
              <w:ind w:right="-1"/>
              <w:jc w:val="both"/>
              <w:rPr>
                <w:bCs/>
              </w:rPr>
            </w:pPr>
            <w:r w:rsidRPr="00424F61">
              <w:rPr>
                <w:bCs/>
              </w:rPr>
              <w:t xml:space="preserve">Minētie grozījumi normatīvajos aktos tiks </w:t>
            </w:r>
            <w:r w:rsidR="00C1437B">
              <w:rPr>
                <w:bCs/>
              </w:rPr>
              <w:t>izdarīti</w:t>
            </w:r>
            <w:r w:rsidRPr="00424F61">
              <w:rPr>
                <w:bCs/>
              </w:rPr>
              <w:t xml:space="preserve">, kad </w:t>
            </w:r>
            <w:r w:rsidR="00C1437B">
              <w:rPr>
                <w:bCs/>
              </w:rPr>
              <w:t>t</w:t>
            </w:r>
            <w:r w:rsidRPr="00424F61">
              <w:rPr>
                <w:bCs/>
              </w:rPr>
              <w:t>os grozīs pēc būtības.</w:t>
            </w:r>
          </w:p>
          <w:p w:rsidR="0035664F" w:rsidRPr="00CD3CA1" w:rsidRDefault="00424F61" w:rsidP="00B476FF">
            <w:pPr>
              <w:pStyle w:val="naiskr"/>
              <w:tabs>
                <w:tab w:val="left" w:pos="2628"/>
              </w:tabs>
              <w:spacing w:before="0" w:after="0"/>
              <w:ind w:right="-1"/>
              <w:jc w:val="both"/>
              <w:rPr>
                <w:bCs/>
                <w:sz w:val="28"/>
                <w:szCs w:val="28"/>
              </w:rPr>
            </w:pPr>
            <w:r w:rsidRPr="00424F61">
              <w:rPr>
                <w:bCs/>
              </w:rPr>
              <w:t>Par grozījumiem minētajos normatīvajos aktos ir atbildīga Zemkopības ministrija.</w:t>
            </w:r>
          </w:p>
        </w:tc>
      </w:tr>
      <w:tr w:rsidR="0035664F" w:rsidRPr="00CD3CA1" w:rsidTr="00AE20EC">
        <w:trPr>
          <w:trHeight w:val="263"/>
        </w:trPr>
        <w:tc>
          <w:tcPr>
            <w:tcW w:w="3360" w:type="dxa"/>
          </w:tcPr>
          <w:p w:rsidR="0035664F" w:rsidRPr="00CD3CA1" w:rsidRDefault="00424F61" w:rsidP="004673F4">
            <w:pPr>
              <w:jc w:val="center"/>
            </w:pPr>
            <w:r w:rsidRPr="00424F61">
              <w:rPr>
                <w:sz w:val="22"/>
                <w:szCs w:val="22"/>
              </w:rPr>
              <w:lastRenderedPageBreak/>
              <w:t>Cita informācija</w:t>
            </w:r>
          </w:p>
        </w:tc>
        <w:tc>
          <w:tcPr>
            <w:tcW w:w="6179" w:type="dxa"/>
          </w:tcPr>
          <w:p w:rsidR="0035664F" w:rsidRPr="00CD3CA1" w:rsidRDefault="00424F61" w:rsidP="004673F4">
            <w:pPr>
              <w:rPr>
                <w:bCs/>
              </w:rPr>
            </w:pPr>
            <w:r w:rsidRPr="00424F61">
              <w:rPr>
                <w:bCs/>
                <w:sz w:val="22"/>
                <w:szCs w:val="22"/>
              </w:rPr>
              <w:t>Nav.</w:t>
            </w:r>
          </w:p>
        </w:tc>
      </w:tr>
    </w:tbl>
    <w:p w:rsidR="0035664F" w:rsidRPr="00CD3CA1" w:rsidRDefault="0035664F" w:rsidP="00A41878"/>
    <w:p w:rsidR="0035664F" w:rsidRDefault="00424F61" w:rsidP="00D00884">
      <w:r w:rsidRPr="00424F61">
        <w:t>Anotācijas V un VI sadaļa – projekts šīs jomas neskar.</w:t>
      </w:r>
    </w:p>
    <w:p w:rsidR="005B3F87" w:rsidRDefault="005B3F87" w:rsidP="00D00884"/>
    <w:p w:rsidR="005B3F87" w:rsidRPr="00CD3CA1" w:rsidRDefault="005B3F87" w:rsidP="00D00884"/>
    <w:p w:rsidR="00CA5B7B" w:rsidRPr="00CD3CA1" w:rsidRDefault="00CA5B7B" w:rsidP="00A41878"/>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0"/>
        <w:gridCol w:w="5999"/>
      </w:tblGrid>
      <w:tr w:rsidR="0035664F" w:rsidRPr="00CD3CA1" w:rsidTr="00CA5C5E">
        <w:trPr>
          <w:trHeight w:val="279"/>
        </w:trPr>
        <w:tc>
          <w:tcPr>
            <w:tcW w:w="9539" w:type="dxa"/>
            <w:gridSpan w:val="2"/>
          </w:tcPr>
          <w:p w:rsidR="0035664F" w:rsidRPr="00CD3CA1" w:rsidRDefault="00424F61">
            <w:pPr>
              <w:jc w:val="center"/>
              <w:rPr>
                <w:b/>
              </w:rPr>
            </w:pPr>
            <w:r w:rsidRPr="00424F61">
              <w:rPr>
                <w:b/>
              </w:rPr>
              <w:lastRenderedPageBreak/>
              <w:t>VII. Tiesību akta projekta izpildes nodrošināšana un tās ietekme uz institūcijām</w:t>
            </w:r>
          </w:p>
        </w:tc>
      </w:tr>
      <w:tr w:rsidR="0035664F" w:rsidRPr="00CD3CA1" w:rsidTr="00CA5C5E">
        <w:trPr>
          <w:trHeight w:val="279"/>
        </w:trPr>
        <w:tc>
          <w:tcPr>
            <w:tcW w:w="3540" w:type="dxa"/>
          </w:tcPr>
          <w:p w:rsidR="0035664F" w:rsidRPr="00CD3CA1" w:rsidRDefault="00424F61">
            <w:pPr>
              <w:jc w:val="both"/>
            </w:pPr>
            <w:r w:rsidRPr="00424F61">
              <w:rPr>
                <w:sz w:val="22"/>
                <w:szCs w:val="22"/>
              </w:rPr>
              <w:t>Projekta izpildē iesaistītās institūcijas</w:t>
            </w:r>
          </w:p>
        </w:tc>
        <w:tc>
          <w:tcPr>
            <w:tcW w:w="5999" w:type="dxa"/>
          </w:tcPr>
          <w:p w:rsidR="0035664F" w:rsidRPr="00CD3CA1" w:rsidRDefault="00424F61">
            <w:pPr>
              <w:pStyle w:val="naisnod"/>
              <w:spacing w:before="0" w:after="0"/>
              <w:ind w:right="57"/>
              <w:jc w:val="left"/>
              <w:rPr>
                <w:b w:val="0"/>
              </w:rPr>
            </w:pPr>
            <w:r w:rsidRPr="00424F61">
              <w:rPr>
                <w:b w:val="0"/>
              </w:rPr>
              <w:t>Zemkopības ministrija</w:t>
            </w:r>
            <w:r w:rsidR="00C1437B">
              <w:rPr>
                <w:b w:val="0"/>
              </w:rPr>
              <w:t xml:space="preserve"> un</w:t>
            </w:r>
            <w:r w:rsidRPr="00424F61">
              <w:rPr>
                <w:b w:val="0"/>
              </w:rPr>
              <w:t xml:space="preserve"> Centrs</w:t>
            </w:r>
            <w:bookmarkStart w:id="0" w:name="_GoBack"/>
            <w:bookmarkEnd w:id="0"/>
          </w:p>
        </w:tc>
      </w:tr>
      <w:tr w:rsidR="0035664F" w:rsidRPr="00CD3CA1" w:rsidTr="00CA5C5E">
        <w:trPr>
          <w:trHeight w:val="279"/>
        </w:trPr>
        <w:tc>
          <w:tcPr>
            <w:tcW w:w="3540" w:type="dxa"/>
          </w:tcPr>
          <w:p w:rsidR="0035664F" w:rsidRPr="00CD3CA1" w:rsidRDefault="00424F61">
            <w:r w:rsidRPr="00424F61">
              <w:rPr>
                <w:sz w:val="22"/>
                <w:szCs w:val="22"/>
              </w:rPr>
              <w:t>Projekta izpildes ietekme uz pārvaldes funkcijām</w:t>
            </w:r>
          </w:p>
        </w:tc>
        <w:tc>
          <w:tcPr>
            <w:tcW w:w="5999" w:type="dxa"/>
          </w:tcPr>
          <w:p w:rsidR="0035664F" w:rsidRPr="004E3BE6" w:rsidRDefault="00424F61" w:rsidP="000D2502">
            <w:pPr>
              <w:pStyle w:val="naisnod"/>
              <w:spacing w:before="0" w:after="0"/>
              <w:ind w:right="57"/>
              <w:jc w:val="both"/>
              <w:rPr>
                <w:b w:val="0"/>
              </w:rPr>
            </w:pPr>
            <w:r w:rsidRPr="004E3BE6">
              <w:rPr>
                <w:b w:val="0"/>
              </w:rPr>
              <w:t>Padotības formas maiņa Zemkopības ministrijai piešķir plašākas pilnvaras</w:t>
            </w:r>
            <w:r w:rsidR="002137F2" w:rsidRPr="004E3BE6">
              <w:rPr>
                <w:b w:val="0"/>
              </w:rPr>
              <w:t xml:space="preserve"> (</w:t>
            </w:r>
            <w:r w:rsidR="0004067F" w:rsidRPr="004E3BE6">
              <w:rPr>
                <w:b w:val="0"/>
              </w:rPr>
              <w:t xml:space="preserve">saskaņā ar </w:t>
            </w:r>
            <w:r w:rsidR="002137F2" w:rsidRPr="004E3BE6">
              <w:rPr>
                <w:b w:val="0"/>
              </w:rPr>
              <w:t>Valsts pārvaldes iekārtas likuma 7.panta ceturto daļu).</w:t>
            </w:r>
          </w:p>
        </w:tc>
      </w:tr>
      <w:tr w:rsidR="0035664F" w:rsidRPr="00CD3CA1" w:rsidTr="00CA5C5E">
        <w:trPr>
          <w:trHeight w:val="279"/>
        </w:trPr>
        <w:tc>
          <w:tcPr>
            <w:tcW w:w="3540" w:type="dxa"/>
          </w:tcPr>
          <w:p w:rsidR="0035664F" w:rsidRPr="00CD3CA1" w:rsidRDefault="00424F61">
            <w:pPr>
              <w:ind w:right="57"/>
            </w:pPr>
            <w:r w:rsidRPr="00424F61">
              <w:rPr>
                <w:sz w:val="22"/>
                <w:szCs w:val="22"/>
              </w:rPr>
              <w:t>Projekta izpildes ietekme uz pārvaldes institucionālo struktūru.</w:t>
            </w:r>
          </w:p>
          <w:p w:rsidR="0035664F" w:rsidRPr="00CD3CA1" w:rsidRDefault="00424F61">
            <w:r w:rsidRPr="00424F61">
              <w:rPr>
                <w:sz w:val="22"/>
                <w:szCs w:val="22"/>
              </w:rPr>
              <w:t>Jaunu institūciju izveide</w:t>
            </w:r>
          </w:p>
        </w:tc>
        <w:tc>
          <w:tcPr>
            <w:tcW w:w="5999" w:type="dxa"/>
          </w:tcPr>
          <w:p w:rsidR="0035664F" w:rsidRPr="00CD3CA1" w:rsidRDefault="00424F61" w:rsidP="000D2502">
            <w:pPr>
              <w:pStyle w:val="naisnod"/>
              <w:spacing w:before="0" w:after="0"/>
              <w:ind w:right="57"/>
              <w:jc w:val="both"/>
              <w:rPr>
                <w:b w:val="0"/>
              </w:rPr>
            </w:pPr>
            <w:r w:rsidRPr="00424F61">
              <w:rPr>
                <w:b w:val="0"/>
              </w:rPr>
              <w:t>Jaunas institūcijas nav nepieciešams izveidot.</w:t>
            </w:r>
          </w:p>
        </w:tc>
      </w:tr>
      <w:tr w:rsidR="0035664F" w:rsidRPr="00CD3CA1" w:rsidTr="00CA5C5E">
        <w:trPr>
          <w:trHeight w:val="279"/>
        </w:trPr>
        <w:tc>
          <w:tcPr>
            <w:tcW w:w="3540" w:type="dxa"/>
          </w:tcPr>
          <w:p w:rsidR="0035664F" w:rsidRPr="00CD3CA1" w:rsidRDefault="00424F61">
            <w:pPr>
              <w:ind w:right="57"/>
            </w:pPr>
            <w:r w:rsidRPr="00424F61">
              <w:rPr>
                <w:sz w:val="22"/>
                <w:szCs w:val="22"/>
              </w:rPr>
              <w:t>Projekta izpildes ietekme uz pārvaldes institucionālo struktūru.</w:t>
            </w:r>
          </w:p>
          <w:p w:rsidR="0035664F" w:rsidRPr="00CD3CA1" w:rsidRDefault="00424F61">
            <w:r w:rsidRPr="00424F61">
              <w:rPr>
                <w:sz w:val="22"/>
                <w:szCs w:val="22"/>
              </w:rPr>
              <w:t>Esošu institūciju likvidācija</w:t>
            </w:r>
          </w:p>
        </w:tc>
        <w:tc>
          <w:tcPr>
            <w:tcW w:w="5999" w:type="dxa"/>
          </w:tcPr>
          <w:p w:rsidR="0035664F" w:rsidRPr="00CD3CA1" w:rsidRDefault="00424F61" w:rsidP="000D2502">
            <w:pPr>
              <w:pStyle w:val="naisnod"/>
              <w:spacing w:before="0" w:after="0"/>
              <w:ind w:right="57"/>
              <w:jc w:val="both"/>
              <w:rPr>
                <w:b w:val="0"/>
              </w:rPr>
            </w:pPr>
            <w:r w:rsidRPr="00424F61">
              <w:rPr>
                <w:b w:val="0"/>
              </w:rPr>
              <w:t>Nav plānota esošu institūciju likvidācija.</w:t>
            </w:r>
          </w:p>
        </w:tc>
      </w:tr>
      <w:tr w:rsidR="0035664F" w:rsidRPr="00CD3CA1" w:rsidTr="00CA5C5E">
        <w:trPr>
          <w:trHeight w:val="279"/>
        </w:trPr>
        <w:tc>
          <w:tcPr>
            <w:tcW w:w="3540" w:type="dxa"/>
          </w:tcPr>
          <w:p w:rsidR="0035664F" w:rsidRPr="00CD3CA1" w:rsidRDefault="00424F61">
            <w:pPr>
              <w:ind w:right="57"/>
            </w:pPr>
            <w:r w:rsidRPr="00424F61">
              <w:rPr>
                <w:sz w:val="22"/>
                <w:szCs w:val="22"/>
              </w:rPr>
              <w:t>Projekta izpildes ietekme uz pārvaldes institucionālo struktūru.</w:t>
            </w:r>
          </w:p>
          <w:p w:rsidR="0035664F" w:rsidRPr="00CD3CA1" w:rsidRDefault="00424F61">
            <w:r w:rsidRPr="00424F61">
              <w:rPr>
                <w:sz w:val="22"/>
                <w:szCs w:val="22"/>
              </w:rPr>
              <w:t>Esošu institūciju reorganizācija</w:t>
            </w:r>
          </w:p>
        </w:tc>
        <w:tc>
          <w:tcPr>
            <w:tcW w:w="5999" w:type="dxa"/>
          </w:tcPr>
          <w:p w:rsidR="0035664F" w:rsidRPr="00CD3CA1" w:rsidRDefault="00424F61" w:rsidP="009B5FDA">
            <w:pPr>
              <w:pStyle w:val="naisnod"/>
              <w:spacing w:before="0" w:after="0"/>
              <w:ind w:left="-27" w:right="57"/>
              <w:jc w:val="both"/>
              <w:rPr>
                <w:b w:val="0"/>
              </w:rPr>
            </w:pPr>
            <w:r w:rsidRPr="00424F61">
              <w:rPr>
                <w:b w:val="0"/>
                <w:iCs/>
              </w:rPr>
              <w:t>Projekts paredz Centra pārveidošanu par tiešās pārvaldes iestādi.</w:t>
            </w:r>
          </w:p>
        </w:tc>
      </w:tr>
      <w:tr w:rsidR="0035664F" w:rsidRPr="00CD3CA1" w:rsidTr="00CA5C5E">
        <w:trPr>
          <w:trHeight w:val="279"/>
        </w:trPr>
        <w:tc>
          <w:tcPr>
            <w:tcW w:w="3540" w:type="dxa"/>
          </w:tcPr>
          <w:p w:rsidR="0035664F" w:rsidRPr="00CD3CA1" w:rsidRDefault="00424F61">
            <w:pPr>
              <w:jc w:val="both"/>
            </w:pPr>
            <w:r w:rsidRPr="00424F61">
              <w:rPr>
                <w:sz w:val="22"/>
                <w:szCs w:val="22"/>
              </w:rPr>
              <w:t>Cita informācija</w:t>
            </w:r>
          </w:p>
        </w:tc>
        <w:tc>
          <w:tcPr>
            <w:tcW w:w="5999" w:type="dxa"/>
          </w:tcPr>
          <w:p w:rsidR="0035664F" w:rsidRPr="00CD3CA1" w:rsidRDefault="00424F61" w:rsidP="009B5FDA">
            <w:pPr>
              <w:pStyle w:val="naiskr"/>
              <w:spacing w:before="0" w:after="0"/>
              <w:ind w:left="-27" w:right="57"/>
            </w:pPr>
            <w:r w:rsidRPr="00424F61">
              <w:t>Nav.</w:t>
            </w:r>
          </w:p>
        </w:tc>
      </w:tr>
    </w:tbl>
    <w:p w:rsidR="0035664F" w:rsidRPr="00CD3CA1" w:rsidRDefault="0035664F" w:rsidP="00A41878"/>
    <w:p w:rsidR="0035664F" w:rsidRPr="00CD3CA1" w:rsidRDefault="0035664F" w:rsidP="007432C9">
      <w:pPr>
        <w:ind w:firstLine="720"/>
        <w:jc w:val="both"/>
        <w:rPr>
          <w:sz w:val="28"/>
          <w:szCs w:val="28"/>
        </w:rPr>
      </w:pPr>
    </w:p>
    <w:p w:rsidR="0035664F" w:rsidRPr="00CD3CA1" w:rsidRDefault="0035664F" w:rsidP="007432C9">
      <w:pPr>
        <w:ind w:firstLine="720"/>
        <w:jc w:val="both"/>
        <w:rPr>
          <w:sz w:val="28"/>
          <w:szCs w:val="28"/>
        </w:rPr>
      </w:pPr>
    </w:p>
    <w:p w:rsidR="0035664F" w:rsidRPr="00CD3CA1" w:rsidRDefault="00424F61" w:rsidP="007432C9">
      <w:pPr>
        <w:ind w:firstLine="720"/>
        <w:jc w:val="both"/>
        <w:rPr>
          <w:sz w:val="28"/>
          <w:szCs w:val="28"/>
        </w:rPr>
      </w:pPr>
      <w:r w:rsidRPr="00424F61">
        <w:rPr>
          <w:sz w:val="28"/>
          <w:szCs w:val="28"/>
        </w:rPr>
        <w:t>Zemkopības ministre</w:t>
      </w:r>
      <w:r w:rsidRPr="00424F61">
        <w:rPr>
          <w:sz w:val="28"/>
          <w:szCs w:val="28"/>
        </w:rPr>
        <w:tab/>
      </w:r>
      <w:r w:rsidRPr="00424F61">
        <w:rPr>
          <w:sz w:val="28"/>
          <w:szCs w:val="28"/>
        </w:rPr>
        <w:tab/>
      </w:r>
      <w:r w:rsidRPr="00424F61">
        <w:rPr>
          <w:sz w:val="28"/>
          <w:szCs w:val="28"/>
        </w:rPr>
        <w:tab/>
      </w:r>
      <w:r w:rsidRPr="00424F61">
        <w:rPr>
          <w:sz w:val="28"/>
          <w:szCs w:val="28"/>
        </w:rPr>
        <w:tab/>
      </w:r>
      <w:r w:rsidRPr="00424F61">
        <w:rPr>
          <w:sz w:val="28"/>
          <w:szCs w:val="28"/>
        </w:rPr>
        <w:tab/>
        <w:t>L.Straujuma</w:t>
      </w:r>
    </w:p>
    <w:p w:rsidR="0035664F" w:rsidRPr="00CD3CA1" w:rsidRDefault="00424F61" w:rsidP="00FA338D">
      <w:pPr>
        <w:ind w:firstLine="709"/>
        <w:jc w:val="both"/>
        <w:rPr>
          <w:sz w:val="28"/>
          <w:szCs w:val="28"/>
        </w:rPr>
      </w:pPr>
      <w:r w:rsidRPr="00424F61">
        <w:rPr>
          <w:sz w:val="28"/>
          <w:szCs w:val="28"/>
        </w:rPr>
        <w:tab/>
      </w:r>
      <w:r w:rsidRPr="00424F61">
        <w:rPr>
          <w:sz w:val="28"/>
          <w:szCs w:val="28"/>
        </w:rPr>
        <w:tab/>
      </w:r>
    </w:p>
    <w:p w:rsidR="0035664F" w:rsidRPr="00CD3CA1" w:rsidRDefault="0035664F" w:rsidP="00830C4E">
      <w:pPr>
        <w:jc w:val="both"/>
        <w:rPr>
          <w:sz w:val="20"/>
          <w:szCs w:val="20"/>
        </w:rPr>
      </w:pPr>
    </w:p>
    <w:p w:rsidR="0035664F" w:rsidRPr="00CD3CA1" w:rsidRDefault="0035664F" w:rsidP="00830C4E">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3E0644" w:rsidRDefault="003E0644" w:rsidP="00512076">
      <w:pPr>
        <w:jc w:val="both"/>
        <w:rPr>
          <w:sz w:val="20"/>
          <w:szCs w:val="20"/>
        </w:rPr>
      </w:pPr>
    </w:p>
    <w:p w:rsidR="00B65ED4" w:rsidRDefault="00B65ED4" w:rsidP="00512076">
      <w:pPr>
        <w:jc w:val="both"/>
        <w:rPr>
          <w:sz w:val="20"/>
          <w:szCs w:val="20"/>
        </w:rPr>
      </w:pPr>
      <w:r>
        <w:rPr>
          <w:sz w:val="20"/>
          <w:szCs w:val="20"/>
        </w:rPr>
        <w:t>2012.11.27. 16:24</w:t>
      </w:r>
    </w:p>
    <w:p w:rsidR="00B65ED4" w:rsidRPr="00B65ED4" w:rsidRDefault="00B65ED4" w:rsidP="00512076">
      <w:pPr>
        <w:jc w:val="both"/>
        <w:rPr>
          <w:sz w:val="20"/>
          <w:szCs w:val="20"/>
        </w:rPr>
      </w:pPr>
      <w:fldSimple w:instr=" NUMWORDS   \* MERGEFORMAT ">
        <w:r w:rsidRPr="00B65ED4">
          <w:rPr>
            <w:noProof/>
            <w:sz w:val="20"/>
            <w:szCs w:val="20"/>
          </w:rPr>
          <w:t>2656</w:t>
        </w:r>
      </w:fldSimple>
    </w:p>
    <w:p w:rsidR="0035664F" w:rsidRPr="00CD3CA1" w:rsidRDefault="0035664F" w:rsidP="00512076">
      <w:pPr>
        <w:jc w:val="both"/>
        <w:rPr>
          <w:sz w:val="20"/>
          <w:szCs w:val="20"/>
        </w:rPr>
      </w:pPr>
      <w:r w:rsidRPr="00CD3CA1">
        <w:rPr>
          <w:sz w:val="20"/>
          <w:szCs w:val="20"/>
        </w:rPr>
        <w:t>L.Ozoliņa</w:t>
      </w:r>
    </w:p>
    <w:p w:rsidR="0035664F" w:rsidRPr="00CD3CA1" w:rsidRDefault="0035664F" w:rsidP="00FA338D">
      <w:pPr>
        <w:jc w:val="both"/>
        <w:rPr>
          <w:sz w:val="20"/>
          <w:szCs w:val="20"/>
        </w:rPr>
      </w:pPr>
      <w:r w:rsidRPr="00CD3CA1">
        <w:rPr>
          <w:sz w:val="20"/>
          <w:szCs w:val="20"/>
        </w:rPr>
        <w:t>67027422, Ligija.Ozolina@zm.gov.lv</w:t>
      </w:r>
    </w:p>
    <w:sectPr w:rsidR="0035664F" w:rsidRPr="00CD3CA1" w:rsidSect="005B3F87">
      <w:headerReference w:type="even" r:id="rId39"/>
      <w:headerReference w:type="default" r:id="rId40"/>
      <w:footerReference w:type="default" r:id="rId41"/>
      <w:footerReference w:type="first" r:id="rId4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23" w:rsidRDefault="003A1023">
      <w:r>
        <w:separator/>
      </w:r>
    </w:p>
  </w:endnote>
  <w:endnote w:type="continuationSeparator" w:id="0">
    <w:p w:rsidR="003A1023" w:rsidRDefault="003A1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4F" w:rsidRPr="007F03B8" w:rsidRDefault="0041717D" w:rsidP="00F27443">
    <w:pPr>
      <w:pStyle w:val="naisvisr"/>
      <w:spacing w:before="0" w:after="0"/>
      <w:jc w:val="left"/>
      <w:rPr>
        <w:sz w:val="20"/>
        <w:szCs w:val="20"/>
      </w:rPr>
    </w:pPr>
    <w:r>
      <w:rPr>
        <w:b w:val="0"/>
        <w:sz w:val="20"/>
        <w:szCs w:val="20"/>
      </w:rPr>
      <w:t>ZMAnot_26</w:t>
    </w:r>
    <w:r w:rsidR="0035664F">
      <w:rPr>
        <w:b w:val="0"/>
        <w:sz w:val="20"/>
        <w:szCs w:val="20"/>
      </w:rPr>
      <w:t>11</w:t>
    </w:r>
    <w:r w:rsidR="0035664F" w:rsidRPr="007F03B8">
      <w:rPr>
        <w:b w:val="0"/>
        <w:sz w:val="20"/>
        <w:szCs w:val="20"/>
      </w:rPr>
      <w:t xml:space="preserve">12_ldcnolikums; </w:t>
    </w:r>
    <w:r w:rsidR="0035664F">
      <w:rPr>
        <w:b w:val="0"/>
        <w:sz w:val="20"/>
        <w:szCs w:val="20"/>
      </w:rPr>
      <w:t>Lauksaimniecības datu centra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4F" w:rsidRPr="007F03B8" w:rsidRDefault="0041717D" w:rsidP="00F27443">
    <w:pPr>
      <w:pStyle w:val="naisvisr"/>
      <w:spacing w:before="0" w:after="0"/>
      <w:jc w:val="both"/>
      <w:rPr>
        <w:sz w:val="20"/>
        <w:szCs w:val="20"/>
      </w:rPr>
    </w:pPr>
    <w:r>
      <w:rPr>
        <w:b w:val="0"/>
        <w:sz w:val="20"/>
      </w:rPr>
      <w:t>ZMAnot_26</w:t>
    </w:r>
    <w:r w:rsidR="0035664F">
      <w:rPr>
        <w:b w:val="0"/>
        <w:sz w:val="20"/>
      </w:rPr>
      <w:t>11</w:t>
    </w:r>
    <w:r w:rsidR="0035664F" w:rsidRPr="007F03B8">
      <w:rPr>
        <w:b w:val="0"/>
        <w:sz w:val="20"/>
      </w:rPr>
      <w:t>12_ldcnolikums</w:t>
    </w:r>
    <w:r w:rsidR="0035664F" w:rsidRPr="007F03B8">
      <w:rPr>
        <w:b w:val="0"/>
        <w:sz w:val="20"/>
        <w:szCs w:val="20"/>
      </w:rPr>
      <w:t xml:space="preserve">; </w:t>
    </w:r>
    <w:r w:rsidR="0035664F">
      <w:rPr>
        <w:b w:val="0"/>
        <w:sz w:val="20"/>
        <w:szCs w:val="20"/>
      </w:rPr>
      <w:t>Lauksaimniecības datu centra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23" w:rsidRDefault="003A1023">
      <w:r>
        <w:separator/>
      </w:r>
    </w:p>
  </w:footnote>
  <w:footnote w:type="continuationSeparator" w:id="0">
    <w:p w:rsidR="003A1023" w:rsidRDefault="003A1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4F" w:rsidRDefault="00E44D8F" w:rsidP="006562F3">
    <w:pPr>
      <w:pStyle w:val="Galvene"/>
      <w:framePr w:wrap="around" w:vAnchor="text" w:hAnchor="margin" w:xAlign="center" w:y="1"/>
      <w:rPr>
        <w:rStyle w:val="Lappusesnumurs"/>
      </w:rPr>
    </w:pPr>
    <w:r>
      <w:rPr>
        <w:rStyle w:val="Lappusesnumurs"/>
      </w:rPr>
      <w:fldChar w:fldCharType="begin"/>
    </w:r>
    <w:r w:rsidR="0035664F">
      <w:rPr>
        <w:rStyle w:val="Lappusesnumurs"/>
      </w:rPr>
      <w:instrText xml:space="preserve">PAGE  </w:instrText>
    </w:r>
    <w:r>
      <w:rPr>
        <w:rStyle w:val="Lappusesnumurs"/>
      </w:rPr>
      <w:fldChar w:fldCharType="end"/>
    </w:r>
  </w:p>
  <w:p w:rsidR="0035664F" w:rsidRDefault="0035664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4F" w:rsidRDefault="00E44D8F" w:rsidP="006562F3">
    <w:pPr>
      <w:pStyle w:val="Galvene"/>
      <w:framePr w:wrap="around" w:vAnchor="text" w:hAnchor="margin" w:xAlign="center" w:y="1"/>
      <w:rPr>
        <w:rStyle w:val="Lappusesnumurs"/>
      </w:rPr>
    </w:pPr>
    <w:r>
      <w:rPr>
        <w:rStyle w:val="Lappusesnumurs"/>
      </w:rPr>
      <w:fldChar w:fldCharType="begin"/>
    </w:r>
    <w:r w:rsidR="0035664F">
      <w:rPr>
        <w:rStyle w:val="Lappusesnumurs"/>
      </w:rPr>
      <w:instrText xml:space="preserve">PAGE  </w:instrText>
    </w:r>
    <w:r>
      <w:rPr>
        <w:rStyle w:val="Lappusesnumurs"/>
      </w:rPr>
      <w:fldChar w:fldCharType="separate"/>
    </w:r>
    <w:r w:rsidR="00B65ED4">
      <w:rPr>
        <w:rStyle w:val="Lappusesnumurs"/>
        <w:noProof/>
      </w:rPr>
      <w:t>9</w:t>
    </w:r>
    <w:r>
      <w:rPr>
        <w:rStyle w:val="Lappusesnumurs"/>
      </w:rPr>
      <w:fldChar w:fldCharType="end"/>
    </w:r>
  </w:p>
  <w:p w:rsidR="0035664F" w:rsidRDefault="0035664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8D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C50B3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881C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40A4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FBE0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367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36A2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7A7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638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5E7AF0"/>
    <w:lvl w:ilvl="0">
      <w:start w:val="1"/>
      <w:numFmt w:val="bullet"/>
      <w:lvlText w:val=""/>
      <w:lvlJc w:val="left"/>
      <w:pPr>
        <w:tabs>
          <w:tab w:val="num" w:pos="360"/>
        </w:tabs>
        <w:ind w:left="360" w:hanging="360"/>
      </w:pPr>
      <w:rPr>
        <w:rFonts w:ascii="Symbol" w:hAnsi="Symbol" w:hint="default"/>
      </w:rPr>
    </w:lvl>
  </w:abstractNum>
  <w:abstractNum w:abstractNumId="10">
    <w:nsid w:val="00CF31B9"/>
    <w:multiLevelType w:val="hybridMultilevel"/>
    <w:tmpl w:val="EF425496"/>
    <w:lvl w:ilvl="0" w:tplc="475E6FD0">
      <w:start w:val="1"/>
      <w:numFmt w:val="decimal"/>
      <w:lvlText w:val="%1."/>
      <w:lvlJc w:val="left"/>
      <w:pPr>
        <w:tabs>
          <w:tab w:val="num" w:pos="372"/>
        </w:tabs>
        <w:ind w:left="372" w:hanging="360"/>
      </w:pPr>
      <w:rPr>
        <w:rFonts w:cs="Times New Roman" w:hint="default"/>
      </w:rPr>
    </w:lvl>
    <w:lvl w:ilvl="1" w:tplc="04260019" w:tentative="1">
      <w:start w:val="1"/>
      <w:numFmt w:val="lowerLetter"/>
      <w:lvlText w:val="%2."/>
      <w:lvlJc w:val="left"/>
      <w:pPr>
        <w:tabs>
          <w:tab w:val="num" w:pos="1092"/>
        </w:tabs>
        <w:ind w:left="1092" w:hanging="360"/>
      </w:pPr>
      <w:rPr>
        <w:rFonts w:cs="Times New Roman"/>
      </w:rPr>
    </w:lvl>
    <w:lvl w:ilvl="2" w:tplc="0426001B" w:tentative="1">
      <w:start w:val="1"/>
      <w:numFmt w:val="lowerRoman"/>
      <w:lvlText w:val="%3."/>
      <w:lvlJc w:val="right"/>
      <w:pPr>
        <w:tabs>
          <w:tab w:val="num" w:pos="1812"/>
        </w:tabs>
        <w:ind w:left="1812" w:hanging="180"/>
      </w:pPr>
      <w:rPr>
        <w:rFonts w:cs="Times New Roman"/>
      </w:rPr>
    </w:lvl>
    <w:lvl w:ilvl="3" w:tplc="0426000F" w:tentative="1">
      <w:start w:val="1"/>
      <w:numFmt w:val="decimal"/>
      <w:lvlText w:val="%4."/>
      <w:lvlJc w:val="left"/>
      <w:pPr>
        <w:tabs>
          <w:tab w:val="num" w:pos="2532"/>
        </w:tabs>
        <w:ind w:left="2532" w:hanging="360"/>
      </w:pPr>
      <w:rPr>
        <w:rFonts w:cs="Times New Roman"/>
      </w:rPr>
    </w:lvl>
    <w:lvl w:ilvl="4" w:tplc="04260019" w:tentative="1">
      <w:start w:val="1"/>
      <w:numFmt w:val="lowerLetter"/>
      <w:lvlText w:val="%5."/>
      <w:lvlJc w:val="left"/>
      <w:pPr>
        <w:tabs>
          <w:tab w:val="num" w:pos="3252"/>
        </w:tabs>
        <w:ind w:left="3252" w:hanging="360"/>
      </w:pPr>
      <w:rPr>
        <w:rFonts w:cs="Times New Roman"/>
      </w:rPr>
    </w:lvl>
    <w:lvl w:ilvl="5" w:tplc="0426001B" w:tentative="1">
      <w:start w:val="1"/>
      <w:numFmt w:val="lowerRoman"/>
      <w:lvlText w:val="%6."/>
      <w:lvlJc w:val="right"/>
      <w:pPr>
        <w:tabs>
          <w:tab w:val="num" w:pos="3972"/>
        </w:tabs>
        <w:ind w:left="3972" w:hanging="180"/>
      </w:pPr>
      <w:rPr>
        <w:rFonts w:cs="Times New Roman"/>
      </w:rPr>
    </w:lvl>
    <w:lvl w:ilvl="6" w:tplc="0426000F" w:tentative="1">
      <w:start w:val="1"/>
      <w:numFmt w:val="decimal"/>
      <w:lvlText w:val="%7."/>
      <w:lvlJc w:val="left"/>
      <w:pPr>
        <w:tabs>
          <w:tab w:val="num" w:pos="4692"/>
        </w:tabs>
        <w:ind w:left="4692" w:hanging="360"/>
      </w:pPr>
      <w:rPr>
        <w:rFonts w:cs="Times New Roman"/>
      </w:rPr>
    </w:lvl>
    <w:lvl w:ilvl="7" w:tplc="04260019" w:tentative="1">
      <w:start w:val="1"/>
      <w:numFmt w:val="lowerLetter"/>
      <w:lvlText w:val="%8."/>
      <w:lvlJc w:val="left"/>
      <w:pPr>
        <w:tabs>
          <w:tab w:val="num" w:pos="5412"/>
        </w:tabs>
        <w:ind w:left="5412" w:hanging="360"/>
      </w:pPr>
      <w:rPr>
        <w:rFonts w:cs="Times New Roman"/>
      </w:rPr>
    </w:lvl>
    <w:lvl w:ilvl="8" w:tplc="0426001B" w:tentative="1">
      <w:start w:val="1"/>
      <w:numFmt w:val="lowerRoman"/>
      <w:lvlText w:val="%9."/>
      <w:lvlJc w:val="right"/>
      <w:pPr>
        <w:tabs>
          <w:tab w:val="num" w:pos="6132"/>
        </w:tabs>
        <w:ind w:left="6132" w:hanging="180"/>
      </w:pPr>
      <w:rPr>
        <w:rFonts w:cs="Times New Roman"/>
      </w:rPr>
    </w:lvl>
  </w:abstractNum>
  <w:abstractNum w:abstractNumId="11">
    <w:nsid w:val="08F30D30"/>
    <w:multiLevelType w:val="hybridMultilevel"/>
    <w:tmpl w:val="5DB07E72"/>
    <w:lvl w:ilvl="0" w:tplc="04260001">
      <w:start w:val="1"/>
      <w:numFmt w:val="bullet"/>
      <w:pStyle w:val="Sarakstaaizzme"/>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2626E73"/>
    <w:multiLevelType w:val="multilevel"/>
    <w:tmpl w:val="0A68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0FA55E3"/>
    <w:multiLevelType w:val="hybridMultilevel"/>
    <w:tmpl w:val="AA10C190"/>
    <w:lvl w:ilvl="0" w:tplc="57DC2376">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873241"/>
    <w:multiLevelType w:val="multilevel"/>
    <w:tmpl w:val="4F7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nsid w:val="2F66199A"/>
    <w:multiLevelType w:val="hybridMultilevel"/>
    <w:tmpl w:val="13DE80F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0DD506E"/>
    <w:multiLevelType w:val="hybridMultilevel"/>
    <w:tmpl w:val="79F4E590"/>
    <w:lvl w:ilvl="0" w:tplc="04260011">
      <w:start w:val="1"/>
      <w:numFmt w:val="decimal"/>
      <w:lvlText w:val="%1)"/>
      <w:lvlJc w:val="left"/>
      <w:pPr>
        <w:ind w:left="786"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5371403"/>
    <w:multiLevelType w:val="multilevel"/>
    <w:tmpl w:val="D12E6456"/>
    <w:lvl w:ilvl="0">
      <w:start w:val="3"/>
      <w:numFmt w:val="decimal"/>
      <w:lvlText w:val="%1."/>
      <w:lvlJc w:val="left"/>
      <w:pPr>
        <w:ind w:left="450" w:hanging="450"/>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6573440"/>
    <w:multiLevelType w:val="multilevel"/>
    <w:tmpl w:val="5BF4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EA601A"/>
    <w:multiLevelType w:val="hybridMultilevel"/>
    <w:tmpl w:val="137492BA"/>
    <w:lvl w:ilvl="0" w:tplc="6FC2C612">
      <w:start w:val="1"/>
      <w:numFmt w:val="bullet"/>
      <w:lvlText w:val=""/>
      <w:lvlJc w:val="left"/>
      <w:pPr>
        <w:tabs>
          <w:tab w:val="num" w:pos="720"/>
        </w:tabs>
        <w:ind w:left="720" w:hanging="360"/>
      </w:pPr>
      <w:rPr>
        <w:rFonts w:ascii="Wingdings" w:hAnsi="Wingdings" w:hint="default"/>
      </w:rPr>
    </w:lvl>
    <w:lvl w:ilvl="1" w:tplc="21BEC7BA" w:tentative="1">
      <w:start w:val="1"/>
      <w:numFmt w:val="bullet"/>
      <w:lvlText w:val=""/>
      <w:lvlJc w:val="left"/>
      <w:pPr>
        <w:tabs>
          <w:tab w:val="num" w:pos="1440"/>
        </w:tabs>
        <w:ind w:left="1440" w:hanging="360"/>
      </w:pPr>
      <w:rPr>
        <w:rFonts w:ascii="Wingdings" w:hAnsi="Wingdings" w:hint="default"/>
      </w:rPr>
    </w:lvl>
    <w:lvl w:ilvl="2" w:tplc="C07AA924" w:tentative="1">
      <w:start w:val="1"/>
      <w:numFmt w:val="bullet"/>
      <w:lvlText w:val=""/>
      <w:lvlJc w:val="left"/>
      <w:pPr>
        <w:tabs>
          <w:tab w:val="num" w:pos="2160"/>
        </w:tabs>
        <w:ind w:left="2160" w:hanging="360"/>
      </w:pPr>
      <w:rPr>
        <w:rFonts w:ascii="Wingdings" w:hAnsi="Wingdings" w:hint="default"/>
      </w:rPr>
    </w:lvl>
    <w:lvl w:ilvl="3" w:tplc="66541B5C" w:tentative="1">
      <w:start w:val="1"/>
      <w:numFmt w:val="bullet"/>
      <w:lvlText w:val=""/>
      <w:lvlJc w:val="left"/>
      <w:pPr>
        <w:tabs>
          <w:tab w:val="num" w:pos="2880"/>
        </w:tabs>
        <w:ind w:left="2880" w:hanging="360"/>
      </w:pPr>
      <w:rPr>
        <w:rFonts w:ascii="Wingdings" w:hAnsi="Wingdings" w:hint="default"/>
      </w:rPr>
    </w:lvl>
    <w:lvl w:ilvl="4" w:tplc="F63ACD10" w:tentative="1">
      <w:start w:val="1"/>
      <w:numFmt w:val="bullet"/>
      <w:lvlText w:val=""/>
      <w:lvlJc w:val="left"/>
      <w:pPr>
        <w:tabs>
          <w:tab w:val="num" w:pos="3600"/>
        </w:tabs>
        <w:ind w:left="3600" w:hanging="360"/>
      </w:pPr>
      <w:rPr>
        <w:rFonts w:ascii="Wingdings" w:hAnsi="Wingdings" w:hint="default"/>
      </w:rPr>
    </w:lvl>
    <w:lvl w:ilvl="5" w:tplc="8BA49D74" w:tentative="1">
      <w:start w:val="1"/>
      <w:numFmt w:val="bullet"/>
      <w:lvlText w:val=""/>
      <w:lvlJc w:val="left"/>
      <w:pPr>
        <w:tabs>
          <w:tab w:val="num" w:pos="4320"/>
        </w:tabs>
        <w:ind w:left="4320" w:hanging="360"/>
      </w:pPr>
      <w:rPr>
        <w:rFonts w:ascii="Wingdings" w:hAnsi="Wingdings" w:hint="default"/>
      </w:rPr>
    </w:lvl>
    <w:lvl w:ilvl="6" w:tplc="DB281C9C" w:tentative="1">
      <w:start w:val="1"/>
      <w:numFmt w:val="bullet"/>
      <w:lvlText w:val=""/>
      <w:lvlJc w:val="left"/>
      <w:pPr>
        <w:tabs>
          <w:tab w:val="num" w:pos="5040"/>
        </w:tabs>
        <w:ind w:left="5040" w:hanging="360"/>
      </w:pPr>
      <w:rPr>
        <w:rFonts w:ascii="Wingdings" w:hAnsi="Wingdings" w:hint="default"/>
      </w:rPr>
    </w:lvl>
    <w:lvl w:ilvl="7" w:tplc="ED92AFD2" w:tentative="1">
      <w:start w:val="1"/>
      <w:numFmt w:val="bullet"/>
      <w:lvlText w:val=""/>
      <w:lvlJc w:val="left"/>
      <w:pPr>
        <w:tabs>
          <w:tab w:val="num" w:pos="5760"/>
        </w:tabs>
        <w:ind w:left="5760" w:hanging="360"/>
      </w:pPr>
      <w:rPr>
        <w:rFonts w:ascii="Wingdings" w:hAnsi="Wingdings" w:hint="default"/>
      </w:rPr>
    </w:lvl>
    <w:lvl w:ilvl="8" w:tplc="A0623856" w:tentative="1">
      <w:start w:val="1"/>
      <w:numFmt w:val="bullet"/>
      <w:lvlText w:val=""/>
      <w:lvlJc w:val="left"/>
      <w:pPr>
        <w:tabs>
          <w:tab w:val="num" w:pos="6480"/>
        </w:tabs>
        <w:ind w:left="6480" w:hanging="360"/>
      </w:pPr>
      <w:rPr>
        <w:rFonts w:ascii="Wingdings" w:hAnsi="Wingdings" w:hint="default"/>
      </w:rPr>
    </w:lvl>
  </w:abstractNum>
  <w:abstractNum w:abstractNumId="22">
    <w:nsid w:val="6BF0301F"/>
    <w:multiLevelType w:val="hybridMultilevel"/>
    <w:tmpl w:val="52DAFDFE"/>
    <w:lvl w:ilvl="0" w:tplc="31923A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19A69B2"/>
    <w:multiLevelType w:val="hybridMultilevel"/>
    <w:tmpl w:val="80D87060"/>
    <w:lvl w:ilvl="0" w:tplc="9A7050C8">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3E60A61"/>
    <w:multiLevelType w:val="hybridMultilevel"/>
    <w:tmpl w:val="EAD23C40"/>
    <w:lvl w:ilvl="0" w:tplc="DF30D94A">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57024D7"/>
    <w:multiLevelType w:val="multilevel"/>
    <w:tmpl w:val="D12E6456"/>
    <w:lvl w:ilvl="0">
      <w:start w:val="3"/>
      <w:numFmt w:val="decimal"/>
      <w:lvlText w:val="%1."/>
      <w:lvlJc w:val="left"/>
      <w:pPr>
        <w:ind w:left="450" w:hanging="450"/>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77193D07"/>
    <w:multiLevelType w:val="multilevel"/>
    <w:tmpl w:val="D12E6456"/>
    <w:lvl w:ilvl="0">
      <w:start w:val="3"/>
      <w:numFmt w:val="decimal"/>
      <w:lvlText w:val="%1."/>
      <w:lvlJc w:val="left"/>
      <w:pPr>
        <w:ind w:left="450" w:hanging="450"/>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27"/>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1"/>
  </w:num>
  <w:num w:numId="25">
    <w:abstractNumId w:val="10"/>
  </w:num>
  <w:num w:numId="26">
    <w:abstractNumId w:val="13"/>
  </w:num>
  <w:num w:numId="27">
    <w:abstractNumId w:val="16"/>
  </w:num>
  <w:num w:numId="28">
    <w:abstractNumId w:val="18"/>
  </w:num>
  <w:num w:numId="29">
    <w:abstractNumId w:val="19"/>
  </w:num>
  <w:num w:numId="30">
    <w:abstractNumId w:val="20"/>
  </w:num>
  <w:num w:numId="31">
    <w:abstractNumId w:val="15"/>
  </w:num>
  <w:num w:numId="32">
    <w:abstractNumId w:val="12"/>
  </w:num>
  <w:num w:numId="33">
    <w:abstractNumId w:val="17"/>
  </w:num>
  <w:num w:numId="34">
    <w:abstractNumId w:val="22"/>
  </w:num>
  <w:num w:numId="35">
    <w:abstractNumId w:val="23"/>
  </w:num>
  <w:num w:numId="36">
    <w:abstractNumId w:val="26"/>
  </w:num>
  <w:num w:numId="37">
    <w:abstractNumId w:val="14"/>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62F3"/>
    <w:rsid w:val="00000CC5"/>
    <w:rsid w:val="000027D9"/>
    <w:rsid w:val="000036D5"/>
    <w:rsid w:val="00003A43"/>
    <w:rsid w:val="0000466D"/>
    <w:rsid w:val="000056FE"/>
    <w:rsid w:val="00005EAA"/>
    <w:rsid w:val="00006F4B"/>
    <w:rsid w:val="00010679"/>
    <w:rsid w:val="00010932"/>
    <w:rsid w:val="0001307B"/>
    <w:rsid w:val="00020260"/>
    <w:rsid w:val="000222D8"/>
    <w:rsid w:val="00022510"/>
    <w:rsid w:val="00025888"/>
    <w:rsid w:val="0002675C"/>
    <w:rsid w:val="00026D8E"/>
    <w:rsid w:val="00027F1D"/>
    <w:rsid w:val="00027FA9"/>
    <w:rsid w:val="00031ADB"/>
    <w:rsid w:val="00031DF1"/>
    <w:rsid w:val="000329E8"/>
    <w:rsid w:val="00033512"/>
    <w:rsid w:val="00034A55"/>
    <w:rsid w:val="0003538A"/>
    <w:rsid w:val="00035F2C"/>
    <w:rsid w:val="00036C54"/>
    <w:rsid w:val="00037C7E"/>
    <w:rsid w:val="0004067F"/>
    <w:rsid w:val="00043481"/>
    <w:rsid w:val="00043A7D"/>
    <w:rsid w:val="00046BEA"/>
    <w:rsid w:val="00054850"/>
    <w:rsid w:val="000563A3"/>
    <w:rsid w:val="000569AF"/>
    <w:rsid w:val="00057A1A"/>
    <w:rsid w:val="00060B9E"/>
    <w:rsid w:val="00061161"/>
    <w:rsid w:val="00061819"/>
    <w:rsid w:val="00062A93"/>
    <w:rsid w:val="00062FEE"/>
    <w:rsid w:val="000638BB"/>
    <w:rsid w:val="00064235"/>
    <w:rsid w:val="00065479"/>
    <w:rsid w:val="00065A3A"/>
    <w:rsid w:val="00065F9C"/>
    <w:rsid w:val="00067C1D"/>
    <w:rsid w:val="000703E2"/>
    <w:rsid w:val="00070B17"/>
    <w:rsid w:val="0007261C"/>
    <w:rsid w:val="0007294C"/>
    <w:rsid w:val="00076A5F"/>
    <w:rsid w:val="00076F52"/>
    <w:rsid w:val="0008365A"/>
    <w:rsid w:val="00084592"/>
    <w:rsid w:val="0008501C"/>
    <w:rsid w:val="000851AA"/>
    <w:rsid w:val="000875ED"/>
    <w:rsid w:val="00090F6A"/>
    <w:rsid w:val="00092025"/>
    <w:rsid w:val="000923F8"/>
    <w:rsid w:val="000930DE"/>
    <w:rsid w:val="00094CBC"/>
    <w:rsid w:val="000955B6"/>
    <w:rsid w:val="0009628C"/>
    <w:rsid w:val="00097F6A"/>
    <w:rsid w:val="000A02D7"/>
    <w:rsid w:val="000A0BB9"/>
    <w:rsid w:val="000A15B9"/>
    <w:rsid w:val="000A4D7D"/>
    <w:rsid w:val="000A529B"/>
    <w:rsid w:val="000A70E1"/>
    <w:rsid w:val="000A77AA"/>
    <w:rsid w:val="000B17D1"/>
    <w:rsid w:val="000B2612"/>
    <w:rsid w:val="000B34C0"/>
    <w:rsid w:val="000B55A2"/>
    <w:rsid w:val="000B6546"/>
    <w:rsid w:val="000B6B10"/>
    <w:rsid w:val="000C0B49"/>
    <w:rsid w:val="000C3E14"/>
    <w:rsid w:val="000C458C"/>
    <w:rsid w:val="000C4EDD"/>
    <w:rsid w:val="000C5EC6"/>
    <w:rsid w:val="000D0C40"/>
    <w:rsid w:val="000D2502"/>
    <w:rsid w:val="000D338E"/>
    <w:rsid w:val="000D3B6A"/>
    <w:rsid w:val="000D4E43"/>
    <w:rsid w:val="000D6AA9"/>
    <w:rsid w:val="000E1D30"/>
    <w:rsid w:val="000E5987"/>
    <w:rsid w:val="000E68B7"/>
    <w:rsid w:val="000F0DCC"/>
    <w:rsid w:val="000F2C71"/>
    <w:rsid w:val="000F335C"/>
    <w:rsid w:val="000F3479"/>
    <w:rsid w:val="000F46BC"/>
    <w:rsid w:val="000F7300"/>
    <w:rsid w:val="000F7D99"/>
    <w:rsid w:val="001015AE"/>
    <w:rsid w:val="00102A13"/>
    <w:rsid w:val="00102CDE"/>
    <w:rsid w:val="00103976"/>
    <w:rsid w:val="00104263"/>
    <w:rsid w:val="00105102"/>
    <w:rsid w:val="001070BF"/>
    <w:rsid w:val="00107C8C"/>
    <w:rsid w:val="001123DB"/>
    <w:rsid w:val="00113A33"/>
    <w:rsid w:val="00113E93"/>
    <w:rsid w:val="00115189"/>
    <w:rsid w:val="001152B6"/>
    <w:rsid w:val="001159AC"/>
    <w:rsid w:val="0011755B"/>
    <w:rsid w:val="00120F11"/>
    <w:rsid w:val="00123472"/>
    <w:rsid w:val="00124123"/>
    <w:rsid w:val="00124B66"/>
    <w:rsid w:val="00124EB3"/>
    <w:rsid w:val="00125010"/>
    <w:rsid w:val="001300AB"/>
    <w:rsid w:val="00132320"/>
    <w:rsid w:val="0013297D"/>
    <w:rsid w:val="00141554"/>
    <w:rsid w:val="00141E29"/>
    <w:rsid w:val="00142640"/>
    <w:rsid w:val="00143459"/>
    <w:rsid w:val="00150923"/>
    <w:rsid w:val="001517AC"/>
    <w:rsid w:val="00151A94"/>
    <w:rsid w:val="00152AEC"/>
    <w:rsid w:val="00155385"/>
    <w:rsid w:val="00155A15"/>
    <w:rsid w:val="0016034A"/>
    <w:rsid w:val="00160907"/>
    <w:rsid w:val="00161409"/>
    <w:rsid w:val="00162FE4"/>
    <w:rsid w:val="00163389"/>
    <w:rsid w:val="00163F8A"/>
    <w:rsid w:val="00172D54"/>
    <w:rsid w:val="00174215"/>
    <w:rsid w:val="00176D0F"/>
    <w:rsid w:val="00177539"/>
    <w:rsid w:val="00177990"/>
    <w:rsid w:val="001810E1"/>
    <w:rsid w:val="001829C3"/>
    <w:rsid w:val="00184851"/>
    <w:rsid w:val="00185A33"/>
    <w:rsid w:val="0018713E"/>
    <w:rsid w:val="001907E9"/>
    <w:rsid w:val="0019199C"/>
    <w:rsid w:val="00194CC3"/>
    <w:rsid w:val="00197EA8"/>
    <w:rsid w:val="001A1034"/>
    <w:rsid w:val="001A1BA4"/>
    <w:rsid w:val="001A2F77"/>
    <w:rsid w:val="001A3E97"/>
    <w:rsid w:val="001A4D5A"/>
    <w:rsid w:val="001A5C29"/>
    <w:rsid w:val="001A7669"/>
    <w:rsid w:val="001B2DF3"/>
    <w:rsid w:val="001B355A"/>
    <w:rsid w:val="001B4D26"/>
    <w:rsid w:val="001B7BBF"/>
    <w:rsid w:val="001C38C4"/>
    <w:rsid w:val="001C6472"/>
    <w:rsid w:val="001D0368"/>
    <w:rsid w:val="001D117E"/>
    <w:rsid w:val="001D204D"/>
    <w:rsid w:val="001D46DD"/>
    <w:rsid w:val="001D581A"/>
    <w:rsid w:val="001D6CDE"/>
    <w:rsid w:val="001D6E6D"/>
    <w:rsid w:val="001E14D2"/>
    <w:rsid w:val="001E19C0"/>
    <w:rsid w:val="001E22C1"/>
    <w:rsid w:val="001E22D0"/>
    <w:rsid w:val="001E2F11"/>
    <w:rsid w:val="001E4FC6"/>
    <w:rsid w:val="001E6F9A"/>
    <w:rsid w:val="001F1000"/>
    <w:rsid w:val="001F484B"/>
    <w:rsid w:val="001F555C"/>
    <w:rsid w:val="001F6074"/>
    <w:rsid w:val="001F6F8D"/>
    <w:rsid w:val="001F75F0"/>
    <w:rsid w:val="002008CD"/>
    <w:rsid w:val="00200E08"/>
    <w:rsid w:val="00204005"/>
    <w:rsid w:val="00210D8E"/>
    <w:rsid w:val="00210E9F"/>
    <w:rsid w:val="00210FF6"/>
    <w:rsid w:val="0021222E"/>
    <w:rsid w:val="00212718"/>
    <w:rsid w:val="002137F2"/>
    <w:rsid w:val="00213EC3"/>
    <w:rsid w:val="0021535B"/>
    <w:rsid w:val="00216F18"/>
    <w:rsid w:val="00220FD1"/>
    <w:rsid w:val="00222385"/>
    <w:rsid w:val="00223A36"/>
    <w:rsid w:val="00224542"/>
    <w:rsid w:val="0022479D"/>
    <w:rsid w:val="00224876"/>
    <w:rsid w:val="002261CF"/>
    <w:rsid w:val="0022703F"/>
    <w:rsid w:val="00230167"/>
    <w:rsid w:val="00232978"/>
    <w:rsid w:val="00233D14"/>
    <w:rsid w:val="002348CC"/>
    <w:rsid w:val="00235AAA"/>
    <w:rsid w:val="00236166"/>
    <w:rsid w:val="00236325"/>
    <w:rsid w:val="00236656"/>
    <w:rsid w:val="002401C1"/>
    <w:rsid w:val="00242343"/>
    <w:rsid w:val="0024291B"/>
    <w:rsid w:val="00252EFF"/>
    <w:rsid w:val="002548B3"/>
    <w:rsid w:val="0026572A"/>
    <w:rsid w:val="0026597E"/>
    <w:rsid w:val="00266533"/>
    <w:rsid w:val="00266829"/>
    <w:rsid w:val="0027365F"/>
    <w:rsid w:val="0027382E"/>
    <w:rsid w:val="00275C6B"/>
    <w:rsid w:val="00276901"/>
    <w:rsid w:val="0027710D"/>
    <w:rsid w:val="002815D2"/>
    <w:rsid w:val="00282491"/>
    <w:rsid w:val="002832CD"/>
    <w:rsid w:val="00283838"/>
    <w:rsid w:val="00284BCA"/>
    <w:rsid w:val="00287A13"/>
    <w:rsid w:val="00287D8C"/>
    <w:rsid w:val="002902F8"/>
    <w:rsid w:val="00291A57"/>
    <w:rsid w:val="00294287"/>
    <w:rsid w:val="00296494"/>
    <w:rsid w:val="002A0472"/>
    <w:rsid w:val="002A0C01"/>
    <w:rsid w:val="002A1090"/>
    <w:rsid w:val="002A2313"/>
    <w:rsid w:val="002A31BC"/>
    <w:rsid w:val="002A33CE"/>
    <w:rsid w:val="002A5F21"/>
    <w:rsid w:val="002A6D87"/>
    <w:rsid w:val="002B2462"/>
    <w:rsid w:val="002B3643"/>
    <w:rsid w:val="002B3907"/>
    <w:rsid w:val="002B3DB8"/>
    <w:rsid w:val="002B430F"/>
    <w:rsid w:val="002B6A39"/>
    <w:rsid w:val="002B6F63"/>
    <w:rsid w:val="002B746D"/>
    <w:rsid w:val="002B784E"/>
    <w:rsid w:val="002C28B0"/>
    <w:rsid w:val="002C4E3F"/>
    <w:rsid w:val="002C65A6"/>
    <w:rsid w:val="002C674B"/>
    <w:rsid w:val="002C736E"/>
    <w:rsid w:val="002D0111"/>
    <w:rsid w:val="002D0EF6"/>
    <w:rsid w:val="002D3D20"/>
    <w:rsid w:val="002D4AFC"/>
    <w:rsid w:val="002D510B"/>
    <w:rsid w:val="002D61A7"/>
    <w:rsid w:val="002D6634"/>
    <w:rsid w:val="002D7763"/>
    <w:rsid w:val="002E0426"/>
    <w:rsid w:val="002E1F7B"/>
    <w:rsid w:val="002E3E32"/>
    <w:rsid w:val="002E5463"/>
    <w:rsid w:val="002E5DCE"/>
    <w:rsid w:val="002E61B4"/>
    <w:rsid w:val="002E643E"/>
    <w:rsid w:val="002E6B27"/>
    <w:rsid w:val="002E741A"/>
    <w:rsid w:val="002E7860"/>
    <w:rsid w:val="002F0F74"/>
    <w:rsid w:val="002F3C59"/>
    <w:rsid w:val="002F59D8"/>
    <w:rsid w:val="002F63B6"/>
    <w:rsid w:val="00300F58"/>
    <w:rsid w:val="003011E4"/>
    <w:rsid w:val="0030181F"/>
    <w:rsid w:val="00306767"/>
    <w:rsid w:val="00306E72"/>
    <w:rsid w:val="003074D4"/>
    <w:rsid w:val="0031063C"/>
    <w:rsid w:val="00310D8F"/>
    <w:rsid w:val="00320DED"/>
    <w:rsid w:val="00321B4C"/>
    <w:rsid w:val="00322D3F"/>
    <w:rsid w:val="00325F3A"/>
    <w:rsid w:val="003265F4"/>
    <w:rsid w:val="00326992"/>
    <w:rsid w:val="00336170"/>
    <w:rsid w:val="0033727F"/>
    <w:rsid w:val="00337CF9"/>
    <w:rsid w:val="00340AEE"/>
    <w:rsid w:val="00343DD2"/>
    <w:rsid w:val="003517D0"/>
    <w:rsid w:val="003519B1"/>
    <w:rsid w:val="00351B11"/>
    <w:rsid w:val="003524E1"/>
    <w:rsid w:val="0035306C"/>
    <w:rsid w:val="00354301"/>
    <w:rsid w:val="0035664F"/>
    <w:rsid w:val="003568D9"/>
    <w:rsid w:val="00361D88"/>
    <w:rsid w:val="00362DCB"/>
    <w:rsid w:val="0036338D"/>
    <w:rsid w:val="0036419C"/>
    <w:rsid w:val="00366B72"/>
    <w:rsid w:val="0036748F"/>
    <w:rsid w:val="00373A83"/>
    <w:rsid w:val="003752A8"/>
    <w:rsid w:val="0037575C"/>
    <w:rsid w:val="0037671B"/>
    <w:rsid w:val="0037683E"/>
    <w:rsid w:val="00376A0B"/>
    <w:rsid w:val="00377CB0"/>
    <w:rsid w:val="00380A27"/>
    <w:rsid w:val="003842F9"/>
    <w:rsid w:val="0038467B"/>
    <w:rsid w:val="00386453"/>
    <w:rsid w:val="0038665A"/>
    <w:rsid w:val="00386926"/>
    <w:rsid w:val="003902AF"/>
    <w:rsid w:val="00390700"/>
    <w:rsid w:val="00391933"/>
    <w:rsid w:val="00394D76"/>
    <w:rsid w:val="003951B8"/>
    <w:rsid w:val="0039591B"/>
    <w:rsid w:val="00395F6F"/>
    <w:rsid w:val="003970C8"/>
    <w:rsid w:val="003975F3"/>
    <w:rsid w:val="003A025C"/>
    <w:rsid w:val="003A0927"/>
    <w:rsid w:val="003A0C27"/>
    <w:rsid w:val="003A0C41"/>
    <w:rsid w:val="003A1023"/>
    <w:rsid w:val="003A43E3"/>
    <w:rsid w:val="003A4EA8"/>
    <w:rsid w:val="003A5604"/>
    <w:rsid w:val="003A597C"/>
    <w:rsid w:val="003A74E9"/>
    <w:rsid w:val="003B59BF"/>
    <w:rsid w:val="003B5E79"/>
    <w:rsid w:val="003C0CF3"/>
    <w:rsid w:val="003C2DA3"/>
    <w:rsid w:val="003C4FF8"/>
    <w:rsid w:val="003C5C8C"/>
    <w:rsid w:val="003C6940"/>
    <w:rsid w:val="003D0004"/>
    <w:rsid w:val="003D0763"/>
    <w:rsid w:val="003D1263"/>
    <w:rsid w:val="003D1ACF"/>
    <w:rsid w:val="003D1B0F"/>
    <w:rsid w:val="003D1CC3"/>
    <w:rsid w:val="003D27DD"/>
    <w:rsid w:val="003D2AC3"/>
    <w:rsid w:val="003D331C"/>
    <w:rsid w:val="003D3C5B"/>
    <w:rsid w:val="003D402F"/>
    <w:rsid w:val="003D487D"/>
    <w:rsid w:val="003D6645"/>
    <w:rsid w:val="003D6825"/>
    <w:rsid w:val="003D6C00"/>
    <w:rsid w:val="003E0644"/>
    <w:rsid w:val="003E20AA"/>
    <w:rsid w:val="003E635C"/>
    <w:rsid w:val="003E687F"/>
    <w:rsid w:val="003E7495"/>
    <w:rsid w:val="003F1E8E"/>
    <w:rsid w:val="003F3219"/>
    <w:rsid w:val="003F3536"/>
    <w:rsid w:val="003F4DA4"/>
    <w:rsid w:val="003F64A0"/>
    <w:rsid w:val="003F6C89"/>
    <w:rsid w:val="003F7767"/>
    <w:rsid w:val="004021F2"/>
    <w:rsid w:val="00403BC6"/>
    <w:rsid w:val="0040506E"/>
    <w:rsid w:val="00406E00"/>
    <w:rsid w:val="00410CB4"/>
    <w:rsid w:val="00411C35"/>
    <w:rsid w:val="0041268D"/>
    <w:rsid w:val="00412B56"/>
    <w:rsid w:val="00413643"/>
    <w:rsid w:val="004138A0"/>
    <w:rsid w:val="004160A5"/>
    <w:rsid w:val="0041717D"/>
    <w:rsid w:val="004177C8"/>
    <w:rsid w:val="00424635"/>
    <w:rsid w:val="00424F61"/>
    <w:rsid w:val="00425396"/>
    <w:rsid w:val="00425B49"/>
    <w:rsid w:val="004264F4"/>
    <w:rsid w:val="004268F4"/>
    <w:rsid w:val="00430E33"/>
    <w:rsid w:val="00432EC9"/>
    <w:rsid w:val="0043300B"/>
    <w:rsid w:val="00433887"/>
    <w:rsid w:val="00434021"/>
    <w:rsid w:val="00434C41"/>
    <w:rsid w:val="00434D69"/>
    <w:rsid w:val="004350FE"/>
    <w:rsid w:val="004360DA"/>
    <w:rsid w:val="00436828"/>
    <w:rsid w:val="004410BA"/>
    <w:rsid w:val="004413F3"/>
    <w:rsid w:val="00443804"/>
    <w:rsid w:val="00445089"/>
    <w:rsid w:val="0044538D"/>
    <w:rsid w:val="00447AD9"/>
    <w:rsid w:val="00450739"/>
    <w:rsid w:val="0045325F"/>
    <w:rsid w:val="00453376"/>
    <w:rsid w:val="00453578"/>
    <w:rsid w:val="00454834"/>
    <w:rsid w:val="00457521"/>
    <w:rsid w:val="00460A69"/>
    <w:rsid w:val="00461B88"/>
    <w:rsid w:val="0046269E"/>
    <w:rsid w:val="00463B96"/>
    <w:rsid w:val="00463EF2"/>
    <w:rsid w:val="004673F4"/>
    <w:rsid w:val="0047028A"/>
    <w:rsid w:val="00471820"/>
    <w:rsid w:val="004722D6"/>
    <w:rsid w:val="00472D3C"/>
    <w:rsid w:val="004730CA"/>
    <w:rsid w:val="004746B0"/>
    <w:rsid w:val="00475455"/>
    <w:rsid w:val="00476AB0"/>
    <w:rsid w:val="00477DFE"/>
    <w:rsid w:val="00480B1F"/>
    <w:rsid w:val="004815CB"/>
    <w:rsid w:val="00481E99"/>
    <w:rsid w:val="00487781"/>
    <w:rsid w:val="0049105B"/>
    <w:rsid w:val="00491965"/>
    <w:rsid w:val="00492026"/>
    <w:rsid w:val="0049296D"/>
    <w:rsid w:val="00493444"/>
    <w:rsid w:val="004937C2"/>
    <w:rsid w:val="00497A47"/>
    <w:rsid w:val="00497D66"/>
    <w:rsid w:val="004A00AF"/>
    <w:rsid w:val="004A0CFD"/>
    <w:rsid w:val="004A1285"/>
    <w:rsid w:val="004A4192"/>
    <w:rsid w:val="004A45DE"/>
    <w:rsid w:val="004A6F9C"/>
    <w:rsid w:val="004A7A92"/>
    <w:rsid w:val="004B1AA6"/>
    <w:rsid w:val="004B3556"/>
    <w:rsid w:val="004B373E"/>
    <w:rsid w:val="004B3EBF"/>
    <w:rsid w:val="004B4754"/>
    <w:rsid w:val="004B749C"/>
    <w:rsid w:val="004C06EE"/>
    <w:rsid w:val="004C091D"/>
    <w:rsid w:val="004C193D"/>
    <w:rsid w:val="004C1F91"/>
    <w:rsid w:val="004C3F31"/>
    <w:rsid w:val="004C6BB9"/>
    <w:rsid w:val="004D1DCE"/>
    <w:rsid w:val="004D25AA"/>
    <w:rsid w:val="004D2E65"/>
    <w:rsid w:val="004D2EED"/>
    <w:rsid w:val="004D6EFE"/>
    <w:rsid w:val="004D7209"/>
    <w:rsid w:val="004D74D3"/>
    <w:rsid w:val="004D7ACC"/>
    <w:rsid w:val="004D7E8B"/>
    <w:rsid w:val="004E1A7B"/>
    <w:rsid w:val="004E3065"/>
    <w:rsid w:val="004E3BE6"/>
    <w:rsid w:val="004E3E49"/>
    <w:rsid w:val="004E4F5B"/>
    <w:rsid w:val="004E50F4"/>
    <w:rsid w:val="004E659B"/>
    <w:rsid w:val="004E6645"/>
    <w:rsid w:val="004F1599"/>
    <w:rsid w:val="004F20D4"/>
    <w:rsid w:val="004F224A"/>
    <w:rsid w:val="004F396C"/>
    <w:rsid w:val="00500B24"/>
    <w:rsid w:val="005012AE"/>
    <w:rsid w:val="0050224A"/>
    <w:rsid w:val="00502C30"/>
    <w:rsid w:val="00502E52"/>
    <w:rsid w:val="00504B9E"/>
    <w:rsid w:val="00506160"/>
    <w:rsid w:val="00506C84"/>
    <w:rsid w:val="005075CC"/>
    <w:rsid w:val="00512076"/>
    <w:rsid w:val="00512B3C"/>
    <w:rsid w:val="00512DAB"/>
    <w:rsid w:val="00517CC8"/>
    <w:rsid w:val="00520799"/>
    <w:rsid w:val="0052105B"/>
    <w:rsid w:val="00523C97"/>
    <w:rsid w:val="00525560"/>
    <w:rsid w:val="00525F38"/>
    <w:rsid w:val="00526C2D"/>
    <w:rsid w:val="0052706C"/>
    <w:rsid w:val="0053173D"/>
    <w:rsid w:val="00536CC1"/>
    <w:rsid w:val="005377DB"/>
    <w:rsid w:val="00542B46"/>
    <w:rsid w:val="00544577"/>
    <w:rsid w:val="00544976"/>
    <w:rsid w:val="00544E6D"/>
    <w:rsid w:val="00545F88"/>
    <w:rsid w:val="00546199"/>
    <w:rsid w:val="005474D4"/>
    <w:rsid w:val="0054776A"/>
    <w:rsid w:val="00550CA3"/>
    <w:rsid w:val="005519EE"/>
    <w:rsid w:val="00555A1A"/>
    <w:rsid w:val="00557081"/>
    <w:rsid w:val="00557D13"/>
    <w:rsid w:val="005618C7"/>
    <w:rsid w:val="00561FC3"/>
    <w:rsid w:val="00567E6B"/>
    <w:rsid w:val="005732DB"/>
    <w:rsid w:val="005733C9"/>
    <w:rsid w:val="0057349C"/>
    <w:rsid w:val="005776E5"/>
    <w:rsid w:val="00580BDB"/>
    <w:rsid w:val="005822B9"/>
    <w:rsid w:val="00583085"/>
    <w:rsid w:val="0058378F"/>
    <w:rsid w:val="0058398A"/>
    <w:rsid w:val="005847D7"/>
    <w:rsid w:val="00585DE0"/>
    <w:rsid w:val="0058752D"/>
    <w:rsid w:val="005913A9"/>
    <w:rsid w:val="005932F4"/>
    <w:rsid w:val="00594FC4"/>
    <w:rsid w:val="00595AB9"/>
    <w:rsid w:val="005A1614"/>
    <w:rsid w:val="005A20D5"/>
    <w:rsid w:val="005A276A"/>
    <w:rsid w:val="005A38DD"/>
    <w:rsid w:val="005A445D"/>
    <w:rsid w:val="005B0A3C"/>
    <w:rsid w:val="005B3A6E"/>
    <w:rsid w:val="005B3F87"/>
    <w:rsid w:val="005B5361"/>
    <w:rsid w:val="005B68E9"/>
    <w:rsid w:val="005C0CA0"/>
    <w:rsid w:val="005C1FE9"/>
    <w:rsid w:val="005C27CC"/>
    <w:rsid w:val="005C3140"/>
    <w:rsid w:val="005C31D1"/>
    <w:rsid w:val="005C3E19"/>
    <w:rsid w:val="005C56EC"/>
    <w:rsid w:val="005C57B5"/>
    <w:rsid w:val="005D1AB7"/>
    <w:rsid w:val="005D1F61"/>
    <w:rsid w:val="005D21FA"/>
    <w:rsid w:val="005D6EC1"/>
    <w:rsid w:val="005E3C04"/>
    <w:rsid w:val="005E4AAD"/>
    <w:rsid w:val="005E621C"/>
    <w:rsid w:val="005E70EC"/>
    <w:rsid w:val="005E73EF"/>
    <w:rsid w:val="005F00D7"/>
    <w:rsid w:val="005F158B"/>
    <w:rsid w:val="005F6419"/>
    <w:rsid w:val="005F7E31"/>
    <w:rsid w:val="006001A3"/>
    <w:rsid w:val="0060271D"/>
    <w:rsid w:val="00602B28"/>
    <w:rsid w:val="00603453"/>
    <w:rsid w:val="00606773"/>
    <w:rsid w:val="006113BE"/>
    <w:rsid w:val="00612296"/>
    <w:rsid w:val="00612A01"/>
    <w:rsid w:val="00616B2B"/>
    <w:rsid w:val="00617589"/>
    <w:rsid w:val="00621844"/>
    <w:rsid w:val="00621CB7"/>
    <w:rsid w:val="006227BB"/>
    <w:rsid w:val="0062354E"/>
    <w:rsid w:val="00623762"/>
    <w:rsid w:val="006245A0"/>
    <w:rsid w:val="006246D7"/>
    <w:rsid w:val="00625823"/>
    <w:rsid w:val="006264A1"/>
    <w:rsid w:val="0063022F"/>
    <w:rsid w:val="00630322"/>
    <w:rsid w:val="00630942"/>
    <w:rsid w:val="00630B50"/>
    <w:rsid w:val="00630DBF"/>
    <w:rsid w:val="00631626"/>
    <w:rsid w:val="00632282"/>
    <w:rsid w:val="00633747"/>
    <w:rsid w:val="00634016"/>
    <w:rsid w:val="0063459E"/>
    <w:rsid w:val="0063590C"/>
    <w:rsid w:val="0063659E"/>
    <w:rsid w:val="0063661D"/>
    <w:rsid w:val="0063696E"/>
    <w:rsid w:val="00640501"/>
    <w:rsid w:val="00640D40"/>
    <w:rsid w:val="00641393"/>
    <w:rsid w:val="0064207C"/>
    <w:rsid w:val="00644BEB"/>
    <w:rsid w:val="006474D9"/>
    <w:rsid w:val="006502CE"/>
    <w:rsid w:val="006518F9"/>
    <w:rsid w:val="00651983"/>
    <w:rsid w:val="00655765"/>
    <w:rsid w:val="00655BDD"/>
    <w:rsid w:val="006562F3"/>
    <w:rsid w:val="006575BE"/>
    <w:rsid w:val="00660262"/>
    <w:rsid w:val="00660958"/>
    <w:rsid w:val="006617E0"/>
    <w:rsid w:val="00661D5F"/>
    <w:rsid w:val="00662623"/>
    <w:rsid w:val="006631B9"/>
    <w:rsid w:val="00664237"/>
    <w:rsid w:val="0066685A"/>
    <w:rsid w:val="00666ED1"/>
    <w:rsid w:val="006671C5"/>
    <w:rsid w:val="00671C4B"/>
    <w:rsid w:val="00674A14"/>
    <w:rsid w:val="00675EEE"/>
    <w:rsid w:val="00676F28"/>
    <w:rsid w:val="00680D30"/>
    <w:rsid w:val="0068186C"/>
    <w:rsid w:val="00681D02"/>
    <w:rsid w:val="00682138"/>
    <w:rsid w:val="006865FD"/>
    <w:rsid w:val="00692350"/>
    <w:rsid w:val="00693212"/>
    <w:rsid w:val="00693382"/>
    <w:rsid w:val="00695873"/>
    <w:rsid w:val="00695F28"/>
    <w:rsid w:val="0069605A"/>
    <w:rsid w:val="006A141F"/>
    <w:rsid w:val="006A15CD"/>
    <w:rsid w:val="006A1E08"/>
    <w:rsid w:val="006A2E84"/>
    <w:rsid w:val="006A4B29"/>
    <w:rsid w:val="006A5950"/>
    <w:rsid w:val="006A6B9D"/>
    <w:rsid w:val="006A70FC"/>
    <w:rsid w:val="006A7EC3"/>
    <w:rsid w:val="006B0747"/>
    <w:rsid w:val="006B14A8"/>
    <w:rsid w:val="006B2EA1"/>
    <w:rsid w:val="006B4838"/>
    <w:rsid w:val="006B5383"/>
    <w:rsid w:val="006B6BD4"/>
    <w:rsid w:val="006B7EDB"/>
    <w:rsid w:val="006C3EE8"/>
    <w:rsid w:val="006C4E69"/>
    <w:rsid w:val="006C57BD"/>
    <w:rsid w:val="006C7BF3"/>
    <w:rsid w:val="006C7DEC"/>
    <w:rsid w:val="006D022A"/>
    <w:rsid w:val="006D073A"/>
    <w:rsid w:val="006D21DF"/>
    <w:rsid w:val="006D2963"/>
    <w:rsid w:val="006D49AF"/>
    <w:rsid w:val="006D7887"/>
    <w:rsid w:val="006E00CE"/>
    <w:rsid w:val="006E0357"/>
    <w:rsid w:val="006E0BE1"/>
    <w:rsid w:val="006E2683"/>
    <w:rsid w:val="006E349B"/>
    <w:rsid w:val="006E3BBA"/>
    <w:rsid w:val="006E4DA0"/>
    <w:rsid w:val="006E53E6"/>
    <w:rsid w:val="006E7724"/>
    <w:rsid w:val="006F1332"/>
    <w:rsid w:val="006F1FF2"/>
    <w:rsid w:val="006F289A"/>
    <w:rsid w:val="006F2F17"/>
    <w:rsid w:val="006F3964"/>
    <w:rsid w:val="006F4417"/>
    <w:rsid w:val="006F63F7"/>
    <w:rsid w:val="006F6C5B"/>
    <w:rsid w:val="0070072A"/>
    <w:rsid w:val="007033F7"/>
    <w:rsid w:val="00703B09"/>
    <w:rsid w:val="00704090"/>
    <w:rsid w:val="007131E9"/>
    <w:rsid w:val="00713975"/>
    <w:rsid w:val="00715B1C"/>
    <w:rsid w:val="00716052"/>
    <w:rsid w:val="007173A7"/>
    <w:rsid w:val="00717B68"/>
    <w:rsid w:val="007207D2"/>
    <w:rsid w:val="00722CCF"/>
    <w:rsid w:val="00725049"/>
    <w:rsid w:val="00726DB6"/>
    <w:rsid w:val="007306A9"/>
    <w:rsid w:val="0073264D"/>
    <w:rsid w:val="00737990"/>
    <w:rsid w:val="00742E36"/>
    <w:rsid w:val="007432C9"/>
    <w:rsid w:val="00744010"/>
    <w:rsid w:val="00744CE2"/>
    <w:rsid w:val="007457BE"/>
    <w:rsid w:val="00747620"/>
    <w:rsid w:val="007539CC"/>
    <w:rsid w:val="00753B70"/>
    <w:rsid w:val="0075553B"/>
    <w:rsid w:val="007559CE"/>
    <w:rsid w:val="007633B0"/>
    <w:rsid w:val="00766C2F"/>
    <w:rsid w:val="00770BE2"/>
    <w:rsid w:val="0077264E"/>
    <w:rsid w:val="007742BE"/>
    <w:rsid w:val="007764EC"/>
    <w:rsid w:val="0077654E"/>
    <w:rsid w:val="00776F18"/>
    <w:rsid w:val="0077784C"/>
    <w:rsid w:val="0078013D"/>
    <w:rsid w:val="007802F5"/>
    <w:rsid w:val="00780AEC"/>
    <w:rsid w:val="007835FF"/>
    <w:rsid w:val="00785283"/>
    <w:rsid w:val="00785295"/>
    <w:rsid w:val="0078743D"/>
    <w:rsid w:val="007909BB"/>
    <w:rsid w:val="00791CC8"/>
    <w:rsid w:val="00791E13"/>
    <w:rsid w:val="007922FF"/>
    <w:rsid w:val="00792E8F"/>
    <w:rsid w:val="00795B00"/>
    <w:rsid w:val="007977A8"/>
    <w:rsid w:val="00797DF7"/>
    <w:rsid w:val="007A14E1"/>
    <w:rsid w:val="007A174C"/>
    <w:rsid w:val="007A2428"/>
    <w:rsid w:val="007A4ED6"/>
    <w:rsid w:val="007A6236"/>
    <w:rsid w:val="007A659A"/>
    <w:rsid w:val="007B1CCE"/>
    <w:rsid w:val="007B207F"/>
    <w:rsid w:val="007B2E1D"/>
    <w:rsid w:val="007B3296"/>
    <w:rsid w:val="007B4154"/>
    <w:rsid w:val="007B48E8"/>
    <w:rsid w:val="007C0840"/>
    <w:rsid w:val="007C121D"/>
    <w:rsid w:val="007C163B"/>
    <w:rsid w:val="007C325E"/>
    <w:rsid w:val="007C3854"/>
    <w:rsid w:val="007C4CF4"/>
    <w:rsid w:val="007C60BD"/>
    <w:rsid w:val="007C6C6E"/>
    <w:rsid w:val="007C6D90"/>
    <w:rsid w:val="007C78EB"/>
    <w:rsid w:val="007C7A87"/>
    <w:rsid w:val="007D026F"/>
    <w:rsid w:val="007D03CD"/>
    <w:rsid w:val="007D2CD9"/>
    <w:rsid w:val="007E1E40"/>
    <w:rsid w:val="007E39EA"/>
    <w:rsid w:val="007E57B8"/>
    <w:rsid w:val="007E6807"/>
    <w:rsid w:val="007E7C0F"/>
    <w:rsid w:val="007F03B8"/>
    <w:rsid w:val="007F24EF"/>
    <w:rsid w:val="007F4FC6"/>
    <w:rsid w:val="007F6C6F"/>
    <w:rsid w:val="00800A74"/>
    <w:rsid w:val="008012DA"/>
    <w:rsid w:val="008020D5"/>
    <w:rsid w:val="008042AB"/>
    <w:rsid w:val="00804ECD"/>
    <w:rsid w:val="008050E0"/>
    <w:rsid w:val="008055FD"/>
    <w:rsid w:val="00805628"/>
    <w:rsid w:val="008061F7"/>
    <w:rsid w:val="00810843"/>
    <w:rsid w:val="0081216C"/>
    <w:rsid w:val="00815A5B"/>
    <w:rsid w:val="00816B82"/>
    <w:rsid w:val="008207E9"/>
    <w:rsid w:val="008215FE"/>
    <w:rsid w:val="008216BF"/>
    <w:rsid w:val="00822F60"/>
    <w:rsid w:val="00823A72"/>
    <w:rsid w:val="00823EC9"/>
    <w:rsid w:val="00824A67"/>
    <w:rsid w:val="00826F14"/>
    <w:rsid w:val="00827472"/>
    <w:rsid w:val="00827DA6"/>
    <w:rsid w:val="00830274"/>
    <w:rsid w:val="00830C4E"/>
    <w:rsid w:val="00830DD7"/>
    <w:rsid w:val="008319FE"/>
    <w:rsid w:val="00831C2E"/>
    <w:rsid w:val="008345F2"/>
    <w:rsid w:val="00840632"/>
    <w:rsid w:val="008408B6"/>
    <w:rsid w:val="008412F8"/>
    <w:rsid w:val="00841476"/>
    <w:rsid w:val="00841B82"/>
    <w:rsid w:val="00841E5F"/>
    <w:rsid w:val="00842EF4"/>
    <w:rsid w:val="008445EB"/>
    <w:rsid w:val="00844CE6"/>
    <w:rsid w:val="008519A3"/>
    <w:rsid w:val="00852896"/>
    <w:rsid w:val="00856EA4"/>
    <w:rsid w:val="00861ACB"/>
    <w:rsid w:val="00861BDE"/>
    <w:rsid w:val="00861C1E"/>
    <w:rsid w:val="00862CBE"/>
    <w:rsid w:val="00864842"/>
    <w:rsid w:val="00864EA4"/>
    <w:rsid w:val="00865ED9"/>
    <w:rsid w:val="00867AEC"/>
    <w:rsid w:val="008717F3"/>
    <w:rsid w:val="008725CB"/>
    <w:rsid w:val="00872C01"/>
    <w:rsid w:val="00874090"/>
    <w:rsid w:val="00874350"/>
    <w:rsid w:val="00874451"/>
    <w:rsid w:val="00875363"/>
    <w:rsid w:val="00875DF3"/>
    <w:rsid w:val="00876181"/>
    <w:rsid w:val="00876495"/>
    <w:rsid w:val="00876777"/>
    <w:rsid w:val="00877182"/>
    <w:rsid w:val="00881A2E"/>
    <w:rsid w:val="0088262F"/>
    <w:rsid w:val="00883AFE"/>
    <w:rsid w:val="00884430"/>
    <w:rsid w:val="0088554F"/>
    <w:rsid w:val="00892830"/>
    <w:rsid w:val="00893112"/>
    <w:rsid w:val="008939F2"/>
    <w:rsid w:val="00894E1B"/>
    <w:rsid w:val="008953B3"/>
    <w:rsid w:val="00897C67"/>
    <w:rsid w:val="008A0452"/>
    <w:rsid w:val="008A0AE7"/>
    <w:rsid w:val="008A0E91"/>
    <w:rsid w:val="008A14BB"/>
    <w:rsid w:val="008A1D8B"/>
    <w:rsid w:val="008A2706"/>
    <w:rsid w:val="008A5861"/>
    <w:rsid w:val="008A5F92"/>
    <w:rsid w:val="008B2F5E"/>
    <w:rsid w:val="008B3C2D"/>
    <w:rsid w:val="008B6BDB"/>
    <w:rsid w:val="008B78D6"/>
    <w:rsid w:val="008C0AE6"/>
    <w:rsid w:val="008C2AA4"/>
    <w:rsid w:val="008C7B46"/>
    <w:rsid w:val="008D00B4"/>
    <w:rsid w:val="008D0942"/>
    <w:rsid w:val="008D0B39"/>
    <w:rsid w:val="008D3F94"/>
    <w:rsid w:val="008D6AE0"/>
    <w:rsid w:val="008D7C54"/>
    <w:rsid w:val="008E0DE4"/>
    <w:rsid w:val="008E18DD"/>
    <w:rsid w:val="008E27C4"/>
    <w:rsid w:val="008E2E3C"/>
    <w:rsid w:val="008E578D"/>
    <w:rsid w:val="008F1A39"/>
    <w:rsid w:val="008F4417"/>
    <w:rsid w:val="008F6ABD"/>
    <w:rsid w:val="009009B3"/>
    <w:rsid w:val="009034C2"/>
    <w:rsid w:val="00904C2F"/>
    <w:rsid w:val="009055C4"/>
    <w:rsid w:val="00905C1D"/>
    <w:rsid w:val="009072FA"/>
    <w:rsid w:val="009101DD"/>
    <w:rsid w:val="00910BF3"/>
    <w:rsid w:val="00916DC9"/>
    <w:rsid w:val="00917392"/>
    <w:rsid w:val="00917BAF"/>
    <w:rsid w:val="00920630"/>
    <w:rsid w:val="00922535"/>
    <w:rsid w:val="00922C5C"/>
    <w:rsid w:val="00922D56"/>
    <w:rsid w:val="00923CC3"/>
    <w:rsid w:val="009255C5"/>
    <w:rsid w:val="00925C0C"/>
    <w:rsid w:val="00925F8E"/>
    <w:rsid w:val="00927B1C"/>
    <w:rsid w:val="009316AF"/>
    <w:rsid w:val="009326CE"/>
    <w:rsid w:val="009335C7"/>
    <w:rsid w:val="00934E3A"/>
    <w:rsid w:val="00937E52"/>
    <w:rsid w:val="009437C0"/>
    <w:rsid w:val="009448C5"/>
    <w:rsid w:val="0094533D"/>
    <w:rsid w:val="009465BB"/>
    <w:rsid w:val="00947485"/>
    <w:rsid w:val="00947633"/>
    <w:rsid w:val="00947F56"/>
    <w:rsid w:val="00950670"/>
    <w:rsid w:val="009506E5"/>
    <w:rsid w:val="00950EFA"/>
    <w:rsid w:val="009515A1"/>
    <w:rsid w:val="009534C1"/>
    <w:rsid w:val="00953897"/>
    <w:rsid w:val="00953F2A"/>
    <w:rsid w:val="00955418"/>
    <w:rsid w:val="00957CD5"/>
    <w:rsid w:val="00965725"/>
    <w:rsid w:val="00965DAE"/>
    <w:rsid w:val="00971977"/>
    <w:rsid w:val="009756A4"/>
    <w:rsid w:val="009804F8"/>
    <w:rsid w:val="00981779"/>
    <w:rsid w:val="00981DD4"/>
    <w:rsid w:val="009834FD"/>
    <w:rsid w:val="00984786"/>
    <w:rsid w:val="009857BE"/>
    <w:rsid w:val="00985C56"/>
    <w:rsid w:val="00986784"/>
    <w:rsid w:val="0098684C"/>
    <w:rsid w:val="009906B7"/>
    <w:rsid w:val="00991337"/>
    <w:rsid w:val="00993179"/>
    <w:rsid w:val="009A002D"/>
    <w:rsid w:val="009A09A5"/>
    <w:rsid w:val="009A09E6"/>
    <w:rsid w:val="009A1A7F"/>
    <w:rsid w:val="009A31A3"/>
    <w:rsid w:val="009A3362"/>
    <w:rsid w:val="009A4B79"/>
    <w:rsid w:val="009A5151"/>
    <w:rsid w:val="009A57E9"/>
    <w:rsid w:val="009A5BA6"/>
    <w:rsid w:val="009B1735"/>
    <w:rsid w:val="009B3DB2"/>
    <w:rsid w:val="009B4C4A"/>
    <w:rsid w:val="009B5469"/>
    <w:rsid w:val="009B5FDA"/>
    <w:rsid w:val="009B67B4"/>
    <w:rsid w:val="009C0DDF"/>
    <w:rsid w:val="009C268F"/>
    <w:rsid w:val="009C4619"/>
    <w:rsid w:val="009C46B0"/>
    <w:rsid w:val="009C4908"/>
    <w:rsid w:val="009C4E02"/>
    <w:rsid w:val="009C6440"/>
    <w:rsid w:val="009C6D85"/>
    <w:rsid w:val="009C7F08"/>
    <w:rsid w:val="009D1405"/>
    <w:rsid w:val="009D148B"/>
    <w:rsid w:val="009D41BE"/>
    <w:rsid w:val="009D4A0A"/>
    <w:rsid w:val="009D4FD4"/>
    <w:rsid w:val="009D7933"/>
    <w:rsid w:val="009E250F"/>
    <w:rsid w:val="009E2BCE"/>
    <w:rsid w:val="009E61B9"/>
    <w:rsid w:val="009E6C5B"/>
    <w:rsid w:val="009F3C5B"/>
    <w:rsid w:val="009F43DD"/>
    <w:rsid w:val="009F6306"/>
    <w:rsid w:val="009F701A"/>
    <w:rsid w:val="009F73A3"/>
    <w:rsid w:val="009F7FC1"/>
    <w:rsid w:val="00A00081"/>
    <w:rsid w:val="00A006EA"/>
    <w:rsid w:val="00A012FB"/>
    <w:rsid w:val="00A02508"/>
    <w:rsid w:val="00A057DC"/>
    <w:rsid w:val="00A05BFC"/>
    <w:rsid w:val="00A061DD"/>
    <w:rsid w:val="00A07494"/>
    <w:rsid w:val="00A11A67"/>
    <w:rsid w:val="00A12A2A"/>
    <w:rsid w:val="00A13373"/>
    <w:rsid w:val="00A16CB7"/>
    <w:rsid w:val="00A171FB"/>
    <w:rsid w:val="00A173C3"/>
    <w:rsid w:val="00A21447"/>
    <w:rsid w:val="00A2282A"/>
    <w:rsid w:val="00A2363A"/>
    <w:rsid w:val="00A2489F"/>
    <w:rsid w:val="00A26152"/>
    <w:rsid w:val="00A30585"/>
    <w:rsid w:val="00A31F22"/>
    <w:rsid w:val="00A3245B"/>
    <w:rsid w:val="00A3731D"/>
    <w:rsid w:val="00A378B1"/>
    <w:rsid w:val="00A41878"/>
    <w:rsid w:val="00A5154D"/>
    <w:rsid w:val="00A5184C"/>
    <w:rsid w:val="00A538D8"/>
    <w:rsid w:val="00A53BEC"/>
    <w:rsid w:val="00A53DF1"/>
    <w:rsid w:val="00A54A7D"/>
    <w:rsid w:val="00A553AD"/>
    <w:rsid w:val="00A5598F"/>
    <w:rsid w:val="00A57809"/>
    <w:rsid w:val="00A61135"/>
    <w:rsid w:val="00A61740"/>
    <w:rsid w:val="00A618C4"/>
    <w:rsid w:val="00A632FD"/>
    <w:rsid w:val="00A66AE8"/>
    <w:rsid w:val="00A66D1D"/>
    <w:rsid w:val="00A66DB2"/>
    <w:rsid w:val="00A749DF"/>
    <w:rsid w:val="00A74C55"/>
    <w:rsid w:val="00A76D3B"/>
    <w:rsid w:val="00A777D5"/>
    <w:rsid w:val="00A8250C"/>
    <w:rsid w:val="00A825C5"/>
    <w:rsid w:val="00A83234"/>
    <w:rsid w:val="00A832F5"/>
    <w:rsid w:val="00A83442"/>
    <w:rsid w:val="00A83815"/>
    <w:rsid w:val="00A8391C"/>
    <w:rsid w:val="00A8485F"/>
    <w:rsid w:val="00A84C47"/>
    <w:rsid w:val="00A85527"/>
    <w:rsid w:val="00A85DF3"/>
    <w:rsid w:val="00A90694"/>
    <w:rsid w:val="00A90CD9"/>
    <w:rsid w:val="00A90E57"/>
    <w:rsid w:val="00A91C97"/>
    <w:rsid w:val="00AA02C9"/>
    <w:rsid w:val="00AA1989"/>
    <w:rsid w:val="00AA3491"/>
    <w:rsid w:val="00AA3B01"/>
    <w:rsid w:val="00AA4CE2"/>
    <w:rsid w:val="00AA5C82"/>
    <w:rsid w:val="00AA6B63"/>
    <w:rsid w:val="00AA72AD"/>
    <w:rsid w:val="00AB23F0"/>
    <w:rsid w:val="00AB2FB1"/>
    <w:rsid w:val="00AB4A3F"/>
    <w:rsid w:val="00AB5790"/>
    <w:rsid w:val="00AB5F79"/>
    <w:rsid w:val="00AB5F89"/>
    <w:rsid w:val="00AB76E9"/>
    <w:rsid w:val="00AC000B"/>
    <w:rsid w:val="00AC0611"/>
    <w:rsid w:val="00AC12CB"/>
    <w:rsid w:val="00AC349A"/>
    <w:rsid w:val="00AC3A12"/>
    <w:rsid w:val="00AC53A9"/>
    <w:rsid w:val="00AC5465"/>
    <w:rsid w:val="00AC5C1B"/>
    <w:rsid w:val="00AC5DBD"/>
    <w:rsid w:val="00AC7E71"/>
    <w:rsid w:val="00AD048B"/>
    <w:rsid w:val="00AD1903"/>
    <w:rsid w:val="00AD304B"/>
    <w:rsid w:val="00AD34A2"/>
    <w:rsid w:val="00AD5A1E"/>
    <w:rsid w:val="00AD6A5D"/>
    <w:rsid w:val="00AD705D"/>
    <w:rsid w:val="00AE04C8"/>
    <w:rsid w:val="00AE0D18"/>
    <w:rsid w:val="00AE1237"/>
    <w:rsid w:val="00AE20EC"/>
    <w:rsid w:val="00AE2346"/>
    <w:rsid w:val="00AE336E"/>
    <w:rsid w:val="00AF1495"/>
    <w:rsid w:val="00AF2EA9"/>
    <w:rsid w:val="00AF636E"/>
    <w:rsid w:val="00AF65A4"/>
    <w:rsid w:val="00AF7B8D"/>
    <w:rsid w:val="00B011DD"/>
    <w:rsid w:val="00B0294D"/>
    <w:rsid w:val="00B035EA"/>
    <w:rsid w:val="00B04F23"/>
    <w:rsid w:val="00B1028A"/>
    <w:rsid w:val="00B14306"/>
    <w:rsid w:val="00B14A69"/>
    <w:rsid w:val="00B16285"/>
    <w:rsid w:val="00B32FF5"/>
    <w:rsid w:val="00B33CAC"/>
    <w:rsid w:val="00B34222"/>
    <w:rsid w:val="00B34BB9"/>
    <w:rsid w:val="00B34BC0"/>
    <w:rsid w:val="00B36802"/>
    <w:rsid w:val="00B36DA6"/>
    <w:rsid w:val="00B37664"/>
    <w:rsid w:val="00B403DD"/>
    <w:rsid w:val="00B43716"/>
    <w:rsid w:val="00B43A43"/>
    <w:rsid w:val="00B4417E"/>
    <w:rsid w:val="00B46741"/>
    <w:rsid w:val="00B476FF"/>
    <w:rsid w:val="00B479BE"/>
    <w:rsid w:val="00B506C2"/>
    <w:rsid w:val="00B518AB"/>
    <w:rsid w:val="00B52CBC"/>
    <w:rsid w:val="00B54103"/>
    <w:rsid w:val="00B54748"/>
    <w:rsid w:val="00B54B0A"/>
    <w:rsid w:val="00B60D77"/>
    <w:rsid w:val="00B61D64"/>
    <w:rsid w:val="00B6264C"/>
    <w:rsid w:val="00B63351"/>
    <w:rsid w:val="00B65A97"/>
    <w:rsid w:val="00B65ED4"/>
    <w:rsid w:val="00B665FF"/>
    <w:rsid w:val="00B66E0E"/>
    <w:rsid w:val="00B71020"/>
    <w:rsid w:val="00B71188"/>
    <w:rsid w:val="00B7404F"/>
    <w:rsid w:val="00B769F4"/>
    <w:rsid w:val="00B76A5C"/>
    <w:rsid w:val="00B76D2D"/>
    <w:rsid w:val="00B81270"/>
    <w:rsid w:val="00B81E60"/>
    <w:rsid w:val="00B82102"/>
    <w:rsid w:val="00B8404C"/>
    <w:rsid w:val="00B84105"/>
    <w:rsid w:val="00B84AA5"/>
    <w:rsid w:val="00B87784"/>
    <w:rsid w:val="00B90757"/>
    <w:rsid w:val="00B91AF1"/>
    <w:rsid w:val="00B91EE6"/>
    <w:rsid w:val="00B9442B"/>
    <w:rsid w:val="00B948E9"/>
    <w:rsid w:val="00B94B1C"/>
    <w:rsid w:val="00B96318"/>
    <w:rsid w:val="00BA0F85"/>
    <w:rsid w:val="00BA1945"/>
    <w:rsid w:val="00BA27BD"/>
    <w:rsid w:val="00BA3055"/>
    <w:rsid w:val="00BA3F2C"/>
    <w:rsid w:val="00BA5091"/>
    <w:rsid w:val="00BA703F"/>
    <w:rsid w:val="00BA72C7"/>
    <w:rsid w:val="00BB38A4"/>
    <w:rsid w:val="00BB3E61"/>
    <w:rsid w:val="00BB53F3"/>
    <w:rsid w:val="00BB5A04"/>
    <w:rsid w:val="00BB62BF"/>
    <w:rsid w:val="00BB6D0D"/>
    <w:rsid w:val="00BB749E"/>
    <w:rsid w:val="00BB7588"/>
    <w:rsid w:val="00BB7922"/>
    <w:rsid w:val="00BC117E"/>
    <w:rsid w:val="00BC5115"/>
    <w:rsid w:val="00BC5A1E"/>
    <w:rsid w:val="00BC6116"/>
    <w:rsid w:val="00BD1F21"/>
    <w:rsid w:val="00BD3107"/>
    <w:rsid w:val="00BD41DB"/>
    <w:rsid w:val="00BE0879"/>
    <w:rsid w:val="00BE32C5"/>
    <w:rsid w:val="00BE3D45"/>
    <w:rsid w:val="00BE4486"/>
    <w:rsid w:val="00BE52B7"/>
    <w:rsid w:val="00BE6107"/>
    <w:rsid w:val="00BE6513"/>
    <w:rsid w:val="00BF205C"/>
    <w:rsid w:val="00BF2984"/>
    <w:rsid w:val="00BF4152"/>
    <w:rsid w:val="00BF614E"/>
    <w:rsid w:val="00BF68C2"/>
    <w:rsid w:val="00BF7AEE"/>
    <w:rsid w:val="00C00106"/>
    <w:rsid w:val="00C04CD3"/>
    <w:rsid w:val="00C06530"/>
    <w:rsid w:val="00C06652"/>
    <w:rsid w:val="00C1031D"/>
    <w:rsid w:val="00C10EF7"/>
    <w:rsid w:val="00C1437B"/>
    <w:rsid w:val="00C1442E"/>
    <w:rsid w:val="00C14B3F"/>
    <w:rsid w:val="00C15997"/>
    <w:rsid w:val="00C20903"/>
    <w:rsid w:val="00C21503"/>
    <w:rsid w:val="00C22AB9"/>
    <w:rsid w:val="00C23789"/>
    <w:rsid w:val="00C245D4"/>
    <w:rsid w:val="00C32BB1"/>
    <w:rsid w:val="00C34156"/>
    <w:rsid w:val="00C34570"/>
    <w:rsid w:val="00C368DF"/>
    <w:rsid w:val="00C40AD8"/>
    <w:rsid w:val="00C40ED9"/>
    <w:rsid w:val="00C40EE7"/>
    <w:rsid w:val="00C422F8"/>
    <w:rsid w:val="00C42445"/>
    <w:rsid w:val="00C42593"/>
    <w:rsid w:val="00C433F3"/>
    <w:rsid w:val="00C44FA3"/>
    <w:rsid w:val="00C457DB"/>
    <w:rsid w:val="00C45A37"/>
    <w:rsid w:val="00C46492"/>
    <w:rsid w:val="00C538FD"/>
    <w:rsid w:val="00C546AC"/>
    <w:rsid w:val="00C561F8"/>
    <w:rsid w:val="00C56F58"/>
    <w:rsid w:val="00C61342"/>
    <w:rsid w:val="00C62E31"/>
    <w:rsid w:val="00C649E2"/>
    <w:rsid w:val="00C6646A"/>
    <w:rsid w:val="00C665AA"/>
    <w:rsid w:val="00C67C09"/>
    <w:rsid w:val="00C77335"/>
    <w:rsid w:val="00C80CC1"/>
    <w:rsid w:val="00C81A31"/>
    <w:rsid w:val="00C835F2"/>
    <w:rsid w:val="00C836C1"/>
    <w:rsid w:val="00C8571F"/>
    <w:rsid w:val="00C85A06"/>
    <w:rsid w:val="00C863D4"/>
    <w:rsid w:val="00C91F1E"/>
    <w:rsid w:val="00C923D6"/>
    <w:rsid w:val="00C93511"/>
    <w:rsid w:val="00C975A8"/>
    <w:rsid w:val="00CA1C72"/>
    <w:rsid w:val="00CA20CD"/>
    <w:rsid w:val="00CA3012"/>
    <w:rsid w:val="00CA5B7B"/>
    <w:rsid w:val="00CA5B7F"/>
    <w:rsid w:val="00CA5C5E"/>
    <w:rsid w:val="00CA7289"/>
    <w:rsid w:val="00CB49C2"/>
    <w:rsid w:val="00CB6742"/>
    <w:rsid w:val="00CB69A7"/>
    <w:rsid w:val="00CB7F22"/>
    <w:rsid w:val="00CC00BE"/>
    <w:rsid w:val="00CC3722"/>
    <w:rsid w:val="00CC4286"/>
    <w:rsid w:val="00CC638F"/>
    <w:rsid w:val="00CC658B"/>
    <w:rsid w:val="00CD1C61"/>
    <w:rsid w:val="00CD3C67"/>
    <w:rsid w:val="00CD3CA1"/>
    <w:rsid w:val="00CD4FDA"/>
    <w:rsid w:val="00CD588A"/>
    <w:rsid w:val="00CD5B25"/>
    <w:rsid w:val="00CD6CD0"/>
    <w:rsid w:val="00CE0C39"/>
    <w:rsid w:val="00CE103C"/>
    <w:rsid w:val="00CE157D"/>
    <w:rsid w:val="00CE2D11"/>
    <w:rsid w:val="00CE31B3"/>
    <w:rsid w:val="00CE3298"/>
    <w:rsid w:val="00CE4171"/>
    <w:rsid w:val="00CE49A6"/>
    <w:rsid w:val="00CE5151"/>
    <w:rsid w:val="00CE5FF7"/>
    <w:rsid w:val="00CE7706"/>
    <w:rsid w:val="00CE7FC6"/>
    <w:rsid w:val="00CF111E"/>
    <w:rsid w:val="00CF37E9"/>
    <w:rsid w:val="00CF3FA7"/>
    <w:rsid w:val="00CF523D"/>
    <w:rsid w:val="00CF710B"/>
    <w:rsid w:val="00CF7555"/>
    <w:rsid w:val="00D00884"/>
    <w:rsid w:val="00D03013"/>
    <w:rsid w:val="00D03A02"/>
    <w:rsid w:val="00D03A33"/>
    <w:rsid w:val="00D10471"/>
    <w:rsid w:val="00D116DA"/>
    <w:rsid w:val="00D16ABB"/>
    <w:rsid w:val="00D16C2D"/>
    <w:rsid w:val="00D16EBB"/>
    <w:rsid w:val="00D170DB"/>
    <w:rsid w:val="00D2043D"/>
    <w:rsid w:val="00D22DA9"/>
    <w:rsid w:val="00D24923"/>
    <w:rsid w:val="00D2557F"/>
    <w:rsid w:val="00D26078"/>
    <w:rsid w:val="00D31099"/>
    <w:rsid w:val="00D3125C"/>
    <w:rsid w:val="00D331F4"/>
    <w:rsid w:val="00D34484"/>
    <w:rsid w:val="00D36972"/>
    <w:rsid w:val="00D4203A"/>
    <w:rsid w:val="00D43974"/>
    <w:rsid w:val="00D4568D"/>
    <w:rsid w:val="00D46A6F"/>
    <w:rsid w:val="00D50A0D"/>
    <w:rsid w:val="00D51B92"/>
    <w:rsid w:val="00D52648"/>
    <w:rsid w:val="00D53581"/>
    <w:rsid w:val="00D565B4"/>
    <w:rsid w:val="00D57247"/>
    <w:rsid w:val="00D62081"/>
    <w:rsid w:val="00D62242"/>
    <w:rsid w:val="00D6263D"/>
    <w:rsid w:val="00D627FD"/>
    <w:rsid w:val="00D655D5"/>
    <w:rsid w:val="00D658BC"/>
    <w:rsid w:val="00D66C3A"/>
    <w:rsid w:val="00D7172A"/>
    <w:rsid w:val="00D72073"/>
    <w:rsid w:val="00D81D13"/>
    <w:rsid w:val="00D830CC"/>
    <w:rsid w:val="00D84D0D"/>
    <w:rsid w:val="00D90428"/>
    <w:rsid w:val="00D90747"/>
    <w:rsid w:val="00D90B28"/>
    <w:rsid w:val="00D92324"/>
    <w:rsid w:val="00D94F00"/>
    <w:rsid w:val="00D9581E"/>
    <w:rsid w:val="00D96792"/>
    <w:rsid w:val="00DA03DF"/>
    <w:rsid w:val="00DA0D16"/>
    <w:rsid w:val="00DA128E"/>
    <w:rsid w:val="00DA1505"/>
    <w:rsid w:val="00DA17FF"/>
    <w:rsid w:val="00DA3797"/>
    <w:rsid w:val="00DA460A"/>
    <w:rsid w:val="00DA62D7"/>
    <w:rsid w:val="00DA664D"/>
    <w:rsid w:val="00DB07BE"/>
    <w:rsid w:val="00DB0AC0"/>
    <w:rsid w:val="00DB1FB1"/>
    <w:rsid w:val="00DB2DAA"/>
    <w:rsid w:val="00DB722B"/>
    <w:rsid w:val="00DC07F9"/>
    <w:rsid w:val="00DC19D2"/>
    <w:rsid w:val="00DC4300"/>
    <w:rsid w:val="00DC46D5"/>
    <w:rsid w:val="00DD3F0E"/>
    <w:rsid w:val="00DD51E3"/>
    <w:rsid w:val="00DD58AB"/>
    <w:rsid w:val="00DD731D"/>
    <w:rsid w:val="00DE3A5E"/>
    <w:rsid w:val="00DE48F8"/>
    <w:rsid w:val="00DE6535"/>
    <w:rsid w:val="00DE685E"/>
    <w:rsid w:val="00DE7A06"/>
    <w:rsid w:val="00DE7B9C"/>
    <w:rsid w:val="00DF19B9"/>
    <w:rsid w:val="00DF2881"/>
    <w:rsid w:val="00DF37B0"/>
    <w:rsid w:val="00DF43DF"/>
    <w:rsid w:val="00E01108"/>
    <w:rsid w:val="00E03FB7"/>
    <w:rsid w:val="00E04561"/>
    <w:rsid w:val="00E04838"/>
    <w:rsid w:val="00E052A6"/>
    <w:rsid w:val="00E061BC"/>
    <w:rsid w:val="00E062B4"/>
    <w:rsid w:val="00E06819"/>
    <w:rsid w:val="00E07B1C"/>
    <w:rsid w:val="00E1067D"/>
    <w:rsid w:val="00E133F9"/>
    <w:rsid w:val="00E140E1"/>
    <w:rsid w:val="00E162A5"/>
    <w:rsid w:val="00E16974"/>
    <w:rsid w:val="00E171F3"/>
    <w:rsid w:val="00E221DB"/>
    <w:rsid w:val="00E22860"/>
    <w:rsid w:val="00E22ED4"/>
    <w:rsid w:val="00E23CB1"/>
    <w:rsid w:val="00E23FEB"/>
    <w:rsid w:val="00E247AD"/>
    <w:rsid w:val="00E2688A"/>
    <w:rsid w:val="00E31EE2"/>
    <w:rsid w:val="00E33A81"/>
    <w:rsid w:val="00E33DBE"/>
    <w:rsid w:val="00E346DF"/>
    <w:rsid w:val="00E34A4B"/>
    <w:rsid w:val="00E37BB2"/>
    <w:rsid w:val="00E4289D"/>
    <w:rsid w:val="00E42D04"/>
    <w:rsid w:val="00E44D8F"/>
    <w:rsid w:val="00E44FA6"/>
    <w:rsid w:val="00E461DD"/>
    <w:rsid w:val="00E467EF"/>
    <w:rsid w:val="00E470B1"/>
    <w:rsid w:val="00E478A2"/>
    <w:rsid w:val="00E50D8A"/>
    <w:rsid w:val="00E50F84"/>
    <w:rsid w:val="00E51078"/>
    <w:rsid w:val="00E518A3"/>
    <w:rsid w:val="00E52821"/>
    <w:rsid w:val="00E52BE0"/>
    <w:rsid w:val="00E53DA2"/>
    <w:rsid w:val="00E54EB0"/>
    <w:rsid w:val="00E5568A"/>
    <w:rsid w:val="00E56394"/>
    <w:rsid w:val="00E568DD"/>
    <w:rsid w:val="00E56EAF"/>
    <w:rsid w:val="00E61C8E"/>
    <w:rsid w:val="00E62311"/>
    <w:rsid w:val="00E65F57"/>
    <w:rsid w:val="00E71146"/>
    <w:rsid w:val="00E71616"/>
    <w:rsid w:val="00E71D87"/>
    <w:rsid w:val="00E71F89"/>
    <w:rsid w:val="00E77ADF"/>
    <w:rsid w:val="00E80416"/>
    <w:rsid w:val="00E81D4A"/>
    <w:rsid w:val="00E81D54"/>
    <w:rsid w:val="00E82256"/>
    <w:rsid w:val="00E82B9C"/>
    <w:rsid w:val="00E86019"/>
    <w:rsid w:val="00E864B7"/>
    <w:rsid w:val="00E8756D"/>
    <w:rsid w:val="00E93033"/>
    <w:rsid w:val="00E931EB"/>
    <w:rsid w:val="00E9375C"/>
    <w:rsid w:val="00E94830"/>
    <w:rsid w:val="00E94A4A"/>
    <w:rsid w:val="00E97CDF"/>
    <w:rsid w:val="00EA29A8"/>
    <w:rsid w:val="00EA56F3"/>
    <w:rsid w:val="00EA5785"/>
    <w:rsid w:val="00EA71CC"/>
    <w:rsid w:val="00EA78E6"/>
    <w:rsid w:val="00EA7AB6"/>
    <w:rsid w:val="00EB0C00"/>
    <w:rsid w:val="00EB1A7D"/>
    <w:rsid w:val="00EB22CF"/>
    <w:rsid w:val="00EB3760"/>
    <w:rsid w:val="00EB3C3F"/>
    <w:rsid w:val="00EB4F7B"/>
    <w:rsid w:val="00EB699E"/>
    <w:rsid w:val="00EB6A45"/>
    <w:rsid w:val="00EB7472"/>
    <w:rsid w:val="00EC1BA9"/>
    <w:rsid w:val="00EC3EAD"/>
    <w:rsid w:val="00EC4A64"/>
    <w:rsid w:val="00ED0E11"/>
    <w:rsid w:val="00ED14AD"/>
    <w:rsid w:val="00EE0FB7"/>
    <w:rsid w:val="00EE1542"/>
    <w:rsid w:val="00EE31EE"/>
    <w:rsid w:val="00EE3795"/>
    <w:rsid w:val="00EF0E31"/>
    <w:rsid w:val="00EF13A1"/>
    <w:rsid w:val="00EF5535"/>
    <w:rsid w:val="00F00179"/>
    <w:rsid w:val="00F00385"/>
    <w:rsid w:val="00F00E89"/>
    <w:rsid w:val="00F01A1E"/>
    <w:rsid w:val="00F01A87"/>
    <w:rsid w:val="00F05E20"/>
    <w:rsid w:val="00F06824"/>
    <w:rsid w:val="00F10274"/>
    <w:rsid w:val="00F1268B"/>
    <w:rsid w:val="00F14F5B"/>
    <w:rsid w:val="00F22780"/>
    <w:rsid w:val="00F237EB"/>
    <w:rsid w:val="00F25EC0"/>
    <w:rsid w:val="00F27443"/>
    <w:rsid w:val="00F27E95"/>
    <w:rsid w:val="00F27F0F"/>
    <w:rsid w:val="00F27FA0"/>
    <w:rsid w:val="00F31B1D"/>
    <w:rsid w:val="00F32729"/>
    <w:rsid w:val="00F32CAD"/>
    <w:rsid w:val="00F32DD8"/>
    <w:rsid w:val="00F3517A"/>
    <w:rsid w:val="00F3656F"/>
    <w:rsid w:val="00F37555"/>
    <w:rsid w:val="00F37635"/>
    <w:rsid w:val="00F40155"/>
    <w:rsid w:val="00F40C74"/>
    <w:rsid w:val="00F4137B"/>
    <w:rsid w:val="00F416E3"/>
    <w:rsid w:val="00F4235D"/>
    <w:rsid w:val="00F423A1"/>
    <w:rsid w:val="00F42EB0"/>
    <w:rsid w:val="00F44B37"/>
    <w:rsid w:val="00F45D61"/>
    <w:rsid w:val="00F46E9E"/>
    <w:rsid w:val="00F51403"/>
    <w:rsid w:val="00F52205"/>
    <w:rsid w:val="00F549B3"/>
    <w:rsid w:val="00F55DB2"/>
    <w:rsid w:val="00F56134"/>
    <w:rsid w:val="00F56ABB"/>
    <w:rsid w:val="00F57EE5"/>
    <w:rsid w:val="00F60FD4"/>
    <w:rsid w:val="00F63844"/>
    <w:rsid w:val="00F64B8E"/>
    <w:rsid w:val="00F66014"/>
    <w:rsid w:val="00F706C8"/>
    <w:rsid w:val="00F712E1"/>
    <w:rsid w:val="00F72A4C"/>
    <w:rsid w:val="00F76B97"/>
    <w:rsid w:val="00F7753F"/>
    <w:rsid w:val="00F77EFD"/>
    <w:rsid w:val="00F805DE"/>
    <w:rsid w:val="00F80EF5"/>
    <w:rsid w:val="00F8376C"/>
    <w:rsid w:val="00F84191"/>
    <w:rsid w:val="00F84B5F"/>
    <w:rsid w:val="00F8685C"/>
    <w:rsid w:val="00F86E82"/>
    <w:rsid w:val="00F96805"/>
    <w:rsid w:val="00F96CF5"/>
    <w:rsid w:val="00F9751D"/>
    <w:rsid w:val="00FA0549"/>
    <w:rsid w:val="00FA059E"/>
    <w:rsid w:val="00FA301D"/>
    <w:rsid w:val="00FA338D"/>
    <w:rsid w:val="00FA33C1"/>
    <w:rsid w:val="00FA3E2C"/>
    <w:rsid w:val="00FA46FC"/>
    <w:rsid w:val="00FA709C"/>
    <w:rsid w:val="00FB1356"/>
    <w:rsid w:val="00FB4121"/>
    <w:rsid w:val="00FB6324"/>
    <w:rsid w:val="00FB6D85"/>
    <w:rsid w:val="00FB75DB"/>
    <w:rsid w:val="00FB7A69"/>
    <w:rsid w:val="00FC1270"/>
    <w:rsid w:val="00FC21B9"/>
    <w:rsid w:val="00FC3D9A"/>
    <w:rsid w:val="00FC4CED"/>
    <w:rsid w:val="00FC6C8A"/>
    <w:rsid w:val="00FC77AD"/>
    <w:rsid w:val="00FC77B9"/>
    <w:rsid w:val="00FD19C7"/>
    <w:rsid w:val="00FD5A34"/>
    <w:rsid w:val="00FD7D84"/>
    <w:rsid w:val="00FE056B"/>
    <w:rsid w:val="00FE2C79"/>
    <w:rsid w:val="00FE553C"/>
    <w:rsid w:val="00FE5971"/>
    <w:rsid w:val="00FE5E15"/>
    <w:rsid w:val="00FF02E1"/>
    <w:rsid w:val="00FF33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A338D"/>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6562F3"/>
    <w:pPr>
      <w:spacing w:before="75" w:after="75"/>
      <w:jc w:val="right"/>
    </w:pPr>
  </w:style>
  <w:style w:type="table" w:styleId="Reatabula">
    <w:name w:val="Table Grid"/>
    <w:basedOn w:val="Parastatabula"/>
    <w:uiPriority w:val="99"/>
    <w:rsid w:val="006562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6562F3"/>
    <w:pPr>
      <w:spacing w:before="75" w:after="75"/>
    </w:pPr>
  </w:style>
  <w:style w:type="paragraph" w:customStyle="1" w:styleId="naispant">
    <w:name w:val="naispant"/>
    <w:basedOn w:val="Parastais"/>
    <w:uiPriority w:val="99"/>
    <w:rsid w:val="006562F3"/>
    <w:pPr>
      <w:spacing w:before="100" w:beforeAutospacing="1" w:after="100" w:afterAutospacing="1"/>
    </w:pPr>
  </w:style>
  <w:style w:type="paragraph" w:styleId="Galvene">
    <w:name w:val="header"/>
    <w:basedOn w:val="Parastais"/>
    <w:link w:val="GalveneRakstz"/>
    <w:uiPriority w:val="99"/>
    <w:rsid w:val="006562F3"/>
    <w:pPr>
      <w:tabs>
        <w:tab w:val="center" w:pos="4153"/>
        <w:tab w:val="right" w:pos="8306"/>
      </w:tabs>
    </w:pPr>
  </w:style>
  <w:style w:type="character" w:customStyle="1" w:styleId="GalveneRakstz">
    <w:name w:val="Galvene Rakstz."/>
    <w:basedOn w:val="Noklusjumarindkopasfonts"/>
    <w:link w:val="Galvene"/>
    <w:uiPriority w:val="99"/>
    <w:semiHidden/>
    <w:locked/>
    <w:rsid w:val="00633747"/>
    <w:rPr>
      <w:rFonts w:cs="Times New Roman"/>
      <w:sz w:val="24"/>
      <w:szCs w:val="24"/>
    </w:rPr>
  </w:style>
  <w:style w:type="character" w:styleId="Lappusesnumurs">
    <w:name w:val="page number"/>
    <w:basedOn w:val="Noklusjumarindkopasfonts"/>
    <w:uiPriority w:val="99"/>
    <w:rsid w:val="006562F3"/>
    <w:rPr>
      <w:rFonts w:cs="Times New Roman"/>
    </w:rPr>
  </w:style>
  <w:style w:type="paragraph" w:customStyle="1" w:styleId="naisnod">
    <w:name w:val="naisnod"/>
    <w:basedOn w:val="Parastais"/>
    <w:uiPriority w:val="99"/>
    <w:rsid w:val="006562F3"/>
    <w:pPr>
      <w:spacing w:before="150" w:after="150"/>
      <w:jc w:val="center"/>
    </w:pPr>
    <w:rPr>
      <w:b/>
      <w:bCs/>
    </w:rPr>
  </w:style>
  <w:style w:type="paragraph" w:customStyle="1" w:styleId="naisf">
    <w:name w:val="naisf"/>
    <w:basedOn w:val="Parastais"/>
    <w:link w:val="naisfChar"/>
    <w:uiPriority w:val="99"/>
    <w:rsid w:val="006562F3"/>
    <w:pPr>
      <w:spacing w:before="75" w:after="75"/>
      <w:ind w:firstLine="375"/>
      <w:jc w:val="both"/>
    </w:pPr>
    <w:rPr>
      <w:szCs w:val="20"/>
    </w:rPr>
  </w:style>
  <w:style w:type="paragraph" w:customStyle="1" w:styleId="CharChar3RakstzRakstzCharChar">
    <w:name w:val="Char Char3 Rakstz. Rakstz. Char Char"/>
    <w:basedOn w:val="Parastais"/>
    <w:uiPriority w:val="99"/>
    <w:rsid w:val="006562F3"/>
    <w:pPr>
      <w:spacing w:before="40"/>
    </w:pPr>
    <w:rPr>
      <w:lang w:val="pl-PL" w:eastAsia="pl-PL"/>
    </w:rPr>
  </w:style>
  <w:style w:type="character" w:styleId="Izteiksmgs">
    <w:name w:val="Strong"/>
    <w:basedOn w:val="Noklusjumarindkopasfonts"/>
    <w:uiPriority w:val="99"/>
    <w:qFormat/>
    <w:rsid w:val="006562F3"/>
    <w:rPr>
      <w:rFonts w:cs="Times New Roman"/>
      <w:b/>
      <w:bCs/>
    </w:rPr>
  </w:style>
  <w:style w:type="paragraph" w:styleId="Kjene">
    <w:name w:val="footer"/>
    <w:basedOn w:val="Parastais"/>
    <w:link w:val="KjeneRakstz"/>
    <w:uiPriority w:val="99"/>
    <w:rsid w:val="00BA72C7"/>
    <w:pPr>
      <w:tabs>
        <w:tab w:val="center" w:pos="4153"/>
        <w:tab w:val="right" w:pos="8306"/>
      </w:tabs>
    </w:pPr>
  </w:style>
  <w:style w:type="character" w:customStyle="1" w:styleId="KjeneRakstz">
    <w:name w:val="Kājene Rakstz."/>
    <w:basedOn w:val="Noklusjumarindkopasfonts"/>
    <w:link w:val="Kjene"/>
    <w:uiPriority w:val="99"/>
    <w:semiHidden/>
    <w:locked/>
    <w:rsid w:val="008E18DD"/>
    <w:rPr>
      <w:rFonts w:cs="Times New Roman"/>
      <w:sz w:val="24"/>
      <w:szCs w:val="24"/>
      <w:lang w:val="lv-LV" w:eastAsia="lv-LV" w:bidi="ar-SA"/>
    </w:rPr>
  </w:style>
  <w:style w:type="paragraph" w:styleId="Pamattekstaatkpe2">
    <w:name w:val="Body Text Indent 2"/>
    <w:basedOn w:val="Parastais"/>
    <w:link w:val="Pamattekstaatkpe2Rakstz"/>
    <w:uiPriority w:val="99"/>
    <w:rsid w:val="006502CE"/>
    <w:pPr>
      <w:ind w:firstLine="435"/>
      <w:jc w:val="both"/>
    </w:pPr>
    <w:rPr>
      <w:szCs w:val="20"/>
      <w:lang w:eastAsia="en-US"/>
    </w:rPr>
  </w:style>
  <w:style w:type="character" w:customStyle="1" w:styleId="Pamattekstaatkpe2Rakstz">
    <w:name w:val="Pamatteksta atkāpe 2 Rakstz."/>
    <w:basedOn w:val="Noklusjumarindkopasfonts"/>
    <w:link w:val="Pamattekstaatkpe2"/>
    <w:uiPriority w:val="99"/>
    <w:semiHidden/>
    <w:locked/>
    <w:rsid w:val="00633747"/>
    <w:rPr>
      <w:rFonts w:cs="Times New Roman"/>
      <w:sz w:val="24"/>
      <w:szCs w:val="24"/>
    </w:rPr>
  </w:style>
  <w:style w:type="character" w:styleId="Komentraatsauce">
    <w:name w:val="annotation reference"/>
    <w:basedOn w:val="Noklusjumarindkopasfonts"/>
    <w:uiPriority w:val="99"/>
    <w:rsid w:val="006502CE"/>
    <w:rPr>
      <w:rFonts w:cs="Times New Roman"/>
      <w:sz w:val="16"/>
      <w:szCs w:val="16"/>
    </w:rPr>
  </w:style>
  <w:style w:type="paragraph" w:styleId="Komentrateksts">
    <w:name w:val="annotation text"/>
    <w:basedOn w:val="Parastais"/>
    <w:link w:val="KomentratekstsRakstz"/>
    <w:uiPriority w:val="99"/>
    <w:rsid w:val="006502CE"/>
    <w:rPr>
      <w:sz w:val="20"/>
      <w:szCs w:val="20"/>
    </w:rPr>
  </w:style>
  <w:style w:type="character" w:customStyle="1" w:styleId="KomentratekstsRakstz">
    <w:name w:val="Komentāra teksts Rakstz."/>
    <w:basedOn w:val="Noklusjumarindkopasfonts"/>
    <w:link w:val="Komentrateksts"/>
    <w:uiPriority w:val="99"/>
    <w:locked/>
    <w:rsid w:val="006502CE"/>
    <w:rPr>
      <w:rFonts w:cs="Times New Roman"/>
      <w:lang w:val="lv-LV" w:eastAsia="lv-LV" w:bidi="ar-SA"/>
    </w:rPr>
  </w:style>
  <w:style w:type="paragraph" w:styleId="Balonteksts">
    <w:name w:val="Balloon Text"/>
    <w:basedOn w:val="Parastais"/>
    <w:link w:val="BalontekstsRakstz"/>
    <w:uiPriority w:val="99"/>
    <w:semiHidden/>
    <w:rsid w:val="006502C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633747"/>
    <w:rPr>
      <w:rFonts w:cs="Times New Roman"/>
      <w:sz w:val="2"/>
    </w:rPr>
  </w:style>
  <w:style w:type="paragraph" w:styleId="ParastaisWeb">
    <w:name w:val="Normal (Web)"/>
    <w:basedOn w:val="Parastais"/>
    <w:uiPriority w:val="99"/>
    <w:rsid w:val="006502CE"/>
    <w:pPr>
      <w:spacing w:before="100" w:beforeAutospacing="1" w:after="100" w:afterAutospacing="1"/>
    </w:pPr>
    <w:rPr>
      <w:szCs w:val="20"/>
      <w:lang w:eastAsia="en-US"/>
    </w:rPr>
  </w:style>
  <w:style w:type="character" w:customStyle="1" w:styleId="th1">
    <w:name w:val="th1"/>
    <w:basedOn w:val="Noklusjumarindkopasfonts"/>
    <w:uiPriority w:val="99"/>
    <w:rsid w:val="008E18DD"/>
    <w:rPr>
      <w:rFonts w:cs="Times New Roman"/>
      <w:b/>
      <w:bCs/>
      <w:color w:val="333333"/>
    </w:rPr>
  </w:style>
  <w:style w:type="paragraph" w:styleId="Komentratma">
    <w:name w:val="annotation subject"/>
    <w:basedOn w:val="Komentrateksts"/>
    <w:next w:val="Komentrateksts"/>
    <w:link w:val="KomentratmaRakstz"/>
    <w:uiPriority w:val="99"/>
    <w:semiHidden/>
    <w:rsid w:val="00DD51E3"/>
    <w:rPr>
      <w:b/>
      <w:bCs/>
    </w:rPr>
  </w:style>
  <w:style w:type="character" w:customStyle="1" w:styleId="KomentratmaRakstz">
    <w:name w:val="Komentāra tēma Rakstz."/>
    <w:basedOn w:val="KomentratekstsRakstz"/>
    <w:link w:val="Komentratma"/>
    <w:uiPriority w:val="99"/>
    <w:semiHidden/>
    <w:locked/>
    <w:rsid w:val="00633747"/>
    <w:rPr>
      <w:rFonts w:cs="Times New Roman"/>
      <w:b/>
      <w:bCs/>
      <w:sz w:val="20"/>
      <w:szCs w:val="20"/>
      <w:lang w:val="lv-LV" w:eastAsia="lv-LV" w:bidi="ar-SA"/>
    </w:rPr>
  </w:style>
  <w:style w:type="paragraph" w:customStyle="1" w:styleId="naisc">
    <w:name w:val="naisc"/>
    <w:basedOn w:val="Parastais"/>
    <w:uiPriority w:val="99"/>
    <w:rsid w:val="000B6546"/>
    <w:pPr>
      <w:spacing w:before="75" w:after="75"/>
      <w:jc w:val="center"/>
    </w:pPr>
  </w:style>
  <w:style w:type="paragraph" w:styleId="Sarakstaaizzme">
    <w:name w:val="List Bullet"/>
    <w:basedOn w:val="Parastais"/>
    <w:uiPriority w:val="99"/>
    <w:rsid w:val="003D2AC3"/>
    <w:pPr>
      <w:numPr>
        <w:numId w:val="12"/>
      </w:numPr>
      <w:tabs>
        <w:tab w:val="clear" w:pos="720"/>
        <w:tab w:val="num" w:pos="360"/>
      </w:tabs>
      <w:ind w:left="360"/>
    </w:pPr>
  </w:style>
  <w:style w:type="paragraph" w:styleId="Pamattekstsaratkpi">
    <w:name w:val="Body Text Indent"/>
    <w:basedOn w:val="Parastais"/>
    <w:link w:val="PamattekstsaratkpiRakstz"/>
    <w:uiPriority w:val="99"/>
    <w:rsid w:val="00525F38"/>
    <w:pPr>
      <w:spacing w:after="120"/>
      <w:ind w:left="283"/>
    </w:pPr>
  </w:style>
  <w:style w:type="character" w:customStyle="1" w:styleId="PamattekstsaratkpiRakstz">
    <w:name w:val="Pamatteksts ar atkāpi Rakstz."/>
    <w:basedOn w:val="Noklusjumarindkopasfonts"/>
    <w:link w:val="Pamattekstsaratkpi"/>
    <w:uiPriority w:val="99"/>
    <w:locked/>
    <w:rsid w:val="00525F38"/>
    <w:rPr>
      <w:rFonts w:cs="Times New Roman"/>
      <w:sz w:val="24"/>
      <w:szCs w:val="24"/>
    </w:rPr>
  </w:style>
  <w:style w:type="paragraph" w:customStyle="1" w:styleId="vline">
    <w:name w:val="vline"/>
    <w:basedOn w:val="Parastais"/>
    <w:uiPriority w:val="99"/>
    <w:rsid w:val="005A20D5"/>
    <w:pPr>
      <w:spacing w:before="100" w:beforeAutospacing="1" w:after="100" w:afterAutospacing="1"/>
    </w:pPr>
  </w:style>
  <w:style w:type="paragraph" w:styleId="Dokumentakarte">
    <w:name w:val="Document Map"/>
    <w:basedOn w:val="Parastais"/>
    <w:link w:val="DokumentakarteRakstz"/>
    <w:uiPriority w:val="99"/>
    <w:semiHidden/>
    <w:rsid w:val="003A5604"/>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locked/>
    <w:rsid w:val="00633747"/>
    <w:rPr>
      <w:rFonts w:cs="Times New Roman"/>
      <w:sz w:val="2"/>
    </w:rPr>
  </w:style>
  <w:style w:type="character" w:styleId="Hipersaite">
    <w:name w:val="Hyperlink"/>
    <w:basedOn w:val="Noklusjumarindkopasfonts"/>
    <w:uiPriority w:val="99"/>
    <w:rsid w:val="006C7BF3"/>
    <w:rPr>
      <w:rFonts w:cs="Times New Roman"/>
      <w:color w:val="0000FF"/>
      <w:u w:val="single"/>
    </w:rPr>
  </w:style>
  <w:style w:type="paragraph" w:styleId="Pamatteksts">
    <w:name w:val="Body Text"/>
    <w:basedOn w:val="Parastais"/>
    <w:link w:val="PamattekstsRakstz"/>
    <w:uiPriority w:val="99"/>
    <w:semiHidden/>
    <w:rsid w:val="0049296D"/>
    <w:pPr>
      <w:spacing w:after="120"/>
    </w:pPr>
  </w:style>
  <w:style w:type="character" w:customStyle="1" w:styleId="PamattekstsRakstz">
    <w:name w:val="Pamatteksts Rakstz."/>
    <w:basedOn w:val="Noklusjumarindkopasfonts"/>
    <w:link w:val="Pamatteksts"/>
    <w:uiPriority w:val="99"/>
    <w:semiHidden/>
    <w:locked/>
    <w:rsid w:val="0049296D"/>
    <w:rPr>
      <w:rFonts w:cs="Times New Roman"/>
      <w:sz w:val="24"/>
      <w:szCs w:val="24"/>
    </w:rPr>
  </w:style>
  <w:style w:type="paragraph" w:customStyle="1" w:styleId="naisvisr">
    <w:name w:val="naisvisr"/>
    <w:basedOn w:val="Parastais"/>
    <w:uiPriority w:val="99"/>
    <w:rsid w:val="0049296D"/>
    <w:pPr>
      <w:spacing w:before="100" w:after="100"/>
      <w:jc w:val="center"/>
    </w:pPr>
    <w:rPr>
      <w:b/>
      <w:bCs/>
      <w:sz w:val="28"/>
      <w:szCs w:val="28"/>
    </w:rPr>
  </w:style>
  <w:style w:type="character" w:customStyle="1" w:styleId="naisfChar">
    <w:name w:val="naisf Char"/>
    <w:link w:val="naisf"/>
    <w:uiPriority w:val="99"/>
    <w:locked/>
    <w:rsid w:val="0049296D"/>
    <w:rPr>
      <w:sz w:val="24"/>
    </w:rPr>
  </w:style>
  <w:style w:type="character" w:customStyle="1" w:styleId="apple-converted-space">
    <w:name w:val="apple-converted-space"/>
    <w:basedOn w:val="Noklusjumarindkopasfonts"/>
    <w:uiPriority w:val="99"/>
    <w:rsid w:val="0049296D"/>
    <w:rPr>
      <w:rFonts w:cs="Times New Roman"/>
    </w:rPr>
  </w:style>
  <w:style w:type="paragraph" w:customStyle="1" w:styleId="RakstzCharCharRakstzCharCharRakstz">
    <w:name w:val="Rakstz. Char Char Rakstz. Char Char Rakstz."/>
    <w:basedOn w:val="Parastais"/>
    <w:uiPriority w:val="99"/>
    <w:rsid w:val="00176D0F"/>
    <w:pPr>
      <w:spacing w:after="160" w:line="240" w:lineRule="exact"/>
    </w:pPr>
    <w:rPr>
      <w:rFonts w:ascii="Tahoma" w:hAnsi="Tahoma" w:cs="Tahoma"/>
      <w:sz w:val="20"/>
      <w:szCs w:val="20"/>
      <w:lang w:val="en-US" w:eastAsia="en-US"/>
    </w:rPr>
  </w:style>
  <w:style w:type="paragraph" w:styleId="Sarakstarindkopa">
    <w:name w:val="List Paragraph"/>
    <w:basedOn w:val="Parastais"/>
    <w:uiPriority w:val="99"/>
    <w:qFormat/>
    <w:rsid w:val="00841B82"/>
    <w:pPr>
      <w:ind w:left="720"/>
    </w:pPr>
  </w:style>
  <w:style w:type="paragraph" w:customStyle="1" w:styleId="tv2131">
    <w:name w:val="tv2131"/>
    <w:basedOn w:val="Parastais"/>
    <w:rsid w:val="00E23CB1"/>
    <w:pPr>
      <w:spacing w:before="240" w:line="360" w:lineRule="auto"/>
      <w:ind w:firstLine="230"/>
      <w:jc w:val="both"/>
    </w:pPr>
    <w:rPr>
      <w:rFonts w:ascii="Verdana" w:hAnsi="Verdana"/>
      <w:sz w:val="14"/>
      <w:szCs w:val="14"/>
    </w:rPr>
  </w:style>
  <w:style w:type="paragraph" w:customStyle="1" w:styleId="labojumupamats1">
    <w:name w:val="labojumu_pamats1"/>
    <w:basedOn w:val="Parastais"/>
    <w:rsid w:val="00E23CB1"/>
    <w:pPr>
      <w:spacing w:before="35" w:line="360" w:lineRule="auto"/>
      <w:ind w:firstLine="230"/>
    </w:pPr>
    <w:rPr>
      <w:rFonts w:ascii="Verdana" w:hAnsi="Verdana"/>
      <w:i/>
      <w:iCs/>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05694">
      <w:bodyDiv w:val="1"/>
      <w:marLeft w:val="0"/>
      <w:marRight w:val="0"/>
      <w:marTop w:val="100"/>
      <w:marBottom w:val="100"/>
      <w:divBdr>
        <w:top w:val="none" w:sz="0" w:space="0" w:color="auto"/>
        <w:left w:val="none" w:sz="0" w:space="0" w:color="auto"/>
        <w:bottom w:val="none" w:sz="0" w:space="0" w:color="auto"/>
        <w:right w:val="none" w:sz="0" w:space="0" w:color="auto"/>
      </w:divBdr>
      <w:divsChild>
        <w:div w:id="1551961400">
          <w:marLeft w:val="0"/>
          <w:marRight w:val="0"/>
          <w:marTop w:val="0"/>
          <w:marBottom w:val="0"/>
          <w:divBdr>
            <w:top w:val="none" w:sz="0" w:space="0" w:color="auto"/>
            <w:left w:val="none" w:sz="0" w:space="0" w:color="auto"/>
            <w:bottom w:val="none" w:sz="0" w:space="0" w:color="auto"/>
            <w:right w:val="none" w:sz="0" w:space="0" w:color="auto"/>
          </w:divBdr>
          <w:divsChild>
            <w:div w:id="177503760">
              <w:marLeft w:val="0"/>
              <w:marRight w:val="0"/>
              <w:marTop w:val="0"/>
              <w:marBottom w:val="0"/>
              <w:divBdr>
                <w:top w:val="none" w:sz="0" w:space="0" w:color="auto"/>
                <w:left w:val="none" w:sz="0" w:space="0" w:color="auto"/>
                <w:bottom w:val="none" w:sz="0" w:space="0" w:color="auto"/>
                <w:right w:val="none" w:sz="0" w:space="0" w:color="auto"/>
              </w:divBdr>
              <w:divsChild>
                <w:div w:id="1937398097">
                  <w:marLeft w:val="125"/>
                  <w:marRight w:val="125"/>
                  <w:marTop w:val="63"/>
                  <w:marBottom w:val="125"/>
                  <w:divBdr>
                    <w:top w:val="none" w:sz="0" w:space="0" w:color="auto"/>
                    <w:left w:val="none" w:sz="0" w:space="0" w:color="auto"/>
                    <w:bottom w:val="none" w:sz="0" w:space="0" w:color="auto"/>
                    <w:right w:val="none" w:sz="0" w:space="0" w:color="auto"/>
                  </w:divBdr>
                  <w:divsChild>
                    <w:div w:id="6639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31385">
      <w:bodyDiv w:val="1"/>
      <w:marLeft w:val="0"/>
      <w:marRight w:val="0"/>
      <w:marTop w:val="100"/>
      <w:marBottom w:val="100"/>
      <w:divBdr>
        <w:top w:val="none" w:sz="0" w:space="0" w:color="auto"/>
        <w:left w:val="none" w:sz="0" w:space="0" w:color="auto"/>
        <w:bottom w:val="none" w:sz="0" w:space="0" w:color="auto"/>
        <w:right w:val="none" w:sz="0" w:space="0" w:color="auto"/>
      </w:divBdr>
      <w:divsChild>
        <w:div w:id="1065957861">
          <w:marLeft w:val="0"/>
          <w:marRight w:val="0"/>
          <w:marTop w:val="0"/>
          <w:marBottom w:val="0"/>
          <w:divBdr>
            <w:top w:val="none" w:sz="0" w:space="0" w:color="auto"/>
            <w:left w:val="none" w:sz="0" w:space="0" w:color="auto"/>
            <w:bottom w:val="none" w:sz="0" w:space="0" w:color="auto"/>
            <w:right w:val="none" w:sz="0" w:space="0" w:color="auto"/>
          </w:divBdr>
          <w:divsChild>
            <w:div w:id="559902202">
              <w:marLeft w:val="0"/>
              <w:marRight w:val="0"/>
              <w:marTop w:val="0"/>
              <w:marBottom w:val="0"/>
              <w:divBdr>
                <w:top w:val="none" w:sz="0" w:space="0" w:color="auto"/>
                <w:left w:val="none" w:sz="0" w:space="0" w:color="auto"/>
                <w:bottom w:val="none" w:sz="0" w:space="0" w:color="auto"/>
                <w:right w:val="none" w:sz="0" w:space="0" w:color="auto"/>
              </w:divBdr>
              <w:divsChild>
                <w:div w:id="1453092719">
                  <w:marLeft w:val="115"/>
                  <w:marRight w:val="115"/>
                  <w:marTop w:val="58"/>
                  <w:marBottom w:val="115"/>
                  <w:divBdr>
                    <w:top w:val="none" w:sz="0" w:space="0" w:color="auto"/>
                    <w:left w:val="none" w:sz="0" w:space="0" w:color="auto"/>
                    <w:bottom w:val="none" w:sz="0" w:space="0" w:color="auto"/>
                    <w:right w:val="none" w:sz="0" w:space="0" w:color="auto"/>
                  </w:divBdr>
                  <w:divsChild>
                    <w:div w:id="4859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2313">
      <w:marLeft w:val="0"/>
      <w:marRight w:val="0"/>
      <w:marTop w:val="0"/>
      <w:marBottom w:val="0"/>
      <w:divBdr>
        <w:top w:val="none" w:sz="0" w:space="0" w:color="auto"/>
        <w:left w:val="none" w:sz="0" w:space="0" w:color="auto"/>
        <w:bottom w:val="none" w:sz="0" w:space="0" w:color="auto"/>
        <w:right w:val="none" w:sz="0" w:space="0" w:color="auto"/>
      </w:divBdr>
    </w:div>
    <w:div w:id="1147742314">
      <w:marLeft w:val="0"/>
      <w:marRight w:val="0"/>
      <w:marTop w:val="0"/>
      <w:marBottom w:val="0"/>
      <w:divBdr>
        <w:top w:val="none" w:sz="0" w:space="0" w:color="auto"/>
        <w:left w:val="none" w:sz="0" w:space="0" w:color="auto"/>
        <w:bottom w:val="none" w:sz="0" w:space="0" w:color="auto"/>
        <w:right w:val="none" w:sz="0" w:space="0" w:color="auto"/>
      </w:divBdr>
      <w:divsChild>
        <w:div w:id="1147742316">
          <w:marLeft w:val="0"/>
          <w:marRight w:val="0"/>
          <w:marTop w:val="0"/>
          <w:marBottom w:val="0"/>
          <w:divBdr>
            <w:top w:val="none" w:sz="0" w:space="0" w:color="auto"/>
            <w:left w:val="none" w:sz="0" w:space="0" w:color="auto"/>
            <w:bottom w:val="none" w:sz="0" w:space="0" w:color="auto"/>
            <w:right w:val="none" w:sz="0" w:space="0" w:color="auto"/>
          </w:divBdr>
          <w:divsChild>
            <w:div w:id="1147742320">
              <w:marLeft w:val="0"/>
              <w:marRight w:val="0"/>
              <w:marTop w:val="0"/>
              <w:marBottom w:val="0"/>
              <w:divBdr>
                <w:top w:val="none" w:sz="0" w:space="0" w:color="auto"/>
                <w:left w:val="none" w:sz="0" w:space="0" w:color="auto"/>
                <w:bottom w:val="none" w:sz="0" w:space="0" w:color="auto"/>
                <w:right w:val="none" w:sz="0" w:space="0" w:color="auto"/>
              </w:divBdr>
              <w:divsChild>
                <w:div w:id="1147742322">
                  <w:marLeft w:val="0"/>
                  <w:marRight w:val="0"/>
                  <w:marTop w:val="0"/>
                  <w:marBottom w:val="0"/>
                  <w:divBdr>
                    <w:top w:val="none" w:sz="0" w:space="0" w:color="auto"/>
                    <w:left w:val="none" w:sz="0" w:space="0" w:color="auto"/>
                    <w:bottom w:val="none" w:sz="0" w:space="0" w:color="auto"/>
                    <w:right w:val="none" w:sz="0" w:space="0" w:color="auto"/>
                  </w:divBdr>
                  <w:divsChild>
                    <w:div w:id="1147742319">
                      <w:marLeft w:val="0"/>
                      <w:marRight w:val="0"/>
                      <w:marTop w:val="0"/>
                      <w:marBottom w:val="0"/>
                      <w:divBdr>
                        <w:top w:val="none" w:sz="0" w:space="0" w:color="auto"/>
                        <w:left w:val="none" w:sz="0" w:space="0" w:color="auto"/>
                        <w:bottom w:val="none" w:sz="0" w:space="0" w:color="auto"/>
                        <w:right w:val="none" w:sz="0" w:space="0" w:color="auto"/>
                      </w:divBdr>
                      <w:divsChild>
                        <w:div w:id="1147742318">
                          <w:marLeft w:val="0"/>
                          <w:marRight w:val="0"/>
                          <w:marTop w:val="0"/>
                          <w:marBottom w:val="0"/>
                          <w:divBdr>
                            <w:top w:val="none" w:sz="0" w:space="0" w:color="auto"/>
                            <w:left w:val="none" w:sz="0" w:space="0" w:color="auto"/>
                            <w:bottom w:val="none" w:sz="0" w:space="0" w:color="auto"/>
                            <w:right w:val="none" w:sz="0" w:space="0" w:color="auto"/>
                          </w:divBdr>
                          <w:divsChild>
                            <w:div w:id="11477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742317">
      <w:marLeft w:val="0"/>
      <w:marRight w:val="0"/>
      <w:marTop w:val="0"/>
      <w:marBottom w:val="0"/>
      <w:divBdr>
        <w:top w:val="none" w:sz="0" w:space="0" w:color="auto"/>
        <w:left w:val="none" w:sz="0" w:space="0" w:color="auto"/>
        <w:bottom w:val="none" w:sz="0" w:space="0" w:color="auto"/>
        <w:right w:val="none" w:sz="0" w:space="0" w:color="auto"/>
      </w:divBdr>
    </w:div>
    <w:div w:id="1147742321">
      <w:marLeft w:val="0"/>
      <w:marRight w:val="0"/>
      <w:marTop w:val="0"/>
      <w:marBottom w:val="0"/>
      <w:divBdr>
        <w:top w:val="none" w:sz="0" w:space="0" w:color="auto"/>
        <w:left w:val="none" w:sz="0" w:space="0" w:color="auto"/>
        <w:bottom w:val="none" w:sz="0" w:space="0" w:color="auto"/>
        <w:right w:val="none" w:sz="0" w:space="0" w:color="auto"/>
      </w:divBdr>
    </w:div>
    <w:div w:id="1147742323">
      <w:marLeft w:val="0"/>
      <w:marRight w:val="0"/>
      <w:marTop w:val="0"/>
      <w:marBottom w:val="0"/>
      <w:divBdr>
        <w:top w:val="none" w:sz="0" w:space="0" w:color="auto"/>
        <w:left w:val="none" w:sz="0" w:space="0" w:color="auto"/>
        <w:bottom w:val="none" w:sz="0" w:space="0" w:color="auto"/>
        <w:right w:val="none" w:sz="0" w:space="0" w:color="auto"/>
      </w:divBdr>
    </w:div>
    <w:div w:id="1657106704">
      <w:bodyDiv w:val="1"/>
      <w:marLeft w:val="0"/>
      <w:marRight w:val="0"/>
      <w:marTop w:val="100"/>
      <w:marBottom w:val="100"/>
      <w:divBdr>
        <w:top w:val="none" w:sz="0" w:space="0" w:color="auto"/>
        <w:left w:val="none" w:sz="0" w:space="0" w:color="auto"/>
        <w:bottom w:val="none" w:sz="0" w:space="0" w:color="auto"/>
        <w:right w:val="none" w:sz="0" w:space="0" w:color="auto"/>
      </w:divBdr>
      <w:divsChild>
        <w:div w:id="446631716">
          <w:marLeft w:val="0"/>
          <w:marRight w:val="0"/>
          <w:marTop w:val="0"/>
          <w:marBottom w:val="0"/>
          <w:divBdr>
            <w:top w:val="none" w:sz="0" w:space="0" w:color="auto"/>
            <w:left w:val="none" w:sz="0" w:space="0" w:color="auto"/>
            <w:bottom w:val="none" w:sz="0" w:space="0" w:color="auto"/>
            <w:right w:val="none" w:sz="0" w:space="0" w:color="auto"/>
          </w:divBdr>
          <w:divsChild>
            <w:div w:id="351419604">
              <w:marLeft w:val="0"/>
              <w:marRight w:val="0"/>
              <w:marTop w:val="0"/>
              <w:marBottom w:val="0"/>
              <w:divBdr>
                <w:top w:val="none" w:sz="0" w:space="0" w:color="auto"/>
                <w:left w:val="none" w:sz="0" w:space="0" w:color="auto"/>
                <w:bottom w:val="none" w:sz="0" w:space="0" w:color="auto"/>
                <w:right w:val="none" w:sz="0" w:space="0" w:color="auto"/>
              </w:divBdr>
              <w:divsChild>
                <w:div w:id="1850489440">
                  <w:marLeft w:val="115"/>
                  <w:marRight w:val="115"/>
                  <w:marTop w:val="58"/>
                  <w:marBottom w:val="115"/>
                  <w:divBdr>
                    <w:top w:val="none" w:sz="0" w:space="0" w:color="auto"/>
                    <w:left w:val="none" w:sz="0" w:space="0" w:color="auto"/>
                    <w:bottom w:val="none" w:sz="0" w:space="0" w:color="auto"/>
                    <w:right w:val="none" w:sz="0" w:space="0" w:color="auto"/>
                  </w:divBdr>
                  <w:divsChild>
                    <w:div w:id="794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35525">
      <w:bodyDiv w:val="1"/>
      <w:marLeft w:val="0"/>
      <w:marRight w:val="0"/>
      <w:marTop w:val="100"/>
      <w:marBottom w:val="100"/>
      <w:divBdr>
        <w:top w:val="none" w:sz="0" w:space="0" w:color="auto"/>
        <w:left w:val="none" w:sz="0" w:space="0" w:color="auto"/>
        <w:bottom w:val="none" w:sz="0" w:space="0" w:color="auto"/>
        <w:right w:val="none" w:sz="0" w:space="0" w:color="auto"/>
      </w:divBdr>
      <w:divsChild>
        <w:div w:id="85928715">
          <w:marLeft w:val="0"/>
          <w:marRight w:val="0"/>
          <w:marTop w:val="0"/>
          <w:marBottom w:val="0"/>
          <w:divBdr>
            <w:top w:val="none" w:sz="0" w:space="0" w:color="auto"/>
            <w:left w:val="none" w:sz="0" w:space="0" w:color="auto"/>
            <w:bottom w:val="none" w:sz="0" w:space="0" w:color="auto"/>
            <w:right w:val="none" w:sz="0" w:space="0" w:color="auto"/>
          </w:divBdr>
          <w:divsChild>
            <w:div w:id="987050571">
              <w:marLeft w:val="0"/>
              <w:marRight w:val="0"/>
              <w:marTop w:val="0"/>
              <w:marBottom w:val="0"/>
              <w:divBdr>
                <w:top w:val="none" w:sz="0" w:space="0" w:color="auto"/>
                <w:left w:val="none" w:sz="0" w:space="0" w:color="auto"/>
                <w:bottom w:val="none" w:sz="0" w:space="0" w:color="auto"/>
                <w:right w:val="none" w:sz="0" w:space="0" w:color="auto"/>
              </w:divBdr>
              <w:divsChild>
                <w:div w:id="1457021527">
                  <w:marLeft w:val="115"/>
                  <w:marRight w:val="115"/>
                  <w:marTop w:val="58"/>
                  <w:marBottom w:val="115"/>
                  <w:divBdr>
                    <w:top w:val="none" w:sz="0" w:space="0" w:color="auto"/>
                    <w:left w:val="none" w:sz="0" w:space="0" w:color="auto"/>
                    <w:bottom w:val="none" w:sz="0" w:space="0" w:color="auto"/>
                    <w:right w:val="none" w:sz="0" w:space="0" w:color="auto"/>
                  </w:divBdr>
                  <w:divsChild>
                    <w:div w:id="11533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84372">
      <w:bodyDiv w:val="1"/>
      <w:marLeft w:val="0"/>
      <w:marRight w:val="0"/>
      <w:marTop w:val="100"/>
      <w:marBottom w:val="100"/>
      <w:divBdr>
        <w:top w:val="none" w:sz="0" w:space="0" w:color="auto"/>
        <w:left w:val="none" w:sz="0" w:space="0" w:color="auto"/>
        <w:bottom w:val="none" w:sz="0" w:space="0" w:color="auto"/>
        <w:right w:val="none" w:sz="0" w:space="0" w:color="auto"/>
      </w:divBdr>
      <w:divsChild>
        <w:div w:id="1958412498">
          <w:marLeft w:val="0"/>
          <w:marRight w:val="0"/>
          <w:marTop w:val="0"/>
          <w:marBottom w:val="0"/>
          <w:divBdr>
            <w:top w:val="none" w:sz="0" w:space="0" w:color="auto"/>
            <w:left w:val="none" w:sz="0" w:space="0" w:color="auto"/>
            <w:bottom w:val="none" w:sz="0" w:space="0" w:color="auto"/>
            <w:right w:val="none" w:sz="0" w:space="0" w:color="auto"/>
          </w:divBdr>
          <w:divsChild>
            <w:div w:id="1877350721">
              <w:marLeft w:val="0"/>
              <w:marRight w:val="0"/>
              <w:marTop w:val="0"/>
              <w:marBottom w:val="0"/>
              <w:divBdr>
                <w:top w:val="none" w:sz="0" w:space="0" w:color="auto"/>
                <w:left w:val="none" w:sz="0" w:space="0" w:color="auto"/>
                <w:bottom w:val="none" w:sz="0" w:space="0" w:color="auto"/>
                <w:right w:val="none" w:sz="0" w:space="0" w:color="auto"/>
              </w:divBdr>
              <w:divsChild>
                <w:div w:id="136847055">
                  <w:marLeft w:val="115"/>
                  <w:marRight w:val="115"/>
                  <w:marTop w:val="58"/>
                  <w:marBottom w:val="115"/>
                  <w:divBdr>
                    <w:top w:val="none" w:sz="0" w:space="0" w:color="auto"/>
                    <w:left w:val="none" w:sz="0" w:space="0" w:color="auto"/>
                    <w:bottom w:val="none" w:sz="0" w:space="0" w:color="auto"/>
                    <w:right w:val="none" w:sz="0" w:space="0" w:color="auto"/>
                  </w:divBdr>
                  <w:divsChild>
                    <w:div w:id="20407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9806" TargetMode="External"/><Relationship Id="rId13" Type="http://schemas.openxmlformats.org/officeDocument/2006/relationships/hyperlink" Target="http://www.likumi.lv/doc.php?id=243612" TargetMode="External"/><Relationship Id="rId18" Type="http://schemas.openxmlformats.org/officeDocument/2006/relationships/hyperlink" Target="http://www.likumi.lv/doc.php?id=232354" TargetMode="External"/><Relationship Id="rId26" Type="http://schemas.openxmlformats.org/officeDocument/2006/relationships/hyperlink" Target="http://www.likumi.lv/doc.php?id=194611"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kumi.lv/doc.php?id=207288" TargetMode="External"/><Relationship Id="rId34" Type="http://schemas.openxmlformats.org/officeDocument/2006/relationships/hyperlink" Target="http://www.likumi.lv/doc.php?id=124369"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kumi.lv/doc.php?id=243834" TargetMode="External"/><Relationship Id="rId17" Type="http://schemas.openxmlformats.org/officeDocument/2006/relationships/hyperlink" Target="http://www.likumi.lv/doc.php?id=238949" TargetMode="External"/><Relationship Id="rId25" Type="http://schemas.openxmlformats.org/officeDocument/2006/relationships/hyperlink" Target="http://www.likumi.lv/doc.php?id=197972" TargetMode="External"/><Relationship Id="rId33" Type="http://schemas.openxmlformats.org/officeDocument/2006/relationships/hyperlink" Target="http://www.likumi.lv/doc.php?id=147108" TargetMode="External"/><Relationship Id="rId38" Type="http://schemas.openxmlformats.org/officeDocument/2006/relationships/hyperlink" Target="http://www.likumi.lv/doc.php?id=74746" TargetMode="External"/><Relationship Id="rId2" Type="http://schemas.openxmlformats.org/officeDocument/2006/relationships/numbering" Target="numbering.xml"/><Relationship Id="rId16" Type="http://schemas.openxmlformats.org/officeDocument/2006/relationships/hyperlink" Target="http://www.likumi.lv/doc.php?id=239760" TargetMode="External"/><Relationship Id="rId20" Type="http://schemas.openxmlformats.org/officeDocument/2006/relationships/hyperlink" Target="http://www.likumi.lv/doc.php?id=217953" TargetMode="External"/><Relationship Id="rId29" Type="http://schemas.openxmlformats.org/officeDocument/2006/relationships/hyperlink" Target="http://www.likumi.lv/doc.php?id=17757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44949" TargetMode="External"/><Relationship Id="rId24" Type="http://schemas.openxmlformats.org/officeDocument/2006/relationships/hyperlink" Target="http://www.likumi.lv/doc.php?id=199565" TargetMode="External"/><Relationship Id="rId32" Type="http://schemas.openxmlformats.org/officeDocument/2006/relationships/hyperlink" Target="http://www.likumi.lv/doc.php?id=156704" TargetMode="External"/><Relationship Id="rId37" Type="http://schemas.openxmlformats.org/officeDocument/2006/relationships/hyperlink" Target="http://www.likumi.lv/doc.php?id=75887" TargetMode="External"/><Relationship Id="rId40" Type="http://schemas.openxmlformats.org/officeDocument/2006/relationships/header" Target="head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likumi.lv/doc.php?id=242025" TargetMode="External"/><Relationship Id="rId23" Type="http://schemas.openxmlformats.org/officeDocument/2006/relationships/hyperlink" Target="http://www.likumi.lv/doc.php?id=205064" TargetMode="External"/><Relationship Id="rId28" Type="http://schemas.openxmlformats.org/officeDocument/2006/relationships/hyperlink" Target="http://www.likumi.lv/doc.php?id=193115" TargetMode="External"/><Relationship Id="rId36" Type="http://schemas.openxmlformats.org/officeDocument/2006/relationships/hyperlink" Target="http://www.likumi.lv/doc.php?id=95641" TargetMode="External"/><Relationship Id="rId10" Type="http://schemas.openxmlformats.org/officeDocument/2006/relationships/hyperlink" Target="http://www.likumi.lv/doc.php?id=246782" TargetMode="External"/><Relationship Id="rId19" Type="http://schemas.openxmlformats.org/officeDocument/2006/relationships/hyperlink" Target="http://www.likumi.lv/doc.php?id=229769" TargetMode="External"/><Relationship Id="rId31" Type="http://schemas.openxmlformats.org/officeDocument/2006/relationships/hyperlink" Target="http://www.likumi.lv/doc.php?id=15927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246783" TargetMode="External"/><Relationship Id="rId14" Type="http://schemas.openxmlformats.org/officeDocument/2006/relationships/hyperlink" Target="http://www.likumi.lv/doc.php?id=242657" TargetMode="External"/><Relationship Id="rId22" Type="http://schemas.openxmlformats.org/officeDocument/2006/relationships/hyperlink" Target="http://www.likumi.lv/doc.php?id=205068" TargetMode="External"/><Relationship Id="rId27" Type="http://schemas.openxmlformats.org/officeDocument/2006/relationships/hyperlink" Target="http://www.likumi.lv/doc.php?id=193915" TargetMode="External"/><Relationship Id="rId30" Type="http://schemas.openxmlformats.org/officeDocument/2006/relationships/hyperlink" Target="http://www.likumi.lv/doc.php?id=173402" TargetMode="External"/><Relationship Id="rId35" Type="http://schemas.openxmlformats.org/officeDocument/2006/relationships/hyperlink" Target="http://www.likumi.lv/doc.php?id=11452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509F7-1206-4359-81F7-35AF8018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2902</Words>
  <Characters>21591</Characters>
  <Application>Microsoft Office Word</Application>
  <DocSecurity>0</DocSecurity>
  <Lines>539</Lines>
  <Paragraphs>209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Lauksaimniecības datu centra nolikums</vt:lpstr>
      <vt:lpstr>Lauksaimniecības datu centra nolikums</vt:lpstr>
    </vt:vector>
  </TitlesOfParts>
  <Company>zm</Company>
  <LinksUpToDate>false</LinksUpToDate>
  <CharactersWithSpaces>24284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datu centra nolikums</dc:title>
  <dc:subject>Anotācija</dc:subject>
  <dc:creator>Ligija Ozoliņa</dc:creator>
  <cp:keywords/>
  <dc:description>Ligija.Ozolina@zm.gov.lv, 67027422</dc:description>
  <cp:lastModifiedBy>Renārs Žagars</cp:lastModifiedBy>
  <cp:revision>6</cp:revision>
  <cp:lastPrinted>2011-07-21T10:59:00Z</cp:lastPrinted>
  <dcterms:created xsi:type="dcterms:W3CDTF">2012-11-27T08:17:00Z</dcterms:created>
  <dcterms:modified xsi:type="dcterms:W3CDTF">2012-11-27T14:24:00Z</dcterms:modified>
</cp:coreProperties>
</file>