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B81" w:rsidRPr="0049325E" w:rsidRDefault="00320B81" w:rsidP="00C40C55">
      <w:pPr>
        <w:jc w:val="center"/>
        <w:rPr>
          <w:b/>
          <w:sz w:val="28"/>
          <w:szCs w:val="28"/>
        </w:rPr>
      </w:pPr>
      <w:r w:rsidRPr="0049325E">
        <w:rPr>
          <w:b/>
          <w:sz w:val="28"/>
          <w:szCs w:val="28"/>
        </w:rPr>
        <w:t>Ministru kabineta noteikumu projekt</w:t>
      </w:r>
      <w:r w:rsidR="00C40C55" w:rsidRPr="0049325E">
        <w:rPr>
          <w:b/>
          <w:sz w:val="28"/>
          <w:szCs w:val="28"/>
        </w:rPr>
        <w:t>s</w:t>
      </w:r>
      <w:bookmarkStart w:id="0" w:name="OLE_LINK5"/>
      <w:bookmarkStart w:id="1" w:name="OLE_LINK6"/>
      <w:r w:rsidR="00C40C55" w:rsidRPr="0049325E">
        <w:rPr>
          <w:b/>
          <w:sz w:val="28"/>
          <w:szCs w:val="28"/>
        </w:rPr>
        <w:t xml:space="preserve"> </w:t>
      </w:r>
      <w:r w:rsidR="00532AE4" w:rsidRPr="0049325E">
        <w:rPr>
          <w:b/>
          <w:bCs/>
          <w:color w:val="000000"/>
          <w:sz w:val="28"/>
          <w:szCs w:val="28"/>
        </w:rPr>
        <w:t>„Nodrošinājuma piemērošanas kārtība lauksaimniecības un tās pārstrādes produktiem</w:t>
      </w:r>
      <w:r w:rsidRPr="0049325E">
        <w:rPr>
          <w:b/>
          <w:bCs/>
          <w:color w:val="000000"/>
          <w:sz w:val="28"/>
          <w:szCs w:val="28"/>
        </w:rPr>
        <w:t>”</w:t>
      </w:r>
      <w:r w:rsidRPr="0049325E">
        <w:rPr>
          <w:b/>
          <w:sz w:val="28"/>
          <w:szCs w:val="28"/>
        </w:rPr>
        <w:t xml:space="preserve"> sākotnējās ietekmes novērtējuma </w:t>
      </w:r>
      <w:smartTag w:uri="schemas-tilde-lv/tildestengine" w:element="veidnes">
        <w:smartTagPr>
          <w:attr w:name="id" w:val="-1"/>
          <w:attr w:name="baseform" w:val="ziņojums"/>
          <w:attr w:name="text" w:val="ziņojums"/>
        </w:smartTagPr>
        <w:r w:rsidRPr="0049325E">
          <w:rPr>
            <w:b/>
            <w:sz w:val="28"/>
            <w:szCs w:val="28"/>
          </w:rPr>
          <w:t>ziņojums</w:t>
        </w:r>
      </w:smartTag>
      <w:r w:rsidRPr="0049325E">
        <w:rPr>
          <w:b/>
          <w:sz w:val="28"/>
          <w:szCs w:val="28"/>
        </w:rPr>
        <w:t xml:space="preserve"> (anotācija)</w:t>
      </w:r>
      <w:bookmarkEnd w:id="0"/>
      <w:bookmarkEnd w:id="1"/>
    </w:p>
    <w:p w:rsidR="00CA7F68" w:rsidRDefault="00CA7F68" w:rsidP="0049325E">
      <w:pPr>
        <w:pStyle w:val="naislab"/>
        <w:spacing w:before="0" w:after="0"/>
        <w:jc w:val="left"/>
        <w:outlineLvl w:val="0"/>
        <w:rPr>
          <w:sz w:val="28"/>
          <w:szCs w:val="28"/>
        </w:rPr>
      </w:pPr>
    </w:p>
    <w:p w:rsidR="00CA7F68" w:rsidRPr="0049325E" w:rsidRDefault="00CA7F68" w:rsidP="0049325E">
      <w:pPr>
        <w:pStyle w:val="naislab"/>
        <w:spacing w:before="0" w:after="0"/>
        <w:jc w:val="left"/>
        <w:outlineLvl w:val="0"/>
        <w:rPr>
          <w:sz w:val="28"/>
          <w:szCs w:val="28"/>
        </w:rPr>
      </w:pPr>
    </w:p>
    <w:tbl>
      <w:tblPr>
        <w:tblW w:w="9716"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3544"/>
        <w:gridCol w:w="5670"/>
      </w:tblGrid>
      <w:tr w:rsidR="008C0C16" w:rsidRPr="00CA7F68" w:rsidTr="0049325E">
        <w:trPr>
          <w:jc w:val="center"/>
        </w:trPr>
        <w:tc>
          <w:tcPr>
            <w:tcW w:w="9716" w:type="dxa"/>
            <w:gridSpan w:val="3"/>
          </w:tcPr>
          <w:p w:rsidR="008C0C16" w:rsidRPr="00CA7F68" w:rsidRDefault="008C0C16" w:rsidP="003074D4">
            <w:pPr>
              <w:pStyle w:val="naislab"/>
              <w:spacing w:before="0" w:after="0"/>
              <w:jc w:val="center"/>
              <w:outlineLvl w:val="0"/>
              <w:rPr>
                <w:b/>
              </w:rPr>
            </w:pPr>
            <w:r w:rsidRPr="00CA7F68">
              <w:rPr>
                <w:b/>
              </w:rPr>
              <w:t>I. Tiesību akta projekta izstrādes nepieciešamība</w:t>
            </w:r>
          </w:p>
        </w:tc>
      </w:tr>
      <w:tr w:rsidR="008C0C16" w:rsidRPr="00CA7F68" w:rsidTr="00CA7F68">
        <w:trPr>
          <w:trHeight w:val="2349"/>
          <w:jc w:val="center"/>
        </w:trPr>
        <w:tc>
          <w:tcPr>
            <w:tcW w:w="502" w:type="dxa"/>
          </w:tcPr>
          <w:p w:rsidR="008C0C16" w:rsidRPr="00CA7F68" w:rsidRDefault="008C0C16" w:rsidP="003074D4">
            <w:pPr>
              <w:pStyle w:val="naislab"/>
              <w:spacing w:before="0" w:after="0"/>
              <w:jc w:val="center"/>
              <w:outlineLvl w:val="0"/>
            </w:pPr>
            <w:r w:rsidRPr="00CA7F68">
              <w:t>1.</w:t>
            </w:r>
          </w:p>
        </w:tc>
        <w:tc>
          <w:tcPr>
            <w:tcW w:w="3544" w:type="dxa"/>
          </w:tcPr>
          <w:p w:rsidR="008C0C16" w:rsidRPr="00CA7F68" w:rsidRDefault="008C0C16" w:rsidP="003074D4">
            <w:pPr>
              <w:pStyle w:val="naislab"/>
              <w:spacing w:before="0" w:after="0"/>
              <w:jc w:val="both"/>
              <w:outlineLvl w:val="0"/>
            </w:pPr>
            <w:r w:rsidRPr="00CA7F68">
              <w:t>Pamatojums</w:t>
            </w:r>
          </w:p>
        </w:tc>
        <w:tc>
          <w:tcPr>
            <w:tcW w:w="5670" w:type="dxa"/>
          </w:tcPr>
          <w:p w:rsidR="008C0C16" w:rsidRPr="00CA7F68" w:rsidRDefault="00C40C55" w:rsidP="00C40C55">
            <w:pPr>
              <w:pStyle w:val="naislab"/>
              <w:spacing w:before="0" w:after="0"/>
              <w:jc w:val="both"/>
              <w:outlineLvl w:val="0"/>
              <w:rPr>
                <w:iCs/>
              </w:rPr>
            </w:pPr>
            <w:bookmarkStart w:id="2" w:name="_GoBack"/>
            <w:bookmarkEnd w:id="2"/>
            <w:r w:rsidRPr="00CA7F68">
              <w:rPr>
                <w:bCs/>
                <w:iCs/>
              </w:rPr>
              <w:t>Ministru kabineta noteikumu projekts „</w:t>
            </w:r>
            <w:r w:rsidRPr="00CA7F68">
              <w:rPr>
                <w:iCs/>
              </w:rPr>
              <w:t>Nodrošinājuma piemērošanas kārtība lauksaimniecības un tās pārstrādes produktiem</w:t>
            </w:r>
            <w:r w:rsidRPr="00CA7F68">
              <w:rPr>
                <w:bCs/>
                <w:iCs/>
              </w:rPr>
              <w:t xml:space="preserve">” sagatavots saskaņā ar Lauksaimniecības un lauku attīstības likuma </w:t>
            </w:r>
            <w:r w:rsidRPr="00CA7F68">
              <w:rPr>
                <w:iCs/>
              </w:rPr>
              <w:t>8.¹ panta otr</w:t>
            </w:r>
            <w:r w:rsidR="00E758A8" w:rsidRPr="00CA7F68">
              <w:rPr>
                <w:iCs/>
              </w:rPr>
              <w:t>o</w:t>
            </w:r>
            <w:r w:rsidRPr="00CA7F68">
              <w:rPr>
                <w:iCs/>
              </w:rPr>
              <w:t xml:space="preserve"> daļ</w:t>
            </w:r>
            <w:r w:rsidR="00E758A8" w:rsidRPr="00CA7F68">
              <w:rPr>
                <w:iCs/>
              </w:rPr>
              <w:t>u</w:t>
            </w:r>
            <w:r w:rsidRPr="00CA7F68">
              <w:rPr>
                <w:iCs/>
              </w:rPr>
              <w:t>.</w:t>
            </w:r>
          </w:p>
          <w:p w:rsidR="00E758A8" w:rsidRPr="00CA7F68" w:rsidRDefault="00E758A8" w:rsidP="00C40C55">
            <w:pPr>
              <w:pStyle w:val="naislab"/>
              <w:spacing w:before="0" w:after="0"/>
              <w:jc w:val="both"/>
              <w:outlineLvl w:val="0"/>
            </w:pPr>
            <w:proofErr w:type="spellStart"/>
            <w:r w:rsidRPr="00CA7F68">
              <w:rPr>
                <w:i/>
              </w:rPr>
              <w:t>Euro</w:t>
            </w:r>
            <w:proofErr w:type="spellEnd"/>
            <w:r w:rsidRPr="00CA7F68">
              <w:t xml:space="preserve"> ieviešanas kārtības likuma 30.panta pirmā daļa un Ministru kabineta 2012.gada 27.jūnija rīkojuma Nr.282 „Par „Koncepciju par normatīvo aktu sakārtošanu saistībā ar eiro ieviešanu Latvijā”” 7.1.apakšpunkts.</w:t>
            </w:r>
          </w:p>
        </w:tc>
      </w:tr>
      <w:tr w:rsidR="001470A9" w:rsidRPr="00CA7F68" w:rsidTr="00CA7F68">
        <w:trPr>
          <w:trHeight w:val="3387"/>
          <w:jc w:val="center"/>
        </w:trPr>
        <w:tc>
          <w:tcPr>
            <w:tcW w:w="502" w:type="dxa"/>
          </w:tcPr>
          <w:p w:rsidR="001470A9" w:rsidRPr="00CA7F68" w:rsidRDefault="001470A9" w:rsidP="003074D4">
            <w:pPr>
              <w:pStyle w:val="naislab"/>
              <w:spacing w:before="0" w:after="0"/>
              <w:jc w:val="center"/>
              <w:outlineLvl w:val="0"/>
            </w:pPr>
            <w:r w:rsidRPr="00CA7F68">
              <w:t>2.</w:t>
            </w:r>
          </w:p>
        </w:tc>
        <w:tc>
          <w:tcPr>
            <w:tcW w:w="3544" w:type="dxa"/>
          </w:tcPr>
          <w:p w:rsidR="009F581B" w:rsidRPr="00CA7F68" w:rsidRDefault="009F581B" w:rsidP="009F581B">
            <w:pPr>
              <w:pStyle w:val="naiskr"/>
              <w:spacing w:before="0" w:after="0"/>
              <w:ind w:hanging="10"/>
            </w:pPr>
            <w:r w:rsidRPr="00CA7F68">
              <w:t>Pašreizējā situācija un problēmas</w:t>
            </w:r>
          </w:p>
          <w:p w:rsidR="001470A9" w:rsidRPr="00CA7F68" w:rsidRDefault="009F581B" w:rsidP="009F581B">
            <w:pPr>
              <w:pStyle w:val="naislab"/>
              <w:spacing w:before="0" w:after="0"/>
              <w:jc w:val="both"/>
              <w:outlineLvl w:val="0"/>
            </w:pPr>
            <w:r w:rsidRPr="00CA7F68">
              <w:t>raksturojums</w:t>
            </w:r>
          </w:p>
        </w:tc>
        <w:tc>
          <w:tcPr>
            <w:tcW w:w="5670" w:type="dxa"/>
          </w:tcPr>
          <w:p w:rsidR="00C3787D" w:rsidRPr="00CA7F68" w:rsidRDefault="00C3787D" w:rsidP="00C40C55">
            <w:pPr>
              <w:pStyle w:val="Default"/>
              <w:jc w:val="both"/>
            </w:pPr>
            <w:r w:rsidRPr="00CA7F68">
              <w:t xml:space="preserve">Pašlaik ir spēkā Ministru kabineta 2008.gada 7.jūlija noteikumi Nr.520 „Nodrošinājuma piemērošanas kārtība lauksaimniecības un tās pārstrādes produktiem” (turpmāk – noteikumi Nr.520), kuros ir dotas atsauces uz Eiropas Savienības normatīvajiem aktiem, kas ir zaudējuši spēku un to vietā ir pieņemti citi normatīvie akti, uz kuriem jāizdara atsauces. Tā kā no 2014.gada 1.janvāra Latvijā plānots ieviest </w:t>
            </w:r>
            <w:proofErr w:type="spellStart"/>
            <w:r w:rsidRPr="00CA7F68">
              <w:rPr>
                <w:i/>
              </w:rPr>
              <w:t>euro</w:t>
            </w:r>
            <w:proofErr w:type="spellEnd"/>
            <w:r w:rsidRPr="00CA7F68">
              <w:t xml:space="preserve">, </w:t>
            </w:r>
            <w:r w:rsidR="00B55F3D" w:rsidRPr="00CA7F68">
              <w:t>noteikumi Nr.520 būtu jāgroza</w:t>
            </w:r>
            <w:r w:rsidRPr="00CA7F68">
              <w:t xml:space="preserve">, lai </w:t>
            </w:r>
            <w:proofErr w:type="spellStart"/>
            <w:r w:rsidRPr="00CA7F68">
              <w:rPr>
                <w:i/>
              </w:rPr>
              <w:t>euro</w:t>
            </w:r>
            <w:proofErr w:type="spellEnd"/>
            <w:r w:rsidRPr="00CA7F68">
              <w:t xml:space="preserve"> vairs netiktu pārrēķināti latos.</w:t>
            </w:r>
          </w:p>
          <w:p w:rsidR="00EB3145" w:rsidRPr="00CA7F68" w:rsidRDefault="00B55F3D" w:rsidP="00C40C55">
            <w:pPr>
              <w:pStyle w:val="Default"/>
              <w:jc w:val="both"/>
            </w:pPr>
            <w:r w:rsidRPr="00CA7F68">
              <w:t>Ņemot vērā, ka būtu jāgroza vairāk kā puse no normatīvā akta apjoma</w:t>
            </w:r>
            <w:r w:rsidR="00312A0D" w:rsidRPr="00CA7F68">
              <w:t>, ir jāsagatavo jauna normatīvā akta projekts.</w:t>
            </w:r>
          </w:p>
        </w:tc>
      </w:tr>
      <w:tr w:rsidR="001470A9" w:rsidRPr="00CA7F68" w:rsidTr="0049325E">
        <w:trPr>
          <w:jc w:val="center"/>
        </w:trPr>
        <w:tc>
          <w:tcPr>
            <w:tcW w:w="502" w:type="dxa"/>
          </w:tcPr>
          <w:p w:rsidR="001470A9" w:rsidRPr="00CA7F68" w:rsidRDefault="001470A9" w:rsidP="003074D4">
            <w:pPr>
              <w:pStyle w:val="naislab"/>
              <w:spacing w:before="0" w:after="0"/>
              <w:jc w:val="center"/>
              <w:outlineLvl w:val="0"/>
            </w:pPr>
            <w:r w:rsidRPr="00CA7F68">
              <w:t>3.</w:t>
            </w:r>
          </w:p>
        </w:tc>
        <w:tc>
          <w:tcPr>
            <w:tcW w:w="3544" w:type="dxa"/>
          </w:tcPr>
          <w:p w:rsidR="001470A9" w:rsidRPr="00CA7F68" w:rsidRDefault="001470A9" w:rsidP="003074D4">
            <w:pPr>
              <w:pStyle w:val="naislab"/>
              <w:spacing w:before="0" w:after="0"/>
              <w:jc w:val="both"/>
              <w:outlineLvl w:val="0"/>
            </w:pPr>
            <w:r w:rsidRPr="00CA7F68">
              <w:t>Saistītie politikas ietekmes novērtējumi un pētījumi</w:t>
            </w:r>
          </w:p>
        </w:tc>
        <w:tc>
          <w:tcPr>
            <w:tcW w:w="5670" w:type="dxa"/>
          </w:tcPr>
          <w:p w:rsidR="001470A9" w:rsidRPr="00CA7F68" w:rsidRDefault="002D65A0" w:rsidP="003074D4">
            <w:pPr>
              <w:jc w:val="both"/>
            </w:pPr>
            <w:r w:rsidRPr="00CA7F68">
              <w:rPr>
                <w:iCs/>
              </w:rPr>
              <w:t>Projekts šo jomu neskar</w:t>
            </w:r>
            <w:r w:rsidR="00500665" w:rsidRPr="00CA7F68">
              <w:rPr>
                <w:iCs/>
              </w:rPr>
              <w:t>.</w:t>
            </w:r>
          </w:p>
        </w:tc>
      </w:tr>
      <w:tr w:rsidR="001470A9" w:rsidRPr="00CA7F68" w:rsidTr="00CA7F68">
        <w:trPr>
          <w:trHeight w:val="2904"/>
          <w:jc w:val="center"/>
        </w:trPr>
        <w:tc>
          <w:tcPr>
            <w:tcW w:w="502" w:type="dxa"/>
          </w:tcPr>
          <w:p w:rsidR="001470A9" w:rsidRPr="00CA7F68" w:rsidRDefault="001470A9" w:rsidP="003074D4">
            <w:pPr>
              <w:pStyle w:val="naislab"/>
              <w:spacing w:before="0" w:after="0"/>
              <w:jc w:val="center"/>
              <w:outlineLvl w:val="0"/>
            </w:pPr>
            <w:r w:rsidRPr="00CA7F68">
              <w:t>4.</w:t>
            </w:r>
          </w:p>
        </w:tc>
        <w:tc>
          <w:tcPr>
            <w:tcW w:w="3544" w:type="dxa"/>
          </w:tcPr>
          <w:p w:rsidR="001470A9" w:rsidRPr="00CA7F68" w:rsidRDefault="001470A9" w:rsidP="003074D4">
            <w:pPr>
              <w:pStyle w:val="naislab"/>
              <w:spacing w:before="0" w:after="0"/>
              <w:jc w:val="both"/>
              <w:outlineLvl w:val="0"/>
            </w:pPr>
            <w:r w:rsidRPr="00CA7F68">
              <w:t>Tiesiskā regulējuma mērķis un būtība</w:t>
            </w:r>
          </w:p>
        </w:tc>
        <w:tc>
          <w:tcPr>
            <w:tcW w:w="5670" w:type="dxa"/>
          </w:tcPr>
          <w:p w:rsidR="008919DA" w:rsidRPr="00CA7F68" w:rsidRDefault="005E2016" w:rsidP="008919DA">
            <w:pPr>
              <w:pStyle w:val="Default"/>
              <w:jc w:val="both"/>
              <w:rPr>
                <w:strike/>
              </w:rPr>
            </w:pPr>
            <w:r w:rsidRPr="00CA7F68">
              <w:rPr>
                <w:bCs/>
              </w:rPr>
              <w:t xml:space="preserve">Šī projekta mērķis ir </w:t>
            </w:r>
            <w:r w:rsidR="005E2BC0" w:rsidRPr="00CA7F68">
              <w:rPr>
                <w:bCs/>
              </w:rPr>
              <w:t xml:space="preserve">pielāgot noteikumus Nr.520 </w:t>
            </w:r>
            <w:proofErr w:type="spellStart"/>
            <w:r w:rsidR="008919DA" w:rsidRPr="00CA7F68">
              <w:rPr>
                <w:i/>
                <w:iCs/>
              </w:rPr>
              <w:t>euro</w:t>
            </w:r>
            <w:proofErr w:type="spellEnd"/>
            <w:r w:rsidR="008919DA" w:rsidRPr="00CA7F68">
              <w:rPr>
                <w:i/>
                <w:iCs/>
              </w:rPr>
              <w:t xml:space="preserve"> </w:t>
            </w:r>
            <w:r w:rsidR="008919DA" w:rsidRPr="00CA7F68">
              <w:t>ieviešanai</w:t>
            </w:r>
            <w:r w:rsidR="00184DA6" w:rsidRPr="00CA7F68">
              <w:t xml:space="preserve"> un aktualizētu atsauces uz Eiropas Savienības tiesību aktiem</w:t>
            </w:r>
            <w:r w:rsidR="008919DA" w:rsidRPr="00CA7F68">
              <w:rPr>
                <w:iCs/>
              </w:rPr>
              <w:t>.</w:t>
            </w:r>
          </w:p>
          <w:p w:rsidR="001470A9" w:rsidRPr="00CA7F68" w:rsidRDefault="008919DA" w:rsidP="00312A0D">
            <w:pPr>
              <w:pStyle w:val="Default"/>
              <w:jc w:val="both"/>
            </w:pPr>
            <w:r w:rsidRPr="00CA7F68">
              <w:t>Šis projekts paredz</w:t>
            </w:r>
            <w:r w:rsidR="00C94FED" w:rsidRPr="00CA7F68">
              <w:t xml:space="preserve">, ka no </w:t>
            </w:r>
            <w:proofErr w:type="spellStart"/>
            <w:r w:rsidR="00C94FED" w:rsidRPr="00CA7F68">
              <w:rPr>
                <w:i/>
              </w:rPr>
              <w:t>euro</w:t>
            </w:r>
            <w:proofErr w:type="spellEnd"/>
            <w:r w:rsidR="00C94FED" w:rsidRPr="00CA7F68">
              <w:t xml:space="preserve"> ieviešanas dienas aprēķini iespējami tikai</w:t>
            </w:r>
            <w:r w:rsidR="00532AE4" w:rsidRPr="00CA7F68">
              <w:t xml:space="preserve"> </w:t>
            </w:r>
            <w:proofErr w:type="spellStart"/>
            <w:r w:rsidR="00532AE4" w:rsidRPr="00CA7F68">
              <w:rPr>
                <w:i/>
              </w:rPr>
              <w:t>euro</w:t>
            </w:r>
            <w:proofErr w:type="spellEnd"/>
            <w:r w:rsidR="00FB2E0D" w:rsidRPr="00CA7F68">
              <w:t>.</w:t>
            </w:r>
            <w:r w:rsidR="00FB2E0D" w:rsidRPr="00CA7F68" w:rsidDel="00FB2E0D">
              <w:t xml:space="preserve"> </w:t>
            </w:r>
            <w:r w:rsidR="00312A0D" w:rsidRPr="00CA7F68">
              <w:t>Projektā ietvertās</w:t>
            </w:r>
            <w:r w:rsidR="007D1C17" w:rsidRPr="00CA7F68">
              <w:t xml:space="preserve"> </w:t>
            </w:r>
            <w:r w:rsidRPr="00CA7F68">
              <w:t>tiesību normas nav personām nelabvēlīgākas par sākotnējo tiesību normu un nerada vērā ņemamu negatīvu ietekmi uz valsts budžetu.</w:t>
            </w:r>
          </w:p>
          <w:p w:rsidR="00312A0D" w:rsidRPr="00CA7F68" w:rsidRDefault="00312A0D" w:rsidP="00312A0D">
            <w:pPr>
              <w:pStyle w:val="Default"/>
              <w:jc w:val="both"/>
              <w:rPr>
                <w:bCs/>
              </w:rPr>
            </w:pPr>
            <w:r w:rsidRPr="00CA7F68">
              <w:t>Projekts pilnībā atrisinās anotācijas I sadaļas 2.punktā minētās problēmas.</w:t>
            </w:r>
          </w:p>
        </w:tc>
      </w:tr>
      <w:tr w:rsidR="001470A9" w:rsidRPr="00CA7F68" w:rsidTr="0049325E">
        <w:trPr>
          <w:jc w:val="center"/>
        </w:trPr>
        <w:tc>
          <w:tcPr>
            <w:tcW w:w="502" w:type="dxa"/>
          </w:tcPr>
          <w:p w:rsidR="001470A9" w:rsidRPr="00CA7F68" w:rsidRDefault="001470A9" w:rsidP="003074D4">
            <w:pPr>
              <w:pStyle w:val="naislab"/>
              <w:spacing w:before="0" w:after="0"/>
              <w:jc w:val="center"/>
              <w:outlineLvl w:val="0"/>
            </w:pPr>
            <w:r w:rsidRPr="00CA7F68">
              <w:t>5.</w:t>
            </w:r>
          </w:p>
        </w:tc>
        <w:tc>
          <w:tcPr>
            <w:tcW w:w="3544" w:type="dxa"/>
          </w:tcPr>
          <w:p w:rsidR="001470A9" w:rsidRPr="00CA7F68" w:rsidRDefault="001470A9" w:rsidP="003074D4">
            <w:pPr>
              <w:pStyle w:val="naislab"/>
              <w:spacing w:before="0" w:after="0"/>
              <w:jc w:val="both"/>
              <w:outlineLvl w:val="0"/>
            </w:pPr>
            <w:r w:rsidRPr="00CA7F68">
              <w:t>Projekta izstrādē iesaistītās institūcijas</w:t>
            </w:r>
          </w:p>
        </w:tc>
        <w:tc>
          <w:tcPr>
            <w:tcW w:w="5670" w:type="dxa"/>
          </w:tcPr>
          <w:p w:rsidR="001470A9" w:rsidRPr="00CA7F68" w:rsidRDefault="00FB2E0D" w:rsidP="00FB2E0D">
            <w:pPr>
              <w:pStyle w:val="naiskr"/>
              <w:spacing w:before="0" w:after="0"/>
              <w:rPr>
                <w:iCs/>
              </w:rPr>
            </w:pPr>
            <w:r w:rsidRPr="00CA7F68">
              <w:rPr>
                <w:iCs/>
              </w:rPr>
              <w:t xml:space="preserve"> Projekts šo jomu neskar.</w:t>
            </w:r>
          </w:p>
        </w:tc>
      </w:tr>
      <w:tr w:rsidR="001470A9" w:rsidRPr="00CA7F68" w:rsidTr="00CA7F68">
        <w:trPr>
          <w:trHeight w:val="996"/>
          <w:jc w:val="center"/>
        </w:trPr>
        <w:tc>
          <w:tcPr>
            <w:tcW w:w="502" w:type="dxa"/>
          </w:tcPr>
          <w:p w:rsidR="001470A9" w:rsidRPr="00CA7F68" w:rsidRDefault="001470A9" w:rsidP="003074D4">
            <w:pPr>
              <w:pStyle w:val="naislab"/>
              <w:spacing w:before="0" w:after="0"/>
              <w:jc w:val="center"/>
              <w:outlineLvl w:val="0"/>
            </w:pPr>
            <w:r w:rsidRPr="00CA7F68">
              <w:t>6.</w:t>
            </w:r>
          </w:p>
        </w:tc>
        <w:tc>
          <w:tcPr>
            <w:tcW w:w="3544" w:type="dxa"/>
          </w:tcPr>
          <w:p w:rsidR="001470A9" w:rsidRPr="00CA7F68" w:rsidRDefault="001470A9" w:rsidP="003074D4">
            <w:pPr>
              <w:pStyle w:val="naislab"/>
              <w:spacing w:before="0" w:after="0"/>
              <w:jc w:val="both"/>
              <w:outlineLvl w:val="0"/>
            </w:pPr>
            <w:r w:rsidRPr="00CA7F68">
              <w:t>Iemesli, kādēļ netika nodrošināta sabiedrības līdzdalība</w:t>
            </w:r>
          </w:p>
        </w:tc>
        <w:tc>
          <w:tcPr>
            <w:tcW w:w="5670" w:type="dxa"/>
          </w:tcPr>
          <w:p w:rsidR="001470A9" w:rsidRPr="00CA7F68" w:rsidRDefault="008919DA" w:rsidP="003074D4">
            <w:pPr>
              <w:jc w:val="both"/>
            </w:pPr>
            <w:r w:rsidRPr="00CA7F68">
              <w:t>Sabiedrības līdzdalība projekta izstrādē netika nodrošināta, jo projekts nemaina pastāvošo tiesisko regulējumu pēc būtības.</w:t>
            </w:r>
          </w:p>
        </w:tc>
      </w:tr>
      <w:tr w:rsidR="001470A9" w:rsidRPr="00CA7F68" w:rsidTr="00CA7F68">
        <w:trPr>
          <w:trHeight w:val="440"/>
          <w:jc w:val="center"/>
        </w:trPr>
        <w:tc>
          <w:tcPr>
            <w:tcW w:w="502" w:type="dxa"/>
          </w:tcPr>
          <w:p w:rsidR="001470A9" w:rsidRPr="00CA7F68" w:rsidRDefault="001470A9" w:rsidP="003074D4">
            <w:pPr>
              <w:pStyle w:val="naislab"/>
              <w:spacing w:before="0" w:after="0"/>
              <w:jc w:val="center"/>
              <w:outlineLvl w:val="0"/>
            </w:pPr>
            <w:r w:rsidRPr="00CA7F68">
              <w:t>7.</w:t>
            </w:r>
          </w:p>
        </w:tc>
        <w:tc>
          <w:tcPr>
            <w:tcW w:w="3544" w:type="dxa"/>
          </w:tcPr>
          <w:p w:rsidR="001470A9" w:rsidRPr="00CA7F68" w:rsidRDefault="001470A9" w:rsidP="003074D4">
            <w:pPr>
              <w:pStyle w:val="naislab"/>
              <w:spacing w:before="0" w:after="0"/>
              <w:jc w:val="both"/>
              <w:outlineLvl w:val="0"/>
            </w:pPr>
            <w:r w:rsidRPr="00CA7F68">
              <w:t>Cita informācija</w:t>
            </w:r>
          </w:p>
        </w:tc>
        <w:tc>
          <w:tcPr>
            <w:tcW w:w="5670" w:type="dxa"/>
          </w:tcPr>
          <w:p w:rsidR="001470A9" w:rsidRPr="00CA7F68" w:rsidRDefault="005E2BC0" w:rsidP="003B4E5D">
            <w:pPr>
              <w:pStyle w:val="naiskr"/>
              <w:spacing w:before="0" w:after="0"/>
              <w:jc w:val="both"/>
            </w:pPr>
            <w:r w:rsidRPr="00CA7F68">
              <w:t>Nav</w:t>
            </w:r>
            <w:r w:rsidR="003B4E5D" w:rsidRPr="00CA7F68">
              <w:t>.</w:t>
            </w:r>
          </w:p>
        </w:tc>
      </w:tr>
    </w:tbl>
    <w:p w:rsidR="00D10F81" w:rsidRPr="0049325E" w:rsidRDefault="00D10F81" w:rsidP="0049325E">
      <w:pPr>
        <w:pStyle w:val="naisf"/>
        <w:spacing w:before="0" w:after="0"/>
        <w:ind w:firstLine="0"/>
        <w:rPr>
          <w:sz w:val="28"/>
          <w:szCs w:val="28"/>
        </w:rPr>
      </w:pPr>
    </w:p>
    <w:p w:rsidR="00184DA6" w:rsidRPr="00CA7F68" w:rsidRDefault="003B4E5D" w:rsidP="0049325E">
      <w:pPr>
        <w:pStyle w:val="naisf"/>
        <w:spacing w:before="0" w:after="0"/>
      </w:pPr>
      <w:r w:rsidRPr="00CA7F68">
        <w:t xml:space="preserve">Anotācijas II </w:t>
      </w:r>
      <w:r w:rsidR="005E2BC0" w:rsidRPr="00CA7F68">
        <w:t xml:space="preserve">– IV </w:t>
      </w:r>
      <w:r w:rsidRPr="00CA7F68">
        <w:t>sadaļa – projekts š</w:t>
      </w:r>
      <w:r w:rsidR="005E2BC0" w:rsidRPr="00CA7F68">
        <w:t>īs</w:t>
      </w:r>
      <w:r w:rsidRPr="00CA7F68">
        <w:t xml:space="preserve"> jom</w:t>
      </w:r>
      <w:r w:rsidR="005E2BC0" w:rsidRPr="00CA7F68">
        <w:t>as</w:t>
      </w:r>
      <w:r w:rsidRPr="00CA7F68">
        <w:t xml:space="preserve"> neskar.</w:t>
      </w:r>
    </w:p>
    <w:p w:rsidR="0049325E" w:rsidRPr="00CA7F68" w:rsidRDefault="0049325E" w:rsidP="0049325E">
      <w:pPr>
        <w:pStyle w:val="naisf"/>
        <w:spacing w:before="0" w:after="0"/>
      </w:pPr>
    </w:p>
    <w:tbl>
      <w:tblPr>
        <w:tblW w:w="9701" w:type="dxa"/>
        <w:jc w:val="center"/>
        <w:tblInd w:w="2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
        <w:gridCol w:w="1160"/>
        <w:gridCol w:w="1086"/>
        <w:gridCol w:w="564"/>
        <w:gridCol w:w="1234"/>
        <w:gridCol w:w="1329"/>
        <w:gridCol w:w="917"/>
        <w:gridCol w:w="1035"/>
        <w:gridCol w:w="2334"/>
        <w:gridCol w:w="9"/>
      </w:tblGrid>
      <w:tr w:rsidR="00184DA6" w:rsidRPr="00CA7F68" w:rsidTr="005E2BC0">
        <w:trPr>
          <w:gridBefore w:val="1"/>
          <w:gridAfter w:val="1"/>
          <w:wBefore w:w="33" w:type="dxa"/>
          <w:wAfter w:w="9" w:type="dxa"/>
          <w:jc w:val="center"/>
        </w:trPr>
        <w:tc>
          <w:tcPr>
            <w:tcW w:w="9659" w:type="dxa"/>
            <w:gridSpan w:val="8"/>
          </w:tcPr>
          <w:p w:rsidR="00184DA6" w:rsidRPr="00CA7F68" w:rsidRDefault="00184DA6" w:rsidP="00184DA6">
            <w:pPr>
              <w:spacing w:before="100" w:beforeAutospacing="1" w:after="100" w:afterAutospacing="1"/>
              <w:rPr>
                <w:b/>
                <w:bCs/>
              </w:rPr>
            </w:pPr>
            <w:r w:rsidRPr="00CA7F68">
              <w:rPr>
                <w:b/>
                <w:bCs/>
              </w:rPr>
              <w:lastRenderedPageBreak/>
              <w:t>V. Tiesību akta projekta atbilstība Latvijas Republikas starptautiskajām saistībām</w:t>
            </w:r>
          </w:p>
        </w:tc>
      </w:tr>
      <w:tr w:rsidR="00184DA6" w:rsidRPr="00CA7F68" w:rsidTr="0049325E">
        <w:trPr>
          <w:gridBefore w:val="1"/>
          <w:gridAfter w:val="1"/>
          <w:wBefore w:w="33" w:type="dxa"/>
          <w:wAfter w:w="9" w:type="dxa"/>
          <w:trHeight w:val="1685"/>
          <w:jc w:val="center"/>
        </w:trPr>
        <w:tc>
          <w:tcPr>
            <w:tcW w:w="1160" w:type="dxa"/>
          </w:tcPr>
          <w:p w:rsidR="00184DA6" w:rsidRPr="00CA7F68" w:rsidRDefault="00184DA6" w:rsidP="005E2BC0">
            <w:pPr>
              <w:spacing w:before="100" w:beforeAutospacing="1" w:after="100" w:afterAutospacing="1"/>
              <w:rPr>
                <w:iCs/>
              </w:rPr>
            </w:pPr>
            <w:r w:rsidRPr="00CA7F68">
              <w:rPr>
                <w:iCs/>
              </w:rPr>
              <w:t>1.</w:t>
            </w:r>
          </w:p>
        </w:tc>
        <w:tc>
          <w:tcPr>
            <w:tcW w:w="4213" w:type="dxa"/>
            <w:gridSpan w:val="4"/>
          </w:tcPr>
          <w:p w:rsidR="00184DA6" w:rsidRPr="00CA7F68" w:rsidRDefault="00184DA6" w:rsidP="00184DA6">
            <w:pPr>
              <w:spacing w:before="100" w:beforeAutospacing="1" w:after="100" w:afterAutospacing="1"/>
              <w:rPr>
                <w:iCs/>
              </w:rPr>
            </w:pPr>
            <w:r w:rsidRPr="00CA7F68">
              <w:t>Saistības pret Eiropas Savienību</w:t>
            </w:r>
          </w:p>
        </w:tc>
        <w:tc>
          <w:tcPr>
            <w:tcW w:w="4286" w:type="dxa"/>
            <w:gridSpan w:val="3"/>
          </w:tcPr>
          <w:p w:rsidR="00184DA6" w:rsidRPr="00CA7F68" w:rsidRDefault="00184DA6" w:rsidP="00184DA6">
            <w:pPr>
              <w:spacing w:before="100" w:beforeAutospacing="1" w:after="100" w:afterAutospacing="1"/>
            </w:pPr>
            <w:r w:rsidRPr="00CA7F68">
              <w:t>Komisijas 2012.gada 28. marta Īstenošanas regula (ES) Nr. 282/2012, ar ko nosaka kopējus sīki izstrādātus noteikumus garantijas ķīlu sistēmas piemērošanai lauksaimniecības produktiem (turpmāk – Komisijas regula Nr. 282/2012);</w:t>
            </w:r>
          </w:p>
          <w:p w:rsidR="00184DA6" w:rsidRPr="00CA7F68" w:rsidRDefault="00184DA6" w:rsidP="00184DA6">
            <w:pPr>
              <w:spacing w:before="100" w:beforeAutospacing="1" w:after="100" w:afterAutospacing="1"/>
              <w:rPr>
                <w:iCs/>
              </w:rPr>
            </w:pPr>
            <w:r w:rsidRPr="00CA7F68">
              <w:rPr>
                <w:iCs/>
              </w:rPr>
              <w:t>Komisijas 2008. gada 23. aprīļa Regula (EK) Nr. 376/2008, ar ko nosaka sīki izstrādātus kopējus noteikumus, kas jāievēro, piemērojot importa un eksporta licenču un iepriekš noteiktas kompensācijas sertifikātu sistēmu lauksaimniecības produktiem (Kodificēta versija) (turpmāk – Komisijas regula Nr. 376/2008);</w:t>
            </w:r>
          </w:p>
          <w:p w:rsidR="00184DA6" w:rsidRPr="00CA7F68" w:rsidRDefault="00184DA6" w:rsidP="00184DA6">
            <w:pPr>
              <w:spacing w:before="100" w:beforeAutospacing="1" w:after="100" w:afterAutospacing="1"/>
              <w:rPr>
                <w:iCs/>
              </w:rPr>
            </w:pPr>
            <w:r w:rsidRPr="00CA7F68">
              <w:rPr>
                <w:iCs/>
              </w:rPr>
              <w:t>Komisijas 2010. gada 29. jūnija Regula (ES) Nr. 578/2010, ar ko īsteno Padomes Regulu (EK) Nr. 1216/2009 attiecībā uz eksporta kompensāciju piešķiršanu un kritērijiem šādu kompensāciju apjoma noteikšanai dažiem lauksaimniecības produktiem, kurus eksportē tādu preču veidā, kas nav ietvertas Līguma I pielikumā (turpmāk – Komisijas regula Nr. 578/2010).</w:t>
            </w:r>
          </w:p>
          <w:p w:rsidR="005E2BC0" w:rsidRPr="00CA7F68" w:rsidRDefault="005E2BC0" w:rsidP="005E2BC0">
            <w:pPr>
              <w:spacing w:before="100" w:beforeAutospacing="1" w:after="100" w:afterAutospacing="1"/>
              <w:rPr>
                <w:iCs/>
              </w:rPr>
            </w:pPr>
            <w:r w:rsidRPr="00CA7F68">
              <w:rPr>
                <w:iCs/>
              </w:rPr>
              <w:t xml:space="preserve">Komisijas 2006. gada 20. decembra Regula (EK) Nr. 1913/2006, ar ko nosaka sīki izstrādātus noteikumus </w:t>
            </w:r>
            <w:proofErr w:type="spellStart"/>
            <w:r w:rsidRPr="00CA7F68">
              <w:rPr>
                <w:iCs/>
              </w:rPr>
              <w:t>euro</w:t>
            </w:r>
            <w:proofErr w:type="spellEnd"/>
            <w:r w:rsidRPr="00CA7F68">
              <w:rPr>
                <w:iCs/>
              </w:rPr>
              <w:t xml:space="preserve"> </w:t>
            </w:r>
            <w:proofErr w:type="spellStart"/>
            <w:r w:rsidRPr="00CA7F68">
              <w:rPr>
                <w:iCs/>
              </w:rPr>
              <w:t>agromonetārā</w:t>
            </w:r>
            <w:proofErr w:type="spellEnd"/>
            <w:r w:rsidRPr="00CA7F68">
              <w:rPr>
                <w:iCs/>
              </w:rPr>
              <w:t xml:space="preserve"> režīma piemērošanai lauksaimniecībā un groza vairākas regulas (turpmāk – Komisijas regula Nr. 1913/2006)</w:t>
            </w:r>
          </w:p>
        </w:tc>
      </w:tr>
      <w:tr w:rsidR="00184DA6" w:rsidRPr="00CA7F68" w:rsidTr="0049325E">
        <w:trPr>
          <w:gridBefore w:val="1"/>
          <w:gridAfter w:val="1"/>
          <w:wBefore w:w="33" w:type="dxa"/>
          <w:wAfter w:w="9" w:type="dxa"/>
          <w:trHeight w:val="393"/>
          <w:jc w:val="center"/>
        </w:trPr>
        <w:tc>
          <w:tcPr>
            <w:tcW w:w="1160" w:type="dxa"/>
          </w:tcPr>
          <w:p w:rsidR="00184DA6" w:rsidRPr="00CA7F68" w:rsidRDefault="00184DA6" w:rsidP="00184DA6">
            <w:pPr>
              <w:spacing w:before="100" w:beforeAutospacing="1" w:after="100" w:afterAutospacing="1"/>
              <w:rPr>
                <w:iCs/>
              </w:rPr>
            </w:pPr>
            <w:r w:rsidRPr="00CA7F68">
              <w:rPr>
                <w:iCs/>
              </w:rPr>
              <w:t>2.</w:t>
            </w:r>
          </w:p>
        </w:tc>
        <w:tc>
          <w:tcPr>
            <w:tcW w:w="4213" w:type="dxa"/>
            <w:gridSpan w:val="4"/>
          </w:tcPr>
          <w:p w:rsidR="00184DA6" w:rsidRPr="00CA7F68" w:rsidRDefault="00184DA6" w:rsidP="00184DA6">
            <w:pPr>
              <w:spacing w:before="100" w:beforeAutospacing="1" w:after="100" w:afterAutospacing="1"/>
              <w:rPr>
                <w:iCs/>
              </w:rPr>
            </w:pPr>
            <w:r w:rsidRPr="00CA7F68">
              <w:t>Citas starptautiskās saistības</w:t>
            </w:r>
          </w:p>
        </w:tc>
        <w:tc>
          <w:tcPr>
            <w:tcW w:w="4286" w:type="dxa"/>
            <w:gridSpan w:val="3"/>
          </w:tcPr>
          <w:p w:rsidR="00184DA6" w:rsidRPr="00CA7F68" w:rsidRDefault="00B16C5F" w:rsidP="00B16C5F">
            <w:pPr>
              <w:spacing w:before="100" w:beforeAutospacing="1" w:after="100" w:afterAutospacing="1"/>
              <w:rPr>
                <w:iCs/>
              </w:rPr>
            </w:pPr>
            <w:r w:rsidRPr="00CA7F68">
              <w:rPr>
                <w:iCs/>
              </w:rPr>
              <w:t>Projekts šo jomu neskar.</w:t>
            </w:r>
          </w:p>
        </w:tc>
      </w:tr>
      <w:tr w:rsidR="00184DA6" w:rsidRPr="00CA7F68" w:rsidTr="0049325E">
        <w:trPr>
          <w:gridBefore w:val="1"/>
          <w:gridAfter w:val="1"/>
          <w:wBefore w:w="33" w:type="dxa"/>
          <w:wAfter w:w="9" w:type="dxa"/>
          <w:trHeight w:val="413"/>
          <w:jc w:val="center"/>
        </w:trPr>
        <w:tc>
          <w:tcPr>
            <w:tcW w:w="1160" w:type="dxa"/>
          </w:tcPr>
          <w:p w:rsidR="00184DA6" w:rsidRPr="00CA7F68" w:rsidRDefault="00184DA6" w:rsidP="00184DA6">
            <w:pPr>
              <w:spacing w:before="100" w:beforeAutospacing="1" w:after="100" w:afterAutospacing="1"/>
              <w:rPr>
                <w:iCs/>
              </w:rPr>
            </w:pPr>
            <w:r w:rsidRPr="00CA7F68">
              <w:rPr>
                <w:iCs/>
              </w:rPr>
              <w:t>3.</w:t>
            </w:r>
          </w:p>
        </w:tc>
        <w:tc>
          <w:tcPr>
            <w:tcW w:w="4213" w:type="dxa"/>
            <w:gridSpan w:val="4"/>
          </w:tcPr>
          <w:p w:rsidR="00184DA6" w:rsidRPr="00CA7F68" w:rsidRDefault="00184DA6" w:rsidP="00184DA6">
            <w:pPr>
              <w:spacing w:before="100" w:beforeAutospacing="1" w:after="100" w:afterAutospacing="1"/>
            </w:pPr>
            <w:r w:rsidRPr="00CA7F68">
              <w:t>Cita informācija</w:t>
            </w:r>
          </w:p>
        </w:tc>
        <w:tc>
          <w:tcPr>
            <w:tcW w:w="4286" w:type="dxa"/>
            <w:gridSpan w:val="3"/>
          </w:tcPr>
          <w:p w:rsidR="00184DA6" w:rsidRPr="00CA7F68" w:rsidRDefault="00184DA6" w:rsidP="00184DA6">
            <w:pPr>
              <w:spacing w:before="100" w:beforeAutospacing="1" w:after="100" w:afterAutospacing="1"/>
            </w:pPr>
            <w:r w:rsidRPr="00CA7F68">
              <w:t>Nav</w:t>
            </w:r>
          </w:p>
        </w:tc>
      </w:tr>
      <w:tr w:rsidR="00184DA6" w:rsidRPr="00CA7F68" w:rsidTr="005E2BC0">
        <w:tblPrEx>
          <w:tblCellMar>
            <w:top w:w="28" w:type="dxa"/>
            <w:left w:w="28" w:type="dxa"/>
            <w:bottom w:w="28" w:type="dxa"/>
            <w:right w:w="28" w:type="dxa"/>
          </w:tblCellMar>
          <w:tblLook w:val="0000"/>
        </w:tblPrEx>
        <w:trPr>
          <w:gridBefore w:val="1"/>
          <w:gridAfter w:val="1"/>
          <w:wBefore w:w="33" w:type="dxa"/>
          <w:wAfter w:w="9" w:type="dxa"/>
          <w:trHeight w:val="523"/>
          <w:jc w:val="center"/>
        </w:trPr>
        <w:tc>
          <w:tcPr>
            <w:tcW w:w="9659" w:type="dxa"/>
            <w:gridSpan w:val="8"/>
            <w:vAlign w:val="center"/>
          </w:tcPr>
          <w:p w:rsidR="00184DA6" w:rsidRPr="00CA7F68" w:rsidRDefault="00184DA6" w:rsidP="00184DA6">
            <w:pPr>
              <w:spacing w:before="100" w:beforeAutospacing="1" w:after="100" w:afterAutospacing="1"/>
              <w:rPr>
                <w:b/>
                <w:bCs/>
              </w:rPr>
            </w:pPr>
            <w:r w:rsidRPr="00CA7F68">
              <w:rPr>
                <w:b/>
                <w:bCs/>
              </w:rPr>
              <w:t xml:space="preserve">1.tabula </w:t>
            </w:r>
          </w:p>
          <w:p w:rsidR="00184DA6" w:rsidRPr="00CA7F68" w:rsidRDefault="00184DA6" w:rsidP="00184DA6">
            <w:pPr>
              <w:spacing w:before="100" w:beforeAutospacing="1" w:after="100" w:afterAutospacing="1"/>
              <w:rPr>
                <w:b/>
                <w:bCs/>
                <w:i/>
              </w:rPr>
            </w:pPr>
            <w:r w:rsidRPr="00CA7F68">
              <w:rPr>
                <w:b/>
                <w:bCs/>
              </w:rPr>
              <w:t>Tiesību akta projekta atbilstība ES tiesību aktiem</w:t>
            </w:r>
          </w:p>
        </w:tc>
      </w:tr>
      <w:tr w:rsidR="00184DA6" w:rsidRPr="00CA7F68" w:rsidTr="0049325E">
        <w:tblPrEx>
          <w:tblCellMar>
            <w:top w:w="28" w:type="dxa"/>
            <w:left w:w="28" w:type="dxa"/>
            <w:bottom w:w="28" w:type="dxa"/>
            <w:right w:w="28" w:type="dxa"/>
          </w:tblCellMar>
          <w:tblLook w:val="0000"/>
        </w:tblPrEx>
        <w:trPr>
          <w:gridBefore w:val="1"/>
          <w:gridAfter w:val="1"/>
          <w:wBefore w:w="33" w:type="dxa"/>
          <w:wAfter w:w="9" w:type="dxa"/>
          <w:trHeight w:val="382"/>
          <w:jc w:val="center"/>
        </w:trPr>
        <w:tc>
          <w:tcPr>
            <w:tcW w:w="2246" w:type="dxa"/>
            <w:gridSpan w:val="2"/>
            <w:vAlign w:val="center"/>
          </w:tcPr>
          <w:p w:rsidR="00184DA6" w:rsidRPr="00CA7F68" w:rsidRDefault="00184DA6" w:rsidP="00184DA6">
            <w:pPr>
              <w:spacing w:before="100" w:beforeAutospacing="1" w:after="100" w:afterAutospacing="1"/>
            </w:pPr>
            <w:r w:rsidRPr="00CA7F68">
              <w:t>Attiecīgā ES tiesību akta datums, numurs un nosaukums</w:t>
            </w:r>
          </w:p>
        </w:tc>
        <w:tc>
          <w:tcPr>
            <w:tcW w:w="7413" w:type="dxa"/>
            <w:gridSpan w:val="6"/>
            <w:vAlign w:val="center"/>
          </w:tcPr>
          <w:p w:rsidR="00184DA6" w:rsidRPr="00CA7F68" w:rsidRDefault="00184DA6" w:rsidP="0049325E">
            <w:r w:rsidRPr="00CA7F68">
              <w:t>Komisijas regula Nr. 282/2012;</w:t>
            </w:r>
          </w:p>
          <w:p w:rsidR="00184DA6" w:rsidRPr="00CA7F68" w:rsidRDefault="00184DA6" w:rsidP="0049325E">
            <w:pPr>
              <w:rPr>
                <w:iCs/>
              </w:rPr>
            </w:pPr>
            <w:r w:rsidRPr="00CA7F68">
              <w:rPr>
                <w:iCs/>
              </w:rPr>
              <w:t>Komisijas regula Nr. 376/2008;</w:t>
            </w:r>
          </w:p>
          <w:p w:rsidR="005E2BC0" w:rsidRPr="00CA7F68" w:rsidRDefault="00184DA6" w:rsidP="0049325E">
            <w:pPr>
              <w:rPr>
                <w:iCs/>
              </w:rPr>
            </w:pPr>
            <w:r w:rsidRPr="00CA7F68">
              <w:rPr>
                <w:iCs/>
              </w:rPr>
              <w:t>Komisijas regula Nr. 578/2010</w:t>
            </w:r>
            <w:r w:rsidR="005E2BC0" w:rsidRPr="00CA7F68">
              <w:rPr>
                <w:iCs/>
              </w:rPr>
              <w:t>;</w:t>
            </w:r>
          </w:p>
          <w:p w:rsidR="00184DA6" w:rsidRPr="00CA7F68" w:rsidRDefault="005E2BC0" w:rsidP="0049325E">
            <w:r w:rsidRPr="00CA7F68">
              <w:rPr>
                <w:iCs/>
              </w:rPr>
              <w:t>Komisijas regula Nr. 1913/2006</w:t>
            </w:r>
            <w:r w:rsidR="00184DA6" w:rsidRPr="00CA7F68">
              <w:rPr>
                <w:iCs/>
              </w:rPr>
              <w:t>.</w:t>
            </w:r>
          </w:p>
        </w:tc>
      </w:tr>
      <w:tr w:rsidR="00184DA6" w:rsidRPr="00CA7F68" w:rsidTr="005E2BC0">
        <w:tblPrEx>
          <w:tblCellMar>
            <w:top w:w="28" w:type="dxa"/>
            <w:left w:w="28" w:type="dxa"/>
            <w:bottom w:w="28" w:type="dxa"/>
            <w:right w:w="28" w:type="dxa"/>
          </w:tblCellMar>
          <w:tblLook w:val="0000"/>
        </w:tblPrEx>
        <w:trPr>
          <w:gridBefore w:val="1"/>
          <w:gridAfter w:val="1"/>
          <w:wBefore w:w="33" w:type="dxa"/>
          <w:wAfter w:w="9" w:type="dxa"/>
          <w:trHeight w:val="163"/>
          <w:jc w:val="center"/>
        </w:trPr>
        <w:tc>
          <w:tcPr>
            <w:tcW w:w="9659" w:type="dxa"/>
            <w:gridSpan w:val="8"/>
            <w:vAlign w:val="center"/>
          </w:tcPr>
          <w:p w:rsidR="00184DA6" w:rsidRPr="00CA7F68" w:rsidRDefault="00184DA6" w:rsidP="00184DA6">
            <w:pPr>
              <w:spacing w:before="100" w:beforeAutospacing="1" w:after="100" w:afterAutospacing="1"/>
              <w:rPr>
                <w:i/>
              </w:rPr>
            </w:pPr>
          </w:p>
        </w:tc>
      </w:tr>
      <w:tr w:rsidR="00184DA6" w:rsidRPr="00CA7F68" w:rsidTr="005E2BC0">
        <w:tblPrEx>
          <w:tblCellMar>
            <w:top w:w="28" w:type="dxa"/>
            <w:left w:w="28" w:type="dxa"/>
            <w:bottom w:w="28" w:type="dxa"/>
            <w:right w:w="28" w:type="dxa"/>
          </w:tblCellMar>
          <w:tblLook w:val="0000"/>
        </w:tblPrEx>
        <w:trPr>
          <w:gridBefore w:val="1"/>
          <w:gridAfter w:val="1"/>
          <w:wBefore w:w="33" w:type="dxa"/>
          <w:wAfter w:w="9" w:type="dxa"/>
          <w:trHeight w:val="165"/>
          <w:jc w:val="center"/>
        </w:trPr>
        <w:tc>
          <w:tcPr>
            <w:tcW w:w="2246" w:type="dxa"/>
            <w:gridSpan w:val="2"/>
            <w:vAlign w:val="center"/>
          </w:tcPr>
          <w:p w:rsidR="00184DA6" w:rsidRPr="00CA7F68" w:rsidRDefault="00184DA6" w:rsidP="00184DA6">
            <w:pPr>
              <w:spacing w:before="100" w:beforeAutospacing="1" w:after="100" w:afterAutospacing="1"/>
            </w:pPr>
            <w:r w:rsidRPr="00CA7F68">
              <w:t>A</w:t>
            </w:r>
          </w:p>
        </w:tc>
        <w:tc>
          <w:tcPr>
            <w:tcW w:w="1798" w:type="dxa"/>
            <w:gridSpan w:val="2"/>
            <w:vAlign w:val="center"/>
          </w:tcPr>
          <w:p w:rsidR="00184DA6" w:rsidRPr="00CA7F68" w:rsidRDefault="00184DA6" w:rsidP="00184DA6">
            <w:pPr>
              <w:spacing w:before="100" w:beforeAutospacing="1" w:after="100" w:afterAutospacing="1"/>
            </w:pPr>
            <w:r w:rsidRPr="00CA7F68">
              <w:t>B</w:t>
            </w:r>
          </w:p>
        </w:tc>
        <w:tc>
          <w:tcPr>
            <w:tcW w:w="3281" w:type="dxa"/>
            <w:gridSpan w:val="3"/>
            <w:vAlign w:val="center"/>
          </w:tcPr>
          <w:p w:rsidR="00184DA6" w:rsidRPr="00CA7F68" w:rsidRDefault="00184DA6" w:rsidP="00184DA6">
            <w:pPr>
              <w:spacing w:before="100" w:beforeAutospacing="1" w:after="100" w:afterAutospacing="1"/>
            </w:pPr>
            <w:r w:rsidRPr="00CA7F68">
              <w:t>C</w:t>
            </w:r>
          </w:p>
        </w:tc>
        <w:tc>
          <w:tcPr>
            <w:tcW w:w="2334" w:type="dxa"/>
            <w:vAlign w:val="center"/>
          </w:tcPr>
          <w:p w:rsidR="00184DA6" w:rsidRPr="00CA7F68" w:rsidRDefault="00184DA6" w:rsidP="00184DA6">
            <w:pPr>
              <w:spacing w:before="100" w:beforeAutospacing="1" w:after="100" w:afterAutospacing="1"/>
            </w:pPr>
            <w:r w:rsidRPr="00CA7F68">
              <w:t>D</w:t>
            </w:r>
          </w:p>
        </w:tc>
      </w:tr>
      <w:tr w:rsidR="00184DA6" w:rsidRPr="00CA7F68" w:rsidTr="0049325E">
        <w:tblPrEx>
          <w:tblCellMar>
            <w:top w:w="28" w:type="dxa"/>
            <w:left w:w="28" w:type="dxa"/>
            <w:bottom w:w="28" w:type="dxa"/>
            <w:right w:w="28" w:type="dxa"/>
          </w:tblCellMar>
          <w:tblLook w:val="0000"/>
        </w:tblPrEx>
        <w:trPr>
          <w:gridBefore w:val="1"/>
          <w:gridAfter w:val="1"/>
          <w:wBefore w:w="33" w:type="dxa"/>
          <w:wAfter w:w="9" w:type="dxa"/>
          <w:trHeight w:val="2224"/>
          <w:jc w:val="center"/>
        </w:trPr>
        <w:tc>
          <w:tcPr>
            <w:tcW w:w="2246" w:type="dxa"/>
            <w:gridSpan w:val="2"/>
          </w:tcPr>
          <w:p w:rsidR="00184DA6" w:rsidRPr="00CA7F68" w:rsidRDefault="00184DA6" w:rsidP="00184DA6">
            <w:pPr>
              <w:spacing w:before="100" w:beforeAutospacing="1" w:after="100" w:afterAutospacing="1"/>
            </w:pPr>
            <w:r w:rsidRPr="00CA7F68">
              <w:t xml:space="preserve">Attiecīgā ES tiesību akta panta numurs (uzskaitot katru tiesību akta </w:t>
            </w:r>
            <w:r w:rsidRPr="00CA7F68">
              <w:br/>
              <w:t>vienību – pantu, daļu, punktu, apakšpunktu)</w:t>
            </w:r>
          </w:p>
        </w:tc>
        <w:tc>
          <w:tcPr>
            <w:tcW w:w="1798" w:type="dxa"/>
            <w:gridSpan w:val="2"/>
          </w:tcPr>
          <w:p w:rsidR="00184DA6" w:rsidRPr="00CA7F68" w:rsidRDefault="00184DA6" w:rsidP="00184DA6">
            <w:pPr>
              <w:spacing w:before="100" w:beforeAutospacing="1" w:after="100" w:afterAutospacing="1"/>
            </w:pPr>
            <w:r w:rsidRPr="00CA7F68">
              <w:t>Projekta vienība, kas pārņem vai ievieš katru šīs tabulas A ailē minēto ES tiesību akta vienību</w:t>
            </w:r>
          </w:p>
        </w:tc>
        <w:tc>
          <w:tcPr>
            <w:tcW w:w="3281" w:type="dxa"/>
            <w:gridSpan w:val="3"/>
          </w:tcPr>
          <w:p w:rsidR="00184DA6" w:rsidRPr="00CA7F68" w:rsidRDefault="00184DA6" w:rsidP="00184DA6">
            <w:pPr>
              <w:spacing w:before="100" w:beforeAutospacing="1" w:after="100" w:afterAutospacing="1"/>
            </w:pPr>
            <w:r w:rsidRPr="00CA7F68">
              <w:t>Informācija par to, vai šīs tabulas A ailē minētās ES tiesību akta vienības tiek pārņemtas vai ieviestas pilnībā vai daļēji.</w:t>
            </w:r>
          </w:p>
          <w:p w:rsidR="00184DA6" w:rsidRPr="00CA7F68" w:rsidRDefault="00184DA6" w:rsidP="00184DA6">
            <w:pPr>
              <w:spacing w:before="100" w:beforeAutospacing="1" w:after="100" w:afterAutospacing="1"/>
            </w:pPr>
          </w:p>
          <w:p w:rsidR="00184DA6" w:rsidRPr="00CA7F68" w:rsidRDefault="00184DA6" w:rsidP="00184DA6">
            <w:pPr>
              <w:spacing w:before="100" w:beforeAutospacing="1" w:after="100" w:afterAutospacing="1"/>
            </w:pPr>
            <w:r w:rsidRPr="00CA7F68">
              <w:t>Ja attiecīgā ES tiesību akta vienība tiek pārņemta vai ieviesta daļēji, – sniedz attiecīgu skaidrojumu, kā arī precīzi norāda, kad un kādā veidā ES tiesību akta vienība tiks pārņemta vai ieviesta pilnībā.</w:t>
            </w:r>
          </w:p>
          <w:p w:rsidR="00184DA6" w:rsidRPr="00CA7F68" w:rsidRDefault="00184DA6" w:rsidP="00184DA6">
            <w:pPr>
              <w:spacing w:before="100" w:beforeAutospacing="1" w:after="100" w:afterAutospacing="1"/>
            </w:pPr>
          </w:p>
          <w:p w:rsidR="00184DA6" w:rsidRPr="00CA7F68" w:rsidRDefault="00184DA6" w:rsidP="00184DA6">
            <w:pPr>
              <w:spacing w:before="100" w:beforeAutospacing="1" w:after="100" w:afterAutospacing="1"/>
            </w:pPr>
            <w:r w:rsidRPr="00CA7F68">
              <w:t>Norāda institūciju, kas ir atbildīga par šo saistību izpildi pilnībā</w:t>
            </w:r>
          </w:p>
        </w:tc>
        <w:tc>
          <w:tcPr>
            <w:tcW w:w="2334" w:type="dxa"/>
          </w:tcPr>
          <w:p w:rsidR="00184DA6" w:rsidRPr="00CA7F68" w:rsidRDefault="00184DA6" w:rsidP="00184DA6">
            <w:pPr>
              <w:spacing w:before="100" w:beforeAutospacing="1" w:after="100" w:afterAutospacing="1"/>
            </w:pPr>
            <w:r w:rsidRPr="00CA7F68">
              <w:t>Informācija par to, vai šīs tabulas B ailē minētās projekta vienības paredz stingrākas prasības nekā šīs tabulas A ailē minētās ES tiesību akta vienības.</w:t>
            </w:r>
          </w:p>
          <w:p w:rsidR="00184DA6" w:rsidRPr="00CA7F68" w:rsidRDefault="00184DA6" w:rsidP="00184DA6">
            <w:pPr>
              <w:spacing w:before="100" w:beforeAutospacing="1" w:after="100" w:afterAutospacing="1"/>
            </w:pPr>
          </w:p>
          <w:p w:rsidR="00184DA6" w:rsidRPr="00CA7F68" w:rsidRDefault="00184DA6" w:rsidP="00184DA6">
            <w:pPr>
              <w:spacing w:before="100" w:beforeAutospacing="1" w:after="100" w:afterAutospacing="1"/>
            </w:pPr>
            <w:r w:rsidRPr="00CA7F68">
              <w:t xml:space="preserve">Ja projekts satur stingrākas prasības nekā attiecīgais ES tiesību </w:t>
            </w:r>
            <w:smartTag w:uri="schemas-tilde-lv/tildestengine" w:element="veidnes">
              <w:smartTagPr>
                <w:attr w:name="text" w:val="akts"/>
                <w:attr w:name="baseform" w:val="akts"/>
                <w:attr w:name="id" w:val="-1"/>
              </w:smartTagPr>
              <w:r w:rsidRPr="00CA7F68">
                <w:t>akts</w:t>
              </w:r>
            </w:smartTag>
            <w:r w:rsidRPr="00CA7F68">
              <w:t>, – norāda pamatojumu un samērīgumu.</w:t>
            </w:r>
          </w:p>
          <w:p w:rsidR="00184DA6" w:rsidRPr="00CA7F68" w:rsidRDefault="00184DA6" w:rsidP="00184DA6">
            <w:pPr>
              <w:spacing w:before="100" w:beforeAutospacing="1" w:after="100" w:afterAutospacing="1"/>
            </w:pPr>
          </w:p>
          <w:p w:rsidR="00184DA6" w:rsidRPr="00CA7F68" w:rsidRDefault="00184DA6" w:rsidP="00184DA6">
            <w:pPr>
              <w:spacing w:before="100" w:beforeAutospacing="1" w:after="100" w:afterAutospacing="1"/>
            </w:pPr>
            <w:r w:rsidRPr="00CA7F68">
              <w:t>Norāda iespējamās alternatīvas (t.sk. alternatīvas, kas neparedz tiesiskā regulējuma izstrādi) – kādos gadījumos būtu iespējams izvairīties no stingrāku prasību noteikšanas, nekā paredzēts attiecīgajos ES tiesību aktos</w:t>
            </w:r>
          </w:p>
        </w:tc>
      </w:tr>
      <w:tr w:rsidR="005E2BC0" w:rsidRPr="00CA7F68" w:rsidTr="0049325E">
        <w:tblPrEx>
          <w:tblCellMar>
            <w:top w:w="28" w:type="dxa"/>
            <w:left w:w="28" w:type="dxa"/>
            <w:bottom w:w="28" w:type="dxa"/>
            <w:right w:w="28" w:type="dxa"/>
          </w:tblCellMar>
          <w:tblLook w:val="0000"/>
        </w:tblPrEx>
        <w:trPr>
          <w:gridBefore w:val="1"/>
          <w:gridAfter w:val="1"/>
          <w:wBefore w:w="33" w:type="dxa"/>
          <w:wAfter w:w="9" w:type="dxa"/>
          <w:trHeight w:val="1757"/>
          <w:jc w:val="center"/>
        </w:trPr>
        <w:tc>
          <w:tcPr>
            <w:tcW w:w="2246" w:type="dxa"/>
            <w:gridSpan w:val="2"/>
          </w:tcPr>
          <w:p w:rsidR="005E2BC0" w:rsidRPr="00CA7F68" w:rsidRDefault="005E2BC0" w:rsidP="005E2BC0">
            <w:r w:rsidRPr="00CA7F68">
              <w:t>Regulas Nr. 282/2012 7.pants</w:t>
            </w:r>
          </w:p>
        </w:tc>
        <w:tc>
          <w:tcPr>
            <w:tcW w:w="1798" w:type="dxa"/>
            <w:gridSpan w:val="2"/>
          </w:tcPr>
          <w:p w:rsidR="005E2BC0" w:rsidRPr="00CA7F68" w:rsidRDefault="005E2BC0" w:rsidP="00892BC4">
            <w:r w:rsidRPr="00CA7F68">
              <w:t>3.punkts</w:t>
            </w:r>
          </w:p>
        </w:tc>
        <w:tc>
          <w:tcPr>
            <w:tcW w:w="3281" w:type="dxa"/>
            <w:gridSpan w:val="3"/>
          </w:tcPr>
          <w:p w:rsidR="005E2BC0" w:rsidRPr="00CA7F68" w:rsidRDefault="005E2BC0" w:rsidP="00892BC4">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892BC4">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49325E">
        <w:tblPrEx>
          <w:tblCellMar>
            <w:top w:w="28" w:type="dxa"/>
            <w:left w:w="28" w:type="dxa"/>
            <w:bottom w:w="28" w:type="dxa"/>
            <w:right w:w="28" w:type="dxa"/>
          </w:tblCellMar>
          <w:tblLook w:val="0000"/>
        </w:tblPrEx>
        <w:trPr>
          <w:gridBefore w:val="1"/>
          <w:gridAfter w:val="1"/>
          <w:wBefore w:w="33" w:type="dxa"/>
          <w:wAfter w:w="9" w:type="dxa"/>
          <w:trHeight w:val="1768"/>
          <w:jc w:val="center"/>
        </w:trPr>
        <w:tc>
          <w:tcPr>
            <w:tcW w:w="2246" w:type="dxa"/>
            <w:gridSpan w:val="2"/>
          </w:tcPr>
          <w:p w:rsidR="005E2BC0" w:rsidRPr="00CA7F68" w:rsidRDefault="005E2BC0" w:rsidP="00C31D2F">
            <w:r w:rsidRPr="00CA7F68">
              <w:t>Regulas Nr. 282/2012 6.pants</w:t>
            </w:r>
          </w:p>
        </w:tc>
        <w:tc>
          <w:tcPr>
            <w:tcW w:w="1798" w:type="dxa"/>
            <w:gridSpan w:val="2"/>
          </w:tcPr>
          <w:p w:rsidR="005E2BC0" w:rsidRPr="00CA7F68" w:rsidRDefault="005E2BC0" w:rsidP="00C31D2F">
            <w:r w:rsidRPr="00CA7F68">
              <w:t>4.punkts</w:t>
            </w:r>
          </w:p>
        </w:tc>
        <w:tc>
          <w:tcPr>
            <w:tcW w:w="3281" w:type="dxa"/>
            <w:gridSpan w:val="3"/>
          </w:tcPr>
          <w:p w:rsidR="005E2BC0" w:rsidRPr="00CA7F68" w:rsidRDefault="005E2BC0" w:rsidP="00C31D2F">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C31D2F">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49325E">
        <w:tblPrEx>
          <w:tblCellMar>
            <w:top w:w="28" w:type="dxa"/>
            <w:left w:w="28" w:type="dxa"/>
            <w:bottom w:w="28" w:type="dxa"/>
            <w:right w:w="28" w:type="dxa"/>
          </w:tblCellMar>
          <w:tblLook w:val="0000"/>
        </w:tblPrEx>
        <w:trPr>
          <w:gridBefore w:val="1"/>
          <w:gridAfter w:val="1"/>
          <w:wBefore w:w="33" w:type="dxa"/>
          <w:wAfter w:w="9" w:type="dxa"/>
          <w:trHeight w:val="1657"/>
          <w:jc w:val="center"/>
        </w:trPr>
        <w:tc>
          <w:tcPr>
            <w:tcW w:w="2246" w:type="dxa"/>
            <w:gridSpan w:val="2"/>
          </w:tcPr>
          <w:p w:rsidR="005E2BC0" w:rsidRPr="00CA7F68" w:rsidRDefault="005E2BC0" w:rsidP="005E2BC0">
            <w:r w:rsidRPr="00CA7F68">
              <w:t>Regulas Nr. 282/2012 5.panta 1.punkts</w:t>
            </w:r>
          </w:p>
        </w:tc>
        <w:tc>
          <w:tcPr>
            <w:tcW w:w="1798" w:type="dxa"/>
            <w:gridSpan w:val="2"/>
          </w:tcPr>
          <w:p w:rsidR="005E2BC0" w:rsidRPr="00CA7F68" w:rsidRDefault="005E2BC0" w:rsidP="00C31D2F">
            <w:r w:rsidRPr="00CA7F68">
              <w:t>5.punkts</w:t>
            </w:r>
          </w:p>
        </w:tc>
        <w:tc>
          <w:tcPr>
            <w:tcW w:w="3281" w:type="dxa"/>
            <w:gridSpan w:val="3"/>
          </w:tcPr>
          <w:p w:rsidR="005E2BC0" w:rsidRPr="00CA7F68" w:rsidRDefault="005E2BC0" w:rsidP="0049325E">
            <w:pPr>
              <w:rPr>
                <w:iCs/>
              </w:rPr>
            </w:pPr>
            <w:r w:rsidRPr="00CA7F68">
              <w:t>A ailē minētais ES tiesību akts attiecībā uz projekta jomu tiek ieviests pilnībā.</w:t>
            </w:r>
          </w:p>
        </w:tc>
        <w:tc>
          <w:tcPr>
            <w:tcW w:w="2334" w:type="dxa"/>
          </w:tcPr>
          <w:p w:rsidR="005E2BC0" w:rsidRPr="00CA7F68" w:rsidRDefault="005E2BC0" w:rsidP="00184DA6">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49325E">
        <w:tblPrEx>
          <w:tblCellMar>
            <w:top w:w="28" w:type="dxa"/>
            <w:left w:w="28" w:type="dxa"/>
            <w:bottom w:w="28" w:type="dxa"/>
            <w:right w:w="28" w:type="dxa"/>
          </w:tblCellMar>
          <w:tblLook w:val="0000"/>
        </w:tblPrEx>
        <w:trPr>
          <w:gridBefore w:val="1"/>
          <w:gridAfter w:val="1"/>
          <w:wBefore w:w="33" w:type="dxa"/>
          <w:wAfter w:w="9" w:type="dxa"/>
          <w:trHeight w:val="1782"/>
          <w:jc w:val="center"/>
        </w:trPr>
        <w:tc>
          <w:tcPr>
            <w:tcW w:w="2246" w:type="dxa"/>
            <w:gridSpan w:val="2"/>
          </w:tcPr>
          <w:p w:rsidR="005E2BC0" w:rsidRPr="00CA7F68" w:rsidRDefault="005E2BC0" w:rsidP="00C31D2F">
            <w:r w:rsidRPr="00CA7F68">
              <w:rPr>
                <w:iCs/>
              </w:rPr>
              <w:t>Komisijas regula Nr. 376/2008</w:t>
            </w:r>
            <w:r w:rsidRPr="00CA7F68">
              <w:t xml:space="preserve"> 34.pants un </w:t>
            </w:r>
          </w:p>
          <w:p w:rsidR="005E2BC0" w:rsidRPr="00CA7F68" w:rsidRDefault="005E2BC0" w:rsidP="00184DA6">
            <w:r w:rsidRPr="00CA7F68">
              <w:rPr>
                <w:iCs/>
              </w:rPr>
              <w:t>Komisijas regulas Nr. 578/2010</w:t>
            </w:r>
            <w:r w:rsidRPr="00CA7F68">
              <w:t xml:space="preserve"> 40.panta 3. un 4.punkts</w:t>
            </w:r>
          </w:p>
        </w:tc>
        <w:tc>
          <w:tcPr>
            <w:tcW w:w="1798" w:type="dxa"/>
            <w:gridSpan w:val="2"/>
          </w:tcPr>
          <w:p w:rsidR="005E2BC0" w:rsidRPr="00CA7F68" w:rsidRDefault="005E2BC0" w:rsidP="00C31D2F">
            <w:r w:rsidRPr="00CA7F68">
              <w:t>6.punkts</w:t>
            </w:r>
          </w:p>
        </w:tc>
        <w:tc>
          <w:tcPr>
            <w:tcW w:w="3281" w:type="dxa"/>
            <w:gridSpan w:val="3"/>
          </w:tcPr>
          <w:p w:rsidR="005E2BC0" w:rsidRPr="00CA7F68" w:rsidRDefault="005E2BC0" w:rsidP="00184DA6">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184DA6">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1035"/>
          <w:jc w:val="center"/>
        </w:trPr>
        <w:tc>
          <w:tcPr>
            <w:tcW w:w="2246" w:type="dxa"/>
            <w:gridSpan w:val="2"/>
          </w:tcPr>
          <w:p w:rsidR="005E2BC0" w:rsidRPr="00CA7F68" w:rsidRDefault="005E2BC0" w:rsidP="00184DA6">
            <w:r w:rsidRPr="00CA7F68">
              <w:t>Regulas Nr. 282/2012 26.panta 1. un 2.punkts</w:t>
            </w:r>
          </w:p>
        </w:tc>
        <w:tc>
          <w:tcPr>
            <w:tcW w:w="1798" w:type="dxa"/>
            <w:gridSpan w:val="2"/>
          </w:tcPr>
          <w:p w:rsidR="005E2BC0" w:rsidRPr="00CA7F68" w:rsidRDefault="005E2BC0" w:rsidP="00C31D2F">
            <w:r w:rsidRPr="00CA7F68">
              <w:t>7.punkts</w:t>
            </w:r>
          </w:p>
        </w:tc>
        <w:tc>
          <w:tcPr>
            <w:tcW w:w="3281" w:type="dxa"/>
            <w:gridSpan w:val="3"/>
          </w:tcPr>
          <w:p w:rsidR="005E2BC0" w:rsidRPr="00CA7F68" w:rsidRDefault="005E2BC0" w:rsidP="00184DA6">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184DA6">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t>Regulas Nr. 282/2012 28.panta 1.punkts</w:t>
            </w:r>
          </w:p>
        </w:tc>
        <w:tc>
          <w:tcPr>
            <w:tcW w:w="1798" w:type="dxa"/>
            <w:gridSpan w:val="2"/>
          </w:tcPr>
          <w:p w:rsidR="005E2BC0" w:rsidRPr="00CA7F68" w:rsidRDefault="005E2BC0" w:rsidP="00C31D2F">
            <w:r w:rsidRPr="00CA7F68">
              <w:t>8.punkts</w:t>
            </w:r>
          </w:p>
        </w:tc>
        <w:tc>
          <w:tcPr>
            <w:tcW w:w="3281" w:type="dxa"/>
            <w:gridSpan w:val="3"/>
          </w:tcPr>
          <w:p w:rsidR="005E2BC0" w:rsidRPr="00CA7F68" w:rsidRDefault="005E2BC0" w:rsidP="00184DA6">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184DA6">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t>Regulas Nr. 282/2012 28.panta 2.punkts</w:t>
            </w:r>
          </w:p>
        </w:tc>
        <w:tc>
          <w:tcPr>
            <w:tcW w:w="1798" w:type="dxa"/>
            <w:gridSpan w:val="2"/>
          </w:tcPr>
          <w:p w:rsidR="005E2BC0" w:rsidRPr="00CA7F68" w:rsidRDefault="005E2BC0" w:rsidP="00C31D2F">
            <w:r w:rsidRPr="00CA7F68">
              <w:t>9.punkts</w:t>
            </w:r>
          </w:p>
        </w:tc>
        <w:tc>
          <w:tcPr>
            <w:tcW w:w="3281" w:type="dxa"/>
            <w:gridSpan w:val="3"/>
          </w:tcPr>
          <w:p w:rsidR="005E2BC0" w:rsidRPr="00CA7F68" w:rsidRDefault="005E2BC0" w:rsidP="00C31D2F">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C31D2F">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rPr>
                <w:iCs/>
              </w:rPr>
              <w:t>Komisijas regula Nr. 1913/2006</w:t>
            </w:r>
          </w:p>
        </w:tc>
        <w:tc>
          <w:tcPr>
            <w:tcW w:w="1798" w:type="dxa"/>
            <w:gridSpan w:val="2"/>
          </w:tcPr>
          <w:p w:rsidR="005E2BC0" w:rsidRPr="00CA7F68" w:rsidRDefault="005E2BC0" w:rsidP="005E2BC0">
            <w:r w:rsidRPr="00CA7F68">
              <w:t>10.punkts</w:t>
            </w:r>
          </w:p>
        </w:tc>
        <w:tc>
          <w:tcPr>
            <w:tcW w:w="3281" w:type="dxa"/>
            <w:gridSpan w:val="3"/>
          </w:tcPr>
          <w:p w:rsidR="005E2BC0" w:rsidRPr="00CA7F68" w:rsidRDefault="005E2BC0" w:rsidP="00892BC4">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892BC4">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t>Regulas Nr. 282/2012 15.panta 1.punkts</w:t>
            </w:r>
          </w:p>
        </w:tc>
        <w:tc>
          <w:tcPr>
            <w:tcW w:w="1798" w:type="dxa"/>
            <w:gridSpan w:val="2"/>
          </w:tcPr>
          <w:p w:rsidR="005E2BC0" w:rsidRPr="00CA7F68" w:rsidRDefault="005E2BC0" w:rsidP="005E2BC0">
            <w:r w:rsidRPr="00CA7F68">
              <w:t>11.punkts</w:t>
            </w:r>
          </w:p>
        </w:tc>
        <w:tc>
          <w:tcPr>
            <w:tcW w:w="3281" w:type="dxa"/>
            <w:gridSpan w:val="3"/>
          </w:tcPr>
          <w:p w:rsidR="005E2BC0" w:rsidRPr="00CA7F68" w:rsidRDefault="005E2BC0" w:rsidP="00C31D2F">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C31D2F">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t>Regulas Nr. 282/2012 15.panta 1.punkts</w:t>
            </w:r>
          </w:p>
        </w:tc>
        <w:tc>
          <w:tcPr>
            <w:tcW w:w="1798" w:type="dxa"/>
            <w:gridSpan w:val="2"/>
          </w:tcPr>
          <w:p w:rsidR="005E2BC0" w:rsidRPr="00CA7F68" w:rsidRDefault="005E2BC0" w:rsidP="005E4D6D">
            <w:r w:rsidRPr="00CA7F68">
              <w:t>1</w:t>
            </w:r>
            <w:r w:rsidR="005E4D6D" w:rsidRPr="00CA7F68">
              <w:t>3</w:t>
            </w:r>
            <w:r w:rsidRPr="00CA7F68">
              <w:t>.punkts</w:t>
            </w:r>
          </w:p>
        </w:tc>
        <w:tc>
          <w:tcPr>
            <w:tcW w:w="3281" w:type="dxa"/>
            <w:gridSpan w:val="3"/>
          </w:tcPr>
          <w:p w:rsidR="005E2BC0" w:rsidRPr="00CA7F68" w:rsidRDefault="005E2BC0" w:rsidP="00C31D2F">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C31D2F">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345"/>
          <w:jc w:val="center"/>
        </w:trPr>
        <w:tc>
          <w:tcPr>
            <w:tcW w:w="2246" w:type="dxa"/>
            <w:gridSpan w:val="2"/>
          </w:tcPr>
          <w:p w:rsidR="005E2BC0" w:rsidRPr="00CA7F68" w:rsidRDefault="005E2BC0" w:rsidP="00184DA6">
            <w:r w:rsidRPr="00CA7F68">
              <w:t>Regulas Nr.</w:t>
            </w:r>
            <w:r w:rsidR="005E4D6D" w:rsidRPr="00CA7F68">
              <w:t xml:space="preserve"> 282/2012 </w:t>
            </w:r>
            <w:r w:rsidRPr="00CA7F68">
              <w:t>30.pants un 31.pants</w:t>
            </w:r>
          </w:p>
        </w:tc>
        <w:tc>
          <w:tcPr>
            <w:tcW w:w="1798" w:type="dxa"/>
            <w:gridSpan w:val="2"/>
          </w:tcPr>
          <w:p w:rsidR="005E2BC0" w:rsidRPr="00CA7F68" w:rsidRDefault="005E2BC0" w:rsidP="00C31D2F">
            <w:r w:rsidRPr="00CA7F68">
              <w:t>1</w:t>
            </w:r>
            <w:r w:rsidR="005E4D6D" w:rsidRPr="00CA7F68">
              <w:t>4</w:t>
            </w:r>
            <w:r w:rsidRPr="00CA7F68">
              <w:t>.punkts</w:t>
            </w:r>
          </w:p>
          <w:p w:rsidR="005E2BC0" w:rsidRPr="00CA7F68" w:rsidRDefault="005E2BC0" w:rsidP="00C31D2F"/>
        </w:tc>
        <w:tc>
          <w:tcPr>
            <w:tcW w:w="3281" w:type="dxa"/>
            <w:gridSpan w:val="3"/>
          </w:tcPr>
          <w:p w:rsidR="005E2BC0" w:rsidRPr="00CA7F68" w:rsidRDefault="005E2BC0" w:rsidP="00C31D2F">
            <w:pPr>
              <w:spacing w:before="100" w:beforeAutospacing="1" w:after="100" w:afterAutospacing="1"/>
              <w:rPr>
                <w:iCs/>
              </w:rPr>
            </w:pPr>
            <w:r w:rsidRPr="00CA7F68">
              <w:t>A ailē minētais ES tiesību akts attiecībā uz projekta jomu tiek ieviests pilnībā.</w:t>
            </w:r>
          </w:p>
        </w:tc>
        <w:tc>
          <w:tcPr>
            <w:tcW w:w="2334" w:type="dxa"/>
          </w:tcPr>
          <w:p w:rsidR="005E2BC0" w:rsidRPr="00CA7F68" w:rsidRDefault="005E2BC0" w:rsidP="00C31D2F">
            <w:pPr>
              <w:spacing w:before="100" w:beforeAutospacing="1" w:after="100" w:afterAutospacing="1"/>
              <w:rPr>
                <w:iCs/>
              </w:rPr>
            </w:pPr>
            <w:r w:rsidRPr="00CA7F68">
              <w:t>B ailē minētās projekta vienības neparedz stingrākas prasības kā šīs tabulas A ailē minētais ES tiesību akts.</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191"/>
          <w:jc w:val="center"/>
        </w:trPr>
        <w:tc>
          <w:tcPr>
            <w:tcW w:w="4044" w:type="dxa"/>
            <w:gridSpan w:val="4"/>
            <w:vAlign w:val="center"/>
          </w:tcPr>
          <w:p w:rsidR="005E2BC0" w:rsidRPr="00CA7F68" w:rsidRDefault="005E2BC0" w:rsidP="00184DA6">
            <w:pPr>
              <w:spacing w:before="100" w:beforeAutospacing="1" w:after="100" w:afterAutospacing="1"/>
              <w:rPr>
                <w:i/>
              </w:rPr>
            </w:pPr>
            <w:r w:rsidRPr="00CA7F68">
              <w:t>Kā ir izmantota ES tiesību aktā paredzētā rīcības brīvība dalībvalstij pārņemt vai ieviest noteiktas ES tiesību akta normas. Kādēļ?</w:t>
            </w:r>
          </w:p>
        </w:tc>
        <w:tc>
          <w:tcPr>
            <w:tcW w:w="5615" w:type="dxa"/>
            <w:gridSpan w:val="4"/>
            <w:vAlign w:val="center"/>
          </w:tcPr>
          <w:p w:rsidR="005E2BC0" w:rsidRPr="00CA7F68" w:rsidRDefault="005E2BC0" w:rsidP="00184DA6">
            <w:pPr>
              <w:spacing w:before="100" w:beforeAutospacing="1" w:after="100" w:afterAutospacing="1"/>
              <w:rPr>
                <w:i/>
              </w:rPr>
            </w:pPr>
            <w:r w:rsidRPr="00CA7F68">
              <w:rPr>
                <w:iCs/>
              </w:rPr>
              <w:t>Projekts šo jomu neskar.</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191"/>
          <w:jc w:val="center"/>
        </w:trPr>
        <w:tc>
          <w:tcPr>
            <w:tcW w:w="4044" w:type="dxa"/>
            <w:gridSpan w:val="4"/>
            <w:vAlign w:val="center"/>
          </w:tcPr>
          <w:p w:rsidR="005E2BC0" w:rsidRPr="00CA7F68" w:rsidRDefault="005E2BC0" w:rsidP="00184DA6">
            <w:pPr>
              <w:spacing w:before="100" w:beforeAutospacing="1" w:after="100" w:afterAutospacing="1"/>
            </w:pPr>
            <w:r w:rsidRPr="00CA7F6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615" w:type="dxa"/>
            <w:gridSpan w:val="4"/>
            <w:vAlign w:val="center"/>
          </w:tcPr>
          <w:p w:rsidR="005E2BC0" w:rsidRPr="00CA7F68" w:rsidRDefault="005E2BC0" w:rsidP="00184DA6">
            <w:pPr>
              <w:spacing w:before="100" w:beforeAutospacing="1" w:after="100" w:afterAutospacing="1"/>
              <w:rPr>
                <w:iCs/>
              </w:rPr>
            </w:pPr>
            <w:r w:rsidRPr="00CA7F68">
              <w:rPr>
                <w:iCs/>
              </w:rPr>
              <w:t>Projekts šo jomu neskar.</w:t>
            </w:r>
          </w:p>
        </w:tc>
      </w:tr>
      <w:tr w:rsidR="005E2BC0" w:rsidRPr="00CA7F68" w:rsidTr="005E2BC0">
        <w:tblPrEx>
          <w:tblCellMar>
            <w:top w:w="28" w:type="dxa"/>
            <w:left w:w="28" w:type="dxa"/>
            <w:bottom w:w="28" w:type="dxa"/>
            <w:right w:w="28" w:type="dxa"/>
          </w:tblCellMar>
          <w:tblLook w:val="0000"/>
        </w:tblPrEx>
        <w:trPr>
          <w:gridBefore w:val="1"/>
          <w:gridAfter w:val="1"/>
          <w:wBefore w:w="33" w:type="dxa"/>
          <w:wAfter w:w="9" w:type="dxa"/>
          <w:trHeight w:val="281"/>
          <w:jc w:val="center"/>
        </w:trPr>
        <w:tc>
          <w:tcPr>
            <w:tcW w:w="2246" w:type="dxa"/>
            <w:gridSpan w:val="2"/>
            <w:vAlign w:val="center"/>
          </w:tcPr>
          <w:p w:rsidR="005E2BC0" w:rsidRPr="00CA7F68" w:rsidRDefault="005E2BC0" w:rsidP="00184DA6">
            <w:pPr>
              <w:spacing w:before="100" w:beforeAutospacing="1" w:after="100" w:afterAutospacing="1"/>
            </w:pPr>
            <w:r w:rsidRPr="00CA7F68">
              <w:t>Cita informācija</w:t>
            </w:r>
          </w:p>
        </w:tc>
        <w:tc>
          <w:tcPr>
            <w:tcW w:w="7413" w:type="dxa"/>
            <w:gridSpan w:val="6"/>
          </w:tcPr>
          <w:p w:rsidR="00CF444D" w:rsidRPr="00CA7F68" w:rsidRDefault="00CF444D" w:rsidP="006633AE">
            <w:pPr>
              <w:spacing w:before="100" w:beforeAutospacing="1" w:after="100" w:afterAutospacing="1"/>
              <w:jc w:val="both"/>
              <w:rPr>
                <w:rFonts w:eastAsia="Calibri"/>
                <w:color w:val="000000"/>
              </w:rPr>
            </w:pPr>
            <w:r w:rsidRPr="00CA7F68">
              <w:t>Projekta 5. un 7.punktā lietderīgāk ir norādīt jomu</w:t>
            </w:r>
            <w:r w:rsidRPr="00CA7F68">
              <w:rPr>
                <w:rFonts w:eastAsia="Calibri"/>
                <w:color w:val="000000"/>
              </w:rPr>
              <w:t>, jo, uzskaitot visus tos Eiropas Savienības aktus, kas skar garantijas ķīlu sistēmas piemērošanu, punkti tiktu padarīti grūti pārskatāmi. Turklāt, ņemot vērā Eiropas Savienības tiesību aktu dabisko evolūciju, punktos izdarītās atsauces uz regulām ātri novecotos, un tādējādi punkti kļūtu grūtāk lasāmi. Uzskatāmības nolūkos zemāk minēti Eiropas Savienības aktus, kas skar garantijas ķīlu sistēmas piemērošanu:</w:t>
            </w:r>
          </w:p>
          <w:p w:rsidR="00CF444D" w:rsidRPr="00CA7F68" w:rsidRDefault="00CF444D" w:rsidP="006633AE">
            <w:pPr>
              <w:numPr>
                <w:ilvl w:val="0"/>
                <w:numId w:val="6"/>
              </w:numPr>
              <w:spacing w:before="100" w:beforeAutospacing="1" w:after="100" w:afterAutospacing="1"/>
              <w:jc w:val="both"/>
            </w:pPr>
            <w:r w:rsidRPr="00CA7F68">
              <w:t>Eiropas Komisijas 2008. gada 23. aprīļa Regula (EK) Nr. 376/2008 ar ko nosaka sīki izstrādātus kopējus noteikumus, kas jāievēro, piemērojot importa un eksporta licenču un iepriekš noteiktas kompensācijas sertifikātu sistēmu lauksaimniecības produktiem;</w:t>
            </w:r>
          </w:p>
          <w:p w:rsidR="00CF444D" w:rsidRPr="00CA7F68" w:rsidRDefault="00CF444D" w:rsidP="006633AE">
            <w:pPr>
              <w:numPr>
                <w:ilvl w:val="0"/>
                <w:numId w:val="6"/>
              </w:numPr>
              <w:spacing w:before="100" w:beforeAutospacing="1" w:after="100" w:afterAutospacing="1"/>
              <w:jc w:val="both"/>
            </w:pPr>
            <w:r w:rsidRPr="00CA7F68">
              <w:t>Eiropas Komisijas 2009. gada 7. jūlija Regula (ES) Nr. 612/2009 ar kuru nosaka kopējus sīki izstrādātus noteikumus eksporta kompensāciju sistēmas piemērošanai lauksaimniecības produktiem;</w:t>
            </w:r>
          </w:p>
          <w:p w:rsidR="00CF444D" w:rsidRPr="00CA7F68" w:rsidRDefault="00CF444D" w:rsidP="006633AE">
            <w:pPr>
              <w:numPr>
                <w:ilvl w:val="0"/>
                <w:numId w:val="6"/>
              </w:numPr>
              <w:spacing w:before="100" w:beforeAutospacing="1" w:after="100" w:afterAutospacing="1"/>
              <w:jc w:val="both"/>
            </w:pPr>
            <w:r w:rsidRPr="00CA7F68">
              <w:t>Komisijas 2010. gada 29. jūnija Regula (ES) Nr. 578/2010, ar ko īsteno Padomes Regulu (EK) Nr. 1216/2009 attiecībā uz eksporta kompensāciju piešķiršanu un kritērijiem šādu kompensāciju apjoma noteikšanai dažiem lauksaimniecības produktiem, kurus eksportē tādu preču veidā, kas nav ietvertas Līguma I pielikumā;</w:t>
            </w:r>
          </w:p>
          <w:p w:rsidR="00CF444D" w:rsidRPr="00CA7F68" w:rsidRDefault="00CF444D" w:rsidP="006633AE">
            <w:pPr>
              <w:numPr>
                <w:ilvl w:val="0"/>
                <w:numId w:val="6"/>
              </w:numPr>
              <w:spacing w:before="100" w:beforeAutospacing="1" w:after="100" w:afterAutospacing="1"/>
              <w:jc w:val="both"/>
            </w:pPr>
            <w:r w:rsidRPr="00CA7F68">
              <w:t>Eiropas Komisijas 2009.gada 11.decembra Regula (ES) Nr.1272/2009, ar ko nosaka sīki izstrādātus kopīgus noteikumus Padomes Regulas (EK) Nr.1234/2007 īstenošanai attiecībā uz lauksaimniecības produktu iepirkšanu un pārdošanu valsts intervencē;</w:t>
            </w:r>
          </w:p>
          <w:p w:rsidR="00CF444D" w:rsidRPr="00CA7F68" w:rsidRDefault="00CF444D" w:rsidP="006633AE">
            <w:pPr>
              <w:numPr>
                <w:ilvl w:val="0"/>
                <w:numId w:val="6"/>
              </w:numPr>
              <w:spacing w:before="100" w:beforeAutospacing="1" w:after="100" w:afterAutospacing="1"/>
              <w:jc w:val="both"/>
            </w:pPr>
            <w:r w:rsidRPr="00CA7F68">
              <w:t>Eiropas Komisijas 2008.gada 18.jūlija Regula (EK) Nr.687/2008, kas nosaka kārtību, kādā maksājumu aģentūras vai intervences aģentūras pārņem labību un analīžu metodes labības kvalitātes noteikšanai;</w:t>
            </w:r>
          </w:p>
          <w:p w:rsidR="00CF444D" w:rsidRPr="00CA7F68" w:rsidRDefault="00CF444D" w:rsidP="006633AE">
            <w:pPr>
              <w:numPr>
                <w:ilvl w:val="0"/>
                <w:numId w:val="6"/>
              </w:numPr>
              <w:spacing w:before="100" w:beforeAutospacing="1" w:after="100" w:afterAutospacing="1"/>
              <w:jc w:val="both"/>
            </w:pPr>
            <w:r w:rsidRPr="00CA7F68">
              <w:t>Eiropas Komisijas 2010.gada 14.septembra Regula Nr.807/2010, ar ko nosaka sīki izstrādātus noteikumus pārtikas piegādei no intervences krājumiem vistrūcīgākajām personām Savienībā;</w:t>
            </w:r>
          </w:p>
          <w:p w:rsidR="00CF444D" w:rsidRPr="00CA7F68" w:rsidRDefault="00CF444D" w:rsidP="006633AE">
            <w:pPr>
              <w:numPr>
                <w:ilvl w:val="0"/>
                <w:numId w:val="6"/>
              </w:numPr>
              <w:spacing w:before="100" w:beforeAutospacing="1" w:after="100" w:afterAutospacing="1"/>
              <w:jc w:val="both"/>
            </w:pPr>
            <w:r w:rsidRPr="00CA7F68">
              <w:t>Komisijas 2003. gada 28. jūlija Regula (EK) Nr. 1342/2003 par īpašiem sīki izstrādātiem noteikumiem ievešanas un izvešanas atļauju sistēmas piemērošanai attiecībā uz labību un rīsiem;</w:t>
            </w:r>
          </w:p>
          <w:p w:rsidR="00CF444D" w:rsidRPr="00CA7F68" w:rsidRDefault="00CF444D" w:rsidP="006633AE">
            <w:pPr>
              <w:numPr>
                <w:ilvl w:val="0"/>
                <w:numId w:val="6"/>
              </w:numPr>
              <w:spacing w:before="100" w:beforeAutospacing="1" w:after="100" w:afterAutospacing="1"/>
              <w:jc w:val="both"/>
            </w:pPr>
            <w:r w:rsidRPr="00CA7F68">
              <w:t>Komisijas 2009. gada 27. novembra Regula (EK) Nr. 1187/2009, ar ko nosaka īpašus sīki izstrādātus noteikumus par to, kā piemērot Padomes Regulu (EK) Nr. 1234/2007 attiecībā uz piena un piena produktu eksporta licencēm un eksporta kompensācijām;</w:t>
            </w:r>
          </w:p>
          <w:p w:rsidR="00CF444D" w:rsidRPr="00CA7F68" w:rsidRDefault="00CF444D" w:rsidP="006633AE">
            <w:pPr>
              <w:numPr>
                <w:ilvl w:val="0"/>
                <w:numId w:val="6"/>
              </w:numPr>
              <w:spacing w:before="100" w:beforeAutospacing="1" w:after="100" w:afterAutospacing="1"/>
              <w:jc w:val="both"/>
            </w:pPr>
            <w:r w:rsidRPr="00CA7F68">
              <w:t>Komisijas 2001. gada 14. decembra Regula (EK) Nr. 2535/2001, ar ko nosaka sīki izstrādātus noteikumus par to, kā piemērot Padomes Regulu (EK) Nr. 1255/1999 attiecībā uz piena un piena produktu importa režīmu un tarifu kvotu atvēršanu;</w:t>
            </w:r>
          </w:p>
          <w:p w:rsidR="00CF444D" w:rsidRPr="00CA7F68" w:rsidRDefault="00CF444D" w:rsidP="006633AE">
            <w:pPr>
              <w:numPr>
                <w:ilvl w:val="0"/>
                <w:numId w:val="6"/>
              </w:numPr>
              <w:spacing w:before="100" w:beforeAutospacing="1" w:after="100" w:afterAutospacing="1"/>
              <w:jc w:val="both"/>
              <w:rPr>
                <w:bCs/>
              </w:rPr>
            </w:pPr>
            <w:bookmarkStart w:id="3" w:name="content"/>
            <w:r w:rsidRPr="00CA7F68">
              <w:rPr>
                <w:bCs/>
              </w:rPr>
              <w:t>Komisijas 2008. gada 21. aprīļa Regula (EK) Nr. 382/2008 par importa un eksporta licenču piemērošanas noteikumiem liellopu [un teļa] gaļas nozarē (Pārstrādāta redakcija);</w:t>
            </w:r>
          </w:p>
          <w:bookmarkEnd w:id="3"/>
          <w:p w:rsidR="00CF444D" w:rsidRPr="00CA7F68" w:rsidRDefault="00CF444D" w:rsidP="006633AE">
            <w:pPr>
              <w:numPr>
                <w:ilvl w:val="0"/>
                <w:numId w:val="6"/>
              </w:numPr>
              <w:spacing w:before="100" w:beforeAutospacing="1" w:after="100" w:afterAutospacing="1"/>
              <w:jc w:val="both"/>
              <w:rPr>
                <w:bCs/>
              </w:rPr>
            </w:pPr>
            <w:r w:rsidRPr="00CA7F68">
              <w:rPr>
                <w:bCs/>
              </w:rPr>
              <w:t>Komisijas 2011. gada 7. jūnija Īstenošanas regula (ES) Nr. 543/2011, ar ko nosaka sīki izstrādātus noteikumus Padomes Regulas (EK) Nr. 1234/2007 piemērošanai attiecībā uz augļu un dārzeņu un pārstrādātu augļu un dārzeņu nozari;</w:t>
            </w:r>
          </w:p>
          <w:p w:rsidR="00CF444D" w:rsidRPr="00CA7F68" w:rsidRDefault="00CF444D" w:rsidP="006633AE">
            <w:pPr>
              <w:numPr>
                <w:ilvl w:val="0"/>
                <w:numId w:val="6"/>
              </w:numPr>
              <w:spacing w:before="100" w:beforeAutospacing="1" w:after="100" w:afterAutospacing="1"/>
              <w:jc w:val="both"/>
              <w:rPr>
                <w:bCs/>
              </w:rPr>
            </w:pPr>
            <w:r w:rsidRPr="00CA7F68">
              <w:rPr>
                <w:bCs/>
              </w:rPr>
              <w:t xml:space="preserve">Komisijas 2007. gada 29. marts Regula (EK) Nr. 341/2007, ar ko atver tarifu kvotas un nosaka to administrēšanu, un ievieš ievešanas atļauju un izcelsmes sertifikātu sistēmu attiecībā uz ķiplokiem un dažiem citiem lauksaimniecības produktiem, kas ievesti no </w:t>
            </w:r>
            <w:proofErr w:type="spellStart"/>
            <w:r w:rsidRPr="00CA7F68">
              <w:rPr>
                <w:bCs/>
              </w:rPr>
              <w:t>trešām</w:t>
            </w:r>
            <w:proofErr w:type="spellEnd"/>
            <w:r w:rsidRPr="00CA7F68">
              <w:rPr>
                <w:bCs/>
              </w:rPr>
              <w:t xml:space="preserve"> valstīm;</w:t>
            </w:r>
          </w:p>
          <w:p w:rsidR="00CF444D" w:rsidRPr="00CA7F68" w:rsidRDefault="00CF444D" w:rsidP="006633AE">
            <w:pPr>
              <w:numPr>
                <w:ilvl w:val="0"/>
                <w:numId w:val="6"/>
              </w:numPr>
              <w:spacing w:before="100" w:beforeAutospacing="1" w:after="100" w:afterAutospacing="1"/>
              <w:jc w:val="both"/>
              <w:rPr>
                <w:bCs/>
              </w:rPr>
            </w:pPr>
            <w:r w:rsidRPr="00CA7F68">
              <w:rPr>
                <w:bCs/>
              </w:rPr>
              <w:t xml:space="preserve">Komisijas 2006. gada 30. jūnija Regula (EK) Nr. 951/2006, ar ko paredz sīki izstrādātus noteikumus par to, kā īstenot Padomes Regulu (EK) Nr. 318/2006 saistībā ar tirdzniecību ar </w:t>
            </w:r>
            <w:proofErr w:type="spellStart"/>
            <w:r w:rsidRPr="00CA7F68">
              <w:rPr>
                <w:bCs/>
              </w:rPr>
              <w:t>trešām</w:t>
            </w:r>
            <w:proofErr w:type="spellEnd"/>
            <w:r w:rsidRPr="00CA7F68">
              <w:rPr>
                <w:bCs/>
              </w:rPr>
              <w:t xml:space="preserve"> valstīm cukura nozarē;</w:t>
            </w:r>
          </w:p>
          <w:p w:rsidR="00CF444D" w:rsidRPr="00CA7F68" w:rsidRDefault="00CF444D" w:rsidP="006633AE">
            <w:pPr>
              <w:numPr>
                <w:ilvl w:val="0"/>
                <w:numId w:val="6"/>
              </w:numPr>
              <w:spacing w:before="100" w:beforeAutospacing="1" w:after="100" w:afterAutospacing="1"/>
              <w:jc w:val="both"/>
              <w:rPr>
                <w:bCs/>
              </w:rPr>
            </w:pPr>
            <w:r w:rsidRPr="00CA7F68">
              <w:rPr>
                <w:bCs/>
              </w:rPr>
              <w:t>Komisijas 2011. gada 3. februāra Regula (ES) Nr. 90/2011, ar ko paredz sīki izstrādātus noteikumus izvešanas atļauju sistēmas īstenošanai mājputnu gaļas nozarē;</w:t>
            </w:r>
          </w:p>
          <w:p w:rsidR="00CF444D" w:rsidRPr="00CA7F68" w:rsidRDefault="00CF444D" w:rsidP="006633AE">
            <w:pPr>
              <w:numPr>
                <w:ilvl w:val="0"/>
                <w:numId w:val="6"/>
              </w:numPr>
              <w:spacing w:before="100" w:beforeAutospacing="1" w:after="100" w:afterAutospacing="1"/>
              <w:jc w:val="both"/>
              <w:rPr>
                <w:bCs/>
              </w:rPr>
            </w:pPr>
            <w:r w:rsidRPr="00CA7F68">
              <w:rPr>
                <w:bCs/>
              </w:rPr>
              <w:t>Komisijas 1995. gada 26. jūnija Regula (EK) Nr. 1439/95, ar ko nosaka sīki izstrādātus noteikumus Padomes Regulas (EEK) Nr. 3013/89 piemērošanai attiecībā uz produktu importu un eksportu aitas gaļas un kazas gaļas nozarē;</w:t>
            </w:r>
          </w:p>
          <w:p w:rsidR="00CF444D" w:rsidRPr="00CA7F68" w:rsidRDefault="00CF444D" w:rsidP="006633AE">
            <w:pPr>
              <w:numPr>
                <w:ilvl w:val="0"/>
                <w:numId w:val="6"/>
              </w:numPr>
              <w:spacing w:before="100" w:beforeAutospacing="1" w:after="100" w:afterAutospacing="1"/>
              <w:jc w:val="both"/>
              <w:rPr>
                <w:bCs/>
              </w:rPr>
            </w:pPr>
            <w:r w:rsidRPr="00CA7F68">
              <w:rPr>
                <w:bCs/>
              </w:rPr>
              <w:t>Komisijas 2010. gada 13. decembra Regula (ES) Nr. 1178/2010, ar ko paredz sīki izstrādātus noteikumus izvešanas atļauju sistēmas ieviešanai olu nozarē;</w:t>
            </w:r>
          </w:p>
          <w:p w:rsidR="00CF444D" w:rsidRPr="00CA7F68" w:rsidRDefault="00CF444D" w:rsidP="006633AE">
            <w:pPr>
              <w:numPr>
                <w:ilvl w:val="0"/>
                <w:numId w:val="6"/>
              </w:numPr>
              <w:spacing w:before="100" w:beforeAutospacing="1" w:after="100" w:afterAutospacing="1"/>
              <w:jc w:val="both"/>
              <w:rPr>
                <w:bCs/>
              </w:rPr>
            </w:pPr>
            <w:r w:rsidRPr="00CA7F68">
              <w:rPr>
                <w:bCs/>
              </w:rPr>
              <w:t>Komisijas 2003. gada 28. augusta Regula (EK) Nr. 1518/2003, ar ko nosaka sīki izstrādātus noteikumus izvešanas atļauju sistēmas īstenošanai cūkgaļas nozarē, kā arī citi akti.</w:t>
            </w:r>
          </w:p>
          <w:p w:rsidR="00CF444D" w:rsidRPr="00CA7F68" w:rsidRDefault="00CF444D" w:rsidP="006633AE">
            <w:pPr>
              <w:spacing w:before="100" w:beforeAutospacing="1" w:after="100" w:afterAutospacing="1"/>
              <w:jc w:val="both"/>
            </w:pPr>
            <w:r w:rsidRPr="00CA7F68">
              <w:rPr>
                <w:bCs/>
              </w:rPr>
              <w:t xml:space="preserve">Noteikumu projekta 5.punktā ir izdarīta atkāpe, lai nodrošinātu pareizu garantijas ķīlu sistēmas darbību, jo atsevišķos gadījumos iesniedzamā nodrošinājuma summa var nesasniegt 500 </w:t>
            </w:r>
            <w:proofErr w:type="spellStart"/>
            <w:r w:rsidRPr="00CA7F68">
              <w:rPr>
                <w:bCs/>
              </w:rPr>
              <w:t>euro</w:t>
            </w:r>
            <w:proofErr w:type="spellEnd"/>
            <w:r w:rsidRPr="00CA7F68">
              <w:rPr>
                <w:bCs/>
              </w:rPr>
              <w:t>. Piemēram, Eiropas Komisijas 2008. gada 23. aprīļa Regulas (EK) Nr. 376/2008 ar ko nosaka sīki izstrādātus kopējus noteikumus, kas jāievēro, piemērojot importa un eksporta licenču un iepriekš noteiktas kompensācijas sertifikātu sistēmu lauksaimniecības produktiem 14.3.panta nosacījumi vai Eiropas Komisijas 2009.gada 11.decembra Regulas (ES) Nr.1272/2009, ar ko nosaka sīki izstrādātus kopīgus noteikumus Padomes Regulas (EK) Nr.1234/2007 īstenošanai attiecībā uz lauksaimniecības produktu iepirkšanu un pārdošanu valsts intervencē 8.1(a).pants saistībā ar 9(a).panta nosacījumiem.</w:t>
            </w:r>
          </w:p>
          <w:p w:rsidR="005E2BC0" w:rsidRPr="00CA7F68" w:rsidRDefault="005E4D6D" w:rsidP="00906E21">
            <w:pPr>
              <w:spacing w:before="100" w:beforeAutospacing="1" w:after="100" w:afterAutospacing="1"/>
              <w:jc w:val="both"/>
            </w:pPr>
            <w:r w:rsidRPr="00CA7F68">
              <w:t>Regulas Nr.282/2012 15.panta 1.punkts paredz, ka „garantijas iesniedzējam jābūt pastāvīgai dzīvesvietai vai uzņēmējdarbības reģistrācijas vietai Savienībā”, tādējādi, lai kvalitatīvi ieviestu Regulas Nr.282/2012 15.panta 1.punktu, noteikumu projekta 11.punkts paredz to dokumentu klāstu, kas jāiesniedz Latvijā reģistrētam galviniekam, bet projekta13.punkts paredz to dokumentu klāstu, kas jāiesniedz citā Eiropas Savienības dalībvalstī reģistrētam galviniekam.</w:t>
            </w:r>
          </w:p>
        </w:tc>
      </w:tr>
      <w:tr w:rsidR="005E2BC0" w:rsidRPr="00CA7F68" w:rsidTr="005E2BC0">
        <w:tblPrEx>
          <w:tblCellMar>
            <w:left w:w="0" w:type="dxa"/>
            <w:right w:w="0" w:type="dxa"/>
          </w:tblCellMar>
          <w:tblLook w:val="0000"/>
        </w:tblPrEx>
        <w:trPr>
          <w:trHeight w:val="792"/>
          <w:jc w:val="center"/>
        </w:trPr>
        <w:tc>
          <w:tcPr>
            <w:tcW w:w="9701" w:type="dxa"/>
            <w:gridSpan w:val="10"/>
            <w:vAlign w:val="center"/>
          </w:tcPr>
          <w:p w:rsidR="005E2BC0" w:rsidRPr="00CA7F68" w:rsidRDefault="005E2BC0" w:rsidP="00184DA6">
            <w:pPr>
              <w:spacing w:before="100" w:beforeAutospacing="1" w:after="100" w:afterAutospacing="1"/>
              <w:rPr>
                <w:b/>
                <w:bCs/>
              </w:rPr>
            </w:pPr>
            <w:r w:rsidRPr="00CA7F68">
              <w:rPr>
                <w:b/>
                <w:bCs/>
              </w:rPr>
              <w:t xml:space="preserve">2.tabula </w:t>
            </w:r>
          </w:p>
          <w:p w:rsidR="005E2BC0" w:rsidRPr="00CA7F68" w:rsidRDefault="005E2BC0" w:rsidP="00184DA6">
            <w:pPr>
              <w:spacing w:before="100" w:beforeAutospacing="1" w:after="100" w:afterAutospacing="1"/>
              <w:rPr>
                <w:b/>
                <w:bCs/>
              </w:rPr>
            </w:pPr>
            <w:r w:rsidRPr="00CA7F68">
              <w:rPr>
                <w:b/>
                <w:bCs/>
              </w:rPr>
              <w:t>Ar tiesību akta projektu uzņemtās saistības, kas izriet no starptautiskajiem tiesību aktiem vai starptautiskas institūcijas vai organizācijas dokumentiem</w:t>
            </w:r>
          </w:p>
          <w:p w:rsidR="005E2BC0" w:rsidRPr="00CA7F68" w:rsidRDefault="005E2BC0" w:rsidP="00184DA6">
            <w:pPr>
              <w:spacing w:before="100" w:beforeAutospacing="1" w:after="100" w:afterAutospacing="1"/>
              <w:rPr>
                <w:b/>
                <w:bCs/>
              </w:rPr>
            </w:pPr>
            <w:r w:rsidRPr="00CA7F68">
              <w:rPr>
                <w:b/>
                <w:bCs/>
              </w:rPr>
              <w:t>Pasākumi šo saistību izpildei</w:t>
            </w:r>
          </w:p>
        </w:tc>
      </w:tr>
      <w:tr w:rsidR="005E2BC0" w:rsidRPr="00CA7F68" w:rsidTr="005E2BC0">
        <w:tblPrEx>
          <w:tblCellMar>
            <w:left w:w="0" w:type="dxa"/>
            <w:right w:w="0" w:type="dxa"/>
          </w:tblCellMar>
          <w:tblLook w:val="0000"/>
        </w:tblPrEx>
        <w:trPr>
          <w:trHeight w:val="1596"/>
          <w:jc w:val="center"/>
        </w:trPr>
        <w:tc>
          <w:tcPr>
            <w:tcW w:w="2843" w:type="dxa"/>
            <w:gridSpan w:val="4"/>
            <w:vAlign w:val="center"/>
          </w:tcPr>
          <w:p w:rsidR="005E2BC0" w:rsidRPr="00CA7F68" w:rsidRDefault="005E2BC0" w:rsidP="00184DA6">
            <w:pPr>
              <w:spacing w:before="100" w:beforeAutospacing="1" w:after="100" w:afterAutospacing="1"/>
            </w:pPr>
            <w:r w:rsidRPr="00CA7F68">
              <w:t>Attiecīgā starptautiskā tiesību akta vai starptautiskas institūcijas vai organizācijas dokumenta (turpmāk – starptautiskais dokuments) datums, numurs un nosaukums</w:t>
            </w:r>
          </w:p>
        </w:tc>
        <w:tc>
          <w:tcPr>
            <w:tcW w:w="6858" w:type="dxa"/>
            <w:gridSpan w:val="6"/>
          </w:tcPr>
          <w:p w:rsidR="005E2BC0" w:rsidRPr="00CA7F68" w:rsidRDefault="005E2BC0" w:rsidP="00184DA6">
            <w:pPr>
              <w:spacing w:before="100" w:beforeAutospacing="1" w:after="100" w:afterAutospacing="1"/>
            </w:pPr>
            <w:r w:rsidRPr="00CA7F68">
              <w:t>Projekts šo jomu neskar.</w:t>
            </w:r>
          </w:p>
        </w:tc>
      </w:tr>
      <w:tr w:rsidR="005E2BC0" w:rsidRPr="00CA7F68" w:rsidTr="005E2BC0">
        <w:tblPrEx>
          <w:tblCellMar>
            <w:left w:w="0" w:type="dxa"/>
            <w:right w:w="0" w:type="dxa"/>
          </w:tblCellMar>
          <w:tblLook w:val="0000"/>
        </w:tblPrEx>
        <w:trPr>
          <w:trHeight w:val="163"/>
          <w:jc w:val="center"/>
        </w:trPr>
        <w:tc>
          <w:tcPr>
            <w:tcW w:w="9701" w:type="dxa"/>
            <w:gridSpan w:val="10"/>
            <w:vAlign w:val="center"/>
          </w:tcPr>
          <w:p w:rsidR="005E2BC0" w:rsidRPr="00CA7F68" w:rsidRDefault="005E2BC0" w:rsidP="00184DA6">
            <w:pPr>
              <w:spacing w:before="100" w:beforeAutospacing="1" w:after="100" w:afterAutospacing="1"/>
              <w:rPr>
                <w:i/>
              </w:rPr>
            </w:pPr>
          </w:p>
        </w:tc>
      </w:tr>
      <w:tr w:rsidR="005E2BC0" w:rsidRPr="00CA7F68" w:rsidTr="005E2BC0">
        <w:tblPrEx>
          <w:tblCellMar>
            <w:left w:w="0" w:type="dxa"/>
            <w:right w:w="0" w:type="dxa"/>
          </w:tblCellMar>
          <w:tblLook w:val="0000"/>
        </w:tblPrEx>
        <w:trPr>
          <w:trHeight w:val="341"/>
          <w:jc w:val="center"/>
        </w:trPr>
        <w:tc>
          <w:tcPr>
            <w:tcW w:w="2843" w:type="dxa"/>
            <w:gridSpan w:val="4"/>
            <w:vAlign w:val="center"/>
          </w:tcPr>
          <w:p w:rsidR="005E2BC0" w:rsidRPr="00CA7F68" w:rsidRDefault="005E2BC0" w:rsidP="00184DA6">
            <w:pPr>
              <w:spacing w:before="100" w:beforeAutospacing="1" w:after="100" w:afterAutospacing="1"/>
            </w:pPr>
            <w:r w:rsidRPr="00CA7F68">
              <w:t>A</w:t>
            </w:r>
          </w:p>
        </w:tc>
        <w:tc>
          <w:tcPr>
            <w:tcW w:w="3480" w:type="dxa"/>
            <w:gridSpan w:val="3"/>
            <w:vAlign w:val="center"/>
          </w:tcPr>
          <w:p w:rsidR="005E2BC0" w:rsidRPr="00CA7F68" w:rsidRDefault="005E2BC0" w:rsidP="00184DA6">
            <w:pPr>
              <w:spacing w:before="100" w:beforeAutospacing="1" w:after="100" w:afterAutospacing="1"/>
            </w:pPr>
            <w:r w:rsidRPr="00CA7F68">
              <w:t>B</w:t>
            </w:r>
          </w:p>
        </w:tc>
        <w:tc>
          <w:tcPr>
            <w:tcW w:w="3378" w:type="dxa"/>
            <w:gridSpan w:val="3"/>
            <w:vAlign w:val="center"/>
          </w:tcPr>
          <w:p w:rsidR="005E2BC0" w:rsidRPr="00CA7F68" w:rsidRDefault="005E2BC0" w:rsidP="00184DA6">
            <w:pPr>
              <w:spacing w:before="100" w:beforeAutospacing="1" w:after="100" w:afterAutospacing="1"/>
            </w:pPr>
            <w:r w:rsidRPr="00CA7F68">
              <w:t>C</w:t>
            </w:r>
          </w:p>
        </w:tc>
      </w:tr>
      <w:tr w:rsidR="005E2BC0" w:rsidRPr="00CA7F68" w:rsidTr="005E2BC0">
        <w:tblPrEx>
          <w:tblCellMar>
            <w:left w:w="0" w:type="dxa"/>
            <w:right w:w="0" w:type="dxa"/>
          </w:tblCellMar>
          <w:tblLook w:val="0000"/>
        </w:tblPrEx>
        <w:trPr>
          <w:trHeight w:val="341"/>
          <w:jc w:val="center"/>
        </w:trPr>
        <w:tc>
          <w:tcPr>
            <w:tcW w:w="2843" w:type="dxa"/>
            <w:gridSpan w:val="4"/>
          </w:tcPr>
          <w:p w:rsidR="005E2BC0" w:rsidRPr="00CA7F68" w:rsidRDefault="005E2BC0" w:rsidP="00184DA6">
            <w:pPr>
              <w:spacing w:before="100" w:beforeAutospacing="1" w:after="100" w:afterAutospacing="1"/>
            </w:pPr>
            <w:r w:rsidRPr="00CA7F68">
              <w:t>Starptautiskās saistības (pēc būtības), kas izriet no norādītā starptautiskā dokumenta.</w:t>
            </w:r>
          </w:p>
          <w:p w:rsidR="005E2BC0" w:rsidRPr="00CA7F68" w:rsidRDefault="005E2BC0" w:rsidP="00184DA6">
            <w:pPr>
              <w:spacing w:before="100" w:beforeAutospacing="1" w:after="100" w:afterAutospacing="1"/>
            </w:pPr>
          </w:p>
          <w:p w:rsidR="005E2BC0" w:rsidRPr="00CA7F68" w:rsidRDefault="005E2BC0" w:rsidP="00184DA6">
            <w:pPr>
              <w:spacing w:before="100" w:beforeAutospacing="1" w:after="100" w:afterAutospacing="1"/>
            </w:pPr>
            <w:r w:rsidRPr="00CA7F68">
              <w:t>Konkrēti veicamie pasākumi vai uzdevumi, kas nepieciešami šo starptautisko saistību izpildei</w:t>
            </w:r>
          </w:p>
        </w:tc>
        <w:tc>
          <w:tcPr>
            <w:tcW w:w="3480" w:type="dxa"/>
            <w:gridSpan w:val="3"/>
          </w:tcPr>
          <w:p w:rsidR="005E2BC0" w:rsidRPr="00CA7F68" w:rsidRDefault="005E2BC0" w:rsidP="00184DA6">
            <w:pPr>
              <w:spacing w:before="100" w:beforeAutospacing="1" w:after="100" w:afterAutospacing="1"/>
            </w:pPr>
            <w:r w:rsidRPr="00CA7F68">
              <w:t>Ja pasākumi vai uzdevumi, ar ko tiks izpildītas starptautiskās saistības, tiek noteikti projektā, norāda attiecīgo projekta vienību.</w:t>
            </w:r>
          </w:p>
          <w:p w:rsidR="005E2BC0" w:rsidRPr="00CA7F68" w:rsidRDefault="005E2BC0" w:rsidP="00184DA6">
            <w:pPr>
              <w:spacing w:before="100" w:beforeAutospacing="1" w:after="100" w:afterAutospacing="1"/>
            </w:pPr>
            <w:r w:rsidRPr="00CA7F68">
              <w:t>Vai arī norāda dokumentu, kurā sniegts izvērsts skaidrojums, kādā veidā tiks nodrošināta starptautisko saistību izpilde</w:t>
            </w:r>
          </w:p>
        </w:tc>
        <w:tc>
          <w:tcPr>
            <w:tcW w:w="3378" w:type="dxa"/>
            <w:gridSpan w:val="3"/>
          </w:tcPr>
          <w:p w:rsidR="005E2BC0" w:rsidRPr="00CA7F68" w:rsidRDefault="005E2BC0" w:rsidP="00184DA6">
            <w:pPr>
              <w:spacing w:before="100" w:beforeAutospacing="1" w:after="100" w:afterAutospacing="1"/>
            </w:pPr>
            <w:r w:rsidRPr="00CA7F68">
              <w:t>Informācija par to, vai starptautiskās saistības, kas minētas šīs tabulas A ailē, tiek izpildītas pilnībā vai daļēji.</w:t>
            </w:r>
          </w:p>
          <w:p w:rsidR="005E2BC0" w:rsidRPr="00CA7F68" w:rsidRDefault="005E2BC0" w:rsidP="00184DA6">
            <w:pPr>
              <w:spacing w:before="100" w:beforeAutospacing="1" w:after="100" w:afterAutospacing="1"/>
            </w:pPr>
            <w:r w:rsidRPr="00CA7F68">
              <w:t>Ja attiecīgās starptautiskās saistības tiek izpildītas daļēji, sniedz attiecīgu skaidrojumu, kā arī precīzi norāda, kad un kādā veidā starptautiskās saistības tiks izpildītas pilnībā.</w:t>
            </w:r>
          </w:p>
          <w:p w:rsidR="005E2BC0" w:rsidRPr="00CA7F68" w:rsidRDefault="005E2BC0" w:rsidP="00184DA6">
            <w:pPr>
              <w:spacing w:before="100" w:beforeAutospacing="1" w:after="100" w:afterAutospacing="1"/>
            </w:pPr>
            <w:r w:rsidRPr="00CA7F68">
              <w:t>Norāda institūciju, kas ir atbildīga par šo saistību izpildi pilnībā</w:t>
            </w:r>
          </w:p>
        </w:tc>
      </w:tr>
      <w:tr w:rsidR="005E2BC0" w:rsidRPr="00CA7F68" w:rsidTr="0049325E">
        <w:tblPrEx>
          <w:tblCellMar>
            <w:left w:w="0" w:type="dxa"/>
            <w:right w:w="0" w:type="dxa"/>
          </w:tblCellMar>
          <w:tblLook w:val="0000"/>
        </w:tblPrEx>
        <w:trPr>
          <w:trHeight w:val="379"/>
          <w:jc w:val="center"/>
        </w:trPr>
        <w:tc>
          <w:tcPr>
            <w:tcW w:w="2843" w:type="dxa"/>
            <w:gridSpan w:val="4"/>
          </w:tcPr>
          <w:p w:rsidR="005E2BC0" w:rsidRPr="00CA7F68" w:rsidRDefault="005E2BC0" w:rsidP="00184DA6">
            <w:pPr>
              <w:spacing w:before="100" w:beforeAutospacing="1" w:after="100" w:afterAutospacing="1"/>
            </w:pPr>
            <w:r w:rsidRPr="00CA7F68">
              <w:rPr>
                <w:iCs/>
              </w:rPr>
              <w:t>Nav attiecināms.</w:t>
            </w:r>
          </w:p>
        </w:tc>
        <w:tc>
          <w:tcPr>
            <w:tcW w:w="3480" w:type="dxa"/>
            <w:gridSpan w:val="3"/>
          </w:tcPr>
          <w:p w:rsidR="005E2BC0" w:rsidRPr="00CA7F68" w:rsidRDefault="005E2BC0" w:rsidP="00184DA6">
            <w:pPr>
              <w:spacing w:before="100" w:beforeAutospacing="1" w:after="100" w:afterAutospacing="1"/>
            </w:pPr>
            <w:r w:rsidRPr="00CA7F68">
              <w:rPr>
                <w:iCs/>
              </w:rPr>
              <w:t>Projekts šo jomu neskar.</w:t>
            </w:r>
          </w:p>
        </w:tc>
        <w:tc>
          <w:tcPr>
            <w:tcW w:w="3378" w:type="dxa"/>
            <w:gridSpan w:val="3"/>
          </w:tcPr>
          <w:p w:rsidR="005E2BC0" w:rsidRPr="00CA7F68" w:rsidRDefault="005E2BC0" w:rsidP="00184DA6">
            <w:pPr>
              <w:spacing w:before="100" w:beforeAutospacing="1" w:after="100" w:afterAutospacing="1"/>
            </w:pPr>
            <w:r w:rsidRPr="00CA7F68">
              <w:rPr>
                <w:iCs/>
              </w:rPr>
              <w:t>Projekts šo jomu neskar.</w:t>
            </w:r>
          </w:p>
        </w:tc>
      </w:tr>
      <w:tr w:rsidR="005E2BC0" w:rsidRPr="00CA7F68" w:rsidTr="005E2BC0">
        <w:tblPrEx>
          <w:tblCellMar>
            <w:left w:w="0" w:type="dxa"/>
            <w:right w:w="0" w:type="dxa"/>
          </w:tblCellMar>
          <w:tblLook w:val="0000"/>
        </w:tblPrEx>
        <w:trPr>
          <w:trHeight w:val="161"/>
          <w:jc w:val="center"/>
        </w:trPr>
        <w:tc>
          <w:tcPr>
            <w:tcW w:w="2843" w:type="dxa"/>
            <w:gridSpan w:val="4"/>
            <w:vAlign w:val="center"/>
          </w:tcPr>
          <w:p w:rsidR="005E2BC0" w:rsidRPr="00CA7F68" w:rsidRDefault="005E2BC0" w:rsidP="00184DA6">
            <w:pPr>
              <w:spacing w:before="100" w:beforeAutospacing="1" w:after="100" w:afterAutospacing="1"/>
            </w:pPr>
            <w:r w:rsidRPr="00CA7F68">
              <w:t>Vai starptautiskajā dokumentā paredzētās saistības nav pretrunā ar jau esošajām Latvijas Republikas starptautiskajām saistībām</w:t>
            </w:r>
          </w:p>
        </w:tc>
        <w:tc>
          <w:tcPr>
            <w:tcW w:w="6858" w:type="dxa"/>
            <w:gridSpan w:val="6"/>
            <w:vAlign w:val="center"/>
          </w:tcPr>
          <w:p w:rsidR="005E2BC0" w:rsidRPr="00CA7F68" w:rsidRDefault="005E2BC0" w:rsidP="00184DA6">
            <w:pPr>
              <w:spacing w:before="100" w:beforeAutospacing="1" w:after="100" w:afterAutospacing="1"/>
            </w:pPr>
            <w:r w:rsidRPr="00CA7F68">
              <w:rPr>
                <w:iCs/>
              </w:rPr>
              <w:t>Projekts šo jomu neskar.</w:t>
            </w:r>
          </w:p>
        </w:tc>
      </w:tr>
      <w:tr w:rsidR="005E2BC0" w:rsidRPr="00CA7F68" w:rsidTr="005E2BC0">
        <w:tblPrEx>
          <w:tblCellMar>
            <w:left w:w="0" w:type="dxa"/>
            <w:right w:w="0" w:type="dxa"/>
          </w:tblCellMar>
          <w:tblLook w:val="0000"/>
        </w:tblPrEx>
        <w:trPr>
          <w:trHeight w:val="161"/>
          <w:jc w:val="center"/>
        </w:trPr>
        <w:tc>
          <w:tcPr>
            <w:tcW w:w="2843" w:type="dxa"/>
            <w:gridSpan w:val="4"/>
          </w:tcPr>
          <w:p w:rsidR="005E2BC0" w:rsidRPr="00CA7F68" w:rsidRDefault="005E2BC0" w:rsidP="00184DA6">
            <w:pPr>
              <w:spacing w:before="100" w:beforeAutospacing="1" w:after="100" w:afterAutospacing="1"/>
            </w:pPr>
            <w:r w:rsidRPr="00CA7F68">
              <w:t>Cita informācija</w:t>
            </w:r>
          </w:p>
        </w:tc>
        <w:tc>
          <w:tcPr>
            <w:tcW w:w="6858" w:type="dxa"/>
            <w:gridSpan w:val="6"/>
          </w:tcPr>
          <w:p w:rsidR="005E2BC0" w:rsidRPr="00CA7F68" w:rsidRDefault="005E2BC0" w:rsidP="00184DA6">
            <w:pPr>
              <w:spacing w:before="100" w:beforeAutospacing="1" w:after="100" w:afterAutospacing="1"/>
            </w:pPr>
            <w:r w:rsidRPr="00CA7F68">
              <w:t>Nav</w:t>
            </w:r>
          </w:p>
        </w:tc>
      </w:tr>
    </w:tbl>
    <w:p w:rsidR="00FE5186" w:rsidRPr="00CA7F68" w:rsidRDefault="00184DA6" w:rsidP="0049325E">
      <w:pPr>
        <w:spacing w:before="100" w:beforeAutospacing="1" w:after="100" w:afterAutospacing="1"/>
      </w:pPr>
      <w:r w:rsidRPr="00CA7F68">
        <w:t xml:space="preserve">Anotācijas </w:t>
      </w:r>
      <w:r w:rsidR="00D10F81" w:rsidRPr="00CA7F68">
        <w:t>V</w:t>
      </w:r>
      <w:r w:rsidRPr="00CA7F68">
        <w:t>I</w:t>
      </w:r>
      <w:r w:rsidR="00C94FED" w:rsidRPr="00CA7F68">
        <w:t>–</w:t>
      </w:r>
      <w:r w:rsidR="00D10F81" w:rsidRPr="00CA7F68">
        <w:t>VII sadaļa – projekts šīs jomas neskar.</w:t>
      </w:r>
    </w:p>
    <w:p w:rsidR="00CA7F68" w:rsidRDefault="00CA7F68" w:rsidP="00CA7F68">
      <w:pPr>
        <w:ind w:firstLine="720"/>
        <w:rPr>
          <w:sz w:val="28"/>
          <w:szCs w:val="20"/>
        </w:rPr>
      </w:pPr>
      <w:r>
        <w:rPr>
          <w:sz w:val="28"/>
          <w:szCs w:val="20"/>
        </w:rPr>
        <w:t xml:space="preserve">Zemkopības ministra </w:t>
      </w:r>
      <w:proofErr w:type="spellStart"/>
      <w:r>
        <w:rPr>
          <w:sz w:val="28"/>
          <w:szCs w:val="20"/>
        </w:rPr>
        <w:t>p.i</w:t>
      </w:r>
      <w:proofErr w:type="spellEnd"/>
      <w:r>
        <w:rPr>
          <w:sz w:val="28"/>
          <w:szCs w:val="20"/>
        </w:rPr>
        <w:t xml:space="preserve">. - </w:t>
      </w:r>
      <w:r>
        <w:rPr>
          <w:sz w:val="28"/>
          <w:szCs w:val="20"/>
        </w:rPr>
        <w:tab/>
      </w:r>
      <w:r>
        <w:rPr>
          <w:sz w:val="28"/>
          <w:szCs w:val="20"/>
        </w:rPr>
        <w:tab/>
      </w:r>
      <w:r>
        <w:rPr>
          <w:sz w:val="28"/>
          <w:szCs w:val="20"/>
        </w:rPr>
        <w:tab/>
      </w:r>
      <w:r>
        <w:rPr>
          <w:sz w:val="28"/>
          <w:szCs w:val="20"/>
        </w:rPr>
        <w:tab/>
      </w:r>
      <w:r>
        <w:rPr>
          <w:sz w:val="28"/>
          <w:szCs w:val="20"/>
        </w:rPr>
        <w:tab/>
      </w:r>
      <w:proofErr w:type="spellStart"/>
      <w:r>
        <w:rPr>
          <w:sz w:val="28"/>
          <w:szCs w:val="20"/>
        </w:rPr>
        <w:t>I.Viņķele</w:t>
      </w:r>
      <w:proofErr w:type="spellEnd"/>
    </w:p>
    <w:p w:rsidR="00B30E58" w:rsidRPr="00CA7F68" w:rsidRDefault="00CA7F68" w:rsidP="00CA7F68">
      <w:pPr>
        <w:ind w:firstLine="720"/>
        <w:jc w:val="both"/>
        <w:rPr>
          <w:sz w:val="28"/>
          <w:szCs w:val="20"/>
        </w:rPr>
      </w:pPr>
      <w:r>
        <w:rPr>
          <w:sz w:val="28"/>
          <w:szCs w:val="20"/>
        </w:rPr>
        <w:t>labklājības ministre</w:t>
      </w:r>
    </w:p>
    <w:p w:rsidR="00CA7F68" w:rsidRPr="0049325E" w:rsidRDefault="00CA7F68" w:rsidP="005E2BC0">
      <w:pPr>
        <w:jc w:val="both"/>
        <w:rPr>
          <w:sz w:val="28"/>
          <w:szCs w:val="28"/>
        </w:rPr>
      </w:pPr>
    </w:p>
    <w:p w:rsidR="00606319" w:rsidRPr="00E3790A" w:rsidRDefault="00606319" w:rsidP="008C0C16">
      <w:pPr>
        <w:rPr>
          <w:sz w:val="20"/>
          <w:szCs w:val="20"/>
        </w:rPr>
      </w:pPr>
      <w:r w:rsidRPr="00E3790A">
        <w:rPr>
          <w:sz w:val="20"/>
          <w:szCs w:val="20"/>
        </w:rPr>
        <w:t>2013.08.27. 12:58</w:t>
      </w:r>
    </w:p>
    <w:p w:rsidR="00E3790A" w:rsidRPr="00E3790A" w:rsidRDefault="00E3790A" w:rsidP="008C0C16">
      <w:pPr>
        <w:rPr>
          <w:sz w:val="20"/>
          <w:szCs w:val="20"/>
        </w:rPr>
      </w:pPr>
      <w:fldSimple w:instr=" NUMWORDS   \* MERGEFORMAT ">
        <w:r w:rsidRPr="00E3790A">
          <w:rPr>
            <w:noProof/>
            <w:sz w:val="20"/>
            <w:szCs w:val="20"/>
          </w:rPr>
          <w:t>2016</w:t>
        </w:r>
      </w:fldSimple>
    </w:p>
    <w:p w:rsidR="008C0C16" w:rsidRPr="00E3790A" w:rsidRDefault="00532AE4" w:rsidP="008C0C16">
      <w:pPr>
        <w:rPr>
          <w:sz w:val="20"/>
          <w:szCs w:val="20"/>
          <w:lang w:val="pl-PL"/>
        </w:rPr>
      </w:pPr>
      <w:r w:rsidRPr="00E3790A">
        <w:rPr>
          <w:sz w:val="20"/>
          <w:szCs w:val="20"/>
          <w:lang w:val="pl-PL"/>
        </w:rPr>
        <w:t>K.Lūks</w:t>
      </w:r>
    </w:p>
    <w:p w:rsidR="000A15B9" w:rsidRPr="00E3790A" w:rsidRDefault="008C0C16">
      <w:pPr>
        <w:rPr>
          <w:sz w:val="20"/>
          <w:szCs w:val="20"/>
        </w:rPr>
      </w:pPr>
      <w:r w:rsidRPr="00E3790A">
        <w:rPr>
          <w:sz w:val="20"/>
          <w:szCs w:val="20"/>
          <w:lang w:val="pl-PL"/>
        </w:rPr>
        <w:t>67027</w:t>
      </w:r>
      <w:r w:rsidR="00D10F81" w:rsidRPr="00E3790A">
        <w:rPr>
          <w:sz w:val="20"/>
          <w:szCs w:val="20"/>
          <w:lang w:val="pl-PL"/>
        </w:rPr>
        <w:t>325</w:t>
      </w:r>
      <w:r w:rsidRPr="00E3790A">
        <w:rPr>
          <w:sz w:val="20"/>
          <w:szCs w:val="20"/>
          <w:lang w:val="pl-PL"/>
        </w:rPr>
        <w:t xml:space="preserve">, </w:t>
      </w:r>
      <w:r w:rsidR="00532AE4" w:rsidRPr="00E3790A">
        <w:rPr>
          <w:sz w:val="20"/>
          <w:szCs w:val="20"/>
          <w:lang w:val="pl-PL"/>
        </w:rPr>
        <w:t>Karlis.Luks</w:t>
      </w:r>
      <w:r w:rsidRPr="00E3790A">
        <w:rPr>
          <w:sz w:val="20"/>
          <w:szCs w:val="20"/>
          <w:lang w:val="pl-PL"/>
        </w:rPr>
        <w:t>@zm.gov.lv</w:t>
      </w:r>
    </w:p>
    <w:sectPr w:rsidR="000A15B9" w:rsidRPr="00E3790A" w:rsidSect="00BF3EF6">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008" w:rsidRDefault="00622008">
      <w:r>
        <w:separator/>
      </w:r>
    </w:p>
  </w:endnote>
  <w:endnote w:type="continuationSeparator" w:id="0">
    <w:p w:rsidR="00622008" w:rsidRDefault="00622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EF6" w:rsidRPr="00BA72C7" w:rsidRDefault="00606319" w:rsidP="00BF3EF6">
    <w:pPr>
      <w:pStyle w:val="Kjene"/>
      <w:jc w:val="both"/>
      <w:rPr>
        <w:sz w:val="20"/>
        <w:szCs w:val="20"/>
      </w:rPr>
    </w:pPr>
    <w:r>
      <w:rPr>
        <w:sz w:val="20"/>
        <w:szCs w:val="20"/>
      </w:rPr>
      <w:t>ZMAnot_2708</w:t>
    </w:r>
    <w:r w:rsidR="00BF3EF6">
      <w:rPr>
        <w:sz w:val="20"/>
        <w:szCs w:val="20"/>
      </w:rPr>
      <w:t>13_Nr520euro</w:t>
    </w:r>
    <w:r w:rsidR="00BF3EF6" w:rsidRPr="00BA72C7">
      <w:rPr>
        <w:sz w:val="20"/>
        <w:szCs w:val="20"/>
      </w:rPr>
      <w:t xml:space="preserve">; </w:t>
    </w:r>
    <w:r w:rsidR="00BF3EF6" w:rsidRPr="00532AE4">
      <w:rPr>
        <w:bCs/>
        <w:sz w:val="20"/>
        <w:szCs w:val="20"/>
      </w:rPr>
      <w:t xml:space="preserve">Ministru kabineta </w:t>
    </w:r>
    <w:r w:rsidR="00BF3EF6">
      <w:rPr>
        <w:bCs/>
        <w:sz w:val="20"/>
        <w:szCs w:val="20"/>
      </w:rPr>
      <w:t xml:space="preserve">noteikumi </w:t>
    </w:r>
    <w:r w:rsidR="00BF3EF6" w:rsidRPr="00532AE4">
      <w:rPr>
        <w:bCs/>
        <w:sz w:val="20"/>
        <w:szCs w:val="20"/>
      </w:rPr>
      <w:t>„Nodrošinājuma piemērošanas kārtība lauksaimniecības un tās pārstrādes produktiem”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Pr="00BA72C7" w:rsidRDefault="000E3CA0" w:rsidP="007C780E">
    <w:pPr>
      <w:pStyle w:val="Kjene"/>
      <w:jc w:val="both"/>
      <w:rPr>
        <w:sz w:val="20"/>
        <w:szCs w:val="20"/>
      </w:rPr>
    </w:pPr>
    <w:r>
      <w:rPr>
        <w:sz w:val="20"/>
        <w:szCs w:val="20"/>
      </w:rPr>
      <w:t>ZMAnot_</w:t>
    </w:r>
    <w:r w:rsidR="0049325E">
      <w:rPr>
        <w:sz w:val="20"/>
        <w:szCs w:val="20"/>
      </w:rPr>
      <w:t>2708</w:t>
    </w:r>
    <w:r w:rsidR="00BF3EF6">
      <w:rPr>
        <w:sz w:val="20"/>
        <w:szCs w:val="20"/>
      </w:rPr>
      <w:t>13</w:t>
    </w:r>
    <w:r w:rsidR="00C033BE">
      <w:rPr>
        <w:sz w:val="20"/>
        <w:szCs w:val="20"/>
      </w:rPr>
      <w:t>_Nr520euro</w:t>
    </w:r>
    <w:r w:rsidRPr="00BA72C7">
      <w:rPr>
        <w:sz w:val="20"/>
        <w:szCs w:val="20"/>
      </w:rPr>
      <w:t xml:space="preserve">; </w:t>
    </w:r>
    <w:r w:rsidR="00532AE4" w:rsidRPr="00532AE4">
      <w:rPr>
        <w:bCs/>
        <w:sz w:val="20"/>
        <w:szCs w:val="20"/>
      </w:rPr>
      <w:t xml:space="preserve">Ministru kabineta </w:t>
    </w:r>
    <w:r w:rsidR="00184DA6">
      <w:rPr>
        <w:bCs/>
        <w:sz w:val="20"/>
        <w:szCs w:val="20"/>
      </w:rPr>
      <w:t xml:space="preserve">noteikumi </w:t>
    </w:r>
    <w:r w:rsidR="00532AE4" w:rsidRPr="00532AE4">
      <w:rPr>
        <w:bCs/>
        <w:sz w:val="20"/>
        <w:szCs w:val="20"/>
      </w:rPr>
      <w:t>„Nodrošinājuma piemērošanas kārtība lauksaimniecības un tās pārstrādes produktiem”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008" w:rsidRDefault="00622008">
      <w:r>
        <w:separator/>
      </w:r>
    </w:p>
  </w:footnote>
  <w:footnote w:type="continuationSeparator" w:id="0">
    <w:p w:rsidR="00622008" w:rsidRDefault="00622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125046"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end"/>
    </w:r>
  </w:p>
  <w:p w:rsidR="000E3CA0" w:rsidRDefault="000E3CA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CA0" w:rsidRDefault="00125046" w:rsidP="008C0C16">
    <w:pPr>
      <w:pStyle w:val="Galvene"/>
      <w:framePr w:wrap="around" w:vAnchor="text" w:hAnchor="margin" w:xAlign="center" w:y="1"/>
      <w:rPr>
        <w:rStyle w:val="Lappusesnumurs"/>
      </w:rPr>
    </w:pPr>
    <w:r>
      <w:rPr>
        <w:rStyle w:val="Lappusesnumurs"/>
      </w:rPr>
      <w:fldChar w:fldCharType="begin"/>
    </w:r>
    <w:r w:rsidR="000E3CA0">
      <w:rPr>
        <w:rStyle w:val="Lappusesnumurs"/>
      </w:rPr>
      <w:instrText xml:space="preserve">PAGE  </w:instrText>
    </w:r>
    <w:r>
      <w:rPr>
        <w:rStyle w:val="Lappusesnumurs"/>
      </w:rPr>
      <w:fldChar w:fldCharType="separate"/>
    </w:r>
    <w:r w:rsidR="00E3790A">
      <w:rPr>
        <w:rStyle w:val="Lappusesnumurs"/>
        <w:noProof/>
      </w:rPr>
      <w:t>7</w:t>
    </w:r>
    <w:r>
      <w:rPr>
        <w:rStyle w:val="Lappusesnumurs"/>
      </w:rPr>
      <w:fldChar w:fldCharType="end"/>
    </w:r>
  </w:p>
  <w:p w:rsidR="000E3CA0" w:rsidRDefault="000E3CA0">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DF8"/>
    <w:multiLevelType w:val="hybridMultilevel"/>
    <w:tmpl w:val="08CA69E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3B6C5742"/>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7183893"/>
    <w:multiLevelType w:val="hybridMultilevel"/>
    <w:tmpl w:val="05DE5B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2F80550"/>
    <w:multiLevelType w:val="hybridMultilevel"/>
    <w:tmpl w:val="980222E2"/>
    <w:lvl w:ilvl="0" w:tplc="9E96866E">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
    <w:nsid w:val="70276405"/>
    <w:multiLevelType w:val="hybridMultilevel"/>
    <w:tmpl w:val="C6AE81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AC6550"/>
    <w:multiLevelType w:val="hybridMultilevel"/>
    <w:tmpl w:val="E9E0D88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8C0C16"/>
    <w:rsid w:val="00010FA0"/>
    <w:rsid w:val="00014A71"/>
    <w:rsid w:val="00016FE9"/>
    <w:rsid w:val="0001767D"/>
    <w:rsid w:val="00025839"/>
    <w:rsid w:val="00027155"/>
    <w:rsid w:val="00030CD8"/>
    <w:rsid w:val="00034AFC"/>
    <w:rsid w:val="00037689"/>
    <w:rsid w:val="00042708"/>
    <w:rsid w:val="00043429"/>
    <w:rsid w:val="000446F4"/>
    <w:rsid w:val="00045022"/>
    <w:rsid w:val="00045B35"/>
    <w:rsid w:val="000519D5"/>
    <w:rsid w:val="000519F8"/>
    <w:rsid w:val="00056C3A"/>
    <w:rsid w:val="000660A3"/>
    <w:rsid w:val="00072806"/>
    <w:rsid w:val="00072A53"/>
    <w:rsid w:val="0008145B"/>
    <w:rsid w:val="00084907"/>
    <w:rsid w:val="00095FDB"/>
    <w:rsid w:val="000A04B8"/>
    <w:rsid w:val="000A15B9"/>
    <w:rsid w:val="000A196D"/>
    <w:rsid w:val="000A7B2A"/>
    <w:rsid w:val="000B087F"/>
    <w:rsid w:val="000B7F0F"/>
    <w:rsid w:val="000C0189"/>
    <w:rsid w:val="000C0AA9"/>
    <w:rsid w:val="000C18B3"/>
    <w:rsid w:val="000D0B1C"/>
    <w:rsid w:val="000D3276"/>
    <w:rsid w:val="000D33D4"/>
    <w:rsid w:val="000E33C1"/>
    <w:rsid w:val="000E3537"/>
    <w:rsid w:val="000E3CA0"/>
    <w:rsid w:val="000F5137"/>
    <w:rsid w:val="000F5507"/>
    <w:rsid w:val="000F6538"/>
    <w:rsid w:val="00103FFB"/>
    <w:rsid w:val="00104C3E"/>
    <w:rsid w:val="00107B33"/>
    <w:rsid w:val="00114B2C"/>
    <w:rsid w:val="00114F7D"/>
    <w:rsid w:val="001229E8"/>
    <w:rsid w:val="00123974"/>
    <w:rsid w:val="00125046"/>
    <w:rsid w:val="00127335"/>
    <w:rsid w:val="00133C28"/>
    <w:rsid w:val="00135F38"/>
    <w:rsid w:val="00137300"/>
    <w:rsid w:val="00140D52"/>
    <w:rsid w:val="00144F5A"/>
    <w:rsid w:val="001460FE"/>
    <w:rsid w:val="001470A9"/>
    <w:rsid w:val="001474B5"/>
    <w:rsid w:val="00155C68"/>
    <w:rsid w:val="00161F09"/>
    <w:rsid w:val="00164C5E"/>
    <w:rsid w:val="001666D7"/>
    <w:rsid w:val="00166D35"/>
    <w:rsid w:val="0017558F"/>
    <w:rsid w:val="00180F0F"/>
    <w:rsid w:val="001819AA"/>
    <w:rsid w:val="00181F7B"/>
    <w:rsid w:val="00184DA6"/>
    <w:rsid w:val="001931C3"/>
    <w:rsid w:val="001A1034"/>
    <w:rsid w:val="001A13EF"/>
    <w:rsid w:val="001A2EEA"/>
    <w:rsid w:val="001A4906"/>
    <w:rsid w:val="001A4F3E"/>
    <w:rsid w:val="001A50DB"/>
    <w:rsid w:val="001B29CD"/>
    <w:rsid w:val="001C2C1B"/>
    <w:rsid w:val="001C4050"/>
    <w:rsid w:val="001C66D2"/>
    <w:rsid w:val="001D7A69"/>
    <w:rsid w:val="001E1037"/>
    <w:rsid w:val="001E1B85"/>
    <w:rsid w:val="001E7F5F"/>
    <w:rsid w:val="001F15B1"/>
    <w:rsid w:val="001F6507"/>
    <w:rsid w:val="002022A6"/>
    <w:rsid w:val="00205D9B"/>
    <w:rsid w:val="002368C4"/>
    <w:rsid w:val="00236AC7"/>
    <w:rsid w:val="002433B7"/>
    <w:rsid w:val="0024753B"/>
    <w:rsid w:val="002507B1"/>
    <w:rsid w:val="0025239A"/>
    <w:rsid w:val="00253916"/>
    <w:rsid w:val="00256448"/>
    <w:rsid w:val="002611F3"/>
    <w:rsid w:val="00270201"/>
    <w:rsid w:val="00271C7E"/>
    <w:rsid w:val="002733F6"/>
    <w:rsid w:val="00280BC2"/>
    <w:rsid w:val="00283528"/>
    <w:rsid w:val="00285453"/>
    <w:rsid w:val="002905E5"/>
    <w:rsid w:val="00295A5E"/>
    <w:rsid w:val="00295CE1"/>
    <w:rsid w:val="002A2085"/>
    <w:rsid w:val="002A4C35"/>
    <w:rsid w:val="002A5CC7"/>
    <w:rsid w:val="002A7E22"/>
    <w:rsid w:val="002B307C"/>
    <w:rsid w:val="002B41BE"/>
    <w:rsid w:val="002B6EF4"/>
    <w:rsid w:val="002C3F17"/>
    <w:rsid w:val="002C665B"/>
    <w:rsid w:val="002C6959"/>
    <w:rsid w:val="002C6F2D"/>
    <w:rsid w:val="002D0AA6"/>
    <w:rsid w:val="002D65A0"/>
    <w:rsid w:val="002D75C7"/>
    <w:rsid w:val="002E6A34"/>
    <w:rsid w:val="002F0505"/>
    <w:rsid w:val="002F2AED"/>
    <w:rsid w:val="00304426"/>
    <w:rsid w:val="003044D6"/>
    <w:rsid w:val="003074D4"/>
    <w:rsid w:val="00310CAB"/>
    <w:rsid w:val="003124CF"/>
    <w:rsid w:val="00312A0D"/>
    <w:rsid w:val="00314A13"/>
    <w:rsid w:val="00320B81"/>
    <w:rsid w:val="00331595"/>
    <w:rsid w:val="00335C3E"/>
    <w:rsid w:val="00337272"/>
    <w:rsid w:val="00355E38"/>
    <w:rsid w:val="0036017C"/>
    <w:rsid w:val="0036125C"/>
    <w:rsid w:val="00361FF0"/>
    <w:rsid w:val="0037023F"/>
    <w:rsid w:val="003721BD"/>
    <w:rsid w:val="00387C11"/>
    <w:rsid w:val="00390099"/>
    <w:rsid w:val="00390AAF"/>
    <w:rsid w:val="003919D1"/>
    <w:rsid w:val="00396A57"/>
    <w:rsid w:val="003A0C41"/>
    <w:rsid w:val="003A1ED1"/>
    <w:rsid w:val="003B2410"/>
    <w:rsid w:val="003B4E5D"/>
    <w:rsid w:val="003B7AF6"/>
    <w:rsid w:val="003C4E23"/>
    <w:rsid w:val="003C5026"/>
    <w:rsid w:val="003D0C1B"/>
    <w:rsid w:val="003D2A75"/>
    <w:rsid w:val="003D3C57"/>
    <w:rsid w:val="003D58C1"/>
    <w:rsid w:val="003E1E55"/>
    <w:rsid w:val="003F2AF7"/>
    <w:rsid w:val="003F50EA"/>
    <w:rsid w:val="003F670A"/>
    <w:rsid w:val="00403568"/>
    <w:rsid w:val="004048D4"/>
    <w:rsid w:val="004070A0"/>
    <w:rsid w:val="00407F6D"/>
    <w:rsid w:val="00412D00"/>
    <w:rsid w:val="0041683B"/>
    <w:rsid w:val="00417F67"/>
    <w:rsid w:val="00421523"/>
    <w:rsid w:val="0043515E"/>
    <w:rsid w:val="00436830"/>
    <w:rsid w:val="00440346"/>
    <w:rsid w:val="00442D4B"/>
    <w:rsid w:val="00450691"/>
    <w:rsid w:val="00451538"/>
    <w:rsid w:val="00453F67"/>
    <w:rsid w:val="00456507"/>
    <w:rsid w:val="00456557"/>
    <w:rsid w:val="00460076"/>
    <w:rsid w:val="00465D68"/>
    <w:rsid w:val="00467368"/>
    <w:rsid w:val="0047394D"/>
    <w:rsid w:val="004744D4"/>
    <w:rsid w:val="00475F24"/>
    <w:rsid w:val="004874E4"/>
    <w:rsid w:val="00487F47"/>
    <w:rsid w:val="0049325E"/>
    <w:rsid w:val="00494034"/>
    <w:rsid w:val="00496362"/>
    <w:rsid w:val="004A488C"/>
    <w:rsid w:val="004A6A68"/>
    <w:rsid w:val="004B57FE"/>
    <w:rsid w:val="004B7CB7"/>
    <w:rsid w:val="004C17F6"/>
    <w:rsid w:val="004C46AE"/>
    <w:rsid w:val="004D1AA3"/>
    <w:rsid w:val="004D5FE4"/>
    <w:rsid w:val="004E137A"/>
    <w:rsid w:val="004E1D98"/>
    <w:rsid w:val="004E5FFD"/>
    <w:rsid w:val="004E6473"/>
    <w:rsid w:val="004F7053"/>
    <w:rsid w:val="004F74F4"/>
    <w:rsid w:val="00500665"/>
    <w:rsid w:val="00506E7B"/>
    <w:rsid w:val="005148E2"/>
    <w:rsid w:val="00517942"/>
    <w:rsid w:val="00524027"/>
    <w:rsid w:val="00532AE4"/>
    <w:rsid w:val="005335E0"/>
    <w:rsid w:val="005345EE"/>
    <w:rsid w:val="005356CB"/>
    <w:rsid w:val="005378AD"/>
    <w:rsid w:val="00553CE3"/>
    <w:rsid w:val="005607C4"/>
    <w:rsid w:val="0056361B"/>
    <w:rsid w:val="005703DC"/>
    <w:rsid w:val="00576043"/>
    <w:rsid w:val="005800FD"/>
    <w:rsid w:val="00580340"/>
    <w:rsid w:val="00581028"/>
    <w:rsid w:val="00582AA9"/>
    <w:rsid w:val="0059177B"/>
    <w:rsid w:val="00597025"/>
    <w:rsid w:val="005A1702"/>
    <w:rsid w:val="005A1D94"/>
    <w:rsid w:val="005B5373"/>
    <w:rsid w:val="005C5BF8"/>
    <w:rsid w:val="005C6B09"/>
    <w:rsid w:val="005D1B38"/>
    <w:rsid w:val="005E2016"/>
    <w:rsid w:val="005E2BC0"/>
    <w:rsid w:val="005E3BEF"/>
    <w:rsid w:val="005E4D6D"/>
    <w:rsid w:val="005E6EF5"/>
    <w:rsid w:val="00606319"/>
    <w:rsid w:val="006063EC"/>
    <w:rsid w:val="006068D6"/>
    <w:rsid w:val="00613CDF"/>
    <w:rsid w:val="00620A1D"/>
    <w:rsid w:val="00622008"/>
    <w:rsid w:val="006221E0"/>
    <w:rsid w:val="00622434"/>
    <w:rsid w:val="00627DEC"/>
    <w:rsid w:val="00634330"/>
    <w:rsid w:val="006413E5"/>
    <w:rsid w:val="00641FA4"/>
    <w:rsid w:val="00646022"/>
    <w:rsid w:val="006460FB"/>
    <w:rsid w:val="00652AAE"/>
    <w:rsid w:val="00657DE4"/>
    <w:rsid w:val="006633AE"/>
    <w:rsid w:val="00666F3A"/>
    <w:rsid w:val="00667E8E"/>
    <w:rsid w:val="00695F6E"/>
    <w:rsid w:val="006A45CB"/>
    <w:rsid w:val="006A5BDB"/>
    <w:rsid w:val="006B0273"/>
    <w:rsid w:val="006B1236"/>
    <w:rsid w:val="006C44DD"/>
    <w:rsid w:val="006C5E24"/>
    <w:rsid w:val="006C6881"/>
    <w:rsid w:val="006D5016"/>
    <w:rsid w:val="006D5948"/>
    <w:rsid w:val="006D689A"/>
    <w:rsid w:val="006E1BCE"/>
    <w:rsid w:val="006E22EA"/>
    <w:rsid w:val="0070164F"/>
    <w:rsid w:val="00713A57"/>
    <w:rsid w:val="0071453A"/>
    <w:rsid w:val="00716F1B"/>
    <w:rsid w:val="00717C64"/>
    <w:rsid w:val="0072055C"/>
    <w:rsid w:val="0072299D"/>
    <w:rsid w:val="00726803"/>
    <w:rsid w:val="00741C6E"/>
    <w:rsid w:val="0075081A"/>
    <w:rsid w:val="007560F0"/>
    <w:rsid w:val="00761007"/>
    <w:rsid w:val="00761140"/>
    <w:rsid w:val="00761F27"/>
    <w:rsid w:val="00767FF4"/>
    <w:rsid w:val="007805C4"/>
    <w:rsid w:val="00781603"/>
    <w:rsid w:val="0078254B"/>
    <w:rsid w:val="00785552"/>
    <w:rsid w:val="00786D2F"/>
    <w:rsid w:val="007A108C"/>
    <w:rsid w:val="007C0125"/>
    <w:rsid w:val="007C16F0"/>
    <w:rsid w:val="007C3FCA"/>
    <w:rsid w:val="007C5D3A"/>
    <w:rsid w:val="007C780E"/>
    <w:rsid w:val="007D00DC"/>
    <w:rsid w:val="007D1C17"/>
    <w:rsid w:val="007E6CE8"/>
    <w:rsid w:val="007F1813"/>
    <w:rsid w:val="007F1974"/>
    <w:rsid w:val="00802D59"/>
    <w:rsid w:val="00805D3D"/>
    <w:rsid w:val="0080789D"/>
    <w:rsid w:val="008235DC"/>
    <w:rsid w:val="00823631"/>
    <w:rsid w:val="00843F98"/>
    <w:rsid w:val="00846552"/>
    <w:rsid w:val="00846889"/>
    <w:rsid w:val="00847936"/>
    <w:rsid w:val="00851630"/>
    <w:rsid w:val="00851CD7"/>
    <w:rsid w:val="00853718"/>
    <w:rsid w:val="0085418B"/>
    <w:rsid w:val="00860515"/>
    <w:rsid w:val="00860997"/>
    <w:rsid w:val="00873ED1"/>
    <w:rsid w:val="00880116"/>
    <w:rsid w:val="00882F0E"/>
    <w:rsid w:val="00883366"/>
    <w:rsid w:val="008866D9"/>
    <w:rsid w:val="008919DA"/>
    <w:rsid w:val="00892830"/>
    <w:rsid w:val="00892E83"/>
    <w:rsid w:val="008A13F9"/>
    <w:rsid w:val="008A17E9"/>
    <w:rsid w:val="008A5346"/>
    <w:rsid w:val="008A60AF"/>
    <w:rsid w:val="008B1611"/>
    <w:rsid w:val="008C0C16"/>
    <w:rsid w:val="008C5C61"/>
    <w:rsid w:val="008C76C7"/>
    <w:rsid w:val="008D212C"/>
    <w:rsid w:val="008E5655"/>
    <w:rsid w:val="008E614B"/>
    <w:rsid w:val="008F63FC"/>
    <w:rsid w:val="008F68BA"/>
    <w:rsid w:val="00901254"/>
    <w:rsid w:val="00906E21"/>
    <w:rsid w:val="0091439C"/>
    <w:rsid w:val="009169E1"/>
    <w:rsid w:val="00923CC5"/>
    <w:rsid w:val="00924CAC"/>
    <w:rsid w:val="00926AD2"/>
    <w:rsid w:val="0093061F"/>
    <w:rsid w:val="009319AD"/>
    <w:rsid w:val="00943D22"/>
    <w:rsid w:val="00951466"/>
    <w:rsid w:val="00952ACA"/>
    <w:rsid w:val="0096043B"/>
    <w:rsid w:val="00965858"/>
    <w:rsid w:val="009775F5"/>
    <w:rsid w:val="00981DF3"/>
    <w:rsid w:val="00985EF4"/>
    <w:rsid w:val="00986160"/>
    <w:rsid w:val="0099042A"/>
    <w:rsid w:val="00990D29"/>
    <w:rsid w:val="0099678E"/>
    <w:rsid w:val="009A032E"/>
    <w:rsid w:val="009A6E61"/>
    <w:rsid w:val="009B2B08"/>
    <w:rsid w:val="009B5E5D"/>
    <w:rsid w:val="009B7798"/>
    <w:rsid w:val="009C34A1"/>
    <w:rsid w:val="009C3867"/>
    <w:rsid w:val="009C669E"/>
    <w:rsid w:val="009C7559"/>
    <w:rsid w:val="009D2B3A"/>
    <w:rsid w:val="009D3C49"/>
    <w:rsid w:val="009D4438"/>
    <w:rsid w:val="009E0860"/>
    <w:rsid w:val="009E594A"/>
    <w:rsid w:val="009E59BD"/>
    <w:rsid w:val="009E71BC"/>
    <w:rsid w:val="009F3273"/>
    <w:rsid w:val="009F5469"/>
    <w:rsid w:val="009F581B"/>
    <w:rsid w:val="009F5888"/>
    <w:rsid w:val="00A00081"/>
    <w:rsid w:val="00A04C5B"/>
    <w:rsid w:val="00A052EE"/>
    <w:rsid w:val="00A06C70"/>
    <w:rsid w:val="00A1178E"/>
    <w:rsid w:val="00A119F3"/>
    <w:rsid w:val="00A122E9"/>
    <w:rsid w:val="00A127FA"/>
    <w:rsid w:val="00A13B4C"/>
    <w:rsid w:val="00A22291"/>
    <w:rsid w:val="00A3288E"/>
    <w:rsid w:val="00A333E9"/>
    <w:rsid w:val="00A34177"/>
    <w:rsid w:val="00A347CC"/>
    <w:rsid w:val="00A3588E"/>
    <w:rsid w:val="00A40A3D"/>
    <w:rsid w:val="00A42911"/>
    <w:rsid w:val="00A43B8C"/>
    <w:rsid w:val="00A45924"/>
    <w:rsid w:val="00A5411F"/>
    <w:rsid w:val="00A547FA"/>
    <w:rsid w:val="00A615CE"/>
    <w:rsid w:val="00A648D1"/>
    <w:rsid w:val="00A73998"/>
    <w:rsid w:val="00A74C2C"/>
    <w:rsid w:val="00A75F02"/>
    <w:rsid w:val="00A77E01"/>
    <w:rsid w:val="00A80CF4"/>
    <w:rsid w:val="00A81451"/>
    <w:rsid w:val="00A8424F"/>
    <w:rsid w:val="00A85B00"/>
    <w:rsid w:val="00A91700"/>
    <w:rsid w:val="00A93596"/>
    <w:rsid w:val="00A9622E"/>
    <w:rsid w:val="00AA11FE"/>
    <w:rsid w:val="00AB05C0"/>
    <w:rsid w:val="00AB6D9C"/>
    <w:rsid w:val="00AC2D4C"/>
    <w:rsid w:val="00AC3120"/>
    <w:rsid w:val="00AC4CB9"/>
    <w:rsid w:val="00AC524E"/>
    <w:rsid w:val="00AD3E25"/>
    <w:rsid w:val="00AE215A"/>
    <w:rsid w:val="00AE4AF1"/>
    <w:rsid w:val="00AE61F3"/>
    <w:rsid w:val="00AE79B5"/>
    <w:rsid w:val="00AF10A9"/>
    <w:rsid w:val="00AF1641"/>
    <w:rsid w:val="00AF2384"/>
    <w:rsid w:val="00AF2EDA"/>
    <w:rsid w:val="00AF490B"/>
    <w:rsid w:val="00AF6584"/>
    <w:rsid w:val="00AF710B"/>
    <w:rsid w:val="00B0097B"/>
    <w:rsid w:val="00B013B1"/>
    <w:rsid w:val="00B05C81"/>
    <w:rsid w:val="00B06B15"/>
    <w:rsid w:val="00B07244"/>
    <w:rsid w:val="00B14840"/>
    <w:rsid w:val="00B16C5F"/>
    <w:rsid w:val="00B16E08"/>
    <w:rsid w:val="00B23056"/>
    <w:rsid w:val="00B302CC"/>
    <w:rsid w:val="00B30E58"/>
    <w:rsid w:val="00B32C5A"/>
    <w:rsid w:val="00B336A0"/>
    <w:rsid w:val="00B363C6"/>
    <w:rsid w:val="00B413B2"/>
    <w:rsid w:val="00B46048"/>
    <w:rsid w:val="00B50098"/>
    <w:rsid w:val="00B54CB6"/>
    <w:rsid w:val="00B55F3D"/>
    <w:rsid w:val="00B56A22"/>
    <w:rsid w:val="00B6295F"/>
    <w:rsid w:val="00B654DA"/>
    <w:rsid w:val="00B812D0"/>
    <w:rsid w:val="00B851CF"/>
    <w:rsid w:val="00B90886"/>
    <w:rsid w:val="00BA172E"/>
    <w:rsid w:val="00BA1C6F"/>
    <w:rsid w:val="00BA254E"/>
    <w:rsid w:val="00BA4095"/>
    <w:rsid w:val="00BB274E"/>
    <w:rsid w:val="00BB45C2"/>
    <w:rsid w:val="00BB5122"/>
    <w:rsid w:val="00BB62FF"/>
    <w:rsid w:val="00BC0AFD"/>
    <w:rsid w:val="00BC3833"/>
    <w:rsid w:val="00BD1BE3"/>
    <w:rsid w:val="00BD5C63"/>
    <w:rsid w:val="00BD7317"/>
    <w:rsid w:val="00BE7677"/>
    <w:rsid w:val="00BE7DE7"/>
    <w:rsid w:val="00BF0F0C"/>
    <w:rsid w:val="00BF2BDF"/>
    <w:rsid w:val="00BF3EF6"/>
    <w:rsid w:val="00C033BE"/>
    <w:rsid w:val="00C0575B"/>
    <w:rsid w:val="00C11B6F"/>
    <w:rsid w:val="00C1394B"/>
    <w:rsid w:val="00C1440E"/>
    <w:rsid w:val="00C14451"/>
    <w:rsid w:val="00C14BB5"/>
    <w:rsid w:val="00C25FCB"/>
    <w:rsid w:val="00C30ED1"/>
    <w:rsid w:val="00C332B9"/>
    <w:rsid w:val="00C34D9D"/>
    <w:rsid w:val="00C3787D"/>
    <w:rsid w:val="00C40C55"/>
    <w:rsid w:val="00C4371E"/>
    <w:rsid w:val="00C457C0"/>
    <w:rsid w:val="00C45B27"/>
    <w:rsid w:val="00C46076"/>
    <w:rsid w:val="00C503C9"/>
    <w:rsid w:val="00C513D6"/>
    <w:rsid w:val="00C55938"/>
    <w:rsid w:val="00C57290"/>
    <w:rsid w:val="00C57B92"/>
    <w:rsid w:val="00C73605"/>
    <w:rsid w:val="00C7391E"/>
    <w:rsid w:val="00C769D1"/>
    <w:rsid w:val="00C94003"/>
    <w:rsid w:val="00C94FED"/>
    <w:rsid w:val="00C96B84"/>
    <w:rsid w:val="00CA1FDE"/>
    <w:rsid w:val="00CA7F68"/>
    <w:rsid w:val="00CB0E45"/>
    <w:rsid w:val="00CC33D0"/>
    <w:rsid w:val="00CC3CD0"/>
    <w:rsid w:val="00CC646C"/>
    <w:rsid w:val="00CE131F"/>
    <w:rsid w:val="00CE2C53"/>
    <w:rsid w:val="00CE3401"/>
    <w:rsid w:val="00CE490E"/>
    <w:rsid w:val="00CE4E48"/>
    <w:rsid w:val="00CE5AC0"/>
    <w:rsid w:val="00CF444D"/>
    <w:rsid w:val="00D05BB6"/>
    <w:rsid w:val="00D06BC6"/>
    <w:rsid w:val="00D10F81"/>
    <w:rsid w:val="00D14608"/>
    <w:rsid w:val="00D14CD2"/>
    <w:rsid w:val="00D3003E"/>
    <w:rsid w:val="00D30C3D"/>
    <w:rsid w:val="00D30E03"/>
    <w:rsid w:val="00D3543A"/>
    <w:rsid w:val="00D372BC"/>
    <w:rsid w:val="00D378F7"/>
    <w:rsid w:val="00D5472D"/>
    <w:rsid w:val="00D57D80"/>
    <w:rsid w:val="00D71169"/>
    <w:rsid w:val="00D7213E"/>
    <w:rsid w:val="00D76D21"/>
    <w:rsid w:val="00D82308"/>
    <w:rsid w:val="00D83D66"/>
    <w:rsid w:val="00D94469"/>
    <w:rsid w:val="00DB0231"/>
    <w:rsid w:val="00DB2BBD"/>
    <w:rsid w:val="00DC0987"/>
    <w:rsid w:val="00DC444E"/>
    <w:rsid w:val="00DC7E49"/>
    <w:rsid w:val="00DD53A4"/>
    <w:rsid w:val="00DE3841"/>
    <w:rsid w:val="00DE3A5E"/>
    <w:rsid w:val="00DF0CBF"/>
    <w:rsid w:val="00DF25E9"/>
    <w:rsid w:val="00DF287E"/>
    <w:rsid w:val="00DF63B7"/>
    <w:rsid w:val="00DF7B24"/>
    <w:rsid w:val="00E077E7"/>
    <w:rsid w:val="00E113AE"/>
    <w:rsid w:val="00E12349"/>
    <w:rsid w:val="00E14CBC"/>
    <w:rsid w:val="00E16C64"/>
    <w:rsid w:val="00E21D90"/>
    <w:rsid w:val="00E22CCA"/>
    <w:rsid w:val="00E2623E"/>
    <w:rsid w:val="00E3790A"/>
    <w:rsid w:val="00E45788"/>
    <w:rsid w:val="00E51E59"/>
    <w:rsid w:val="00E523EF"/>
    <w:rsid w:val="00E54990"/>
    <w:rsid w:val="00E62B66"/>
    <w:rsid w:val="00E63A66"/>
    <w:rsid w:val="00E65D72"/>
    <w:rsid w:val="00E748F3"/>
    <w:rsid w:val="00E758A8"/>
    <w:rsid w:val="00E8100B"/>
    <w:rsid w:val="00E86D9D"/>
    <w:rsid w:val="00E86DD3"/>
    <w:rsid w:val="00EA27A0"/>
    <w:rsid w:val="00EA3820"/>
    <w:rsid w:val="00EA411D"/>
    <w:rsid w:val="00EA7106"/>
    <w:rsid w:val="00EA7443"/>
    <w:rsid w:val="00EB29A4"/>
    <w:rsid w:val="00EB3145"/>
    <w:rsid w:val="00EC67D8"/>
    <w:rsid w:val="00ED1A25"/>
    <w:rsid w:val="00ED34EA"/>
    <w:rsid w:val="00ED3569"/>
    <w:rsid w:val="00ED6F68"/>
    <w:rsid w:val="00EE0347"/>
    <w:rsid w:val="00EE4C62"/>
    <w:rsid w:val="00F007B7"/>
    <w:rsid w:val="00F10AA0"/>
    <w:rsid w:val="00F12BD7"/>
    <w:rsid w:val="00F13363"/>
    <w:rsid w:val="00F14864"/>
    <w:rsid w:val="00F151BD"/>
    <w:rsid w:val="00F21CE6"/>
    <w:rsid w:val="00F22413"/>
    <w:rsid w:val="00F2412C"/>
    <w:rsid w:val="00F333B8"/>
    <w:rsid w:val="00F336F7"/>
    <w:rsid w:val="00F3409C"/>
    <w:rsid w:val="00F47520"/>
    <w:rsid w:val="00F47A43"/>
    <w:rsid w:val="00F576D8"/>
    <w:rsid w:val="00F61CD9"/>
    <w:rsid w:val="00F659F8"/>
    <w:rsid w:val="00F75305"/>
    <w:rsid w:val="00F83B89"/>
    <w:rsid w:val="00F83FBD"/>
    <w:rsid w:val="00F86A98"/>
    <w:rsid w:val="00F92C7C"/>
    <w:rsid w:val="00F9711D"/>
    <w:rsid w:val="00FA2BD7"/>
    <w:rsid w:val="00FA6302"/>
    <w:rsid w:val="00FB2E0D"/>
    <w:rsid w:val="00FC4233"/>
    <w:rsid w:val="00FC773D"/>
    <w:rsid w:val="00FE1E56"/>
    <w:rsid w:val="00FE484B"/>
    <w:rsid w:val="00FE5186"/>
    <w:rsid w:val="00FE6FEE"/>
    <w:rsid w:val="00FF0CF3"/>
    <w:rsid w:val="00FF616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ais"/>
    <w:rsid w:val="008C0C16"/>
    <w:pPr>
      <w:spacing w:before="75" w:after="75"/>
    </w:pPr>
  </w:style>
  <w:style w:type="paragraph" w:customStyle="1" w:styleId="naispant">
    <w:name w:val="naispant"/>
    <w:basedOn w:val="Parastais"/>
    <w:rsid w:val="008C0C16"/>
    <w:pPr>
      <w:spacing w:before="100" w:beforeAutospacing="1" w:after="100" w:afterAutospacing="1"/>
    </w:pPr>
  </w:style>
  <w:style w:type="paragraph" w:styleId="Galvene">
    <w:name w:val="header"/>
    <w:basedOn w:val="Parastai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ais"/>
    <w:rsid w:val="008C0C16"/>
    <w:pPr>
      <w:spacing w:before="150" w:after="150"/>
      <w:jc w:val="center"/>
    </w:pPr>
    <w:rPr>
      <w:b/>
      <w:bCs/>
    </w:rPr>
  </w:style>
  <w:style w:type="paragraph" w:customStyle="1" w:styleId="naisf">
    <w:name w:val="naisf"/>
    <w:basedOn w:val="Parastais"/>
    <w:rsid w:val="008C0C16"/>
    <w:pPr>
      <w:spacing w:before="75" w:after="75"/>
      <w:ind w:firstLine="375"/>
      <w:jc w:val="both"/>
    </w:pPr>
  </w:style>
  <w:style w:type="paragraph" w:customStyle="1" w:styleId="CharChar">
    <w:name w:val="Char Char"/>
    <w:basedOn w:val="Parastai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ais"/>
    <w:rsid w:val="008C0C16"/>
    <w:pPr>
      <w:tabs>
        <w:tab w:val="center" w:pos="4153"/>
        <w:tab w:val="right" w:pos="8306"/>
      </w:tabs>
    </w:pPr>
  </w:style>
  <w:style w:type="paragraph" w:customStyle="1" w:styleId="CharChar1">
    <w:name w:val="Char Char1"/>
    <w:basedOn w:val="Parastais"/>
    <w:rsid w:val="00CE131F"/>
    <w:pPr>
      <w:spacing w:before="40"/>
    </w:pPr>
    <w:rPr>
      <w:lang w:val="pl-PL" w:eastAsia="pl-PL"/>
    </w:rPr>
  </w:style>
  <w:style w:type="paragraph" w:styleId="Balonteksts">
    <w:name w:val="Balloon Text"/>
    <w:basedOn w:val="Parastais"/>
    <w:semiHidden/>
    <w:rsid w:val="00851630"/>
    <w:rPr>
      <w:rFonts w:ascii="Tahoma" w:hAnsi="Tahoma" w:cs="Tahoma"/>
      <w:sz w:val="16"/>
      <w:szCs w:val="16"/>
    </w:rPr>
  </w:style>
  <w:style w:type="paragraph" w:customStyle="1" w:styleId="RakstzRakstzCharChar">
    <w:name w:val="Rakstz. Rakstz. Char Char"/>
    <w:basedOn w:val="Parastais"/>
    <w:rsid w:val="00AE79B5"/>
    <w:pPr>
      <w:spacing w:before="120" w:after="160" w:line="240" w:lineRule="exact"/>
      <w:ind w:firstLine="720"/>
      <w:jc w:val="both"/>
    </w:pPr>
    <w:rPr>
      <w:rFonts w:ascii="Verdana" w:hAnsi="Verdana"/>
      <w:sz w:val="20"/>
      <w:szCs w:val="20"/>
      <w:lang w:val="en-US" w:eastAsia="en-US"/>
    </w:rPr>
  </w:style>
  <w:style w:type="paragraph" w:styleId="ParastaisWeb">
    <w:name w:val="Normal (Web)"/>
    <w:basedOn w:val="Parastais"/>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ai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rPr>
  </w:style>
  <w:style w:type="character" w:customStyle="1" w:styleId="KomentratmaRakstz">
    <w:name w:val="Komentāra tēma Rakstz."/>
    <w:link w:val="Komentratma"/>
    <w:rsid w:val="00E62B66"/>
    <w:rPr>
      <w:b/>
      <w:bCs/>
    </w:rPr>
  </w:style>
  <w:style w:type="paragraph" w:styleId="Sarakstarindkopa">
    <w:name w:val="List Paragraph"/>
    <w:basedOn w:val="Parastai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ai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C0C16"/>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s"/>
    <w:rsid w:val="008C0C16"/>
    <w:pPr>
      <w:spacing w:before="75" w:after="75"/>
      <w:jc w:val="right"/>
    </w:pPr>
  </w:style>
  <w:style w:type="table" w:styleId="Reatabula">
    <w:name w:val="Table Grid"/>
    <w:basedOn w:val="Parastatabula"/>
    <w:rsid w:val="008C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iskr">
    <w:name w:val="naiskr"/>
    <w:basedOn w:val="Parasts"/>
    <w:rsid w:val="008C0C16"/>
    <w:pPr>
      <w:spacing w:before="75" w:after="75"/>
    </w:pPr>
  </w:style>
  <w:style w:type="paragraph" w:customStyle="1" w:styleId="naispant">
    <w:name w:val="naispant"/>
    <w:basedOn w:val="Parasts"/>
    <w:rsid w:val="008C0C16"/>
    <w:pPr>
      <w:spacing w:before="100" w:beforeAutospacing="1" w:after="100" w:afterAutospacing="1"/>
    </w:pPr>
  </w:style>
  <w:style w:type="paragraph" w:styleId="Galvene">
    <w:name w:val="header"/>
    <w:basedOn w:val="Parasts"/>
    <w:rsid w:val="008C0C16"/>
    <w:pPr>
      <w:tabs>
        <w:tab w:val="center" w:pos="4153"/>
        <w:tab w:val="right" w:pos="8306"/>
      </w:tabs>
    </w:pPr>
  </w:style>
  <w:style w:type="character" w:styleId="Lappusesnumurs">
    <w:name w:val="page number"/>
    <w:basedOn w:val="Noklusjumarindkopasfonts"/>
    <w:rsid w:val="008C0C16"/>
  </w:style>
  <w:style w:type="paragraph" w:customStyle="1" w:styleId="naisnod">
    <w:name w:val="naisnod"/>
    <w:basedOn w:val="Parasts"/>
    <w:rsid w:val="008C0C16"/>
    <w:pPr>
      <w:spacing w:before="150" w:after="150"/>
      <w:jc w:val="center"/>
    </w:pPr>
    <w:rPr>
      <w:b/>
      <w:bCs/>
    </w:rPr>
  </w:style>
  <w:style w:type="paragraph" w:customStyle="1" w:styleId="naisf">
    <w:name w:val="naisf"/>
    <w:basedOn w:val="Parasts"/>
    <w:rsid w:val="008C0C16"/>
    <w:pPr>
      <w:spacing w:before="75" w:after="75"/>
      <w:ind w:firstLine="375"/>
      <w:jc w:val="both"/>
    </w:pPr>
  </w:style>
  <w:style w:type="paragraph" w:customStyle="1" w:styleId="CharChar">
    <w:name w:val="Char Char"/>
    <w:basedOn w:val="Parasts"/>
    <w:rsid w:val="008C0C16"/>
    <w:pPr>
      <w:spacing w:before="40"/>
    </w:pPr>
    <w:rPr>
      <w:lang w:val="pl-PL" w:eastAsia="pl-PL"/>
    </w:rPr>
  </w:style>
  <w:style w:type="character" w:styleId="Izteiksmgs">
    <w:name w:val="Strong"/>
    <w:uiPriority w:val="22"/>
    <w:qFormat/>
    <w:rsid w:val="008C0C16"/>
    <w:rPr>
      <w:b/>
      <w:bCs/>
    </w:rPr>
  </w:style>
  <w:style w:type="paragraph" w:styleId="Kjene">
    <w:name w:val="footer"/>
    <w:basedOn w:val="Parasts"/>
    <w:rsid w:val="008C0C16"/>
    <w:pPr>
      <w:tabs>
        <w:tab w:val="center" w:pos="4153"/>
        <w:tab w:val="right" w:pos="8306"/>
      </w:tabs>
    </w:pPr>
  </w:style>
  <w:style w:type="paragraph" w:customStyle="1" w:styleId="CharChar1">
    <w:name w:val="Char Char1"/>
    <w:basedOn w:val="Parasts"/>
    <w:rsid w:val="00CE131F"/>
    <w:pPr>
      <w:spacing w:before="40"/>
    </w:pPr>
    <w:rPr>
      <w:lang w:val="pl-PL" w:eastAsia="pl-PL"/>
    </w:rPr>
  </w:style>
  <w:style w:type="paragraph" w:styleId="Balonteksts">
    <w:name w:val="Balloon Text"/>
    <w:basedOn w:val="Parasts"/>
    <w:semiHidden/>
    <w:rsid w:val="00851630"/>
    <w:rPr>
      <w:rFonts w:ascii="Tahoma" w:hAnsi="Tahoma" w:cs="Tahoma"/>
      <w:sz w:val="16"/>
      <w:szCs w:val="16"/>
    </w:rPr>
  </w:style>
  <w:style w:type="paragraph" w:customStyle="1" w:styleId="RakstzRakstzCharChar">
    <w:name w:val="Rakstz. Rakstz. Char Char"/>
    <w:basedOn w:val="Parasts"/>
    <w:rsid w:val="00AE79B5"/>
    <w:pPr>
      <w:spacing w:before="120" w:after="160" w:line="240" w:lineRule="exact"/>
      <w:ind w:firstLine="720"/>
      <w:jc w:val="both"/>
    </w:pPr>
    <w:rPr>
      <w:rFonts w:ascii="Verdana" w:hAnsi="Verdana"/>
      <w:sz w:val="20"/>
      <w:szCs w:val="20"/>
      <w:lang w:val="en-US" w:eastAsia="en-US"/>
    </w:rPr>
  </w:style>
  <w:style w:type="paragraph" w:styleId="Paraststmeklis">
    <w:name w:val="Normal (Web)"/>
    <w:basedOn w:val="Parasts"/>
    <w:rsid w:val="005378AD"/>
    <w:pPr>
      <w:spacing w:before="100" w:beforeAutospacing="1" w:after="100" w:afterAutospacing="1"/>
    </w:pPr>
  </w:style>
  <w:style w:type="character" w:styleId="Hipersaite">
    <w:name w:val="Hyperlink"/>
    <w:uiPriority w:val="99"/>
    <w:unhideWhenUsed/>
    <w:rsid w:val="00E62B66"/>
    <w:rPr>
      <w:color w:val="0000FF"/>
      <w:u w:val="single"/>
    </w:rPr>
  </w:style>
  <w:style w:type="character" w:styleId="Komentraatsauce">
    <w:name w:val="annotation reference"/>
    <w:rsid w:val="00E62B66"/>
    <w:rPr>
      <w:sz w:val="16"/>
      <w:szCs w:val="16"/>
    </w:rPr>
  </w:style>
  <w:style w:type="paragraph" w:styleId="Komentrateksts">
    <w:name w:val="annotation text"/>
    <w:basedOn w:val="Parasts"/>
    <w:link w:val="KomentratekstsRakstz"/>
    <w:rsid w:val="00E62B66"/>
    <w:rPr>
      <w:sz w:val="20"/>
      <w:szCs w:val="20"/>
    </w:rPr>
  </w:style>
  <w:style w:type="character" w:customStyle="1" w:styleId="KomentratekstsRakstz">
    <w:name w:val="Komentāra teksts Rakstz."/>
    <w:basedOn w:val="Noklusjumarindkopasfonts"/>
    <w:link w:val="Komentrateksts"/>
    <w:rsid w:val="00E62B66"/>
  </w:style>
  <w:style w:type="paragraph" w:styleId="Komentratma">
    <w:name w:val="annotation subject"/>
    <w:basedOn w:val="Komentrateksts"/>
    <w:next w:val="Komentrateksts"/>
    <w:link w:val="KomentratmaRakstz"/>
    <w:rsid w:val="00E62B66"/>
    <w:rPr>
      <w:b/>
      <w:bCs/>
      <w:lang w:val="x-none" w:eastAsia="x-none"/>
    </w:rPr>
  </w:style>
  <w:style w:type="character" w:customStyle="1" w:styleId="KomentratmaRakstz">
    <w:name w:val="Komentāra tēma Rakstz."/>
    <w:link w:val="Komentratma"/>
    <w:rsid w:val="00E62B66"/>
    <w:rPr>
      <w:b/>
      <w:bCs/>
    </w:rPr>
  </w:style>
  <w:style w:type="paragraph" w:styleId="Sarakstarindkopa">
    <w:name w:val="List Paragraph"/>
    <w:basedOn w:val="Parasts"/>
    <w:uiPriority w:val="34"/>
    <w:qFormat/>
    <w:rsid w:val="00D30E03"/>
    <w:pPr>
      <w:spacing w:before="100" w:beforeAutospacing="1" w:after="100" w:afterAutospacing="1"/>
    </w:pPr>
  </w:style>
  <w:style w:type="paragraph" w:customStyle="1" w:styleId="Default">
    <w:name w:val="Default"/>
    <w:rsid w:val="00D3003E"/>
    <w:pPr>
      <w:autoSpaceDE w:val="0"/>
      <w:autoSpaceDN w:val="0"/>
      <w:adjustRightInd w:val="0"/>
    </w:pPr>
    <w:rPr>
      <w:color w:val="000000"/>
      <w:sz w:val="24"/>
      <w:szCs w:val="24"/>
    </w:rPr>
  </w:style>
  <w:style w:type="paragraph" w:styleId="Vresteksts">
    <w:name w:val="footnote text"/>
    <w:basedOn w:val="Parasts"/>
    <w:link w:val="VrestekstsRakstz"/>
    <w:unhideWhenUsed/>
    <w:rsid w:val="003B4E5D"/>
    <w:pPr>
      <w:spacing w:after="200" w:line="276" w:lineRule="auto"/>
    </w:pPr>
    <w:rPr>
      <w:rFonts w:ascii="Calibri" w:eastAsia="Calibri" w:hAnsi="Calibri"/>
      <w:sz w:val="20"/>
      <w:szCs w:val="20"/>
      <w:lang w:eastAsia="en-US"/>
    </w:rPr>
  </w:style>
  <w:style w:type="character" w:customStyle="1" w:styleId="VrestekstsRakstz">
    <w:name w:val="Vēres teksts Rakstz."/>
    <w:basedOn w:val="Noklusjumarindkopasfonts"/>
    <w:link w:val="Vresteksts"/>
    <w:rsid w:val="003B4E5D"/>
    <w:rPr>
      <w:rFonts w:ascii="Calibri" w:eastAsia="Calibri" w:hAnsi="Calibri"/>
      <w:lang w:eastAsia="en-US"/>
    </w:rPr>
  </w:style>
  <w:style w:type="character" w:styleId="Vresatsauce">
    <w:name w:val="footnote reference"/>
    <w:uiPriority w:val="99"/>
    <w:unhideWhenUsed/>
    <w:rsid w:val="003B4E5D"/>
    <w:rPr>
      <w:vertAlign w:val="superscript"/>
    </w:rPr>
  </w:style>
</w:styles>
</file>

<file path=word/webSettings.xml><?xml version="1.0" encoding="utf-8"?>
<w:webSettings xmlns:r="http://schemas.openxmlformats.org/officeDocument/2006/relationships" xmlns:w="http://schemas.openxmlformats.org/wordprocessingml/2006/main">
  <w:divs>
    <w:div w:id="36007780">
      <w:bodyDiv w:val="1"/>
      <w:marLeft w:val="0"/>
      <w:marRight w:val="0"/>
      <w:marTop w:val="0"/>
      <w:marBottom w:val="0"/>
      <w:divBdr>
        <w:top w:val="none" w:sz="0" w:space="0" w:color="auto"/>
        <w:left w:val="none" w:sz="0" w:space="0" w:color="auto"/>
        <w:bottom w:val="none" w:sz="0" w:space="0" w:color="auto"/>
        <w:right w:val="none" w:sz="0" w:space="0" w:color="auto"/>
      </w:divBdr>
      <w:divsChild>
        <w:div w:id="478764906">
          <w:marLeft w:val="0"/>
          <w:marRight w:val="0"/>
          <w:marTop w:val="0"/>
          <w:marBottom w:val="0"/>
          <w:divBdr>
            <w:top w:val="none" w:sz="0" w:space="0" w:color="auto"/>
            <w:left w:val="none" w:sz="0" w:space="0" w:color="auto"/>
            <w:bottom w:val="none" w:sz="0" w:space="0" w:color="auto"/>
            <w:right w:val="none" w:sz="0" w:space="0" w:color="auto"/>
          </w:divBdr>
        </w:div>
      </w:divsChild>
    </w:div>
    <w:div w:id="479004702">
      <w:bodyDiv w:val="1"/>
      <w:marLeft w:val="0"/>
      <w:marRight w:val="0"/>
      <w:marTop w:val="0"/>
      <w:marBottom w:val="0"/>
      <w:divBdr>
        <w:top w:val="none" w:sz="0" w:space="0" w:color="auto"/>
        <w:left w:val="none" w:sz="0" w:space="0" w:color="auto"/>
        <w:bottom w:val="none" w:sz="0" w:space="0" w:color="auto"/>
        <w:right w:val="none" w:sz="0" w:space="0" w:color="auto"/>
      </w:divBdr>
    </w:div>
    <w:div w:id="1631594827">
      <w:bodyDiv w:val="1"/>
      <w:marLeft w:val="0"/>
      <w:marRight w:val="0"/>
      <w:marTop w:val="0"/>
      <w:marBottom w:val="0"/>
      <w:divBdr>
        <w:top w:val="none" w:sz="0" w:space="0" w:color="auto"/>
        <w:left w:val="none" w:sz="0" w:space="0" w:color="auto"/>
        <w:bottom w:val="none" w:sz="0" w:space="0" w:color="auto"/>
        <w:right w:val="none" w:sz="0" w:space="0" w:color="auto"/>
      </w:divBdr>
      <w:divsChild>
        <w:div w:id="533268730">
          <w:marLeft w:val="0"/>
          <w:marRight w:val="0"/>
          <w:marTop w:val="0"/>
          <w:marBottom w:val="0"/>
          <w:divBdr>
            <w:top w:val="none" w:sz="0" w:space="0" w:color="auto"/>
            <w:left w:val="none" w:sz="0" w:space="0" w:color="auto"/>
            <w:bottom w:val="none" w:sz="0" w:space="0" w:color="auto"/>
            <w:right w:val="none" w:sz="0" w:space="0" w:color="auto"/>
          </w:divBdr>
        </w:div>
        <w:div w:id="2000228304">
          <w:marLeft w:val="0"/>
          <w:marRight w:val="0"/>
          <w:marTop w:val="0"/>
          <w:marBottom w:val="0"/>
          <w:divBdr>
            <w:top w:val="none" w:sz="0" w:space="0" w:color="auto"/>
            <w:left w:val="none" w:sz="0" w:space="0" w:color="auto"/>
            <w:bottom w:val="none" w:sz="0" w:space="0" w:color="auto"/>
            <w:right w:val="none" w:sz="0" w:space="0" w:color="auto"/>
          </w:divBdr>
        </w:div>
      </w:divsChild>
    </w:div>
    <w:div w:id="16479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2022</Words>
  <Characters>12967</Characters>
  <Application>Microsoft Office Word</Application>
  <DocSecurity>0</DocSecurity>
  <Lines>498</Lines>
  <Paragraphs>182</Paragraphs>
  <ScaleCrop>false</ScaleCrop>
  <HeadingPairs>
    <vt:vector size="4" baseType="variant">
      <vt:variant>
        <vt:lpstr>Nosaukums</vt:lpstr>
      </vt:variant>
      <vt:variant>
        <vt:i4>1</vt:i4>
      </vt:variant>
      <vt:variant>
        <vt:lpstr>Virsraksti</vt:lpstr>
      </vt:variant>
      <vt:variant>
        <vt:i4>2</vt:i4>
      </vt:variant>
    </vt:vector>
  </HeadingPairs>
  <TitlesOfParts>
    <vt:vector size="3" baseType="lpstr">
      <vt:lpstr>Ministru kabineta noteikumu projekta „Kārtība, kādā piešķir, administrē un uzrauga valsts un Eiropas Savienības atbalstu augļu un dārzeņu piegādāšanai skolēniem vispārējās izglītības iestādēs” sākotnējās ietekmes novērtējuma ziņojums (ano</vt:lpstr>
      <vt:lpstr/>
      <vt:lpstr/>
    </vt:vector>
  </TitlesOfParts>
  <Company>ZM</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piešķir, administrē un uzrauga valsts un Eiropas Savienības atbalstu augļu un dārzeņu piegādāšanai skolēniem vispārējās izglītības iestādēs” sākotnējās ietekmes novērtējuma ziņojums (ano</dc:title>
  <dc:subject>Anotācija</dc:subject>
  <dc:creator>Janis.Krainis</dc:creator>
  <cp:lastModifiedBy>Renārs Žagars</cp:lastModifiedBy>
  <cp:revision>9</cp:revision>
  <cp:lastPrinted>2013-06-05T07:40:00Z</cp:lastPrinted>
  <dcterms:created xsi:type="dcterms:W3CDTF">2013-08-14T11:05:00Z</dcterms:created>
  <dcterms:modified xsi:type="dcterms:W3CDTF">2013-08-30T08:00:00Z</dcterms:modified>
</cp:coreProperties>
</file>