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5251" w14:textId="77777777" w:rsidR="004A08DD" w:rsidRDefault="004A08DD" w:rsidP="00F35F0A">
      <w:pPr>
        <w:jc w:val="both"/>
        <w:rPr>
          <w:sz w:val="20"/>
        </w:rPr>
      </w:pPr>
    </w:p>
    <w:p w14:paraId="2340B054" w14:textId="77777777" w:rsidR="00F35F0A" w:rsidRPr="00F5458C" w:rsidRDefault="00F35F0A" w:rsidP="00F35F0A">
      <w:pPr>
        <w:tabs>
          <w:tab w:val="left" w:pos="6804"/>
        </w:tabs>
        <w:jc w:val="both"/>
        <w:rPr>
          <w:sz w:val="28"/>
          <w:szCs w:val="28"/>
          <w:lang w:val="de-DE"/>
        </w:rPr>
      </w:pPr>
    </w:p>
    <w:p w14:paraId="03B94888" w14:textId="77777777" w:rsidR="00F35F0A" w:rsidRPr="00F5458C" w:rsidRDefault="00F35F0A" w:rsidP="00F35F0A">
      <w:pPr>
        <w:tabs>
          <w:tab w:val="left" w:pos="6663"/>
        </w:tabs>
        <w:rPr>
          <w:sz w:val="28"/>
          <w:szCs w:val="28"/>
        </w:rPr>
      </w:pPr>
    </w:p>
    <w:p w14:paraId="4DF1DA17" w14:textId="77777777" w:rsidR="00F35F0A" w:rsidRPr="00F5458C" w:rsidRDefault="00F35F0A" w:rsidP="00F35F0A">
      <w:pPr>
        <w:tabs>
          <w:tab w:val="left" w:pos="6663"/>
        </w:tabs>
        <w:rPr>
          <w:sz w:val="28"/>
          <w:szCs w:val="28"/>
        </w:rPr>
      </w:pPr>
    </w:p>
    <w:p w14:paraId="524894F9" w14:textId="77777777" w:rsidR="00F35F0A" w:rsidRPr="00F5458C" w:rsidRDefault="00F35F0A" w:rsidP="00F35F0A">
      <w:pPr>
        <w:tabs>
          <w:tab w:val="left" w:pos="6663"/>
        </w:tabs>
        <w:rPr>
          <w:sz w:val="28"/>
          <w:szCs w:val="28"/>
        </w:rPr>
      </w:pPr>
    </w:p>
    <w:p w14:paraId="4587EE85" w14:textId="5FB578F4" w:rsidR="00F35F0A" w:rsidRPr="00F35F0A" w:rsidRDefault="00F35F0A" w:rsidP="00F35F0A">
      <w:pPr>
        <w:tabs>
          <w:tab w:val="left" w:pos="6663"/>
        </w:tabs>
        <w:rPr>
          <w:sz w:val="28"/>
          <w:szCs w:val="28"/>
        </w:rPr>
      </w:pPr>
      <w:r w:rsidRPr="00F35F0A">
        <w:rPr>
          <w:sz w:val="28"/>
          <w:szCs w:val="28"/>
        </w:rPr>
        <w:t xml:space="preserve">2013.gada </w:t>
      </w:r>
      <w:r w:rsidR="00384501">
        <w:rPr>
          <w:sz w:val="28"/>
          <w:szCs w:val="28"/>
        </w:rPr>
        <w:t>10.septembrī</w:t>
      </w:r>
      <w:r w:rsidRPr="00F35F0A">
        <w:rPr>
          <w:sz w:val="28"/>
          <w:szCs w:val="28"/>
        </w:rPr>
        <w:tab/>
        <w:t>Noteikumi Nr.</w:t>
      </w:r>
      <w:r w:rsidR="00384501">
        <w:rPr>
          <w:sz w:val="28"/>
          <w:szCs w:val="28"/>
        </w:rPr>
        <w:t xml:space="preserve"> 767</w:t>
      </w:r>
    </w:p>
    <w:p w14:paraId="0AD64AE6" w14:textId="4D3316BE" w:rsidR="00F35F0A" w:rsidRPr="00F5458C" w:rsidRDefault="00F35F0A" w:rsidP="00F35F0A">
      <w:pPr>
        <w:tabs>
          <w:tab w:val="left" w:pos="6663"/>
        </w:tabs>
      </w:pPr>
      <w:r w:rsidRPr="00F5458C">
        <w:rPr>
          <w:sz w:val="28"/>
          <w:szCs w:val="28"/>
        </w:rPr>
        <w:t>Rīgā</w:t>
      </w:r>
      <w:r w:rsidRPr="00F5458C">
        <w:rPr>
          <w:sz w:val="28"/>
          <w:szCs w:val="28"/>
        </w:rPr>
        <w:tab/>
        <w:t xml:space="preserve">(prot. Nr. </w:t>
      </w:r>
      <w:r w:rsidR="00384501">
        <w:rPr>
          <w:sz w:val="28"/>
          <w:szCs w:val="28"/>
        </w:rPr>
        <w:t>48 54</w:t>
      </w:r>
      <w:bookmarkStart w:id="0" w:name="_GoBack"/>
      <w:bookmarkEnd w:id="0"/>
      <w:r w:rsidRPr="00F5458C">
        <w:rPr>
          <w:sz w:val="28"/>
          <w:szCs w:val="28"/>
        </w:rPr>
        <w:t>.§)</w:t>
      </w:r>
    </w:p>
    <w:p w14:paraId="4A4EC27D" w14:textId="77777777" w:rsidR="00C25023" w:rsidRPr="00C25023" w:rsidRDefault="00C25023" w:rsidP="00F35F0A">
      <w:pPr>
        <w:rPr>
          <w:b/>
          <w:sz w:val="28"/>
        </w:rPr>
      </w:pPr>
    </w:p>
    <w:p w14:paraId="4A4EC27E" w14:textId="77777777" w:rsidR="00C25023" w:rsidRPr="00C25023" w:rsidRDefault="00C25023" w:rsidP="00F35F0A">
      <w:pPr>
        <w:jc w:val="center"/>
        <w:rPr>
          <w:b/>
          <w:sz w:val="28"/>
        </w:rPr>
      </w:pPr>
      <w:r w:rsidRPr="00C25023">
        <w:rPr>
          <w:b/>
          <w:sz w:val="28"/>
        </w:rPr>
        <w:t>Grozījumi Ministru kabineta 2005.gada 2.augusta noteikumos Nr.582</w:t>
      </w:r>
    </w:p>
    <w:p w14:paraId="4A4EC27F" w14:textId="05754B45" w:rsidR="00C25023" w:rsidRPr="00C25023" w:rsidRDefault="00F35F0A" w:rsidP="00F35F0A">
      <w:pPr>
        <w:jc w:val="center"/>
        <w:rPr>
          <w:sz w:val="28"/>
        </w:rPr>
      </w:pPr>
      <w:r>
        <w:rPr>
          <w:b/>
          <w:sz w:val="28"/>
        </w:rPr>
        <w:t>"</w:t>
      </w:r>
      <w:r w:rsidR="00C25023" w:rsidRPr="00C25023">
        <w:rPr>
          <w:b/>
          <w:bCs/>
          <w:sz w:val="28"/>
        </w:rPr>
        <w:t>Mutes un nagu sērgas likvidēšanas un draudu novēršanas kārtība</w:t>
      </w:r>
      <w:r>
        <w:rPr>
          <w:b/>
          <w:sz w:val="28"/>
        </w:rPr>
        <w:t>"</w:t>
      </w:r>
    </w:p>
    <w:p w14:paraId="4A4EC280" w14:textId="77777777" w:rsidR="00C25023" w:rsidRPr="00C25023" w:rsidRDefault="00C25023" w:rsidP="00F35F0A">
      <w:pPr>
        <w:rPr>
          <w:sz w:val="28"/>
        </w:rPr>
      </w:pPr>
    </w:p>
    <w:p w14:paraId="4A4EC281" w14:textId="77777777" w:rsidR="00C25023" w:rsidRPr="00C25023" w:rsidRDefault="00C25023" w:rsidP="00F35F0A">
      <w:pPr>
        <w:jc w:val="right"/>
        <w:rPr>
          <w:sz w:val="28"/>
        </w:rPr>
      </w:pPr>
      <w:r w:rsidRPr="00C25023">
        <w:rPr>
          <w:sz w:val="28"/>
        </w:rPr>
        <w:t>Izdoti saskaņā ar</w:t>
      </w:r>
    </w:p>
    <w:p w14:paraId="4A4EC282" w14:textId="77777777" w:rsidR="00C25023" w:rsidRPr="00C25023" w:rsidRDefault="00C25023" w:rsidP="00F35F0A">
      <w:pPr>
        <w:jc w:val="right"/>
        <w:rPr>
          <w:sz w:val="28"/>
        </w:rPr>
      </w:pPr>
      <w:r w:rsidRPr="00C25023">
        <w:rPr>
          <w:sz w:val="28"/>
        </w:rPr>
        <w:t>Veterinārmedicīnas likuma</w:t>
      </w:r>
    </w:p>
    <w:p w14:paraId="4A4EC283" w14:textId="77777777" w:rsidR="00C25023" w:rsidRPr="00C25023" w:rsidRDefault="00C25023" w:rsidP="00F35F0A">
      <w:pPr>
        <w:jc w:val="right"/>
        <w:rPr>
          <w:sz w:val="28"/>
        </w:rPr>
      </w:pPr>
      <w:r w:rsidRPr="00C25023">
        <w:rPr>
          <w:sz w:val="28"/>
        </w:rPr>
        <w:t>26.panta pirmo daļu un</w:t>
      </w:r>
    </w:p>
    <w:p w14:paraId="4A4EC284" w14:textId="77777777" w:rsidR="00C25023" w:rsidRPr="00C25023" w:rsidRDefault="00C25023" w:rsidP="00F35F0A">
      <w:pPr>
        <w:jc w:val="right"/>
        <w:rPr>
          <w:sz w:val="28"/>
        </w:rPr>
      </w:pPr>
      <w:r w:rsidRPr="00C25023">
        <w:rPr>
          <w:sz w:val="28"/>
        </w:rPr>
        <w:t>27.panta trešo daļu</w:t>
      </w:r>
    </w:p>
    <w:p w14:paraId="4A4EC285" w14:textId="77777777" w:rsidR="00C25023" w:rsidRPr="00C25023" w:rsidRDefault="00C25023" w:rsidP="00F35F0A">
      <w:pPr>
        <w:jc w:val="both"/>
        <w:rPr>
          <w:sz w:val="28"/>
        </w:rPr>
      </w:pPr>
    </w:p>
    <w:p w14:paraId="4A4EC286" w14:textId="4288B6B8" w:rsidR="00C25023" w:rsidRPr="00C25023" w:rsidRDefault="00C25023" w:rsidP="00F35F0A">
      <w:pPr>
        <w:ind w:firstLine="720"/>
        <w:jc w:val="both"/>
        <w:rPr>
          <w:sz w:val="28"/>
        </w:rPr>
      </w:pPr>
      <w:r w:rsidRPr="00C25023">
        <w:rPr>
          <w:sz w:val="28"/>
        </w:rPr>
        <w:t xml:space="preserve">Izdarīt Ministru kabineta 2005.gada 2.augusta noteikumos Nr.582 </w:t>
      </w:r>
      <w:r w:rsidR="00F35F0A">
        <w:rPr>
          <w:bCs/>
          <w:sz w:val="28"/>
        </w:rPr>
        <w:t>"</w:t>
      </w:r>
      <w:r w:rsidRPr="00C25023">
        <w:rPr>
          <w:bCs/>
          <w:sz w:val="28"/>
        </w:rPr>
        <w:t>Mutes un nagu sērgas likvidēšanas un draudu novēršanas kārtība</w:t>
      </w:r>
      <w:r w:rsidR="00F35F0A">
        <w:rPr>
          <w:bCs/>
          <w:sz w:val="28"/>
        </w:rPr>
        <w:t>"</w:t>
      </w:r>
      <w:r w:rsidRPr="00C25023">
        <w:rPr>
          <w:sz w:val="28"/>
        </w:rPr>
        <w:t xml:space="preserve"> (Latvijas Vēstnesis, 2005, 129.nr.; 2006, 71.nr.; 2008, 92.nr.; 2009, </w:t>
      </w:r>
      <w:r w:rsidRPr="00C25023">
        <w:rPr>
          <w:sz w:val="28"/>
          <w:szCs w:val="28"/>
        </w:rPr>
        <w:t>145.nr</w:t>
      </w:r>
      <w:r w:rsidR="003A26FC">
        <w:rPr>
          <w:sz w:val="28"/>
          <w:szCs w:val="28"/>
        </w:rPr>
        <w:t>.</w:t>
      </w:r>
      <w:r w:rsidRPr="00C25023">
        <w:rPr>
          <w:sz w:val="28"/>
          <w:szCs w:val="28"/>
        </w:rPr>
        <w:t>; 2010, 160.nr.)</w:t>
      </w:r>
      <w:r w:rsidRPr="00C25023">
        <w:rPr>
          <w:sz w:val="28"/>
        </w:rPr>
        <w:t xml:space="preserve"> šādus grozījumus:</w:t>
      </w:r>
    </w:p>
    <w:p w14:paraId="4A4EC287" w14:textId="77777777" w:rsidR="00C25023" w:rsidRPr="00C25023" w:rsidRDefault="00C25023" w:rsidP="00F35F0A">
      <w:pPr>
        <w:ind w:firstLine="720"/>
        <w:jc w:val="both"/>
        <w:rPr>
          <w:sz w:val="28"/>
        </w:rPr>
      </w:pPr>
    </w:p>
    <w:p w14:paraId="4A4EC288" w14:textId="77777777" w:rsidR="00C25023" w:rsidRDefault="00C25023" w:rsidP="00F35F0A">
      <w:pPr>
        <w:ind w:firstLine="720"/>
        <w:jc w:val="both"/>
        <w:rPr>
          <w:sz w:val="28"/>
        </w:rPr>
      </w:pPr>
      <w:r w:rsidRPr="00C25023">
        <w:rPr>
          <w:sz w:val="28"/>
        </w:rPr>
        <w:t>1. Izteikt 2.12.apakšpunktu šādā redakcijā:</w:t>
      </w:r>
    </w:p>
    <w:p w14:paraId="613E1362" w14:textId="77777777" w:rsidR="00F35F0A" w:rsidRPr="00C25023" w:rsidRDefault="00F35F0A" w:rsidP="00F35F0A">
      <w:pPr>
        <w:ind w:firstLine="720"/>
        <w:jc w:val="both"/>
        <w:rPr>
          <w:sz w:val="28"/>
        </w:rPr>
      </w:pPr>
    </w:p>
    <w:p w14:paraId="4A4EC289" w14:textId="6FFD5CF3" w:rsidR="00C25023" w:rsidRPr="00C25023" w:rsidRDefault="00F35F0A" w:rsidP="00F35F0A">
      <w:pPr>
        <w:ind w:firstLine="720"/>
        <w:jc w:val="both"/>
        <w:rPr>
          <w:sz w:val="28"/>
        </w:rPr>
      </w:pPr>
      <w:r>
        <w:rPr>
          <w:sz w:val="28"/>
        </w:rPr>
        <w:t>"</w:t>
      </w:r>
      <w:r w:rsidR="00C25023" w:rsidRPr="00C25023">
        <w:rPr>
          <w:sz w:val="28"/>
        </w:rPr>
        <w:t xml:space="preserve">2.12. </w:t>
      </w:r>
      <w:r w:rsidR="00C25023" w:rsidRPr="00C25023">
        <w:rPr>
          <w:b/>
          <w:bCs/>
          <w:sz w:val="28"/>
        </w:rPr>
        <w:t>pārstrāde</w:t>
      </w:r>
      <w:r w:rsidR="00161618">
        <w:rPr>
          <w:sz w:val="28"/>
        </w:rPr>
        <w:t xml:space="preserve"> – dzīvnieku izcelsmes blakusproduktu pārstrādes process, kas notiek atbilstoši </w:t>
      </w:r>
      <w:r w:rsidR="00161618" w:rsidRPr="00161618">
        <w:rPr>
          <w:sz w:val="28"/>
        </w:rPr>
        <w:t>Eiropas Parlamenta un Padomes 2009.gada 21.oktobra Regula</w:t>
      </w:r>
      <w:r w:rsidR="00884569">
        <w:rPr>
          <w:sz w:val="28"/>
        </w:rPr>
        <w:t>i</w:t>
      </w:r>
      <w:r w:rsidR="00161618" w:rsidRPr="00161618">
        <w:rPr>
          <w:sz w:val="28"/>
        </w:rPr>
        <w:t xml:space="preserve"> (EK) Nr.1069/2009, ar ko nosaka veselības aizsardzības noteikumus attiecībā uz dzīvnieku izcelsmes blakusproduktiem un atvasinātajiem produktiem, kuri nav paredzēti cilvēku patēriņam, un ar ko atceļ Regulu (EK) Nr.1774/2002</w:t>
      </w:r>
      <w:r w:rsidR="00C25023" w:rsidRPr="00C25023">
        <w:rPr>
          <w:bCs/>
          <w:sz w:val="28"/>
        </w:rPr>
        <w:t xml:space="preserve"> (turpmāk – </w:t>
      </w:r>
      <w:r w:rsidR="00C25023" w:rsidRPr="00C25023">
        <w:rPr>
          <w:sz w:val="28"/>
        </w:rPr>
        <w:t>Regula Nr.1069/2009)</w:t>
      </w:r>
      <w:r w:rsidR="003A26FC">
        <w:rPr>
          <w:sz w:val="28"/>
        </w:rPr>
        <w:t>,</w:t>
      </w:r>
      <w:r w:rsidR="00C25023" w:rsidRPr="00C25023">
        <w:rPr>
          <w:sz w:val="28"/>
        </w:rPr>
        <w:t xml:space="preserve"> </w:t>
      </w:r>
      <w:r w:rsidR="00C25023" w:rsidRPr="00C25023">
        <w:rPr>
          <w:bCs/>
          <w:sz w:val="28"/>
        </w:rPr>
        <w:t xml:space="preserve">un </w:t>
      </w:r>
      <w:r w:rsidR="00C25023" w:rsidRPr="00C25023">
        <w:rPr>
          <w:sz w:val="28"/>
        </w:rPr>
        <w:t>Eiropas Komisi</w:t>
      </w:r>
      <w:r w:rsidR="00161618">
        <w:rPr>
          <w:sz w:val="28"/>
        </w:rPr>
        <w:t>jas 2011.gada 25.februāra Regula</w:t>
      </w:r>
      <w:r w:rsidR="00884569">
        <w:rPr>
          <w:sz w:val="28"/>
        </w:rPr>
        <w:t>i</w:t>
      </w:r>
      <w:r w:rsidR="00C25023" w:rsidRPr="00C25023">
        <w:rPr>
          <w:sz w:val="28"/>
        </w:rPr>
        <w:t> (EK)</w:t>
      </w:r>
      <w:r w:rsidR="00C25023" w:rsidRPr="00C25023">
        <w:rPr>
          <w:b/>
          <w:bCs/>
          <w:sz w:val="28"/>
        </w:rPr>
        <w:t xml:space="preserve"> </w:t>
      </w:r>
      <w:r w:rsidR="00C25023" w:rsidRPr="00C25023">
        <w:rPr>
          <w:sz w:val="28"/>
        </w:rPr>
        <w:t xml:space="preserve">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w:t>
      </w:r>
      <w:r w:rsidR="00884569">
        <w:rPr>
          <w:sz w:val="28"/>
        </w:rPr>
        <w:t>atbilstīgi minētajai direktīvai</w:t>
      </w:r>
      <w:r w:rsidR="00C25023" w:rsidRPr="00C25023">
        <w:rPr>
          <w:sz w:val="28"/>
        </w:rPr>
        <w:t xml:space="preserve"> (turpmāk – Regula Nr.142/2011), lai novērstu slimības ierosinātāja izplatīšanās iespēju;</w:t>
      </w:r>
      <w:r>
        <w:rPr>
          <w:sz w:val="28"/>
        </w:rPr>
        <w:t>"</w:t>
      </w:r>
      <w:r w:rsidR="00884569">
        <w:rPr>
          <w:sz w:val="28"/>
        </w:rPr>
        <w:t>.</w:t>
      </w:r>
    </w:p>
    <w:p w14:paraId="4A4EC28A" w14:textId="77777777" w:rsidR="00C25023" w:rsidRPr="00C25023" w:rsidRDefault="00C25023" w:rsidP="00F35F0A">
      <w:pPr>
        <w:ind w:firstLine="720"/>
        <w:jc w:val="both"/>
        <w:rPr>
          <w:sz w:val="28"/>
        </w:rPr>
      </w:pPr>
    </w:p>
    <w:p w14:paraId="4A4EC28B" w14:textId="77777777" w:rsidR="00C25023" w:rsidRDefault="00C25023" w:rsidP="00F35F0A">
      <w:pPr>
        <w:ind w:firstLine="720"/>
        <w:jc w:val="both"/>
        <w:rPr>
          <w:sz w:val="28"/>
        </w:rPr>
      </w:pPr>
      <w:r w:rsidRPr="00C25023">
        <w:rPr>
          <w:sz w:val="28"/>
        </w:rPr>
        <w:t>2. Papildināt noteikumus ar 3.</w:t>
      </w:r>
      <w:r w:rsidRPr="00C25023">
        <w:rPr>
          <w:sz w:val="28"/>
          <w:vertAlign w:val="superscript"/>
        </w:rPr>
        <w:t>1</w:t>
      </w:r>
      <w:r w:rsidRPr="00C25023">
        <w:rPr>
          <w:sz w:val="28"/>
        </w:rPr>
        <w:t xml:space="preserve"> punktu šādā redakcijā:</w:t>
      </w:r>
    </w:p>
    <w:p w14:paraId="02942AB5" w14:textId="77777777" w:rsidR="00F35F0A" w:rsidRPr="00C25023" w:rsidRDefault="00F35F0A" w:rsidP="00F35F0A">
      <w:pPr>
        <w:ind w:firstLine="720"/>
        <w:jc w:val="both"/>
        <w:rPr>
          <w:sz w:val="28"/>
        </w:rPr>
      </w:pPr>
    </w:p>
    <w:p w14:paraId="4A4EC28C" w14:textId="6422C335" w:rsidR="00C25023" w:rsidRPr="00C25023" w:rsidRDefault="00F35F0A" w:rsidP="00F35F0A">
      <w:pPr>
        <w:ind w:firstLine="720"/>
        <w:jc w:val="both"/>
        <w:rPr>
          <w:sz w:val="28"/>
        </w:rPr>
      </w:pPr>
      <w:r>
        <w:rPr>
          <w:sz w:val="28"/>
        </w:rPr>
        <w:lastRenderedPageBreak/>
        <w:t>"</w:t>
      </w:r>
      <w:r w:rsidR="00C25023" w:rsidRPr="00C25023">
        <w:rPr>
          <w:sz w:val="28"/>
        </w:rPr>
        <w:t>3.</w:t>
      </w:r>
      <w:r w:rsidR="00C25023" w:rsidRPr="00C25023">
        <w:rPr>
          <w:sz w:val="28"/>
          <w:vertAlign w:val="superscript"/>
        </w:rPr>
        <w:t xml:space="preserve">1 </w:t>
      </w:r>
      <w:r w:rsidR="00C25023" w:rsidRPr="00C25023">
        <w:rPr>
          <w:sz w:val="28"/>
        </w:rPr>
        <w:t>Ja uzņēmīgo savvaļas dzīvnieku populācijā</w:t>
      </w:r>
      <w:r w:rsidR="003537E1" w:rsidRPr="003537E1">
        <w:rPr>
          <w:sz w:val="28"/>
        </w:rPr>
        <w:t xml:space="preserve"> </w:t>
      </w:r>
      <w:r w:rsidR="003537E1" w:rsidRPr="00C25023">
        <w:rPr>
          <w:sz w:val="28"/>
        </w:rPr>
        <w:t>konstatē slimības uzliesmojumu vai slimības gadījumu</w:t>
      </w:r>
      <w:r w:rsidR="00C25023" w:rsidRPr="00C25023">
        <w:rPr>
          <w:sz w:val="28"/>
        </w:rPr>
        <w:t>, valsts galvenais pārtikas un veterinārais inspektors par to informē Zemkopības ministriju. Ja slimības uzliesmojums vai slimības gadījums uzņēmīgo savvaļas dzīvnieku populācijā ir tuvu valsts robežai un karantīnas zona aptver divu vai vairāku valstu teritoriju, dienests sadarbojas ar kaimiņvalsts infekcijas slimību uzraudzības kompetento iestādi un vienojas par veicamajiem pasākumiem.</w:t>
      </w:r>
      <w:r>
        <w:rPr>
          <w:sz w:val="28"/>
        </w:rPr>
        <w:t>"</w:t>
      </w:r>
    </w:p>
    <w:p w14:paraId="4A4EC28D" w14:textId="77777777" w:rsidR="00C25023" w:rsidRPr="00C25023" w:rsidRDefault="00C25023" w:rsidP="00F35F0A">
      <w:pPr>
        <w:ind w:firstLine="720"/>
        <w:jc w:val="both"/>
        <w:rPr>
          <w:sz w:val="28"/>
        </w:rPr>
      </w:pPr>
    </w:p>
    <w:p w14:paraId="4A4EC28E" w14:textId="77777777" w:rsidR="00C25023" w:rsidRDefault="00C25023" w:rsidP="00F35F0A">
      <w:pPr>
        <w:ind w:firstLine="720"/>
        <w:jc w:val="both"/>
        <w:rPr>
          <w:sz w:val="28"/>
        </w:rPr>
      </w:pPr>
      <w:r w:rsidRPr="00C25023">
        <w:rPr>
          <w:sz w:val="28"/>
        </w:rPr>
        <w:t>3. Papildināt I nodaļu ar 5.</w:t>
      </w:r>
      <w:r w:rsidRPr="00C25023">
        <w:rPr>
          <w:sz w:val="28"/>
          <w:vertAlign w:val="superscript"/>
        </w:rPr>
        <w:t>1</w:t>
      </w:r>
      <w:r w:rsidRPr="00C25023">
        <w:rPr>
          <w:sz w:val="28"/>
        </w:rPr>
        <w:t xml:space="preserve"> un 5.</w:t>
      </w:r>
      <w:r w:rsidRPr="00C25023">
        <w:rPr>
          <w:sz w:val="28"/>
          <w:vertAlign w:val="superscript"/>
        </w:rPr>
        <w:t>2 </w:t>
      </w:r>
      <w:r w:rsidRPr="00C25023">
        <w:rPr>
          <w:sz w:val="28"/>
        </w:rPr>
        <w:t>punktu šādā redakcijā:</w:t>
      </w:r>
    </w:p>
    <w:p w14:paraId="093710F6" w14:textId="77777777" w:rsidR="00F35F0A" w:rsidRPr="00C25023" w:rsidRDefault="00F35F0A" w:rsidP="00F35F0A">
      <w:pPr>
        <w:ind w:firstLine="720"/>
        <w:jc w:val="both"/>
        <w:rPr>
          <w:sz w:val="28"/>
        </w:rPr>
      </w:pPr>
    </w:p>
    <w:p w14:paraId="4A4EC28F" w14:textId="78BFA49C" w:rsidR="00C25023" w:rsidRPr="00C25023" w:rsidRDefault="00F35F0A" w:rsidP="00F35F0A">
      <w:pPr>
        <w:ind w:firstLine="720"/>
        <w:jc w:val="both"/>
        <w:rPr>
          <w:sz w:val="28"/>
        </w:rPr>
      </w:pPr>
      <w:r>
        <w:rPr>
          <w:sz w:val="28"/>
        </w:rPr>
        <w:t>"</w:t>
      </w:r>
      <w:r w:rsidR="00803553">
        <w:rPr>
          <w:sz w:val="28"/>
        </w:rPr>
        <w:t>5</w:t>
      </w:r>
      <w:r w:rsidR="00C25023" w:rsidRPr="00C25023">
        <w:rPr>
          <w:sz w:val="28"/>
        </w:rPr>
        <w:t>.</w:t>
      </w:r>
      <w:r w:rsidR="00C25023" w:rsidRPr="00C25023">
        <w:rPr>
          <w:sz w:val="28"/>
          <w:vertAlign w:val="superscript"/>
        </w:rPr>
        <w:t>1</w:t>
      </w:r>
      <w:r w:rsidR="00C25023" w:rsidRPr="00C25023">
        <w:rPr>
          <w:sz w:val="28"/>
        </w:rPr>
        <w:t xml:space="preserve"> Mutes un nagu sērgas uzliesmojuma vai slimības gadījumā </w:t>
      </w:r>
      <w:r w:rsidR="00161618" w:rsidRPr="00161618">
        <w:rPr>
          <w:bCs/>
          <w:sz w:val="28"/>
        </w:rPr>
        <w:t>dzīvnieku izcelsmes blakusproduktu</w:t>
      </w:r>
      <w:r w:rsidR="00803553">
        <w:rPr>
          <w:bCs/>
          <w:sz w:val="28"/>
        </w:rPr>
        <w:t>s</w:t>
      </w:r>
      <w:r w:rsidR="00C25023" w:rsidRPr="00C25023">
        <w:rPr>
          <w:sz w:val="28"/>
        </w:rPr>
        <w:t>:</w:t>
      </w:r>
    </w:p>
    <w:p w14:paraId="4A4EC290" w14:textId="35E1B049" w:rsidR="00C25023" w:rsidRPr="00C25023" w:rsidRDefault="00C25023" w:rsidP="00F35F0A">
      <w:pPr>
        <w:ind w:firstLine="720"/>
        <w:jc w:val="both"/>
        <w:rPr>
          <w:sz w:val="28"/>
        </w:rPr>
      </w:pPr>
      <w:r w:rsidRPr="00C25023">
        <w:rPr>
          <w:sz w:val="28"/>
        </w:rPr>
        <w:t>5.</w:t>
      </w:r>
      <w:r w:rsidRPr="00C25023">
        <w:rPr>
          <w:sz w:val="28"/>
          <w:vertAlign w:val="superscript"/>
        </w:rPr>
        <w:t>1</w:t>
      </w:r>
      <w:r w:rsidR="00884569">
        <w:rPr>
          <w:sz w:val="28"/>
          <w:vertAlign w:val="superscript"/>
        </w:rPr>
        <w:t> </w:t>
      </w:r>
      <w:r w:rsidRPr="00C25023">
        <w:rPr>
          <w:sz w:val="28"/>
        </w:rPr>
        <w:t>1. pārstrādā, ievērojot Regul</w:t>
      </w:r>
      <w:r w:rsidR="00727DD7">
        <w:rPr>
          <w:sz w:val="28"/>
        </w:rPr>
        <w:t>as</w:t>
      </w:r>
      <w:r w:rsidRPr="00C25023">
        <w:rPr>
          <w:sz w:val="28"/>
        </w:rPr>
        <w:t xml:space="preserve"> Nr.1069/2009 nosacījumus </w:t>
      </w:r>
      <w:r w:rsidRPr="00C25023">
        <w:rPr>
          <w:bCs/>
          <w:sz w:val="28"/>
        </w:rPr>
        <w:t xml:space="preserve">un </w:t>
      </w:r>
      <w:r w:rsidRPr="00C25023">
        <w:rPr>
          <w:sz w:val="28"/>
        </w:rPr>
        <w:t xml:space="preserve">Regulā Nr.142/2011 </w:t>
      </w:r>
      <w:r w:rsidRPr="00C25023">
        <w:rPr>
          <w:bCs/>
          <w:sz w:val="28"/>
        </w:rPr>
        <w:t>noteiktās</w:t>
      </w:r>
      <w:r w:rsidRPr="00C25023">
        <w:rPr>
          <w:sz w:val="28"/>
        </w:rPr>
        <w:t xml:space="preserve"> pārstrādes metodes un nosacījumus, lai novērstu slimības ierosinātāja izplatīšanās iespēju;</w:t>
      </w:r>
    </w:p>
    <w:p w14:paraId="4A4EC291" w14:textId="339E5652" w:rsidR="00C25023" w:rsidRPr="00C25023" w:rsidRDefault="00C25023" w:rsidP="00F35F0A">
      <w:pPr>
        <w:ind w:firstLine="720"/>
        <w:jc w:val="both"/>
        <w:rPr>
          <w:bCs/>
          <w:sz w:val="28"/>
        </w:rPr>
      </w:pPr>
      <w:r w:rsidRPr="00C25023">
        <w:rPr>
          <w:bCs/>
          <w:sz w:val="28"/>
        </w:rPr>
        <w:t>5.</w:t>
      </w:r>
      <w:r w:rsidRPr="00C25023">
        <w:rPr>
          <w:bCs/>
          <w:sz w:val="28"/>
          <w:vertAlign w:val="superscript"/>
        </w:rPr>
        <w:t>1</w:t>
      </w:r>
      <w:r w:rsidR="00884569">
        <w:rPr>
          <w:bCs/>
          <w:sz w:val="28"/>
          <w:vertAlign w:val="superscript"/>
        </w:rPr>
        <w:t> </w:t>
      </w:r>
      <w:r w:rsidRPr="00C25023">
        <w:rPr>
          <w:bCs/>
          <w:sz w:val="28"/>
        </w:rPr>
        <w:t xml:space="preserve">2. </w:t>
      </w:r>
      <w:r w:rsidR="00161618" w:rsidRPr="00161618">
        <w:rPr>
          <w:bCs/>
          <w:sz w:val="28"/>
        </w:rPr>
        <w:t>sadedzina atbilstoši Regulas Nr.142/2011 VI pielikuma III nodaļas 1.iedaļas prasībām ar Valsts vides dienestu saskaņotā vietā, ievērojot vides aizsardzības nosacījumus;</w:t>
      </w:r>
    </w:p>
    <w:p w14:paraId="4A4EC292" w14:textId="41BA10DF" w:rsidR="00C25023" w:rsidRPr="00C25023" w:rsidRDefault="00C25023" w:rsidP="00F35F0A">
      <w:pPr>
        <w:ind w:firstLine="720"/>
        <w:jc w:val="both"/>
        <w:rPr>
          <w:bCs/>
          <w:sz w:val="28"/>
        </w:rPr>
      </w:pPr>
      <w:r w:rsidRPr="00C25023">
        <w:rPr>
          <w:bCs/>
          <w:sz w:val="28"/>
        </w:rPr>
        <w:t>5.</w:t>
      </w:r>
      <w:r w:rsidRPr="00C25023">
        <w:rPr>
          <w:bCs/>
          <w:sz w:val="28"/>
          <w:vertAlign w:val="superscript"/>
        </w:rPr>
        <w:t>1</w:t>
      </w:r>
      <w:r w:rsidR="00884569">
        <w:rPr>
          <w:bCs/>
          <w:sz w:val="28"/>
          <w:vertAlign w:val="superscript"/>
        </w:rPr>
        <w:t> </w:t>
      </w:r>
      <w:r w:rsidRPr="00C25023">
        <w:rPr>
          <w:bCs/>
          <w:sz w:val="28"/>
        </w:rPr>
        <w:t>3. aprok dienesta reģistrētā kapsētā atbilstoši normatīvaj</w:t>
      </w:r>
      <w:r w:rsidR="00727DD7">
        <w:rPr>
          <w:bCs/>
          <w:sz w:val="28"/>
        </w:rPr>
        <w:t>iem</w:t>
      </w:r>
      <w:r w:rsidRPr="00C25023">
        <w:rPr>
          <w:bCs/>
          <w:sz w:val="28"/>
        </w:rPr>
        <w:t xml:space="preserve"> akt</w:t>
      </w:r>
      <w:r w:rsidR="00727DD7">
        <w:rPr>
          <w:bCs/>
          <w:sz w:val="28"/>
        </w:rPr>
        <w:t>iem</w:t>
      </w:r>
      <w:r w:rsidRPr="00C25023">
        <w:rPr>
          <w:bCs/>
          <w:sz w:val="28"/>
        </w:rPr>
        <w:t xml:space="preserve"> par dzīvnieku kapsētu iekārtošanas, reģistrācijas, uzturēšanas, darbības izbeigšanas un likvidēšanas kārtību un aizsargjoslu noteikšanas metodiku ap dzīvnieku kapsētām.</w:t>
      </w:r>
    </w:p>
    <w:p w14:paraId="1ADD8617" w14:textId="77777777" w:rsidR="001A3E06" w:rsidRPr="001A3E06" w:rsidRDefault="001A3E06" w:rsidP="001A3E06">
      <w:pPr>
        <w:ind w:firstLine="720"/>
        <w:jc w:val="both"/>
        <w:rPr>
          <w:sz w:val="28"/>
        </w:rPr>
      </w:pPr>
    </w:p>
    <w:p w14:paraId="3F6DDEB2" w14:textId="77777777" w:rsidR="001A3E06" w:rsidRPr="001A3E06" w:rsidRDefault="001A3E06" w:rsidP="001A3E06">
      <w:pPr>
        <w:ind w:firstLine="720"/>
        <w:jc w:val="both"/>
        <w:rPr>
          <w:sz w:val="28"/>
        </w:rPr>
      </w:pPr>
      <w:r w:rsidRPr="001A3E06">
        <w:rPr>
          <w:sz w:val="28"/>
        </w:rPr>
        <w:t>5.</w:t>
      </w:r>
      <w:r w:rsidRPr="001A3E06">
        <w:rPr>
          <w:sz w:val="28"/>
          <w:vertAlign w:val="superscript"/>
        </w:rPr>
        <w:t>2</w:t>
      </w:r>
      <w:r w:rsidRPr="001A3E06">
        <w:rPr>
          <w:sz w:val="28"/>
        </w:rPr>
        <w:t xml:space="preserve"> Liellopu, aitu, kazu izcelsmes blakusprodukti, kas saskaņā ar normatīvajiem aktiem par dzīvnieku izcelsmes blakusproduktu apriti ir specifiskā riska materiāls, pieder pie pirmās kategorijas materiāla. Liellopu, aitu, kazu izcelsmes blakusprodukti, kas saskaņā ar normatīvajiem aktiem par dzīvnieku izcelsmes blakusproduktu apriti nav specifiskā riska materiāls, kā arī cūku, aitu, kazu un citu uzņēmīgo dzīvnieku izcelsmes blakusprodukti ir otrās kategorijas materiāls."</w:t>
      </w:r>
    </w:p>
    <w:p w14:paraId="7505314C" w14:textId="77777777" w:rsidR="001A3E06" w:rsidRPr="001A3E06" w:rsidRDefault="001A3E06" w:rsidP="001A3E06">
      <w:pPr>
        <w:ind w:firstLine="720"/>
        <w:jc w:val="both"/>
        <w:rPr>
          <w:sz w:val="28"/>
        </w:rPr>
      </w:pPr>
    </w:p>
    <w:p w14:paraId="4A4EC296" w14:textId="1A26245D" w:rsidR="00C25023" w:rsidRDefault="00001F45" w:rsidP="00727DD7">
      <w:pPr>
        <w:ind w:firstLine="709"/>
        <w:jc w:val="both"/>
        <w:rPr>
          <w:sz w:val="28"/>
          <w:szCs w:val="28"/>
        </w:rPr>
      </w:pPr>
      <w:r>
        <w:rPr>
          <w:sz w:val="28"/>
          <w:szCs w:val="28"/>
        </w:rPr>
        <w:t>4</w:t>
      </w:r>
      <w:r w:rsidR="00C25023" w:rsidRPr="00C25023">
        <w:rPr>
          <w:sz w:val="28"/>
          <w:szCs w:val="28"/>
        </w:rPr>
        <w:t>. Izteikt 42.3. un 42.4.apakšpunktu šādā redakcijā:</w:t>
      </w:r>
    </w:p>
    <w:p w14:paraId="2092717B" w14:textId="77777777" w:rsidR="00F35F0A" w:rsidRPr="00C25023" w:rsidRDefault="00F35F0A" w:rsidP="00727DD7">
      <w:pPr>
        <w:ind w:firstLine="709"/>
        <w:jc w:val="both"/>
        <w:rPr>
          <w:sz w:val="28"/>
          <w:szCs w:val="28"/>
        </w:rPr>
      </w:pPr>
    </w:p>
    <w:p w14:paraId="4A4EC297" w14:textId="444DC619" w:rsidR="00C25023" w:rsidRPr="00C25023" w:rsidRDefault="00F35F0A" w:rsidP="00727DD7">
      <w:pPr>
        <w:ind w:firstLine="709"/>
        <w:jc w:val="both"/>
        <w:rPr>
          <w:sz w:val="28"/>
          <w:szCs w:val="28"/>
        </w:rPr>
      </w:pPr>
      <w:r>
        <w:rPr>
          <w:sz w:val="28"/>
          <w:szCs w:val="28"/>
        </w:rPr>
        <w:t>"</w:t>
      </w:r>
      <w:r w:rsidR="00C25023" w:rsidRPr="00C25023">
        <w:rPr>
          <w:sz w:val="28"/>
          <w:szCs w:val="28"/>
        </w:rPr>
        <w:t xml:space="preserve">42.3. kontrolē un uzrauga, lai uzņēmīgo dzīvnieku līķi tiek pārstrādāti </w:t>
      </w:r>
      <w:r w:rsidR="00963ECE">
        <w:rPr>
          <w:sz w:val="28"/>
          <w:szCs w:val="28"/>
        </w:rPr>
        <w:t>vai iznīcināti saskaņā ar normatīvajiem aktiem, kas regulē dzīvnieku izcelsmes blakusproduktu apriti</w:t>
      </w:r>
      <w:r w:rsidR="00C25023" w:rsidRPr="00C25023">
        <w:rPr>
          <w:sz w:val="28"/>
          <w:szCs w:val="28"/>
        </w:rPr>
        <w:t xml:space="preserve">; </w:t>
      </w:r>
    </w:p>
    <w:p w14:paraId="4A4EC298" w14:textId="065482FA" w:rsidR="00C25023" w:rsidRPr="00C25023" w:rsidRDefault="00C25023" w:rsidP="00727DD7">
      <w:pPr>
        <w:ind w:firstLine="709"/>
        <w:jc w:val="both"/>
        <w:rPr>
          <w:sz w:val="28"/>
          <w:szCs w:val="28"/>
        </w:rPr>
      </w:pPr>
      <w:r w:rsidRPr="00C25023">
        <w:rPr>
          <w:sz w:val="28"/>
          <w:szCs w:val="28"/>
        </w:rPr>
        <w:t>42.4. kontrolē un uzrauga, lai visi produkti (piens, piena produkti, gaļa, gaļas produkti, liemeņi, jēlāda, āda, vilna, sperma, embriji, olšūnas, virca, mēsli, pakaiši, kā arī dzīvnieku barība) ti</w:t>
      </w:r>
      <w:r w:rsidR="003537E1">
        <w:rPr>
          <w:sz w:val="28"/>
          <w:szCs w:val="28"/>
        </w:rPr>
        <w:t>ek izolēti</w:t>
      </w:r>
      <w:r w:rsidRPr="00C25023">
        <w:rPr>
          <w:sz w:val="28"/>
          <w:szCs w:val="28"/>
        </w:rPr>
        <w:t xml:space="preserve"> līdz atzī</w:t>
      </w:r>
      <w:r w:rsidR="003537E1">
        <w:rPr>
          <w:sz w:val="28"/>
          <w:szCs w:val="28"/>
        </w:rPr>
        <w:t>šanai</w:t>
      </w:r>
      <w:r w:rsidRPr="00C25023">
        <w:rPr>
          <w:sz w:val="28"/>
          <w:szCs w:val="28"/>
        </w:rPr>
        <w:t xml:space="preserve"> par nepiesārņotiem vai pārstrādā</w:t>
      </w:r>
      <w:r w:rsidR="003537E1">
        <w:rPr>
          <w:sz w:val="28"/>
          <w:szCs w:val="28"/>
        </w:rPr>
        <w:t>šanai</w:t>
      </w:r>
      <w:r w:rsidRPr="00C25023">
        <w:rPr>
          <w:sz w:val="28"/>
          <w:szCs w:val="28"/>
        </w:rPr>
        <w:t xml:space="preserve"> saskaņā ar </w:t>
      </w:r>
      <w:r w:rsidR="00963ECE" w:rsidRPr="00963ECE">
        <w:rPr>
          <w:sz w:val="28"/>
          <w:szCs w:val="28"/>
        </w:rPr>
        <w:t>normatīvajiem aktiem, kas regulē dzīvnieku izcelsmes blakusproduktu apriti</w:t>
      </w:r>
      <w:r w:rsidRPr="00C25023">
        <w:rPr>
          <w:sz w:val="28"/>
          <w:szCs w:val="28"/>
        </w:rPr>
        <w:t>;</w:t>
      </w:r>
      <w:r w:rsidR="00F35F0A">
        <w:rPr>
          <w:sz w:val="28"/>
          <w:szCs w:val="28"/>
        </w:rPr>
        <w:t>"</w:t>
      </w:r>
      <w:r w:rsidR="00884569">
        <w:rPr>
          <w:sz w:val="28"/>
          <w:szCs w:val="28"/>
        </w:rPr>
        <w:t>.</w:t>
      </w:r>
    </w:p>
    <w:p w14:paraId="4A4EC299" w14:textId="77777777" w:rsidR="00C25023" w:rsidRPr="00C25023" w:rsidRDefault="00C25023" w:rsidP="00727DD7">
      <w:pPr>
        <w:ind w:firstLine="709"/>
        <w:rPr>
          <w:sz w:val="28"/>
          <w:szCs w:val="28"/>
        </w:rPr>
      </w:pPr>
    </w:p>
    <w:p w14:paraId="4A4EC29A" w14:textId="2B98CDD5" w:rsidR="00C25023" w:rsidRDefault="00001F45" w:rsidP="00727DD7">
      <w:pPr>
        <w:ind w:firstLine="709"/>
        <w:rPr>
          <w:sz w:val="28"/>
          <w:szCs w:val="28"/>
        </w:rPr>
      </w:pPr>
      <w:r>
        <w:rPr>
          <w:sz w:val="28"/>
          <w:szCs w:val="28"/>
        </w:rPr>
        <w:t>5</w:t>
      </w:r>
      <w:r w:rsidR="00C25023" w:rsidRPr="00C25023">
        <w:rPr>
          <w:sz w:val="28"/>
          <w:szCs w:val="28"/>
        </w:rPr>
        <w:t>. Izteikt 56.4.apakšpunktu šādā redakcijā:</w:t>
      </w:r>
    </w:p>
    <w:p w14:paraId="2D184A6D" w14:textId="77777777" w:rsidR="00F35F0A" w:rsidRPr="00C25023" w:rsidRDefault="00F35F0A" w:rsidP="00727DD7">
      <w:pPr>
        <w:ind w:firstLine="709"/>
        <w:rPr>
          <w:sz w:val="28"/>
          <w:szCs w:val="28"/>
        </w:rPr>
      </w:pPr>
    </w:p>
    <w:p w14:paraId="4A4EC29B" w14:textId="574637FA" w:rsidR="00C25023" w:rsidRPr="00C25023" w:rsidRDefault="00F35F0A" w:rsidP="00727DD7">
      <w:pPr>
        <w:ind w:firstLine="709"/>
        <w:jc w:val="both"/>
        <w:rPr>
          <w:sz w:val="28"/>
          <w:szCs w:val="28"/>
        </w:rPr>
      </w:pPr>
      <w:r>
        <w:rPr>
          <w:sz w:val="28"/>
          <w:szCs w:val="28"/>
        </w:rPr>
        <w:lastRenderedPageBreak/>
        <w:t>"</w:t>
      </w:r>
      <w:r w:rsidR="00963ECE">
        <w:rPr>
          <w:sz w:val="28"/>
          <w:szCs w:val="28"/>
        </w:rPr>
        <w:t>56.4. kūtsmēslus vai</w:t>
      </w:r>
      <w:r w:rsidR="00C25023" w:rsidRPr="00C25023">
        <w:rPr>
          <w:sz w:val="28"/>
          <w:szCs w:val="28"/>
        </w:rPr>
        <w:t xml:space="preserve"> vircu dezinfi</w:t>
      </w:r>
      <w:r w:rsidR="003537E1">
        <w:rPr>
          <w:sz w:val="28"/>
          <w:szCs w:val="28"/>
        </w:rPr>
        <w:t>cē</w:t>
      </w:r>
      <w:r w:rsidR="00C25023" w:rsidRPr="00C25023">
        <w:rPr>
          <w:sz w:val="28"/>
          <w:szCs w:val="28"/>
        </w:rPr>
        <w:t xml:space="preserve">, apstrādājot tos saskaņā ar </w:t>
      </w:r>
      <w:r w:rsidR="00963ECE" w:rsidRPr="00963ECE">
        <w:rPr>
          <w:sz w:val="28"/>
          <w:szCs w:val="28"/>
        </w:rPr>
        <w:t>normatīvajiem aktiem, kas regulē dzīvnieku izcelsmes blakusproduktu apriti</w:t>
      </w:r>
      <w:r w:rsidR="00C25023" w:rsidRPr="00C25023">
        <w:rPr>
          <w:sz w:val="28"/>
          <w:szCs w:val="28"/>
        </w:rPr>
        <w:t>;</w:t>
      </w:r>
      <w:r>
        <w:rPr>
          <w:sz w:val="28"/>
          <w:szCs w:val="28"/>
        </w:rPr>
        <w:t>"</w:t>
      </w:r>
      <w:r w:rsidR="00884569">
        <w:rPr>
          <w:sz w:val="28"/>
          <w:szCs w:val="28"/>
        </w:rPr>
        <w:t>.</w:t>
      </w:r>
      <w:r w:rsidR="00C25023" w:rsidRPr="00C25023">
        <w:rPr>
          <w:sz w:val="28"/>
          <w:szCs w:val="28"/>
        </w:rPr>
        <w:t xml:space="preserve"> </w:t>
      </w:r>
    </w:p>
    <w:p w14:paraId="4A4EC29C" w14:textId="77777777" w:rsidR="00C25023" w:rsidRPr="00C25023" w:rsidRDefault="00C25023" w:rsidP="00727DD7">
      <w:pPr>
        <w:ind w:firstLine="709"/>
        <w:jc w:val="both"/>
        <w:rPr>
          <w:sz w:val="28"/>
          <w:szCs w:val="28"/>
        </w:rPr>
      </w:pPr>
    </w:p>
    <w:p w14:paraId="4A4EC29D" w14:textId="1ACC5455" w:rsidR="00C25023" w:rsidRDefault="00001F45" w:rsidP="00727DD7">
      <w:pPr>
        <w:ind w:firstLine="709"/>
        <w:jc w:val="both"/>
        <w:rPr>
          <w:sz w:val="28"/>
          <w:szCs w:val="28"/>
        </w:rPr>
      </w:pPr>
      <w:r>
        <w:rPr>
          <w:sz w:val="28"/>
          <w:szCs w:val="28"/>
        </w:rPr>
        <w:t>6</w:t>
      </w:r>
      <w:r w:rsidR="00C25023" w:rsidRPr="00C25023">
        <w:rPr>
          <w:sz w:val="28"/>
          <w:szCs w:val="28"/>
        </w:rPr>
        <w:t>. Izteikt 95.1.apakšpunktu šādā redakcijā:</w:t>
      </w:r>
    </w:p>
    <w:p w14:paraId="17EBFE85" w14:textId="77777777" w:rsidR="00F35F0A" w:rsidRPr="00C25023" w:rsidRDefault="00F35F0A" w:rsidP="00727DD7">
      <w:pPr>
        <w:ind w:firstLine="709"/>
        <w:jc w:val="both"/>
        <w:rPr>
          <w:sz w:val="28"/>
          <w:szCs w:val="28"/>
        </w:rPr>
      </w:pPr>
    </w:p>
    <w:p w14:paraId="4A4EC29E" w14:textId="37CDD93F" w:rsidR="00C25023" w:rsidRPr="00C25023" w:rsidRDefault="00F35F0A" w:rsidP="00727DD7">
      <w:pPr>
        <w:ind w:firstLine="709"/>
        <w:jc w:val="both"/>
        <w:rPr>
          <w:sz w:val="28"/>
          <w:szCs w:val="28"/>
        </w:rPr>
      </w:pPr>
      <w:r>
        <w:rPr>
          <w:sz w:val="28"/>
          <w:szCs w:val="28"/>
        </w:rPr>
        <w:t>"</w:t>
      </w:r>
      <w:r w:rsidR="00C25023" w:rsidRPr="00C25023">
        <w:rPr>
          <w:sz w:val="28"/>
          <w:szCs w:val="28"/>
        </w:rPr>
        <w:t xml:space="preserve">95.1. kūtsmēsli vai virca ar dienesta amatpersonas atļauju tiek nogādāta </w:t>
      </w:r>
      <w:r w:rsidR="00963ECE">
        <w:rPr>
          <w:sz w:val="28"/>
          <w:szCs w:val="28"/>
        </w:rPr>
        <w:t>apstrād</w:t>
      </w:r>
      <w:r w:rsidR="0022150A">
        <w:rPr>
          <w:sz w:val="28"/>
          <w:szCs w:val="28"/>
        </w:rPr>
        <w:t>ei uz</w:t>
      </w:r>
      <w:r w:rsidR="00963ECE">
        <w:rPr>
          <w:sz w:val="28"/>
          <w:szCs w:val="28"/>
        </w:rPr>
        <w:t xml:space="preserve"> dzīvnieku izcelsmes </w:t>
      </w:r>
      <w:r w:rsidR="00C25023" w:rsidRPr="00C25023">
        <w:rPr>
          <w:sz w:val="28"/>
          <w:szCs w:val="28"/>
        </w:rPr>
        <w:t>bla</w:t>
      </w:r>
      <w:r w:rsidR="00963ECE">
        <w:rPr>
          <w:sz w:val="28"/>
          <w:szCs w:val="28"/>
        </w:rPr>
        <w:t>kusproduktu pārstrādes uzņēmum</w:t>
      </w:r>
      <w:r w:rsidR="0022150A">
        <w:rPr>
          <w:sz w:val="28"/>
          <w:szCs w:val="28"/>
        </w:rPr>
        <w:t>u</w:t>
      </w:r>
      <w:r w:rsidR="00C25023" w:rsidRPr="00C25023">
        <w:rPr>
          <w:sz w:val="28"/>
          <w:szCs w:val="28"/>
        </w:rPr>
        <w:t xml:space="preserve"> </w:t>
      </w:r>
      <w:r w:rsidR="00963ECE">
        <w:rPr>
          <w:sz w:val="28"/>
          <w:szCs w:val="28"/>
        </w:rPr>
        <w:t xml:space="preserve">saskaņā ar </w:t>
      </w:r>
      <w:r w:rsidR="00963ECE" w:rsidRPr="00963ECE">
        <w:rPr>
          <w:sz w:val="28"/>
          <w:szCs w:val="28"/>
        </w:rPr>
        <w:t>normatīvajiem aktiem, kas regulē dzīvnieku izcelsmes blakusproduktu apriti</w:t>
      </w:r>
      <w:r w:rsidR="00C25023" w:rsidRPr="00C25023">
        <w:rPr>
          <w:sz w:val="28"/>
          <w:szCs w:val="28"/>
        </w:rPr>
        <w:t>;</w:t>
      </w:r>
      <w:r>
        <w:rPr>
          <w:sz w:val="28"/>
          <w:szCs w:val="28"/>
        </w:rPr>
        <w:t>"</w:t>
      </w:r>
      <w:r w:rsidR="00884569">
        <w:rPr>
          <w:sz w:val="28"/>
          <w:szCs w:val="28"/>
        </w:rPr>
        <w:t>.</w:t>
      </w:r>
    </w:p>
    <w:p w14:paraId="4A4EC29F" w14:textId="77777777" w:rsidR="00C25023" w:rsidRPr="00C25023" w:rsidRDefault="00C25023" w:rsidP="00727DD7">
      <w:pPr>
        <w:ind w:firstLine="709"/>
        <w:jc w:val="both"/>
        <w:rPr>
          <w:sz w:val="28"/>
          <w:szCs w:val="28"/>
        </w:rPr>
      </w:pPr>
    </w:p>
    <w:p w14:paraId="4A4EC2A0" w14:textId="4B784C93" w:rsidR="00C25023" w:rsidRDefault="00001F45" w:rsidP="00727DD7">
      <w:pPr>
        <w:ind w:firstLine="709"/>
        <w:jc w:val="both"/>
        <w:rPr>
          <w:sz w:val="28"/>
          <w:szCs w:val="28"/>
        </w:rPr>
      </w:pPr>
      <w:r>
        <w:rPr>
          <w:sz w:val="28"/>
          <w:szCs w:val="28"/>
        </w:rPr>
        <w:t>7</w:t>
      </w:r>
      <w:r w:rsidR="00C25023" w:rsidRPr="00C25023">
        <w:rPr>
          <w:sz w:val="28"/>
          <w:szCs w:val="28"/>
        </w:rPr>
        <w:t>. Izteikt 229.1.3., 229.1.4. un 229.1.5.apakšpunktu šādā redakcijā:</w:t>
      </w:r>
    </w:p>
    <w:p w14:paraId="538FF803" w14:textId="77777777" w:rsidR="00F35F0A" w:rsidRPr="00C25023" w:rsidRDefault="00F35F0A" w:rsidP="00F35F0A">
      <w:pPr>
        <w:jc w:val="both"/>
        <w:rPr>
          <w:sz w:val="28"/>
          <w:szCs w:val="28"/>
        </w:rPr>
      </w:pPr>
    </w:p>
    <w:p w14:paraId="4A4EC2A1" w14:textId="7927DFC3" w:rsidR="00C25023" w:rsidRPr="00C25023" w:rsidRDefault="00F35F0A" w:rsidP="00F35F0A">
      <w:pPr>
        <w:ind w:firstLine="680"/>
        <w:jc w:val="both"/>
        <w:rPr>
          <w:sz w:val="28"/>
          <w:szCs w:val="28"/>
        </w:rPr>
      </w:pPr>
      <w:r>
        <w:rPr>
          <w:sz w:val="28"/>
          <w:szCs w:val="28"/>
        </w:rPr>
        <w:t>"</w:t>
      </w:r>
      <w:r w:rsidR="00C25023" w:rsidRPr="00C25023">
        <w:rPr>
          <w:sz w:val="28"/>
          <w:szCs w:val="28"/>
        </w:rPr>
        <w:t xml:space="preserve">229.1.3. ja nogalināto dzīvnieku līķi tiek vesti uz dzīvnieku izcelsmes blakusproduktu pārstrādes uzņēmumu, izmanto noslēdzamus, ūdeni un taukus necaurlaidīgus, dezinficējamus konteinerus; </w:t>
      </w:r>
    </w:p>
    <w:p w14:paraId="4A4EC2A2" w14:textId="77777777" w:rsidR="00C25023" w:rsidRPr="00C25023" w:rsidRDefault="00C25023" w:rsidP="00F35F0A">
      <w:pPr>
        <w:ind w:firstLine="680"/>
        <w:jc w:val="both"/>
        <w:rPr>
          <w:sz w:val="28"/>
          <w:szCs w:val="28"/>
        </w:rPr>
      </w:pPr>
      <w:r w:rsidRPr="00C25023">
        <w:rPr>
          <w:sz w:val="28"/>
          <w:szCs w:val="28"/>
        </w:rPr>
        <w:t xml:space="preserve">229.1.4. pēc nogalināto dzīvnieku līķu aizvešanas uz dzīvnieku izcelsmes blakusproduktu pārstrādes uzņēmumu visas novietnes daļas un piesārņoto teritoriju dezinficē; </w:t>
      </w:r>
    </w:p>
    <w:p w14:paraId="4A4EC2A3" w14:textId="5CFA822E" w:rsidR="00C25023" w:rsidRPr="00C25023" w:rsidRDefault="00C25023" w:rsidP="00F35F0A">
      <w:pPr>
        <w:ind w:firstLine="680"/>
        <w:jc w:val="both"/>
        <w:rPr>
          <w:sz w:val="28"/>
          <w:szCs w:val="28"/>
        </w:rPr>
      </w:pPr>
      <w:r w:rsidRPr="00C25023">
        <w:rPr>
          <w:sz w:val="28"/>
          <w:szCs w:val="28"/>
        </w:rPr>
        <w:t>229.1.5. visus audus</w:t>
      </w:r>
      <w:r w:rsidR="003537E1">
        <w:rPr>
          <w:sz w:val="28"/>
          <w:szCs w:val="28"/>
        </w:rPr>
        <w:t xml:space="preserve"> un</w:t>
      </w:r>
      <w:r w:rsidRPr="00C25023">
        <w:rPr>
          <w:sz w:val="28"/>
          <w:szCs w:val="28"/>
        </w:rPr>
        <w:t xml:space="preserve"> asinis, kas vidē nokļuvušas nogalināšanas vai pēcnā</w:t>
      </w:r>
      <w:r w:rsidRPr="00C25023">
        <w:rPr>
          <w:sz w:val="28"/>
          <w:szCs w:val="28"/>
        </w:rPr>
        <w:softHyphen/>
        <w:t xml:space="preserve">ves patologanatomiskās izmeklēšanas laikā, savāc un pārstrādā kopā ar nogalināto dzīvnieku līķiem saskaņā ar </w:t>
      </w:r>
      <w:r w:rsidR="00963ECE" w:rsidRPr="00963ECE">
        <w:rPr>
          <w:sz w:val="28"/>
          <w:szCs w:val="28"/>
        </w:rPr>
        <w:t>normatīvajiem aktiem, kas regulē dzīvnieku izcelsmes blakusproduktu apriti</w:t>
      </w:r>
      <w:r w:rsidRPr="00C25023">
        <w:rPr>
          <w:sz w:val="28"/>
          <w:szCs w:val="28"/>
        </w:rPr>
        <w:t>;</w:t>
      </w:r>
      <w:r w:rsidR="00F35F0A">
        <w:rPr>
          <w:sz w:val="28"/>
          <w:szCs w:val="28"/>
        </w:rPr>
        <w:t>"</w:t>
      </w:r>
      <w:r w:rsidR="00884569">
        <w:rPr>
          <w:sz w:val="28"/>
          <w:szCs w:val="28"/>
        </w:rPr>
        <w:t>.</w:t>
      </w:r>
    </w:p>
    <w:p w14:paraId="4A4EC2A4" w14:textId="77777777" w:rsidR="00C25023" w:rsidRPr="00C25023" w:rsidRDefault="00C25023" w:rsidP="00F35F0A">
      <w:pPr>
        <w:jc w:val="both"/>
        <w:rPr>
          <w:sz w:val="28"/>
          <w:szCs w:val="28"/>
        </w:rPr>
      </w:pPr>
      <w:r w:rsidRPr="00C25023">
        <w:rPr>
          <w:sz w:val="28"/>
          <w:szCs w:val="28"/>
        </w:rPr>
        <w:tab/>
      </w:r>
    </w:p>
    <w:p w14:paraId="4A4EC2A5" w14:textId="77777777" w:rsidR="00C25023" w:rsidRDefault="00C25023" w:rsidP="00F35F0A">
      <w:pPr>
        <w:jc w:val="both"/>
        <w:rPr>
          <w:sz w:val="28"/>
          <w:szCs w:val="28"/>
        </w:rPr>
      </w:pPr>
      <w:r w:rsidRPr="00C25023">
        <w:rPr>
          <w:sz w:val="28"/>
          <w:szCs w:val="28"/>
        </w:rPr>
        <w:tab/>
      </w:r>
      <w:r w:rsidR="00001F45">
        <w:rPr>
          <w:sz w:val="28"/>
          <w:szCs w:val="28"/>
        </w:rPr>
        <w:t>8</w:t>
      </w:r>
      <w:r w:rsidRPr="00C25023">
        <w:rPr>
          <w:sz w:val="28"/>
          <w:szCs w:val="28"/>
        </w:rPr>
        <w:t>. Papildināt noteikumus ar 234.</w:t>
      </w:r>
      <w:r w:rsidRPr="00C25023">
        <w:rPr>
          <w:sz w:val="28"/>
          <w:szCs w:val="28"/>
          <w:vertAlign w:val="superscript"/>
        </w:rPr>
        <w:t>1</w:t>
      </w:r>
      <w:r w:rsidRPr="00C25023">
        <w:rPr>
          <w:sz w:val="28"/>
          <w:szCs w:val="28"/>
        </w:rPr>
        <w:t xml:space="preserve"> punktu šādā redakcijā:</w:t>
      </w:r>
    </w:p>
    <w:p w14:paraId="552A7C6B" w14:textId="77777777" w:rsidR="00F35F0A" w:rsidRPr="00C25023" w:rsidRDefault="00F35F0A" w:rsidP="00F35F0A">
      <w:pPr>
        <w:jc w:val="both"/>
        <w:rPr>
          <w:sz w:val="28"/>
          <w:szCs w:val="28"/>
        </w:rPr>
      </w:pPr>
    </w:p>
    <w:p w14:paraId="4A4EC2A6" w14:textId="30C9B147" w:rsidR="00C25023" w:rsidRPr="00C25023" w:rsidRDefault="00C25023" w:rsidP="00F35F0A">
      <w:pPr>
        <w:jc w:val="both"/>
        <w:rPr>
          <w:sz w:val="28"/>
          <w:szCs w:val="28"/>
        </w:rPr>
      </w:pPr>
      <w:r w:rsidRPr="00C25023">
        <w:rPr>
          <w:sz w:val="28"/>
          <w:szCs w:val="28"/>
        </w:rPr>
        <w:tab/>
      </w:r>
      <w:r w:rsidR="00F35F0A">
        <w:rPr>
          <w:sz w:val="28"/>
          <w:szCs w:val="28"/>
        </w:rPr>
        <w:t>"</w:t>
      </w:r>
      <w:r w:rsidRPr="00C25023">
        <w:rPr>
          <w:sz w:val="28"/>
          <w:szCs w:val="28"/>
        </w:rPr>
        <w:t>234.</w:t>
      </w:r>
      <w:r w:rsidRPr="00C25023">
        <w:rPr>
          <w:sz w:val="28"/>
          <w:szCs w:val="28"/>
          <w:vertAlign w:val="superscript"/>
        </w:rPr>
        <w:t>1</w:t>
      </w:r>
      <w:r w:rsidRPr="00C25023">
        <w:rPr>
          <w:sz w:val="28"/>
          <w:szCs w:val="28"/>
        </w:rPr>
        <w:t xml:space="preserve"> Pēc slimības gadījuma konstatēšanas uzņēmīgo savvaļas dzīvnieku populācijā valsts galvenais pārtikas un veterinārais inspektors, ievērojot ekspertu grupas sniegto informāciju par savvaļas dzīvnieku migrāciju, kā arī klimatisko un ģeogrāfisko apstākļu īpatnības, slimības izplatīšanās iespējamību un apdraudējumus, saskaņā ar šo noteikumu </w:t>
      </w:r>
      <w:hyperlink r:id="rId7" w:anchor="p247" w:history="1">
        <w:r w:rsidRPr="00C25023">
          <w:rPr>
            <w:sz w:val="28"/>
            <w:szCs w:val="28"/>
          </w:rPr>
          <w:t>247.2.apakšpunkt</w:t>
        </w:r>
        <w:r w:rsidR="00AD608B">
          <w:rPr>
            <w:sz w:val="28"/>
            <w:szCs w:val="28"/>
          </w:rPr>
          <w:t>ā</w:t>
        </w:r>
      </w:hyperlink>
      <w:r w:rsidR="00AD608B">
        <w:rPr>
          <w:sz w:val="28"/>
          <w:szCs w:val="28"/>
        </w:rPr>
        <w:t xml:space="preserve"> minētajām</w:t>
      </w:r>
      <w:r w:rsidRPr="00C25023">
        <w:rPr>
          <w:sz w:val="28"/>
          <w:szCs w:val="28"/>
        </w:rPr>
        <w:t xml:space="preserve"> prasībām nosaka inficēto teritoriju.</w:t>
      </w:r>
      <w:r w:rsidR="00F35F0A">
        <w:rPr>
          <w:sz w:val="28"/>
          <w:szCs w:val="28"/>
        </w:rPr>
        <w:t>"</w:t>
      </w:r>
    </w:p>
    <w:p w14:paraId="4A4EC2A7" w14:textId="77777777" w:rsidR="00C25023" w:rsidRPr="00C25023" w:rsidRDefault="00C25023" w:rsidP="00F35F0A">
      <w:pPr>
        <w:jc w:val="both"/>
        <w:rPr>
          <w:sz w:val="28"/>
          <w:szCs w:val="28"/>
        </w:rPr>
      </w:pPr>
    </w:p>
    <w:p w14:paraId="4A4EC2A8" w14:textId="77777777" w:rsidR="00C25023" w:rsidRPr="00C25023" w:rsidRDefault="00001F45" w:rsidP="00F35F0A">
      <w:pPr>
        <w:jc w:val="both"/>
        <w:rPr>
          <w:sz w:val="28"/>
          <w:szCs w:val="28"/>
        </w:rPr>
      </w:pPr>
      <w:r>
        <w:rPr>
          <w:sz w:val="28"/>
          <w:szCs w:val="28"/>
        </w:rPr>
        <w:tab/>
        <w:t>9</w:t>
      </w:r>
      <w:r w:rsidR="00C25023" w:rsidRPr="00C25023">
        <w:rPr>
          <w:sz w:val="28"/>
          <w:szCs w:val="28"/>
        </w:rPr>
        <w:t>. Svītrot 235.1.apakšpunktu.</w:t>
      </w:r>
    </w:p>
    <w:p w14:paraId="4A4EC2A9" w14:textId="77777777" w:rsidR="00C25023" w:rsidRPr="00C25023" w:rsidRDefault="00C25023" w:rsidP="00F35F0A">
      <w:pPr>
        <w:rPr>
          <w:sz w:val="28"/>
          <w:szCs w:val="28"/>
        </w:rPr>
      </w:pPr>
    </w:p>
    <w:p w14:paraId="4A4EC2AA" w14:textId="77777777" w:rsidR="00C25023" w:rsidRDefault="00001F45" w:rsidP="00F35F0A">
      <w:pPr>
        <w:ind w:firstLine="680"/>
        <w:rPr>
          <w:sz w:val="28"/>
          <w:szCs w:val="28"/>
        </w:rPr>
      </w:pPr>
      <w:r>
        <w:rPr>
          <w:sz w:val="28"/>
          <w:szCs w:val="28"/>
        </w:rPr>
        <w:t>10</w:t>
      </w:r>
      <w:r w:rsidR="00C25023" w:rsidRPr="00C25023">
        <w:rPr>
          <w:sz w:val="28"/>
          <w:szCs w:val="28"/>
        </w:rPr>
        <w:t>. Izteikt 3.pielikumu šādā redakcijā:</w:t>
      </w:r>
    </w:p>
    <w:p w14:paraId="59F3F7A0" w14:textId="77777777" w:rsidR="00F35F0A" w:rsidRPr="00C25023" w:rsidRDefault="00F35F0A" w:rsidP="00F35F0A">
      <w:pPr>
        <w:ind w:firstLine="680"/>
        <w:rPr>
          <w:sz w:val="28"/>
          <w:szCs w:val="28"/>
        </w:rPr>
      </w:pPr>
    </w:p>
    <w:p w14:paraId="4A4EC2AB" w14:textId="221EEF75" w:rsidR="00C25023" w:rsidRPr="00C25023" w:rsidRDefault="00F35F0A" w:rsidP="00F35F0A">
      <w:pPr>
        <w:ind w:firstLine="680"/>
        <w:jc w:val="right"/>
        <w:rPr>
          <w:sz w:val="28"/>
          <w:szCs w:val="28"/>
        </w:rPr>
      </w:pPr>
      <w:r>
        <w:rPr>
          <w:sz w:val="28"/>
          <w:szCs w:val="28"/>
        </w:rPr>
        <w:t>"</w:t>
      </w:r>
      <w:r w:rsidR="00C25023" w:rsidRPr="00C25023">
        <w:rPr>
          <w:sz w:val="28"/>
          <w:szCs w:val="28"/>
        </w:rPr>
        <w:t xml:space="preserve">3.pielikums </w:t>
      </w:r>
      <w:r w:rsidR="00C25023" w:rsidRPr="00C25023">
        <w:rPr>
          <w:sz w:val="28"/>
          <w:szCs w:val="28"/>
        </w:rPr>
        <w:br/>
        <w:t xml:space="preserve">Ministru kabineta </w:t>
      </w:r>
      <w:r w:rsidR="00C25023" w:rsidRPr="00C25023">
        <w:rPr>
          <w:sz w:val="28"/>
          <w:szCs w:val="28"/>
        </w:rPr>
        <w:br/>
        <w:t xml:space="preserve">2005.gada 2.augusta </w:t>
      </w:r>
    </w:p>
    <w:p w14:paraId="4A4EC2AC" w14:textId="77777777" w:rsidR="00C25023" w:rsidRPr="00C25023" w:rsidRDefault="00C25023" w:rsidP="00F35F0A">
      <w:pPr>
        <w:ind w:firstLine="680"/>
        <w:jc w:val="right"/>
        <w:rPr>
          <w:sz w:val="28"/>
          <w:szCs w:val="28"/>
        </w:rPr>
      </w:pPr>
      <w:r w:rsidRPr="00C25023">
        <w:rPr>
          <w:sz w:val="28"/>
          <w:szCs w:val="28"/>
        </w:rPr>
        <w:t>noteikumiem Nr.582</w:t>
      </w:r>
    </w:p>
    <w:p w14:paraId="4A4EC2AD" w14:textId="77777777" w:rsidR="00C25023" w:rsidRPr="00C25023" w:rsidRDefault="00C25023" w:rsidP="00F35F0A">
      <w:pPr>
        <w:jc w:val="center"/>
        <w:rPr>
          <w:b/>
          <w:bCs/>
          <w:sz w:val="28"/>
          <w:szCs w:val="28"/>
        </w:rPr>
      </w:pPr>
      <w:bookmarkStart w:id="1" w:name="123329"/>
      <w:bookmarkEnd w:id="1"/>
    </w:p>
    <w:p w14:paraId="1EBE9BB7" w14:textId="77777777" w:rsidR="00AD608B" w:rsidRDefault="00AD608B">
      <w:pPr>
        <w:rPr>
          <w:b/>
          <w:bCs/>
          <w:sz w:val="28"/>
          <w:szCs w:val="28"/>
        </w:rPr>
      </w:pPr>
      <w:r>
        <w:rPr>
          <w:b/>
          <w:bCs/>
          <w:sz w:val="28"/>
          <w:szCs w:val="28"/>
        </w:rPr>
        <w:br w:type="page"/>
      </w:r>
    </w:p>
    <w:p w14:paraId="4A4EC2AE" w14:textId="662B1B2E" w:rsidR="00C25023" w:rsidRDefault="00C25023" w:rsidP="00F35F0A">
      <w:pPr>
        <w:jc w:val="center"/>
        <w:rPr>
          <w:b/>
          <w:bCs/>
          <w:sz w:val="28"/>
          <w:szCs w:val="28"/>
        </w:rPr>
      </w:pPr>
      <w:r w:rsidRPr="00C25023">
        <w:rPr>
          <w:b/>
          <w:bCs/>
          <w:sz w:val="28"/>
          <w:szCs w:val="28"/>
        </w:rPr>
        <w:lastRenderedPageBreak/>
        <w:t>Dzīvnieku izcelsmes produktu apstrāde</w:t>
      </w:r>
    </w:p>
    <w:p w14:paraId="7AEA5D48" w14:textId="5045EB5F" w:rsidR="00F35F0A" w:rsidRPr="00C25023" w:rsidRDefault="00F35F0A" w:rsidP="00884569">
      <w:pPr>
        <w:rPr>
          <w:b/>
          <w:bCs/>
          <w:sz w:val="28"/>
          <w:szCs w:val="28"/>
        </w:rPr>
      </w:pPr>
    </w:p>
    <w:tbl>
      <w:tblPr>
        <w:tblW w:w="5148" w:type="pct"/>
        <w:tblInd w:w="-26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568"/>
        <w:gridCol w:w="3103"/>
        <w:gridCol w:w="5699"/>
      </w:tblGrid>
      <w:tr w:rsidR="00C25023" w:rsidRPr="00C25023" w14:paraId="4A4EC2B2" w14:textId="77777777" w:rsidTr="00AD608B">
        <w:trPr>
          <w:trHeight w:val="60"/>
        </w:trPr>
        <w:tc>
          <w:tcPr>
            <w:tcW w:w="303" w:type="pct"/>
            <w:tcBorders>
              <w:top w:val="outset" w:sz="6" w:space="0" w:color="000000"/>
              <w:bottom w:val="outset" w:sz="6" w:space="0" w:color="000000"/>
              <w:right w:val="outset" w:sz="6" w:space="0" w:color="000000"/>
            </w:tcBorders>
            <w:vAlign w:val="center"/>
          </w:tcPr>
          <w:p w14:paraId="4A4EC2AF" w14:textId="77777777" w:rsidR="00C25023" w:rsidRPr="00AD608B" w:rsidRDefault="00C25023" w:rsidP="00F35F0A">
            <w:pPr>
              <w:jc w:val="center"/>
            </w:pPr>
            <w:r w:rsidRPr="00AD608B">
              <w:t>Nr.</w:t>
            </w:r>
            <w:r w:rsidRPr="00AD608B">
              <w:br/>
              <w:t>p.k.</w:t>
            </w:r>
          </w:p>
        </w:tc>
        <w:tc>
          <w:tcPr>
            <w:tcW w:w="1656" w:type="pct"/>
            <w:tcBorders>
              <w:top w:val="outset" w:sz="6" w:space="0" w:color="000000"/>
              <w:left w:val="outset" w:sz="6" w:space="0" w:color="000000"/>
              <w:bottom w:val="outset" w:sz="6" w:space="0" w:color="000000"/>
              <w:right w:val="outset" w:sz="6" w:space="0" w:color="000000"/>
            </w:tcBorders>
            <w:vAlign w:val="center"/>
          </w:tcPr>
          <w:p w14:paraId="4A4EC2B0" w14:textId="77777777" w:rsidR="00C25023" w:rsidRPr="00AD608B" w:rsidRDefault="00C25023" w:rsidP="00F35F0A">
            <w:pPr>
              <w:jc w:val="center"/>
            </w:pPr>
            <w:r w:rsidRPr="00AD608B">
              <w:t>Dzīvnieku izcelsmes produkta nosaukums</w:t>
            </w:r>
          </w:p>
        </w:tc>
        <w:tc>
          <w:tcPr>
            <w:tcW w:w="3041" w:type="pct"/>
            <w:tcBorders>
              <w:top w:val="outset" w:sz="6" w:space="0" w:color="000000"/>
              <w:left w:val="outset" w:sz="6" w:space="0" w:color="000000"/>
              <w:bottom w:val="outset" w:sz="6" w:space="0" w:color="000000"/>
            </w:tcBorders>
            <w:vAlign w:val="center"/>
          </w:tcPr>
          <w:p w14:paraId="4A4EC2B1" w14:textId="77777777" w:rsidR="00C25023" w:rsidRPr="00AD608B" w:rsidRDefault="00C25023" w:rsidP="00F35F0A">
            <w:pPr>
              <w:jc w:val="center"/>
            </w:pPr>
            <w:r w:rsidRPr="00AD608B">
              <w:t>Dzīvnieku izcelsmes produkta apstrādes veids</w:t>
            </w:r>
          </w:p>
        </w:tc>
      </w:tr>
      <w:tr w:rsidR="00C25023" w:rsidRPr="00C25023" w14:paraId="4A4EC2B6" w14:textId="77777777" w:rsidTr="00AD608B">
        <w:trPr>
          <w:trHeight w:val="60"/>
        </w:trPr>
        <w:tc>
          <w:tcPr>
            <w:tcW w:w="303" w:type="pct"/>
            <w:tcBorders>
              <w:top w:val="outset" w:sz="6" w:space="0" w:color="000000"/>
              <w:bottom w:val="outset" w:sz="6" w:space="0" w:color="000000"/>
              <w:right w:val="outset" w:sz="6" w:space="0" w:color="000000"/>
            </w:tcBorders>
          </w:tcPr>
          <w:p w14:paraId="4A4EC2B3" w14:textId="77777777" w:rsidR="00C25023" w:rsidRPr="00AD608B" w:rsidRDefault="00C25023" w:rsidP="00F35F0A">
            <w:pPr>
              <w:jc w:val="center"/>
            </w:pPr>
            <w:r w:rsidRPr="00AD608B">
              <w:t>1.</w:t>
            </w:r>
          </w:p>
        </w:tc>
        <w:tc>
          <w:tcPr>
            <w:tcW w:w="1656" w:type="pct"/>
            <w:tcBorders>
              <w:top w:val="outset" w:sz="6" w:space="0" w:color="000000"/>
              <w:left w:val="outset" w:sz="6" w:space="0" w:color="000000"/>
              <w:bottom w:val="outset" w:sz="6" w:space="0" w:color="000000"/>
              <w:right w:val="outset" w:sz="6" w:space="0" w:color="000000"/>
            </w:tcBorders>
          </w:tcPr>
          <w:p w14:paraId="4A4EC2B4" w14:textId="77777777" w:rsidR="00C25023" w:rsidRPr="00AD608B" w:rsidRDefault="00C25023" w:rsidP="00F35F0A">
            <w:r w:rsidRPr="00AD608B">
              <w:t>Uzņēmīgo dzīvnieku ādas un jēlādas</w:t>
            </w:r>
          </w:p>
        </w:tc>
        <w:tc>
          <w:tcPr>
            <w:tcW w:w="3041" w:type="pct"/>
            <w:tcBorders>
              <w:top w:val="outset" w:sz="6" w:space="0" w:color="000000"/>
              <w:left w:val="outset" w:sz="6" w:space="0" w:color="000000"/>
              <w:bottom w:val="outset" w:sz="6" w:space="0" w:color="000000"/>
            </w:tcBorders>
          </w:tcPr>
          <w:p w14:paraId="4A4EC2B5" w14:textId="1D1F2E60" w:rsidR="00C25023" w:rsidRPr="00AD608B" w:rsidRDefault="00C25023" w:rsidP="00AD608B">
            <w:pPr>
              <w:ind w:left="142"/>
            </w:pPr>
            <w:r w:rsidRPr="00AD608B">
              <w:t>saskaņā ar Regulas Nr.142/2011 XIII pielikuma V</w:t>
            </w:r>
            <w:r w:rsidR="00AD608B">
              <w:t> </w:t>
            </w:r>
            <w:r w:rsidRPr="00AD608B">
              <w:t>nodaļas prasībām</w:t>
            </w:r>
          </w:p>
        </w:tc>
      </w:tr>
      <w:tr w:rsidR="00C25023" w:rsidRPr="00C25023" w14:paraId="4A4EC2BA" w14:textId="77777777" w:rsidTr="00AD608B">
        <w:trPr>
          <w:trHeight w:val="60"/>
        </w:trPr>
        <w:tc>
          <w:tcPr>
            <w:tcW w:w="303" w:type="pct"/>
            <w:tcBorders>
              <w:top w:val="outset" w:sz="6" w:space="0" w:color="000000"/>
              <w:bottom w:val="outset" w:sz="6" w:space="0" w:color="000000"/>
              <w:right w:val="outset" w:sz="6" w:space="0" w:color="000000"/>
            </w:tcBorders>
          </w:tcPr>
          <w:p w14:paraId="4A4EC2B7" w14:textId="77777777" w:rsidR="00C25023" w:rsidRPr="00AD608B" w:rsidRDefault="00C25023" w:rsidP="00F35F0A">
            <w:pPr>
              <w:jc w:val="center"/>
            </w:pPr>
            <w:r w:rsidRPr="00AD608B">
              <w:t>2.</w:t>
            </w:r>
          </w:p>
        </w:tc>
        <w:tc>
          <w:tcPr>
            <w:tcW w:w="1656" w:type="pct"/>
            <w:tcBorders>
              <w:top w:val="outset" w:sz="6" w:space="0" w:color="000000"/>
              <w:left w:val="outset" w:sz="6" w:space="0" w:color="000000"/>
              <w:bottom w:val="outset" w:sz="6" w:space="0" w:color="000000"/>
              <w:right w:val="outset" w:sz="6" w:space="0" w:color="000000"/>
            </w:tcBorders>
          </w:tcPr>
          <w:p w14:paraId="4A4EC2B8" w14:textId="77777777" w:rsidR="00C25023" w:rsidRPr="00AD608B" w:rsidRDefault="00C25023" w:rsidP="00F35F0A">
            <w:r w:rsidRPr="00AD608B">
              <w:t>Aitas vilna, atgremotāju mati un cūku sari</w:t>
            </w:r>
          </w:p>
        </w:tc>
        <w:tc>
          <w:tcPr>
            <w:tcW w:w="3041" w:type="pct"/>
            <w:tcBorders>
              <w:top w:val="outset" w:sz="6" w:space="0" w:color="000000"/>
              <w:left w:val="outset" w:sz="6" w:space="0" w:color="000000"/>
              <w:bottom w:val="outset" w:sz="6" w:space="0" w:color="000000"/>
            </w:tcBorders>
          </w:tcPr>
          <w:p w14:paraId="4A4EC2B9" w14:textId="3EA96E13" w:rsidR="00C25023" w:rsidRPr="00AD608B" w:rsidRDefault="00C25023" w:rsidP="00AD608B">
            <w:pPr>
              <w:ind w:left="142"/>
            </w:pPr>
            <w:r w:rsidRPr="00AD608B">
              <w:t>saskaņā ar Regulas Nr.142/2011 XIII pielikuma VII</w:t>
            </w:r>
            <w:r w:rsidR="00AD608B">
              <w:t> </w:t>
            </w:r>
            <w:r w:rsidRPr="00AD608B">
              <w:t>nodaļas prasībām</w:t>
            </w:r>
          </w:p>
        </w:tc>
      </w:tr>
      <w:tr w:rsidR="00C25023" w:rsidRPr="00C25023" w14:paraId="4A4EC2BE" w14:textId="77777777" w:rsidTr="00AD608B">
        <w:trPr>
          <w:trHeight w:val="60"/>
        </w:trPr>
        <w:tc>
          <w:tcPr>
            <w:tcW w:w="303" w:type="pct"/>
            <w:vMerge w:val="restart"/>
            <w:tcBorders>
              <w:top w:val="outset" w:sz="6" w:space="0" w:color="000000"/>
              <w:bottom w:val="outset" w:sz="6" w:space="0" w:color="000000"/>
              <w:right w:val="outset" w:sz="6" w:space="0" w:color="000000"/>
            </w:tcBorders>
          </w:tcPr>
          <w:p w14:paraId="4A4EC2BB" w14:textId="77777777" w:rsidR="00C25023" w:rsidRPr="00AD608B" w:rsidRDefault="00C25023" w:rsidP="00F35F0A">
            <w:pPr>
              <w:jc w:val="center"/>
            </w:pPr>
            <w:r w:rsidRPr="00AD608B">
              <w:t>3.</w:t>
            </w:r>
          </w:p>
        </w:tc>
        <w:tc>
          <w:tcPr>
            <w:tcW w:w="1656" w:type="pct"/>
            <w:vMerge w:val="restart"/>
            <w:tcBorders>
              <w:top w:val="outset" w:sz="6" w:space="0" w:color="000000"/>
              <w:left w:val="outset" w:sz="6" w:space="0" w:color="000000"/>
              <w:bottom w:val="outset" w:sz="6" w:space="0" w:color="000000"/>
              <w:right w:val="outset" w:sz="6" w:space="0" w:color="000000"/>
            </w:tcBorders>
          </w:tcPr>
          <w:p w14:paraId="4A4EC2BC" w14:textId="77777777" w:rsidR="00C25023" w:rsidRPr="00AD608B" w:rsidRDefault="00C25023" w:rsidP="00F35F0A">
            <w:r w:rsidRPr="00AD608B">
              <w:t>Citi produkti, kas iegūti no uzņēmīgajiem dzīvniekiem</w:t>
            </w:r>
          </w:p>
        </w:tc>
        <w:tc>
          <w:tcPr>
            <w:tcW w:w="3041" w:type="pct"/>
            <w:tcBorders>
              <w:top w:val="outset" w:sz="6" w:space="0" w:color="000000"/>
              <w:left w:val="outset" w:sz="6" w:space="0" w:color="000000"/>
              <w:bottom w:val="outset" w:sz="6" w:space="0" w:color="000000"/>
            </w:tcBorders>
          </w:tcPr>
          <w:p w14:paraId="4A4EC2BD" w14:textId="77777777" w:rsidR="00C25023" w:rsidRPr="00AD608B" w:rsidRDefault="00C25023" w:rsidP="00AD608B">
            <w:pPr>
              <w:ind w:left="142"/>
            </w:pPr>
            <w:r w:rsidRPr="00AD608B">
              <w:t>termiska apstrāde hermētiski noslēgtā traukā, ja F</w:t>
            </w:r>
            <w:r w:rsidRPr="00AD608B">
              <w:rPr>
                <w:vertAlign w:val="subscript"/>
              </w:rPr>
              <w:t>0</w:t>
            </w:r>
            <w:r w:rsidRPr="00AD608B">
              <w:t xml:space="preserve"> vērtība ir 3,00 vai vairāk</w:t>
            </w:r>
          </w:p>
        </w:tc>
      </w:tr>
      <w:tr w:rsidR="00C25023" w:rsidRPr="00C25023" w14:paraId="4A4EC2C2" w14:textId="77777777" w:rsidTr="00AD608B">
        <w:trPr>
          <w:trHeight w:val="60"/>
        </w:trPr>
        <w:tc>
          <w:tcPr>
            <w:tcW w:w="303" w:type="pct"/>
            <w:vMerge/>
            <w:tcBorders>
              <w:top w:val="outset" w:sz="6" w:space="0" w:color="000000"/>
              <w:bottom w:val="outset" w:sz="6" w:space="0" w:color="000000"/>
              <w:right w:val="outset" w:sz="6" w:space="0" w:color="000000"/>
            </w:tcBorders>
            <w:vAlign w:val="center"/>
          </w:tcPr>
          <w:p w14:paraId="4A4EC2BF" w14:textId="77777777" w:rsidR="00C25023" w:rsidRPr="00AD608B" w:rsidRDefault="00C25023" w:rsidP="00F35F0A">
            <w:pPr>
              <w:jc w:val="center"/>
            </w:pPr>
          </w:p>
        </w:tc>
        <w:tc>
          <w:tcPr>
            <w:tcW w:w="1656" w:type="pct"/>
            <w:vMerge/>
            <w:tcBorders>
              <w:top w:val="outset" w:sz="6" w:space="0" w:color="000000"/>
              <w:left w:val="outset" w:sz="6" w:space="0" w:color="000000"/>
              <w:bottom w:val="outset" w:sz="6" w:space="0" w:color="000000"/>
              <w:right w:val="outset" w:sz="6" w:space="0" w:color="000000"/>
            </w:tcBorders>
            <w:vAlign w:val="center"/>
          </w:tcPr>
          <w:p w14:paraId="4A4EC2C0" w14:textId="77777777" w:rsidR="00C25023" w:rsidRPr="00AD608B" w:rsidRDefault="00C25023" w:rsidP="00F35F0A"/>
        </w:tc>
        <w:tc>
          <w:tcPr>
            <w:tcW w:w="3041" w:type="pct"/>
            <w:tcBorders>
              <w:top w:val="outset" w:sz="6" w:space="0" w:color="000000"/>
              <w:left w:val="outset" w:sz="6" w:space="0" w:color="000000"/>
              <w:bottom w:val="outset" w:sz="6" w:space="0" w:color="000000"/>
            </w:tcBorders>
          </w:tcPr>
          <w:p w14:paraId="4A4EC2C1" w14:textId="77777777" w:rsidR="00C25023" w:rsidRPr="00AD608B" w:rsidRDefault="00C25023" w:rsidP="00AD608B">
            <w:pPr>
              <w:ind w:left="142"/>
            </w:pPr>
            <w:r w:rsidRPr="00AD608B">
              <w:t xml:space="preserve">termiska apstrāde, kuras laikā produkta iekšējā temperatūra vismaz 60 minūtes ir ne mazāka par </w:t>
            </w:r>
            <w:smartTag w:uri="urn:schemas-microsoft-com:office:smarttags" w:element="metricconverter">
              <w:smartTagPr>
                <w:attr w:name="ProductID" w:val="70 °C"/>
              </w:smartTagPr>
              <w:r w:rsidRPr="00AD608B">
                <w:t>70 °C</w:t>
              </w:r>
            </w:smartTag>
          </w:p>
        </w:tc>
      </w:tr>
      <w:tr w:rsidR="00C25023" w:rsidRPr="00C25023" w14:paraId="4A4EC2C6" w14:textId="77777777" w:rsidTr="00AD608B">
        <w:trPr>
          <w:trHeight w:val="60"/>
        </w:trPr>
        <w:tc>
          <w:tcPr>
            <w:tcW w:w="303" w:type="pct"/>
            <w:tcBorders>
              <w:top w:val="outset" w:sz="6" w:space="0" w:color="000000"/>
              <w:bottom w:val="outset" w:sz="6" w:space="0" w:color="000000"/>
              <w:right w:val="outset" w:sz="6" w:space="0" w:color="000000"/>
            </w:tcBorders>
          </w:tcPr>
          <w:p w14:paraId="4A4EC2C3" w14:textId="77777777" w:rsidR="00C25023" w:rsidRPr="00AD608B" w:rsidRDefault="00C25023" w:rsidP="00F35F0A">
            <w:pPr>
              <w:jc w:val="center"/>
            </w:pPr>
            <w:r w:rsidRPr="00AD608B">
              <w:t>4.</w:t>
            </w:r>
          </w:p>
        </w:tc>
        <w:tc>
          <w:tcPr>
            <w:tcW w:w="1656" w:type="pct"/>
            <w:tcBorders>
              <w:top w:val="outset" w:sz="6" w:space="0" w:color="000000"/>
              <w:left w:val="outset" w:sz="6" w:space="0" w:color="000000"/>
              <w:bottom w:val="outset" w:sz="6" w:space="0" w:color="000000"/>
              <w:right w:val="outset" w:sz="6" w:space="0" w:color="000000"/>
            </w:tcBorders>
          </w:tcPr>
          <w:p w14:paraId="4A4EC2C4" w14:textId="77777777" w:rsidR="00C25023" w:rsidRPr="00AD608B" w:rsidRDefault="00C25023" w:rsidP="00F35F0A">
            <w:r w:rsidRPr="00AD608B">
              <w:t xml:space="preserve">Uzņēmīgo dzīvnieku asinis un no tām iegūtie produkti, ko izmanto tehniskos nolūkos (tai skaitā farmaceitiski līdzekļi, produkti </w:t>
            </w:r>
            <w:proofErr w:type="spellStart"/>
            <w:r w:rsidRPr="00AD608B">
              <w:rPr>
                <w:i/>
                <w:iCs/>
              </w:rPr>
              <w:t>in</w:t>
            </w:r>
            <w:proofErr w:type="spellEnd"/>
            <w:r w:rsidRPr="00AD608B">
              <w:rPr>
                <w:i/>
                <w:iCs/>
              </w:rPr>
              <w:t xml:space="preserve"> </w:t>
            </w:r>
            <w:proofErr w:type="spellStart"/>
            <w:r w:rsidRPr="00AD608B">
              <w:rPr>
                <w:i/>
                <w:iCs/>
              </w:rPr>
              <w:t>vitro</w:t>
            </w:r>
            <w:proofErr w:type="spellEnd"/>
            <w:r w:rsidRPr="00AD608B">
              <w:t xml:space="preserve"> diagnostikai un laboratorijas reaģenti)</w:t>
            </w:r>
          </w:p>
        </w:tc>
        <w:tc>
          <w:tcPr>
            <w:tcW w:w="3041" w:type="pct"/>
            <w:tcBorders>
              <w:top w:val="outset" w:sz="6" w:space="0" w:color="000000"/>
              <w:left w:val="outset" w:sz="6" w:space="0" w:color="000000"/>
              <w:bottom w:val="outset" w:sz="6" w:space="0" w:color="000000"/>
            </w:tcBorders>
          </w:tcPr>
          <w:p w14:paraId="4A4EC2C5" w14:textId="77777777" w:rsidR="00C25023" w:rsidRPr="00AD608B" w:rsidRDefault="00C25023" w:rsidP="00AD608B">
            <w:pPr>
              <w:ind w:left="142"/>
            </w:pPr>
            <w:r w:rsidRPr="00AD608B">
              <w:t>saskaņā ar Regulas Nr.142/2011 X pielikuma II nodaļas 2.iedaļas prasībām</w:t>
            </w:r>
          </w:p>
        </w:tc>
      </w:tr>
      <w:tr w:rsidR="00C25023" w:rsidRPr="00C25023" w14:paraId="4A4EC2CA" w14:textId="77777777" w:rsidTr="00AD608B">
        <w:trPr>
          <w:trHeight w:val="60"/>
        </w:trPr>
        <w:tc>
          <w:tcPr>
            <w:tcW w:w="303" w:type="pct"/>
            <w:tcBorders>
              <w:top w:val="outset" w:sz="6" w:space="0" w:color="000000"/>
              <w:bottom w:val="outset" w:sz="6" w:space="0" w:color="000000"/>
              <w:right w:val="outset" w:sz="6" w:space="0" w:color="000000"/>
            </w:tcBorders>
          </w:tcPr>
          <w:p w14:paraId="4A4EC2C7" w14:textId="77777777" w:rsidR="00C25023" w:rsidRPr="00AD608B" w:rsidRDefault="00C25023" w:rsidP="00F35F0A">
            <w:pPr>
              <w:jc w:val="center"/>
            </w:pPr>
            <w:r w:rsidRPr="00AD608B">
              <w:t>5.</w:t>
            </w:r>
          </w:p>
        </w:tc>
        <w:tc>
          <w:tcPr>
            <w:tcW w:w="1656" w:type="pct"/>
            <w:tcBorders>
              <w:top w:val="outset" w:sz="6" w:space="0" w:color="000000"/>
              <w:left w:val="outset" w:sz="6" w:space="0" w:color="000000"/>
              <w:bottom w:val="outset" w:sz="6" w:space="0" w:color="000000"/>
              <w:right w:val="outset" w:sz="6" w:space="0" w:color="000000"/>
            </w:tcBorders>
          </w:tcPr>
          <w:p w14:paraId="4A4EC2C8" w14:textId="77777777" w:rsidR="00C25023" w:rsidRPr="00AD608B" w:rsidRDefault="00C25023" w:rsidP="00F35F0A">
            <w:r w:rsidRPr="00AD608B">
              <w:t>Kausēti cūku tauki un citu uzņēmīgo dzīvnieku kausēti tauki</w:t>
            </w:r>
          </w:p>
        </w:tc>
        <w:tc>
          <w:tcPr>
            <w:tcW w:w="3041" w:type="pct"/>
            <w:tcBorders>
              <w:top w:val="outset" w:sz="6" w:space="0" w:color="000000"/>
              <w:left w:val="outset" w:sz="6" w:space="0" w:color="000000"/>
              <w:bottom w:val="outset" w:sz="6" w:space="0" w:color="000000"/>
            </w:tcBorders>
          </w:tcPr>
          <w:p w14:paraId="4A4EC2C9" w14:textId="2D83EBEC" w:rsidR="00C25023" w:rsidRPr="00AD608B" w:rsidRDefault="00C25023" w:rsidP="00AD608B">
            <w:pPr>
              <w:ind w:left="142"/>
            </w:pPr>
            <w:r w:rsidRPr="00AD608B">
              <w:t>saskaņā ar Regulas Nr.142/2011 XIII pielikuma X</w:t>
            </w:r>
            <w:r w:rsidR="00AD608B">
              <w:t> </w:t>
            </w:r>
            <w:r w:rsidRPr="00AD608B">
              <w:t>nodaļas prasībām</w:t>
            </w:r>
          </w:p>
        </w:tc>
      </w:tr>
      <w:tr w:rsidR="00C25023" w:rsidRPr="00C25023" w14:paraId="4A4EC2CE" w14:textId="77777777" w:rsidTr="00AD608B">
        <w:trPr>
          <w:trHeight w:val="60"/>
        </w:trPr>
        <w:tc>
          <w:tcPr>
            <w:tcW w:w="303" w:type="pct"/>
            <w:tcBorders>
              <w:top w:val="outset" w:sz="6" w:space="0" w:color="000000"/>
              <w:bottom w:val="outset" w:sz="6" w:space="0" w:color="000000"/>
              <w:right w:val="outset" w:sz="6" w:space="0" w:color="000000"/>
            </w:tcBorders>
          </w:tcPr>
          <w:p w14:paraId="4A4EC2CB" w14:textId="77777777" w:rsidR="00C25023" w:rsidRPr="00AD608B" w:rsidRDefault="00C25023" w:rsidP="00F35F0A">
            <w:pPr>
              <w:jc w:val="center"/>
            </w:pPr>
            <w:r w:rsidRPr="00AD608B">
              <w:t>6.</w:t>
            </w:r>
          </w:p>
        </w:tc>
        <w:tc>
          <w:tcPr>
            <w:tcW w:w="1656" w:type="pct"/>
            <w:tcBorders>
              <w:top w:val="outset" w:sz="6" w:space="0" w:color="000000"/>
              <w:left w:val="outset" w:sz="6" w:space="0" w:color="000000"/>
              <w:bottom w:val="outset" w:sz="6" w:space="0" w:color="000000"/>
              <w:right w:val="outset" w:sz="6" w:space="0" w:color="000000"/>
            </w:tcBorders>
          </w:tcPr>
          <w:p w14:paraId="4A4EC2CC" w14:textId="77777777" w:rsidR="00C25023" w:rsidRPr="00AD608B" w:rsidRDefault="00C25023" w:rsidP="00F35F0A">
            <w:r w:rsidRPr="00AD608B">
              <w:t>Mājas/istabas dzīvnieku barība un košļājamās suņu rotaļlietas</w:t>
            </w:r>
          </w:p>
        </w:tc>
        <w:tc>
          <w:tcPr>
            <w:tcW w:w="3041" w:type="pct"/>
            <w:tcBorders>
              <w:top w:val="outset" w:sz="6" w:space="0" w:color="000000"/>
              <w:left w:val="outset" w:sz="6" w:space="0" w:color="000000"/>
              <w:bottom w:val="outset" w:sz="6" w:space="0" w:color="000000"/>
            </w:tcBorders>
          </w:tcPr>
          <w:p w14:paraId="4A4EC2CD" w14:textId="15BBC6ED" w:rsidR="00C25023" w:rsidRPr="00AD608B" w:rsidRDefault="00C25023" w:rsidP="00AD608B">
            <w:pPr>
              <w:ind w:left="142"/>
            </w:pPr>
            <w:r w:rsidRPr="00AD608B">
              <w:t>saskaņā ar Regulas Nr.142/2011 XIII pielikuma II</w:t>
            </w:r>
            <w:r w:rsidR="00AD608B">
              <w:t> </w:t>
            </w:r>
            <w:r w:rsidRPr="00AD608B">
              <w:t>nodaļas prasībām</w:t>
            </w:r>
          </w:p>
        </w:tc>
      </w:tr>
      <w:tr w:rsidR="00C25023" w:rsidRPr="00C25023" w14:paraId="4A4EC2D2" w14:textId="77777777" w:rsidTr="00AD608B">
        <w:trPr>
          <w:trHeight w:val="60"/>
        </w:trPr>
        <w:tc>
          <w:tcPr>
            <w:tcW w:w="303" w:type="pct"/>
            <w:tcBorders>
              <w:top w:val="outset" w:sz="6" w:space="0" w:color="000000"/>
              <w:bottom w:val="outset" w:sz="6" w:space="0" w:color="000000"/>
              <w:right w:val="outset" w:sz="6" w:space="0" w:color="000000"/>
            </w:tcBorders>
          </w:tcPr>
          <w:p w14:paraId="4A4EC2CF" w14:textId="77777777" w:rsidR="00C25023" w:rsidRPr="00AD608B" w:rsidRDefault="00C25023" w:rsidP="00F35F0A">
            <w:pPr>
              <w:jc w:val="center"/>
            </w:pPr>
            <w:r w:rsidRPr="00AD608B">
              <w:t>7.</w:t>
            </w:r>
          </w:p>
        </w:tc>
        <w:tc>
          <w:tcPr>
            <w:tcW w:w="1656" w:type="pct"/>
            <w:tcBorders>
              <w:top w:val="outset" w:sz="6" w:space="0" w:color="000000"/>
              <w:left w:val="outset" w:sz="6" w:space="0" w:color="000000"/>
              <w:bottom w:val="outset" w:sz="6" w:space="0" w:color="000000"/>
              <w:right w:val="outset" w:sz="6" w:space="0" w:color="000000"/>
            </w:tcBorders>
          </w:tcPr>
          <w:p w14:paraId="4A4EC2D0" w14:textId="77777777" w:rsidR="00C25023" w:rsidRPr="00AD608B" w:rsidRDefault="00C25023" w:rsidP="00F35F0A">
            <w:r w:rsidRPr="00AD608B">
              <w:t>Nagaiņu medību trofejas</w:t>
            </w:r>
          </w:p>
        </w:tc>
        <w:tc>
          <w:tcPr>
            <w:tcW w:w="3041" w:type="pct"/>
            <w:tcBorders>
              <w:top w:val="outset" w:sz="6" w:space="0" w:color="000000"/>
              <w:left w:val="outset" w:sz="6" w:space="0" w:color="000000"/>
              <w:bottom w:val="outset" w:sz="6" w:space="0" w:color="000000"/>
            </w:tcBorders>
          </w:tcPr>
          <w:p w14:paraId="4A4EC2D1" w14:textId="13A61973" w:rsidR="00C25023" w:rsidRPr="00AD608B" w:rsidRDefault="00C25023" w:rsidP="00AD608B">
            <w:pPr>
              <w:ind w:left="142"/>
            </w:pPr>
            <w:r w:rsidRPr="00AD608B">
              <w:t>saskaņā ar Regulas Nr.142/2011 XIII pielikuma VI</w:t>
            </w:r>
            <w:r w:rsidR="00AD608B">
              <w:t> </w:t>
            </w:r>
            <w:r w:rsidRPr="00AD608B">
              <w:t>nodaļas prasībām</w:t>
            </w:r>
          </w:p>
        </w:tc>
      </w:tr>
      <w:tr w:rsidR="00C25023" w:rsidRPr="00C25023" w14:paraId="4A4EC2D6" w14:textId="77777777" w:rsidTr="00AD608B">
        <w:trPr>
          <w:trHeight w:val="60"/>
        </w:trPr>
        <w:tc>
          <w:tcPr>
            <w:tcW w:w="303" w:type="pct"/>
            <w:vMerge w:val="restart"/>
            <w:tcBorders>
              <w:top w:val="outset" w:sz="6" w:space="0" w:color="000000"/>
              <w:bottom w:val="outset" w:sz="6" w:space="0" w:color="000000"/>
              <w:right w:val="outset" w:sz="6" w:space="0" w:color="000000"/>
            </w:tcBorders>
          </w:tcPr>
          <w:p w14:paraId="4A4EC2D3" w14:textId="77777777" w:rsidR="00C25023" w:rsidRPr="00AD608B" w:rsidRDefault="00C25023" w:rsidP="00F35F0A">
            <w:pPr>
              <w:jc w:val="center"/>
            </w:pPr>
            <w:r w:rsidRPr="00AD608B">
              <w:t>8.</w:t>
            </w:r>
          </w:p>
        </w:tc>
        <w:tc>
          <w:tcPr>
            <w:tcW w:w="1656" w:type="pct"/>
            <w:vMerge w:val="restart"/>
            <w:tcBorders>
              <w:top w:val="outset" w:sz="6" w:space="0" w:color="000000"/>
              <w:left w:val="outset" w:sz="6" w:space="0" w:color="000000"/>
              <w:bottom w:val="outset" w:sz="6" w:space="0" w:color="000000"/>
              <w:right w:val="outset" w:sz="6" w:space="0" w:color="000000"/>
            </w:tcBorders>
          </w:tcPr>
          <w:p w14:paraId="4A4EC2D4" w14:textId="77777777" w:rsidR="00C25023" w:rsidRPr="00AD608B" w:rsidRDefault="00C25023" w:rsidP="00F35F0A">
            <w:r w:rsidRPr="00AD608B">
              <w:t>Uzņēmīgo dzīvnieku zarnas</w:t>
            </w:r>
          </w:p>
        </w:tc>
        <w:tc>
          <w:tcPr>
            <w:tcW w:w="3041" w:type="pct"/>
            <w:tcBorders>
              <w:top w:val="outset" w:sz="6" w:space="0" w:color="000000"/>
              <w:left w:val="outset" w:sz="6" w:space="0" w:color="000000"/>
              <w:bottom w:val="outset" w:sz="6" w:space="0" w:color="000000"/>
            </w:tcBorders>
          </w:tcPr>
          <w:p w14:paraId="4A4EC2D5" w14:textId="77777777" w:rsidR="00C25023" w:rsidRPr="00AD608B" w:rsidRDefault="00C25023" w:rsidP="00AD608B">
            <w:pPr>
              <w:ind w:left="142"/>
            </w:pPr>
            <w:r w:rsidRPr="00AD608B">
              <w:t>pēc mazgāšanas un tīrīšanas 30 dienas sāla nātrija hlorīdā</w:t>
            </w:r>
          </w:p>
        </w:tc>
      </w:tr>
      <w:tr w:rsidR="00C25023" w:rsidRPr="00C25023" w14:paraId="4A4EC2DA" w14:textId="77777777" w:rsidTr="00AD608B">
        <w:trPr>
          <w:trHeight w:val="60"/>
        </w:trPr>
        <w:tc>
          <w:tcPr>
            <w:tcW w:w="303" w:type="pct"/>
            <w:vMerge/>
            <w:tcBorders>
              <w:top w:val="outset" w:sz="6" w:space="0" w:color="000000"/>
              <w:bottom w:val="outset" w:sz="6" w:space="0" w:color="000000"/>
              <w:right w:val="outset" w:sz="6" w:space="0" w:color="000000"/>
            </w:tcBorders>
            <w:vAlign w:val="center"/>
          </w:tcPr>
          <w:p w14:paraId="4A4EC2D7" w14:textId="77777777" w:rsidR="00C25023" w:rsidRPr="00AD608B" w:rsidRDefault="00C25023" w:rsidP="00F35F0A">
            <w:pPr>
              <w:ind w:firstLine="680"/>
            </w:pPr>
          </w:p>
        </w:tc>
        <w:tc>
          <w:tcPr>
            <w:tcW w:w="1656" w:type="pct"/>
            <w:vMerge/>
            <w:tcBorders>
              <w:top w:val="outset" w:sz="6" w:space="0" w:color="000000"/>
              <w:left w:val="outset" w:sz="6" w:space="0" w:color="000000"/>
              <w:bottom w:val="outset" w:sz="6" w:space="0" w:color="000000"/>
              <w:right w:val="outset" w:sz="6" w:space="0" w:color="000000"/>
            </w:tcBorders>
            <w:vAlign w:val="center"/>
          </w:tcPr>
          <w:p w14:paraId="4A4EC2D8" w14:textId="77777777" w:rsidR="00C25023" w:rsidRPr="00AD608B" w:rsidRDefault="00C25023" w:rsidP="00F35F0A">
            <w:pPr>
              <w:ind w:firstLine="680"/>
            </w:pPr>
          </w:p>
        </w:tc>
        <w:tc>
          <w:tcPr>
            <w:tcW w:w="3041" w:type="pct"/>
            <w:tcBorders>
              <w:top w:val="outset" w:sz="6" w:space="0" w:color="000000"/>
              <w:left w:val="outset" w:sz="6" w:space="0" w:color="000000"/>
              <w:bottom w:val="outset" w:sz="6" w:space="0" w:color="000000"/>
            </w:tcBorders>
          </w:tcPr>
          <w:p w14:paraId="4A4EC2D9" w14:textId="0C098846" w:rsidR="00C25023" w:rsidRPr="00AD608B" w:rsidRDefault="00C25023" w:rsidP="00AD608B">
            <w:pPr>
              <w:ind w:left="142"/>
            </w:pPr>
            <w:r w:rsidRPr="00AD608B">
              <w:t>pēc mazgāšanas un tīrīšanas blanšē vai kaltē, pēc apstrādes aizsargā no atkārtotas inficēšanās</w:t>
            </w:r>
            <w:r w:rsidR="00F35F0A" w:rsidRPr="00AD608B">
              <w:t>"</w:t>
            </w:r>
          </w:p>
        </w:tc>
      </w:tr>
    </w:tbl>
    <w:p w14:paraId="4A4EC2DC" w14:textId="77777777" w:rsidR="00C25023" w:rsidRPr="00C25023" w:rsidRDefault="00C25023" w:rsidP="00F35F0A">
      <w:pPr>
        <w:ind w:firstLine="680"/>
        <w:rPr>
          <w:sz w:val="28"/>
          <w:szCs w:val="28"/>
        </w:rPr>
      </w:pPr>
    </w:p>
    <w:p w14:paraId="4A4EC2DD" w14:textId="77777777" w:rsidR="0045729F" w:rsidRDefault="0045729F" w:rsidP="00F35F0A">
      <w:pPr>
        <w:pStyle w:val="naisf"/>
        <w:spacing w:before="0" w:beforeAutospacing="0" w:after="0" w:afterAutospacing="0"/>
        <w:ind w:firstLine="680"/>
        <w:rPr>
          <w:sz w:val="28"/>
          <w:szCs w:val="28"/>
        </w:rPr>
      </w:pPr>
    </w:p>
    <w:p w14:paraId="4A4EC2DE" w14:textId="77777777" w:rsidR="0090271B" w:rsidRDefault="0090271B" w:rsidP="00F35F0A">
      <w:pPr>
        <w:pStyle w:val="naisf"/>
        <w:spacing w:before="0" w:beforeAutospacing="0" w:after="0" w:afterAutospacing="0"/>
        <w:ind w:firstLine="680"/>
        <w:rPr>
          <w:sz w:val="28"/>
          <w:szCs w:val="28"/>
        </w:rPr>
      </w:pPr>
    </w:p>
    <w:p w14:paraId="4A4EC2DF" w14:textId="048F7A15" w:rsidR="003077F8" w:rsidRPr="008325C3" w:rsidRDefault="00884569" w:rsidP="00F35F0A">
      <w:pPr>
        <w:pStyle w:val="naisf"/>
        <w:tabs>
          <w:tab w:val="left" w:pos="6521"/>
        </w:tabs>
        <w:spacing w:before="0" w:beforeAutospacing="0" w:after="0" w:afterAutospacing="0"/>
        <w:ind w:firstLine="680"/>
        <w:rPr>
          <w:sz w:val="28"/>
          <w:szCs w:val="28"/>
        </w:rPr>
      </w:pPr>
      <w:r>
        <w:rPr>
          <w:sz w:val="28"/>
          <w:szCs w:val="28"/>
        </w:rPr>
        <w:t>Ministru prezidents</w:t>
      </w:r>
      <w:r w:rsidR="003077F8">
        <w:rPr>
          <w:sz w:val="28"/>
          <w:szCs w:val="28"/>
        </w:rPr>
        <w:tab/>
        <w:t>V</w:t>
      </w:r>
      <w:r w:rsidR="00F35F0A">
        <w:rPr>
          <w:sz w:val="28"/>
          <w:szCs w:val="28"/>
        </w:rPr>
        <w:t xml:space="preserve">aldis </w:t>
      </w:r>
      <w:r w:rsidR="003077F8">
        <w:rPr>
          <w:sz w:val="28"/>
          <w:szCs w:val="28"/>
        </w:rPr>
        <w:t>Dombrovskis</w:t>
      </w:r>
      <w:r w:rsidR="003077F8" w:rsidRPr="008325C3">
        <w:rPr>
          <w:sz w:val="28"/>
          <w:szCs w:val="28"/>
        </w:rPr>
        <w:t> </w:t>
      </w:r>
    </w:p>
    <w:p w14:paraId="4A4EC2E0" w14:textId="77777777" w:rsidR="003077F8" w:rsidRDefault="003077F8" w:rsidP="00F35F0A">
      <w:pPr>
        <w:pStyle w:val="naisf"/>
        <w:tabs>
          <w:tab w:val="left" w:pos="6521"/>
        </w:tabs>
        <w:spacing w:before="0" w:beforeAutospacing="0" w:after="0" w:afterAutospacing="0"/>
        <w:ind w:firstLine="680"/>
        <w:rPr>
          <w:sz w:val="28"/>
          <w:szCs w:val="28"/>
        </w:rPr>
      </w:pPr>
    </w:p>
    <w:p w14:paraId="0F4B3419" w14:textId="77777777" w:rsidR="00884569" w:rsidRDefault="00884569" w:rsidP="00F35F0A">
      <w:pPr>
        <w:pStyle w:val="naisf"/>
        <w:tabs>
          <w:tab w:val="left" w:pos="6521"/>
        </w:tabs>
        <w:spacing w:before="0" w:beforeAutospacing="0" w:after="0" w:afterAutospacing="0"/>
        <w:ind w:firstLine="680"/>
        <w:rPr>
          <w:sz w:val="28"/>
          <w:szCs w:val="28"/>
        </w:rPr>
      </w:pPr>
    </w:p>
    <w:p w14:paraId="598C14C9" w14:textId="77777777" w:rsidR="00D07CEB" w:rsidRDefault="00D07CEB" w:rsidP="00F35F0A">
      <w:pPr>
        <w:pStyle w:val="naisf"/>
        <w:tabs>
          <w:tab w:val="left" w:pos="6521"/>
        </w:tabs>
        <w:spacing w:before="0" w:beforeAutospacing="0" w:after="0" w:afterAutospacing="0"/>
        <w:ind w:firstLine="680"/>
        <w:rPr>
          <w:sz w:val="28"/>
          <w:szCs w:val="28"/>
        </w:rPr>
      </w:pPr>
    </w:p>
    <w:p w14:paraId="014F4E91" w14:textId="77777777" w:rsidR="00D07CEB" w:rsidRPr="00D07CEB" w:rsidRDefault="00D07CEB" w:rsidP="00D07CEB">
      <w:pPr>
        <w:pStyle w:val="naisf"/>
        <w:tabs>
          <w:tab w:val="left" w:pos="6521"/>
        </w:tabs>
        <w:spacing w:before="0" w:beforeAutospacing="0" w:after="0" w:afterAutospacing="0"/>
        <w:ind w:firstLine="680"/>
        <w:rPr>
          <w:sz w:val="28"/>
          <w:szCs w:val="28"/>
        </w:rPr>
      </w:pPr>
      <w:r w:rsidRPr="00D07CEB">
        <w:rPr>
          <w:sz w:val="28"/>
          <w:szCs w:val="28"/>
        </w:rPr>
        <w:t>Zemkopības ministra vietā –</w:t>
      </w:r>
    </w:p>
    <w:p w14:paraId="5A85C965" w14:textId="77777777" w:rsidR="00D07CEB" w:rsidRPr="00D07CEB" w:rsidRDefault="00D07CEB" w:rsidP="00D07CEB">
      <w:pPr>
        <w:pStyle w:val="naisf"/>
        <w:tabs>
          <w:tab w:val="left" w:pos="6521"/>
        </w:tabs>
        <w:spacing w:before="0" w:beforeAutospacing="0" w:after="0" w:afterAutospacing="0"/>
        <w:ind w:firstLine="680"/>
        <w:rPr>
          <w:sz w:val="28"/>
          <w:szCs w:val="28"/>
        </w:rPr>
      </w:pPr>
      <w:r w:rsidRPr="00D07CEB">
        <w:rPr>
          <w:sz w:val="28"/>
          <w:szCs w:val="28"/>
        </w:rPr>
        <w:t>veselības ministre</w:t>
      </w:r>
      <w:r w:rsidRPr="00D07CEB">
        <w:rPr>
          <w:sz w:val="28"/>
          <w:szCs w:val="28"/>
        </w:rPr>
        <w:tab/>
        <w:t>Ingrīda Circene</w:t>
      </w:r>
    </w:p>
    <w:p w14:paraId="4A4EC2EB" w14:textId="77777777" w:rsidR="00F94C5F" w:rsidRPr="00D07CEB" w:rsidRDefault="00F94C5F" w:rsidP="00D07CEB">
      <w:pPr>
        <w:pStyle w:val="naisf"/>
        <w:tabs>
          <w:tab w:val="left" w:pos="6521"/>
        </w:tabs>
        <w:spacing w:before="0" w:beforeAutospacing="0" w:after="0" w:afterAutospacing="0"/>
        <w:ind w:firstLine="680"/>
        <w:rPr>
          <w:sz w:val="28"/>
          <w:szCs w:val="28"/>
        </w:rPr>
      </w:pPr>
    </w:p>
    <w:sectPr w:rsidR="00F94C5F" w:rsidRPr="00D07CEB" w:rsidSect="00F35F0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C2FA" w14:textId="77777777" w:rsidR="00015D57" w:rsidRDefault="00015D57">
      <w:r>
        <w:separator/>
      </w:r>
    </w:p>
  </w:endnote>
  <w:endnote w:type="continuationSeparator" w:id="0">
    <w:p w14:paraId="4A4EC2FB" w14:textId="77777777" w:rsidR="00015D57" w:rsidRDefault="0001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35A0" w14:textId="54F07CBE" w:rsidR="00F35F0A" w:rsidRPr="00F35F0A" w:rsidRDefault="00F35F0A">
    <w:pPr>
      <w:pStyle w:val="Footer"/>
      <w:rPr>
        <w:sz w:val="16"/>
        <w:szCs w:val="16"/>
      </w:rPr>
    </w:pPr>
    <w:r w:rsidRPr="00F35F0A">
      <w:rPr>
        <w:sz w:val="16"/>
        <w:szCs w:val="16"/>
      </w:rPr>
      <w:t>N2047_3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3E7D" w14:textId="5E49DABF" w:rsidR="00F35F0A" w:rsidRPr="00F35F0A" w:rsidRDefault="00F35F0A">
    <w:pPr>
      <w:pStyle w:val="Footer"/>
      <w:rPr>
        <w:sz w:val="16"/>
        <w:szCs w:val="16"/>
      </w:rPr>
    </w:pPr>
    <w:r w:rsidRPr="00F35F0A">
      <w:rPr>
        <w:sz w:val="16"/>
        <w:szCs w:val="16"/>
      </w:rPr>
      <w:t>N2047_3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C2F8" w14:textId="77777777" w:rsidR="00015D57" w:rsidRDefault="00015D57">
      <w:r>
        <w:separator/>
      </w:r>
    </w:p>
  </w:footnote>
  <w:footnote w:type="continuationSeparator" w:id="0">
    <w:p w14:paraId="4A4EC2F9" w14:textId="77777777" w:rsidR="00015D57" w:rsidRDefault="0001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83782"/>
      <w:docPartObj>
        <w:docPartGallery w:val="Page Numbers (Top of Page)"/>
        <w:docPartUnique/>
      </w:docPartObj>
    </w:sdtPr>
    <w:sdtEndPr/>
    <w:sdtContent>
      <w:p w14:paraId="4A4EC2FC" w14:textId="77777777" w:rsidR="005A3A82" w:rsidRDefault="007E7F4E">
        <w:pPr>
          <w:pStyle w:val="Header"/>
          <w:jc w:val="center"/>
        </w:pPr>
        <w:r>
          <w:fldChar w:fldCharType="begin"/>
        </w:r>
        <w:r w:rsidR="005A3A82">
          <w:instrText>PAGE   \* MERGEFORMAT</w:instrText>
        </w:r>
        <w:r>
          <w:fldChar w:fldCharType="separate"/>
        </w:r>
        <w:r w:rsidR="00384501">
          <w:rPr>
            <w:noProof/>
          </w:rPr>
          <w:t>3</w:t>
        </w:r>
        <w:r>
          <w:fldChar w:fldCharType="end"/>
        </w:r>
      </w:p>
    </w:sdtContent>
  </w:sdt>
  <w:p w14:paraId="4A4EC2FD" w14:textId="77777777" w:rsidR="005A3A82" w:rsidRDefault="005A3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872D" w14:textId="4142443A" w:rsidR="00F35F0A" w:rsidRDefault="00F35F0A" w:rsidP="00F35F0A">
    <w:pPr>
      <w:pStyle w:val="Header"/>
      <w:jc w:val="center"/>
    </w:pPr>
    <w:r>
      <w:rPr>
        <w:noProof/>
      </w:rPr>
      <w:drawing>
        <wp:inline distT="0" distB="0" distL="0" distR="0" wp14:anchorId="68F3F64C" wp14:editId="35CE2A87">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11C03"/>
    <w:rsid w:val="00001F45"/>
    <w:rsid w:val="000068C9"/>
    <w:rsid w:val="00010379"/>
    <w:rsid w:val="00015D57"/>
    <w:rsid w:val="00034D11"/>
    <w:rsid w:val="000933C7"/>
    <w:rsid w:val="000E3BBC"/>
    <w:rsid w:val="000E6F66"/>
    <w:rsid w:val="0014205E"/>
    <w:rsid w:val="00161618"/>
    <w:rsid w:val="001A3E06"/>
    <w:rsid w:val="001C5430"/>
    <w:rsid w:val="001D32CA"/>
    <w:rsid w:val="001E38F4"/>
    <w:rsid w:val="00200BE2"/>
    <w:rsid w:val="00207CDD"/>
    <w:rsid w:val="00210B3F"/>
    <w:rsid w:val="0022150A"/>
    <w:rsid w:val="00241AAF"/>
    <w:rsid w:val="002950F6"/>
    <w:rsid w:val="00296503"/>
    <w:rsid w:val="002E4AE8"/>
    <w:rsid w:val="002F470C"/>
    <w:rsid w:val="002F67A9"/>
    <w:rsid w:val="003077F8"/>
    <w:rsid w:val="003234B8"/>
    <w:rsid w:val="00324D15"/>
    <w:rsid w:val="0033117C"/>
    <w:rsid w:val="00337C59"/>
    <w:rsid w:val="003537E1"/>
    <w:rsid w:val="00384501"/>
    <w:rsid w:val="003A26FC"/>
    <w:rsid w:val="003A3807"/>
    <w:rsid w:val="003C72CC"/>
    <w:rsid w:val="003D07A0"/>
    <w:rsid w:val="003D0FA8"/>
    <w:rsid w:val="003E1B21"/>
    <w:rsid w:val="0045729F"/>
    <w:rsid w:val="00472F2E"/>
    <w:rsid w:val="004A08DD"/>
    <w:rsid w:val="004F38B5"/>
    <w:rsid w:val="00543068"/>
    <w:rsid w:val="005A3A82"/>
    <w:rsid w:val="005A6721"/>
    <w:rsid w:val="005D565E"/>
    <w:rsid w:val="00647B1C"/>
    <w:rsid w:val="00655B58"/>
    <w:rsid w:val="0065633D"/>
    <w:rsid w:val="00657760"/>
    <w:rsid w:val="006956DF"/>
    <w:rsid w:val="006A7A9D"/>
    <w:rsid w:val="006C35B6"/>
    <w:rsid w:val="00711C03"/>
    <w:rsid w:val="00727DD7"/>
    <w:rsid w:val="00776C2E"/>
    <w:rsid w:val="007E562C"/>
    <w:rsid w:val="007E7F4E"/>
    <w:rsid w:val="00803553"/>
    <w:rsid w:val="00821ABF"/>
    <w:rsid w:val="008424B4"/>
    <w:rsid w:val="00861BAD"/>
    <w:rsid w:val="00884569"/>
    <w:rsid w:val="008D0F57"/>
    <w:rsid w:val="008D4D7A"/>
    <w:rsid w:val="008E33B2"/>
    <w:rsid w:val="0090271B"/>
    <w:rsid w:val="00925206"/>
    <w:rsid w:val="009319D6"/>
    <w:rsid w:val="00963ECE"/>
    <w:rsid w:val="009736FD"/>
    <w:rsid w:val="0098780B"/>
    <w:rsid w:val="00A03808"/>
    <w:rsid w:val="00A16986"/>
    <w:rsid w:val="00A67286"/>
    <w:rsid w:val="00A87530"/>
    <w:rsid w:val="00AC3676"/>
    <w:rsid w:val="00AD608B"/>
    <w:rsid w:val="00AE5368"/>
    <w:rsid w:val="00B11DCC"/>
    <w:rsid w:val="00B15942"/>
    <w:rsid w:val="00B44C42"/>
    <w:rsid w:val="00B613F3"/>
    <w:rsid w:val="00B745AC"/>
    <w:rsid w:val="00B802C6"/>
    <w:rsid w:val="00C1159C"/>
    <w:rsid w:val="00C25023"/>
    <w:rsid w:val="00C50C2F"/>
    <w:rsid w:val="00C9744D"/>
    <w:rsid w:val="00CC00F4"/>
    <w:rsid w:val="00CE06FD"/>
    <w:rsid w:val="00D07CEB"/>
    <w:rsid w:val="00D23A8A"/>
    <w:rsid w:val="00D26ACA"/>
    <w:rsid w:val="00D412E7"/>
    <w:rsid w:val="00D43DD7"/>
    <w:rsid w:val="00DA192D"/>
    <w:rsid w:val="00DA5AE0"/>
    <w:rsid w:val="00E00297"/>
    <w:rsid w:val="00E078B0"/>
    <w:rsid w:val="00E11D0D"/>
    <w:rsid w:val="00E23A2E"/>
    <w:rsid w:val="00E4153F"/>
    <w:rsid w:val="00E66E33"/>
    <w:rsid w:val="00E805DF"/>
    <w:rsid w:val="00E85E9A"/>
    <w:rsid w:val="00EE6584"/>
    <w:rsid w:val="00F049DE"/>
    <w:rsid w:val="00F35B67"/>
    <w:rsid w:val="00F35F0A"/>
    <w:rsid w:val="00F94C5F"/>
    <w:rsid w:val="00FB3834"/>
    <w:rsid w:val="00FB4245"/>
    <w:rsid w:val="00FC692A"/>
    <w:rsid w:val="00FE4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4A4E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3077F8"/>
    <w:pPr>
      <w:spacing w:before="100" w:beforeAutospacing="1" w:after="100" w:afterAutospacing="1"/>
    </w:pPr>
  </w:style>
  <w:style w:type="paragraph" w:styleId="Header">
    <w:name w:val="header"/>
    <w:basedOn w:val="Normal"/>
    <w:link w:val="HeaderChar"/>
    <w:uiPriority w:val="99"/>
    <w:rsid w:val="003077F8"/>
    <w:pPr>
      <w:tabs>
        <w:tab w:val="center" w:pos="4153"/>
        <w:tab w:val="right" w:pos="8306"/>
      </w:tabs>
    </w:pPr>
  </w:style>
  <w:style w:type="paragraph" w:styleId="Footer">
    <w:name w:val="footer"/>
    <w:basedOn w:val="Normal"/>
    <w:rsid w:val="003077F8"/>
    <w:pPr>
      <w:tabs>
        <w:tab w:val="center" w:pos="4153"/>
        <w:tab w:val="right" w:pos="8306"/>
      </w:tabs>
    </w:pPr>
  </w:style>
  <w:style w:type="character" w:styleId="Hyperlink">
    <w:name w:val="Hyperlink"/>
    <w:basedOn w:val="DefaultParagraphFont"/>
    <w:rsid w:val="00CC00F4"/>
    <w:rPr>
      <w:color w:val="0000FF" w:themeColor="hyperlink"/>
      <w:u w:val="single"/>
    </w:rPr>
  </w:style>
  <w:style w:type="character" w:styleId="CommentReference">
    <w:name w:val="annotation reference"/>
    <w:basedOn w:val="DefaultParagraphFont"/>
    <w:rsid w:val="00F049DE"/>
    <w:rPr>
      <w:sz w:val="16"/>
      <w:szCs w:val="16"/>
    </w:rPr>
  </w:style>
  <w:style w:type="paragraph" w:styleId="CommentText">
    <w:name w:val="annotation text"/>
    <w:basedOn w:val="Normal"/>
    <w:link w:val="CommentTextChar"/>
    <w:rsid w:val="00F049DE"/>
    <w:rPr>
      <w:sz w:val="20"/>
      <w:szCs w:val="20"/>
    </w:rPr>
  </w:style>
  <w:style w:type="character" w:customStyle="1" w:styleId="CommentTextChar">
    <w:name w:val="Comment Text Char"/>
    <w:basedOn w:val="DefaultParagraphFont"/>
    <w:link w:val="CommentText"/>
    <w:rsid w:val="00F049DE"/>
  </w:style>
  <w:style w:type="paragraph" w:styleId="CommentSubject">
    <w:name w:val="annotation subject"/>
    <w:basedOn w:val="CommentText"/>
    <w:next w:val="CommentText"/>
    <w:link w:val="CommentSubjectChar"/>
    <w:rsid w:val="00F049DE"/>
    <w:rPr>
      <w:b/>
      <w:bCs/>
    </w:rPr>
  </w:style>
  <w:style w:type="character" w:customStyle="1" w:styleId="CommentSubjectChar">
    <w:name w:val="Comment Subject Char"/>
    <w:basedOn w:val="CommentTextChar"/>
    <w:link w:val="CommentSubject"/>
    <w:rsid w:val="00F049DE"/>
    <w:rPr>
      <w:b/>
      <w:bCs/>
    </w:rPr>
  </w:style>
  <w:style w:type="paragraph" w:styleId="BalloonText">
    <w:name w:val="Balloon Text"/>
    <w:basedOn w:val="Normal"/>
    <w:link w:val="BalloonTextChar"/>
    <w:rsid w:val="00F049DE"/>
    <w:rPr>
      <w:rFonts w:ascii="Tahoma" w:hAnsi="Tahoma" w:cs="Tahoma"/>
      <w:sz w:val="16"/>
      <w:szCs w:val="16"/>
    </w:rPr>
  </w:style>
  <w:style w:type="character" w:customStyle="1" w:styleId="BalloonTextChar">
    <w:name w:val="Balloon Text Char"/>
    <w:basedOn w:val="DefaultParagraphFont"/>
    <w:link w:val="BalloonText"/>
    <w:rsid w:val="00F049DE"/>
    <w:rPr>
      <w:rFonts w:ascii="Tahoma" w:hAnsi="Tahoma" w:cs="Tahoma"/>
      <w:sz w:val="16"/>
      <w:szCs w:val="16"/>
    </w:rPr>
  </w:style>
  <w:style w:type="character" w:customStyle="1" w:styleId="HeaderChar">
    <w:name w:val="Header Char"/>
    <w:basedOn w:val="DefaultParagraphFont"/>
    <w:link w:val="Header"/>
    <w:uiPriority w:val="99"/>
    <w:rsid w:val="005A3A82"/>
    <w:rPr>
      <w:sz w:val="24"/>
      <w:szCs w:val="24"/>
    </w:rPr>
  </w:style>
  <w:style w:type="paragraph" w:styleId="ListParagraph">
    <w:name w:val="List Paragraph"/>
    <w:basedOn w:val="Normal"/>
    <w:uiPriority w:val="34"/>
    <w:qFormat/>
    <w:rsid w:val="00F35F0A"/>
    <w:pPr>
      <w:ind w:left="720"/>
      <w:contextualSpacing/>
    </w:pPr>
  </w:style>
  <w:style w:type="paragraph" w:styleId="Title">
    <w:name w:val="Title"/>
    <w:basedOn w:val="Normal"/>
    <w:link w:val="TitleChar"/>
    <w:qFormat/>
    <w:rsid w:val="00D07CEB"/>
    <w:pPr>
      <w:jc w:val="center"/>
    </w:pPr>
    <w:rPr>
      <w:b/>
      <w:sz w:val="28"/>
      <w:szCs w:val="20"/>
      <w:lang w:val="x-none" w:eastAsia="en-US"/>
    </w:rPr>
  </w:style>
  <w:style w:type="character" w:customStyle="1" w:styleId="TitleChar">
    <w:name w:val="Title Char"/>
    <w:basedOn w:val="DefaultParagraphFont"/>
    <w:link w:val="Title"/>
    <w:rsid w:val="00D07CEB"/>
    <w:rPr>
      <w:b/>
      <w:sz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3077F8"/>
    <w:pPr>
      <w:spacing w:before="100" w:beforeAutospacing="1" w:after="100" w:afterAutospacing="1"/>
    </w:pPr>
  </w:style>
  <w:style w:type="paragraph" w:styleId="Header">
    <w:name w:val="header"/>
    <w:basedOn w:val="Normal"/>
    <w:link w:val="HeaderChar"/>
    <w:uiPriority w:val="99"/>
    <w:rsid w:val="003077F8"/>
    <w:pPr>
      <w:tabs>
        <w:tab w:val="center" w:pos="4153"/>
        <w:tab w:val="right" w:pos="8306"/>
      </w:tabs>
    </w:pPr>
  </w:style>
  <w:style w:type="paragraph" w:styleId="Footer">
    <w:name w:val="footer"/>
    <w:basedOn w:val="Normal"/>
    <w:rsid w:val="003077F8"/>
    <w:pPr>
      <w:tabs>
        <w:tab w:val="center" w:pos="4153"/>
        <w:tab w:val="right" w:pos="8306"/>
      </w:tabs>
    </w:pPr>
  </w:style>
  <w:style w:type="character" w:styleId="Hyperlink">
    <w:name w:val="Hyperlink"/>
    <w:basedOn w:val="DefaultParagraphFont"/>
    <w:rsid w:val="00CC00F4"/>
    <w:rPr>
      <w:color w:val="0000FF" w:themeColor="hyperlink"/>
      <w:u w:val="single"/>
    </w:rPr>
  </w:style>
  <w:style w:type="character" w:styleId="CommentReference">
    <w:name w:val="annotation reference"/>
    <w:basedOn w:val="DefaultParagraphFont"/>
    <w:rsid w:val="00F049DE"/>
    <w:rPr>
      <w:sz w:val="16"/>
      <w:szCs w:val="16"/>
    </w:rPr>
  </w:style>
  <w:style w:type="paragraph" w:styleId="CommentText">
    <w:name w:val="annotation text"/>
    <w:basedOn w:val="Normal"/>
    <w:link w:val="CommentTextChar"/>
    <w:rsid w:val="00F049DE"/>
    <w:rPr>
      <w:sz w:val="20"/>
      <w:szCs w:val="20"/>
    </w:rPr>
  </w:style>
  <w:style w:type="character" w:customStyle="1" w:styleId="CommentTextChar">
    <w:name w:val="Komentāra teksts Rakstz."/>
    <w:basedOn w:val="DefaultParagraphFont"/>
    <w:link w:val="CommentText"/>
    <w:rsid w:val="00F049DE"/>
  </w:style>
  <w:style w:type="paragraph" w:styleId="CommentSubject">
    <w:name w:val="annotation subject"/>
    <w:basedOn w:val="CommentText"/>
    <w:next w:val="CommentText"/>
    <w:link w:val="CommentSubjectChar"/>
    <w:rsid w:val="00F049DE"/>
    <w:rPr>
      <w:b/>
      <w:bCs/>
    </w:rPr>
  </w:style>
  <w:style w:type="character" w:customStyle="1" w:styleId="CommentSubjectChar">
    <w:name w:val="Komentāra tēma Rakstz."/>
    <w:basedOn w:val="CommentTextChar"/>
    <w:link w:val="CommentSubject"/>
    <w:rsid w:val="00F049DE"/>
    <w:rPr>
      <w:b/>
      <w:bCs/>
    </w:rPr>
  </w:style>
  <w:style w:type="paragraph" w:styleId="BalloonText">
    <w:name w:val="Balloon Text"/>
    <w:basedOn w:val="Normal"/>
    <w:link w:val="BalloonTextChar"/>
    <w:rsid w:val="00F049DE"/>
    <w:rPr>
      <w:rFonts w:ascii="Tahoma" w:hAnsi="Tahoma" w:cs="Tahoma"/>
      <w:sz w:val="16"/>
      <w:szCs w:val="16"/>
    </w:rPr>
  </w:style>
  <w:style w:type="character" w:customStyle="1" w:styleId="BalloonTextChar">
    <w:name w:val="Balonteksts Rakstz."/>
    <w:basedOn w:val="DefaultParagraphFont"/>
    <w:link w:val="BalloonText"/>
    <w:rsid w:val="00F049DE"/>
    <w:rPr>
      <w:rFonts w:ascii="Tahoma" w:hAnsi="Tahoma" w:cs="Tahoma"/>
      <w:sz w:val="16"/>
      <w:szCs w:val="16"/>
    </w:rPr>
  </w:style>
  <w:style w:type="character" w:customStyle="1" w:styleId="HeaderChar">
    <w:name w:val="Galvene Rakstz."/>
    <w:basedOn w:val="DefaultParagraphFont"/>
    <w:link w:val="Header"/>
    <w:uiPriority w:val="99"/>
    <w:rsid w:val="005A3A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11452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252</TotalTime>
  <Pages>4</Pages>
  <Words>887</Words>
  <Characters>6367</Characters>
  <Application>Microsoft Office Word</Application>
  <DocSecurity>0</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2.augusta noteikumos Nr.582 "Mutes un nagu sērgas likvidēšanas un draudu novēršanas kārtība"</vt:lpstr>
      <vt:lpstr>Grozījumi Ministru kabineta 2005.gada 2.augusta noteikumos Nr.582 "Mutes un nagu sērgas likvidēšanas un draudu novēršanas kārtība"</vt:lpstr>
    </vt:vector>
  </TitlesOfParts>
  <Company>Zemkopības ministrija</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2.augusta noteikumos Nr.582 "Mutes un nagu sērgas likvidēšanas un draudu novēršanas kārtība"</dc:title>
  <dc:subject>noteikumu projekts</dc:subject>
  <dc:creator>Olita Vecuma-Veco</dc:creator>
  <cp:keywords/>
  <dc:description>Olita.Vecuma-Veco@zm.gov.lv, 67027551</dc:description>
  <cp:lastModifiedBy>Leontīne Babkina</cp:lastModifiedBy>
  <cp:revision>26</cp:revision>
  <cp:lastPrinted>2013-09-09T05:42:00Z</cp:lastPrinted>
  <dcterms:created xsi:type="dcterms:W3CDTF">2013-04-12T08:21:00Z</dcterms:created>
  <dcterms:modified xsi:type="dcterms:W3CDTF">2013-09-11T10:56:00Z</dcterms:modified>
</cp:coreProperties>
</file>