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89" w:rsidRDefault="00C57F89" w:rsidP="005D15D5">
      <w:pPr>
        <w:pStyle w:val="Parasts"/>
        <w:jc w:val="center"/>
        <w:rPr>
          <w:b/>
          <w:sz w:val="28"/>
          <w:szCs w:val="28"/>
        </w:rPr>
      </w:pPr>
      <w:r w:rsidRPr="005D15D5">
        <w:rPr>
          <w:b/>
          <w:sz w:val="28"/>
          <w:szCs w:val="28"/>
        </w:rPr>
        <w:t xml:space="preserve">Informatīvais </w:t>
      </w:r>
      <w:smartTag w:uri="schemas-tilde-lv/tildestengine" w:element="veidnes">
        <w:smartTagPr>
          <w:attr w:name="id" w:val="-1"/>
          <w:attr w:name="baseform" w:val="ziņojums"/>
          <w:attr w:name="text" w:val="ziņojums"/>
        </w:smartTagPr>
        <w:r w:rsidRPr="005D15D5">
          <w:rPr>
            <w:b/>
            <w:sz w:val="28"/>
            <w:szCs w:val="28"/>
          </w:rPr>
          <w:t>ziņojums</w:t>
        </w:r>
      </w:smartTag>
    </w:p>
    <w:p w:rsidR="00C57F89" w:rsidRDefault="00C57F89" w:rsidP="005D15D5">
      <w:pPr>
        <w:pStyle w:val="Parasts"/>
        <w:jc w:val="center"/>
        <w:rPr>
          <w:sz w:val="28"/>
          <w:szCs w:val="28"/>
        </w:rPr>
      </w:pPr>
    </w:p>
    <w:p w:rsidR="00C57F89" w:rsidRDefault="00C57F89" w:rsidP="00463CEA">
      <w:pPr>
        <w:pStyle w:val="Parasts"/>
        <w:jc w:val="center"/>
        <w:rPr>
          <w:b/>
          <w:sz w:val="28"/>
          <w:szCs w:val="28"/>
        </w:rPr>
      </w:pPr>
      <w:bookmarkStart w:id="0" w:name="OLE_LINK7"/>
      <w:bookmarkStart w:id="1" w:name="OLE_LINK8"/>
      <w:r w:rsidRPr="00463CEA">
        <w:rPr>
          <w:b/>
          <w:sz w:val="28"/>
          <w:szCs w:val="28"/>
        </w:rPr>
        <w:t xml:space="preserve">Par </w:t>
      </w:r>
      <w:r>
        <w:rPr>
          <w:b/>
          <w:sz w:val="28"/>
          <w:szCs w:val="28"/>
        </w:rPr>
        <w:t>Rīcības programmas Eiropas Zivsaimniecības fonda atbalsta ieviešanai Latvijā 2007</w:t>
      </w:r>
      <w:r w:rsidRPr="00463CEA">
        <w:rPr>
          <w:b/>
          <w:sz w:val="28"/>
          <w:szCs w:val="28"/>
        </w:rPr>
        <w:t>.</w:t>
      </w:r>
      <w:r>
        <w:rPr>
          <w:b/>
          <w:sz w:val="28"/>
          <w:szCs w:val="28"/>
        </w:rPr>
        <w:t>–</w:t>
      </w:r>
      <w:r w:rsidRPr="00463CEA">
        <w:rPr>
          <w:b/>
          <w:sz w:val="28"/>
          <w:szCs w:val="28"/>
        </w:rPr>
        <w:t>20</w:t>
      </w:r>
      <w:r>
        <w:rPr>
          <w:b/>
          <w:sz w:val="28"/>
          <w:szCs w:val="28"/>
        </w:rPr>
        <w:t>13</w:t>
      </w:r>
      <w:r w:rsidRPr="00463CEA">
        <w:rPr>
          <w:b/>
          <w:sz w:val="28"/>
          <w:szCs w:val="28"/>
        </w:rPr>
        <w:t>.gada</w:t>
      </w:r>
      <w:r>
        <w:rPr>
          <w:b/>
          <w:sz w:val="28"/>
          <w:szCs w:val="28"/>
        </w:rPr>
        <w:t>m</w:t>
      </w:r>
      <w:r w:rsidRPr="00463CEA">
        <w:rPr>
          <w:b/>
          <w:sz w:val="28"/>
          <w:szCs w:val="28"/>
        </w:rPr>
        <w:t xml:space="preserve"> </w:t>
      </w:r>
      <w:r>
        <w:rPr>
          <w:b/>
          <w:sz w:val="28"/>
          <w:szCs w:val="28"/>
        </w:rPr>
        <w:t>īstenošanu</w:t>
      </w:r>
      <w:bookmarkEnd w:id="0"/>
      <w:bookmarkEnd w:id="1"/>
    </w:p>
    <w:p w:rsidR="00C57F89" w:rsidRDefault="00C57F89" w:rsidP="00EF1D9C">
      <w:pPr>
        <w:pStyle w:val="Parasts"/>
        <w:ind w:firstLine="720"/>
        <w:jc w:val="both"/>
        <w:rPr>
          <w:b/>
          <w:sz w:val="28"/>
          <w:szCs w:val="28"/>
        </w:rPr>
      </w:pPr>
    </w:p>
    <w:p w:rsidR="00C57F89" w:rsidRPr="00F114EE" w:rsidRDefault="00C57F89" w:rsidP="00EF1D9C">
      <w:pPr>
        <w:ind w:firstLine="720"/>
        <w:jc w:val="both"/>
        <w:rPr>
          <w:spacing w:val="2"/>
          <w:sz w:val="28"/>
          <w:szCs w:val="28"/>
        </w:rPr>
      </w:pPr>
      <w:r w:rsidRPr="00C477E7">
        <w:rPr>
          <w:spacing w:val="2"/>
          <w:sz w:val="28"/>
          <w:szCs w:val="28"/>
        </w:rPr>
        <w:t>Zemkopības ministrija</w:t>
      </w:r>
      <w:r>
        <w:rPr>
          <w:spacing w:val="2"/>
          <w:sz w:val="28"/>
          <w:szCs w:val="28"/>
        </w:rPr>
        <w:t xml:space="preserve"> kā Eiropas Zivsaimniecības fonda (turpmāk – EZF) </w:t>
      </w:r>
      <w:r w:rsidRPr="00C477E7">
        <w:rPr>
          <w:spacing w:val="2"/>
          <w:sz w:val="28"/>
          <w:szCs w:val="28"/>
        </w:rPr>
        <w:t xml:space="preserve">Vadošā iestāde ir izvērtējusi </w:t>
      </w:r>
      <w:r w:rsidRPr="000A580A">
        <w:rPr>
          <w:spacing w:val="2"/>
          <w:sz w:val="28"/>
          <w:szCs w:val="28"/>
        </w:rPr>
        <w:t xml:space="preserve">Rīcības programmas Eiropas Zivsaimniecības fonda atbalsta ieviešanai Latvijā 2007.–2013.gadam </w:t>
      </w:r>
      <w:r>
        <w:rPr>
          <w:spacing w:val="2"/>
          <w:sz w:val="28"/>
          <w:szCs w:val="28"/>
        </w:rPr>
        <w:t xml:space="preserve">(turpmāk – RP) ieviešanas progresu un secinājusi, ka </w:t>
      </w:r>
      <w:r w:rsidRPr="007B55BA">
        <w:rPr>
          <w:sz w:val="28"/>
          <w:szCs w:val="28"/>
        </w:rPr>
        <w:t>vairākos pasākumos ir vērojama liela projektu iesniedzēju interese</w:t>
      </w:r>
      <w:r>
        <w:rPr>
          <w:sz w:val="28"/>
          <w:szCs w:val="28"/>
        </w:rPr>
        <w:t xml:space="preserve"> un p</w:t>
      </w:r>
      <w:r w:rsidRPr="007B55BA">
        <w:rPr>
          <w:sz w:val="28"/>
          <w:szCs w:val="28"/>
        </w:rPr>
        <w:t>ieejamais finansējums pasākumam jau ir rezervēts</w:t>
      </w:r>
      <w:r>
        <w:rPr>
          <w:sz w:val="28"/>
          <w:szCs w:val="28"/>
        </w:rPr>
        <w:t xml:space="preserve"> esošo</w:t>
      </w:r>
      <w:r w:rsidRPr="007B55BA">
        <w:rPr>
          <w:sz w:val="28"/>
          <w:szCs w:val="28"/>
        </w:rPr>
        <w:t xml:space="preserve"> saistīb</w:t>
      </w:r>
      <w:r>
        <w:rPr>
          <w:sz w:val="28"/>
          <w:szCs w:val="28"/>
        </w:rPr>
        <w:t>u segšanai</w:t>
      </w:r>
      <w:r w:rsidRPr="007B55BA">
        <w:rPr>
          <w:sz w:val="28"/>
          <w:szCs w:val="28"/>
        </w:rPr>
        <w:t xml:space="preserve">. </w:t>
      </w:r>
      <w:r>
        <w:rPr>
          <w:sz w:val="28"/>
          <w:szCs w:val="28"/>
        </w:rPr>
        <w:t>Savukārt ir pasākumi, kuros pieejamā publiskā finansējuma atlikums ir ievērojams, un tas rada bažas par EZF publiskā finansējuma apguvi līdz plānošanas perioda beigām. Pamatojoties uz š.g. 14.marta Zivsaimniecības konsultatīvās padomes</w:t>
      </w:r>
      <w:r>
        <w:rPr>
          <w:rStyle w:val="Vresatsauce"/>
          <w:sz w:val="28"/>
          <w:szCs w:val="28"/>
        </w:rPr>
        <w:footnoteReference w:id="1"/>
      </w:r>
      <w:r>
        <w:rPr>
          <w:sz w:val="28"/>
          <w:szCs w:val="28"/>
        </w:rPr>
        <w:t xml:space="preserve"> vairākuma lēmumu, Zemkopības ministrija ierosina </w:t>
      </w:r>
      <w:r>
        <w:rPr>
          <w:spacing w:val="2"/>
          <w:sz w:val="28"/>
          <w:szCs w:val="28"/>
        </w:rPr>
        <w:t xml:space="preserve">finansējumu pārdalīt starp RP prioritārajiem virzieniem, </w:t>
      </w:r>
      <w:r>
        <w:rPr>
          <w:sz w:val="28"/>
          <w:szCs w:val="28"/>
          <w:lang w:eastAsia="en-US"/>
        </w:rPr>
        <w:t xml:space="preserve">no RP 4.prioritārā virziena „Zivsaimniecības reģionu ilgtspējīga attīstība” (turpmāk – 4.prioritārais virziens) atlikušā finansējuma </w:t>
      </w:r>
      <w:smartTag w:uri="schemas-tilde-lv/tildestengine" w:element="currency2">
        <w:smartTagPr>
          <w:attr w:name="currency_id" w:val="48"/>
          <w:attr w:name="currency_key" w:val="LVL"/>
          <w:attr w:name="currency_value" w:val="5"/>
          <w:attr w:name="currency_text" w:val="Ls"/>
        </w:smartTagPr>
        <w:r w:rsidRPr="003F0A42">
          <w:rPr>
            <w:b/>
            <w:sz w:val="28"/>
            <w:szCs w:val="28"/>
          </w:rPr>
          <w:t>Ls</w:t>
        </w:r>
        <w:r>
          <w:rPr>
            <w:sz w:val="28"/>
            <w:szCs w:val="28"/>
            <w:lang w:eastAsia="en-US"/>
          </w:rPr>
          <w:t xml:space="preserve"> </w:t>
        </w:r>
        <w:r w:rsidRPr="0005440D">
          <w:rPr>
            <w:b/>
            <w:sz w:val="28"/>
            <w:szCs w:val="28"/>
          </w:rPr>
          <w:t>5</w:t>
        </w:r>
      </w:smartTag>
      <w:r>
        <w:rPr>
          <w:b/>
          <w:sz w:val="28"/>
          <w:szCs w:val="28"/>
        </w:rPr>
        <w:t> </w:t>
      </w:r>
      <w:r w:rsidRPr="0005440D">
        <w:rPr>
          <w:b/>
          <w:sz w:val="28"/>
          <w:szCs w:val="28"/>
        </w:rPr>
        <w:t>561</w:t>
      </w:r>
      <w:r>
        <w:rPr>
          <w:b/>
          <w:sz w:val="28"/>
          <w:szCs w:val="28"/>
        </w:rPr>
        <w:t> </w:t>
      </w:r>
      <w:r w:rsidRPr="0005440D">
        <w:rPr>
          <w:b/>
          <w:sz w:val="28"/>
          <w:szCs w:val="28"/>
        </w:rPr>
        <w:t xml:space="preserve">369 </w:t>
      </w:r>
      <w:r>
        <w:rPr>
          <w:sz w:val="28"/>
          <w:szCs w:val="28"/>
          <w:lang w:eastAsia="en-US"/>
        </w:rPr>
        <w:t>pārdalot</w:t>
      </w:r>
      <w:r>
        <w:rPr>
          <w:spacing w:val="2"/>
          <w:sz w:val="28"/>
          <w:szCs w:val="28"/>
        </w:rPr>
        <w:t xml:space="preserve">: </w:t>
      </w:r>
    </w:p>
    <w:p w:rsidR="00C57F89" w:rsidRPr="00C70DC1" w:rsidRDefault="00C57F89" w:rsidP="00FD2411">
      <w:pPr>
        <w:pStyle w:val="Bezatstarpm"/>
        <w:ind w:firstLine="720"/>
        <w:jc w:val="both"/>
        <w:rPr>
          <w:rFonts w:ascii="Times New Roman" w:hAnsi="Times New Roman"/>
          <w:sz w:val="28"/>
          <w:szCs w:val="28"/>
        </w:rPr>
      </w:pPr>
      <w:r>
        <w:rPr>
          <w:rFonts w:ascii="Times New Roman" w:hAnsi="Times New Roman"/>
          <w:sz w:val="28"/>
          <w:szCs w:val="28"/>
        </w:rPr>
        <w:t xml:space="preserve">1) </w:t>
      </w:r>
      <w:r w:rsidRPr="00C70DC1">
        <w:rPr>
          <w:rFonts w:ascii="Times New Roman" w:hAnsi="Times New Roman"/>
          <w:sz w:val="28"/>
          <w:szCs w:val="28"/>
        </w:rPr>
        <w:t>2.prioritār</w:t>
      </w:r>
      <w:r>
        <w:rPr>
          <w:rFonts w:ascii="Times New Roman" w:hAnsi="Times New Roman"/>
          <w:sz w:val="28"/>
          <w:szCs w:val="28"/>
        </w:rPr>
        <w:t>ajam</w:t>
      </w:r>
      <w:r w:rsidRPr="00C70DC1">
        <w:rPr>
          <w:rFonts w:ascii="Times New Roman" w:hAnsi="Times New Roman"/>
          <w:sz w:val="28"/>
          <w:szCs w:val="28"/>
        </w:rPr>
        <w:t xml:space="preserve"> virziena</w:t>
      </w:r>
      <w:r>
        <w:rPr>
          <w:rFonts w:ascii="Times New Roman" w:hAnsi="Times New Roman"/>
          <w:sz w:val="28"/>
          <w:szCs w:val="28"/>
        </w:rPr>
        <w:t>m</w:t>
      </w:r>
      <w:r w:rsidRPr="00C70DC1">
        <w:rPr>
          <w:rFonts w:ascii="Times New Roman" w:hAnsi="Times New Roman"/>
          <w:sz w:val="28"/>
          <w:szCs w:val="28"/>
        </w:rPr>
        <w:t xml:space="preserve"> „Akvakultūra, zveja iekšējos ūdeņos, zivsaimniecības un akvakultūras produktu apstrāde un marketings” </w:t>
      </w:r>
      <w:r>
        <w:rPr>
          <w:rFonts w:ascii="Times New Roman" w:hAnsi="Times New Roman"/>
          <w:sz w:val="28"/>
          <w:szCs w:val="28"/>
        </w:rPr>
        <w:t xml:space="preserve">papildus </w:t>
      </w:r>
      <w:smartTag w:uri="schemas-tilde-lv/tildestengine" w:element="currency2">
        <w:smartTagPr>
          <w:attr w:name="currency_id" w:val="48"/>
          <w:attr w:name="currency_key" w:val="LVL"/>
          <w:attr w:name="currency_value" w:val="2"/>
          <w:attr w:name="currency_text" w:val="Ls"/>
        </w:smartTagPr>
        <w:r w:rsidRPr="00C70DC1">
          <w:rPr>
            <w:rFonts w:ascii="Times New Roman" w:hAnsi="Times New Roman"/>
            <w:b/>
            <w:sz w:val="28"/>
            <w:szCs w:val="28"/>
          </w:rPr>
          <w:t>Ls</w:t>
        </w:r>
        <w:r>
          <w:rPr>
            <w:rFonts w:ascii="Times New Roman" w:hAnsi="Times New Roman"/>
            <w:b/>
            <w:sz w:val="28"/>
            <w:szCs w:val="28"/>
          </w:rPr>
          <w:t> </w:t>
        </w:r>
        <w:r w:rsidRPr="0005440D">
          <w:rPr>
            <w:rFonts w:ascii="Times New Roman" w:hAnsi="Times New Roman"/>
            <w:b/>
            <w:sz w:val="28"/>
            <w:szCs w:val="28"/>
          </w:rPr>
          <w:t>2</w:t>
        </w:r>
      </w:smartTag>
      <w:r>
        <w:rPr>
          <w:rFonts w:ascii="Times New Roman" w:hAnsi="Times New Roman"/>
          <w:b/>
          <w:sz w:val="28"/>
          <w:szCs w:val="28"/>
        </w:rPr>
        <w:t> </w:t>
      </w:r>
      <w:r w:rsidRPr="0005440D">
        <w:rPr>
          <w:rFonts w:ascii="Times New Roman" w:hAnsi="Times New Roman"/>
          <w:b/>
          <w:sz w:val="28"/>
          <w:szCs w:val="28"/>
        </w:rPr>
        <w:t>801</w:t>
      </w:r>
      <w:r>
        <w:rPr>
          <w:rFonts w:ascii="Times New Roman" w:hAnsi="Times New Roman"/>
          <w:b/>
          <w:sz w:val="28"/>
          <w:szCs w:val="28"/>
        </w:rPr>
        <w:t> </w:t>
      </w:r>
      <w:r w:rsidRPr="0005440D">
        <w:rPr>
          <w:rFonts w:ascii="Times New Roman" w:hAnsi="Times New Roman"/>
          <w:b/>
          <w:sz w:val="28"/>
          <w:szCs w:val="28"/>
        </w:rPr>
        <w:t>369</w:t>
      </w:r>
      <w:r w:rsidRPr="00C70DC1">
        <w:rPr>
          <w:rFonts w:ascii="Times New Roman" w:hAnsi="Times New Roman"/>
          <w:sz w:val="28"/>
          <w:szCs w:val="28"/>
        </w:rPr>
        <w:t xml:space="preserve"> pasākum</w:t>
      </w:r>
      <w:r>
        <w:rPr>
          <w:rFonts w:ascii="Times New Roman" w:hAnsi="Times New Roman"/>
          <w:sz w:val="28"/>
          <w:szCs w:val="28"/>
        </w:rPr>
        <w:t>a</w:t>
      </w:r>
      <w:r w:rsidRPr="00C70DC1">
        <w:rPr>
          <w:rFonts w:ascii="Times New Roman" w:hAnsi="Times New Roman"/>
          <w:sz w:val="28"/>
          <w:szCs w:val="28"/>
        </w:rPr>
        <w:t xml:space="preserve"> „Zvejas un akvakultūras produktu apstrāde un marketings” </w:t>
      </w:r>
      <w:r>
        <w:rPr>
          <w:rFonts w:ascii="Times New Roman" w:hAnsi="Times New Roman"/>
          <w:sz w:val="28"/>
          <w:szCs w:val="28"/>
        </w:rPr>
        <w:t>īstenošanai</w:t>
      </w:r>
      <w:r w:rsidRPr="00C70DC1">
        <w:rPr>
          <w:rFonts w:ascii="Times New Roman" w:hAnsi="Times New Roman"/>
          <w:sz w:val="28"/>
          <w:szCs w:val="28"/>
        </w:rPr>
        <w:t>;</w:t>
      </w:r>
    </w:p>
    <w:p w:rsidR="00C57F89" w:rsidRDefault="00C57F89" w:rsidP="00B8024D">
      <w:pPr>
        <w:pStyle w:val="Bezatstarpm"/>
        <w:spacing w:after="120"/>
        <w:jc w:val="both"/>
        <w:rPr>
          <w:rFonts w:ascii="Times New Roman" w:hAnsi="Times New Roman"/>
          <w:sz w:val="28"/>
          <w:szCs w:val="28"/>
        </w:rPr>
      </w:pPr>
      <w:r w:rsidRPr="00C70DC1">
        <w:rPr>
          <w:rFonts w:ascii="Times New Roman" w:hAnsi="Times New Roman"/>
          <w:sz w:val="28"/>
          <w:szCs w:val="28"/>
        </w:rPr>
        <w:t xml:space="preserve"> </w:t>
      </w:r>
      <w:r>
        <w:rPr>
          <w:rFonts w:ascii="Times New Roman" w:hAnsi="Times New Roman"/>
          <w:sz w:val="28"/>
          <w:szCs w:val="28"/>
        </w:rPr>
        <w:tab/>
        <w:t xml:space="preserve">2) </w:t>
      </w:r>
      <w:r w:rsidRPr="00C70DC1">
        <w:rPr>
          <w:rFonts w:ascii="Times New Roman" w:hAnsi="Times New Roman"/>
          <w:sz w:val="28"/>
          <w:szCs w:val="28"/>
        </w:rPr>
        <w:t>3.prioritār</w:t>
      </w:r>
      <w:r>
        <w:rPr>
          <w:rFonts w:ascii="Times New Roman" w:hAnsi="Times New Roman"/>
          <w:sz w:val="28"/>
          <w:szCs w:val="28"/>
        </w:rPr>
        <w:t>ajam</w:t>
      </w:r>
      <w:r w:rsidRPr="00C70DC1">
        <w:rPr>
          <w:rFonts w:ascii="Times New Roman" w:hAnsi="Times New Roman"/>
          <w:sz w:val="28"/>
          <w:szCs w:val="28"/>
        </w:rPr>
        <w:t xml:space="preserve"> virziena</w:t>
      </w:r>
      <w:r>
        <w:rPr>
          <w:rFonts w:ascii="Times New Roman" w:hAnsi="Times New Roman"/>
          <w:sz w:val="28"/>
          <w:szCs w:val="28"/>
        </w:rPr>
        <w:t>m</w:t>
      </w:r>
      <w:r w:rsidRPr="00C70DC1">
        <w:rPr>
          <w:rFonts w:ascii="Times New Roman" w:hAnsi="Times New Roman"/>
          <w:sz w:val="28"/>
          <w:szCs w:val="28"/>
        </w:rPr>
        <w:t xml:space="preserve"> „Kopējas ieinteresētības pasākumi” </w:t>
      </w:r>
      <w:r>
        <w:rPr>
          <w:rFonts w:ascii="Times New Roman" w:hAnsi="Times New Roman"/>
          <w:sz w:val="28"/>
          <w:szCs w:val="28"/>
        </w:rPr>
        <w:t xml:space="preserve">papildus </w:t>
      </w:r>
      <w:smartTag w:uri="schemas-tilde-lv/tildestengine" w:element="currency2">
        <w:smartTagPr>
          <w:attr w:name="currency_id" w:val="48"/>
          <w:attr w:name="currency_key" w:val="LVL"/>
          <w:attr w:name="currency_value" w:val="2"/>
          <w:attr w:name="currency_text" w:val="Ls"/>
        </w:smartTagPr>
        <w:r w:rsidRPr="00C70DC1">
          <w:rPr>
            <w:rFonts w:ascii="Times New Roman" w:hAnsi="Times New Roman"/>
            <w:b/>
            <w:sz w:val="28"/>
            <w:szCs w:val="28"/>
          </w:rPr>
          <w:t>Ls</w:t>
        </w:r>
        <w:r w:rsidRPr="00FD2411">
          <w:rPr>
            <w:rFonts w:ascii="Times New Roman" w:hAnsi="Times New Roman"/>
            <w:b/>
            <w:sz w:val="28"/>
            <w:szCs w:val="28"/>
          </w:rPr>
          <w:t xml:space="preserve"> 2</w:t>
        </w:r>
      </w:smartTag>
      <w:r>
        <w:rPr>
          <w:rFonts w:ascii="Times New Roman" w:hAnsi="Times New Roman"/>
          <w:b/>
          <w:sz w:val="28"/>
          <w:szCs w:val="28"/>
        </w:rPr>
        <w:t> </w:t>
      </w:r>
      <w:r w:rsidRPr="00FD2411">
        <w:rPr>
          <w:rFonts w:ascii="Times New Roman" w:hAnsi="Times New Roman"/>
          <w:b/>
          <w:sz w:val="28"/>
          <w:szCs w:val="28"/>
        </w:rPr>
        <w:t>760</w:t>
      </w:r>
      <w:r>
        <w:rPr>
          <w:rFonts w:ascii="Times New Roman" w:hAnsi="Times New Roman"/>
          <w:b/>
          <w:sz w:val="28"/>
          <w:szCs w:val="28"/>
        </w:rPr>
        <w:t> </w:t>
      </w:r>
      <w:r w:rsidRPr="00FD2411">
        <w:rPr>
          <w:rFonts w:ascii="Times New Roman" w:hAnsi="Times New Roman"/>
          <w:b/>
          <w:sz w:val="28"/>
          <w:szCs w:val="28"/>
        </w:rPr>
        <w:t>000</w:t>
      </w:r>
      <w:r>
        <w:rPr>
          <w:b/>
          <w:sz w:val="28"/>
          <w:szCs w:val="28"/>
        </w:rPr>
        <w:t xml:space="preserve"> </w:t>
      </w:r>
      <w:r w:rsidRPr="00C70DC1">
        <w:rPr>
          <w:rFonts w:ascii="Times New Roman" w:hAnsi="Times New Roman"/>
          <w:sz w:val="28"/>
          <w:szCs w:val="28"/>
        </w:rPr>
        <w:t xml:space="preserve">pasākumu „Kopīgas rīcības pasākumi” </w:t>
      </w:r>
      <w:r>
        <w:rPr>
          <w:rFonts w:ascii="Times New Roman" w:hAnsi="Times New Roman"/>
          <w:sz w:val="28"/>
          <w:szCs w:val="28"/>
        </w:rPr>
        <w:t>(</w:t>
      </w:r>
      <w:smartTag w:uri="schemas-tilde-lv/tildestengine" w:element="currency2">
        <w:smartTagPr>
          <w:attr w:name="currency_id" w:val="48"/>
          <w:attr w:name="currency_key" w:val="LVL"/>
          <w:attr w:name="currency_value" w:val="1"/>
          <w:attr w:name="currency_text" w:val="Ls"/>
        </w:smartTagPr>
        <w:r w:rsidRPr="00247365">
          <w:rPr>
            <w:rFonts w:ascii="Times New Roman" w:hAnsi="Times New Roman"/>
            <w:b/>
            <w:sz w:val="28"/>
            <w:szCs w:val="28"/>
          </w:rPr>
          <w:t>Ls 1</w:t>
        </w:r>
      </w:smartTag>
      <w:r>
        <w:rPr>
          <w:rFonts w:ascii="Times New Roman" w:hAnsi="Times New Roman"/>
          <w:b/>
          <w:sz w:val="28"/>
          <w:szCs w:val="28"/>
        </w:rPr>
        <w:t> </w:t>
      </w:r>
      <w:r w:rsidRPr="00247365">
        <w:rPr>
          <w:rFonts w:ascii="Times New Roman" w:hAnsi="Times New Roman"/>
          <w:b/>
          <w:sz w:val="28"/>
          <w:szCs w:val="28"/>
        </w:rPr>
        <w:t>760</w:t>
      </w:r>
      <w:r>
        <w:rPr>
          <w:rFonts w:ascii="Times New Roman" w:hAnsi="Times New Roman"/>
          <w:b/>
          <w:sz w:val="28"/>
          <w:szCs w:val="28"/>
        </w:rPr>
        <w:t> </w:t>
      </w:r>
      <w:r w:rsidRPr="00247365">
        <w:rPr>
          <w:rFonts w:ascii="Times New Roman" w:hAnsi="Times New Roman"/>
          <w:b/>
          <w:sz w:val="28"/>
          <w:szCs w:val="28"/>
        </w:rPr>
        <w:t>000</w:t>
      </w:r>
      <w:r>
        <w:rPr>
          <w:rFonts w:ascii="Times New Roman" w:hAnsi="Times New Roman"/>
          <w:b/>
          <w:sz w:val="28"/>
          <w:szCs w:val="28"/>
        </w:rPr>
        <w:t>)</w:t>
      </w:r>
      <w:r w:rsidRPr="00247365">
        <w:rPr>
          <w:rFonts w:ascii="Times New Roman" w:hAnsi="Times New Roman"/>
          <w:sz w:val="28"/>
          <w:szCs w:val="28"/>
        </w:rPr>
        <w:t xml:space="preserve"> un „Investīcijas zvejas ostās un zivju izkraušanas vietās”</w:t>
      </w:r>
      <w:r>
        <w:rPr>
          <w:rFonts w:ascii="Times New Roman" w:hAnsi="Times New Roman"/>
          <w:sz w:val="28"/>
          <w:szCs w:val="28"/>
        </w:rPr>
        <w:t xml:space="preserve"> (</w:t>
      </w:r>
      <w:smartTag w:uri="schemas-tilde-lv/tildestengine" w:element="currency2">
        <w:smartTagPr>
          <w:attr w:name="currency_id" w:val="48"/>
          <w:attr w:name="currency_key" w:val="LVL"/>
          <w:attr w:name="currency_value" w:val="1"/>
          <w:attr w:name="currency_text" w:val="Ls"/>
        </w:smartTagPr>
        <w:r w:rsidRPr="00247365">
          <w:rPr>
            <w:rFonts w:ascii="Times New Roman" w:hAnsi="Times New Roman"/>
            <w:b/>
            <w:sz w:val="28"/>
            <w:szCs w:val="28"/>
          </w:rPr>
          <w:t>Ls 1</w:t>
        </w:r>
      </w:smartTag>
      <w:r>
        <w:rPr>
          <w:rFonts w:ascii="Times New Roman" w:hAnsi="Times New Roman"/>
          <w:b/>
          <w:sz w:val="28"/>
          <w:szCs w:val="28"/>
        </w:rPr>
        <w:t> </w:t>
      </w:r>
      <w:r w:rsidRPr="00247365">
        <w:rPr>
          <w:rFonts w:ascii="Times New Roman" w:hAnsi="Times New Roman"/>
          <w:b/>
          <w:sz w:val="28"/>
          <w:szCs w:val="28"/>
        </w:rPr>
        <w:t>000</w:t>
      </w:r>
      <w:r>
        <w:rPr>
          <w:rFonts w:ascii="Times New Roman" w:hAnsi="Times New Roman"/>
          <w:b/>
          <w:sz w:val="28"/>
          <w:szCs w:val="28"/>
        </w:rPr>
        <w:t> </w:t>
      </w:r>
      <w:r w:rsidRPr="00247365">
        <w:rPr>
          <w:rFonts w:ascii="Times New Roman" w:hAnsi="Times New Roman"/>
          <w:b/>
          <w:sz w:val="28"/>
          <w:szCs w:val="28"/>
        </w:rPr>
        <w:t>000</w:t>
      </w:r>
      <w:r>
        <w:rPr>
          <w:rFonts w:ascii="Times New Roman" w:hAnsi="Times New Roman"/>
          <w:b/>
          <w:sz w:val="28"/>
          <w:szCs w:val="28"/>
        </w:rPr>
        <w:t>)</w:t>
      </w:r>
      <w:r w:rsidRPr="00C70DC1">
        <w:rPr>
          <w:rFonts w:ascii="Times New Roman" w:hAnsi="Times New Roman"/>
          <w:sz w:val="28"/>
          <w:szCs w:val="28"/>
        </w:rPr>
        <w:t xml:space="preserve"> </w:t>
      </w:r>
      <w:r>
        <w:rPr>
          <w:rFonts w:ascii="Times New Roman" w:hAnsi="Times New Roman"/>
          <w:sz w:val="28"/>
          <w:szCs w:val="28"/>
        </w:rPr>
        <w:t>īstenošanai</w:t>
      </w:r>
      <w:r w:rsidRPr="00C70DC1">
        <w:rPr>
          <w:rFonts w:ascii="Times New Roman" w:hAnsi="Times New Roman"/>
          <w:sz w:val="28"/>
          <w:szCs w:val="28"/>
        </w:rPr>
        <w:t>.</w:t>
      </w:r>
    </w:p>
    <w:p w:rsidR="00C57F89" w:rsidRPr="00011385" w:rsidRDefault="00C57F89" w:rsidP="00D50C59">
      <w:pPr>
        <w:pStyle w:val="Bezatstarpm"/>
        <w:jc w:val="center"/>
        <w:rPr>
          <w:b/>
          <w:sz w:val="28"/>
          <w:szCs w:val="28"/>
        </w:rPr>
      </w:pPr>
      <w:r>
        <w:rPr>
          <w:rFonts w:ascii="Times New Roman" w:hAnsi="Times New Roman"/>
          <w:b/>
          <w:sz w:val="28"/>
          <w:szCs w:val="28"/>
        </w:rPr>
        <w:t xml:space="preserve">Finansējuma pārdale starp </w:t>
      </w:r>
      <w:r w:rsidRPr="00011385">
        <w:rPr>
          <w:rFonts w:ascii="Times New Roman" w:hAnsi="Times New Roman"/>
          <w:b/>
          <w:sz w:val="28"/>
          <w:szCs w:val="28"/>
        </w:rPr>
        <w:t xml:space="preserve">RP </w:t>
      </w:r>
      <w:r>
        <w:rPr>
          <w:rFonts w:ascii="Times New Roman" w:hAnsi="Times New Roman"/>
          <w:b/>
          <w:sz w:val="28"/>
          <w:szCs w:val="28"/>
        </w:rPr>
        <w:t>prioritārajiem virzieniem</w:t>
      </w:r>
    </w:p>
    <w:tbl>
      <w:tblPr>
        <w:tblW w:w="9087" w:type="dxa"/>
        <w:tblInd w:w="93" w:type="dxa"/>
        <w:tblLook w:val="00A0"/>
      </w:tblPr>
      <w:tblGrid>
        <w:gridCol w:w="4126"/>
        <w:gridCol w:w="1418"/>
        <w:gridCol w:w="2297"/>
        <w:gridCol w:w="1246"/>
      </w:tblGrid>
      <w:tr w:rsidR="00C57F89" w:rsidRPr="00200217" w:rsidTr="001A1336">
        <w:trPr>
          <w:trHeight w:val="975"/>
        </w:trPr>
        <w:tc>
          <w:tcPr>
            <w:tcW w:w="4126" w:type="dxa"/>
            <w:tcBorders>
              <w:top w:val="single" w:sz="4" w:space="0" w:color="auto"/>
              <w:left w:val="single" w:sz="4" w:space="0" w:color="auto"/>
              <w:bottom w:val="single" w:sz="4" w:space="0" w:color="auto"/>
              <w:right w:val="single" w:sz="4" w:space="0" w:color="auto"/>
            </w:tcBorders>
            <w:vAlign w:val="center"/>
          </w:tcPr>
          <w:p w:rsidR="00C57F89" w:rsidRPr="00200217" w:rsidRDefault="00C57F89" w:rsidP="00D50C59">
            <w:pPr>
              <w:jc w:val="center"/>
              <w:rPr>
                <w:b/>
                <w:bCs/>
                <w:sz w:val="22"/>
                <w:szCs w:val="22"/>
              </w:rPr>
            </w:pPr>
            <w:r w:rsidRPr="00200217">
              <w:rPr>
                <w:b/>
                <w:bCs/>
                <w:sz w:val="22"/>
                <w:szCs w:val="22"/>
              </w:rPr>
              <w:t>Prioritārais virziens</w:t>
            </w:r>
          </w:p>
        </w:tc>
        <w:tc>
          <w:tcPr>
            <w:tcW w:w="1418" w:type="dxa"/>
            <w:tcBorders>
              <w:top w:val="single" w:sz="4" w:space="0" w:color="auto"/>
              <w:left w:val="single" w:sz="4" w:space="0" w:color="auto"/>
              <w:bottom w:val="single" w:sz="4" w:space="0" w:color="auto"/>
              <w:right w:val="single" w:sz="4" w:space="0" w:color="auto"/>
            </w:tcBorders>
            <w:vAlign w:val="center"/>
          </w:tcPr>
          <w:p w:rsidR="00C57F89" w:rsidRPr="00200217" w:rsidRDefault="00C57F89" w:rsidP="00F04477">
            <w:pPr>
              <w:jc w:val="center"/>
              <w:rPr>
                <w:b/>
                <w:bCs/>
                <w:sz w:val="22"/>
                <w:szCs w:val="22"/>
              </w:rPr>
            </w:pPr>
            <w:r>
              <w:rPr>
                <w:b/>
                <w:bCs/>
                <w:sz w:val="22"/>
                <w:szCs w:val="22"/>
              </w:rPr>
              <w:t>P</w:t>
            </w:r>
            <w:r w:rsidRPr="00200217">
              <w:rPr>
                <w:b/>
                <w:bCs/>
                <w:sz w:val="22"/>
                <w:szCs w:val="22"/>
              </w:rPr>
              <w:t xml:space="preserve">ieejamais publiskais finansējums </w:t>
            </w:r>
          </w:p>
        </w:tc>
        <w:tc>
          <w:tcPr>
            <w:tcW w:w="2297" w:type="dxa"/>
            <w:tcBorders>
              <w:top w:val="single" w:sz="4" w:space="0" w:color="auto"/>
              <w:left w:val="single" w:sz="4" w:space="0" w:color="auto"/>
              <w:bottom w:val="single" w:sz="4" w:space="0" w:color="auto"/>
              <w:right w:val="single" w:sz="4" w:space="0" w:color="auto"/>
            </w:tcBorders>
            <w:shd w:val="clear" w:color="auto" w:fill="EEECE1"/>
            <w:vAlign w:val="center"/>
          </w:tcPr>
          <w:p w:rsidR="00C57F89" w:rsidRPr="00200217" w:rsidRDefault="00C57F89" w:rsidP="00D50C59">
            <w:pPr>
              <w:jc w:val="center"/>
              <w:rPr>
                <w:b/>
                <w:bCs/>
                <w:sz w:val="22"/>
                <w:szCs w:val="22"/>
              </w:rPr>
            </w:pPr>
            <w:r>
              <w:rPr>
                <w:b/>
                <w:bCs/>
                <w:sz w:val="22"/>
                <w:szCs w:val="22"/>
              </w:rPr>
              <w:t xml:space="preserve">Pieejamais publiskais finansējums pēc finansējuma pārdales </w:t>
            </w:r>
          </w:p>
        </w:tc>
        <w:tc>
          <w:tcPr>
            <w:tcW w:w="1246" w:type="dxa"/>
            <w:tcBorders>
              <w:top w:val="single" w:sz="4" w:space="0" w:color="auto"/>
              <w:left w:val="single" w:sz="4" w:space="0" w:color="auto"/>
              <w:bottom w:val="single" w:sz="4" w:space="0" w:color="auto"/>
              <w:right w:val="single" w:sz="4" w:space="0" w:color="auto"/>
            </w:tcBorders>
            <w:vAlign w:val="center"/>
          </w:tcPr>
          <w:p w:rsidR="00C57F89" w:rsidRPr="00200217" w:rsidRDefault="00C57F89" w:rsidP="00F04477">
            <w:pPr>
              <w:jc w:val="center"/>
              <w:rPr>
                <w:b/>
                <w:bCs/>
                <w:sz w:val="22"/>
                <w:szCs w:val="22"/>
              </w:rPr>
            </w:pPr>
            <w:r w:rsidRPr="00200217">
              <w:rPr>
                <w:b/>
                <w:bCs/>
                <w:sz w:val="22"/>
                <w:szCs w:val="22"/>
              </w:rPr>
              <w:t>Starpība</w:t>
            </w:r>
          </w:p>
        </w:tc>
      </w:tr>
      <w:tr w:rsidR="00C57F89" w:rsidRPr="00200217" w:rsidTr="001A1336">
        <w:trPr>
          <w:trHeight w:val="300"/>
        </w:trPr>
        <w:tc>
          <w:tcPr>
            <w:tcW w:w="4126" w:type="dxa"/>
            <w:tcBorders>
              <w:top w:val="single" w:sz="4" w:space="0" w:color="auto"/>
              <w:left w:val="single" w:sz="8" w:space="0" w:color="auto"/>
              <w:bottom w:val="single" w:sz="4" w:space="0" w:color="auto"/>
              <w:right w:val="single" w:sz="8" w:space="0" w:color="000000"/>
            </w:tcBorders>
            <w:noWrap/>
            <w:vAlign w:val="center"/>
          </w:tcPr>
          <w:p w:rsidR="00C57F89" w:rsidRPr="00200217" w:rsidRDefault="00C57F89" w:rsidP="00F04477">
            <w:pPr>
              <w:jc w:val="center"/>
              <w:rPr>
                <w:b/>
                <w:bCs/>
                <w:sz w:val="22"/>
                <w:szCs w:val="22"/>
              </w:rPr>
            </w:pPr>
            <w:r w:rsidRPr="00200217">
              <w:rPr>
                <w:b/>
                <w:bCs/>
                <w:sz w:val="22"/>
                <w:szCs w:val="22"/>
              </w:rPr>
              <w:t> </w:t>
            </w:r>
          </w:p>
        </w:tc>
        <w:tc>
          <w:tcPr>
            <w:tcW w:w="1418" w:type="dxa"/>
            <w:tcBorders>
              <w:top w:val="single" w:sz="4" w:space="0" w:color="auto"/>
              <w:left w:val="nil"/>
              <w:bottom w:val="single" w:sz="4" w:space="0" w:color="auto"/>
              <w:right w:val="single" w:sz="8" w:space="0" w:color="auto"/>
            </w:tcBorders>
            <w:vAlign w:val="center"/>
          </w:tcPr>
          <w:p w:rsidR="00C57F89" w:rsidRPr="00200217" w:rsidRDefault="00C57F89" w:rsidP="00F04477">
            <w:pPr>
              <w:jc w:val="center"/>
              <w:rPr>
                <w:b/>
                <w:bCs/>
                <w:sz w:val="22"/>
                <w:szCs w:val="22"/>
              </w:rPr>
            </w:pPr>
            <w:r w:rsidRPr="00200217">
              <w:rPr>
                <w:b/>
                <w:bCs/>
                <w:sz w:val="22"/>
                <w:szCs w:val="22"/>
              </w:rPr>
              <w:t>A</w:t>
            </w:r>
          </w:p>
        </w:tc>
        <w:tc>
          <w:tcPr>
            <w:tcW w:w="2297" w:type="dxa"/>
            <w:tcBorders>
              <w:top w:val="single" w:sz="4" w:space="0" w:color="auto"/>
              <w:left w:val="nil"/>
              <w:bottom w:val="single" w:sz="4" w:space="0" w:color="auto"/>
              <w:right w:val="single" w:sz="8" w:space="0" w:color="auto"/>
            </w:tcBorders>
            <w:shd w:val="clear" w:color="auto" w:fill="EEECE1"/>
            <w:noWrap/>
            <w:vAlign w:val="bottom"/>
          </w:tcPr>
          <w:p w:rsidR="00C57F89" w:rsidRPr="00200217" w:rsidRDefault="00C57F89" w:rsidP="00F04477">
            <w:pPr>
              <w:jc w:val="center"/>
              <w:rPr>
                <w:b/>
                <w:bCs/>
                <w:color w:val="000000"/>
                <w:sz w:val="22"/>
                <w:szCs w:val="22"/>
              </w:rPr>
            </w:pPr>
            <w:r w:rsidRPr="00200217">
              <w:rPr>
                <w:b/>
                <w:bCs/>
                <w:color w:val="000000"/>
                <w:sz w:val="22"/>
                <w:szCs w:val="22"/>
              </w:rPr>
              <w:t>B</w:t>
            </w:r>
          </w:p>
        </w:tc>
        <w:tc>
          <w:tcPr>
            <w:tcW w:w="1246" w:type="dxa"/>
            <w:tcBorders>
              <w:top w:val="single" w:sz="4" w:space="0" w:color="auto"/>
              <w:left w:val="nil"/>
              <w:bottom w:val="single" w:sz="4" w:space="0" w:color="auto"/>
              <w:right w:val="single" w:sz="8" w:space="0" w:color="auto"/>
            </w:tcBorders>
            <w:noWrap/>
            <w:vAlign w:val="bottom"/>
          </w:tcPr>
          <w:p w:rsidR="00C57F89" w:rsidRPr="00200217" w:rsidRDefault="00C57F89" w:rsidP="00F04477">
            <w:pPr>
              <w:jc w:val="center"/>
              <w:rPr>
                <w:b/>
                <w:bCs/>
                <w:color w:val="000000"/>
                <w:sz w:val="22"/>
                <w:szCs w:val="22"/>
              </w:rPr>
            </w:pPr>
            <w:r w:rsidRPr="00200217">
              <w:rPr>
                <w:b/>
                <w:bCs/>
                <w:color w:val="000000"/>
                <w:sz w:val="22"/>
                <w:szCs w:val="22"/>
              </w:rPr>
              <w:t xml:space="preserve">B </w:t>
            </w:r>
            <w:r>
              <w:rPr>
                <w:b/>
                <w:bCs/>
                <w:color w:val="000000"/>
                <w:sz w:val="22"/>
                <w:szCs w:val="22"/>
              </w:rPr>
              <w:t>–</w:t>
            </w:r>
            <w:r w:rsidRPr="00200217">
              <w:rPr>
                <w:b/>
                <w:bCs/>
                <w:color w:val="000000"/>
                <w:sz w:val="22"/>
                <w:szCs w:val="22"/>
              </w:rPr>
              <w:t xml:space="preserve"> A</w:t>
            </w:r>
          </w:p>
        </w:tc>
      </w:tr>
      <w:tr w:rsidR="00C57F89" w:rsidRPr="00200217" w:rsidTr="001A1336">
        <w:trPr>
          <w:trHeight w:val="570"/>
        </w:trPr>
        <w:tc>
          <w:tcPr>
            <w:tcW w:w="4126" w:type="dxa"/>
            <w:tcBorders>
              <w:top w:val="single" w:sz="4" w:space="0" w:color="auto"/>
              <w:left w:val="single" w:sz="4" w:space="0" w:color="auto"/>
              <w:bottom w:val="single" w:sz="4" w:space="0" w:color="auto"/>
              <w:right w:val="single" w:sz="4" w:space="0" w:color="auto"/>
            </w:tcBorders>
            <w:vAlign w:val="bottom"/>
          </w:tcPr>
          <w:p w:rsidR="00C57F89" w:rsidRPr="00200217" w:rsidRDefault="00C57F89" w:rsidP="00D3221F">
            <w:pPr>
              <w:rPr>
                <w:sz w:val="22"/>
                <w:szCs w:val="22"/>
              </w:rPr>
            </w:pPr>
            <w:r>
              <w:rPr>
                <w:sz w:val="22"/>
                <w:szCs w:val="22"/>
              </w:rPr>
              <w:t>1.</w:t>
            </w:r>
            <w:r>
              <w:t xml:space="preserve"> </w:t>
            </w:r>
            <w:r w:rsidRPr="00D3221F">
              <w:rPr>
                <w:sz w:val="22"/>
                <w:szCs w:val="22"/>
              </w:rPr>
              <w:t>Pasākumi Kopienas zvejas flotes sabalansēšanai</w:t>
            </w:r>
          </w:p>
        </w:tc>
        <w:tc>
          <w:tcPr>
            <w:tcW w:w="1418" w:type="dxa"/>
            <w:tcBorders>
              <w:top w:val="single" w:sz="4" w:space="0" w:color="auto"/>
              <w:left w:val="single" w:sz="4" w:space="0" w:color="auto"/>
              <w:bottom w:val="single" w:sz="4" w:space="0" w:color="auto"/>
              <w:right w:val="single" w:sz="4" w:space="0" w:color="auto"/>
            </w:tcBorders>
            <w:noWrap/>
            <w:vAlign w:val="bottom"/>
          </w:tcPr>
          <w:p w:rsidR="00C57F89" w:rsidRPr="00200217" w:rsidRDefault="00C57F89" w:rsidP="00F04477">
            <w:pPr>
              <w:jc w:val="right"/>
              <w:rPr>
                <w:sz w:val="22"/>
                <w:szCs w:val="22"/>
              </w:rPr>
            </w:pPr>
            <w:r w:rsidRPr="00D3221F">
              <w:rPr>
                <w:sz w:val="22"/>
                <w:szCs w:val="22"/>
              </w:rPr>
              <w:t>24 548 204</w:t>
            </w:r>
          </w:p>
        </w:tc>
        <w:tc>
          <w:tcPr>
            <w:tcW w:w="229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57F89" w:rsidRDefault="00C57F89" w:rsidP="00F04477">
            <w:pPr>
              <w:jc w:val="right"/>
              <w:rPr>
                <w:color w:val="000000"/>
                <w:sz w:val="22"/>
                <w:szCs w:val="22"/>
              </w:rPr>
            </w:pPr>
            <w:r w:rsidRPr="00D3221F">
              <w:rPr>
                <w:sz w:val="22"/>
                <w:szCs w:val="22"/>
              </w:rPr>
              <w:t>24 548 204</w:t>
            </w:r>
          </w:p>
        </w:tc>
        <w:tc>
          <w:tcPr>
            <w:tcW w:w="1246" w:type="dxa"/>
            <w:tcBorders>
              <w:top w:val="single" w:sz="4" w:space="0" w:color="auto"/>
              <w:left w:val="single" w:sz="4" w:space="0" w:color="auto"/>
              <w:bottom w:val="single" w:sz="4" w:space="0" w:color="auto"/>
              <w:right w:val="single" w:sz="4" w:space="0" w:color="auto"/>
            </w:tcBorders>
            <w:noWrap/>
            <w:vAlign w:val="bottom"/>
          </w:tcPr>
          <w:p w:rsidR="00C57F89" w:rsidRDefault="00C57F89" w:rsidP="00F04477">
            <w:pPr>
              <w:jc w:val="right"/>
              <w:rPr>
                <w:color w:val="000000"/>
                <w:sz w:val="22"/>
                <w:szCs w:val="22"/>
              </w:rPr>
            </w:pPr>
          </w:p>
        </w:tc>
      </w:tr>
      <w:tr w:rsidR="00C57F89" w:rsidRPr="00200217" w:rsidTr="001A1336">
        <w:trPr>
          <w:trHeight w:val="285"/>
        </w:trPr>
        <w:tc>
          <w:tcPr>
            <w:tcW w:w="4126" w:type="dxa"/>
            <w:tcBorders>
              <w:top w:val="single" w:sz="4" w:space="0" w:color="auto"/>
              <w:left w:val="single" w:sz="4" w:space="0" w:color="auto"/>
              <w:bottom w:val="single" w:sz="4" w:space="0" w:color="auto"/>
              <w:right w:val="single" w:sz="4" w:space="0" w:color="auto"/>
            </w:tcBorders>
            <w:vAlign w:val="bottom"/>
          </w:tcPr>
          <w:p w:rsidR="00C57F89" w:rsidRPr="00D3221F" w:rsidRDefault="00C57F89" w:rsidP="00D3221F">
            <w:pPr>
              <w:rPr>
                <w:sz w:val="24"/>
                <w:szCs w:val="24"/>
              </w:rPr>
            </w:pPr>
            <w:r w:rsidRPr="00D3221F">
              <w:rPr>
                <w:sz w:val="24"/>
                <w:szCs w:val="24"/>
              </w:rPr>
              <w:t>2. Akvakultūra, zveja iekšējos ūdeņos, zivsaimniecības un akvakultūras produktu apstrāde un marketings</w:t>
            </w:r>
          </w:p>
        </w:tc>
        <w:tc>
          <w:tcPr>
            <w:tcW w:w="1418" w:type="dxa"/>
            <w:tcBorders>
              <w:top w:val="single" w:sz="4" w:space="0" w:color="auto"/>
              <w:left w:val="single" w:sz="4" w:space="0" w:color="auto"/>
              <w:bottom w:val="single" w:sz="4" w:space="0" w:color="auto"/>
              <w:right w:val="single" w:sz="4" w:space="0" w:color="auto"/>
            </w:tcBorders>
            <w:noWrap/>
            <w:vAlign w:val="bottom"/>
          </w:tcPr>
          <w:p w:rsidR="00C57F89" w:rsidRPr="00200217" w:rsidRDefault="00C57F89" w:rsidP="00F04477">
            <w:pPr>
              <w:jc w:val="right"/>
              <w:rPr>
                <w:sz w:val="22"/>
                <w:szCs w:val="22"/>
              </w:rPr>
            </w:pPr>
            <w:r w:rsidRPr="00D3221F">
              <w:rPr>
                <w:sz w:val="22"/>
                <w:szCs w:val="22"/>
              </w:rPr>
              <w:t>46 225 959</w:t>
            </w:r>
          </w:p>
        </w:tc>
        <w:tc>
          <w:tcPr>
            <w:tcW w:w="229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57F89" w:rsidRDefault="00C57F89" w:rsidP="00F04477">
            <w:pPr>
              <w:jc w:val="right"/>
              <w:rPr>
                <w:color w:val="000000"/>
                <w:sz w:val="22"/>
                <w:szCs w:val="22"/>
              </w:rPr>
            </w:pPr>
            <w:r w:rsidRPr="001A1336">
              <w:rPr>
                <w:color w:val="000000"/>
                <w:sz w:val="22"/>
                <w:szCs w:val="22"/>
              </w:rPr>
              <w:t>49 027 328</w:t>
            </w:r>
          </w:p>
        </w:tc>
        <w:tc>
          <w:tcPr>
            <w:tcW w:w="1246" w:type="dxa"/>
            <w:tcBorders>
              <w:top w:val="single" w:sz="4" w:space="0" w:color="auto"/>
              <w:left w:val="single" w:sz="4" w:space="0" w:color="auto"/>
              <w:bottom w:val="single" w:sz="4" w:space="0" w:color="auto"/>
              <w:right w:val="single" w:sz="4" w:space="0" w:color="auto"/>
            </w:tcBorders>
            <w:noWrap/>
            <w:vAlign w:val="bottom"/>
          </w:tcPr>
          <w:p w:rsidR="00C57F89" w:rsidRDefault="00C57F89" w:rsidP="00F04477">
            <w:pPr>
              <w:jc w:val="right"/>
              <w:rPr>
                <w:color w:val="000000"/>
                <w:sz w:val="22"/>
                <w:szCs w:val="22"/>
              </w:rPr>
            </w:pPr>
            <w:r>
              <w:rPr>
                <w:color w:val="000000"/>
                <w:sz w:val="22"/>
                <w:szCs w:val="22"/>
              </w:rPr>
              <w:t>+</w:t>
            </w:r>
            <w:r w:rsidRPr="001A1336">
              <w:rPr>
                <w:color w:val="000000"/>
                <w:sz w:val="22"/>
                <w:szCs w:val="22"/>
              </w:rPr>
              <w:t>2</w:t>
            </w:r>
            <w:r>
              <w:rPr>
                <w:color w:val="000000"/>
                <w:sz w:val="22"/>
                <w:szCs w:val="22"/>
              </w:rPr>
              <w:t> </w:t>
            </w:r>
            <w:r w:rsidRPr="001A1336">
              <w:rPr>
                <w:color w:val="000000"/>
                <w:sz w:val="22"/>
                <w:szCs w:val="22"/>
              </w:rPr>
              <w:t>801</w:t>
            </w:r>
            <w:r>
              <w:rPr>
                <w:color w:val="000000"/>
                <w:sz w:val="22"/>
                <w:szCs w:val="22"/>
              </w:rPr>
              <w:t xml:space="preserve"> </w:t>
            </w:r>
            <w:r w:rsidRPr="001A1336">
              <w:rPr>
                <w:color w:val="000000"/>
                <w:sz w:val="22"/>
                <w:szCs w:val="22"/>
              </w:rPr>
              <w:t>369</w:t>
            </w:r>
          </w:p>
        </w:tc>
      </w:tr>
      <w:tr w:rsidR="00C57F89" w:rsidRPr="00200217" w:rsidTr="001A1336">
        <w:trPr>
          <w:trHeight w:val="285"/>
        </w:trPr>
        <w:tc>
          <w:tcPr>
            <w:tcW w:w="4126" w:type="dxa"/>
            <w:tcBorders>
              <w:top w:val="single" w:sz="4" w:space="0" w:color="auto"/>
              <w:left w:val="single" w:sz="4" w:space="0" w:color="auto"/>
              <w:bottom w:val="single" w:sz="4" w:space="0" w:color="auto"/>
              <w:right w:val="single" w:sz="4" w:space="0" w:color="auto"/>
            </w:tcBorders>
          </w:tcPr>
          <w:p w:rsidR="00C57F89" w:rsidRPr="00D3221F" w:rsidRDefault="00C57F89" w:rsidP="00D3221F">
            <w:pPr>
              <w:rPr>
                <w:sz w:val="24"/>
                <w:szCs w:val="24"/>
              </w:rPr>
            </w:pPr>
            <w:r w:rsidRPr="00D3221F">
              <w:rPr>
                <w:sz w:val="24"/>
                <w:szCs w:val="24"/>
              </w:rPr>
              <w:t>3. Kopējas ieinteresētības pasākumi</w:t>
            </w:r>
          </w:p>
        </w:tc>
        <w:tc>
          <w:tcPr>
            <w:tcW w:w="1418" w:type="dxa"/>
            <w:tcBorders>
              <w:top w:val="single" w:sz="4" w:space="0" w:color="auto"/>
              <w:left w:val="single" w:sz="4" w:space="0" w:color="auto"/>
              <w:bottom w:val="single" w:sz="4" w:space="0" w:color="auto"/>
              <w:right w:val="single" w:sz="4" w:space="0" w:color="auto"/>
            </w:tcBorders>
            <w:noWrap/>
            <w:vAlign w:val="bottom"/>
          </w:tcPr>
          <w:p w:rsidR="00C57F89" w:rsidRPr="00200217" w:rsidRDefault="00C57F89" w:rsidP="00F04477">
            <w:pPr>
              <w:jc w:val="right"/>
              <w:rPr>
                <w:sz w:val="22"/>
                <w:szCs w:val="22"/>
              </w:rPr>
            </w:pPr>
            <w:r w:rsidRPr="00D3221F">
              <w:rPr>
                <w:sz w:val="22"/>
                <w:szCs w:val="22"/>
              </w:rPr>
              <w:t>25 633 100</w:t>
            </w:r>
          </w:p>
        </w:tc>
        <w:tc>
          <w:tcPr>
            <w:tcW w:w="229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57F89" w:rsidRDefault="00C57F89" w:rsidP="00F04477">
            <w:pPr>
              <w:jc w:val="right"/>
              <w:rPr>
                <w:color w:val="000000"/>
                <w:sz w:val="22"/>
                <w:szCs w:val="22"/>
              </w:rPr>
            </w:pPr>
            <w:r w:rsidRPr="001A1336">
              <w:rPr>
                <w:color w:val="000000"/>
                <w:sz w:val="22"/>
                <w:szCs w:val="22"/>
              </w:rPr>
              <w:t>28 393 100</w:t>
            </w:r>
          </w:p>
        </w:tc>
        <w:tc>
          <w:tcPr>
            <w:tcW w:w="1246" w:type="dxa"/>
            <w:tcBorders>
              <w:top w:val="single" w:sz="4" w:space="0" w:color="auto"/>
              <w:left w:val="single" w:sz="4" w:space="0" w:color="auto"/>
              <w:bottom w:val="single" w:sz="4" w:space="0" w:color="auto"/>
              <w:right w:val="single" w:sz="4" w:space="0" w:color="auto"/>
            </w:tcBorders>
            <w:noWrap/>
            <w:vAlign w:val="bottom"/>
          </w:tcPr>
          <w:p w:rsidR="00C57F89" w:rsidRDefault="00C57F89" w:rsidP="001A1336">
            <w:pPr>
              <w:jc w:val="right"/>
              <w:rPr>
                <w:color w:val="000000"/>
                <w:sz w:val="22"/>
                <w:szCs w:val="22"/>
              </w:rPr>
            </w:pPr>
            <w:r>
              <w:rPr>
                <w:color w:val="000000"/>
                <w:sz w:val="22"/>
                <w:szCs w:val="22"/>
              </w:rPr>
              <w:t>+2 </w:t>
            </w:r>
            <w:r w:rsidRPr="001A1336">
              <w:rPr>
                <w:color w:val="000000"/>
                <w:sz w:val="22"/>
                <w:szCs w:val="22"/>
              </w:rPr>
              <w:t>760</w:t>
            </w:r>
            <w:r>
              <w:rPr>
                <w:color w:val="000000"/>
                <w:sz w:val="22"/>
                <w:szCs w:val="22"/>
              </w:rPr>
              <w:t xml:space="preserve"> </w:t>
            </w:r>
            <w:r w:rsidRPr="001A1336">
              <w:rPr>
                <w:color w:val="000000"/>
                <w:sz w:val="22"/>
                <w:szCs w:val="22"/>
              </w:rPr>
              <w:t>000</w:t>
            </w:r>
          </w:p>
        </w:tc>
      </w:tr>
      <w:tr w:rsidR="00C57F89" w:rsidRPr="00200217" w:rsidTr="001A1336">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C57F89" w:rsidRPr="00D3221F" w:rsidRDefault="00C57F89" w:rsidP="00D3221F">
            <w:pPr>
              <w:rPr>
                <w:sz w:val="24"/>
                <w:szCs w:val="24"/>
              </w:rPr>
            </w:pPr>
            <w:r w:rsidRPr="00D3221F">
              <w:rPr>
                <w:sz w:val="24"/>
                <w:szCs w:val="24"/>
                <w:lang w:eastAsia="en-US"/>
              </w:rPr>
              <w:t>4. Zivsaimniecības reģionu ilgtspējīga attīstība</w:t>
            </w:r>
          </w:p>
        </w:tc>
        <w:tc>
          <w:tcPr>
            <w:tcW w:w="1418" w:type="dxa"/>
            <w:tcBorders>
              <w:top w:val="single" w:sz="4" w:space="0" w:color="auto"/>
              <w:left w:val="single" w:sz="4" w:space="0" w:color="auto"/>
              <w:bottom w:val="single" w:sz="4" w:space="0" w:color="auto"/>
              <w:right w:val="single" w:sz="4" w:space="0" w:color="auto"/>
            </w:tcBorders>
            <w:noWrap/>
            <w:vAlign w:val="bottom"/>
          </w:tcPr>
          <w:p w:rsidR="00C57F89" w:rsidRPr="00200217" w:rsidRDefault="00C57F89" w:rsidP="00F04477">
            <w:pPr>
              <w:jc w:val="right"/>
              <w:rPr>
                <w:sz w:val="22"/>
                <w:szCs w:val="22"/>
              </w:rPr>
            </w:pPr>
            <w:r w:rsidRPr="00D3221F">
              <w:rPr>
                <w:sz w:val="22"/>
                <w:szCs w:val="22"/>
              </w:rPr>
              <w:t>16 092 137</w:t>
            </w:r>
          </w:p>
        </w:tc>
        <w:tc>
          <w:tcPr>
            <w:tcW w:w="229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57F89" w:rsidRDefault="00C57F89" w:rsidP="00F04477">
            <w:pPr>
              <w:jc w:val="right"/>
              <w:rPr>
                <w:color w:val="000000"/>
                <w:sz w:val="22"/>
                <w:szCs w:val="22"/>
              </w:rPr>
            </w:pPr>
            <w:r w:rsidRPr="001A1336">
              <w:rPr>
                <w:color w:val="000000"/>
                <w:sz w:val="22"/>
                <w:szCs w:val="22"/>
              </w:rPr>
              <w:t>10 530 768</w:t>
            </w:r>
          </w:p>
        </w:tc>
        <w:tc>
          <w:tcPr>
            <w:tcW w:w="1246" w:type="dxa"/>
            <w:tcBorders>
              <w:top w:val="single" w:sz="4" w:space="0" w:color="auto"/>
              <w:left w:val="single" w:sz="4" w:space="0" w:color="auto"/>
              <w:bottom w:val="single" w:sz="4" w:space="0" w:color="auto"/>
              <w:right w:val="single" w:sz="4" w:space="0" w:color="auto"/>
            </w:tcBorders>
            <w:noWrap/>
            <w:vAlign w:val="bottom"/>
          </w:tcPr>
          <w:p w:rsidR="00C57F89" w:rsidRDefault="00C57F89" w:rsidP="001A1336">
            <w:pPr>
              <w:jc w:val="center"/>
              <w:rPr>
                <w:color w:val="000000"/>
                <w:sz w:val="22"/>
                <w:szCs w:val="22"/>
              </w:rPr>
            </w:pPr>
            <w:r>
              <w:rPr>
                <w:color w:val="000000"/>
                <w:sz w:val="22"/>
                <w:szCs w:val="22"/>
              </w:rPr>
              <w:t>-</w:t>
            </w:r>
            <w:r w:rsidRPr="001A1336">
              <w:rPr>
                <w:color w:val="000000"/>
                <w:sz w:val="22"/>
                <w:szCs w:val="22"/>
              </w:rPr>
              <w:t>5 561 369</w:t>
            </w:r>
          </w:p>
        </w:tc>
      </w:tr>
      <w:tr w:rsidR="00C57F89" w:rsidRPr="00200217" w:rsidTr="001A1336">
        <w:trPr>
          <w:trHeight w:val="300"/>
        </w:trPr>
        <w:tc>
          <w:tcPr>
            <w:tcW w:w="4126" w:type="dxa"/>
            <w:tcBorders>
              <w:top w:val="single" w:sz="4" w:space="0" w:color="auto"/>
              <w:left w:val="single" w:sz="4" w:space="0" w:color="auto"/>
              <w:bottom w:val="single" w:sz="4" w:space="0" w:color="auto"/>
              <w:right w:val="single" w:sz="4" w:space="0" w:color="auto"/>
            </w:tcBorders>
            <w:vAlign w:val="bottom"/>
          </w:tcPr>
          <w:p w:rsidR="00C57F89" w:rsidRPr="00200217" w:rsidRDefault="00C57F89" w:rsidP="00F04477">
            <w:pPr>
              <w:rPr>
                <w:sz w:val="22"/>
                <w:szCs w:val="22"/>
              </w:rPr>
            </w:pPr>
            <w:r>
              <w:rPr>
                <w:sz w:val="22"/>
                <w:szCs w:val="22"/>
              </w:rPr>
              <w:t>5. Tehniskā palīdzība</w:t>
            </w:r>
          </w:p>
        </w:tc>
        <w:tc>
          <w:tcPr>
            <w:tcW w:w="1418" w:type="dxa"/>
            <w:tcBorders>
              <w:top w:val="single" w:sz="4" w:space="0" w:color="auto"/>
              <w:left w:val="single" w:sz="4" w:space="0" w:color="auto"/>
              <w:bottom w:val="single" w:sz="4" w:space="0" w:color="auto"/>
              <w:right w:val="single" w:sz="4" w:space="0" w:color="auto"/>
            </w:tcBorders>
            <w:noWrap/>
            <w:vAlign w:val="bottom"/>
          </w:tcPr>
          <w:p w:rsidR="00C57F89" w:rsidRPr="00200217" w:rsidRDefault="00C57F89" w:rsidP="00F04477">
            <w:pPr>
              <w:jc w:val="right"/>
              <w:rPr>
                <w:sz w:val="22"/>
                <w:szCs w:val="22"/>
              </w:rPr>
            </w:pPr>
            <w:r w:rsidRPr="00D3221F">
              <w:rPr>
                <w:sz w:val="22"/>
                <w:szCs w:val="22"/>
              </w:rPr>
              <w:t>4 649 185</w:t>
            </w:r>
          </w:p>
        </w:tc>
        <w:tc>
          <w:tcPr>
            <w:tcW w:w="229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57F89" w:rsidRDefault="00C57F89" w:rsidP="00F04477">
            <w:pPr>
              <w:jc w:val="right"/>
              <w:rPr>
                <w:color w:val="000000"/>
                <w:sz w:val="22"/>
                <w:szCs w:val="22"/>
              </w:rPr>
            </w:pPr>
            <w:r w:rsidRPr="00D3221F">
              <w:rPr>
                <w:sz w:val="22"/>
                <w:szCs w:val="22"/>
              </w:rPr>
              <w:t>4 649 185</w:t>
            </w:r>
          </w:p>
        </w:tc>
        <w:tc>
          <w:tcPr>
            <w:tcW w:w="1246" w:type="dxa"/>
            <w:tcBorders>
              <w:top w:val="single" w:sz="4" w:space="0" w:color="auto"/>
              <w:left w:val="single" w:sz="4" w:space="0" w:color="auto"/>
              <w:bottom w:val="single" w:sz="4" w:space="0" w:color="auto"/>
              <w:right w:val="single" w:sz="4" w:space="0" w:color="auto"/>
            </w:tcBorders>
            <w:noWrap/>
            <w:vAlign w:val="bottom"/>
          </w:tcPr>
          <w:p w:rsidR="00C57F89" w:rsidRDefault="00C57F89" w:rsidP="00F04477">
            <w:pPr>
              <w:jc w:val="right"/>
              <w:rPr>
                <w:color w:val="000000"/>
                <w:sz w:val="22"/>
                <w:szCs w:val="22"/>
              </w:rPr>
            </w:pPr>
          </w:p>
        </w:tc>
      </w:tr>
      <w:tr w:rsidR="00C57F89" w:rsidRPr="00200217" w:rsidTr="001A1336">
        <w:trPr>
          <w:trHeight w:val="300"/>
        </w:trPr>
        <w:tc>
          <w:tcPr>
            <w:tcW w:w="4126" w:type="dxa"/>
            <w:tcBorders>
              <w:top w:val="single" w:sz="4" w:space="0" w:color="auto"/>
              <w:left w:val="single" w:sz="8" w:space="0" w:color="auto"/>
              <w:bottom w:val="single" w:sz="8" w:space="0" w:color="auto"/>
              <w:right w:val="single" w:sz="8" w:space="0" w:color="000000"/>
            </w:tcBorders>
            <w:noWrap/>
            <w:vAlign w:val="center"/>
          </w:tcPr>
          <w:p w:rsidR="00C57F89" w:rsidRPr="00200217" w:rsidRDefault="00C57F89" w:rsidP="00F04477">
            <w:pPr>
              <w:jc w:val="center"/>
              <w:rPr>
                <w:b/>
                <w:bCs/>
                <w:sz w:val="22"/>
                <w:szCs w:val="22"/>
              </w:rPr>
            </w:pPr>
            <w:r>
              <w:rPr>
                <w:b/>
                <w:bCs/>
                <w:sz w:val="22"/>
                <w:szCs w:val="22"/>
              </w:rPr>
              <w:t>Kopā</w:t>
            </w:r>
          </w:p>
        </w:tc>
        <w:tc>
          <w:tcPr>
            <w:tcW w:w="1418" w:type="dxa"/>
            <w:tcBorders>
              <w:top w:val="single" w:sz="4" w:space="0" w:color="auto"/>
              <w:left w:val="nil"/>
              <w:bottom w:val="single" w:sz="8" w:space="0" w:color="auto"/>
              <w:right w:val="single" w:sz="8" w:space="0" w:color="auto"/>
            </w:tcBorders>
            <w:vAlign w:val="center"/>
          </w:tcPr>
          <w:p w:rsidR="00C57F89" w:rsidRPr="00200217" w:rsidRDefault="00C57F89" w:rsidP="00F04477">
            <w:pPr>
              <w:jc w:val="center"/>
              <w:rPr>
                <w:b/>
                <w:bCs/>
                <w:sz w:val="22"/>
                <w:szCs w:val="22"/>
              </w:rPr>
            </w:pPr>
            <w:r w:rsidRPr="00D3221F">
              <w:rPr>
                <w:b/>
                <w:bCs/>
                <w:sz w:val="22"/>
                <w:szCs w:val="22"/>
              </w:rPr>
              <w:t>117 148 585</w:t>
            </w:r>
          </w:p>
        </w:tc>
        <w:tc>
          <w:tcPr>
            <w:tcW w:w="2297" w:type="dxa"/>
            <w:tcBorders>
              <w:top w:val="single" w:sz="4" w:space="0" w:color="auto"/>
              <w:left w:val="nil"/>
              <w:bottom w:val="single" w:sz="8" w:space="0" w:color="auto"/>
              <w:right w:val="single" w:sz="8" w:space="0" w:color="auto"/>
            </w:tcBorders>
            <w:shd w:val="clear" w:color="auto" w:fill="EEECE1"/>
            <w:noWrap/>
            <w:vAlign w:val="center"/>
          </w:tcPr>
          <w:p w:rsidR="00C57F89" w:rsidRPr="00200217" w:rsidRDefault="00C57F89" w:rsidP="00B8024D">
            <w:pPr>
              <w:jc w:val="right"/>
              <w:rPr>
                <w:b/>
                <w:bCs/>
                <w:color w:val="000000"/>
                <w:sz w:val="22"/>
                <w:szCs w:val="22"/>
              </w:rPr>
            </w:pPr>
            <w:r w:rsidRPr="00D3221F">
              <w:rPr>
                <w:b/>
                <w:bCs/>
                <w:sz w:val="22"/>
                <w:szCs w:val="22"/>
              </w:rPr>
              <w:t>117 148 585</w:t>
            </w:r>
          </w:p>
        </w:tc>
        <w:tc>
          <w:tcPr>
            <w:tcW w:w="1246" w:type="dxa"/>
            <w:tcBorders>
              <w:top w:val="single" w:sz="4" w:space="0" w:color="auto"/>
              <w:left w:val="nil"/>
              <w:bottom w:val="single" w:sz="8" w:space="0" w:color="auto"/>
              <w:right w:val="single" w:sz="8" w:space="0" w:color="auto"/>
            </w:tcBorders>
            <w:noWrap/>
            <w:vAlign w:val="center"/>
          </w:tcPr>
          <w:p w:rsidR="00C57F89" w:rsidRPr="00200217" w:rsidRDefault="00C57F89" w:rsidP="00F04477">
            <w:pPr>
              <w:jc w:val="center"/>
              <w:rPr>
                <w:b/>
                <w:bCs/>
                <w:color w:val="000000"/>
                <w:sz w:val="22"/>
                <w:szCs w:val="22"/>
              </w:rPr>
            </w:pPr>
          </w:p>
        </w:tc>
      </w:tr>
    </w:tbl>
    <w:p w:rsidR="00C57F89" w:rsidRDefault="00C57F89" w:rsidP="00B8024D">
      <w:pPr>
        <w:pStyle w:val="Bezatstarpm"/>
        <w:jc w:val="center"/>
        <w:rPr>
          <w:rFonts w:ascii="Times New Roman" w:hAnsi="Times New Roman"/>
          <w:b/>
          <w:sz w:val="28"/>
          <w:szCs w:val="28"/>
        </w:rPr>
      </w:pPr>
    </w:p>
    <w:p w:rsidR="00C57F89" w:rsidRDefault="00C57F89" w:rsidP="00B8024D">
      <w:pPr>
        <w:pStyle w:val="Bezatstarpm"/>
        <w:jc w:val="center"/>
        <w:rPr>
          <w:rFonts w:ascii="Times New Roman" w:hAnsi="Times New Roman"/>
          <w:b/>
          <w:sz w:val="28"/>
          <w:szCs w:val="28"/>
        </w:rPr>
      </w:pPr>
      <w:r w:rsidRPr="00011385">
        <w:rPr>
          <w:rFonts w:ascii="Times New Roman" w:hAnsi="Times New Roman"/>
          <w:b/>
          <w:sz w:val="28"/>
          <w:szCs w:val="28"/>
        </w:rPr>
        <w:t>RP apguve</w:t>
      </w:r>
    </w:p>
    <w:p w:rsidR="00C57F89" w:rsidRPr="00D12ED9" w:rsidRDefault="00C57F89" w:rsidP="00B8024D">
      <w:pPr>
        <w:pStyle w:val="Bezatstarpm"/>
        <w:spacing w:after="120"/>
        <w:jc w:val="center"/>
        <w:rPr>
          <w:sz w:val="28"/>
          <w:szCs w:val="28"/>
        </w:rPr>
      </w:pPr>
      <w:r w:rsidRPr="00B8024D">
        <w:rPr>
          <w:spacing w:val="2"/>
          <w:sz w:val="16"/>
          <w:szCs w:val="16"/>
        </w:rPr>
        <w:t xml:space="preserve"> </w:t>
      </w:r>
      <w:r w:rsidRPr="00B8024D">
        <w:rPr>
          <w:sz w:val="16"/>
          <w:szCs w:val="16"/>
        </w:rPr>
        <w:t xml:space="preserve"> </w:t>
      </w:r>
      <w:r w:rsidRPr="00B8024D">
        <w:rPr>
          <w:color w:val="000000"/>
          <w:sz w:val="16"/>
          <w:szCs w:val="16"/>
        </w:rPr>
        <w:t xml:space="preserve">    </w:t>
      </w:r>
      <w:r w:rsidR="00DA51FF">
        <w:rPr>
          <w:noProof/>
          <w:sz w:val="28"/>
          <w:szCs w:val="28"/>
          <w:lang w:eastAsia="lv-LV"/>
        </w:rPr>
        <w:drawing>
          <wp:inline distT="0" distB="0" distL="0" distR="0">
            <wp:extent cx="5762752" cy="3346704"/>
            <wp:effectExtent l="12192" t="6096" r="6731" b="0"/>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7F89" w:rsidRPr="00D12ED9" w:rsidRDefault="00C57F89" w:rsidP="00C80B5D">
      <w:pPr>
        <w:jc w:val="both"/>
        <w:rPr>
          <w:sz w:val="28"/>
          <w:szCs w:val="28"/>
        </w:rPr>
      </w:pPr>
    </w:p>
    <w:p w:rsidR="00C57F89" w:rsidRPr="00C3732A" w:rsidRDefault="00C57F89" w:rsidP="00C80B5D">
      <w:pPr>
        <w:jc w:val="both"/>
        <w:rPr>
          <w:sz w:val="28"/>
          <w:szCs w:val="28"/>
        </w:rPr>
      </w:pPr>
      <w:r w:rsidRPr="00C3732A">
        <w:rPr>
          <w:sz w:val="28"/>
          <w:szCs w:val="28"/>
        </w:rPr>
        <w:t>1.attēls. Eiropas Zivsaimniecības fonda apguve, milj</w:t>
      </w:r>
      <w:smartTag w:uri="schemas-tilde-lv/tildestengine" w:element="currency2">
        <w:smartTagPr>
          <w:attr w:name="currency_id" w:val="48"/>
          <w:attr w:name="currency_key" w:val="LVL"/>
          <w:attr w:name="currency_value" w:val="."/>
          <w:attr w:name="currency_text" w:val="LVL"/>
        </w:smartTagPr>
        <w:r w:rsidRPr="00C3732A">
          <w:rPr>
            <w:sz w:val="28"/>
            <w:szCs w:val="28"/>
          </w:rPr>
          <w:t>.</w:t>
        </w:r>
        <w:r>
          <w:rPr>
            <w:sz w:val="28"/>
            <w:szCs w:val="28"/>
          </w:rPr>
          <w:t> </w:t>
        </w:r>
        <w:r w:rsidRPr="00C3732A">
          <w:rPr>
            <w:sz w:val="28"/>
            <w:szCs w:val="28"/>
          </w:rPr>
          <w:t>LVL</w:t>
        </w:r>
      </w:smartTag>
      <w:r w:rsidRPr="00C3732A">
        <w:rPr>
          <w:sz w:val="28"/>
          <w:szCs w:val="28"/>
        </w:rPr>
        <w:t xml:space="preserve"> </w:t>
      </w:r>
      <w:r>
        <w:rPr>
          <w:sz w:val="28"/>
          <w:szCs w:val="28"/>
        </w:rPr>
        <w:t>pēc stāvokļa</w:t>
      </w:r>
      <w:r w:rsidRPr="00C3732A">
        <w:rPr>
          <w:sz w:val="28"/>
          <w:szCs w:val="28"/>
        </w:rPr>
        <w:t xml:space="preserve"> 14.03.2012.</w:t>
      </w:r>
    </w:p>
    <w:p w:rsidR="00C57F89" w:rsidRPr="00D12ED9" w:rsidRDefault="00C57F89" w:rsidP="00C80B5D">
      <w:pPr>
        <w:ind w:firstLine="720"/>
        <w:jc w:val="both"/>
        <w:rPr>
          <w:b/>
          <w:sz w:val="28"/>
          <w:szCs w:val="28"/>
        </w:rPr>
      </w:pPr>
    </w:p>
    <w:p w:rsidR="00C57F89" w:rsidRPr="00D12ED9" w:rsidRDefault="00DA51FF" w:rsidP="00C80B5D">
      <w:pPr>
        <w:jc w:val="both"/>
        <w:rPr>
          <w:b/>
          <w:sz w:val="28"/>
          <w:szCs w:val="28"/>
        </w:rPr>
      </w:pPr>
      <w:r>
        <w:rPr>
          <w:b/>
          <w:noProof/>
          <w:sz w:val="28"/>
          <w:szCs w:val="28"/>
        </w:rPr>
        <w:drawing>
          <wp:inline distT="0" distB="0" distL="0" distR="0">
            <wp:extent cx="5762752" cy="2925875"/>
            <wp:effectExtent l="12192" t="6096" r="6731" b="1729"/>
            <wp:docPr id="2"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F89" w:rsidRPr="00C3732A" w:rsidRDefault="00C57F89" w:rsidP="00C80B5D">
      <w:pPr>
        <w:jc w:val="both"/>
        <w:rPr>
          <w:sz w:val="28"/>
          <w:szCs w:val="28"/>
        </w:rPr>
      </w:pPr>
      <w:r w:rsidRPr="00C3732A">
        <w:rPr>
          <w:bCs/>
          <w:sz w:val="28"/>
          <w:szCs w:val="28"/>
        </w:rPr>
        <w:t>2.attēls. Rīcības programmas Eiropas Zivsaimniecības fonda 2007.</w:t>
      </w:r>
      <w:r>
        <w:rPr>
          <w:bCs/>
          <w:sz w:val="28"/>
          <w:szCs w:val="28"/>
        </w:rPr>
        <w:t>–</w:t>
      </w:r>
      <w:r w:rsidRPr="00C3732A">
        <w:rPr>
          <w:bCs/>
          <w:sz w:val="28"/>
          <w:szCs w:val="28"/>
        </w:rPr>
        <w:t xml:space="preserve">2013. gadam atbalsta ieviešana Latvijā (dati </w:t>
      </w:r>
      <w:r>
        <w:rPr>
          <w:bCs/>
          <w:sz w:val="28"/>
          <w:szCs w:val="28"/>
        </w:rPr>
        <w:t>pēc stāvokļa</w:t>
      </w:r>
      <w:r w:rsidRPr="00C3732A">
        <w:rPr>
          <w:bCs/>
          <w:sz w:val="28"/>
          <w:szCs w:val="28"/>
        </w:rPr>
        <w:t xml:space="preserve"> 14.03.2012.)</w:t>
      </w:r>
    </w:p>
    <w:p w:rsidR="00C57F89" w:rsidRPr="00D12ED9" w:rsidRDefault="00C57F89" w:rsidP="00C80B5D">
      <w:pPr>
        <w:ind w:firstLine="720"/>
        <w:jc w:val="both"/>
        <w:rPr>
          <w:b/>
          <w:sz w:val="28"/>
          <w:szCs w:val="28"/>
        </w:rPr>
      </w:pPr>
    </w:p>
    <w:p w:rsidR="00C57F89" w:rsidRPr="00D12ED9" w:rsidRDefault="00C57F89" w:rsidP="00C80B5D">
      <w:pPr>
        <w:ind w:firstLine="720"/>
        <w:jc w:val="both"/>
        <w:rPr>
          <w:sz w:val="28"/>
          <w:szCs w:val="28"/>
        </w:rPr>
      </w:pPr>
      <w:r w:rsidRPr="00D12ED9">
        <w:rPr>
          <w:b/>
          <w:i/>
          <w:sz w:val="28"/>
          <w:szCs w:val="28"/>
        </w:rPr>
        <w:t>1.prioritār</w:t>
      </w:r>
      <w:r>
        <w:rPr>
          <w:b/>
          <w:i/>
          <w:sz w:val="28"/>
          <w:szCs w:val="28"/>
        </w:rPr>
        <w:t>ajā</w:t>
      </w:r>
      <w:r w:rsidRPr="00D12ED9">
        <w:rPr>
          <w:b/>
          <w:i/>
          <w:sz w:val="28"/>
          <w:szCs w:val="28"/>
        </w:rPr>
        <w:t xml:space="preserve"> virzien</w:t>
      </w:r>
      <w:r>
        <w:rPr>
          <w:b/>
          <w:i/>
          <w:sz w:val="28"/>
          <w:szCs w:val="28"/>
        </w:rPr>
        <w:t>ā</w:t>
      </w:r>
      <w:r w:rsidRPr="00D12ED9">
        <w:rPr>
          <w:b/>
          <w:i/>
          <w:sz w:val="28"/>
          <w:szCs w:val="28"/>
        </w:rPr>
        <w:t xml:space="preserve"> „Pasākumi Kopienas zvejas flotes sabalansēšanai”</w:t>
      </w:r>
      <w:r w:rsidRPr="00D12ED9">
        <w:rPr>
          <w:b/>
          <w:sz w:val="28"/>
          <w:szCs w:val="28"/>
        </w:rPr>
        <w:t xml:space="preserve"> </w:t>
      </w:r>
      <w:r w:rsidRPr="00D12ED9">
        <w:rPr>
          <w:sz w:val="28"/>
          <w:szCs w:val="28"/>
        </w:rPr>
        <w:t>pieejamais publiskais finansējums ir 2</w:t>
      </w:r>
      <w:r>
        <w:rPr>
          <w:sz w:val="28"/>
          <w:szCs w:val="28"/>
        </w:rPr>
        <w:t>4</w:t>
      </w:r>
      <w:r w:rsidRPr="00D12ED9">
        <w:rPr>
          <w:sz w:val="28"/>
          <w:szCs w:val="28"/>
        </w:rPr>
        <w:t>,</w:t>
      </w:r>
      <w:r>
        <w:rPr>
          <w:sz w:val="28"/>
          <w:szCs w:val="28"/>
        </w:rPr>
        <w:t>5</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no kuriem </w:t>
      </w:r>
      <w:r>
        <w:rPr>
          <w:sz w:val="28"/>
          <w:szCs w:val="28"/>
        </w:rPr>
        <w:lastRenderedPageBreak/>
        <w:t>par 2</w:t>
      </w:r>
      <w:r w:rsidRPr="00D12ED9">
        <w:rPr>
          <w:sz w:val="28"/>
          <w:szCs w:val="28"/>
        </w:rPr>
        <w:t>1</w:t>
      </w:r>
      <w:r>
        <w:rPr>
          <w:sz w:val="28"/>
          <w:szCs w:val="28"/>
        </w:rPr>
        <w:t>,1</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jeb </w:t>
      </w:r>
      <w:r>
        <w:rPr>
          <w:sz w:val="28"/>
          <w:szCs w:val="28"/>
        </w:rPr>
        <w:t>86</w:t>
      </w:r>
      <w:r w:rsidRPr="00D12ED9">
        <w:rPr>
          <w:sz w:val="28"/>
          <w:szCs w:val="28"/>
        </w:rPr>
        <w:t xml:space="preserve">% ir </w:t>
      </w:r>
      <w:r>
        <w:rPr>
          <w:sz w:val="28"/>
          <w:szCs w:val="28"/>
        </w:rPr>
        <w:t>uzņemtas saistības projektu īstenošanai un</w:t>
      </w:r>
      <w:r w:rsidRPr="00D12ED9">
        <w:rPr>
          <w:sz w:val="28"/>
          <w:szCs w:val="28"/>
        </w:rPr>
        <w:t xml:space="preserve"> </w:t>
      </w:r>
      <w:r>
        <w:rPr>
          <w:sz w:val="28"/>
          <w:szCs w:val="28"/>
        </w:rPr>
        <w:t>atbalsta saņēmējiem izmaksāti 20,2 milj</w:t>
      </w:r>
      <w:smartTag w:uri="schemas-tilde-lv/tildestengine" w:element="currency2">
        <w:smartTagPr>
          <w:attr w:name="currency_id" w:val="48"/>
          <w:attr w:name="currency_key" w:val="LVL"/>
          <w:attr w:name="currency_value" w:val="."/>
          <w:attr w:name="currency_text" w:val="latu"/>
        </w:smartTagPr>
        <w:r>
          <w:rPr>
            <w:sz w:val="28"/>
            <w:szCs w:val="28"/>
          </w:rPr>
          <w:t>. latu</w:t>
        </w:r>
      </w:smartTag>
      <w:r>
        <w:rPr>
          <w:sz w:val="28"/>
          <w:szCs w:val="28"/>
        </w:rPr>
        <w:t xml:space="preserve"> jeb 82%</w:t>
      </w:r>
      <w:r w:rsidRPr="00D12ED9">
        <w:rPr>
          <w:sz w:val="28"/>
          <w:szCs w:val="28"/>
        </w:rPr>
        <w:t>.</w:t>
      </w:r>
    </w:p>
    <w:p w:rsidR="00C57F89" w:rsidRDefault="00C57F89" w:rsidP="00C80B5D">
      <w:pPr>
        <w:ind w:firstLine="720"/>
        <w:jc w:val="both"/>
        <w:rPr>
          <w:sz w:val="28"/>
          <w:szCs w:val="28"/>
        </w:rPr>
      </w:pPr>
      <w:r w:rsidRPr="00D12ED9">
        <w:rPr>
          <w:sz w:val="28"/>
          <w:szCs w:val="28"/>
        </w:rPr>
        <w:t xml:space="preserve">Pasākuma </w:t>
      </w:r>
      <w:r w:rsidRPr="00E471E1">
        <w:rPr>
          <w:b/>
          <w:sz w:val="28"/>
          <w:szCs w:val="28"/>
          <w:u w:val="single"/>
        </w:rPr>
        <w:t>1.1.„</w:t>
      </w:r>
      <w:r w:rsidRPr="00D12ED9">
        <w:rPr>
          <w:b/>
          <w:sz w:val="28"/>
          <w:szCs w:val="28"/>
          <w:u w:val="single"/>
        </w:rPr>
        <w:t>Zvejas aktivitāšu pilnīga pārtraukšana”</w:t>
      </w:r>
      <w:r w:rsidRPr="00D12ED9">
        <w:rPr>
          <w:sz w:val="28"/>
          <w:szCs w:val="28"/>
        </w:rPr>
        <w:t xml:space="preserve"> mērķis ir Latvijas zvejas flotes kapacitātes sabalansēšana ar pieejamiem zivju resursiem. Pasākums tiek īstenots saskaņā ar Latvijas zvejas flotes kapacitātes sabalansēšanas plānu 2008.</w:t>
      </w:r>
      <w:r>
        <w:rPr>
          <w:sz w:val="28"/>
          <w:szCs w:val="28"/>
        </w:rPr>
        <w:t>–</w:t>
      </w:r>
      <w:r w:rsidRPr="00D12ED9">
        <w:rPr>
          <w:sz w:val="28"/>
          <w:szCs w:val="28"/>
        </w:rPr>
        <w:t xml:space="preserve">2013.gadam (turpmāk – Sabalansēšanas </w:t>
      </w:r>
      <w:smartTag w:uri="schemas-tilde-lv/tildestengine" w:element="veidnes">
        <w:smartTagPr>
          <w:attr w:name="id" w:val="-1"/>
          <w:attr w:name="baseform" w:val="plāns"/>
          <w:attr w:name="text" w:val="plāns"/>
        </w:smartTagPr>
        <w:r w:rsidRPr="00D12ED9">
          <w:rPr>
            <w:sz w:val="28"/>
            <w:szCs w:val="28"/>
          </w:rPr>
          <w:t>plāns</w:t>
        </w:r>
      </w:smartTag>
      <w:r w:rsidRPr="00D12ED9">
        <w:rPr>
          <w:sz w:val="28"/>
          <w:szCs w:val="28"/>
        </w:rPr>
        <w:t xml:space="preserve">). Tajā, </w:t>
      </w:r>
      <w:r>
        <w:rPr>
          <w:sz w:val="28"/>
          <w:szCs w:val="28"/>
        </w:rPr>
        <w:t>ievērojot</w:t>
      </w:r>
      <w:r w:rsidRPr="00D12ED9">
        <w:rPr>
          <w:sz w:val="28"/>
          <w:szCs w:val="28"/>
        </w:rPr>
        <w:t xml:space="preserve"> tendences Baltijas jūrā pieejamo savvaļas zivju resursu apjoma izmaiņās</w:t>
      </w:r>
      <w:r>
        <w:rPr>
          <w:sz w:val="28"/>
          <w:szCs w:val="28"/>
        </w:rPr>
        <w:t xml:space="preserve"> un</w:t>
      </w:r>
      <w:r w:rsidRPr="00D12ED9">
        <w:rPr>
          <w:sz w:val="28"/>
          <w:szCs w:val="28"/>
        </w:rPr>
        <w:t xml:space="preserve"> balstoties uz ekspertu rekomendācijām, ir noteikts optimālais zvejas flotes lielums, lai zveja būtu rentabla un zvejniecības sektors konkurētspējīgs arī pie samazināta pieejamo zivju resursu a</w:t>
      </w:r>
      <w:r w:rsidRPr="00CD70F9">
        <w:rPr>
          <w:sz w:val="28"/>
          <w:szCs w:val="28"/>
        </w:rPr>
        <w:t>pjom</w:t>
      </w:r>
      <w:r w:rsidRPr="00D12ED9">
        <w:rPr>
          <w:sz w:val="28"/>
          <w:szCs w:val="28"/>
        </w:rPr>
        <w:t xml:space="preserve">a. </w:t>
      </w:r>
    </w:p>
    <w:p w:rsidR="00C57F89" w:rsidRPr="00D12ED9" w:rsidRDefault="00C57F89" w:rsidP="00C80B5D">
      <w:pPr>
        <w:ind w:firstLine="720"/>
        <w:jc w:val="both"/>
        <w:rPr>
          <w:sz w:val="28"/>
          <w:szCs w:val="28"/>
        </w:rPr>
      </w:pPr>
      <w:r w:rsidRPr="00D12ED9">
        <w:rPr>
          <w:sz w:val="28"/>
          <w:szCs w:val="28"/>
        </w:rPr>
        <w:t xml:space="preserve">Pasākumā pieejamais publiskais finansējums ir </w:t>
      </w:r>
      <w:r>
        <w:rPr>
          <w:sz w:val="28"/>
          <w:szCs w:val="28"/>
        </w:rPr>
        <w:t>20</w:t>
      </w:r>
      <w:r w:rsidRPr="00D12ED9">
        <w:rPr>
          <w:sz w:val="28"/>
          <w:szCs w:val="28"/>
        </w:rPr>
        <w:t>,</w:t>
      </w:r>
      <w:r>
        <w:rPr>
          <w:sz w:val="28"/>
          <w:szCs w:val="28"/>
        </w:rPr>
        <w:t>7</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no kuriem 1</w:t>
      </w:r>
      <w:r>
        <w:rPr>
          <w:sz w:val="28"/>
          <w:szCs w:val="28"/>
        </w:rPr>
        <w:t>7</w:t>
      </w:r>
      <w:r w:rsidRPr="00D12ED9">
        <w:rPr>
          <w:sz w:val="28"/>
          <w:szCs w:val="28"/>
        </w:rPr>
        <w:t>,</w:t>
      </w:r>
      <w:r>
        <w:rPr>
          <w:sz w:val="28"/>
          <w:szCs w:val="28"/>
        </w:rPr>
        <w:t>9</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jeb </w:t>
      </w:r>
      <w:r>
        <w:rPr>
          <w:sz w:val="28"/>
          <w:szCs w:val="28"/>
        </w:rPr>
        <w:t>87</w:t>
      </w:r>
      <w:r w:rsidRPr="00D12ED9">
        <w:rPr>
          <w:sz w:val="28"/>
          <w:szCs w:val="28"/>
        </w:rPr>
        <w:t>% ir apstiprināti un</w:t>
      </w:r>
      <w:r>
        <w:rPr>
          <w:sz w:val="28"/>
          <w:szCs w:val="28"/>
        </w:rPr>
        <w:t xml:space="preserve"> 17,1 milj</w:t>
      </w:r>
      <w:smartTag w:uri="schemas-tilde-lv/tildestengine" w:element="currency2">
        <w:smartTagPr>
          <w:attr w:name="currency_id" w:val="48"/>
          <w:attr w:name="currency_key" w:val="LVL"/>
          <w:attr w:name="currency_value" w:val="."/>
          <w:attr w:name="currency_text" w:val="latu"/>
        </w:smartTagPr>
        <w:r>
          <w:rPr>
            <w:sz w:val="28"/>
            <w:szCs w:val="28"/>
          </w:rPr>
          <w:t>. latu</w:t>
        </w:r>
      </w:smartTag>
      <w:r>
        <w:rPr>
          <w:sz w:val="28"/>
          <w:szCs w:val="28"/>
        </w:rPr>
        <w:t xml:space="preserve"> izmaksāti atbalsta saņēmējiem.</w:t>
      </w:r>
      <w:r w:rsidRPr="00D12ED9">
        <w:rPr>
          <w:sz w:val="28"/>
          <w:szCs w:val="28"/>
        </w:rPr>
        <w:t xml:space="preserve"> </w:t>
      </w:r>
      <w:r w:rsidRPr="007F328C">
        <w:rPr>
          <w:sz w:val="28"/>
          <w:szCs w:val="28"/>
        </w:rPr>
        <w:t xml:space="preserve">Pasākumā </w:t>
      </w:r>
      <w:r>
        <w:rPr>
          <w:sz w:val="28"/>
          <w:szCs w:val="28"/>
        </w:rPr>
        <w:t xml:space="preserve">kopumā </w:t>
      </w:r>
      <w:r w:rsidRPr="007F328C">
        <w:rPr>
          <w:sz w:val="28"/>
          <w:szCs w:val="28"/>
        </w:rPr>
        <w:t>apstiprināti 1</w:t>
      </w:r>
      <w:r>
        <w:rPr>
          <w:sz w:val="28"/>
          <w:szCs w:val="28"/>
        </w:rPr>
        <w:t>4</w:t>
      </w:r>
      <w:r w:rsidRPr="007F328C">
        <w:rPr>
          <w:sz w:val="28"/>
          <w:szCs w:val="28"/>
        </w:rPr>
        <w:t>2 projekti</w:t>
      </w:r>
      <w:r>
        <w:rPr>
          <w:sz w:val="28"/>
          <w:szCs w:val="28"/>
        </w:rPr>
        <w:t>, no kuriem 137 projekti jau ir īstenoti</w:t>
      </w:r>
      <w:r w:rsidRPr="007F328C">
        <w:rPr>
          <w:sz w:val="28"/>
          <w:szCs w:val="28"/>
        </w:rPr>
        <w:t>.</w:t>
      </w:r>
    </w:p>
    <w:p w:rsidR="00C57F89" w:rsidRDefault="00C57F89" w:rsidP="00445014">
      <w:pPr>
        <w:autoSpaceDE w:val="0"/>
        <w:autoSpaceDN w:val="0"/>
        <w:adjustRightInd w:val="0"/>
        <w:ind w:firstLine="720"/>
        <w:jc w:val="both"/>
        <w:rPr>
          <w:sz w:val="28"/>
          <w:szCs w:val="28"/>
        </w:rPr>
      </w:pPr>
    </w:p>
    <w:p w:rsidR="00C57F89" w:rsidRPr="00D12ED9" w:rsidRDefault="00C57F89" w:rsidP="00445014">
      <w:pPr>
        <w:autoSpaceDE w:val="0"/>
        <w:autoSpaceDN w:val="0"/>
        <w:adjustRightInd w:val="0"/>
        <w:ind w:firstLine="720"/>
        <w:jc w:val="both"/>
        <w:rPr>
          <w:sz w:val="28"/>
          <w:szCs w:val="28"/>
        </w:rPr>
      </w:pPr>
      <w:r w:rsidRPr="00D12ED9">
        <w:rPr>
          <w:sz w:val="28"/>
          <w:szCs w:val="28"/>
        </w:rPr>
        <w:t xml:space="preserve">Pasākuma </w:t>
      </w:r>
      <w:r w:rsidRPr="00B57728">
        <w:rPr>
          <w:b/>
          <w:sz w:val="28"/>
          <w:szCs w:val="28"/>
          <w:u w:val="single"/>
        </w:rPr>
        <w:t>1.3.„Investīcijas</w:t>
      </w:r>
      <w:r w:rsidRPr="00D12ED9">
        <w:rPr>
          <w:b/>
          <w:sz w:val="28"/>
          <w:szCs w:val="28"/>
          <w:u w:val="single"/>
        </w:rPr>
        <w:t xml:space="preserve"> zvejas kuģu ierīcēs un zvejas rīku selektivitāte”</w:t>
      </w:r>
      <w:r w:rsidRPr="00D12ED9">
        <w:rPr>
          <w:sz w:val="28"/>
          <w:szCs w:val="28"/>
        </w:rPr>
        <w:t xml:space="preserve"> mērķis ir modernizēt zvejas floti, uzlabojot darba un higiēnas apstākļus, energoefektivitāti un drošību uz kuģa, nodrošinot zivju uzglabāšanai atbilstošus apstākļus uz zvejas kuģiem, kā arī samazinot kuģu degvielas patēriņu un palielinot zvejas rīku selektivitāti, bet nepalielinot zvejas kuģa spēju zvejot zivis.</w:t>
      </w:r>
      <w:r>
        <w:rPr>
          <w:sz w:val="28"/>
          <w:szCs w:val="28"/>
        </w:rPr>
        <w:t xml:space="preserve"> </w:t>
      </w:r>
      <w:r w:rsidRPr="00D12ED9">
        <w:rPr>
          <w:sz w:val="28"/>
          <w:szCs w:val="28"/>
        </w:rPr>
        <w:t>Pasākumā pieeja</w:t>
      </w:r>
      <w:r>
        <w:rPr>
          <w:sz w:val="28"/>
          <w:szCs w:val="28"/>
        </w:rPr>
        <w:t>mais publiskais finansējums ir 206</w:t>
      </w:r>
      <w:r w:rsidRPr="00D12ED9">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no kuriem </w:t>
      </w:r>
      <w:r>
        <w:rPr>
          <w:sz w:val="28"/>
          <w:szCs w:val="28"/>
        </w:rPr>
        <w:t>projektu īstenošanai rezervēti 166</w:t>
      </w:r>
      <w:r w:rsidRPr="00D12ED9">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w:t>
      </w:r>
      <w:r>
        <w:rPr>
          <w:sz w:val="28"/>
          <w:szCs w:val="28"/>
        </w:rPr>
        <w:t>80</w:t>
      </w:r>
      <w:r w:rsidRPr="00D12ED9">
        <w:rPr>
          <w:sz w:val="28"/>
          <w:szCs w:val="28"/>
        </w:rPr>
        <w:t xml:space="preserve"> %). </w:t>
      </w:r>
    </w:p>
    <w:p w:rsidR="00C57F89" w:rsidRDefault="00C57F89" w:rsidP="00445014">
      <w:pPr>
        <w:autoSpaceDE w:val="0"/>
        <w:autoSpaceDN w:val="0"/>
        <w:adjustRightInd w:val="0"/>
        <w:ind w:firstLine="720"/>
        <w:jc w:val="both"/>
        <w:rPr>
          <w:sz w:val="28"/>
          <w:szCs w:val="28"/>
        </w:rPr>
      </w:pPr>
    </w:p>
    <w:p w:rsidR="00C57F89" w:rsidRPr="00D12ED9" w:rsidRDefault="00C57F89" w:rsidP="00445014">
      <w:pPr>
        <w:autoSpaceDE w:val="0"/>
        <w:autoSpaceDN w:val="0"/>
        <w:adjustRightInd w:val="0"/>
        <w:ind w:firstLine="720"/>
        <w:jc w:val="both"/>
        <w:rPr>
          <w:sz w:val="28"/>
          <w:szCs w:val="28"/>
        </w:rPr>
      </w:pPr>
      <w:r>
        <w:rPr>
          <w:sz w:val="28"/>
          <w:szCs w:val="28"/>
        </w:rPr>
        <w:t>Tā kā, īstenojot</w:t>
      </w:r>
      <w:r w:rsidRPr="00D12ED9">
        <w:rPr>
          <w:sz w:val="28"/>
          <w:szCs w:val="28"/>
        </w:rPr>
        <w:t xml:space="preserve"> pasākum</w:t>
      </w:r>
      <w:r>
        <w:rPr>
          <w:sz w:val="28"/>
          <w:szCs w:val="28"/>
        </w:rPr>
        <w:t>u</w:t>
      </w:r>
      <w:r w:rsidRPr="00D12ED9">
        <w:rPr>
          <w:sz w:val="28"/>
          <w:szCs w:val="28"/>
        </w:rPr>
        <w:t xml:space="preserve"> „Zvejas aktivitāšu pilnīga pārtraukšana”</w:t>
      </w:r>
      <w:r>
        <w:rPr>
          <w:sz w:val="28"/>
          <w:szCs w:val="28"/>
        </w:rPr>
        <w:t>, tiek sabalansēta</w:t>
      </w:r>
      <w:r w:rsidRPr="00D12ED9">
        <w:rPr>
          <w:sz w:val="28"/>
          <w:szCs w:val="28"/>
        </w:rPr>
        <w:t xml:space="preserve"> zvejas flote, zvejnieki paliek bez darba. Pasākum</w:t>
      </w:r>
      <w:r>
        <w:rPr>
          <w:sz w:val="28"/>
          <w:szCs w:val="28"/>
        </w:rPr>
        <w:t>ā</w:t>
      </w:r>
      <w:r w:rsidRPr="00D12ED9">
        <w:rPr>
          <w:sz w:val="28"/>
          <w:szCs w:val="28"/>
        </w:rPr>
        <w:t xml:space="preserve"> </w:t>
      </w:r>
      <w:r w:rsidRPr="00B65FB0">
        <w:rPr>
          <w:b/>
          <w:sz w:val="28"/>
          <w:szCs w:val="28"/>
          <w:u w:val="single"/>
        </w:rPr>
        <w:t>1.4.</w:t>
      </w:r>
      <w:r>
        <w:rPr>
          <w:b/>
          <w:sz w:val="28"/>
          <w:szCs w:val="28"/>
          <w:u w:val="single"/>
        </w:rPr>
        <w:t xml:space="preserve"> </w:t>
      </w:r>
      <w:r w:rsidRPr="00B65FB0">
        <w:rPr>
          <w:b/>
          <w:sz w:val="28"/>
          <w:szCs w:val="28"/>
          <w:u w:val="single"/>
        </w:rPr>
        <w:t>„Sociāli</w:t>
      </w:r>
      <w:r w:rsidRPr="00D12ED9">
        <w:rPr>
          <w:b/>
          <w:sz w:val="28"/>
          <w:szCs w:val="28"/>
          <w:u w:val="single"/>
        </w:rPr>
        <w:t xml:space="preserve"> ekonomiskie pasākumi</w:t>
      </w:r>
      <w:r w:rsidRPr="00D12ED9">
        <w:rPr>
          <w:sz w:val="28"/>
          <w:szCs w:val="28"/>
        </w:rPr>
        <w:t>” zvejnieki, k</w:t>
      </w:r>
      <w:r>
        <w:rPr>
          <w:sz w:val="28"/>
          <w:szCs w:val="28"/>
        </w:rPr>
        <w:t>as</w:t>
      </w:r>
      <w:r w:rsidRPr="00D12ED9">
        <w:rPr>
          <w:sz w:val="28"/>
          <w:szCs w:val="28"/>
        </w:rPr>
        <w:t xml:space="preserve"> noteiktu laiku nostrādājuši uz zvejas kuģa</w:t>
      </w:r>
      <w:r>
        <w:rPr>
          <w:sz w:val="28"/>
          <w:szCs w:val="28"/>
        </w:rPr>
        <w:t>, kas tiek izņemts</w:t>
      </w:r>
      <w:r w:rsidRPr="00D12ED9">
        <w:rPr>
          <w:sz w:val="28"/>
          <w:szCs w:val="28"/>
        </w:rPr>
        <w:t xml:space="preserve"> no flotes, var saņemt kompensāciju. Pasākumā </w:t>
      </w:r>
      <w:r>
        <w:rPr>
          <w:sz w:val="28"/>
          <w:szCs w:val="28"/>
        </w:rPr>
        <w:t xml:space="preserve">ir </w:t>
      </w:r>
      <w:r w:rsidRPr="00D12ED9">
        <w:rPr>
          <w:sz w:val="28"/>
          <w:szCs w:val="28"/>
        </w:rPr>
        <w:t>apstiprināt</w:t>
      </w:r>
      <w:r>
        <w:rPr>
          <w:sz w:val="28"/>
          <w:szCs w:val="28"/>
        </w:rPr>
        <w:t>i</w:t>
      </w:r>
      <w:r w:rsidRPr="00D12ED9">
        <w:rPr>
          <w:sz w:val="28"/>
          <w:szCs w:val="28"/>
        </w:rPr>
        <w:t xml:space="preserve"> un atbalsta saņēmējiem izmaksāt</w:t>
      </w:r>
      <w:r>
        <w:rPr>
          <w:sz w:val="28"/>
          <w:szCs w:val="28"/>
        </w:rPr>
        <w:t>i</w:t>
      </w:r>
      <w:r w:rsidRPr="00D12ED9">
        <w:rPr>
          <w:sz w:val="28"/>
          <w:szCs w:val="28"/>
        </w:rPr>
        <w:t xml:space="preserve"> 2</w:t>
      </w:r>
      <w:r>
        <w:rPr>
          <w:sz w:val="28"/>
          <w:szCs w:val="28"/>
        </w:rPr>
        <w:t>,99</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xml:space="preserve">. </w:t>
        </w:r>
        <w:r>
          <w:rPr>
            <w:sz w:val="28"/>
            <w:szCs w:val="28"/>
          </w:rPr>
          <w:t>latu</w:t>
        </w:r>
      </w:smartTag>
      <w:r w:rsidRPr="00D12ED9">
        <w:rPr>
          <w:sz w:val="28"/>
          <w:szCs w:val="28"/>
        </w:rPr>
        <w:t xml:space="preserve"> jeb </w:t>
      </w:r>
      <w:r>
        <w:rPr>
          <w:sz w:val="28"/>
          <w:szCs w:val="28"/>
        </w:rPr>
        <w:t>82</w:t>
      </w:r>
      <w:r w:rsidRPr="00D12ED9">
        <w:rPr>
          <w:sz w:val="28"/>
          <w:szCs w:val="28"/>
        </w:rPr>
        <w:t>% no pasākumā pieejamā publiskā finansējuma</w:t>
      </w:r>
      <w:r>
        <w:rPr>
          <w:sz w:val="28"/>
          <w:szCs w:val="28"/>
        </w:rPr>
        <w:t xml:space="preserve"> un</w:t>
      </w:r>
      <w:r w:rsidRPr="00D12ED9">
        <w:rPr>
          <w:sz w:val="28"/>
          <w:szCs w:val="28"/>
        </w:rPr>
        <w:t xml:space="preserve"> atbalstu saņēmuši </w:t>
      </w:r>
      <w:r>
        <w:rPr>
          <w:sz w:val="28"/>
          <w:szCs w:val="28"/>
        </w:rPr>
        <w:t>336</w:t>
      </w:r>
      <w:r w:rsidRPr="00D12ED9">
        <w:rPr>
          <w:sz w:val="28"/>
          <w:szCs w:val="28"/>
        </w:rPr>
        <w:t xml:space="preserve"> zvejnieki.</w:t>
      </w:r>
    </w:p>
    <w:p w:rsidR="00C57F89" w:rsidRPr="00D12ED9" w:rsidRDefault="00C57F89" w:rsidP="00445014">
      <w:pPr>
        <w:ind w:firstLine="720"/>
        <w:rPr>
          <w:sz w:val="28"/>
          <w:szCs w:val="28"/>
        </w:rPr>
      </w:pPr>
    </w:p>
    <w:p w:rsidR="00C57F89" w:rsidRPr="00D12ED9" w:rsidRDefault="00C57F89" w:rsidP="00445014">
      <w:pPr>
        <w:ind w:firstLine="720"/>
        <w:jc w:val="both"/>
        <w:rPr>
          <w:b/>
          <w:sz w:val="28"/>
          <w:szCs w:val="28"/>
        </w:rPr>
      </w:pPr>
      <w:r w:rsidRPr="00D12ED9">
        <w:rPr>
          <w:b/>
          <w:i/>
          <w:sz w:val="28"/>
          <w:szCs w:val="28"/>
        </w:rPr>
        <w:t>2.prioritārais virziens „Akvakultūra, zveja iekšējos ūdeņos, zivsaimniecības un akvakultūras produktu apstrāde un mārketings</w:t>
      </w:r>
      <w:r w:rsidRPr="00D12ED9">
        <w:rPr>
          <w:b/>
          <w:sz w:val="28"/>
          <w:szCs w:val="28"/>
        </w:rPr>
        <w:t>”</w:t>
      </w:r>
      <w:r w:rsidRPr="00D12ED9">
        <w:rPr>
          <w:sz w:val="28"/>
          <w:szCs w:val="28"/>
        </w:rPr>
        <w:t>.</w:t>
      </w:r>
      <w:r w:rsidRPr="00D12ED9">
        <w:rPr>
          <w:b/>
          <w:sz w:val="28"/>
          <w:szCs w:val="28"/>
        </w:rPr>
        <w:t xml:space="preserve"> </w:t>
      </w:r>
      <w:r>
        <w:rPr>
          <w:sz w:val="28"/>
          <w:szCs w:val="28"/>
        </w:rPr>
        <w:t>40% no</w:t>
      </w:r>
      <w:r w:rsidRPr="00D12ED9">
        <w:rPr>
          <w:sz w:val="28"/>
          <w:szCs w:val="28"/>
        </w:rPr>
        <w:t xml:space="preserve"> </w:t>
      </w:r>
      <w:r>
        <w:rPr>
          <w:sz w:val="28"/>
          <w:szCs w:val="28"/>
        </w:rPr>
        <w:t>RP</w:t>
      </w:r>
      <w:r w:rsidRPr="00D12ED9">
        <w:rPr>
          <w:sz w:val="28"/>
          <w:szCs w:val="28"/>
        </w:rPr>
        <w:t xml:space="preserve"> apstiprinātā publiskā finansējuma paredzēt</w:t>
      </w:r>
      <w:r w:rsidR="00CB2527">
        <w:rPr>
          <w:sz w:val="28"/>
          <w:szCs w:val="28"/>
        </w:rPr>
        <w:t>i</w:t>
      </w:r>
      <w:r w:rsidRPr="00D12ED9">
        <w:rPr>
          <w:sz w:val="28"/>
          <w:szCs w:val="28"/>
        </w:rPr>
        <w:t xml:space="preserve"> akvakultūras, iekšējo ūdeņu zvejas un zivju produktu apstrādes sektora atbalstam</w:t>
      </w:r>
      <w:r>
        <w:rPr>
          <w:sz w:val="28"/>
          <w:szCs w:val="28"/>
        </w:rPr>
        <w:t>;</w:t>
      </w:r>
      <w:r w:rsidRPr="00D12ED9">
        <w:rPr>
          <w:sz w:val="28"/>
          <w:szCs w:val="28"/>
        </w:rPr>
        <w:t xml:space="preserve"> </w:t>
      </w:r>
      <w:r>
        <w:rPr>
          <w:sz w:val="28"/>
          <w:szCs w:val="28"/>
        </w:rPr>
        <w:t>rezervētais publiskais</w:t>
      </w:r>
      <w:r w:rsidRPr="00D12ED9">
        <w:rPr>
          <w:sz w:val="28"/>
          <w:szCs w:val="28"/>
        </w:rPr>
        <w:t xml:space="preserve"> finansējums ir </w:t>
      </w:r>
      <w:r>
        <w:rPr>
          <w:sz w:val="28"/>
          <w:szCs w:val="28"/>
        </w:rPr>
        <w:t>45,7</w:t>
      </w:r>
      <w:r w:rsidRPr="00D12ED9">
        <w:rPr>
          <w:sz w:val="28"/>
          <w:szCs w:val="28"/>
        </w:rPr>
        <w:t xml:space="preserve"> milj. Ls</w:t>
      </w:r>
      <w:r>
        <w:rPr>
          <w:sz w:val="28"/>
          <w:szCs w:val="28"/>
        </w:rPr>
        <w:t xml:space="preserve"> jeb 99</w:t>
      </w:r>
      <w:r w:rsidRPr="00D12ED9">
        <w:rPr>
          <w:sz w:val="28"/>
          <w:szCs w:val="28"/>
        </w:rPr>
        <w:t xml:space="preserve">% no </w:t>
      </w:r>
      <w:r>
        <w:rPr>
          <w:sz w:val="28"/>
          <w:szCs w:val="28"/>
        </w:rPr>
        <w:t>kopējā</w:t>
      </w:r>
      <w:r w:rsidRPr="00D12ED9">
        <w:rPr>
          <w:sz w:val="28"/>
          <w:szCs w:val="28"/>
        </w:rPr>
        <w:t xml:space="preserve"> </w:t>
      </w:r>
      <w:r>
        <w:rPr>
          <w:sz w:val="28"/>
          <w:szCs w:val="28"/>
        </w:rPr>
        <w:t>apstiprinātā publiskā</w:t>
      </w:r>
      <w:r w:rsidRPr="00D12ED9">
        <w:rPr>
          <w:sz w:val="28"/>
          <w:szCs w:val="28"/>
        </w:rPr>
        <w:t xml:space="preserve"> finansējuma.</w:t>
      </w:r>
    </w:p>
    <w:p w:rsidR="00C57F89" w:rsidRPr="00D12ED9" w:rsidRDefault="00C57F89" w:rsidP="00445014">
      <w:pPr>
        <w:ind w:firstLine="720"/>
        <w:jc w:val="both"/>
        <w:rPr>
          <w:sz w:val="28"/>
          <w:szCs w:val="28"/>
        </w:rPr>
      </w:pPr>
      <w:r w:rsidRPr="00E060D5">
        <w:rPr>
          <w:sz w:val="28"/>
          <w:szCs w:val="28"/>
        </w:rPr>
        <w:t xml:space="preserve">Pasākumā </w:t>
      </w:r>
      <w:r>
        <w:rPr>
          <w:b/>
          <w:sz w:val="28"/>
          <w:szCs w:val="28"/>
          <w:u w:val="single"/>
        </w:rPr>
        <w:t>2.1. „Investīcijas akvakultūras uzņēmumos</w:t>
      </w:r>
      <w:r>
        <w:rPr>
          <w:sz w:val="28"/>
          <w:szCs w:val="28"/>
        </w:rPr>
        <w:t xml:space="preserve">” rezervētais finansējums ir </w:t>
      </w:r>
      <w:r w:rsidRPr="00D12ED9">
        <w:rPr>
          <w:sz w:val="28"/>
          <w:szCs w:val="28"/>
        </w:rPr>
        <w:t>1</w:t>
      </w:r>
      <w:r>
        <w:rPr>
          <w:sz w:val="28"/>
          <w:szCs w:val="28"/>
        </w:rPr>
        <w:t>8</w:t>
      </w:r>
      <w:r w:rsidRPr="00D12ED9">
        <w:rPr>
          <w:sz w:val="28"/>
          <w:szCs w:val="28"/>
        </w:rPr>
        <w:t xml:space="preserve"> milj</w:t>
      </w:r>
      <w:smartTag w:uri="schemas-tilde-lv/tildestengine" w:element="currency2">
        <w:smartTagPr>
          <w:attr w:name="currency_id" w:val="48"/>
          <w:attr w:name="currency_key" w:val="LVL"/>
          <w:attr w:name="currency_value" w:val="."/>
          <w:attr w:name="currency_text" w:val="latu"/>
        </w:smartTagPr>
        <w:r w:rsidRPr="00D12ED9">
          <w:rPr>
            <w:sz w:val="28"/>
            <w:szCs w:val="28"/>
          </w:rPr>
          <w:t xml:space="preserve">. </w:t>
        </w:r>
        <w:r>
          <w:rPr>
            <w:sz w:val="28"/>
            <w:szCs w:val="28"/>
          </w:rPr>
          <w:t>latu</w:t>
        </w:r>
      </w:smartTag>
      <w:r w:rsidRPr="00D12ED9">
        <w:rPr>
          <w:sz w:val="28"/>
          <w:szCs w:val="28"/>
        </w:rPr>
        <w:t xml:space="preserve"> jeb </w:t>
      </w:r>
      <w:r>
        <w:rPr>
          <w:sz w:val="28"/>
          <w:szCs w:val="28"/>
        </w:rPr>
        <w:t>94</w:t>
      </w:r>
      <w:r w:rsidRPr="00D12ED9">
        <w:rPr>
          <w:sz w:val="28"/>
          <w:szCs w:val="28"/>
        </w:rPr>
        <w:t xml:space="preserve">% apmērā no pasākumam pieejamā publiskā finansējuma. </w:t>
      </w:r>
      <w:r>
        <w:rPr>
          <w:sz w:val="28"/>
          <w:szCs w:val="28"/>
        </w:rPr>
        <w:t>Tā kā</w:t>
      </w:r>
      <w:r w:rsidRPr="00D12ED9">
        <w:rPr>
          <w:sz w:val="28"/>
          <w:szCs w:val="28"/>
        </w:rPr>
        <w:t xml:space="preserve"> lielākā daļa projektu </w:t>
      </w:r>
      <w:r>
        <w:rPr>
          <w:sz w:val="28"/>
          <w:szCs w:val="28"/>
        </w:rPr>
        <w:t xml:space="preserve">ir </w:t>
      </w:r>
      <w:r w:rsidRPr="00D12ED9">
        <w:rPr>
          <w:sz w:val="28"/>
          <w:szCs w:val="28"/>
        </w:rPr>
        <w:t xml:space="preserve">saistīti ar būvniecību, projektu ieviešana ir laikietilpīga, </w:t>
      </w:r>
      <w:r>
        <w:rPr>
          <w:sz w:val="28"/>
          <w:szCs w:val="28"/>
        </w:rPr>
        <w:t>tāpēc</w:t>
      </w:r>
      <w:r w:rsidRPr="00D12ED9">
        <w:rPr>
          <w:sz w:val="28"/>
          <w:szCs w:val="28"/>
        </w:rPr>
        <w:t xml:space="preserve"> pasākumā izmaksāti </w:t>
      </w:r>
      <w:r>
        <w:rPr>
          <w:sz w:val="28"/>
          <w:szCs w:val="28"/>
        </w:rPr>
        <w:t>4</w:t>
      </w:r>
      <w:r w:rsidRPr="00D12ED9">
        <w:rPr>
          <w:sz w:val="28"/>
          <w:szCs w:val="28"/>
        </w:rPr>
        <w:t>,</w:t>
      </w:r>
      <w:r>
        <w:rPr>
          <w:sz w:val="28"/>
          <w:szCs w:val="28"/>
        </w:rPr>
        <w:t>1</w:t>
      </w:r>
      <w:r w:rsidRPr="00D12ED9">
        <w:rPr>
          <w:sz w:val="28"/>
          <w:szCs w:val="28"/>
        </w:rPr>
        <w:t xml:space="preserve"> milj. Ls un pilnībā vai daļēji apmaksāti </w:t>
      </w:r>
      <w:r>
        <w:rPr>
          <w:sz w:val="28"/>
          <w:szCs w:val="28"/>
        </w:rPr>
        <w:t>55 projekti.</w:t>
      </w:r>
      <w:r w:rsidRPr="00D12ED9">
        <w:rPr>
          <w:sz w:val="28"/>
          <w:szCs w:val="28"/>
        </w:rPr>
        <w:t xml:space="preserve"> </w:t>
      </w:r>
      <w:r w:rsidRPr="005A4D3A">
        <w:rPr>
          <w:sz w:val="28"/>
          <w:szCs w:val="28"/>
        </w:rPr>
        <w:t xml:space="preserve">Interese par pasākumu ir </w:t>
      </w:r>
      <w:r>
        <w:rPr>
          <w:sz w:val="28"/>
          <w:szCs w:val="28"/>
        </w:rPr>
        <w:t>liela</w:t>
      </w:r>
      <w:r w:rsidRPr="005A4D3A">
        <w:rPr>
          <w:sz w:val="28"/>
          <w:szCs w:val="28"/>
        </w:rPr>
        <w:t>, jo katrā projektu iesniegumu iesniegšanas kārtā projektu iesniegumi iesniegti par lielāku finansējumu</w:t>
      </w:r>
      <w:r>
        <w:rPr>
          <w:sz w:val="28"/>
          <w:szCs w:val="28"/>
        </w:rPr>
        <w:t>, ne</w:t>
      </w:r>
      <w:r w:rsidRPr="005A4D3A">
        <w:rPr>
          <w:sz w:val="28"/>
          <w:szCs w:val="28"/>
        </w:rPr>
        <w:t>kā izsludināts.</w:t>
      </w:r>
      <w:r>
        <w:rPr>
          <w:sz w:val="28"/>
          <w:szCs w:val="28"/>
        </w:rPr>
        <w:t xml:space="preserve"> </w:t>
      </w:r>
      <w:r w:rsidRPr="00CA65B9">
        <w:rPr>
          <w:sz w:val="28"/>
          <w:szCs w:val="28"/>
          <w:lang w:eastAsia="en-US"/>
        </w:rPr>
        <w:t xml:space="preserve">Vienlaikus pasākumā vērojams augsts pārtraukto saistību īpatsvars projektos, par kuriem vēl nav veikti maksājumi. Galvenais </w:t>
      </w:r>
      <w:r w:rsidRPr="00CA65B9">
        <w:rPr>
          <w:sz w:val="28"/>
          <w:szCs w:val="28"/>
          <w:lang w:eastAsia="en-US"/>
        </w:rPr>
        <w:lastRenderedPageBreak/>
        <w:t xml:space="preserve">saistību pārtraukšanas iemesls pasākumā ir atbalsta pretendentu nespēja projekta īstenošanai piesaistīt finansējumu. </w:t>
      </w:r>
      <w:r>
        <w:rPr>
          <w:sz w:val="28"/>
          <w:szCs w:val="28"/>
          <w:lang w:eastAsia="en-US"/>
        </w:rPr>
        <w:t>Tā kā</w:t>
      </w:r>
      <w:r w:rsidRPr="00CA65B9">
        <w:rPr>
          <w:sz w:val="28"/>
          <w:szCs w:val="28"/>
          <w:lang w:eastAsia="en-US"/>
        </w:rPr>
        <w:t xml:space="preserve"> akvakultūras sektors Eiropas Savienībā </w:t>
      </w:r>
      <w:r>
        <w:rPr>
          <w:sz w:val="28"/>
          <w:szCs w:val="28"/>
          <w:lang w:eastAsia="en-US"/>
        </w:rPr>
        <w:t>patlaban</w:t>
      </w:r>
      <w:r w:rsidRPr="00CA65B9">
        <w:rPr>
          <w:sz w:val="28"/>
          <w:szCs w:val="28"/>
          <w:lang w:eastAsia="en-US"/>
        </w:rPr>
        <w:t xml:space="preserve"> strauji attīstās</w:t>
      </w:r>
      <w:r>
        <w:rPr>
          <w:sz w:val="28"/>
          <w:szCs w:val="28"/>
          <w:lang w:eastAsia="en-US"/>
        </w:rPr>
        <w:t>,</w:t>
      </w:r>
      <w:r w:rsidRPr="00CA65B9">
        <w:rPr>
          <w:sz w:val="28"/>
          <w:szCs w:val="28"/>
          <w:lang w:eastAsia="en-US"/>
        </w:rPr>
        <w:t xml:space="preserve"> izmantojot arī publiskā līdzfinansējuma iespējas, arī Latvijas uzņēmēji vēlas attīstīt konkurētspēju šajā zivsaimniecības sektorā. Finanšu ietilpīgākie projekti tiek plānoti un īstenoti, attīstot slēgta tipa akvakultūras uzņēmumus, kuros akvakultūras dzīvnieki tiek audzēti </w:t>
      </w:r>
      <w:proofErr w:type="spellStart"/>
      <w:r w:rsidRPr="00CA65B9">
        <w:rPr>
          <w:sz w:val="28"/>
          <w:szCs w:val="28"/>
          <w:lang w:eastAsia="en-US"/>
        </w:rPr>
        <w:t>recirkulācijas</w:t>
      </w:r>
      <w:proofErr w:type="spellEnd"/>
      <w:r w:rsidRPr="00CA65B9">
        <w:rPr>
          <w:sz w:val="28"/>
          <w:szCs w:val="28"/>
          <w:lang w:eastAsia="en-US"/>
        </w:rPr>
        <w:t xml:space="preserve"> sistēmās, tajā skaitā izmantojot inovatīvas metodes. </w:t>
      </w:r>
    </w:p>
    <w:p w:rsidR="00C57F89" w:rsidRPr="00D12ED9" w:rsidRDefault="00C57F89" w:rsidP="00445014">
      <w:pPr>
        <w:autoSpaceDE w:val="0"/>
        <w:autoSpaceDN w:val="0"/>
        <w:adjustRightInd w:val="0"/>
        <w:ind w:firstLine="720"/>
        <w:jc w:val="both"/>
        <w:rPr>
          <w:sz w:val="28"/>
          <w:szCs w:val="28"/>
        </w:rPr>
      </w:pPr>
      <w:r w:rsidRPr="00D12ED9">
        <w:rPr>
          <w:sz w:val="28"/>
          <w:szCs w:val="28"/>
        </w:rPr>
        <w:t xml:space="preserve">Turpinās pasākuma </w:t>
      </w:r>
      <w:r w:rsidRPr="00B65FB0">
        <w:rPr>
          <w:b/>
          <w:sz w:val="28"/>
          <w:szCs w:val="28"/>
          <w:u w:val="single"/>
        </w:rPr>
        <w:t>2.2.</w:t>
      </w:r>
      <w:r>
        <w:rPr>
          <w:b/>
          <w:sz w:val="28"/>
          <w:szCs w:val="28"/>
          <w:u w:val="single"/>
        </w:rPr>
        <w:t xml:space="preserve"> </w:t>
      </w:r>
      <w:r w:rsidRPr="00B65FB0">
        <w:rPr>
          <w:b/>
          <w:sz w:val="28"/>
          <w:szCs w:val="28"/>
          <w:u w:val="single"/>
        </w:rPr>
        <w:t>„Ūdens</w:t>
      </w:r>
      <w:r w:rsidRPr="00D12ED9">
        <w:rPr>
          <w:b/>
          <w:sz w:val="28"/>
          <w:szCs w:val="28"/>
          <w:u w:val="single"/>
        </w:rPr>
        <w:t xml:space="preserve"> vides pasākumi”</w:t>
      </w:r>
      <w:r w:rsidRPr="00D12ED9">
        <w:rPr>
          <w:sz w:val="28"/>
          <w:szCs w:val="28"/>
        </w:rPr>
        <w:t xml:space="preserve"> ieviešana, kur</w:t>
      </w:r>
      <w:r>
        <w:rPr>
          <w:sz w:val="28"/>
          <w:szCs w:val="28"/>
        </w:rPr>
        <w:t>ā</w:t>
      </w:r>
      <w:r w:rsidRPr="00D12ED9">
        <w:rPr>
          <w:sz w:val="28"/>
          <w:szCs w:val="28"/>
        </w:rPr>
        <w:t xml:space="preserve"> atbalsts kompensējoša maksājuma veidā tiek piešķirts akvakultūras uzņēmumiem </w:t>
      </w:r>
      <w:r>
        <w:rPr>
          <w:sz w:val="28"/>
          <w:szCs w:val="28"/>
        </w:rPr>
        <w:t>–</w:t>
      </w:r>
      <w:r w:rsidRPr="00D12ED9">
        <w:rPr>
          <w:sz w:val="28"/>
          <w:szCs w:val="28"/>
        </w:rPr>
        <w:t xml:space="preserve"> dīķsaimniecībām, kas pārdošanai saražo </w:t>
      </w:r>
      <w:r>
        <w:rPr>
          <w:sz w:val="28"/>
          <w:szCs w:val="28"/>
        </w:rPr>
        <w:t>noteiktu</w:t>
      </w:r>
      <w:r w:rsidRPr="00D12ED9">
        <w:rPr>
          <w:sz w:val="28"/>
          <w:szCs w:val="28"/>
        </w:rPr>
        <w:t xml:space="preserve"> produkcijas apjomu un ir uzņēmuš</w:t>
      </w:r>
      <w:r>
        <w:rPr>
          <w:sz w:val="28"/>
          <w:szCs w:val="28"/>
        </w:rPr>
        <w:t>ā</w:t>
      </w:r>
      <w:r w:rsidRPr="00D12ED9">
        <w:rPr>
          <w:sz w:val="28"/>
          <w:szCs w:val="28"/>
        </w:rPr>
        <w:t>s saistības to darīt ar videi draudzīgām metodēm vismaz piecus gadus. Saistības šajā pasākumā uzņēmušies 34 akvakultūras nozares uzņēmumi. Pasākumā viss pieejamais finansējums ir rezervēts.</w:t>
      </w:r>
    </w:p>
    <w:p w:rsidR="00C57F89" w:rsidRPr="00D12ED9" w:rsidRDefault="00C57F89" w:rsidP="00445014">
      <w:pPr>
        <w:autoSpaceDE w:val="0"/>
        <w:autoSpaceDN w:val="0"/>
        <w:adjustRightInd w:val="0"/>
        <w:ind w:firstLine="720"/>
        <w:jc w:val="both"/>
        <w:rPr>
          <w:sz w:val="28"/>
          <w:szCs w:val="28"/>
        </w:rPr>
      </w:pPr>
      <w:r w:rsidRPr="00D12ED9">
        <w:rPr>
          <w:sz w:val="28"/>
          <w:szCs w:val="28"/>
        </w:rPr>
        <w:t xml:space="preserve">Pasākumā </w:t>
      </w:r>
      <w:r w:rsidRPr="00AE38AA">
        <w:rPr>
          <w:b/>
          <w:sz w:val="28"/>
          <w:szCs w:val="28"/>
        </w:rPr>
        <w:t>2.3.</w:t>
      </w:r>
      <w:r>
        <w:rPr>
          <w:b/>
          <w:sz w:val="28"/>
          <w:szCs w:val="28"/>
        </w:rPr>
        <w:t xml:space="preserve"> </w:t>
      </w:r>
      <w:r w:rsidRPr="00AE38AA">
        <w:rPr>
          <w:b/>
          <w:sz w:val="28"/>
          <w:szCs w:val="28"/>
        </w:rPr>
        <w:t>„</w:t>
      </w:r>
      <w:r w:rsidRPr="00D12ED9">
        <w:rPr>
          <w:b/>
          <w:sz w:val="28"/>
          <w:szCs w:val="28"/>
          <w:u w:val="single"/>
        </w:rPr>
        <w:t>Akvakultūras dzīvnieku slimību ierobežošana”</w:t>
      </w:r>
      <w:r w:rsidRPr="00D12ED9">
        <w:rPr>
          <w:sz w:val="28"/>
          <w:szCs w:val="28"/>
        </w:rPr>
        <w:t xml:space="preserve"> paredzēts kompensējošs maksājums akvakultūras nozares uzņēmumiem valsts uzraudzībā esošas akvakultūras dzīvnieku neeksotiskas infekcijas slimības gadījumā. Līdz šim </w:t>
      </w:r>
      <w:r>
        <w:rPr>
          <w:sz w:val="28"/>
          <w:szCs w:val="28"/>
        </w:rPr>
        <w:t>tādu gadījumu nav bijis</w:t>
      </w:r>
      <w:r w:rsidRPr="00D12ED9">
        <w:rPr>
          <w:sz w:val="28"/>
          <w:szCs w:val="28"/>
        </w:rPr>
        <w:t xml:space="preserve">, </w:t>
      </w:r>
      <w:r>
        <w:rPr>
          <w:sz w:val="28"/>
          <w:szCs w:val="28"/>
        </w:rPr>
        <w:t>tāpēc</w:t>
      </w:r>
      <w:r w:rsidRPr="00D12ED9">
        <w:rPr>
          <w:sz w:val="28"/>
          <w:szCs w:val="28"/>
        </w:rPr>
        <w:t xml:space="preserve"> pieejamais finansējums nav izmantots.</w:t>
      </w:r>
      <w:r>
        <w:rPr>
          <w:sz w:val="28"/>
          <w:szCs w:val="28"/>
        </w:rPr>
        <w:t xml:space="preserve"> Pasākumā pieejamo publisko finansējumu 1,26 milj</w:t>
      </w:r>
      <w:smartTag w:uri="schemas-tilde-lv/tildestengine" w:element="currency2">
        <w:smartTagPr>
          <w:attr w:name="currency_id" w:val="48"/>
          <w:attr w:name="currency_key" w:val="LVL"/>
          <w:attr w:name="currency_value" w:val="."/>
          <w:attr w:name="currency_text" w:val="latu"/>
        </w:smartTagPr>
        <w:r>
          <w:rPr>
            <w:sz w:val="28"/>
            <w:szCs w:val="28"/>
          </w:rPr>
          <w:t>. latu</w:t>
        </w:r>
      </w:smartTag>
      <w:r>
        <w:rPr>
          <w:sz w:val="28"/>
          <w:szCs w:val="28"/>
        </w:rPr>
        <w:t xml:space="preserve"> apmērā plānots izmantot pasākumā </w:t>
      </w:r>
      <w:r w:rsidRPr="00E95016">
        <w:rPr>
          <w:sz w:val="28"/>
          <w:szCs w:val="28"/>
        </w:rPr>
        <w:t>2.1.</w:t>
      </w:r>
      <w:r>
        <w:rPr>
          <w:sz w:val="28"/>
          <w:szCs w:val="28"/>
        </w:rPr>
        <w:t xml:space="preserve"> </w:t>
      </w:r>
      <w:r w:rsidRPr="00E95016">
        <w:rPr>
          <w:sz w:val="28"/>
          <w:szCs w:val="28"/>
        </w:rPr>
        <w:t>„Investīcijas akvakultūras uzņēmumos”</w:t>
      </w:r>
      <w:r>
        <w:rPr>
          <w:sz w:val="28"/>
          <w:szCs w:val="28"/>
        </w:rPr>
        <w:t>.</w:t>
      </w:r>
      <w:r w:rsidRPr="00E95016">
        <w:rPr>
          <w:sz w:val="28"/>
          <w:szCs w:val="28"/>
        </w:rPr>
        <w:t xml:space="preserve">  </w:t>
      </w:r>
    </w:p>
    <w:p w:rsidR="00C57F89" w:rsidRDefault="00C57F89" w:rsidP="00445014">
      <w:pPr>
        <w:autoSpaceDE w:val="0"/>
        <w:autoSpaceDN w:val="0"/>
        <w:adjustRightInd w:val="0"/>
        <w:ind w:firstLine="720"/>
        <w:jc w:val="both"/>
        <w:rPr>
          <w:sz w:val="28"/>
          <w:szCs w:val="28"/>
        </w:rPr>
      </w:pPr>
    </w:p>
    <w:p w:rsidR="00C57F89" w:rsidRDefault="00C57F89" w:rsidP="00445014">
      <w:pPr>
        <w:autoSpaceDE w:val="0"/>
        <w:autoSpaceDN w:val="0"/>
        <w:adjustRightInd w:val="0"/>
        <w:ind w:firstLine="720"/>
        <w:jc w:val="both"/>
        <w:rPr>
          <w:sz w:val="28"/>
          <w:szCs w:val="28"/>
        </w:rPr>
      </w:pPr>
      <w:r>
        <w:rPr>
          <w:sz w:val="28"/>
          <w:szCs w:val="28"/>
        </w:rPr>
        <w:t>P</w:t>
      </w:r>
      <w:r w:rsidRPr="00D12ED9">
        <w:rPr>
          <w:sz w:val="28"/>
          <w:szCs w:val="28"/>
        </w:rPr>
        <w:t xml:space="preserve">asākumā </w:t>
      </w:r>
      <w:r w:rsidRPr="00B65FB0">
        <w:rPr>
          <w:b/>
          <w:sz w:val="28"/>
          <w:szCs w:val="28"/>
          <w:u w:val="single"/>
        </w:rPr>
        <w:t>2.4.„Zveja</w:t>
      </w:r>
      <w:r w:rsidRPr="00D12ED9">
        <w:rPr>
          <w:b/>
          <w:sz w:val="28"/>
          <w:szCs w:val="28"/>
          <w:u w:val="single"/>
        </w:rPr>
        <w:t xml:space="preserve"> iekšējos ūdeņos</w:t>
      </w:r>
      <w:r w:rsidRPr="00D12ED9">
        <w:rPr>
          <w:sz w:val="28"/>
          <w:szCs w:val="28"/>
        </w:rPr>
        <w:t>”, kurā atbalstu var saņemt investīcijām rūpniecisk</w:t>
      </w:r>
      <w:r>
        <w:rPr>
          <w:sz w:val="28"/>
          <w:szCs w:val="28"/>
        </w:rPr>
        <w:t>ajai</w:t>
      </w:r>
      <w:r w:rsidRPr="00D12ED9">
        <w:rPr>
          <w:sz w:val="28"/>
          <w:szCs w:val="28"/>
        </w:rPr>
        <w:t xml:space="preserve"> zvejai iekšējos ūdeņos</w:t>
      </w:r>
      <w:r>
        <w:rPr>
          <w:sz w:val="28"/>
          <w:szCs w:val="28"/>
        </w:rPr>
        <w:t>,</w:t>
      </w:r>
      <w:r w:rsidRPr="00D12ED9">
        <w:rPr>
          <w:sz w:val="28"/>
          <w:szCs w:val="28"/>
        </w:rPr>
        <w:t xml:space="preserve"> pieeja</w:t>
      </w:r>
      <w:r>
        <w:rPr>
          <w:sz w:val="28"/>
          <w:szCs w:val="28"/>
        </w:rPr>
        <w:t>mais publiskais finansējums ir 257</w:t>
      </w:r>
      <w:r w:rsidRPr="00D12ED9">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no kuriem </w:t>
      </w:r>
      <w:r>
        <w:rPr>
          <w:sz w:val="28"/>
          <w:szCs w:val="28"/>
        </w:rPr>
        <w:t>108</w:t>
      </w:r>
      <w:r w:rsidRPr="00D12ED9">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Pr="00D12ED9">
          <w:rPr>
            <w:sz w:val="28"/>
            <w:szCs w:val="28"/>
          </w:rPr>
          <w:t>. latu</w:t>
        </w:r>
      </w:smartTag>
      <w:r w:rsidRPr="00D12ED9">
        <w:rPr>
          <w:sz w:val="28"/>
          <w:szCs w:val="28"/>
        </w:rPr>
        <w:t xml:space="preserve"> (</w:t>
      </w:r>
      <w:r>
        <w:rPr>
          <w:sz w:val="28"/>
          <w:szCs w:val="28"/>
        </w:rPr>
        <w:t>42</w:t>
      </w:r>
      <w:r w:rsidRPr="00D12ED9">
        <w:rPr>
          <w:sz w:val="28"/>
          <w:szCs w:val="28"/>
        </w:rPr>
        <w:t xml:space="preserve"> %) ir </w:t>
      </w:r>
      <w:r>
        <w:rPr>
          <w:sz w:val="28"/>
          <w:szCs w:val="28"/>
        </w:rPr>
        <w:t>rezervēti</w:t>
      </w:r>
      <w:r w:rsidRPr="00D12ED9">
        <w:rPr>
          <w:sz w:val="28"/>
          <w:szCs w:val="28"/>
        </w:rPr>
        <w:t xml:space="preserve"> </w:t>
      </w:r>
      <w:r>
        <w:rPr>
          <w:sz w:val="28"/>
          <w:szCs w:val="28"/>
        </w:rPr>
        <w:t>projektu īstenošanai</w:t>
      </w:r>
      <w:r w:rsidRPr="00D12ED9">
        <w:rPr>
          <w:sz w:val="28"/>
          <w:szCs w:val="28"/>
        </w:rPr>
        <w:t>. Viena no galvenajām problēmām, kas ierobežo atbalsta pretendentu iniciatīvu veikt investīcijas, ir tiesību aktu līmenī vēl joprojām neatrisinātie jautājumi par īpašumtiesībām publiskajās ūdenstilpēs.</w:t>
      </w:r>
    </w:p>
    <w:p w:rsidR="00C57F89" w:rsidRDefault="00C57F89" w:rsidP="00445014">
      <w:pPr>
        <w:autoSpaceDE w:val="0"/>
        <w:autoSpaceDN w:val="0"/>
        <w:adjustRightInd w:val="0"/>
        <w:ind w:firstLine="720"/>
        <w:jc w:val="both"/>
        <w:rPr>
          <w:sz w:val="28"/>
          <w:szCs w:val="28"/>
        </w:rPr>
      </w:pPr>
      <w:r w:rsidRPr="00D12ED9">
        <w:rPr>
          <w:sz w:val="28"/>
          <w:szCs w:val="28"/>
        </w:rPr>
        <w:t xml:space="preserve"> </w:t>
      </w:r>
    </w:p>
    <w:p w:rsidR="00C57F89" w:rsidRDefault="00C57F89" w:rsidP="00445014">
      <w:pPr>
        <w:autoSpaceDE w:val="0"/>
        <w:autoSpaceDN w:val="0"/>
        <w:adjustRightInd w:val="0"/>
        <w:ind w:firstLine="720"/>
        <w:jc w:val="both"/>
        <w:rPr>
          <w:sz w:val="28"/>
          <w:szCs w:val="28"/>
        </w:rPr>
      </w:pPr>
      <w:r w:rsidRPr="00D12ED9">
        <w:rPr>
          <w:sz w:val="28"/>
          <w:szCs w:val="28"/>
        </w:rPr>
        <w:t xml:space="preserve">Pasākumā </w:t>
      </w:r>
      <w:r w:rsidRPr="00F616A0">
        <w:rPr>
          <w:b/>
          <w:sz w:val="28"/>
          <w:szCs w:val="28"/>
          <w:u w:val="single"/>
        </w:rPr>
        <w:t>2.5.</w:t>
      </w:r>
      <w:r>
        <w:rPr>
          <w:b/>
          <w:sz w:val="28"/>
          <w:szCs w:val="28"/>
          <w:u w:val="single"/>
        </w:rPr>
        <w:t xml:space="preserve"> </w:t>
      </w:r>
      <w:r w:rsidRPr="00F616A0">
        <w:rPr>
          <w:b/>
          <w:sz w:val="28"/>
          <w:szCs w:val="28"/>
          <w:u w:val="single"/>
        </w:rPr>
        <w:t>„Zvejas</w:t>
      </w:r>
      <w:r w:rsidRPr="00D12ED9">
        <w:rPr>
          <w:b/>
          <w:sz w:val="28"/>
          <w:szCs w:val="28"/>
          <w:u w:val="single"/>
        </w:rPr>
        <w:t xml:space="preserve"> un akvakultūras produktu apstrāde un mārketings</w:t>
      </w:r>
      <w:r w:rsidRPr="00D12ED9">
        <w:rPr>
          <w:sz w:val="28"/>
          <w:szCs w:val="28"/>
          <w:u w:val="single"/>
        </w:rPr>
        <w:t>”</w:t>
      </w:r>
      <w:r w:rsidRPr="00D12ED9">
        <w:rPr>
          <w:sz w:val="28"/>
          <w:szCs w:val="28"/>
        </w:rPr>
        <w:t xml:space="preserve"> atbalsts paredzēts investīcijām zivju apstrādes uzņēmumos. </w:t>
      </w:r>
      <w:r>
        <w:rPr>
          <w:sz w:val="28"/>
          <w:szCs w:val="28"/>
        </w:rPr>
        <w:t>Zivsaimniecības</w:t>
      </w:r>
      <w:r w:rsidRPr="00CA65B9">
        <w:rPr>
          <w:sz w:val="28"/>
          <w:szCs w:val="28"/>
        </w:rPr>
        <w:t xml:space="preserve"> produktu apstrādes sektor</w:t>
      </w:r>
      <w:r>
        <w:rPr>
          <w:sz w:val="28"/>
          <w:szCs w:val="28"/>
        </w:rPr>
        <w:t>a</w:t>
      </w:r>
      <w:r w:rsidRPr="00CA65B9">
        <w:rPr>
          <w:sz w:val="28"/>
          <w:szCs w:val="28"/>
        </w:rPr>
        <w:t xml:space="preserve"> saražotās produkcijas eksporta vērtība gadā sasniedz vidēji 95 milj</w:t>
      </w:r>
      <w:smartTag w:uri="schemas-tilde-lv/tildestengine" w:element="currency2">
        <w:smartTagPr>
          <w:attr w:name="currency_id" w:val="48"/>
          <w:attr w:name="currency_key" w:val="LVL"/>
          <w:attr w:name="currency_value" w:val="."/>
          <w:attr w:name="currency_text" w:val="latu"/>
        </w:smartTagPr>
        <w:r w:rsidRPr="00CA65B9">
          <w:rPr>
            <w:sz w:val="28"/>
            <w:szCs w:val="28"/>
          </w:rPr>
          <w:t xml:space="preserve">. </w:t>
        </w:r>
        <w:r>
          <w:rPr>
            <w:sz w:val="28"/>
            <w:szCs w:val="28"/>
          </w:rPr>
          <w:t>latu</w:t>
        </w:r>
      </w:smartTag>
      <w:r>
        <w:rPr>
          <w:sz w:val="28"/>
          <w:szCs w:val="28"/>
        </w:rPr>
        <w:t>, tādēļ atbalsts šim sektoram vērtējams kā īpaši nozīmīgs</w:t>
      </w:r>
      <w:r w:rsidRPr="00CA65B9">
        <w:rPr>
          <w:sz w:val="28"/>
          <w:szCs w:val="28"/>
        </w:rPr>
        <w:t>.</w:t>
      </w:r>
      <w:r>
        <w:rPr>
          <w:sz w:val="28"/>
          <w:szCs w:val="28"/>
        </w:rPr>
        <w:t xml:space="preserve"> </w:t>
      </w:r>
      <w:r w:rsidRPr="00D12ED9">
        <w:rPr>
          <w:sz w:val="28"/>
          <w:szCs w:val="28"/>
        </w:rPr>
        <w:t xml:space="preserve">Pasākumā </w:t>
      </w:r>
      <w:r>
        <w:rPr>
          <w:sz w:val="28"/>
          <w:szCs w:val="28"/>
        </w:rPr>
        <w:t xml:space="preserve">projektu īstenošanai </w:t>
      </w:r>
      <w:r w:rsidRPr="00D12ED9">
        <w:rPr>
          <w:sz w:val="28"/>
          <w:szCs w:val="28"/>
        </w:rPr>
        <w:t>rezervēts</w:t>
      </w:r>
      <w:r>
        <w:rPr>
          <w:sz w:val="28"/>
          <w:szCs w:val="28"/>
        </w:rPr>
        <w:t xml:space="preserve"> publiskais</w:t>
      </w:r>
      <w:r w:rsidRPr="00D12ED9">
        <w:rPr>
          <w:sz w:val="28"/>
          <w:szCs w:val="28"/>
        </w:rPr>
        <w:t xml:space="preserve"> finansējums </w:t>
      </w:r>
      <w:r>
        <w:rPr>
          <w:sz w:val="28"/>
          <w:szCs w:val="28"/>
        </w:rPr>
        <w:t>21</w:t>
      </w:r>
      <w:r w:rsidRPr="00D12ED9">
        <w:rPr>
          <w:sz w:val="28"/>
          <w:szCs w:val="28"/>
        </w:rPr>
        <w:t xml:space="preserve">,7 milj. Ls jeb </w:t>
      </w:r>
      <w:r>
        <w:rPr>
          <w:sz w:val="28"/>
          <w:szCs w:val="28"/>
        </w:rPr>
        <w:t>10</w:t>
      </w:r>
      <w:r w:rsidRPr="00D12ED9">
        <w:rPr>
          <w:sz w:val="28"/>
          <w:szCs w:val="28"/>
        </w:rPr>
        <w:t xml:space="preserve">0% apmērā no pasākumā pieejamā publiskā finansējuma </w:t>
      </w:r>
      <w:r w:rsidRPr="008A64FF">
        <w:rPr>
          <w:sz w:val="28"/>
          <w:szCs w:val="28"/>
        </w:rPr>
        <w:t>111 projektu īstenošanai</w:t>
      </w:r>
      <w:r w:rsidRPr="00D12ED9">
        <w:rPr>
          <w:sz w:val="28"/>
          <w:szCs w:val="28"/>
        </w:rPr>
        <w:t xml:space="preserve">. Līdz </w:t>
      </w:r>
      <w:r>
        <w:rPr>
          <w:sz w:val="28"/>
          <w:szCs w:val="28"/>
        </w:rPr>
        <w:t>šim pilnībā vai daļēji apmaksāts</w:t>
      </w:r>
      <w:r w:rsidRPr="00D12ED9">
        <w:rPr>
          <w:sz w:val="28"/>
          <w:szCs w:val="28"/>
        </w:rPr>
        <w:t xml:space="preserve"> </w:t>
      </w:r>
      <w:r>
        <w:rPr>
          <w:sz w:val="28"/>
          <w:szCs w:val="28"/>
        </w:rPr>
        <w:t>41 projekts</w:t>
      </w:r>
      <w:r w:rsidRPr="00D12ED9">
        <w:rPr>
          <w:sz w:val="28"/>
          <w:szCs w:val="28"/>
        </w:rPr>
        <w:t xml:space="preserve"> ar publisko finansējumu </w:t>
      </w:r>
      <w:r>
        <w:rPr>
          <w:sz w:val="28"/>
          <w:szCs w:val="28"/>
        </w:rPr>
        <w:t>6</w:t>
      </w:r>
      <w:r w:rsidRPr="00D12ED9">
        <w:rPr>
          <w:sz w:val="28"/>
          <w:szCs w:val="28"/>
        </w:rPr>
        <w:t>,3</w:t>
      </w:r>
      <w:r>
        <w:rPr>
          <w:sz w:val="28"/>
          <w:szCs w:val="28"/>
        </w:rPr>
        <w:t xml:space="preserve"> </w:t>
      </w:r>
      <w:r w:rsidRPr="00D12ED9">
        <w:rPr>
          <w:sz w:val="28"/>
          <w:szCs w:val="28"/>
        </w:rPr>
        <w:t xml:space="preserve">milj. </w:t>
      </w:r>
      <w:r>
        <w:rPr>
          <w:sz w:val="28"/>
          <w:szCs w:val="28"/>
        </w:rPr>
        <w:t>latu</w:t>
      </w:r>
      <w:r w:rsidRPr="00D12ED9">
        <w:rPr>
          <w:sz w:val="28"/>
          <w:szCs w:val="28"/>
        </w:rPr>
        <w:t xml:space="preserve"> apmērā. Arī šajā pasākumā</w:t>
      </w:r>
      <w:r>
        <w:rPr>
          <w:sz w:val="28"/>
          <w:szCs w:val="28"/>
        </w:rPr>
        <w:t>, tāpat</w:t>
      </w:r>
      <w:r w:rsidRPr="00D12ED9">
        <w:rPr>
          <w:sz w:val="28"/>
          <w:szCs w:val="28"/>
        </w:rPr>
        <w:t xml:space="preserve"> kā pasākumā „Investīcijas akvakultūras uzņēmumos”</w:t>
      </w:r>
      <w:r>
        <w:rPr>
          <w:sz w:val="28"/>
          <w:szCs w:val="28"/>
        </w:rPr>
        <w:t>,</w:t>
      </w:r>
      <w:r w:rsidRPr="00D12ED9">
        <w:rPr>
          <w:sz w:val="28"/>
          <w:szCs w:val="28"/>
        </w:rPr>
        <w:t xml:space="preserve"> projekti galvenokārt saistīti ar būvniecību</w:t>
      </w:r>
      <w:r>
        <w:rPr>
          <w:sz w:val="28"/>
          <w:szCs w:val="28"/>
        </w:rPr>
        <w:t>,</w:t>
      </w:r>
      <w:r w:rsidRPr="00D12ED9">
        <w:rPr>
          <w:sz w:val="28"/>
          <w:szCs w:val="28"/>
        </w:rPr>
        <w:t xml:space="preserve"> tādēļ ir laikietilpīgi, </w:t>
      </w:r>
      <w:r>
        <w:rPr>
          <w:sz w:val="28"/>
          <w:szCs w:val="28"/>
        </w:rPr>
        <w:t>un tas</w:t>
      </w:r>
      <w:r w:rsidRPr="00D12ED9">
        <w:rPr>
          <w:sz w:val="28"/>
          <w:szCs w:val="28"/>
        </w:rPr>
        <w:t xml:space="preserve"> ietekmē līdz šim pasākumā izmaksātā publiskā finansējuma ap</w:t>
      </w:r>
      <w:r>
        <w:rPr>
          <w:sz w:val="28"/>
          <w:szCs w:val="28"/>
        </w:rPr>
        <w:t>mēru</w:t>
      </w:r>
      <w:r w:rsidRPr="00D12ED9">
        <w:rPr>
          <w:sz w:val="28"/>
          <w:szCs w:val="28"/>
        </w:rPr>
        <w:t>.</w:t>
      </w:r>
      <w:r w:rsidRPr="00E82A05">
        <w:rPr>
          <w:sz w:val="28"/>
          <w:szCs w:val="28"/>
        </w:rPr>
        <w:t xml:space="preserve"> </w:t>
      </w:r>
      <w:r>
        <w:rPr>
          <w:sz w:val="28"/>
          <w:szCs w:val="28"/>
        </w:rPr>
        <w:t>P</w:t>
      </w:r>
      <w:r w:rsidRPr="00CA65B9">
        <w:rPr>
          <w:sz w:val="28"/>
          <w:szCs w:val="28"/>
        </w:rPr>
        <w:t>iec</w:t>
      </w:r>
      <w:r>
        <w:rPr>
          <w:sz w:val="28"/>
          <w:szCs w:val="28"/>
        </w:rPr>
        <w:t>ās</w:t>
      </w:r>
      <w:r w:rsidRPr="00CA65B9">
        <w:rPr>
          <w:sz w:val="28"/>
          <w:szCs w:val="28"/>
        </w:rPr>
        <w:t xml:space="preserve"> projektu iesniegumu iesniegšanas kārt</w:t>
      </w:r>
      <w:r>
        <w:rPr>
          <w:sz w:val="28"/>
          <w:szCs w:val="28"/>
        </w:rPr>
        <w:t>ās</w:t>
      </w:r>
      <w:r w:rsidRPr="00CA65B9">
        <w:rPr>
          <w:sz w:val="28"/>
          <w:szCs w:val="28"/>
        </w:rPr>
        <w:t xml:space="preserve"> atbalsta pretendentu pieteiktais publiskais finansējums par 51% </w:t>
      </w:r>
      <w:r>
        <w:rPr>
          <w:sz w:val="28"/>
          <w:szCs w:val="28"/>
        </w:rPr>
        <w:t xml:space="preserve">ir </w:t>
      </w:r>
      <w:r w:rsidRPr="00CA65B9">
        <w:rPr>
          <w:sz w:val="28"/>
          <w:szCs w:val="28"/>
        </w:rPr>
        <w:t>pārsniedzis pasākumā pieejamo publisko finansējumu</w:t>
      </w:r>
      <w:r>
        <w:rPr>
          <w:sz w:val="28"/>
          <w:szCs w:val="28"/>
        </w:rPr>
        <w:t>, un tas liecina par ievērojamu atbalsta pretendentu interesi par pasākumu</w:t>
      </w:r>
      <w:r w:rsidRPr="00CA65B9">
        <w:rPr>
          <w:sz w:val="28"/>
          <w:szCs w:val="28"/>
        </w:rPr>
        <w:t>.</w:t>
      </w:r>
      <w:r>
        <w:rPr>
          <w:sz w:val="28"/>
          <w:szCs w:val="28"/>
        </w:rPr>
        <w:t xml:space="preserve"> Ņemot vērā iepriekš minēto, kā arī to, ka nākamā plānošanas perioda Eiropas Jūrlietu un zivsaimniecības fonda regulas priekšlikumā nav paredzēts atbalsts projektu īstenošanai investīcijām ražošanā zivju apstrādes uzņēmumos, Zivsaimniecības </w:t>
      </w:r>
      <w:r>
        <w:rPr>
          <w:sz w:val="28"/>
          <w:szCs w:val="28"/>
        </w:rPr>
        <w:lastRenderedPageBreak/>
        <w:t>konsultatīvās padomes sēdē tika rosināts pārdalīt papildu finansējumu šim pasākumam.</w:t>
      </w:r>
    </w:p>
    <w:p w:rsidR="00C57F89" w:rsidRPr="00D12ED9" w:rsidRDefault="00C57F89" w:rsidP="00445014">
      <w:pPr>
        <w:autoSpaceDE w:val="0"/>
        <w:autoSpaceDN w:val="0"/>
        <w:adjustRightInd w:val="0"/>
        <w:ind w:firstLine="720"/>
        <w:jc w:val="both"/>
        <w:rPr>
          <w:sz w:val="28"/>
          <w:szCs w:val="28"/>
        </w:rPr>
      </w:pPr>
    </w:p>
    <w:p w:rsidR="00C57F89" w:rsidRDefault="00C57F89" w:rsidP="00445014">
      <w:pPr>
        <w:autoSpaceDE w:val="0"/>
        <w:autoSpaceDN w:val="0"/>
        <w:adjustRightInd w:val="0"/>
        <w:ind w:firstLine="720"/>
        <w:jc w:val="both"/>
        <w:rPr>
          <w:sz w:val="28"/>
          <w:szCs w:val="28"/>
        </w:rPr>
      </w:pPr>
      <w:r w:rsidRPr="00D12ED9">
        <w:rPr>
          <w:b/>
          <w:i/>
          <w:sz w:val="28"/>
          <w:szCs w:val="28"/>
        </w:rPr>
        <w:t>3.prioritārā virziena „Kopējās ieinteresētības pasākumi</w:t>
      </w:r>
      <w:r w:rsidRPr="00D12ED9">
        <w:rPr>
          <w:b/>
          <w:sz w:val="28"/>
          <w:szCs w:val="28"/>
        </w:rPr>
        <w:t>”</w:t>
      </w:r>
      <w:r w:rsidRPr="00D12ED9">
        <w:rPr>
          <w:sz w:val="28"/>
          <w:szCs w:val="28"/>
        </w:rPr>
        <w:t xml:space="preserve"> pasākumi no citiem atšķiras ar mērķi un rezultātu, k</w:t>
      </w:r>
      <w:r>
        <w:rPr>
          <w:sz w:val="28"/>
          <w:szCs w:val="28"/>
        </w:rPr>
        <w:t>a</w:t>
      </w:r>
      <w:r w:rsidRPr="00D12ED9">
        <w:rPr>
          <w:sz w:val="28"/>
          <w:szCs w:val="28"/>
        </w:rPr>
        <w:t xml:space="preserve">m jābūt nozīmīgiem ne tikai vienam komersantam, bet </w:t>
      </w:r>
      <w:r>
        <w:rPr>
          <w:sz w:val="28"/>
          <w:szCs w:val="28"/>
        </w:rPr>
        <w:t>arī</w:t>
      </w:r>
      <w:r w:rsidRPr="00D12ED9">
        <w:rPr>
          <w:sz w:val="28"/>
          <w:szCs w:val="28"/>
        </w:rPr>
        <w:t xml:space="preserve"> plašākam zivsaimniecības nozares pārstāvju lokam. Šie pasākumi stimulē zivsaimniecības uzņēmumu kooperāciju.</w:t>
      </w:r>
      <w:r w:rsidRPr="00F616A0">
        <w:rPr>
          <w:sz w:val="28"/>
          <w:szCs w:val="28"/>
        </w:rPr>
        <w:t xml:space="preserve"> </w:t>
      </w:r>
      <w:r w:rsidRPr="00D12ED9">
        <w:rPr>
          <w:sz w:val="28"/>
          <w:szCs w:val="28"/>
        </w:rPr>
        <w:t xml:space="preserve">Kopīgas ieinteresētības pasākumos rezervēts publiskais finansējums </w:t>
      </w:r>
      <w:r>
        <w:rPr>
          <w:sz w:val="28"/>
          <w:szCs w:val="28"/>
        </w:rPr>
        <w:t>22</w:t>
      </w:r>
      <w:r w:rsidRPr="00D12ED9">
        <w:rPr>
          <w:sz w:val="28"/>
          <w:szCs w:val="28"/>
        </w:rPr>
        <w:t>,</w:t>
      </w:r>
      <w:r>
        <w:rPr>
          <w:sz w:val="28"/>
          <w:szCs w:val="28"/>
        </w:rPr>
        <w:t>6</w:t>
      </w:r>
      <w:r w:rsidRPr="00D12ED9">
        <w:rPr>
          <w:sz w:val="28"/>
          <w:szCs w:val="28"/>
        </w:rPr>
        <w:t xml:space="preserve"> milj. </w:t>
      </w:r>
      <w:r>
        <w:rPr>
          <w:sz w:val="28"/>
          <w:szCs w:val="28"/>
        </w:rPr>
        <w:t>latu</w:t>
      </w:r>
      <w:r w:rsidRPr="00D12ED9">
        <w:rPr>
          <w:sz w:val="28"/>
          <w:szCs w:val="28"/>
        </w:rPr>
        <w:t xml:space="preserve"> </w:t>
      </w:r>
      <w:r>
        <w:rPr>
          <w:sz w:val="28"/>
          <w:szCs w:val="28"/>
        </w:rPr>
        <w:t xml:space="preserve">(88%) </w:t>
      </w:r>
      <w:r w:rsidRPr="00D12ED9">
        <w:rPr>
          <w:sz w:val="28"/>
          <w:szCs w:val="28"/>
        </w:rPr>
        <w:t xml:space="preserve">apmērā un izmaksāti </w:t>
      </w:r>
      <w:r>
        <w:rPr>
          <w:sz w:val="28"/>
          <w:szCs w:val="28"/>
        </w:rPr>
        <w:t>aptuveni</w:t>
      </w:r>
      <w:r w:rsidRPr="00D12ED9">
        <w:rPr>
          <w:sz w:val="28"/>
          <w:szCs w:val="28"/>
        </w:rPr>
        <w:t xml:space="preserve"> </w:t>
      </w:r>
      <w:r>
        <w:rPr>
          <w:sz w:val="28"/>
          <w:szCs w:val="28"/>
        </w:rPr>
        <w:t>64</w:t>
      </w:r>
      <w:r w:rsidRPr="00D12ED9">
        <w:rPr>
          <w:sz w:val="28"/>
          <w:szCs w:val="28"/>
        </w:rPr>
        <w:t xml:space="preserve">% finansējuma. </w:t>
      </w:r>
      <w:r w:rsidRPr="00DA64DF">
        <w:rPr>
          <w:sz w:val="28"/>
          <w:szCs w:val="28"/>
        </w:rPr>
        <w:t>Lielākais finansējuma ap</w:t>
      </w:r>
      <w:r>
        <w:rPr>
          <w:sz w:val="28"/>
          <w:szCs w:val="28"/>
        </w:rPr>
        <w:t>mērs</w:t>
      </w:r>
      <w:r w:rsidRPr="00DA64DF">
        <w:rPr>
          <w:sz w:val="28"/>
          <w:szCs w:val="28"/>
        </w:rPr>
        <w:t xml:space="preserve"> tiks piesaistīts, lai ostās nodrošinātu zvejniecībai nepieciešamās investīcijas, kā arī investīcijas ražošanas, pārstrādes vai mārketinga iekārtās un infrastruktūrā.</w:t>
      </w:r>
    </w:p>
    <w:p w:rsidR="00C57F89" w:rsidRPr="00D12ED9" w:rsidRDefault="00C57F89" w:rsidP="00445014">
      <w:pPr>
        <w:autoSpaceDE w:val="0"/>
        <w:autoSpaceDN w:val="0"/>
        <w:adjustRightInd w:val="0"/>
        <w:ind w:firstLine="720"/>
        <w:jc w:val="both"/>
        <w:rPr>
          <w:sz w:val="28"/>
          <w:szCs w:val="28"/>
        </w:rPr>
      </w:pPr>
    </w:p>
    <w:p w:rsidR="00C57F89" w:rsidRDefault="00C57F89" w:rsidP="00DA64DF">
      <w:pPr>
        <w:autoSpaceDE w:val="0"/>
        <w:autoSpaceDN w:val="0"/>
        <w:adjustRightInd w:val="0"/>
        <w:ind w:firstLine="720"/>
        <w:jc w:val="both"/>
        <w:rPr>
          <w:sz w:val="28"/>
          <w:szCs w:val="28"/>
        </w:rPr>
      </w:pPr>
      <w:r>
        <w:rPr>
          <w:sz w:val="28"/>
          <w:szCs w:val="28"/>
        </w:rPr>
        <w:t>Pasākumā</w:t>
      </w:r>
      <w:r w:rsidRPr="00D12ED9">
        <w:rPr>
          <w:sz w:val="28"/>
          <w:szCs w:val="28"/>
        </w:rPr>
        <w:t xml:space="preserve"> </w:t>
      </w:r>
      <w:r w:rsidRPr="00F616A0">
        <w:rPr>
          <w:b/>
          <w:sz w:val="28"/>
          <w:szCs w:val="28"/>
          <w:u w:val="single"/>
        </w:rPr>
        <w:t>3.1.</w:t>
      </w:r>
      <w:r>
        <w:rPr>
          <w:b/>
          <w:sz w:val="28"/>
          <w:szCs w:val="28"/>
          <w:u w:val="single"/>
        </w:rPr>
        <w:t xml:space="preserve"> </w:t>
      </w:r>
      <w:r w:rsidRPr="00F616A0">
        <w:rPr>
          <w:b/>
          <w:sz w:val="28"/>
          <w:szCs w:val="28"/>
          <w:u w:val="single"/>
        </w:rPr>
        <w:t>„Investīcijas</w:t>
      </w:r>
      <w:r w:rsidRPr="00D12ED9">
        <w:rPr>
          <w:b/>
          <w:sz w:val="28"/>
          <w:szCs w:val="28"/>
          <w:u w:val="single"/>
        </w:rPr>
        <w:t xml:space="preserve"> ražošanas, pārstrādes vai mārketinga iekārtās un infrastruktūrā</w:t>
      </w:r>
      <w:r w:rsidRPr="00D12ED9">
        <w:rPr>
          <w:sz w:val="28"/>
          <w:szCs w:val="28"/>
          <w:u w:val="single"/>
        </w:rPr>
        <w:t>”</w:t>
      </w:r>
      <w:r w:rsidRPr="00D12ED9">
        <w:rPr>
          <w:sz w:val="28"/>
          <w:szCs w:val="28"/>
        </w:rPr>
        <w:t xml:space="preserve"> </w:t>
      </w:r>
      <w:r>
        <w:rPr>
          <w:sz w:val="28"/>
          <w:szCs w:val="28"/>
        </w:rPr>
        <w:t>projektu īstenošanai rezervēts</w:t>
      </w:r>
      <w:r w:rsidRPr="00D12ED9">
        <w:rPr>
          <w:sz w:val="28"/>
          <w:szCs w:val="28"/>
        </w:rPr>
        <w:t xml:space="preserve"> </w:t>
      </w:r>
      <w:r>
        <w:rPr>
          <w:sz w:val="28"/>
          <w:szCs w:val="28"/>
        </w:rPr>
        <w:t>viss pasākumā pieejamais publiskais finansējums, t.i., 7,4</w:t>
      </w:r>
      <w:r w:rsidRPr="00D12ED9">
        <w:rPr>
          <w:sz w:val="28"/>
          <w:szCs w:val="28"/>
        </w:rPr>
        <w:t xml:space="preserve"> milj. </w:t>
      </w:r>
      <w:r>
        <w:rPr>
          <w:sz w:val="28"/>
          <w:szCs w:val="28"/>
        </w:rPr>
        <w:t>latu.</w:t>
      </w:r>
      <w:r w:rsidRPr="00D12ED9">
        <w:rPr>
          <w:sz w:val="28"/>
          <w:szCs w:val="28"/>
        </w:rPr>
        <w:t xml:space="preserve"> </w:t>
      </w:r>
      <w:r>
        <w:rPr>
          <w:sz w:val="28"/>
          <w:szCs w:val="28"/>
        </w:rPr>
        <w:t xml:space="preserve">Lai </w:t>
      </w:r>
      <w:r w:rsidRPr="00DA64DF">
        <w:rPr>
          <w:sz w:val="28"/>
          <w:szCs w:val="28"/>
        </w:rPr>
        <w:t>Pārtikas drošības, dzīvnieku veselības un vides zinātniskais institūts „BIOR”</w:t>
      </w:r>
      <w:r>
        <w:rPr>
          <w:sz w:val="28"/>
          <w:szCs w:val="28"/>
        </w:rPr>
        <w:t xml:space="preserve"> varētu īstenot projektu valsts zivju audzētavā „Tome”, tā izveidojot bāzi kompetences centram akvakultūrā, p</w:t>
      </w:r>
      <w:r w:rsidRPr="00DA64DF">
        <w:rPr>
          <w:sz w:val="28"/>
          <w:szCs w:val="28"/>
        </w:rPr>
        <w:t>asākum</w:t>
      </w:r>
      <w:r>
        <w:rPr>
          <w:sz w:val="28"/>
          <w:szCs w:val="28"/>
        </w:rPr>
        <w:t xml:space="preserve">ā paredzēts </w:t>
      </w:r>
      <w:r w:rsidRPr="00DA64DF">
        <w:rPr>
          <w:sz w:val="28"/>
          <w:szCs w:val="28"/>
        </w:rPr>
        <w:t>papildu finansējums</w:t>
      </w:r>
      <w:r>
        <w:rPr>
          <w:sz w:val="28"/>
          <w:szCs w:val="28"/>
        </w:rPr>
        <w:t xml:space="preserve"> atbilstoši</w:t>
      </w:r>
      <w:r w:rsidRPr="00DA64DF">
        <w:rPr>
          <w:sz w:val="28"/>
          <w:szCs w:val="28"/>
        </w:rPr>
        <w:t xml:space="preserve"> RP finan</w:t>
      </w:r>
      <w:r>
        <w:rPr>
          <w:sz w:val="28"/>
          <w:szCs w:val="28"/>
        </w:rPr>
        <w:t>š</w:t>
      </w:r>
      <w:r w:rsidRPr="00DA64DF">
        <w:rPr>
          <w:sz w:val="28"/>
          <w:szCs w:val="28"/>
        </w:rPr>
        <w:t>u plāna grozījum</w:t>
      </w:r>
      <w:r>
        <w:rPr>
          <w:sz w:val="28"/>
          <w:szCs w:val="28"/>
        </w:rPr>
        <w:t>iem</w:t>
      </w:r>
      <w:r w:rsidRPr="00DA64DF">
        <w:rPr>
          <w:sz w:val="28"/>
          <w:szCs w:val="28"/>
        </w:rPr>
        <w:t>.</w:t>
      </w:r>
    </w:p>
    <w:p w:rsidR="00C57F89" w:rsidRPr="00B87804" w:rsidRDefault="00C57F89" w:rsidP="00B87804">
      <w:pPr>
        <w:spacing w:before="100" w:beforeAutospacing="1" w:after="100" w:afterAutospacing="1"/>
        <w:ind w:firstLine="720"/>
        <w:jc w:val="both"/>
        <w:rPr>
          <w:sz w:val="28"/>
          <w:szCs w:val="28"/>
        </w:rPr>
      </w:pPr>
      <w:r w:rsidRPr="00D12ED9">
        <w:rPr>
          <w:sz w:val="28"/>
          <w:szCs w:val="28"/>
        </w:rPr>
        <w:t>Saskaņā ar Eiropas Komisijas apstiprinātu Latvijas Zušu krājumu pārvaldības plānu 2009.</w:t>
      </w:r>
      <w:r>
        <w:rPr>
          <w:sz w:val="28"/>
          <w:szCs w:val="28"/>
        </w:rPr>
        <w:t>–</w:t>
      </w:r>
      <w:r w:rsidRPr="00D12ED9">
        <w:rPr>
          <w:sz w:val="28"/>
          <w:szCs w:val="28"/>
        </w:rPr>
        <w:t xml:space="preserve">2013.gadam </w:t>
      </w:r>
      <w:r>
        <w:rPr>
          <w:sz w:val="28"/>
          <w:szCs w:val="28"/>
        </w:rPr>
        <w:t>RP</w:t>
      </w:r>
      <w:r w:rsidRPr="00D12ED9">
        <w:rPr>
          <w:sz w:val="28"/>
          <w:szCs w:val="28"/>
        </w:rPr>
        <w:t xml:space="preserve"> </w:t>
      </w:r>
      <w:r>
        <w:rPr>
          <w:sz w:val="28"/>
          <w:szCs w:val="28"/>
        </w:rPr>
        <w:t>turpinās</w:t>
      </w:r>
      <w:r w:rsidRPr="00D12ED9">
        <w:rPr>
          <w:sz w:val="28"/>
          <w:szCs w:val="28"/>
        </w:rPr>
        <w:t xml:space="preserve"> pasākuma </w:t>
      </w:r>
      <w:r w:rsidRPr="00893872">
        <w:rPr>
          <w:b/>
          <w:sz w:val="28"/>
          <w:szCs w:val="28"/>
          <w:u w:val="single"/>
        </w:rPr>
        <w:t>3.2.„Ūdens faunas</w:t>
      </w:r>
      <w:r w:rsidRPr="00D12ED9">
        <w:rPr>
          <w:b/>
          <w:sz w:val="28"/>
          <w:szCs w:val="28"/>
          <w:u w:val="single"/>
        </w:rPr>
        <w:t xml:space="preserve"> un floras aizsardzība un attīstība”</w:t>
      </w:r>
      <w:r w:rsidRPr="00D12ED9">
        <w:rPr>
          <w:sz w:val="28"/>
          <w:szCs w:val="28"/>
        </w:rPr>
        <w:t xml:space="preserve"> īstenošana. Pasākum</w:t>
      </w:r>
      <w:r>
        <w:rPr>
          <w:sz w:val="28"/>
          <w:szCs w:val="28"/>
        </w:rPr>
        <w:t>ā</w:t>
      </w:r>
      <w:r w:rsidRPr="00D12ED9">
        <w:rPr>
          <w:sz w:val="28"/>
          <w:szCs w:val="28"/>
        </w:rPr>
        <w:t xml:space="preserve"> ir </w:t>
      </w:r>
      <w:r>
        <w:rPr>
          <w:sz w:val="28"/>
          <w:szCs w:val="28"/>
        </w:rPr>
        <w:t>notikusi viena</w:t>
      </w:r>
      <w:r w:rsidRPr="00D12ED9">
        <w:rPr>
          <w:sz w:val="28"/>
          <w:szCs w:val="28"/>
        </w:rPr>
        <w:t xml:space="preserve"> projektu iesniegumu iesniegšanas kārta zušu mazuļu ielaišanai noteiktos Latvijas publiskajos ezeros, no kuriem migrējot zušu pārvietošanās ceļā nav šķēršļu. Pasākumā pieejamais publiskais finansējums ir </w:t>
      </w:r>
      <w:r>
        <w:rPr>
          <w:sz w:val="28"/>
          <w:szCs w:val="28"/>
        </w:rPr>
        <w:t>2 milj. latu, no kuriem 0</w:t>
      </w:r>
      <w:r w:rsidRPr="00D12ED9">
        <w:rPr>
          <w:sz w:val="28"/>
          <w:szCs w:val="28"/>
        </w:rPr>
        <w:t>,</w:t>
      </w:r>
      <w:r>
        <w:rPr>
          <w:sz w:val="28"/>
          <w:szCs w:val="28"/>
        </w:rPr>
        <w:t>2</w:t>
      </w:r>
      <w:r w:rsidRPr="00D12ED9">
        <w:rPr>
          <w:sz w:val="28"/>
          <w:szCs w:val="28"/>
        </w:rPr>
        <w:t xml:space="preserve"> milj. latu jeb </w:t>
      </w:r>
      <w:r>
        <w:rPr>
          <w:sz w:val="28"/>
          <w:szCs w:val="28"/>
        </w:rPr>
        <w:t>10</w:t>
      </w:r>
      <w:r w:rsidRPr="00D12ED9">
        <w:rPr>
          <w:sz w:val="28"/>
          <w:szCs w:val="28"/>
        </w:rPr>
        <w:t>% ir apstiprināti</w:t>
      </w:r>
      <w:r>
        <w:rPr>
          <w:sz w:val="28"/>
          <w:szCs w:val="28"/>
        </w:rPr>
        <w:t xml:space="preserve"> un izmaksāti atbalsta saņēmējie</w:t>
      </w:r>
      <w:r w:rsidRPr="00D12ED9">
        <w:rPr>
          <w:sz w:val="28"/>
          <w:szCs w:val="28"/>
        </w:rPr>
        <w:t>m.</w:t>
      </w:r>
      <w:r>
        <w:rPr>
          <w:sz w:val="28"/>
          <w:szCs w:val="28"/>
        </w:rPr>
        <w:t xml:space="preserve"> Pārējais publiskais finansējums rezervēts, lai nodrošinātu </w:t>
      </w:r>
      <w:r w:rsidRPr="00B87804">
        <w:rPr>
          <w:sz w:val="28"/>
          <w:szCs w:val="28"/>
        </w:rPr>
        <w:t>Ministru kabineta 2010.gada 9.novembra noteikum</w:t>
      </w:r>
      <w:r>
        <w:rPr>
          <w:sz w:val="28"/>
          <w:szCs w:val="28"/>
        </w:rPr>
        <w:t>os</w:t>
      </w:r>
      <w:r w:rsidRPr="00B87804">
        <w:rPr>
          <w:sz w:val="28"/>
          <w:szCs w:val="28"/>
        </w:rPr>
        <w:t xml:space="preserve"> Nr.1029 „Kārtība, kādā piešķir valsts un Eiropas Savienības atbalstu zivsaimniecības attīstībai atklātu projektu iesniegumu konkursu veidā pasākumam „Ūdens faunas un floras aizsardzība un attīstība”” </w:t>
      </w:r>
      <w:r>
        <w:rPr>
          <w:sz w:val="28"/>
          <w:szCs w:val="28"/>
        </w:rPr>
        <w:t xml:space="preserve">paredzētā zušu skaita ielaišanu 2012. un 2013.gadā. </w:t>
      </w:r>
    </w:p>
    <w:p w:rsidR="00C57F89" w:rsidRPr="00D12ED9" w:rsidRDefault="00C57F89" w:rsidP="00445014">
      <w:pPr>
        <w:autoSpaceDE w:val="0"/>
        <w:autoSpaceDN w:val="0"/>
        <w:adjustRightInd w:val="0"/>
        <w:ind w:firstLine="720"/>
        <w:jc w:val="both"/>
        <w:rPr>
          <w:sz w:val="28"/>
          <w:szCs w:val="28"/>
        </w:rPr>
      </w:pPr>
    </w:p>
    <w:p w:rsidR="00C57F89" w:rsidRDefault="00C57F89" w:rsidP="00445014">
      <w:pPr>
        <w:autoSpaceDE w:val="0"/>
        <w:autoSpaceDN w:val="0"/>
        <w:adjustRightInd w:val="0"/>
        <w:ind w:firstLine="720"/>
        <w:jc w:val="both"/>
        <w:rPr>
          <w:sz w:val="28"/>
          <w:szCs w:val="28"/>
        </w:rPr>
      </w:pPr>
    </w:p>
    <w:p w:rsidR="00C57F89" w:rsidRPr="00D12ED9" w:rsidRDefault="00C57F89" w:rsidP="00445014">
      <w:pPr>
        <w:autoSpaceDE w:val="0"/>
        <w:autoSpaceDN w:val="0"/>
        <w:adjustRightInd w:val="0"/>
        <w:ind w:firstLine="720"/>
        <w:jc w:val="both"/>
        <w:rPr>
          <w:sz w:val="28"/>
          <w:szCs w:val="28"/>
        </w:rPr>
      </w:pPr>
      <w:r w:rsidRPr="00D12ED9">
        <w:rPr>
          <w:sz w:val="28"/>
          <w:szCs w:val="28"/>
        </w:rPr>
        <w:t>Lielākais finansējuma ap</w:t>
      </w:r>
      <w:r>
        <w:rPr>
          <w:sz w:val="28"/>
          <w:szCs w:val="28"/>
        </w:rPr>
        <w:t>mērs</w:t>
      </w:r>
      <w:r w:rsidRPr="00D12ED9">
        <w:rPr>
          <w:sz w:val="28"/>
          <w:szCs w:val="28"/>
        </w:rPr>
        <w:t xml:space="preserve"> 3.prioritār</w:t>
      </w:r>
      <w:r>
        <w:rPr>
          <w:sz w:val="28"/>
          <w:szCs w:val="28"/>
        </w:rPr>
        <w:t>ajā</w:t>
      </w:r>
      <w:r w:rsidRPr="00D12ED9">
        <w:rPr>
          <w:sz w:val="28"/>
          <w:szCs w:val="28"/>
        </w:rPr>
        <w:t xml:space="preserve"> virzien</w:t>
      </w:r>
      <w:r>
        <w:rPr>
          <w:sz w:val="28"/>
          <w:szCs w:val="28"/>
        </w:rPr>
        <w:t>ā</w:t>
      </w:r>
      <w:r w:rsidRPr="00D12ED9">
        <w:rPr>
          <w:sz w:val="28"/>
          <w:szCs w:val="28"/>
        </w:rPr>
        <w:t xml:space="preserve"> piesaistīts pasākuma</w:t>
      </w:r>
      <w:r>
        <w:rPr>
          <w:sz w:val="28"/>
          <w:szCs w:val="28"/>
        </w:rPr>
        <w:t>m</w:t>
      </w:r>
      <w:r w:rsidRPr="00D12ED9">
        <w:rPr>
          <w:sz w:val="28"/>
          <w:szCs w:val="28"/>
        </w:rPr>
        <w:t xml:space="preserve"> </w:t>
      </w:r>
      <w:r w:rsidRPr="00893872">
        <w:rPr>
          <w:b/>
          <w:sz w:val="28"/>
          <w:szCs w:val="28"/>
          <w:u w:val="single"/>
        </w:rPr>
        <w:t>3.3.„Investīcijas</w:t>
      </w:r>
      <w:r w:rsidRPr="00D12ED9">
        <w:rPr>
          <w:b/>
          <w:sz w:val="28"/>
          <w:szCs w:val="28"/>
          <w:u w:val="single"/>
        </w:rPr>
        <w:t xml:space="preserve"> zvejas ostās un zivju izkraušanas vietās</w:t>
      </w:r>
      <w:r w:rsidRPr="00D12ED9">
        <w:rPr>
          <w:sz w:val="28"/>
          <w:szCs w:val="28"/>
          <w:u w:val="single"/>
        </w:rPr>
        <w:t>”</w:t>
      </w:r>
      <w:r w:rsidRPr="00D12ED9">
        <w:rPr>
          <w:sz w:val="28"/>
          <w:szCs w:val="28"/>
        </w:rPr>
        <w:t>, lai ostās nodrošinātu zvejniecībai nepieciešamās investīcijas. 1</w:t>
      </w:r>
      <w:r>
        <w:rPr>
          <w:sz w:val="28"/>
          <w:szCs w:val="28"/>
        </w:rPr>
        <w:t>8</w:t>
      </w:r>
      <w:r w:rsidRPr="00D12ED9">
        <w:rPr>
          <w:sz w:val="28"/>
          <w:szCs w:val="28"/>
        </w:rPr>
        <w:t xml:space="preserve"> projektu īstenošanai apstiprināti 1</w:t>
      </w:r>
      <w:r>
        <w:rPr>
          <w:sz w:val="28"/>
          <w:szCs w:val="28"/>
        </w:rPr>
        <w:t>4</w:t>
      </w:r>
      <w:r w:rsidRPr="00D12ED9">
        <w:rPr>
          <w:sz w:val="28"/>
          <w:szCs w:val="28"/>
        </w:rPr>
        <w:t xml:space="preserve"> milj. </w:t>
      </w:r>
      <w:r>
        <w:rPr>
          <w:sz w:val="28"/>
          <w:szCs w:val="28"/>
        </w:rPr>
        <w:t>latu, kas ir viss</w:t>
      </w:r>
      <w:r w:rsidRPr="00D12ED9">
        <w:rPr>
          <w:sz w:val="28"/>
          <w:szCs w:val="28"/>
        </w:rPr>
        <w:t xml:space="preserve"> pasākumā pieejam</w:t>
      </w:r>
      <w:r>
        <w:rPr>
          <w:sz w:val="28"/>
          <w:szCs w:val="28"/>
        </w:rPr>
        <w:t>ais</w:t>
      </w:r>
      <w:r w:rsidRPr="00D12ED9">
        <w:rPr>
          <w:sz w:val="28"/>
          <w:szCs w:val="28"/>
        </w:rPr>
        <w:t xml:space="preserve"> publisk</w:t>
      </w:r>
      <w:r>
        <w:rPr>
          <w:sz w:val="28"/>
          <w:szCs w:val="28"/>
        </w:rPr>
        <w:t>ais</w:t>
      </w:r>
      <w:r w:rsidRPr="00D12ED9">
        <w:rPr>
          <w:sz w:val="28"/>
          <w:szCs w:val="28"/>
        </w:rPr>
        <w:t xml:space="preserve"> finansējum</w:t>
      </w:r>
      <w:r>
        <w:rPr>
          <w:sz w:val="28"/>
          <w:szCs w:val="28"/>
        </w:rPr>
        <w:t>s,</w:t>
      </w:r>
      <w:r w:rsidRPr="00D12ED9">
        <w:rPr>
          <w:sz w:val="28"/>
          <w:szCs w:val="28"/>
        </w:rPr>
        <w:t xml:space="preserve"> </w:t>
      </w:r>
      <w:r>
        <w:rPr>
          <w:sz w:val="28"/>
          <w:szCs w:val="28"/>
        </w:rPr>
        <w:t xml:space="preserve">un </w:t>
      </w:r>
      <w:r w:rsidRPr="00D12ED9">
        <w:rPr>
          <w:sz w:val="28"/>
          <w:szCs w:val="28"/>
        </w:rPr>
        <w:t xml:space="preserve">atbalsta saņēmējiem izmaksāti </w:t>
      </w:r>
      <w:r>
        <w:rPr>
          <w:sz w:val="28"/>
          <w:szCs w:val="28"/>
        </w:rPr>
        <w:t>12</w:t>
      </w:r>
      <w:r w:rsidRPr="00D12ED9">
        <w:rPr>
          <w:sz w:val="28"/>
          <w:szCs w:val="28"/>
        </w:rPr>
        <w:t>,</w:t>
      </w:r>
      <w:r>
        <w:rPr>
          <w:sz w:val="28"/>
          <w:szCs w:val="28"/>
        </w:rPr>
        <w:t>1</w:t>
      </w:r>
      <w:r w:rsidRPr="00D12ED9">
        <w:rPr>
          <w:sz w:val="28"/>
          <w:szCs w:val="28"/>
        </w:rPr>
        <w:t xml:space="preserve"> milj. </w:t>
      </w:r>
      <w:r>
        <w:rPr>
          <w:sz w:val="28"/>
          <w:szCs w:val="28"/>
        </w:rPr>
        <w:t>latu</w:t>
      </w:r>
      <w:r w:rsidRPr="00D12ED9">
        <w:rPr>
          <w:sz w:val="28"/>
          <w:szCs w:val="28"/>
        </w:rPr>
        <w:t xml:space="preserve">. </w:t>
      </w:r>
      <w:r>
        <w:rPr>
          <w:sz w:val="28"/>
          <w:szCs w:val="28"/>
        </w:rPr>
        <w:t>Saskaņā ar Zivsaimniecības konsultatīvās padomes lēmumu p</w:t>
      </w:r>
      <w:r w:rsidRPr="004116AB">
        <w:rPr>
          <w:sz w:val="28"/>
          <w:szCs w:val="28"/>
        </w:rPr>
        <w:t xml:space="preserve">asākuma paredzēts papildu finansējums </w:t>
      </w:r>
      <w:r>
        <w:rPr>
          <w:sz w:val="28"/>
          <w:szCs w:val="28"/>
        </w:rPr>
        <w:t xml:space="preserve">atbilstoši </w:t>
      </w:r>
      <w:r w:rsidRPr="004116AB">
        <w:rPr>
          <w:sz w:val="28"/>
          <w:szCs w:val="28"/>
        </w:rPr>
        <w:t>RP finan</w:t>
      </w:r>
      <w:r>
        <w:rPr>
          <w:sz w:val="28"/>
          <w:szCs w:val="28"/>
        </w:rPr>
        <w:t>š</w:t>
      </w:r>
      <w:r w:rsidRPr="004116AB">
        <w:rPr>
          <w:sz w:val="28"/>
          <w:szCs w:val="28"/>
        </w:rPr>
        <w:t>u plāna grozījum</w:t>
      </w:r>
      <w:r>
        <w:rPr>
          <w:sz w:val="28"/>
          <w:szCs w:val="28"/>
        </w:rPr>
        <w:t>iem</w:t>
      </w:r>
      <w:r w:rsidRPr="004116AB">
        <w:rPr>
          <w:sz w:val="28"/>
          <w:szCs w:val="28"/>
        </w:rPr>
        <w:t>.</w:t>
      </w:r>
    </w:p>
    <w:p w:rsidR="00C57F89" w:rsidRDefault="00C57F89" w:rsidP="00445014">
      <w:pPr>
        <w:autoSpaceDE w:val="0"/>
        <w:autoSpaceDN w:val="0"/>
        <w:adjustRightInd w:val="0"/>
        <w:ind w:firstLine="720"/>
        <w:jc w:val="both"/>
        <w:rPr>
          <w:sz w:val="28"/>
          <w:szCs w:val="28"/>
        </w:rPr>
      </w:pPr>
    </w:p>
    <w:p w:rsidR="00C57F89" w:rsidRDefault="00C57F89" w:rsidP="00445014">
      <w:pPr>
        <w:autoSpaceDE w:val="0"/>
        <w:autoSpaceDN w:val="0"/>
        <w:adjustRightInd w:val="0"/>
        <w:ind w:firstLine="720"/>
        <w:jc w:val="both"/>
        <w:rPr>
          <w:sz w:val="28"/>
          <w:szCs w:val="28"/>
        </w:rPr>
      </w:pPr>
      <w:r w:rsidRPr="00D12ED9">
        <w:rPr>
          <w:sz w:val="28"/>
          <w:szCs w:val="28"/>
        </w:rPr>
        <w:lastRenderedPageBreak/>
        <w:t>Pasākum</w:t>
      </w:r>
      <w:r>
        <w:rPr>
          <w:sz w:val="28"/>
          <w:szCs w:val="28"/>
        </w:rPr>
        <w:t>ā</w:t>
      </w:r>
      <w:r w:rsidRPr="00D12ED9">
        <w:rPr>
          <w:sz w:val="28"/>
          <w:szCs w:val="28"/>
        </w:rPr>
        <w:t xml:space="preserve"> </w:t>
      </w:r>
      <w:r w:rsidRPr="00893872">
        <w:rPr>
          <w:b/>
          <w:sz w:val="28"/>
          <w:szCs w:val="28"/>
          <w:u w:val="single"/>
        </w:rPr>
        <w:t>3.4.</w:t>
      </w:r>
      <w:r>
        <w:rPr>
          <w:b/>
          <w:sz w:val="28"/>
          <w:szCs w:val="28"/>
          <w:u w:val="single"/>
        </w:rPr>
        <w:t xml:space="preserve"> </w:t>
      </w:r>
      <w:r w:rsidRPr="00893872">
        <w:rPr>
          <w:b/>
          <w:sz w:val="28"/>
          <w:szCs w:val="28"/>
          <w:u w:val="single"/>
        </w:rPr>
        <w:t>„Jaunu</w:t>
      </w:r>
      <w:r w:rsidRPr="00D12ED9">
        <w:rPr>
          <w:b/>
          <w:sz w:val="28"/>
          <w:szCs w:val="28"/>
          <w:u w:val="single"/>
        </w:rPr>
        <w:t xml:space="preserve"> noieta tirgu sekmēšana un reklāmas kampaņas”</w:t>
      </w:r>
      <w:r w:rsidRPr="00D12ED9">
        <w:rPr>
          <w:sz w:val="28"/>
          <w:szCs w:val="28"/>
        </w:rPr>
        <w:t xml:space="preserve"> zivju apstrādes uzņēmumu dalībai </w:t>
      </w:r>
      <w:r>
        <w:rPr>
          <w:sz w:val="28"/>
          <w:szCs w:val="28"/>
        </w:rPr>
        <w:t>14</w:t>
      </w:r>
      <w:r w:rsidRPr="00D12ED9">
        <w:rPr>
          <w:sz w:val="28"/>
          <w:szCs w:val="28"/>
        </w:rPr>
        <w:t xml:space="preserve"> starptautiskajās izstādēs ar </w:t>
      </w:r>
      <w:proofErr w:type="spellStart"/>
      <w:r w:rsidRPr="00D12ED9">
        <w:rPr>
          <w:sz w:val="28"/>
          <w:szCs w:val="28"/>
        </w:rPr>
        <w:t>kopstendiem</w:t>
      </w:r>
      <w:proofErr w:type="spellEnd"/>
      <w:r w:rsidRPr="00D12ED9">
        <w:rPr>
          <w:sz w:val="28"/>
          <w:szCs w:val="28"/>
        </w:rPr>
        <w:t xml:space="preserve"> apstiprināts publiskais finansējums </w:t>
      </w:r>
      <w:r>
        <w:rPr>
          <w:sz w:val="28"/>
          <w:szCs w:val="28"/>
        </w:rPr>
        <w:t>1</w:t>
      </w:r>
      <w:r w:rsidRPr="00D12ED9">
        <w:rPr>
          <w:sz w:val="28"/>
          <w:szCs w:val="28"/>
        </w:rPr>
        <w:t xml:space="preserve"> milj. Ls ap</w:t>
      </w:r>
      <w:r>
        <w:rPr>
          <w:sz w:val="28"/>
          <w:szCs w:val="28"/>
        </w:rPr>
        <w:t>mērā, kas ir 48% no pieejamā publiskā finansējuma</w:t>
      </w:r>
      <w:r w:rsidRPr="00D12ED9">
        <w:rPr>
          <w:sz w:val="28"/>
          <w:szCs w:val="28"/>
        </w:rPr>
        <w:t>. Tā kā lielākā daļa zivju apstrādes uzņēmumu saražotās produkcijas apjoma tiek eksportēta, atbalst</w:t>
      </w:r>
      <w:r>
        <w:rPr>
          <w:sz w:val="28"/>
          <w:szCs w:val="28"/>
        </w:rPr>
        <w:t>s</w:t>
      </w:r>
      <w:r w:rsidRPr="00D12ED9">
        <w:rPr>
          <w:sz w:val="28"/>
          <w:szCs w:val="28"/>
        </w:rPr>
        <w:t xml:space="preserve"> dalībai izstādēs ir ļoti nozīmīg</w:t>
      </w:r>
      <w:r>
        <w:rPr>
          <w:sz w:val="28"/>
          <w:szCs w:val="28"/>
        </w:rPr>
        <w:t>s</w:t>
      </w:r>
      <w:r w:rsidRPr="00D12ED9">
        <w:rPr>
          <w:sz w:val="28"/>
          <w:szCs w:val="28"/>
        </w:rPr>
        <w:t>.</w:t>
      </w:r>
      <w:r>
        <w:rPr>
          <w:sz w:val="28"/>
          <w:szCs w:val="28"/>
        </w:rPr>
        <w:t xml:space="preserve"> Pasākumā atlikušais publiskais finansējums paredzēts zivsaimniecības uzņēmumu </w:t>
      </w:r>
      <w:proofErr w:type="spellStart"/>
      <w:r>
        <w:rPr>
          <w:sz w:val="28"/>
          <w:szCs w:val="28"/>
        </w:rPr>
        <w:t>kopstendiem</w:t>
      </w:r>
      <w:proofErr w:type="spellEnd"/>
      <w:r>
        <w:rPr>
          <w:sz w:val="28"/>
          <w:szCs w:val="28"/>
        </w:rPr>
        <w:t xml:space="preserve"> izstādēs līdz plānošanas perioda beigām.</w:t>
      </w:r>
    </w:p>
    <w:p w:rsidR="00C57F89" w:rsidRPr="00D12ED9" w:rsidRDefault="00C57F89" w:rsidP="00445014">
      <w:pPr>
        <w:autoSpaceDE w:val="0"/>
        <w:autoSpaceDN w:val="0"/>
        <w:adjustRightInd w:val="0"/>
        <w:ind w:firstLine="720"/>
        <w:jc w:val="both"/>
        <w:rPr>
          <w:sz w:val="28"/>
          <w:szCs w:val="28"/>
        </w:rPr>
      </w:pPr>
    </w:p>
    <w:p w:rsidR="00C57F89" w:rsidRPr="00D12ED9" w:rsidRDefault="00C57F89" w:rsidP="00445014">
      <w:pPr>
        <w:autoSpaceDE w:val="0"/>
        <w:autoSpaceDN w:val="0"/>
        <w:adjustRightInd w:val="0"/>
        <w:ind w:firstLine="720"/>
        <w:jc w:val="both"/>
        <w:rPr>
          <w:sz w:val="28"/>
          <w:szCs w:val="28"/>
        </w:rPr>
      </w:pPr>
      <w:r w:rsidRPr="00D12ED9">
        <w:rPr>
          <w:sz w:val="28"/>
          <w:szCs w:val="28"/>
        </w:rPr>
        <w:t>201</w:t>
      </w:r>
      <w:r>
        <w:rPr>
          <w:sz w:val="28"/>
          <w:szCs w:val="28"/>
        </w:rPr>
        <w:t xml:space="preserve">1.gadā turpinājās </w:t>
      </w:r>
      <w:r w:rsidRPr="00D12ED9">
        <w:rPr>
          <w:sz w:val="28"/>
          <w:szCs w:val="28"/>
        </w:rPr>
        <w:t xml:space="preserve">vietējo iniciatīvas pasākumu atbalstīšana </w:t>
      </w:r>
      <w:r w:rsidRPr="00D12ED9">
        <w:rPr>
          <w:b/>
          <w:i/>
          <w:sz w:val="28"/>
          <w:szCs w:val="28"/>
        </w:rPr>
        <w:t>4.prioritār</w:t>
      </w:r>
      <w:r>
        <w:rPr>
          <w:b/>
          <w:i/>
          <w:sz w:val="28"/>
          <w:szCs w:val="28"/>
        </w:rPr>
        <w:t>ajā</w:t>
      </w:r>
      <w:r w:rsidRPr="00D12ED9">
        <w:rPr>
          <w:b/>
          <w:i/>
          <w:sz w:val="28"/>
          <w:szCs w:val="28"/>
        </w:rPr>
        <w:t xml:space="preserve"> virzien</w:t>
      </w:r>
      <w:r>
        <w:rPr>
          <w:b/>
          <w:i/>
          <w:sz w:val="28"/>
          <w:szCs w:val="28"/>
        </w:rPr>
        <w:t>ā</w:t>
      </w:r>
      <w:r w:rsidRPr="00D12ED9">
        <w:rPr>
          <w:b/>
          <w:i/>
          <w:sz w:val="28"/>
          <w:szCs w:val="28"/>
        </w:rPr>
        <w:t xml:space="preserve"> „Zivsaimniecības reģionu ilgtspējīga attīstība</w:t>
      </w:r>
      <w:r w:rsidRPr="00D12ED9">
        <w:rPr>
          <w:b/>
          <w:sz w:val="28"/>
          <w:szCs w:val="28"/>
        </w:rPr>
        <w:t>”</w:t>
      </w:r>
      <w:r w:rsidRPr="00D12ED9">
        <w:rPr>
          <w:sz w:val="28"/>
          <w:szCs w:val="28"/>
        </w:rPr>
        <w:t xml:space="preserve">. No </w:t>
      </w:r>
      <w:r>
        <w:rPr>
          <w:sz w:val="28"/>
          <w:szCs w:val="28"/>
        </w:rPr>
        <w:t>virzienā pieejamajiem</w:t>
      </w:r>
      <w:r w:rsidRPr="00D12ED9">
        <w:rPr>
          <w:sz w:val="28"/>
          <w:szCs w:val="28"/>
        </w:rPr>
        <w:t xml:space="preserve"> </w:t>
      </w:r>
      <w:r>
        <w:rPr>
          <w:sz w:val="28"/>
          <w:szCs w:val="28"/>
        </w:rPr>
        <w:t>16,1</w:t>
      </w:r>
      <w:r w:rsidRPr="00D12ED9">
        <w:rPr>
          <w:sz w:val="28"/>
          <w:szCs w:val="28"/>
        </w:rPr>
        <w:t xml:space="preserve"> miljon</w:t>
      </w:r>
      <w:r>
        <w:rPr>
          <w:sz w:val="28"/>
          <w:szCs w:val="28"/>
        </w:rPr>
        <w:t>a</w:t>
      </w:r>
      <w:r w:rsidRPr="00D12ED9">
        <w:rPr>
          <w:sz w:val="28"/>
          <w:szCs w:val="28"/>
        </w:rPr>
        <w:t xml:space="preserve"> latu publiskā finansējuma</w:t>
      </w:r>
      <w:r>
        <w:rPr>
          <w:sz w:val="28"/>
          <w:szCs w:val="28"/>
        </w:rPr>
        <w:t xml:space="preserve">, izsludināti 10,5 milj. latu. No tiem </w:t>
      </w:r>
      <w:r w:rsidRPr="00D12ED9">
        <w:rPr>
          <w:sz w:val="28"/>
          <w:szCs w:val="28"/>
        </w:rPr>
        <w:t xml:space="preserve">projektu īstenošanai </w:t>
      </w:r>
      <w:r>
        <w:rPr>
          <w:sz w:val="28"/>
          <w:szCs w:val="28"/>
        </w:rPr>
        <w:t>rezervēti</w:t>
      </w:r>
      <w:r w:rsidRPr="00D12ED9">
        <w:rPr>
          <w:sz w:val="28"/>
          <w:szCs w:val="28"/>
        </w:rPr>
        <w:t xml:space="preserve"> </w:t>
      </w:r>
      <w:r>
        <w:rPr>
          <w:sz w:val="28"/>
          <w:szCs w:val="28"/>
        </w:rPr>
        <w:t>3,55</w:t>
      </w:r>
      <w:r w:rsidRPr="00D12ED9">
        <w:rPr>
          <w:sz w:val="28"/>
          <w:szCs w:val="28"/>
        </w:rPr>
        <w:t xml:space="preserve"> milj. </w:t>
      </w:r>
      <w:r>
        <w:rPr>
          <w:sz w:val="28"/>
          <w:szCs w:val="28"/>
        </w:rPr>
        <w:t>latu</w:t>
      </w:r>
      <w:r w:rsidRPr="00D12ED9">
        <w:rPr>
          <w:sz w:val="28"/>
          <w:szCs w:val="28"/>
        </w:rPr>
        <w:t xml:space="preserve"> jeb </w:t>
      </w:r>
      <w:r>
        <w:rPr>
          <w:sz w:val="28"/>
          <w:szCs w:val="28"/>
        </w:rPr>
        <w:t>tikai 22</w:t>
      </w:r>
      <w:r w:rsidRPr="00D12ED9">
        <w:rPr>
          <w:sz w:val="28"/>
          <w:szCs w:val="28"/>
        </w:rPr>
        <w:t>% no pasākumā pieejamā publiskā finansējuma</w:t>
      </w:r>
      <w:r>
        <w:rPr>
          <w:sz w:val="28"/>
          <w:szCs w:val="28"/>
        </w:rPr>
        <w:t xml:space="preserve"> (34% no izsludinātā publiskā finansējuma), un tas rada bažas par publiskā finansējuma apguvi.</w:t>
      </w:r>
      <w:r w:rsidRPr="00D12ED9">
        <w:rPr>
          <w:sz w:val="28"/>
          <w:szCs w:val="28"/>
        </w:rPr>
        <w:t xml:space="preserve"> </w:t>
      </w:r>
      <w:r>
        <w:rPr>
          <w:sz w:val="28"/>
          <w:szCs w:val="28"/>
        </w:rPr>
        <w:t>A</w:t>
      </w:r>
      <w:r w:rsidRPr="00D12ED9">
        <w:rPr>
          <w:sz w:val="28"/>
          <w:szCs w:val="28"/>
        </w:rPr>
        <w:t xml:space="preserve">tbalsta saņēmējiem izmaksāti </w:t>
      </w:r>
      <w:r>
        <w:rPr>
          <w:sz w:val="28"/>
          <w:szCs w:val="28"/>
        </w:rPr>
        <w:t>tikai 1</w:t>
      </w:r>
      <w:r w:rsidRPr="00D12ED9">
        <w:rPr>
          <w:sz w:val="28"/>
          <w:szCs w:val="28"/>
        </w:rPr>
        <w:t>,</w:t>
      </w:r>
      <w:r>
        <w:rPr>
          <w:sz w:val="28"/>
          <w:szCs w:val="28"/>
        </w:rPr>
        <w:t>9</w:t>
      </w:r>
      <w:r w:rsidRPr="00D12ED9">
        <w:rPr>
          <w:sz w:val="28"/>
          <w:szCs w:val="28"/>
        </w:rPr>
        <w:t xml:space="preserve"> milj. </w:t>
      </w:r>
      <w:r>
        <w:rPr>
          <w:sz w:val="28"/>
          <w:szCs w:val="28"/>
        </w:rPr>
        <w:t>latu (12% no pieejamā publiskā finansējuma)</w:t>
      </w:r>
      <w:r w:rsidRPr="00D12ED9">
        <w:rPr>
          <w:sz w:val="28"/>
          <w:szCs w:val="28"/>
        </w:rPr>
        <w:t xml:space="preserve">. Vietējās iniciatīvas pasākumi tiek īstenoti ar vietējo rīcības grupu starpniecību un </w:t>
      </w:r>
      <w:r>
        <w:rPr>
          <w:sz w:val="28"/>
          <w:szCs w:val="28"/>
        </w:rPr>
        <w:t>pamatojas</w:t>
      </w:r>
      <w:r w:rsidRPr="00D12ED9">
        <w:rPr>
          <w:sz w:val="28"/>
          <w:szCs w:val="28"/>
        </w:rPr>
        <w:t xml:space="preserve"> uz to izstrādātajām vietējās attīstības stratēģijām. 24 vietējās rīcības grupas ir atbilstošas, lai saņemtu atbalstu no Eiropas Zivsaimniecības fonda projektu īstenošanai savās teritorijās. Projektu iesniegumu pieņemšanu izsludina pašas vietējās rīcības grupas un veic arī projektu sākotnējo izvērtēšanu, t.i., vērtē</w:t>
      </w:r>
      <w:r>
        <w:rPr>
          <w:sz w:val="28"/>
          <w:szCs w:val="28"/>
        </w:rPr>
        <w:t>,</w:t>
      </w:r>
      <w:r w:rsidRPr="00D12ED9">
        <w:rPr>
          <w:sz w:val="28"/>
          <w:szCs w:val="28"/>
        </w:rPr>
        <w:t xml:space="preserve"> vai iesniegtie projekti atbilst stratēģijai. Lielākā interese no projektu iesniedzējiem līdz šim bijusi aktivitātēs, kas saistītas ar investīcijām infrastruktūrā ciemu attīstībā un investīcijām zivsaimniecīb</w:t>
      </w:r>
      <w:r>
        <w:rPr>
          <w:sz w:val="28"/>
          <w:szCs w:val="28"/>
        </w:rPr>
        <w:t>as</w:t>
      </w:r>
      <w:r w:rsidRPr="00D12ED9">
        <w:rPr>
          <w:sz w:val="28"/>
          <w:szCs w:val="28"/>
        </w:rPr>
        <w:t xml:space="preserve"> un tūrism</w:t>
      </w:r>
      <w:r>
        <w:rPr>
          <w:sz w:val="28"/>
          <w:szCs w:val="28"/>
        </w:rPr>
        <w:t>a attīstībā</w:t>
      </w:r>
      <w:r w:rsidRPr="00D12ED9">
        <w:rPr>
          <w:sz w:val="28"/>
          <w:szCs w:val="28"/>
        </w:rPr>
        <w:t xml:space="preserve">. </w:t>
      </w:r>
      <w:r>
        <w:rPr>
          <w:sz w:val="28"/>
          <w:szCs w:val="28"/>
        </w:rPr>
        <w:t>Saskaņā ar Zivsaimniecības konsultatīvās padomes lēmumu līdz šim 4.prioritārajā virzienā neizsludināto publisko finansējumu ierosināts pārdalīt RP pasākumiem, kurus īstenojot investīcijas nonāk tieši zivsaimniecības nozarē.</w:t>
      </w:r>
    </w:p>
    <w:p w:rsidR="00C57F89" w:rsidRPr="007B55BA" w:rsidRDefault="00C57F89" w:rsidP="00ED5054">
      <w:pPr>
        <w:pStyle w:val="Parasts"/>
        <w:ind w:firstLine="567"/>
        <w:jc w:val="both"/>
        <w:rPr>
          <w:color w:val="000000"/>
          <w:sz w:val="28"/>
          <w:szCs w:val="28"/>
        </w:rPr>
      </w:pPr>
      <w:r w:rsidRPr="007B55BA">
        <w:rPr>
          <w:color w:val="000000"/>
          <w:sz w:val="28"/>
          <w:szCs w:val="28"/>
        </w:rPr>
        <w:t xml:space="preserve">                                                                    </w:t>
      </w:r>
    </w:p>
    <w:p w:rsidR="00C57F89" w:rsidRPr="007B55BA" w:rsidRDefault="00C57F89" w:rsidP="00ED5054">
      <w:pPr>
        <w:pStyle w:val="Parasts"/>
        <w:jc w:val="both"/>
      </w:pPr>
    </w:p>
    <w:p w:rsidR="00C57F89" w:rsidRPr="007B55BA" w:rsidRDefault="00C57F89" w:rsidP="00ED5054">
      <w:pPr>
        <w:pStyle w:val="Virsraksts7"/>
        <w:numPr>
          <w:ilvl w:val="0"/>
          <w:numId w:val="0"/>
        </w:numPr>
        <w:spacing w:before="0" w:after="0"/>
        <w:ind w:left="720"/>
        <w:rPr>
          <w:sz w:val="28"/>
          <w:szCs w:val="28"/>
        </w:rPr>
      </w:pPr>
      <w:r w:rsidRPr="007B55BA">
        <w:rPr>
          <w:sz w:val="28"/>
          <w:szCs w:val="28"/>
        </w:rPr>
        <w:t>Zemkopības ministre</w:t>
      </w:r>
      <w:r w:rsidRPr="007B55BA">
        <w:rPr>
          <w:sz w:val="28"/>
          <w:szCs w:val="28"/>
        </w:rPr>
        <w:tab/>
      </w:r>
      <w:r w:rsidRPr="007B55BA">
        <w:rPr>
          <w:sz w:val="28"/>
          <w:szCs w:val="28"/>
        </w:rPr>
        <w:tab/>
      </w:r>
      <w:r w:rsidRPr="007B55BA">
        <w:rPr>
          <w:sz w:val="28"/>
          <w:szCs w:val="28"/>
        </w:rPr>
        <w:tab/>
      </w:r>
      <w:r w:rsidRPr="007B55BA">
        <w:rPr>
          <w:sz w:val="28"/>
          <w:szCs w:val="28"/>
        </w:rPr>
        <w:tab/>
      </w:r>
      <w:r w:rsidRPr="007B55BA">
        <w:rPr>
          <w:sz w:val="28"/>
          <w:szCs w:val="28"/>
        </w:rPr>
        <w:tab/>
      </w:r>
      <w:r w:rsidRPr="007B55BA">
        <w:rPr>
          <w:sz w:val="28"/>
          <w:szCs w:val="28"/>
        </w:rPr>
        <w:tab/>
        <w:t>L.Straujuma</w:t>
      </w:r>
    </w:p>
    <w:p w:rsidR="00C57F89" w:rsidRDefault="00C57F89" w:rsidP="00ED5054">
      <w:pPr>
        <w:pStyle w:val="Parasts"/>
        <w:rPr>
          <w:sz w:val="20"/>
          <w:szCs w:val="20"/>
        </w:rPr>
      </w:pPr>
    </w:p>
    <w:p w:rsidR="00C57F89" w:rsidRDefault="00C57F89"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A50014" w:rsidRDefault="00A50014" w:rsidP="00ED5054">
      <w:pPr>
        <w:pStyle w:val="Parasts"/>
        <w:rPr>
          <w:sz w:val="20"/>
          <w:szCs w:val="20"/>
        </w:rPr>
      </w:pPr>
    </w:p>
    <w:p w:rsidR="00C57F89" w:rsidRDefault="00C57F89" w:rsidP="00ED5054">
      <w:pPr>
        <w:pStyle w:val="Parasts"/>
        <w:rPr>
          <w:sz w:val="20"/>
          <w:szCs w:val="20"/>
        </w:rPr>
      </w:pPr>
    </w:p>
    <w:p w:rsidR="00A50014" w:rsidRDefault="00A50014" w:rsidP="000122AA">
      <w:pPr>
        <w:jc w:val="both"/>
      </w:pPr>
      <w:r>
        <w:t>2012.04.05. 8:48</w:t>
      </w:r>
    </w:p>
    <w:p w:rsidR="00A50014" w:rsidRDefault="00A50014" w:rsidP="000122AA">
      <w:pPr>
        <w:jc w:val="both"/>
      </w:pPr>
      <w:fldSimple w:instr=" NUMWORDS   \* MERGEFORMAT ">
        <w:r>
          <w:rPr>
            <w:noProof/>
          </w:rPr>
          <w:t>1600</w:t>
        </w:r>
      </w:fldSimple>
    </w:p>
    <w:p w:rsidR="00C57F89" w:rsidRPr="00CB6D23" w:rsidRDefault="00C57F89" w:rsidP="000122AA">
      <w:pPr>
        <w:jc w:val="both"/>
      </w:pPr>
      <w:r>
        <w:t>K.Pilskalns</w:t>
      </w:r>
    </w:p>
    <w:p w:rsidR="00C57F89" w:rsidRDefault="00C57F89" w:rsidP="000122AA">
      <w:pPr>
        <w:jc w:val="both"/>
      </w:pPr>
      <w:r>
        <w:t>67878727</w:t>
      </w:r>
      <w:r w:rsidRPr="00CB6D23">
        <w:t xml:space="preserve">, </w:t>
      </w:r>
      <w:r w:rsidRPr="00A50014">
        <w:t>Kristaps.Pilskalns@zm.gov.lv</w:t>
      </w:r>
    </w:p>
    <w:sectPr w:rsidR="00C57F89" w:rsidSect="00A5001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0C" w:rsidRDefault="004C7F0C">
      <w:pPr>
        <w:pStyle w:val="Parasts"/>
      </w:pPr>
      <w:r>
        <w:separator/>
      </w:r>
    </w:p>
  </w:endnote>
  <w:endnote w:type="continuationSeparator" w:id="0">
    <w:p w:rsidR="004C7F0C" w:rsidRDefault="004C7F0C">
      <w:pPr>
        <w:pStyle w:val="Para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89" w:rsidRPr="00785BC1" w:rsidRDefault="00C57F89" w:rsidP="00EA118A">
    <w:pPr>
      <w:pStyle w:val="Kjene"/>
      <w:rPr>
        <w:sz w:val="20"/>
        <w:szCs w:val="20"/>
      </w:rPr>
    </w:pPr>
    <w:r>
      <w:rPr>
        <w:sz w:val="20"/>
        <w:szCs w:val="20"/>
      </w:rPr>
      <w:t>ZMZino</w:t>
    </w:r>
    <w:r w:rsidRPr="00785BC1">
      <w:rPr>
        <w:sz w:val="20"/>
        <w:szCs w:val="20"/>
      </w:rPr>
      <w:t>_</w:t>
    </w:r>
    <w:r w:rsidR="009B6C1C">
      <w:rPr>
        <w:sz w:val="20"/>
        <w:szCs w:val="20"/>
      </w:rPr>
      <w:t>04</w:t>
    </w:r>
    <w:r w:rsidRPr="00785BC1">
      <w:rPr>
        <w:sz w:val="20"/>
        <w:szCs w:val="20"/>
      </w:rPr>
      <w:t>0</w:t>
    </w:r>
    <w:r w:rsidR="009B6C1C">
      <w:rPr>
        <w:sz w:val="20"/>
        <w:szCs w:val="20"/>
      </w:rPr>
      <w:t>4</w:t>
    </w:r>
    <w:r w:rsidRPr="00785BC1">
      <w:rPr>
        <w:sz w:val="20"/>
        <w:szCs w:val="20"/>
      </w:rP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89" w:rsidRPr="00785BC1" w:rsidRDefault="00C57F89" w:rsidP="00785BC1">
    <w:pPr>
      <w:pStyle w:val="Kjene"/>
      <w:rPr>
        <w:sz w:val="20"/>
        <w:szCs w:val="20"/>
      </w:rPr>
    </w:pPr>
    <w:r>
      <w:rPr>
        <w:sz w:val="20"/>
        <w:szCs w:val="20"/>
      </w:rPr>
      <w:t>ZMZino</w:t>
    </w:r>
    <w:r w:rsidRPr="00785BC1">
      <w:rPr>
        <w:sz w:val="20"/>
        <w:szCs w:val="20"/>
      </w:rPr>
      <w:t>_</w:t>
    </w:r>
    <w:r w:rsidR="009B6C1C">
      <w:rPr>
        <w:sz w:val="20"/>
        <w:szCs w:val="20"/>
      </w:rPr>
      <w:t>04</w:t>
    </w:r>
    <w:r w:rsidRPr="00785BC1">
      <w:rPr>
        <w:sz w:val="20"/>
        <w:szCs w:val="20"/>
      </w:rPr>
      <w:t>0</w:t>
    </w:r>
    <w:r w:rsidR="009B6C1C">
      <w:rPr>
        <w:sz w:val="20"/>
        <w:szCs w:val="20"/>
      </w:rPr>
      <w:t>4</w:t>
    </w:r>
    <w:r w:rsidRPr="00785BC1">
      <w:rPr>
        <w:sz w:val="20"/>
        <w:szCs w:val="20"/>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0C" w:rsidRDefault="004C7F0C">
      <w:pPr>
        <w:pStyle w:val="Parasts"/>
      </w:pPr>
      <w:r>
        <w:separator/>
      </w:r>
    </w:p>
  </w:footnote>
  <w:footnote w:type="continuationSeparator" w:id="0">
    <w:p w:rsidR="004C7F0C" w:rsidRDefault="004C7F0C">
      <w:pPr>
        <w:pStyle w:val="Parasts"/>
      </w:pPr>
      <w:r>
        <w:continuationSeparator/>
      </w:r>
    </w:p>
  </w:footnote>
  <w:footnote w:id="1">
    <w:p w:rsidR="00C57F89" w:rsidRPr="00EE6554" w:rsidRDefault="00C57F89" w:rsidP="00EE6554">
      <w:r>
        <w:rPr>
          <w:rStyle w:val="Vresatsauce"/>
        </w:rPr>
        <w:footnoteRef/>
      </w:r>
      <w:r>
        <w:t xml:space="preserve"> Izveidota un darbojas saskaņā ar Ministru kabineta 2005.gada 25.janvāra noteikumiem Nr.62 „</w:t>
      </w:r>
      <w:r w:rsidRPr="00EE6554">
        <w:t>Zivsaimniecības konsultatīvās padomes nolikums</w:t>
      </w:r>
      <w:r>
        <w:t>”</w:t>
      </w:r>
    </w:p>
    <w:p w:rsidR="00C57F89" w:rsidRDefault="00C57F89" w:rsidP="00EE65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89" w:rsidRDefault="00E42251">
    <w:pPr>
      <w:pStyle w:val="Galvene"/>
      <w:jc w:val="center"/>
    </w:pPr>
    <w:fldSimple w:instr=" PAGE   \* MERGEFORMAT ">
      <w:r w:rsidR="00A50014">
        <w:rPr>
          <w:noProof/>
        </w:rPr>
        <w:t>6</w:t>
      </w:r>
    </w:fldSimple>
  </w:p>
  <w:p w:rsidR="00C57F89" w:rsidRDefault="00C57F8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61"/>
    <w:multiLevelType w:val="hybridMultilevel"/>
    <w:tmpl w:val="E0688DB8"/>
    <w:lvl w:ilvl="0" w:tplc="ED62819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6668B0"/>
    <w:multiLevelType w:val="hybridMultilevel"/>
    <w:tmpl w:val="FE12933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nsid w:val="0F306856"/>
    <w:multiLevelType w:val="hybridMultilevel"/>
    <w:tmpl w:val="2DD26156"/>
    <w:lvl w:ilvl="0" w:tplc="923C97EE">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3">
    <w:nsid w:val="166B422B"/>
    <w:multiLevelType w:val="multilevel"/>
    <w:tmpl w:val="5992D0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A23EE6"/>
    <w:multiLevelType w:val="hybridMultilevel"/>
    <w:tmpl w:val="7EECA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D8655A"/>
    <w:multiLevelType w:val="hybridMultilevel"/>
    <w:tmpl w:val="A6A2397A"/>
    <w:lvl w:ilvl="0" w:tplc="602AB1F6">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6">
    <w:nsid w:val="1C47055A"/>
    <w:multiLevelType w:val="hybridMultilevel"/>
    <w:tmpl w:val="118CAFD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DF90C2A"/>
    <w:multiLevelType w:val="hybridMultilevel"/>
    <w:tmpl w:val="9DC2B4E4"/>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E9B6EC9"/>
    <w:multiLevelType w:val="hybridMultilevel"/>
    <w:tmpl w:val="BE80C43C"/>
    <w:lvl w:ilvl="0" w:tplc="9CEED61E">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FFB3657"/>
    <w:multiLevelType w:val="hybridMultilevel"/>
    <w:tmpl w:val="AE1050A6"/>
    <w:lvl w:ilvl="0" w:tplc="663C60D8">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0">
    <w:nsid w:val="49A91A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4A87BB5"/>
    <w:multiLevelType w:val="hybridMultilevel"/>
    <w:tmpl w:val="1BE8FDFC"/>
    <w:lvl w:ilvl="0" w:tplc="49CA2E9A">
      <w:start w:val="1"/>
      <w:numFmt w:val="decimal"/>
      <w:lvlText w:val="%1)"/>
      <w:lvlJc w:val="left"/>
      <w:pPr>
        <w:ind w:left="1740" w:hanging="1020"/>
      </w:pPr>
      <w:rPr>
        <w:rFonts w:eastAsia="Times New Roman" w:cs="Times New Roman" w:hint="default"/>
        <w:sz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571914E2"/>
    <w:multiLevelType w:val="multilevel"/>
    <w:tmpl w:val="FE06D494"/>
    <w:lvl w:ilvl="0">
      <w:start w:val="1"/>
      <w:numFmt w:val="none"/>
      <w:pStyle w:val="Virsraksts1"/>
      <w:lvlText w:val=""/>
      <w:lvlJc w:val="left"/>
      <w:pPr>
        <w:tabs>
          <w:tab w:val="num" w:pos="360"/>
        </w:tabs>
      </w:pPr>
      <w:rPr>
        <w:rFonts w:cs="Times New Roman" w:hint="default"/>
      </w:rPr>
    </w:lvl>
    <w:lvl w:ilvl="1">
      <w:start w:val="1"/>
      <w:numFmt w:val="upperRoman"/>
      <w:pStyle w:val="Virsraksts2"/>
      <w:lvlText w:val="%2."/>
      <w:lvlJc w:val="left"/>
      <w:pPr>
        <w:tabs>
          <w:tab w:val="num" w:pos="720"/>
        </w:tabs>
      </w:pPr>
      <w:rPr>
        <w:rFonts w:cs="Times New Roman" w:hint="default"/>
      </w:rPr>
    </w:lvl>
    <w:lvl w:ilvl="2">
      <w:start w:val="1"/>
      <w:numFmt w:val="decimal"/>
      <w:pStyle w:val="Virsraksts3"/>
      <w:lvlText w:val="%3."/>
      <w:lvlJc w:val="left"/>
      <w:pPr>
        <w:tabs>
          <w:tab w:val="num" w:pos="502"/>
        </w:tabs>
      </w:pPr>
      <w:rPr>
        <w:rFonts w:cs="Times New Roman" w:hint="default"/>
      </w:rPr>
    </w:lvl>
    <w:lvl w:ilvl="3">
      <w:start w:val="1"/>
      <w:numFmt w:val="decimal"/>
      <w:pStyle w:val="Virsraksts4"/>
      <w:lvlText w:val="%3.%4."/>
      <w:lvlJc w:val="left"/>
      <w:pPr>
        <w:tabs>
          <w:tab w:val="num" w:pos="720"/>
        </w:tabs>
      </w:pPr>
      <w:rPr>
        <w:rFonts w:cs="Times New Roman" w:hint="default"/>
      </w:rPr>
    </w:lvl>
    <w:lvl w:ilvl="4">
      <w:start w:val="1"/>
      <w:numFmt w:val="decimal"/>
      <w:pStyle w:val="Virsraksts5"/>
      <w:lvlText w:val="%3.%4.%5."/>
      <w:lvlJc w:val="left"/>
      <w:pPr>
        <w:tabs>
          <w:tab w:val="num" w:pos="1440"/>
        </w:tabs>
        <w:ind w:left="720"/>
      </w:pPr>
      <w:rPr>
        <w:rFonts w:cs="Times New Roman" w:hint="default"/>
      </w:rPr>
    </w:lvl>
    <w:lvl w:ilvl="5">
      <w:start w:val="1"/>
      <w:numFmt w:val="lowerLetter"/>
      <w:pStyle w:val="Virsraksts6"/>
      <w:lvlText w:val="(%6)"/>
      <w:lvlJc w:val="left"/>
      <w:pPr>
        <w:tabs>
          <w:tab w:val="num" w:pos="1800"/>
        </w:tabs>
        <w:ind w:left="1440"/>
      </w:pPr>
      <w:rPr>
        <w:rFonts w:cs="Times New Roman" w:hint="default"/>
      </w:rPr>
    </w:lvl>
    <w:lvl w:ilvl="6">
      <w:start w:val="1"/>
      <w:numFmt w:val="lowerRoman"/>
      <w:pStyle w:val="Virsraksts7"/>
      <w:lvlText w:val="(%7)"/>
      <w:lvlJc w:val="left"/>
      <w:pPr>
        <w:tabs>
          <w:tab w:val="num" w:pos="2520"/>
        </w:tabs>
        <w:ind w:left="2160"/>
      </w:pPr>
      <w:rPr>
        <w:rFonts w:cs="Times New Roman" w:hint="default"/>
      </w:rPr>
    </w:lvl>
    <w:lvl w:ilvl="7">
      <w:start w:val="1"/>
      <w:numFmt w:val="lowerLetter"/>
      <w:pStyle w:val="Virsraksts8"/>
      <w:lvlText w:val="(%8)"/>
      <w:lvlJc w:val="left"/>
      <w:pPr>
        <w:tabs>
          <w:tab w:val="num" w:pos="3240"/>
        </w:tabs>
        <w:ind w:left="2880"/>
      </w:pPr>
      <w:rPr>
        <w:rFonts w:cs="Times New Roman" w:hint="default"/>
      </w:rPr>
    </w:lvl>
    <w:lvl w:ilvl="8">
      <w:start w:val="1"/>
      <w:numFmt w:val="lowerRoman"/>
      <w:pStyle w:val="Virsraksts9"/>
      <w:lvlText w:val="(%9)"/>
      <w:lvlJc w:val="left"/>
      <w:pPr>
        <w:tabs>
          <w:tab w:val="num" w:pos="3960"/>
        </w:tabs>
        <w:ind w:left="3600"/>
      </w:pPr>
      <w:rPr>
        <w:rFonts w:cs="Times New Roman" w:hint="default"/>
      </w:rPr>
    </w:lvl>
  </w:abstractNum>
  <w:abstractNum w:abstractNumId="13">
    <w:nsid w:val="607D6B13"/>
    <w:multiLevelType w:val="hybridMultilevel"/>
    <w:tmpl w:val="230CD598"/>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B89409C"/>
    <w:multiLevelType w:val="hybridMultilevel"/>
    <w:tmpl w:val="A7D2D622"/>
    <w:lvl w:ilvl="0" w:tplc="ED628196">
      <w:numFmt w:val="bullet"/>
      <w:lvlText w:val="-"/>
      <w:lvlJc w:val="left"/>
      <w:pPr>
        <w:ind w:left="1287" w:hanging="360"/>
      </w:pPr>
      <w:rPr>
        <w:rFonts w:ascii="Times New Roman" w:eastAsia="Times New Roman" w:hAnsi="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2"/>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8"/>
  </w:num>
  <w:num w:numId="7">
    <w:abstractNumId w:val="5"/>
  </w:num>
  <w:num w:numId="8">
    <w:abstractNumId w:val="4"/>
  </w:num>
  <w:num w:numId="9">
    <w:abstractNumId w:val="0"/>
  </w:num>
  <w:num w:numId="10">
    <w:abstractNumId w:val="7"/>
  </w:num>
  <w:num w:numId="11">
    <w:abstractNumId w:val="13"/>
  </w:num>
  <w:num w:numId="12">
    <w:abstractNumId w:val="14"/>
  </w:num>
  <w:num w:numId="13">
    <w:abstractNumId w:val="6"/>
  </w:num>
  <w:num w:numId="14">
    <w:abstractNumId w:val="1"/>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D15D5"/>
    <w:rsid w:val="000019ED"/>
    <w:rsid w:val="00010F31"/>
    <w:rsid w:val="0001114A"/>
    <w:rsid w:val="00011385"/>
    <w:rsid w:val="000122AA"/>
    <w:rsid w:val="00024F28"/>
    <w:rsid w:val="0002513C"/>
    <w:rsid w:val="00042FCB"/>
    <w:rsid w:val="00044438"/>
    <w:rsid w:val="00045991"/>
    <w:rsid w:val="0005440D"/>
    <w:rsid w:val="00056AD3"/>
    <w:rsid w:val="00057DC9"/>
    <w:rsid w:val="000600F0"/>
    <w:rsid w:val="00062700"/>
    <w:rsid w:val="00064D11"/>
    <w:rsid w:val="000663AB"/>
    <w:rsid w:val="00070270"/>
    <w:rsid w:val="000719A5"/>
    <w:rsid w:val="0007296B"/>
    <w:rsid w:val="000A580A"/>
    <w:rsid w:val="000B4272"/>
    <w:rsid w:val="000B4C05"/>
    <w:rsid w:val="000E0168"/>
    <w:rsid w:val="000E61FC"/>
    <w:rsid w:val="000F21CA"/>
    <w:rsid w:val="000F2F5D"/>
    <w:rsid w:val="000F537D"/>
    <w:rsid w:val="001026EB"/>
    <w:rsid w:val="00102FAB"/>
    <w:rsid w:val="00106F42"/>
    <w:rsid w:val="00112CCA"/>
    <w:rsid w:val="00123C9D"/>
    <w:rsid w:val="001371CA"/>
    <w:rsid w:val="00140FDD"/>
    <w:rsid w:val="001461AE"/>
    <w:rsid w:val="0014768D"/>
    <w:rsid w:val="00152B51"/>
    <w:rsid w:val="00156FF3"/>
    <w:rsid w:val="00161830"/>
    <w:rsid w:val="00163711"/>
    <w:rsid w:val="001737BD"/>
    <w:rsid w:val="001777A7"/>
    <w:rsid w:val="00191650"/>
    <w:rsid w:val="001A1336"/>
    <w:rsid w:val="001A24D0"/>
    <w:rsid w:val="001A34FA"/>
    <w:rsid w:val="001B08F7"/>
    <w:rsid w:val="001B10E7"/>
    <w:rsid w:val="001B289E"/>
    <w:rsid w:val="001C672E"/>
    <w:rsid w:val="001D013A"/>
    <w:rsid w:val="001D0927"/>
    <w:rsid w:val="001E7398"/>
    <w:rsid w:val="00200217"/>
    <w:rsid w:val="0020224B"/>
    <w:rsid w:val="002056B5"/>
    <w:rsid w:val="00211807"/>
    <w:rsid w:val="0022109E"/>
    <w:rsid w:val="0022758F"/>
    <w:rsid w:val="002326BC"/>
    <w:rsid w:val="002367F7"/>
    <w:rsid w:val="00240AD7"/>
    <w:rsid w:val="00247365"/>
    <w:rsid w:val="00257F88"/>
    <w:rsid w:val="00263E89"/>
    <w:rsid w:val="002651A3"/>
    <w:rsid w:val="00265E0C"/>
    <w:rsid w:val="002664D1"/>
    <w:rsid w:val="00267A6C"/>
    <w:rsid w:val="00285890"/>
    <w:rsid w:val="00286D22"/>
    <w:rsid w:val="00287166"/>
    <w:rsid w:val="00296CAF"/>
    <w:rsid w:val="002A114B"/>
    <w:rsid w:val="002A6D9F"/>
    <w:rsid w:val="002D051A"/>
    <w:rsid w:val="002E52F4"/>
    <w:rsid w:val="002E747D"/>
    <w:rsid w:val="002F788C"/>
    <w:rsid w:val="00303956"/>
    <w:rsid w:val="0031362B"/>
    <w:rsid w:val="003147BA"/>
    <w:rsid w:val="00323470"/>
    <w:rsid w:val="003237E5"/>
    <w:rsid w:val="00333E5D"/>
    <w:rsid w:val="00336107"/>
    <w:rsid w:val="00377E42"/>
    <w:rsid w:val="00387088"/>
    <w:rsid w:val="00391F6D"/>
    <w:rsid w:val="0039317B"/>
    <w:rsid w:val="003A0559"/>
    <w:rsid w:val="003A1778"/>
    <w:rsid w:val="003B59A9"/>
    <w:rsid w:val="003B73BD"/>
    <w:rsid w:val="003D6815"/>
    <w:rsid w:val="003E2D36"/>
    <w:rsid w:val="003E37C1"/>
    <w:rsid w:val="003F0A42"/>
    <w:rsid w:val="00400B1E"/>
    <w:rsid w:val="004069BB"/>
    <w:rsid w:val="004116AB"/>
    <w:rsid w:val="00430CF4"/>
    <w:rsid w:val="00431F9C"/>
    <w:rsid w:val="00436289"/>
    <w:rsid w:val="00445014"/>
    <w:rsid w:val="00450A2E"/>
    <w:rsid w:val="0046087C"/>
    <w:rsid w:val="00463CEA"/>
    <w:rsid w:val="00465357"/>
    <w:rsid w:val="00475514"/>
    <w:rsid w:val="004756B3"/>
    <w:rsid w:val="00482B9D"/>
    <w:rsid w:val="00495AA9"/>
    <w:rsid w:val="004A1463"/>
    <w:rsid w:val="004B450E"/>
    <w:rsid w:val="004B50E9"/>
    <w:rsid w:val="004C5F53"/>
    <w:rsid w:val="004C7F0C"/>
    <w:rsid w:val="004D48C3"/>
    <w:rsid w:val="004E0500"/>
    <w:rsid w:val="004E7391"/>
    <w:rsid w:val="004E74B3"/>
    <w:rsid w:val="005024F2"/>
    <w:rsid w:val="00505506"/>
    <w:rsid w:val="00520F45"/>
    <w:rsid w:val="005426EC"/>
    <w:rsid w:val="00553560"/>
    <w:rsid w:val="00556B14"/>
    <w:rsid w:val="00561FF4"/>
    <w:rsid w:val="00572431"/>
    <w:rsid w:val="00572851"/>
    <w:rsid w:val="005942B3"/>
    <w:rsid w:val="005A4D3A"/>
    <w:rsid w:val="005A677E"/>
    <w:rsid w:val="005A7343"/>
    <w:rsid w:val="005A7F3A"/>
    <w:rsid w:val="005B57E9"/>
    <w:rsid w:val="005B6D49"/>
    <w:rsid w:val="005D0AA1"/>
    <w:rsid w:val="005D15D5"/>
    <w:rsid w:val="005D2841"/>
    <w:rsid w:val="005D3174"/>
    <w:rsid w:val="005E1CD4"/>
    <w:rsid w:val="005E4D74"/>
    <w:rsid w:val="005F281A"/>
    <w:rsid w:val="005F74D0"/>
    <w:rsid w:val="00602700"/>
    <w:rsid w:val="00603249"/>
    <w:rsid w:val="00614D08"/>
    <w:rsid w:val="006156D3"/>
    <w:rsid w:val="0062347A"/>
    <w:rsid w:val="0062523D"/>
    <w:rsid w:val="0062562E"/>
    <w:rsid w:val="0063055D"/>
    <w:rsid w:val="0063522C"/>
    <w:rsid w:val="0065108E"/>
    <w:rsid w:val="006557B5"/>
    <w:rsid w:val="00655B7E"/>
    <w:rsid w:val="006602E5"/>
    <w:rsid w:val="0066035F"/>
    <w:rsid w:val="006724B3"/>
    <w:rsid w:val="00673ED6"/>
    <w:rsid w:val="006775C2"/>
    <w:rsid w:val="00680739"/>
    <w:rsid w:val="00683F47"/>
    <w:rsid w:val="00690C6D"/>
    <w:rsid w:val="00693666"/>
    <w:rsid w:val="006B083C"/>
    <w:rsid w:val="006B0B7C"/>
    <w:rsid w:val="006C25CB"/>
    <w:rsid w:val="006D0B69"/>
    <w:rsid w:val="006E0F05"/>
    <w:rsid w:val="006E4159"/>
    <w:rsid w:val="0070225C"/>
    <w:rsid w:val="00710A9C"/>
    <w:rsid w:val="00711165"/>
    <w:rsid w:val="00721C21"/>
    <w:rsid w:val="0073167E"/>
    <w:rsid w:val="00737E5F"/>
    <w:rsid w:val="00752472"/>
    <w:rsid w:val="007531B9"/>
    <w:rsid w:val="007668BE"/>
    <w:rsid w:val="00785BC1"/>
    <w:rsid w:val="00791129"/>
    <w:rsid w:val="00794BA2"/>
    <w:rsid w:val="00795D83"/>
    <w:rsid w:val="007A4B70"/>
    <w:rsid w:val="007B4126"/>
    <w:rsid w:val="007B467B"/>
    <w:rsid w:val="007B55BA"/>
    <w:rsid w:val="007D4DA2"/>
    <w:rsid w:val="007E2FB4"/>
    <w:rsid w:val="007E3A6F"/>
    <w:rsid w:val="007E4BC8"/>
    <w:rsid w:val="007F328C"/>
    <w:rsid w:val="007F63AE"/>
    <w:rsid w:val="007F7E8D"/>
    <w:rsid w:val="008002C2"/>
    <w:rsid w:val="00806A89"/>
    <w:rsid w:val="008110E1"/>
    <w:rsid w:val="00822235"/>
    <w:rsid w:val="00830CDF"/>
    <w:rsid w:val="00831906"/>
    <w:rsid w:val="008378F3"/>
    <w:rsid w:val="00842484"/>
    <w:rsid w:val="00854ACF"/>
    <w:rsid w:val="008576D0"/>
    <w:rsid w:val="00864696"/>
    <w:rsid w:val="00866FB2"/>
    <w:rsid w:val="00872646"/>
    <w:rsid w:val="0088383B"/>
    <w:rsid w:val="00883894"/>
    <w:rsid w:val="00893872"/>
    <w:rsid w:val="008953E3"/>
    <w:rsid w:val="008A252F"/>
    <w:rsid w:val="008A4DBA"/>
    <w:rsid w:val="008A64FF"/>
    <w:rsid w:val="008A6620"/>
    <w:rsid w:val="008A71F9"/>
    <w:rsid w:val="008B4420"/>
    <w:rsid w:val="008B70A5"/>
    <w:rsid w:val="008B77FD"/>
    <w:rsid w:val="008C5CB3"/>
    <w:rsid w:val="008C6A04"/>
    <w:rsid w:val="008C7E56"/>
    <w:rsid w:val="008D40A5"/>
    <w:rsid w:val="008D7D34"/>
    <w:rsid w:val="008E5E82"/>
    <w:rsid w:val="008E6166"/>
    <w:rsid w:val="008F00F1"/>
    <w:rsid w:val="008F3372"/>
    <w:rsid w:val="008F4065"/>
    <w:rsid w:val="008F49B6"/>
    <w:rsid w:val="008F526C"/>
    <w:rsid w:val="008F6F4C"/>
    <w:rsid w:val="008F7549"/>
    <w:rsid w:val="00912032"/>
    <w:rsid w:val="0091372E"/>
    <w:rsid w:val="009201F1"/>
    <w:rsid w:val="0092068C"/>
    <w:rsid w:val="00921152"/>
    <w:rsid w:val="00932F2E"/>
    <w:rsid w:val="009360E0"/>
    <w:rsid w:val="00947BE8"/>
    <w:rsid w:val="00957F76"/>
    <w:rsid w:val="00960325"/>
    <w:rsid w:val="009640CB"/>
    <w:rsid w:val="00966A6A"/>
    <w:rsid w:val="00972E1A"/>
    <w:rsid w:val="00973CE1"/>
    <w:rsid w:val="009766E2"/>
    <w:rsid w:val="00991611"/>
    <w:rsid w:val="00994EB9"/>
    <w:rsid w:val="009A0AFD"/>
    <w:rsid w:val="009A0D2B"/>
    <w:rsid w:val="009B2CA8"/>
    <w:rsid w:val="009B6C1C"/>
    <w:rsid w:val="009C07DC"/>
    <w:rsid w:val="009C2079"/>
    <w:rsid w:val="009E0869"/>
    <w:rsid w:val="009E4097"/>
    <w:rsid w:val="00A0668C"/>
    <w:rsid w:val="00A13050"/>
    <w:rsid w:val="00A256F5"/>
    <w:rsid w:val="00A26C8D"/>
    <w:rsid w:val="00A31484"/>
    <w:rsid w:val="00A44D31"/>
    <w:rsid w:val="00A44F41"/>
    <w:rsid w:val="00A50014"/>
    <w:rsid w:val="00A57935"/>
    <w:rsid w:val="00A75449"/>
    <w:rsid w:val="00A867F8"/>
    <w:rsid w:val="00A875A0"/>
    <w:rsid w:val="00AA494E"/>
    <w:rsid w:val="00AB3335"/>
    <w:rsid w:val="00AB4266"/>
    <w:rsid w:val="00AC3000"/>
    <w:rsid w:val="00AD5815"/>
    <w:rsid w:val="00AE28B7"/>
    <w:rsid w:val="00AE38AA"/>
    <w:rsid w:val="00AE5026"/>
    <w:rsid w:val="00AF2AFA"/>
    <w:rsid w:val="00B11421"/>
    <w:rsid w:val="00B12EB5"/>
    <w:rsid w:val="00B1355C"/>
    <w:rsid w:val="00B26932"/>
    <w:rsid w:val="00B3695C"/>
    <w:rsid w:val="00B373CD"/>
    <w:rsid w:val="00B4140E"/>
    <w:rsid w:val="00B46677"/>
    <w:rsid w:val="00B53E51"/>
    <w:rsid w:val="00B57728"/>
    <w:rsid w:val="00B65FB0"/>
    <w:rsid w:val="00B668F0"/>
    <w:rsid w:val="00B73217"/>
    <w:rsid w:val="00B8024D"/>
    <w:rsid w:val="00B81E2B"/>
    <w:rsid w:val="00B825C8"/>
    <w:rsid w:val="00B87804"/>
    <w:rsid w:val="00B92DFA"/>
    <w:rsid w:val="00B93089"/>
    <w:rsid w:val="00B94E9C"/>
    <w:rsid w:val="00B95A55"/>
    <w:rsid w:val="00BA16F4"/>
    <w:rsid w:val="00BA2002"/>
    <w:rsid w:val="00BA2C87"/>
    <w:rsid w:val="00BB36B1"/>
    <w:rsid w:val="00BB4F51"/>
    <w:rsid w:val="00BB61A7"/>
    <w:rsid w:val="00BF68EB"/>
    <w:rsid w:val="00BF74F9"/>
    <w:rsid w:val="00C003A4"/>
    <w:rsid w:val="00C0511F"/>
    <w:rsid w:val="00C074C7"/>
    <w:rsid w:val="00C20D02"/>
    <w:rsid w:val="00C21EA1"/>
    <w:rsid w:val="00C22444"/>
    <w:rsid w:val="00C24BC3"/>
    <w:rsid w:val="00C3732A"/>
    <w:rsid w:val="00C44586"/>
    <w:rsid w:val="00C477E7"/>
    <w:rsid w:val="00C47EEC"/>
    <w:rsid w:val="00C57ED4"/>
    <w:rsid w:val="00C57F89"/>
    <w:rsid w:val="00C6123E"/>
    <w:rsid w:val="00C620D2"/>
    <w:rsid w:val="00C70DC1"/>
    <w:rsid w:val="00C71C43"/>
    <w:rsid w:val="00C740A6"/>
    <w:rsid w:val="00C74160"/>
    <w:rsid w:val="00C75188"/>
    <w:rsid w:val="00C80B5D"/>
    <w:rsid w:val="00C820F0"/>
    <w:rsid w:val="00C91381"/>
    <w:rsid w:val="00C941B1"/>
    <w:rsid w:val="00C955A1"/>
    <w:rsid w:val="00CA4035"/>
    <w:rsid w:val="00CA65B9"/>
    <w:rsid w:val="00CB2527"/>
    <w:rsid w:val="00CB548B"/>
    <w:rsid w:val="00CB5A1D"/>
    <w:rsid w:val="00CB6D23"/>
    <w:rsid w:val="00CC40E0"/>
    <w:rsid w:val="00CD45DD"/>
    <w:rsid w:val="00CD50B5"/>
    <w:rsid w:val="00CD70F9"/>
    <w:rsid w:val="00CE7EF9"/>
    <w:rsid w:val="00CF2735"/>
    <w:rsid w:val="00D03264"/>
    <w:rsid w:val="00D03A9D"/>
    <w:rsid w:val="00D04AF1"/>
    <w:rsid w:val="00D058AC"/>
    <w:rsid w:val="00D12ED9"/>
    <w:rsid w:val="00D3221F"/>
    <w:rsid w:val="00D336AE"/>
    <w:rsid w:val="00D35C58"/>
    <w:rsid w:val="00D50451"/>
    <w:rsid w:val="00D50C59"/>
    <w:rsid w:val="00D71C53"/>
    <w:rsid w:val="00D85C85"/>
    <w:rsid w:val="00D86867"/>
    <w:rsid w:val="00D92C33"/>
    <w:rsid w:val="00D94700"/>
    <w:rsid w:val="00D96529"/>
    <w:rsid w:val="00D979BE"/>
    <w:rsid w:val="00DA0CE6"/>
    <w:rsid w:val="00DA2EAC"/>
    <w:rsid w:val="00DA51FF"/>
    <w:rsid w:val="00DA5D63"/>
    <w:rsid w:val="00DA64DF"/>
    <w:rsid w:val="00DA7693"/>
    <w:rsid w:val="00DB0994"/>
    <w:rsid w:val="00DB402E"/>
    <w:rsid w:val="00DB4D11"/>
    <w:rsid w:val="00DB4DBC"/>
    <w:rsid w:val="00DB501A"/>
    <w:rsid w:val="00DC0776"/>
    <w:rsid w:val="00DC12A3"/>
    <w:rsid w:val="00DC2DFA"/>
    <w:rsid w:val="00DC77A2"/>
    <w:rsid w:val="00DD3F4A"/>
    <w:rsid w:val="00DF7544"/>
    <w:rsid w:val="00E060D5"/>
    <w:rsid w:val="00E062D3"/>
    <w:rsid w:val="00E1054F"/>
    <w:rsid w:val="00E14B65"/>
    <w:rsid w:val="00E154D4"/>
    <w:rsid w:val="00E3782D"/>
    <w:rsid w:val="00E37EC6"/>
    <w:rsid w:val="00E42251"/>
    <w:rsid w:val="00E4698D"/>
    <w:rsid w:val="00E471E1"/>
    <w:rsid w:val="00E478B1"/>
    <w:rsid w:val="00E54B8E"/>
    <w:rsid w:val="00E55F84"/>
    <w:rsid w:val="00E57638"/>
    <w:rsid w:val="00E61923"/>
    <w:rsid w:val="00E71099"/>
    <w:rsid w:val="00E82A05"/>
    <w:rsid w:val="00E82E7C"/>
    <w:rsid w:val="00E85F9D"/>
    <w:rsid w:val="00E95016"/>
    <w:rsid w:val="00EA118A"/>
    <w:rsid w:val="00EB0F64"/>
    <w:rsid w:val="00EB2843"/>
    <w:rsid w:val="00EC36C6"/>
    <w:rsid w:val="00EC638F"/>
    <w:rsid w:val="00EC6AFA"/>
    <w:rsid w:val="00ED5030"/>
    <w:rsid w:val="00ED5054"/>
    <w:rsid w:val="00ED5A3D"/>
    <w:rsid w:val="00EE28B6"/>
    <w:rsid w:val="00EE5B50"/>
    <w:rsid w:val="00EE6554"/>
    <w:rsid w:val="00EE7422"/>
    <w:rsid w:val="00EF1D9C"/>
    <w:rsid w:val="00EF25F6"/>
    <w:rsid w:val="00EF4FE7"/>
    <w:rsid w:val="00F00729"/>
    <w:rsid w:val="00F03F68"/>
    <w:rsid w:val="00F04477"/>
    <w:rsid w:val="00F05853"/>
    <w:rsid w:val="00F114EE"/>
    <w:rsid w:val="00F13418"/>
    <w:rsid w:val="00F13FFC"/>
    <w:rsid w:val="00F151C4"/>
    <w:rsid w:val="00F200E4"/>
    <w:rsid w:val="00F269E7"/>
    <w:rsid w:val="00F35BC5"/>
    <w:rsid w:val="00F35BC9"/>
    <w:rsid w:val="00F37072"/>
    <w:rsid w:val="00F41EBE"/>
    <w:rsid w:val="00F55DF3"/>
    <w:rsid w:val="00F55E43"/>
    <w:rsid w:val="00F6161C"/>
    <w:rsid w:val="00F616A0"/>
    <w:rsid w:val="00F62D3D"/>
    <w:rsid w:val="00F6349E"/>
    <w:rsid w:val="00F832E8"/>
    <w:rsid w:val="00F8332D"/>
    <w:rsid w:val="00F907EF"/>
    <w:rsid w:val="00F9208C"/>
    <w:rsid w:val="00FA5A2B"/>
    <w:rsid w:val="00FA7671"/>
    <w:rsid w:val="00FC56B7"/>
    <w:rsid w:val="00FD2411"/>
    <w:rsid w:val="00FE47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A2002"/>
  </w:style>
  <w:style w:type="paragraph" w:styleId="Virsraksts1">
    <w:name w:val="heading 1"/>
    <w:basedOn w:val="Parasts"/>
    <w:link w:val="Virsraksts1Rakstz"/>
    <w:uiPriority w:val="99"/>
    <w:qFormat/>
    <w:rsid w:val="00F8332D"/>
    <w:pPr>
      <w:keepNext/>
      <w:keepLines/>
      <w:numPr>
        <w:numId w:val="1"/>
      </w:numPr>
      <w:spacing w:before="240" w:after="120"/>
      <w:jc w:val="center"/>
      <w:outlineLvl w:val="0"/>
    </w:pPr>
    <w:rPr>
      <w:b/>
      <w:caps/>
      <w:sz w:val="29"/>
      <w:szCs w:val="20"/>
      <w:lang w:eastAsia="en-US"/>
    </w:rPr>
  </w:style>
  <w:style w:type="paragraph" w:styleId="Virsraksts2">
    <w:name w:val="heading 2"/>
    <w:basedOn w:val="Parasts"/>
    <w:link w:val="Virsraksts2Rakstz"/>
    <w:uiPriority w:val="99"/>
    <w:qFormat/>
    <w:rsid w:val="00F8332D"/>
    <w:pPr>
      <w:keepNext/>
      <w:keepLines/>
      <w:numPr>
        <w:ilvl w:val="1"/>
        <w:numId w:val="1"/>
      </w:numPr>
      <w:tabs>
        <w:tab w:val="left" w:pos="284"/>
      </w:tabs>
      <w:spacing w:before="120" w:after="120"/>
      <w:jc w:val="center"/>
      <w:outlineLvl w:val="1"/>
    </w:pPr>
    <w:rPr>
      <w:b/>
      <w:sz w:val="28"/>
      <w:szCs w:val="20"/>
      <w:lang w:eastAsia="en-US"/>
    </w:rPr>
  </w:style>
  <w:style w:type="paragraph" w:styleId="Virsraksts3">
    <w:name w:val="heading 3"/>
    <w:basedOn w:val="Virsraksts2"/>
    <w:link w:val="Virsraksts3Rakstz"/>
    <w:uiPriority w:val="99"/>
    <w:qFormat/>
    <w:rsid w:val="00F8332D"/>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
    <w:link w:val="Virsraksts4Rakstz"/>
    <w:uiPriority w:val="99"/>
    <w:qFormat/>
    <w:rsid w:val="00F8332D"/>
    <w:pPr>
      <w:numPr>
        <w:ilvl w:val="3"/>
        <w:numId w:val="1"/>
      </w:numPr>
      <w:jc w:val="both"/>
      <w:outlineLvl w:val="3"/>
    </w:pPr>
    <w:rPr>
      <w:sz w:val="28"/>
      <w:szCs w:val="20"/>
      <w:lang w:eastAsia="en-US"/>
    </w:rPr>
  </w:style>
  <w:style w:type="paragraph" w:styleId="Virsraksts5">
    <w:name w:val="heading 5"/>
    <w:basedOn w:val="Parasts"/>
    <w:next w:val="Parasts"/>
    <w:link w:val="Virsraksts5Rakstz"/>
    <w:uiPriority w:val="99"/>
    <w:qFormat/>
    <w:rsid w:val="00F8332D"/>
    <w:pPr>
      <w:numPr>
        <w:ilvl w:val="4"/>
        <w:numId w:val="1"/>
      </w:numPr>
      <w:jc w:val="both"/>
      <w:outlineLvl w:val="4"/>
    </w:pPr>
    <w:rPr>
      <w:sz w:val="28"/>
      <w:szCs w:val="20"/>
      <w:lang w:eastAsia="en-US"/>
    </w:rPr>
  </w:style>
  <w:style w:type="paragraph" w:styleId="Virsraksts6">
    <w:name w:val="heading 6"/>
    <w:basedOn w:val="Parasts"/>
    <w:next w:val="Parasts"/>
    <w:link w:val="Virsraksts6Rakstz"/>
    <w:uiPriority w:val="99"/>
    <w:qFormat/>
    <w:rsid w:val="00F8332D"/>
    <w:pPr>
      <w:numPr>
        <w:ilvl w:val="5"/>
        <w:numId w:val="1"/>
      </w:numPr>
      <w:spacing w:before="20" w:after="20"/>
      <w:jc w:val="both"/>
      <w:outlineLvl w:val="5"/>
    </w:pPr>
    <w:rPr>
      <w:sz w:val="28"/>
      <w:szCs w:val="20"/>
      <w:lang w:eastAsia="en-US"/>
    </w:rPr>
  </w:style>
  <w:style w:type="paragraph" w:styleId="Virsraksts7">
    <w:name w:val="heading 7"/>
    <w:basedOn w:val="Parasts"/>
    <w:next w:val="Parasts"/>
    <w:link w:val="Virsraksts7Rakstz"/>
    <w:uiPriority w:val="99"/>
    <w:qFormat/>
    <w:rsid w:val="00F8332D"/>
    <w:pPr>
      <w:numPr>
        <w:ilvl w:val="6"/>
        <w:numId w:val="1"/>
      </w:numPr>
      <w:spacing w:before="20" w:after="20"/>
      <w:jc w:val="both"/>
      <w:outlineLvl w:val="6"/>
    </w:pPr>
    <w:rPr>
      <w:szCs w:val="20"/>
      <w:lang w:eastAsia="en-US"/>
    </w:rPr>
  </w:style>
  <w:style w:type="paragraph" w:styleId="Virsraksts8">
    <w:name w:val="heading 8"/>
    <w:basedOn w:val="Parasts"/>
    <w:next w:val="Parasts"/>
    <w:link w:val="Virsraksts8Rakstz"/>
    <w:uiPriority w:val="99"/>
    <w:qFormat/>
    <w:rsid w:val="00F8332D"/>
    <w:pPr>
      <w:numPr>
        <w:ilvl w:val="7"/>
        <w:numId w:val="1"/>
      </w:numPr>
      <w:tabs>
        <w:tab w:val="right" w:pos="9072"/>
      </w:tabs>
      <w:spacing w:before="20" w:after="40"/>
      <w:jc w:val="both"/>
      <w:outlineLvl w:val="7"/>
    </w:pPr>
    <w:rPr>
      <w:szCs w:val="20"/>
      <w:lang w:eastAsia="en-US"/>
    </w:rPr>
  </w:style>
  <w:style w:type="paragraph" w:styleId="Virsraksts9">
    <w:name w:val="heading 9"/>
    <w:basedOn w:val="Parasts"/>
    <w:next w:val="Parasts"/>
    <w:link w:val="Virsraksts9Rakstz"/>
    <w:uiPriority w:val="99"/>
    <w:qFormat/>
    <w:rsid w:val="00F8332D"/>
    <w:pPr>
      <w:numPr>
        <w:ilvl w:val="8"/>
        <w:numId w:val="1"/>
      </w:numPr>
      <w:spacing w:before="20" w:after="20"/>
      <w:jc w:val="both"/>
      <w:outlineLvl w:val="8"/>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B94E9C"/>
    <w:rPr>
      <w:rFonts w:ascii="Cambria" w:hAnsi="Cambria" w:cs="Times New Roman"/>
      <w:b/>
      <w:bCs/>
      <w:kern w:val="32"/>
      <w:sz w:val="32"/>
      <w:szCs w:val="32"/>
    </w:rPr>
  </w:style>
  <w:style w:type="character" w:customStyle="1" w:styleId="Virsraksts2Rakstz">
    <w:name w:val="Virsraksts 2 Rakstz."/>
    <w:basedOn w:val="Noklusjumarindkopasfonts"/>
    <w:link w:val="Virsraksts2"/>
    <w:uiPriority w:val="99"/>
    <w:semiHidden/>
    <w:locked/>
    <w:rsid w:val="00B94E9C"/>
    <w:rPr>
      <w:rFonts w:ascii="Cambria" w:hAnsi="Cambria" w:cs="Times New Roman"/>
      <w:b/>
      <w:bCs/>
      <w:i/>
      <w:iCs/>
      <w:sz w:val="28"/>
      <w:szCs w:val="28"/>
    </w:rPr>
  </w:style>
  <w:style w:type="character" w:customStyle="1" w:styleId="Virsraksts3Rakstz">
    <w:name w:val="Virsraksts 3 Rakstz."/>
    <w:basedOn w:val="Noklusjumarindkopasfonts"/>
    <w:link w:val="Virsraksts3"/>
    <w:uiPriority w:val="99"/>
    <w:semiHidden/>
    <w:locked/>
    <w:rsid w:val="00B94E9C"/>
    <w:rPr>
      <w:rFonts w:ascii="Cambria" w:hAnsi="Cambria" w:cs="Times New Roman"/>
      <w:b/>
      <w:bCs/>
      <w:sz w:val="26"/>
      <w:szCs w:val="26"/>
    </w:rPr>
  </w:style>
  <w:style w:type="character" w:customStyle="1" w:styleId="Virsraksts4Rakstz">
    <w:name w:val="Virsraksts 4 Rakstz."/>
    <w:basedOn w:val="Noklusjumarindkopasfonts"/>
    <w:link w:val="Virsraksts4"/>
    <w:uiPriority w:val="99"/>
    <w:semiHidden/>
    <w:locked/>
    <w:rsid w:val="00B94E9C"/>
    <w:rPr>
      <w:rFonts w:ascii="Calibri" w:hAnsi="Calibri" w:cs="Times New Roman"/>
      <w:b/>
      <w:bCs/>
      <w:sz w:val="28"/>
      <w:szCs w:val="28"/>
    </w:rPr>
  </w:style>
  <w:style w:type="character" w:customStyle="1" w:styleId="Virsraksts5Rakstz">
    <w:name w:val="Virsraksts 5 Rakstz."/>
    <w:basedOn w:val="Noklusjumarindkopasfonts"/>
    <w:link w:val="Virsraksts5"/>
    <w:uiPriority w:val="99"/>
    <w:semiHidden/>
    <w:locked/>
    <w:rsid w:val="00B94E9C"/>
    <w:rPr>
      <w:rFonts w:ascii="Calibri" w:hAnsi="Calibri" w:cs="Times New Roman"/>
      <w:b/>
      <w:bCs/>
      <w:i/>
      <w:iCs/>
      <w:sz w:val="26"/>
      <w:szCs w:val="26"/>
    </w:rPr>
  </w:style>
  <w:style w:type="character" w:customStyle="1" w:styleId="Virsraksts6Rakstz">
    <w:name w:val="Virsraksts 6 Rakstz."/>
    <w:basedOn w:val="Noklusjumarindkopasfonts"/>
    <w:link w:val="Virsraksts6"/>
    <w:uiPriority w:val="99"/>
    <w:semiHidden/>
    <w:locked/>
    <w:rsid w:val="00B94E9C"/>
    <w:rPr>
      <w:rFonts w:ascii="Calibri" w:hAnsi="Calibri" w:cs="Times New Roman"/>
      <w:b/>
      <w:bCs/>
    </w:rPr>
  </w:style>
  <w:style w:type="character" w:customStyle="1" w:styleId="Virsraksts7Rakstz">
    <w:name w:val="Virsraksts 7 Rakstz."/>
    <w:basedOn w:val="Noklusjumarindkopasfonts"/>
    <w:link w:val="Virsraksts7"/>
    <w:uiPriority w:val="99"/>
    <w:semiHidden/>
    <w:locked/>
    <w:rsid w:val="00B94E9C"/>
    <w:rPr>
      <w:rFonts w:ascii="Calibri" w:hAnsi="Calibri" w:cs="Times New Roman"/>
      <w:sz w:val="24"/>
      <w:szCs w:val="24"/>
    </w:rPr>
  </w:style>
  <w:style w:type="character" w:customStyle="1" w:styleId="Virsraksts8Rakstz">
    <w:name w:val="Virsraksts 8 Rakstz."/>
    <w:basedOn w:val="Noklusjumarindkopasfonts"/>
    <w:link w:val="Virsraksts8"/>
    <w:uiPriority w:val="99"/>
    <w:semiHidden/>
    <w:locked/>
    <w:rsid w:val="00B94E9C"/>
    <w:rPr>
      <w:rFonts w:ascii="Calibri" w:hAnsi="Calibri" w:cs="Times New Roman"/>
      <w:i/>
      <w:iCs/>
      <w:sz w:val="24"/>
      <w:szCs w:val="24"/>
    </w:rPr>
  </w:style>
  <w:style w:type="character" w:customStyle="1" w:styleId="Virsraksts9Rakstz">
    <w:name w:val="Virsraksts 9 Rakstz."/>
    <w:basedOn w:val="Noklusjumarindkopasfonts"/>
    <w:link w:val="Virsraksts9"/>
    <w:uiPriority w:val="99"/>
    <w:semiHidden/>
    <w:locked/>
    <w:rsid w:val="00B94E9C"/>
    <w:rPr>
      <w:rFonts w:ascii="Cambria" w:hAnsi="Cambria" w:cs="Times New Roman"/>
    </w:rPr>
  </w:style>
  <w:style w:type="paragraph" w:styleId="Balonteksts">
    <w:name w:val="Balloon Text"/>
    <w:basedOn w:val="Parasts"/>
    <w:link w:val="BalontekstsRakstz"/>
    <w:uiPriority w:val="99"/>
    <w:semiHidden/>
    <w:rsid w:val="0014768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94E9C"/>
    <w:rPr>
      <w:rFonts w:cs="Times New Roman"/>
      <w:sz w:val="2"/>
    </w:rPr>
  </w:style>
  <w:style w:type="paragraph" w:customStyle="1" w:styleId="Parasts">
    <w:name w:val="Parasts"/>
    <w:uiPriority w:val="99"/>
    <w:rsid w:val="00F269E7"/>
    <w:rPr>
      <w:sz w:val="24"/>
      <w:szCs w:val="24"/>
    </w:rPr>
  </w:style>
  <w:style w:type="paragraph" w:styleId="Galvene">
    <w:name w:val="header"/>
    <w:basedOn w:val="Parasts"/>
    <w:link w:val="GalveneRakstz"/>
    <w:uiPriority w:val="99"/>
    <w:rsid w:val="005D15D5"/>
    <w:pPr>
      <w:tabs>
        <w:tab w:val="center" w:pos="4153"/>
        <w:tab w:val="right" w:pos="8306"/>
      </w:tabs>
    </w:pPr>
  </w:style>
  <w:style w:type="character" w:customStyle="1" w:styleId="GalveneRakstz">
    <w:name w:val="Galvene Rakstz."/>
    <w:basedOn w:val="Noklusjumarindkopasfonts"/>
    <w:link w:val="Galvene"/>
    <w:uiPriority w:val="99"/>
    <w:locked/>
    <w:rsid w:val="005B57E9"/>
    <w:rPr>
      <w:rFonts w:cs="Times New Roman"/>
      <w:sz w:val="24"/>
    </w:rPr>
  </w:style>
  <w:style w:type="paragraph" w:styleId="Kjene">
    <w:name w:val="footer"/>
    <w:basedOn w:val="Parasts"/>
    <w:link w:val="KjeneRakstz"/>
    <w:uiPriority w:val="99"/>
    <w:rsid w:val="005D15D5"/>
    <w:pPr>
      <w:tabs>
        <w:tab w:val="center" w:pos="4153"/>
        <w:tab w:val="right" w:pos="8306"/>
      </w:tabs>
    </w:pPr>
  </w:style>
  <w:style w:type="character" w:customStyle="1" w:styleId="KjeneRakstz">
    <w:name w:val="Kājene Rakstz."/>
    <w:basedOn w:val="Noklusjumarindkopasfonts"/>
    <w:link w:val="Kjene"/>
    <w:uiPriority w:val="99"/>
    <w:semiHidden/>
    <w:locked/>
    <w:rsid w:val="00B94E9C"/>
    <w:rPr>
      <w:rFonts w:cs="Times New Roman"/>
      <w:sz w:val="20"/>
      <w:szCs w:val="20"/>
    </w:rPr>
  </w:style>
  <w:style w:type="paragraph" w:customStyle="1" w:styleId="naisf">
    <w:name w:val="naisf"/>
    <w:basedOn w:val="Parasts"/>
    <w:uiPriority w:val="99"/>
    <w:rsid w:val="00F8332D"/>
    <w:pPr>
      <w:spacing w:before="75" w:after="75"/>
      <w:ind w:firstLine="375"/>
      <w:jc w:val="both"/>
    </w:pPr>
  </w:style>
  <w:style w:type="paragraph" w:styleId="Sarakstarindkopa">
    <w:name w:val="List Paragraph"/>
    <w:basedOn w:val="Parasts"/>
    <w:uiPriority w:val="99"/>
    <w:qFormat/>
    <w:rsid w:val="009640CB"/>
    <w:pPr>
      <w:ind w:left="720"/>
    </w:pPr>
  </w:style>
  <w:style w:type="paragraph" w:customStyle="1" w:styleId="Paraststmeklis">
    <w:name w:val="Parasts (tīmeklis)"/>
    <w:basedOn w:val="Parasts"/>
    <w:uiPriority w:val="99"/>
    <w:rsid w:val="009640CB"/>
    <w:pPr>
      <w:spacing w:before="100" w:beforeAutospacing="1" w:after="100" w:afterAutospacing="1"/>
    </w:pPr>
  </w:style>
  <w:style w:type="character" w:styleId="Komentraatsauce">
    <w:name w:val="annotation reference"/>
    <w:basedOn w:val="Noklusjumarindkopasfonts"/>
    <w:uiPriority w:val="99"/>
    <w:semiHidden/>
    <w:rsid w:val="00C941B1"/>
    <w:rPr>
      <w:rFonts w:cs="Times New Roman"/>
      <w:sz w:val="16"/>
    </w:rPr>
  </w:style>
  <w:style w:type="paragraph" w:styleId="Komentrateksts">
    <w:name w:val="annotation text"/>
    <w:basedOn w:val="Parasts"/>
    <w:link w:val="KomentratekstsRakstz"/>
    <w:uiPriority w:val="99"/>
    <w:semiHidden/>
    <w:rsid w:val="00C941B1"/>
    <w:rPr>
      <w:sz w:val="20"/>
      <w:szCs w:val="20"/>
    </w:rPr>
  </w:style>
  <w:style w:type="character" w:customStyle="1" w:styleId="KomentratekstsRakstz">
    <w:name w:val="Komentāra teksts Rakstz."/>
    <w:basedOn w:val="Noklusjumarindkopasfonts"/>
    <w:link w:val="Komentrateksts"/>
    <w:uiPriority w:val="99"/>
    <w:semiHidden/>
    <w:locked/>
    <w:rsid w:val="00445014"/>
    <w:rPr>
      <w:rFonts w:cs="Times New Roman"/>
    </w:rPr>
  </w:style>
  <w:style w:type="paragraph" w:styleId="Komentratma">
    <w:name w:val="annotation subject"/>
    <w:basedOn w:val="Komentrateksts"/>
    <w:next w:val="Komentrateksts"/>
    <w:link w:val="KomentratmaRakstz"/>
    <w:uiPriority w:val="99"/>
    <w:semiHidden/>
    <w:rsid w:val="00C941B1"/>
    <w:rPr>
      <w:b/>
      <w:bCs/>
    </w:rPr>
  </w:style>
  <w:style w:type="character" w:customStyle="1" w:styleId="KomentratmaRakstz">
    <w:name w:val="Komentāra tēma Rakstz."/>
    <w:basedOn w:val="KomentratekstsRakstz"/>
    <w:link w:val="Komentratma"/>
    <w:uiPriority w:val="99"/>
    <w:semiHidden/>
    <w:locked/>
    <w:rsid w:val="00B94E9C"/>
    <w:rPr>
      <w:b/>
      <w:bCs/>
      <w:sz w:val="20"/>
      <w:szCs w:val="20"/>
    </w:rPr>
  </w:style>
  <w:style w:type="paragraph" w:customStyle="1" w:styleId="mkh">
    <w:name w:val="mkh"/>
    <w:basedOn w:val="Parasts"/>
    <w:uiPriority w:val="99"/>
    <w:rsid w:val="00C477E7"/>
    <w:pPr>
      <w:spacing w:after="120"/>
      <w:ind w:firstLine="720"/>
      <w:jc w:val="center"/>
    </w:pPr>
    <w:rPr>
      <w:b/>
      <w:bCs/>
      <w:sz w:val="28"/>
      <w:szCs w:val="28"/>
    </w:rPr>
  </w:style>
  <w:style w:type="paragraph" w:customStyle="1" w:styleId="Default">
    <w:name w:val="Default"/>
    <w:uiPriority w:val="99"/>
    <w:rsid w:val="0063522C"/>
    <w:pPr>
      <w:autoSpaceDE w:val="0"/>
      <w:autoSpaceDN w:val="0"/>
      <w:adjustRightInd w:val="0"/>
    </w:pPr>
    <w:rPr>
      <w:color w:val="000000"/>
      <w:sz w:val="24"/>
      <w:szCs w:val="24"/>
    </w:rPr>
  </w:style>
  <w:style w:type="paragraph" w:customStyle="1" w:styleId="Parasts1">
    <w:name w:val="Parasts1"/>
    <w:uiPriority w:val="99"/>
    <w:rsid w:val="00EC638F"/>
    <w:rPr>
      <w:sz w:val="24"/>
      <w:szCs w:val="24"/>
    </w:rPr>
  </w:style>
  <w:style w:type="character" w:styleId="Hipersaite">
    <w:name w:val="Hyperlink"/>
    <w:basedOn w:val="Noklusjumarindkopasfonts"/>
    <w:uiPriority w:val="99"/>
    <w:rsid w:val="00D336AE"/>
    <w:rPr>
      <w:rFonts w:cs="Times New Roman"/>
      <w:color w:val="0000FF"/>
      <w:u w:val="single"/>
    </w:rPr>
  </w:style>
  <w:style w:type="paragraph" w:styleId="Prskatjums">
    <w:name w:val="Revision"/>
    <w:hidden/>
    <w:uiPriority w:val="99"/>
    <w:semiHidden/>
    <w:rsid w:val="00FA7671"/>
    <w:rPr>
      <w:sz w:val="24"/>
      <w:szCs w:val="24"/>
    </w:rPr>
  </w:style>
  <w:style w:type="paragraph" w:styleId="ParastaisWeb">
    <w:name w:val="Normal (Web)"/>
    <w:basedOn w:val="Parastais"/>
    <w:uiPriority w:val="99"/>
    <w:rsid w:val="003A1778"/>
    <w:pPr>
      <w:spacing w:before="100" w:beforeAutospacing="1" w:after="100" w:afterAutospacing="1"/>
    </w:pPr>
    <w:rPr>
      <w:rFonts w:ascii="Tahoma" w:hAnsi="Tahoma" w:cs="Tahoma"/>
    </w:rPr>
  </w:style>
  <w:style w:type="paragraph" w:styleId="Vresteksts">
    <w:name w:val="footnote text"/>
    <w:basedOn w:val="Parastais"/>
    <w:link w:val="VrestekstsRakstz"/>
    <w:uiPriority w:val="99"/>
    <w:rsid w:val="003A1778"/>
    <w:rPr>
      <w:rFonts w:eastAsia="Batang"/>
      <w:lang w:val="en-GB" w:eastAsia="ko-KR"/>
    </w:rPr>
  </w:style>
  <w:style w:type="character" w:customStyle="1" w:styleId="VrestekstsRakstz">
    <w:name w:val="Vēres teksts Rakstz."/>
    <w:basedOn w:val="Noklusjumarindkopasfonts"/>
    <w:link w:val="Vresteksts"/>
    <w:uiPriority w:val="99"/>
    <w:locked/>
    <w:rsid w:val="003A1778"/>
    <w:rPr>
      <w:rFonts w:eastAsia="Batang" w:cs="Times New Roman"/>
      <w:lang w:val="en-GB" w:eastAsia="ko-KR"/>
    </w:rPr>
  </w:style>
  <w:style w:type="character" w:styleId="Vresatsauce">
    <w:name w:val="footnote reference"/>
    <w:basedOn w:val="Noklusjumarindkopasfonts"/>
    <w:uiPriority w:val="99"/>
    <w:rsid w:val="003A1778"/>
    <w:rPr>
      <w:rFonts w:cs="Times New Roman"/>
      <w:vertAlign w:val="superscript"/>
    </w:rPr>
  </w:style>
  <w:style w:type="paragraph" w:styleId="Bezatstarpm">
    <w:name w:val="No Spacing"/>
    <w:uiPriority w:val="99"/>
    <w:qFormat/>
    <w:rsid w:val="009E086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1215392">
      <w:marLeft w:val="0"/>
      <w:marRight w:val="0"/>
      <w:marTop w:val="0"/>
      <w:marBottom w:val="0"/>
      <w:divBdr>
        <w:top w:val="none" w:sz="0" w:space="0" w:color="auto"/>
        <w:left w:val="none" w:sz="0" w:space="0" w:color="auto"/>
        <w:bottom w:val="none" w:sz="0" w:space="0" w:color="auto"/>
        <w:right w:val="none" w:sz="0" w:space="0" w:color="auto"/>
      </w:divBdr>
    </w:div>
    <w:div w:id="901215393">
      <w:marLeft w:val="0"/>
      <w:marRight w:val="0"/>
      <w:marTop w:val="0"/>
      <w:marBottom w:val="0"/>
      <w:divBdr>
        <w:top w:val="none" w:sz="0" w:space="0" w:color="auto"/>
        <w:left w:val="none" w:sz="0" w:space="0" w:color="auto"/>
        <w:bottom w:val="none" w:sz="0" w:space="0" w:color="auto"/>
        <w:right w:val="none" w:sz="0" w:space="0" w:color="auto"/>
      </w:divBdr>
    </w:div>
    <w:div w:id="901215394">
      <w:marLeft w:val="0"/>
      <w:marRight w:val="0"/>
      <w:marTop w:val="0"/>
      <w:marBottom w:val="0"/>
      <w:divBdr>
        <w:top w:val="none" w:sz="0" w:space="0" w:color="auto"/>
        <w:left w:val="none" w:sz="0" w:space="0" w:color="auto"/>
        <w:bottom w:val="none" w:sz="0" w:space="0" w:color="auto"/>
        <w:right w:val="none" w:sz="0" w:space="0" w:color="auto"/>
      </w:divBdr>
    </w:div>
    <w:div w:id="901215395">
      <w:marLeft w:val="0"/>
      <w:marRight w:val="0"/>
      <w:marTop w:val="0"/>
      <w:marBottom w:val="0"/>
      <w:divBdr>
        <w:top w:val="none" w:sz="0" w:space="0" w:color="auto"/>
        <w:left w:val="none" w:sz="0" w:space="0" w:color="auto"/>
        <w:bottom w:val="none" w:sz="0" w:space="0" w:color="auto"/>
        <w:right w:val="none" w:sz="0" w:space="0" w:color="auto"/>
      </w:divBdr>
    </w:div>
    <w:div w:id="901215396">
      <w:marLeft w:val="45"/>
      <w:marRight w:val="45"/>
      <w:marTop w:val="90"/>
      <w:marBottom w:val="90"/>
      <w:divBdr>
        <w:top w:val="none" w:sz="0" w:space="0" w:color="auto"/>
        <w:left w:val="none" w:sz="0" w:space="0" w:color="auto"/>
        <w:bottom w:val="none" w:sz="0" w:space="0" w:color="auto"/>
        <w:right w:val="none" w:sz="0" w:space="0" w:color="auto"/>
      </w:divBdr>
      <w:divsChild>
        <w:div w:id="901215402">
          <w:marLeft w:val="0"/>
          <w:marRight w:val="0"/>
          <w:marTop w:val="0"/>
          <w:marBottom w:val="567"/>
          <w:divBdr>
            <w:top w:val="none" w:sz="0" w:space="0" w:color="auto"/>
            <w:left w:val="none" w:sz="0" w:space="0" w:color="auto"/>
            <w:bottom w:val="none" w:sz="0" w:space="0" w:color="auto"/>
            <w:right w:val="none" w:sz="0" w:space="0" w:color="auto"/>
          </w:divBdr>
        </w:div>
      </w:divsChild>
    </w:div>
    <w:div w:id="901215397">
      <w:marLeft w:val="0"/>
      <w:marRight w:val="0"/>
      <w:marTop w:val="0"/>
      <w:marBottom w:val="0"/>
      <w:divBdr>
        <w:top w:val="none" w:sz="0" w:space="0" w:color="auto"/>
        <w:left w:val="none" w:sz="0" w:space="0" w:color="auto"/>
        <w:bottom w:val="none" w:sz="0" w:space="0" w:color="auto"/>
        <w:right w:val="none" w:sz="0" w:space="0" w:color="auto"/>
      </w:divBdr>
    </w:div>
    <w:div w:id="901215398">
      <w:marLeft w:val="0"/>
      <w:marRight w:val="0"/>
      <w:marTop w:val="0"/>
      <w:marBottom w:val="0"/>
      <w:divBdr>
        <w:top w:val="none" w:sz="0" w:space="0" w:color="auto"/>
        <w:left w:val="none" w:sz="0" w:space="0" w:color="auto"/>
        <w:bottom w:val="none" w:sz="0" w:space="0" w:color="auto"/>
        <w:right w:val="none" w:sz="0" w:space="0" w:color="auto"/>
      </w:divBdr>
    </w:div>
    <w:div w:id="901215399">
      <w:marLeft w:val="0"/>
      <w:marRight w:val="0"/>
      <w:marTop w:val="0"/>
      <w:marBottom w:val="0"/>
      <w:divBdr>
        <w:top w:val="none" w:sz="0" w:space="0" w:color="auto"/>
        <w:left w:val="none" w:sz="0" w:space="0" w:color="auto"/>
        <w:bottom w:val="none" w:sz="0" w:space="0" w:color="auto"/>
        <w:right w:val="none" w:sz="0" w:space="0" w:color="auto"/>
      </w:divBdr>
    </w:div>
    <w:div w:id="901215400">
      <w:marLeft w:val="0"/>
      <w:marRight w:val="0"/>
      <w:marTop w:val="0"/>
      <w:marBottom w:val="0"/>
      <w:divBdr>
        <w:top w:val="none" w:sz="0" w:space="0" w:color="auto"/>
        <w:left w:val="none" w:sz="0" w:space="0" w:color="auto"/>
        <w:bottom w:val="none" w:sz="0" w:space="0" w:color="auto"/>
        <w:right w:val="none" w:sz="0" w:space="0" w:color="auto"/>
      </w:divBdr>
    </w:div>
    <w:div w:id="901215401">
      <w:marLeft w:val="0"/>
      <w:marRight w:val="0"/>
      <w:marTop w:val="0"/>
      <w:marBottom w:val="0"/>
      <w:divBdr>
        <w:top w:val="none" w:sz="0" w:space="0" w:color="auto"/>
        <w:left w:val="none" w:sz="0" w:space="0" w:color="auto"/>
        <w:bottom w:val="none" w:sz="0" w:space="0" w:color="auto"/>
        <w:right w:val="none" w:sz="0" w:space="0" w:color="auto"/>
      </w:divBdr>
    </w:div>
    <w:div w:id="901215403">
      <w:marLeft w:val="0"/>
      <w:marRight w:val="0"/>
      <w:marTop w:val="0"/>
      <w:marBottom w:val="0"/>
      <w:divBdr>
        <w:top w:val="none" w:sz="0" w:space="0" w:color="auto"/>
        <w:left w:val="none" w:sz="0" w:space="0" w:color="auto"/>
        <w:bottom w:val="none" w:sz="0" w:space="0" w:color="auto"/>
        <w:right w:val="none" w:sz="0" w:space="0" w:color="auto"/>
      </w:divBdr>
    </w:div>
    <w:div w:id="901215405">
      <w:marLeft w:val="0"/>
      <w:marRight w:val="0"/>
      <w:marTop w:val="0"/>
      <w:marBottom w:val="0"/>
      <w:divBdr>
        <w:top w:val="none" w:sz="0" w:space="0" w:color="auto"/>
        <w:left w:val="none" w:sz="0" w:space="0" w:color="auto"/>
        <w:bottom w:val="none" w:sz="0" w:space="0" w:color="auto"/>
        <w:right w:val="none" w:sz="0" w:space="0" w:color="auto"/>
      </w:divBdr>
    </w:div>
    <w:div w:id="901215406">
      <w:marLeft w:val="0"/>
      <w:marRight w:val="0"/>
      <w:marTop w:val="0"/>
      <w:marBottom w:val="0"/>
      <w:divBdr>
        <w:top w:val="none" w:sz="0" w:space="0" w:color="auto"/>
        <w:left w:val="none" w:sz="0" w:space="0" w:color="auto"/>
        <w:bottom w:val="none" w:sz="0" w:space="0" w:color="auto"/>
        <w:right w:val="none" w:sz="0" w:space="0" w:color="auto"/>
      </w:divBdr>
    </w:div>
    <w:div w:id="901215407">
      <w:marLeft w:val="0"/>
      <w:marRight w:val="0"/>
      <w:marTop w:val="0"/>
      <w:marBottom w:val="0"/>
      <w:divBdr>
        <w:top w:val="none" w:sz="0" w:space="0" w:color="auto"/>
        <w:left w:val="none" w:sz="0" w:space="0" w:color="auto"/>
        <w:bottom w:val="none" w:sz="0" w:space="0" w:color="auto"/>
        <w:right w:val="none" w:sz="0" w:space="0" w:color="auto"/>
      </w:divBdr>
    </w:div>
    <w:div w:id="901215408">
      <w:marLeft w:val="0"/>
      <w:marRight w:val="0"/>
      <w:marTop w:val="0"/>
      <w:marBottom w:val="0"/>
      <w:divBdr>
        <w:top w:val="none" w:sz="0" w:space="0" w:color="auto"/>
        <w:left w:val="none" w:sz="0" w:space="0" w:color="auto"/>
        <w:bottom w:val="none" w:sz="0" w:space="0" w:color="auto"/>
        <w:right w:val="none" w:sz="0" w:space="0" w:color="auto"/>
      </w:divBdr>
    </w:div>
    <w:div w:id="901215409">
      <w:marLeft w:val="0"/>
      <w:marRight w:val="0"/>
      <w:marTop w:val="0"/>
      <w:marBottom w:val="0"/>
      <w:divBdr>
        <w:top w:val="none" w:sz="0" w:space="0" w:color="auto"/>
        <w:left w:val="none" w:sz="0" w:space="0" w:color="auto"/>
        <w:bottom w:val="none" w:sz="0" w:space="0" w:color="auto"/>
        <w:right w:val="none" w:sz="0" w:space="0" w:color="auto"/>
      </w:divBdr>
      <w:divsChild>
        <w:div w:id="9012154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aps.Pilskalns\Documents\Visi%20Citi\2012.gads\Dati%20-%20zi&#326;ojums_270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aps.Pilskalns\Documents\Visi%20Citi\2012.gads\Dati%20-%20zi&#326;ojums_270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39"/>
  <c:chart>
    <c:plotArea>
      <c:layout/>
      <c:barChart>
        <c:barDir val="col"/>
        <c:grouping val="clustered"/>
        <c:ser>
          <c:idx val="0"/>
          <c:order val="0"/>
          <c:tx>
            <c:strRef>
              <c:f>info_zinojums!$C$2</c:f>
              <c:strCache>
                <c:ptCount val="1"/>
                <c:pt idx="0">
                  <c:v>Pieejamais publiskais finansējums, milj. LVL</c:v>
                </c:pt>
              </c:strCache>
            </c:strRef>
          </c:tx>
          <c:dLbls>
            <c:dLbl>
              <c:idx val="0"/>
              <c:layout>
                <c:manualLayout>
                  <c:x val="-1.6998721879971452E-17"/>
                  <c:y val="-2.2099447513812358E-2"/>
                </c:manualLayout>
              </c:layout>
              <c:dLblPos val="outEnd"/>
              <c:showVal val="1"/>
            </c:dLbl>
            <c:dLblPos val="outEnd"/>
            <c:showVal val="1"/>
          </c:dLbls>
          <c:cat>
            <c:strRef>
              <c:f>info_zinojums!$B$3:$B$7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info_zinojums!$C$3:$C$7</c:f>
              <c:numCache>
                <c:formatCode>0.0</c:formatCode>
                <c:ptCount val="5"/>
                <c:pt idx="0">
                  <c:v>24.5</c:v>
                </c:pt>
                <c:pt idx="1">
                  <c:v>46.2</c:v>
                </c:pt>
                <c:pt idx="2">
                  <c:v>25.6</c:v>
                </c:pt>
                <c:pt idx="3">
                  <c:v>16.100000000000001</c:v>
                </c:pt>
                <c:pt idx="4">
                  <c:v>4.5999999999999996</c:v>
                </c:pt>
              </c:numCache>
            </c:numRef>
          </c:val>
        </c:ser>
        <c:ser>
          <c:idx val="1"/>
          <c:order val="1"/>
          <c:tx>
            <c:strRef>
              <c:f>info_zinojums!$D$2</c:f>
              <c:strCache>
                <c:ptCount val="1"/>
                <c:pt idx="0">
                  <c:v>Rezervētais publiskais finansējums, milj.LVL un % no pieejamā publiskā finansējuma</c:v>
                </c:pt>
              </c:strCache>
            </c:strRef>
          </c:tx>
          <c:dLbls>
            <c:dLbl>
              <c:idx val="0"/>
              <c:layout>
                <c:manualLayout>
                  <c:x val="0"/>
                  <c:y val="7.7348066298342594E-2"/>
                </c:manualLayout>
              </c:layout>
              <c:tx>
                <c:rich>
                  <a:bodyPr/>
                  <a:lstStyle/>
                  <a:p>
                    <a:r>
                      <a:rPr lang="en-US"/>
                      <a:t>21.</a:t>
                    </a:r>
                    <a:r>
                      <a:rPr lang="lv-LV"/>
                      <a:t>1</a:t>
                    </a:r>
                  </a:p>
                  <a:p>
                    <a:endParaRPr lang="lv-LV"/>
                  </a:p>
                  <a:p>
                    <a:r>
                      <a:rPr lang="lv-LV"/>
                      <a:t>86%</a:t>
                    </a:r>
                  </a:p>
                </c:rich>
              </c:tx>
              <c:dLblPos val="outEnd"/>
              <c:showVal val="1"/>
            </c:dLbl>
            <c:dLbl>
              <c:idx val="1"/>
              <c:layout>
                <c:manualLayout>
                  <c:x val="1.8544274455262041E-3"/>
                  <c:y val="2.9271998894875199E-2"/>
                </c:manualLayout>
              </c:layout>
              <c:tx>
                <c:rich>
                  <a:bodyPr/>
                  <a:lstStyle/>
                  <a:p>
                    <a:r>
                      <a:rPr lang="lv-LV"/>
                      <a:t>4</a:t>
                    </a:r>
                    <a:r>
                      <a:rPr lang="en-US"/>
                      <a:t>5.</a:t>
                    </a:r>
                    <a:r>
                      <a:rPr lang="lv-LV"/>
                      <a:t>7</a:t>
                    </a:r>
                  </a:p>
                  <a:p>
                    <a:endParaRPr lang="lv-LV"/>
                  </a:p>
                  <a:p>
                    <a:r>
                      <a:rPr lang="lv-LV"/>
                      <a:t>99%</a:t>
                    </a:r>
                    <a:endParaRPr lang="en-US"/>
                  </a:p>
                </c:rich>
              </c:tx>
              <c:dLblPos val="outEnd"/>
              <c:showVal val="1"/>
            </c:dLbl>
            <c:dLbl>
              <c:idx val="2"/>
              <c:layout>
                <c:manualLayout>
                  <c:x val="1.7729494522503227E-3"/>
                  <c:y val="9.7244722400130601E-2"/>
                </c:manualLayout>
              </c:layout>
              <c:tx>
                <c:rich>
                  <a:bodyPr/>
                  <a:lstStyle/>
                  <a:p>
                    <a:r>
                      <a:rPr lang="en-US"/>
                      <a:t>2</a:t>
                    </a:r>
                    <a:r>
                      <a:rPr lang="lv-LV"/>
                      <a:t>2</a:t>
                    </a:r>
                    <a:r>
                      <a:rPr lang="en-US"/>
                      <a:t>.</a:t>
                    </a:r>
                    <a:r>
                      <a:rPr lang="lv-LV"/>
                      <a:t>6</a:t>
                    </a:r>
                  </a:p>
                  <a:p>
                    <a:endParaRPr lang="lv-LV"/>
                  </a:p>
                  <a:p>
                    <a:r>
                      <a:rPr lang="lv-LV"/>
                      <a:t>88%</a:t>
                    </a:r>
                    <a:endParaRPr lang="en-US"/>
                  </a:p>
                </c:rich>
              </c:tx>
              <c:dLblPos val="outEnd"/>
              <c:showVal val="1"/>
            </c:dLbl>
            <c:dLbl>
              <c:idx val="3"/>
              <c:layout>
                <c:manualLayout>
                  <c:x val="0"/>
                  <c:y val="4.5450024488565804E-2"/>
                </c:manualLayout>
              </c:layout>
              <c:tx>
                <c:rich>
                  <a:bodyPr/>
                  <a:lstStyle/>
                  <a:p>
                    <a:r>
                      <a:rPr lang="en-US"/>
                      <a:t>3.</a:t>
                    </a:r>
                    <a:r>
                      <a:rPr lang="lv-LV"/>
                      <a:t>5</a:t>
                    </a:r>
                  </a:p>
                  <a:p>
                    <a:r>
                      <a:rPr lang="lv-LV"/>
                      <a:t>22%</a:t>
                    </a:r>
                    <a:endParaRPr lang="en-US"/>
                  </a:p>
                </c:rich>
              </c:tx>
              <c:dLblPos val="outEnd"/>
              <c:showVal val="1"/>
            </c:dLbl>
            <c:dLbl>
              <c:idx val="4"/>
              <c:layout>
                <c:manualLayout>
                  <c:x val="3.7088548910524165E-3"/>
                  <c:y val="5.1107008753092466E-2"/>
                </c:manualLayout>
              </c:layout>
              <c:tx>
                <c:rich>
                  <a:bodyPr/>
                  <a:lstStyle/>
                  <a:p>
                    <a:r>
                      <a:rPr lang="en-US"/>
                      <a:t>3.9</a:t>
                    </a:r>
                    <a:endParaRPr lang="lv-LV"/>
                  </a:p>
                  <a:p>
                    <a:r>
                      <a:rPr lang="lv-LV"/>
                      <a:t>84%</a:t>
                    </a:r>
                    <a:endParaRPr lang="en-US"/>
                  </a:p>
                </c:rich>
              </c:tx>
              <c:dLblPos val="outEnd"/>
              <c:showVal val="1"/>
            </c:dLbl>
            <c:dLblPos val="outEnd"/>
            <c:showVal val="1"/>
          </c:dLbls>
          <c:cat>
            <c:strRef>
              <c:f>info_zinojums!$B$3:$B$7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info_zinojums!$D$3:$D$7</c:f>
              <c:numCache>
                <c:formatCode>0.0</c:formatCode>
                <c:ptCount val="5"/>
                <c:pt idx="0">
                  <c:v>21.1</c:v>
                </c:pt>
                <c:pt idx="1">
                  <c:v>45.7</c:v>
                </c:pt>
                <c:pt idx="2">
                  <c:v>22.6</c:v>
                </c:pt>
                <c:pt idx="3">
                  <c:v>3.5</c:v>
                </c:pt>
                <c:pt idx="4">
                  <c:v>3.9</c:v>
                </c:pt>
              </c:numCache>
            </c:numRef>
          </c:val>
        </c:ser>
        <c:ser>
          <c:idx val="2"/>
          <c:order val="2"/>
          <c:tx>
            <c:strRef>
              <c:f>info_zinojums!$E$2</c:f>
              <c:strCache>
                <c:ptCount val="1"/>
                <c:pt idx="0">
                  <c:v>Izmaksātais publiskais finansējums, milj.LVL un % no pieejamā publiskā finansējuma</c:v>
                </c:pt>
              </c:strCache>
            </c:strRef>
          </c:tx>
          <c:dLbls>
            <c:dLbl>
              <c:idx val="0"/>
              <c:layout>
                <c:manualLayout>
                  <c:x val="-1.7730496453900735E-3"/>
                  <c:y val="9.9447513812154609E-2"/>
                </c:manualLayout>
              </c:layout>
              <c:tx>
                <c:rich>
                  <a:bodyPr/>
                  <a:lstStyle/>
                  <a:p>
                    <a:r>
                      <a:rPr lang="en-US"/>
                      <a:t>20.2</a:t>
                    </a:r>
                    <a:endParaRPr lang="lv-LV"/>
                  </a:p>
                  <a:p>
                    <a:endParaRPr lang="lv-LV"/>
                  </a:p>
                  <a:p>
                    <a:r>
                      <a:rPr lang="lv-LV"/>
                      <a:t>82%</a:t>
                    </a:r>
                    <a:endParaRPr lang="en-US"/>
                  </a:p>
                </c:rich>
              </c:tx>
              <c:dLblPos val="outEnd"/>
              <c:showVal val="1"/>
            </c:dLbl>
            <c:dLbl>
              <c:idx val="1"/>
              <c:layout>
                <c:manualLayout>
                  <c:x val="-1.7730496453900735E-3"/>
                  <c:y val="8.471454880294714E-2"/>
                </c:manualLayout>
              </c:layout>
              <c:tx>
                <c:rich>
                  <a:bodyPr/>
                  <a:lstStyle/>
                  <a:p>
                    <a:r>
                      <a:rPr lang="en-US"/>
                      <a:t>12.9</a:t>
                    </a:r>
                    <a:endParaRPr lang="lv-LV"/>
                  </a:p>
                  <a:p>
                    <a:endParaRPr lang="lv-LV"/>
                  </a:p>
                  <a:p>
                    <a:r>
                      <a:rPr lang="lv-LV"/>
                      <a:t>28%</a:t>
                    </a:r>
                    <a:endParaRPr lang="en-US"/>
                  </a:p>
                </c:rich>
              </c:tx>
              <c:dLblPos val="outEnd"/>
              <c:showVal val="1"/>
            </c:dLbl>
            <c:dLbl>
              <c:idx val="2"/>
              <c:layout>
                <c:manualLayout>
                  <c:x val="-1.3961020829843248E-7"/>
                  <c:y val="0.10681399631675845"/>
                </c:manualLayout>
              </c:layout>
              <c:tx>
                <c:rich>
                  <a:bodyPr/>
                  <a:lstStyle/>
                  <a:p>
                    <a:r>
                      <a:rPr lang="en-US"/>
                      <a:t>16.5</a:t>
                    </a:r>
                    <a:endParaRPr lang="lv-LV"/>
                  </a:p>
                  <a:p>
                    <a:endParaRPr lang="lv-LV"/>
                  </a:p>
                  <a:p>
                    <a:r>
                      <a:rPr lang="lv-LV"/>
                      <a:t>64%</a:t>
                    </a:r>
                    <a:endParaRPr lang="en-US"/>
                  </a:p>
                </c:rich>
              </c:tx>
              <c:dLblPos val="outEnd"/>
              <c:showVal val="1"/>
            </c:dLbl>
            <c:dLbl>
              <c:idx val="3"/>
              <c:layout>
                <c:manualLayout>
                  <c:x val="1.8544274455262041E-3"/>
                  <c:y val="5.7715907521129615E-2"/>
                </c:manualLayout>
              </c:layout>
              <c:tx>
                <c:rich>
                  <a:bodyPr/>
                  <a:lstStyle/>
                  <a:p>
                    <a:r>
                      <a:rPr lang="en-US"/>
                      <a:t>1.9</a:t>
                    </a:r>
                    <a:endParaRPr lang="lv-LV"/>
                  </a:p>
                  <a:p>
                    <a:r>
                      <a:rPr lang="lv-LV"/>
                      <a:t>12%</a:t>
                    </a:r>
                    <a:endParaRPr lang="en-US"/>
                  </a:p>
                </c:rich>
              </c:tx>
              <c:dLblPos val="outEnd"/>
              <c:showVal val="1"/>
            </c:dLbl>
            <c:dLbl>
              <c:idx val="4"/>
              <c:layout>
                <c:manualLayout>
                  <c:x val="1.7729494522503227E-3"/>
                  <c:y val="5.3539037285411206E-2"/>
                </c:manualLayout>
              </c:layout>
              <c:tx>
                <c:rich>
                  <a:bodyPr/>
                  <a:lstStyle/>
                  <a:p>
                    <a:r>
                      <a:rPr lang="en-US"/>
                      <a:t>1.2</a:t>
                    </a:r>
                    <a:endParaRPr lang="lv-LV"/>
                  </a:p>
                  <a:p>
                    <a:r>
                      <a:rPr lang="lv-LV"/>
                      <a:t>25%</a:t>
                    </a:r>
                    <a:endParaRPr lang="en-US"/>
                  </a:p>
                </c:rich>
              </c:tx>
              <c:dLblPos val="outEnd"/>
              <c:showVal val="1"/>
            </c:dLbl>
            <c:dLblPos val="outEnd"/>
            <c:showVal val="1"/>
          </c:dLbls>
          <c:cat>
            <c:strRef>
              <c:f>info_zinojums!$B$3:$B$7</c:f>
              <c:strCache>
                <c:ptCount val="5"/>
                <c:pt idx="0">
                  <c:v>1.virziens - Pasākumi Kopienas zvejas flotes sabalansēšanai</c:v>
                </c:pt>
                <c:pt idx="1">
                  <c:v>2.virziens - Akvakultūra, zveja iekšējos ūdeņos, zivsaimniecības un akvakultūras produktu apstrāde un mārketings</c:v>
                </c:pt>
                <c:pt idx="2">
                  <c:v>3.virziens - Kopējās ieinteresētības pasākumi</c:v>
                </c:pt>
                <c:pt idx="3">
                  <c:v>4.virziens - Zivsaimniecības reģionu ilgtspējīga attīstība</c:v>
                </c:pt>
                <c:pt idx="4">
                  <c:v>5.virziens - Tehniskā palīdzība</c:v>
                </c:pt>
              </c:strCache>
            </c:strRef>
          </c:cat>
          <c:val>
            <c:numRef>
              <c:f>info_zinojums!$E$3:$E$7</c:f>
              <c:numCache>
                <c:formatCode>0.0</c:formatCode>
                <c:ptCount val="5"/>
                <c:pt idx="0">
                  <c:v>20.2</c:v>
                </c:pt>
                <c:pt idx="1">
                  <c:v>12.9</c:v>
                </c:pt>
                <c:pt idx="2">
                  <c:v>16.5</c:v>
                </c:pt>
                <c:pt idx="3">
                  <c:v>1.9000000000000001</c:v>
                </c:pt>
                <c:pt idx="4">
                  <c:v>1.2</c:v>
                </c:pt>
              </c:numCache>
            </c:numRef>
          </c:val>
        </c:ser>
        <c:dLbls>
          <c:showVal val="1"/>
        </c:dLbls>
        <c:axId val="82503936"/>
        <c:axId val="119910400"/>
      </c:barChart>
      <c:catAx>
        <c:axId val="82503936"/>
        <c:scaling>
          <c:orientation val="minMax"/>
        </c:scaling>
        <c:axPos val="b"/>
        <c:tickLblPos val="nextTo"/>
        <c:crossAx val="119910400"/>
        <c:crosses val="autoZero"/>
        <c:auto val="1"/>
        <c:lblAlgn val="ctr"/>
        <c:lblOffset val="100"/>
      </c:catAx>
      <c:valAx>
        <c:axId val="119910400"/>
        <c:scaling>
          <c:orientation val="minMax"/>
        </c:scaling>
        <c:axPos val="l"/>
        <c:majorGridlines/>
        <c:title>
          <c:tx>
            <c:rich>
              <a:bodyPr rot="-5400000" vert="horz"/>
              <a:lstStyle/>
              <a:p>
                <a:pPr>
                  <a:defRPr/>
                </a:pPr>
                <a:r>
                  <a:rPr lang="lv-LV"/>
                  <a:t>milj.LVL</a:t>
                </a:r>
                <a:endParaRPr lang="en-US"/>
              </a:p>
            </c:rich>
          </c:tx>
        </c:title>
        <c:numFmt formatCode="0.0" sourceLinked="1"/>
        <c:tickLblPos val="nextTo"/>
        <c:crossAx val="8250393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35"/>
  <c:chart>
    <c:plotArea>
      <c:layout/>
      <c:barChart>
        <c:barDir val="col"/>
        <c:grouping val="clustered"/>
        <c:ser>
          <c:idx val="0"/>
          <c:order val="0"/>
          <c:tx>
            <c:strRef>
              <c:f>info_zinojums!$C$31</c:f>
              <c:strCache>
                <c:ptCount val="1"/>
                <c:pt idx="0">
                  <c:v>Rezervēts % no pieejamā publiskā finansējuma</c:v>
                </c:pt>
              </c:strCache>
            </c:strRef>
          </c:tx>
          <c:cat>
            <c:strRef>
              <c:f>info_zinojums!$B$32:$B$44</c:f>
              <c:strCache>
                <c:ptCount val="13"/>
                <c:pt idx="0">
                  <c:v>1.1.</c:v>
                </c:pt>
                <c:pt idx="1">
                  <c:v>1.3.</c:v>
                </c:pt>
                <c:pt idx="2">
                  <c:v>1.4.</c:v>
                </c:pt>
                <c:pt idx="3">
                  <c:v>2.1.</c:v>
                </c:pt>
                <c:pt idx="4">
                  <c:v>2.2.</c:v>
                </c:pt>
                <c:pt idx="5">
                  <c:v>2.4.</c:v>
                </c:pt>
                <c:pt idx="6">
                  <c:v>2.5.</c:v>
                </c:pt>
                <c:pt idx="7">
                  <c:v>3.1.</c:v>
                </c:pt>
                <c:pt idx="8">
                  <c:v>3.2.</c:v>
                </c:pt>
                <c:pt idx="9">
                  <c:v>3.3.</c:v>
                </c:pt>
                <c:pt idx="10">
                  <c:v>3.4.</c:v>
                </c:pt>
                <c:pt idx="11">
                  <c:v>4.0.</c:v>
                </c:pt>
                <c:pt idx="12">
                  <c:v>5.0.</c:v>
                </c:pt>
              </c:strCache>
            </c:strRef>
          </c:cat>
          <c:val>
            <c:numRef>
              <c:f>info_zinojums!$C$32:$C$44</c:f>
              <c:numCache>
                <c:formatCode>0%</c:formatCode>
                <c:ptCount val="13"/>
                <c:pt idx="0">
                  <c:v>0.87000000000000222</c:v>
                </c:pt>
                <c:pt idx="1">
                  <c:v>0.8</c:v>
                </c:pt>
                <c:pt idx="2">
                  <c:v>0.82000000000000062</c:v>
                </c:pt>
                <c:pt idx="3">
                  <c:v>0.94000000000000061</c:v>
                </c:pt>
                <c:pt idx="4">
                  <c:v>1.06</c:v>
                </c:pt>
                <c:pt idx="5">
                  <c:v>0.42000000000000032</c:v>
                </c:pt>
                <c:pt idx="6">
                  <c:v>1</c:v>
                </c:pt>
                <c:pt idx="7">
                  <c:v>1</c:v>
                </c:pt>
                <c:pt idx="8">
                  <c:v>0.1</c:v>
                </c:pt>
                <c:pt idx="9">
                  <c:v>1</c:v>
                </c:pt>
                <c:pt idx="10">
                  <c:v>0.48000000000000032</c:v>
                </c:pt>
                <c:pt idx="11">
                  <c:v>0.22</c:v>
                </c:pt>
                <c:pt idx="12">
                  <c:v>0.84000000000000064</c:v>
                </c:pt>
              </c:numCache>
            </c:numRef>
          </c:val>
        </c:ser>
        <c:ser>
          <c:idx val="1"/>
          <c:order val="1"/>
          <c:tx>
            <c:strRef>
              <c:f>info_zinojums!$D$31</c:f>
              <c:strCache>
                <c:ptCount val="1"/>
                <c:pt idx="0">
                  <c:v>Izmaksāts % no pieejamā publiskā finansējuma</c:v>
                </c:pt>
              </c:strCache>
            </c:strRef>
          </c:tx>
          <c:dLbls>
            <c:dLbl>
              <c:idx val="0"/>
              <c:layout>
                <c:manualLayout>
                  <c:x val="8.5910641297908211E-3"/>
                  <c:y val="6.7681895093062916E-3"/>
                </c:manualLayout>
              </c:layout>
              <c:dLblPos val="outEnd"/>
              <c:showVal val="1"/>
            </c:dLbl>
            <c:dLbl>
              <c:idx val="1"/>
              <c:layout>
                <c:manualLayout>
                  <c:x val="6.8728513038326996E-3"/>
                  <c:y val="0"/>
                </c:manualLayout>
              </c:layout>
              <c:dLblPos val="outEnd"/>
              <c:showVal val="1"/>
            </c:dLbl>
            <c:dLbl>
              <c:idx val="2"/>
              <c:layout>
                <c:manualLayout>
                  <c:x val="1.0309276955748976E-2"/>
                  <c:y val="3.1020510232739682E-17"/>
                </c:manualLayout>
              </c:layout>
              <c:dLblPos val="outEnd"/>
              <c:showVal val="1"/>
            </c:dLbl>
            <c:dLbl>
              <c:idx val="3"/>
              <c:layout>
                <c:manualLayout>
                  <c:x val="6.8728513038326996E-3"/>
                  <c:y val="0"/>
                </c:manualLayout>
              </c:layout>
              <c:dLblPos val="outEnd"/>
              <c:showVal val="1"/>
            </c:dLbl>
            <c:dLbl>
              <c:idx val="4"/>
              <c:layout>
                <c:manualLayout>
                  <c:x val="8.5910641297908211E-3"/>
                  <c:y val="0"/>
                </c:manualLayout>
              </c:layout>
              <c:dLblPos val="outEnd"/>
              <c:showVal val="1"/>
            </c:dLbl>
            <c:dLbl>
              <c:idx val="5"/>
              <c:layout>
                <c:manualLayout>
                  <c:x val="8.5910641297908211E-3"/>
                  <c:y val="0"/>
                </c:manualLayout>
              </c:layout>
              <c:dLblPos val="outEnd"/>
              <c:showVal val="1"/>
            </c:dLbl>
            <c:dLbl>
              <c:idx val="6"/>
              <c:layout>
                <c:manualLayout>
                  <c:x val="8.591064129790757E-3"/>
                  <c:y val="0"/>
                </c:manualLayout>
              </c:layout>
              <c:dLblPos val="outEnd"/>
              <c:showVal val="1"/>
            </c:dLbl>
            <c:dLbl>
              <c:idx val="7"/>
              <c:layout>
                <c:manualLayout>
                  <c:x val="1.0309276955748976E-2"/>
                  <c:y val="3.3840947546531488E-3"/>
                </c:manualLayout>
              </c:layout>
              <c:dLblPos val="outEnd"/>
              <c:showVal val="1"/>
            </c:dLbl>
            <c:dLbl>
              <c:idx val="8"/>
              <c:layout>
                <c:manualLayout>
                  <c:x val="1.2027489781707226E-2"/>
                  <c:y val="0"/>
                </c:manualLayout>
              </c:layout>
              <c:dLblPos val="outEnd"/>
              <c:showVal val="1"/>
            </c:dLbl>
            <c:dLbl>
              <c:idx val="9"/>
              <c:layout>
                <c:manualLayout>
                  <c:x val="1.0309276955748976E-2"/>
                  <c:y val="0"/>
                </c:manualLayout>
              </c:layout>
              <c:dLblPos val="outEnd"/>
              <c:showVal val="1"/>
            </c:dLbl>
            <c:dLbl>
              <c:idx val="10"/>
              <c:layout>
                <c:manualLayout>
                  <c:x val="6.8728513038326996E-3"/>
                  <c:y val="-6.2041020465479353E-17"/>
                </c:manualLayout>
              </c:layout>
              <c:dLblPos val="outEnd"/>
              <c:showVal val="1"/>
            </c:dLbl>
            <c:dLbl>
              <c:idx val="11"/>
              <c:layout>
                <c:manualLayout>
                  <c:x val="8.5910641297908211E-3"/>
                  <c:y val="0"/>
                </c:manualLayout>
              </c:layout>
              <c:dLblPos val="outEnd"/>
              <c:showVal val="1"/>
            </c:dLbl>
            <c:dLbl>
              <c:idx val="12"/>
              <c:layout>
                <c:manualLayout>
                  <c:x val="6.8728513038326996E-3"/>
                  <c:y val="0"/>
                </c:manualLayout>
              </c:layout>
              <c:dLblPos val="outEnd"/>
              <c:showVal val="1"/>
            </c:dLbl>
            <c:dLblPos val="outEnd"/>
            <c:showVal val="1"/>
          </c:dLbls>
          <c:cat>
            <c:strRef>
              <c:f>info_zinojums!$B$32:$B$44</c:f>
              <c:strCache>
                <c:ptCount val="13"/>
                <c:pt idx="0">
                  <c:v>1.1.</c:v>
                </c:pt>
                <c:pt idx="1">
                  <c:v>1.3.</c:v>
                </c:pt>
                <c:pt idx="2">
                  <c:v>1.4.</c:v>
                </c:pt>
                <c:pt idx="3">
                  <c:v>2.1.</c:v>
                </c:pt>
                <c:pt idx="4">
                  <c:v>2.2.</c:v>
                </c:pt>
                <c:pt idx="5">
                  <c:v>2.4.</c:v>
                </c:pt>
                <c:pt idx="6">
                  <c:v>2.5.</c:v>
                </c:pt>
                <c:pt idx="7">
                  <c:v>3.1.</c:v>
                </c:pt>
                <c:pt idx="8">
                  <c:v>3.2.</c:v>
                </c:pt>
                <c:pt idx="9">
                  <c:v>3.3.</c:v>
                </c:pt>
                <c:pt idx="10">
                  <c:v>3.4.</c:v>
                </c:pt>
                <c:pt idx="11">
                  <c:v>4.0.</c:v>
                </c:pt>
                <c:pt idx="12">
                  <c:v>5.0.</c:v>
                </c:pt>
              </c:strCache>
            </c:strRef>
          </c:cat>
          <c:val>
            <c:numRef>
              <c:f>info_zinojums!$D$32:$D$44</c:f>
              <c:numCache>
                <c:formatCode>0%</c:formatCode>
                <c:ptCount val="13"/>
                <c:pt idx="0">
                  <c:v>0.83000000000000063</c:v>
                </c:pt>
                <c:pt idx="1">
                  <c:v>0.32000000000000123</c:v>
                </c:pt>
                <c:pt idx="2">
                  <c:v>0.82000000000000062</c:v>
                </c:pt>
                <c:pt idx="3">
                  <c:v>0.22</c:v>
                </c:pt>
                <c:pt idx="4">
                  <c:v>0.63000000000000245</c:v>
                </c:pt>
                <c:pt idx="5">
                  <c:v>0</c:v>
                </c:pt>
                <c:pt idx="6">
                  <c:v>0.29000000000000031</c:v>
                </c:pt>
                <c:pt idx="7">
                  <c:v>0.45</c:v>
                </c:pt>
                <c:pt idx="8">
                  <c:v>0.1</c:v>
                </c:pt>
                <c:pt idx="9">
                  <c:v>0.86000000000000065</c:v>
                </c:pt>
                <c:pt idx="10">
                  <c:v>0.37000000000000038</c:v>
                </c:pt>
                <c:pt idx="11">
                  <c:v>0.12000000000000002</c:v>
                </c:pt>
                <c:pt idx="12">
                  <c:v>0.25</c:v>
                </c:pt>
              </c:numCache>
            </c:numRef>
          </c:val>
        </c:ser>
        <c:dLbls>
          <c:showVal val="1"/>
        </c:dLbls>
        <c:axId val="83063936"/>
        <c:axId val="83065472"/>
      </c:barChart>
      <c:catAx>
        <c:axId val="83063936"/>
        <c:scaling>
          <c:orientation val="minMax"/>
        </c:scaling>
        <c:axPos val="b"/>
        <c:tickLblPos val="nextTo"/>
        <c:crossAx val="83065472"/>
        <c:crosses val="autoZero"/>
        <c:auto val="1"/>
        <c:lblAlgn val="ctr"/>
        <c:lblOffset val="100"/>
      </c:catAx>
      <c:valAx>
        <c:axId val="83065472"/>
        <c:scaling>
          <c:orientation val="minMax"/>
        </c:scaling>
        <c:axPos val="l"/>
        <c:majorGridlines/>
        <c:numFmt formatCode="0%" sourceLinked="1"/>
        <c:tickLblPos val="nextTo"/>
        <c:crossAx val="8306393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11492</Characters>
  <Application>Microsoft Office Word</Application>
  <DocSecurity>0</DocSecurity>
  <Lines>261</Lines>
  <Paragraphs>66</Paragraphs>
  <ScaleCrop>false</ScaleCrop>
  <HeadingPairs>
    <vt:vector size="2" baseType="variant">
      <vt:variant>
        <vt:lpstr>Nosaukums</vt:lpstr>
      </vt:variant>
      <vt:variant>
        <vt:i4>1</vt:i4>
      </vt:variant>
    </vt:vector>
  </HeadingPairs>
  <TitlesOfParts>
    <vt:vector size="1" baseType="lpstr">
      <vt:lpstr>Par Rīcības programmas Eiropas Zivsaimniecības fonda atbalsta ieviešanai Latvijā 2007.–2013.gadam īstenošanu</vt:lpstr>
    </vt:vector>
  </TitlesOfParts>
  <Company>ZM</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Rīcības programmas Eiropas Zivsaimniecības fonda atbalsta ieviešanai Latvijā 2007.–2013.gadam īstenošanu</dc:title>
  <dc:subject>Informatīvais ziņojums</dc:subject>
  <dc:creator>Kristaps Pilskalns</dc:creator>
  <dc:description>Kristaps.Pilskalns@zm.gov.lv67878727</dc:description>
  <cp:lastModifiedBy>Renārs Žagars</cp:lastModifiedBy>
  <cp:revision>3</cp:revision>
  <cp:lastPrinted>2012-03-21T09:24:00Z</cp:lastPrinted>
  <dcterms:created xsi:type="dcterms:W3CDTF">2012-04-04T11:26:00Z</dcterms:created>
  <dcterms:modified xsi:type="dcterms:W3CDTF">2012-04-05T05:48:00Z</dcterms:modified>
</cp:coreProperties>
</file>