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AD" w:rsidRPr="00A07EAD" w:rsidRDefault="00A07EAD" w:rsidP="00A0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EAD">
        <w:rPr>
          <w:rFonts w:ascii="Times New Roman" w:hAnsi="Times New Roman" w:cs="Times New Roman"/>
          <w:sz w:val="24"/>
          <w:szCs w:val="24"/>
        </w:rPr>
        <w:t>1.pielikums</w:t>
      </w:r>
    </w:p>
    <w:p w:rsidR="00A07EAD" w:rsidRDefault="00A07EAD" w:rsidP="00A0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07EAD">
        <w:rPr>
          <w:rFonts w:ascii="Times New Roman" w:hAnsi="Times New Roman" w:cs="Times New Roman"/>
          <w:sz w:val="24"/>
          <w:szCs w:val="24"/>
        </w:rPr>
        <w:t>nformatīva</w:t>
      </w:r>
      <w:r>
        <w:rPr>
          <w:rFonts w:ascii="Times New Roman" w:hAnsi="Times New Roman" w:cs="Times New Roman"/>
          <w:sz w:val="24"/>
          <w:szCs w:val="24"/>
        </w:rPr>
        <w:t>jam ziņojumam</w:t>
      </w:r>
      <w:r w:rsidRPr="00A07EAD">
        <w:rPr>
          <w:rFonts w:ascii="Times New Roman" w:hAnsi="Times New Roman" w:cs="Times New Roman"/>
          <w:sz w:val="24"/>
          <w:szCs w:val="24"/>
        </w:rPr>
        <w:t xml:space="preserve"> par piesardzības pasākumiem </w:t>
      </w:r>
    </w:p>
    <w:p w:rsidR="00A07EAD" w:rsidRDefault="00A07EAD" w:rsidP="00A0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EAD">
        <w:rPr>
          <w:rFonts w:ascii="Times New Roman" w:hAnsi="Times New Roman" w:cs="Times New Roman"/>
          <w:sz w:val="24"/>
          <w:szCs w:val="24"/>
        </w:rPr>
        <w:t xml:space="preserve">pret Āfrikas cūku mēri un priekšlikumiem turpmākai </w:t>
      </w:r>
    </w:p>
    <w:p w:rsidR="00A07EAD" w:rsidRPr="00A07EAD" w:rsidRDefault="00A07EAD" w:rsidP="00A0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EAD">
        <w:rPr>
          <w:rFonts w:ascii="Times New Roman" w:hAnsi="Times New Roman" w:cs="Times New Roman"/>
          <w:sz w:val="24"/>
          <w:szCs w:val="24"/>
        </w:rPr>
        <w:t>rīcībai, lai nepieļautu tā izplatīšanos Latvijas teritorijā</w:t>
      </w:r>
    </w:p>
    <w:p w:rsidR="00A07EAD" w:rsidRDefault="00A07EAD" w:rsidP="000E076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6152A" w:rsidRPr="00A07EAD" w:rsidRDefault="00A13619" w:rsidP="000E0760">
      <w:pPr>
        <w:jc w:val="center"/>
        <w:rPr>
          <w:rFonts w:ascii="Times New Roman" w:hAnsi="Times New Roman" w:cs="Times New Roman"/>
          <w:b/>
          <w:sz w:val="32"/>
        </w:rPr>
      </w:pPr>
      <w:r w:rsidRPr="00A07EAD">
        <w:rPr>
          <w:rFonts w:ascii="Times New Roman" w:hAnsi="Times New Roman" w:cs="Times New Roman"/>
          <w:b/>
          <w:sz w:val="32"/>
        </w:rPr>
        <w:t xml:space="preserve">Cūkgaļas </w:t>
      </w:r>
      <w:r w:rsidR="00C27E77">
        <w:rPr>
          <w:rFonts w:ascii="Times New Roman" w:hAnsi="Times New Roman" w:cs="Times New Roman"/>
          <w:b/>
          <w:sz w:val="32"/>
        </w:rPr>
        <w:t>nozīme</w:t>
      </w:r>
      <w:r w:rsidRPr="00A07EAD">
        <w:rPr>
          <w:rFonts w:ascii="Times New Roman" w:hAnsi="Times New Roman" w:cs="Times New Roman"/>
          <w:b/>
          <w:sz w:val="32"/>
        </w:rPr>
        <w:t xml:space="preserve"> Latvijas gaļas tirgū</w:t>
      </w:r>
    </w:p>
    <w:p w:rsidR="00CB405A" w:rsidRPr="00A07EAD" w:rsidRDefault="00CB405A" w:rsidP="00CB405A">
      <w:pPr>
        <w:pStyle w:val="Sarakstarindkop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sz w:val="24"/>
        </w:rPr>
        <w:t xml:space="preserve">No Latvijā kopā saražotā gaļas apjoma cūkgaļa veido </w:t>
      </w:r>
      <w:r w:rsidRPr="00A07EAD">
        <w:rPr>
          <w:rFonts w:ascii="Times New Roman" w:hAnsi="Times New Roman" w:cs="Times New Roman"/>
          <w:b/>
          <w:sz w:val="24"/>
        </w:rPr>
        <w:t>46 %.</w:t>
      </w:r>
    </w:p>
    <w:p w:rsidR="000E0760" w:rsidRPr="00A07EAD" w:rsidRDefault="000E0760" w:rsidP="00CB405A">
      <w:pPr>
        <w:pStyle w:val="Sarakstarindkopa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sz w:val="24"/>
        </w:rPr>
        <w:t xml:space="preserve">No Latvijā kopā patērētas gaļas un gaļas produktiem cūkgaļa veido </w:t>
      </w:r>
      <w:r w:rsidRPr="00A07EAD">
        <w:rPr>
          <w:rFonts w:ascii="Times New Roman" w:hAnsi="Times New Roman" w:cs="Times New Roman"/>
          <w:b/>
          <w:sz w:val="24"/>
        </w:rPr>
        <w:t>55 %.</w:t>
      </w:r>
    </w:p>
    <w:p w:rsidR="00CB405A" w:rsidRPr="00A07EAD" w:rsidRDefault="00CB405A" w:rsidP="00F3456D">
      <w:pPr>
        <w:jc w:val="center"/>
        <w:rPr>
          <w:rFonts w:ascii="Times New Roman" w:hAnsi="Times New Roman" w:cs="Times New Roman"/>
        </w:rPr>
      </w:pPr>
      <w:r w:rsidRPr="00A07EA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6155872" cy="2547257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0760" w:rsidRPr="00A07EAD" w:rsidRDefault="000E0760" w:rsidP="00DD6042">
      <w:pPr>
        <w:jc w:val="center"/>
        <w:rPr>
          <w:rFonts w:ascii="Times New Roman" w:hAnsi="Times New Roman" w:cs="Times New Roman"/>
        </w:rPr>
      </w:pPr>
      <w:r w:rsidRPr="00A07EA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078186" cy="2759528"/>
            <wp:effectExtent l="0" t="0" r="0" b="0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3B20" w:rsidRPr="00A07EAD" w:rsidRDefault="002E76EA" w:rsidP="004B6ED9">
      <w:pPr>
        <w:pStyle w:val="Sarakstarindkop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sz w:val="24"/>
        </w:rPr>
        <w:t>Pēc cūkgaļas</w:t>
      </w:r>
      <w:r w:rsidR="004B6ED9" w:rsidRPr="00A07EAD">
        <w:rPr>
          <w:rFonts w:ascii="Times New Roman" w:hAnsi="Times New Roman" w:cs="Times New Roman"/>
          <w:sz w:val="24"/>
        </w:rPr>
        <w:t xml:space="preserve"> un tās produktu</w:t>
      </w:r>
      <w:r w:rsidRPr="00A07EAD">
        <w:rPr>
          <w:rFonts w:ascii="Times New Roman" w:hAnsi="Times New Roman" w:cs="Times New Roman"/>
          <w:sz w:val="24"/>
        </w:rPr>
        <w:t xml:space="preserve"> bilances datiem</w:t>
      </w:r>
      <w:r w:rsidR="00C27E77">
        <w:rPr>
          <w:rFonts w:ascii="Times New Roman" w:hAnsi="Times New Roman" w:cs="Times New Roman"/>
          <w:sz w:val="24"/>
        </w:rPr>
        <w:t>,</w:t>
      </w:r>
      <w:r w:rsidRPr="00A07EAD">
        <w:rPr>
          <w:rFonts w:ascii="Times New Roman" w:hAnsi="Times New Roman" w:cs="Times New Roman"/>
          <w:sz w:val="24"/>
        </w:rPr>
        <w:t xml:space="preserve"> kopējais patēriņš 2012.gadā bijis 74,3 </w:t>
      </w:r>
      <w:proofErr w:type="spellStart"/>
      <w:r w:rsidRPr="00A07EAD">
        <w:rPr>
          <w:rFonts w:ascii="Times New Roman" w:hAnsi="Times New Roman" w:cs="Times New Roman"/>
          <w:sz w:val="24"/>
        </w:rPr>
        <w:t>tūkst.t</w:t>
      </w:r>
      <w:proofErr w:type="spellEnd"/>
      <w:r w:rsidRPr="00A07EAD">
        <w:rPr>
          <w:rFonts w:ascii="Times New Roman" w:hAnsi="Times New Roman" w:cs="Times New Roman"/>
          <w:sz w:val="24"/>
        </w:rPr>
        <w:t>, t</w:t>
      </w:r>
      <w:r w:rsidR="004B6ED9" w:rsidRPr="00A07EAD">
        <w:rPr>
          <w:rFonts w:ascii="Times New Roman" w:hAnsi="Times New Roman" w:cs="Times New Roman"/>
          <w:sz w:val="24"/>
        </w:rPr>
        <w:t xml:space="preserve">aču saražoti tikai 35,7 </w:t>
      </w:r>
      <w:proofErr w:type="spellStart"/>
      <w:r w:rsidR="004B6ED9" w:rsidRPr="00A07EAD">
        <w:rPr>
          <w:rFonts w:ascii="Times New Roman" w:hAnsi="Times New Roman" w:cs="Times New Roman"/>
          <w:sz w:val="24"/>
        </w:rPr>
        <w:t>tūkst.t</w:t>
      </w:r>
      <w:proofErr w:type="spellEnd"/>
      <w:r w:rsidR="004B6ED9" w:rsidRPr="00A07EAD">
        <w:rPr>
          <w:rFonts w:ascii="Times New Roman" w:hAnsi="Times New Roman" w:cs="Times New Roman"/>
          <w:sz w:val="24"/>
        </w:rPr>
        <w:t xml:space="preserve"> </w:t>
      </w:r>
      <w:r w:rsidR="00C27E77">
        <w:rPr>
          <w:rFonts w:ascii="Times New Roman" w:hAnsi="Times New Roman" w:cs="Times New Roman"/>
          <w:sz w:val="24"/>
        </w:rPr>
        <w:t>–</w:t>
      </w:r>
      <w:r w:rsidR="004B6ED9" w:rsidRPr="00A07EAD">
        <w:rPr>
          <w:rFonts w:ascii="Times New Roman" w:hAnsi="Times New Roman" w:cs="Times New Roman"/>
          <w:sz w:val="24"/>
        </w:rPr>
        <w:t xml:space="preserve"> </w:t>
      </w:r>
      <w:r w:rsidR="00073B20" w:rsidRPr="00A07EAD">
        <w:rPr>
          <w:rFonts w:ascii="Times New Roman" w:hAnsi="Times New Roman" w:cs="Times New Roman"/>
          <w:sz w:val="24"/>
        </w:rPr>
        <w:t xml:space="preserve">Latvijas patēriņu veido </w:t>
      </w:r>
      <w:r w:rsidR="00073B20" w:rsidRPr="00A07EAD">
        <w:rPr>
          <w:rFonts w:ascii="Times New Roman" w:hAnsi="Times New Roman" w:cs="Times New Roman"/>
          <w:b/>
          <w:sz w:val="24"/>
        </w:rPr>
        <w:t>48 %</w:t>
      </w:r>
      <w:r w:rsidR="00073B20" w:rsidRPr="00A07EAD">
        <w:rPr>
          <w:rFonts w:ascii="Times New Roman" w:hAnsi="Times New Roman" w:cs="Times New Roman"/>
          <w:sz w:val="24"/>
        </w:rPr>
        <w:t xml:space="preserve"> vietējas izcelsmes un </w:t>
      </w:r>
      <w:r w:rsidR="00073B20" w:rsidRPr="00A07EAD">
        <w:rPr>
          <w:rFonts w:ascii="Times New Roman" w:hAnsi="Times New Roman" w:cs="Times New Roman"/>
          <w:b/>
          <w:sz w:val="24"/>
        </w:rPr>
        <w:t>52 %</w:t>
      </w:r>
      <w:r w:rsidR="00073B20" w:rsidRPr="00A07EAD">
        <w:rPr>
          <w:rFonts w:ascii="Times New Roman" w:hAnsi="Times New Roman" w:cs="Times New Roman"/>
          <w:sz w:val="24"/>
        </w:rPr>
        <w:t xml:space="preserve"> importēta cūkgaļa</w:t>
      </w:r>
      <w:r w:rsidR="002A30CA" w:rsidRPr="00A07EAD">
        <w:rPr>
          <w:rFonts w:ascii="Times New Roman" w:hAnsi="Times New Roman" w:cs="Times New Roman"/>
          <w:sz w:val="24"/>
        </w:rPr>
        <w:t xml:space="preserve"> un tās produkti</w:t>
      </w:r>
      <w:r w:rsidR="00073B20" w:rsidRPr="00A07EAD">
        <w:rPr>
          <w:rFonts w:ascii="Times New Roman" w:hAnsi="Times New Roman" w:cs="Times New Roman"/>
          <w:sz w:val="24"/>
        </w:rPr>
        <w:t>.</w:t>
      </w:r>
    </w:p>
    <w:p w:rsidR="006A3E25" w:rsidRPr="00A07EAD" w:rsidRDefault="006A3E25" w:rsidP="006A3E25">
      <w:pPr>
        <w:rPr>
          <w:rFonts w:ascii="Times New Roman" w:hAnsi="Times New Roman" w:cs="Times New Roman"/>
          <w:sz w:val="24"/>
        </w:rPr>
      </w:pPr>
    </w:p>
    <w:p w:rsidR="006A3E25" w:rsidRPr="00A07EAD" w:rsidRDefault="00061EDF" w:rsidP="006A3E25">
      <w:pPr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noProof/>
          <w:lang w:eastAsia="lv-LV"/>
        </w:rPr>
        <w:lastRenderedPageBreak/>
        <w:drawing>
          <wp:inline distT="0" distB="0" distL="0" distR="0">
            <wp:extent cx="5934075" cy="3571875"/>
            <wp:effectExtent l="0" t="0" r="28575" b="0"/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B91" w:rsidRPr="00A07EAD" w:rsidRDefault="00BB3B91" w:rsidP="006A3E25">
      <w:pPr>
        <w:rPr>
          <w:rFonts w:ascii="Times New Roman" w:hAnsi="Times New Roman" w:cs="Times New Roman"/>
          <w:sz w:val="24"/>
        </w:rPr>
      </w:pPr>
    </w:p>
    <w:p w:rsidR="003B2B29" w:rsidRPr="00A07EAD" w:rsidRDefault="00734956" w:rsidP="006A3E25">
      <w:pPr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927272" cy="3771900"/>
            <wp:effectExtent l="0" t="0" r="0" b="0"/>
            <wp:docPr id="7" name="Diagram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4956" w:rsidRPr="00A07EAD" w:rsidRDefault="003B2B29" w:rsidP="003B2B29">
      <w:pPr>
        <w:tabs>
          <w:tab w:val="left" w:pos="1826"/>
        </w:tabs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sz w:val="24"/>
        </w:rPr>
        <w:tab/>
      </w:r>
    </w:p>
    <w:p w:rsidR="00BB3B91" w:rsidRPr="00A07EAD" w:rsidRDefault="00BB3B91" w:rsidP="006A3E25">
      <w:pPr>
        <w:rPr>
          <w:rFonts w:ascii="Times New Roman" w:hAnsi="Times New Roman" w:cs="Times New Roman"/>
          <w:sz w:val="24"/>
        </w:rPr>
      </w:pPr>
      <w:r w:rsidRPr="00A07EAD">
        <w:rPr>
          <w:rFonts w:ascii="Times New Roman" w:hAnsi="Times New Roman" w:cs="Times New Roman"/>
          <w:noProof/>
          <w:lang w:eastAsia="lv-LV"/>
        </w:rPr>
        <w:lastRenderedPageBreak/>
        <w:drawing>
          <wp:inline distT="0" distB="0" distL="0" distR="0">
            <wp:extent cx="6074229" cy="3886200"/>
            <wp:effectExtent l="0" t="0" r="3175" b="0"/>
            <wp:docPr id="6" name="Diagram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53E" w:rsidRDefault="00CD7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D753E" w:rsidRPr="00CD753E" w:rsidRDefault="00CD753E" w:rsidP="00CD75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Cūkkopības nozares provizoriskie zaudējumi</w:t>
      </w:r>
      <w:r w:rsidRPr="00CD753E">
        <w:rPr>
          <w:rFonts w:ascii="Times New Roman" w:hAnsi="Times New Roman" w:cs="Times New Roman"/>
          <w:b/>
          <w:sz w:val="32"/>
          <w:szCs w:val="32"/>
        </w:rPr>
        <w:t xml:space="preserve"> cūku </w:t>
      </w:r>
      <w:r>
        <w:rPr>
          <w:rFonts w:ascii="Times New Roman" w:hAnsi="Times New Roman" w:cs="Times New Roman"/>
          <w:b/>
          <w:sz w:val="32"/>
          <w:szCs w:val="32"/>
        </w:rPr>
        <w:t>un cūkgaļas eksporta aizlieguma gadījumā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7054"/>
        <w:gridCol w:w="2410"/>
      </w:tblGrid>
      <w:tr w:rsidR="00CD753E" w:rsidRPr="00CD753E" w:rsidTr="00952E32">
        <w:trPr>
          <w:trHeight w:val="300"/>
        </w:trPr>
        <w:tc>
          <w:tcPr>
            <w:tcW w:w="7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Zaudējumu aprēķins: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1. Saražotās cūkgaļas apjoms, </w:t>
            </w:r>
            <w:proofErr w:type="spellStart"/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tūkst.t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35,7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2. Eksportēto dzīvo cūku apjoms, tūkst. 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8,5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27E7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3. LV iepirkuma cena (2013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. g.</w:t>
            </w:r>
            <w:r w:rsidR="00C27E77"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dec.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), EUR/100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182,43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4. Kopējā nozares produkcijas vērtība pie pašreizējās Latvijas iepirkuma cenas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80 633 441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5. Iepirkuma cena, par k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uru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būtu iespējams realizēt cūkgaļu Latvijā, ja ir spēkā eksporta aizliegums (t.i.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90% no Polijas cenas)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151,57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iCs/>
                <w:sz w:val="24"/>
              </w:rPr>
              <w:t>6. Polijas iepirkuma cena cūkgaļai (</w:t>
            </w:r>
            <w:r w:rsidR="00C27E77" w:rsidRPr="00CD753E">
              <w:rPr>
                <w:rFonts w:ascii="Times New Roman" w:hAnsi="Times New Roman" w:cs="Times New Roman"/>
                <w:b/>
                <w:bCs/>
                <w:sz w:val="24"/>
              </w:rPr>
              <w:t>2013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. g.</w:t>
            </w:r>
            <w:r w:rsidR="00C27E77"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dec.</w:t>
            </w:r>
            <w:r w:rsidRPr="00CD753E">
              <w:rPr>
                <w:rFonts w:ascii="Times New Roman" w:hAnsi="Times New Roman" w:cs="Times New Roman"/>
                <w:b/>
                <w:bCs/>
                <w:iCs/>
                <w:sz w:val="24"/>
              </w:rPr>
              <w:t>), EUR/100 kg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iCs/>
                <w:sz w:val="24"/>
              </w:rPr>
              <w:t>168,41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7. Kopējā nozares vērtība 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ar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pazemināt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u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realizācijas cen</w:t>
            </w:r>
            <w:r w:rsidR="00C27E77">
              <w:rPr>
                <w:rFonts w:ascii="Times New Roman" w:hAnsi="Times New Roman" w:cs="Times New Roman"/>
                <w:b/>
                <w:bCs/>
                <w:sz w:val="24"/>
              </w:rPr>
              <w:t>u</w:t>
            </w: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 xml:space="preserve"> eksporta aizlieguma gadījumā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66 992 305</w:t>
            </w:r>
          </w:p>
        </w:tc>
      </w:tr>
      <w:tr w:rsidR="00CD753E" w:rsidRPr="00CD753E" w:rsidTr="00952E32">
        <w:trPr>
          <w:trHeight w:val="300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8. Nozares hipotētiskais zaudējums, EUR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53E" w:rsidRPr="00CD753E" w:rsidRDefault="00CD753E" w:rsidP="00CD75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753E">
              <w:rPr>
                <w:rFonts w:ascii="Times New Roman" w:hAnsi="Times New Roman" w:cs="Times New Roman"/>
                <w:b/>
                <w:bCs/>
                <w:sz w:val="24"/>
              </w:rPr>
              <w:t>13 641 137</w:t>
            </w:r>
          </w:p>
        </w:tc>
      </w:tr>
    </w:tbl>
    <w:p w:rsidR="00CD753E" w:rsidRDefault="00CD753E" w:rsidP="00CD753E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CD753E" w:rsidRDefault="00CD753E" w:rsidP="00CD753E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CD753E" w:rsidRPr="00CD753E" w:rsidRDefault="00952E32" w:rsidP="00CD753E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952E32">
        <w:rPr>
          <w:rFonts w:ascii="Times New Roman" w:hAnsi="Times New Roman" w:cs="Times New Roman"/>
          <w:b/>
          <w:bCs/>
          <w:sz w:val="24"/>
        </w:rPr>
        <w:tab/>
      </w:r>
      <w:r w:rsidR="00CD753E" w:rsidRPr="00CD753E">
        <w:rPr>
          <w:rFonts w:ascii="Times New Roman" w:hAnsi="Times New Roman" w:cs="Times New Roman"/>
          <w:b/>
          <w:bCs/>
          <w:sz w:val="24"/>
          <w:u w:val="single"/>
        </w:rPr>
        <w:t xml:space="preserve">Paskaidrojumi: </w:t>
      </w:r>
    </w:p>
    <w:p w:rsidR="00CD753E" w:rsidRDefault="00CD753E" w:rsidP="00CD753E">
      <w:pPr>
        <w:rPr>
          <w:rFonts w:ascii="Times New Roman" w:hAnsi="Times New Roman" w:cs="Times New Roman"/>
          <w:sz w:val="24"/>
        </w:rPr>
      </w:pPr>
    </w:p>
    <w:p w:rsidR="00CD753E" w:rsidRPr="00CD753E" w:rsidRDefault="00952E32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753E" w:rsidRPr="00CD753E">
        <w:rPr>
          <w:rFonts w:ascii="Times New Roman" w:hAnsi="Times New Roman" w:cs="Times New Roman"/>
          <w:sz w:val="24"/>
        </w:rPr>
        <w:t>Aprēķinos ir ņemts vērā Latvijā saražotās gaļas apjoms un</w:t>
      </w:r>
      <w:r>
        <w:rPr>
          <w:rFonts w:ascii="Times New Roman" w:hAnsi="Times New Roman" w:cs="Times New Roman"/>
          <w:sz w:val="24"/>
        </w:rPr>
        <w:t xml:space="preserve"> eksportēto dzīvo cūku daudzums </w:t>
      </w:r>
      <w:r w:rsidR="00CD753E" w:rsidRPr="00CD753E">
        <w:rPr>
          <w:rFonts w:ascii="Times New Roman" w:hAnsi="Times New Roman" w:cs="Times New Roman"/>
          <w:sz w:val="24"/>
        </w:rPr>
        <w:t>(pārrēķinot gaļā) un attiecīgi  aprēķinot kopējo gaļas vērtību</w:t>
      </w:r>
      <w:r w:rsidR="00CD753E">
        <w:rPr>
          <w:rFonts w:ascii="Times New Roman" w:hAnsi="Times New Roman" w:cs="Times New Roman"/>
          <w:sz w:val="24"/>
        </w:rPr>
        <w:t>:</w:t>
      </w:r>
    </w:p>
    <w:p w:rsidR="00952E32" w:rsidRDefault="00952E32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r w:rsidR="00CD753E" w:rsidRPr="00CD753E">
        <w:rPr>
          <w:rFonts w:ascii="Times New Roman" w:hAnsi="Times New Roman" w:cs="Times New Roman"/>
          <w:sz w:val="24"/>
        </w:rPr>
        <w:t xml:space="preserve">pēc vidējās iepirkuma cenas Latvijā (2013.gada decembris)  un </w:t>
      </w:r>
    </w:p>
    <w:p w:rsidR="00CD753E" w:rsidRPr="00952E32" w:rsidRDefault="00952E32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r w:rsidR="00CD753E" w:rsidRPr="00952E32">
        <w:rPr>
          <w:rFonts w:ascii="Times New Roman" w:hAnsi="Times New Roman" w:cs="Times New Roman"/>
          <w:sz w:val="24"/>
        </w:rPr>
        <w:t>pēc iespējami zemākās Latvijas tirgus cenas eksporta aizlieguma situācijā. Šai cenai izvēlējāmies Polijas (k</w:t>
      </w:r>
      <w:r w:rsidR="00C27E77">
        <w:rPr>
          <w:rFonts w:ascii="Times New Roman" w:hAnsi="Times New Roman" w:cs="Times New Roman"/>
          <w:sz w:val="24"/>
        </w:rPr>
        <w:t>ura</w:t>
      </w:r>
      <w:r w:rsidR="00CD753E" w:rsidRPr="00952E32">
        <w:rPr>
          <w:rFonts w:ascii="Times New Roman" w:hAnsi="Times New Roman" w:cs="Times New Roman"/>
          <w:sz w:val="24"/>
        </w:rPr>
        <w:t xml:space="preserve"> ir lielāk</w:t>
      </w:r>
      <w:r w:rsidR="00C27E77">
        <w:rPr>
          <w:rFonts w:ascii="Times New Roman" w:hAnsi="Times New Roman" w:cs="Times New Roman"/>
          <w:sz w:val="24"/>
        </w:rPr>
        <w:t>ā</w:t>
      </w:r>
      <w:r w:rsidR="00CD753E" w:rsidRPr="00952E32">
        <w:rPr>
          <w:rFonts w:ascii="Times New Roman" w:hAnsi="Times New Roman" w:cs="Times New Roman"/>
          <w:sz w:val="24"/>
        </w:rPr>
        <w:t xml:space="preserve"> cūku liemeņu piegādātāj</w:t>
      </w:r>
      <w:r w:rsidR="00C27E77">
        <w:rPr>
          <w:rFonts w:ascii="Times New Roman" w:hAnsi="Times New Roman" w:cs="Times New Roman"/>
          <w:sz w:val="24"/>
        </w:rPr>
        <w:t>a</w:t>
      </w:r>
      <w:r w:rsidR="00CD753E" w:rsidRPr="00952E32">
        <w:rPr>
          <w:rFonts w:ascii="Times New Roman" w:hAnsi="Times New Roman" w:cs="Times New Roman"/>
          <w:sz w:val="24"/>
        </w:rPr>
        <w:t xml:space="preserve"> Latvijai) vidējo iepirkuma cenu, </w:t>
      </w:r>
      <w:r w:rsidR="00C27E77">
        <w:rPr>
          <w:rFonts w:ascii="Times New Roman" w:hAnsi="Times New Roman" w:cs="Times New Roman"/>
          <w:sz w:val="24"/>
        </w:rPr>
        <w:t xml:space="preserve">kas </w:t>
      </w:r>
      <w:r w:rsidR="00CD753E" w:rsidRPr="00952E32">
        <w:rPr>
          <w:rFonts w:ascii="Times New Roman" w:hAnsi="Times New Roman" w:cs="Times New Roman"/>
          <w:sz w:val="24"/>
        </w:rPr>
        <w:t>samazināt</w:t>
      </w:r>
      <w:r w:rsidR="00C27E77">
        <w:rPr>
          <w:rFonts w:ascii="Times New Roman" w:hAnsi="Times New Roman" w:cs="Times New Roman"/>
          <w:sz w:val="24"/>
        </w:rPr>
        <w:t>a</w:t>
      </w:r>
      <w:r w:rsidR="00CD753E" w:rsidRPr="00952E32">
        <w:rPr>
          <w:rFonts w:ascii="Times New Roman" w:hAnsi="Times New Roman" w:cs="Times New Roman"/>
          <w:sz w:val="24"/>
        </w:rPr>
        <w:t xml:space="preserve"> par 10%. </w:t>
      </w:r>
    </w:p>
    <w:p w:rsidR="00952E32" w:rsidRDefault="00952E32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753E" w:rsidRDefault="00952E32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753E" w:rsidRPr="00CD753E">
        <w:rPr>
          <w:rFonts w:ascii="Times New Roman" w:hAnsi="Times New Roman" w:cs="Times New Roman"/>
          <w:sz w:val="24"/>
        </w:rPr>
        <w:t xml:space="preserve">Iegūto vērtību starpība ir </w:t>
      </w:r>
      <w:r w:rsidR="00CD753E">
        <w:rPr>
          <w:rFonts w:ascii="Times New Roman" w:hAnsi="Times New Roman" w:cs="Times New Roman"/>
          <w:sz w:val="24"/>
        </w:rPr>
        <w:t xml:space="preserve">zaudējumi, kas </w:t>
      </w:r>
      <w:proofErr w:type="spellStart"/>
      <w:r w:rsidR="00CD753E">
        <w:rPr>
          <w:rFonts w:ascii="Times New Roman" w:hAnsi="Times New Roman" w:cs="Times New Roman"/>
          <w:sz w:val="24"/>
        </w:rPr>
        <w:t>s</w:t>
      </w:r>
      <w:r w:rsidR="00C27E77">
        <w:rPr>
          <w:rFonts w:ascii="Times New Roman" w:hAnsi="Times New Roman" w:cs="Times New Roman"/>
          <w:sz w:val="24"/>
        </w:rPr>
        <w:t>veido</w:t>
      </w:r>
      <w:proofErr w:type="spellEnd"/>
      <w:r w:rsidR="00CD753E" w:rsidRPr="00CD753E">
        <w:rPr>
          <w:rFonts w:ascii="Times New Roman" w:hAnsi="Times New Roman" w:cs="Times New Roman"/>
          <w:sz w:val="24"/>
        </w:rPr>
        <w:t xml:space="preserve"> 13,6 milj. EUR. </w:t>
      </w:r>
    </w:p>
    <w:p w:rsidR="00D70F9A" w:rsidRDefault="00D70F9A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0F9A" w:rsidRDefault="00D70F9A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0F9A" w:rsidRDefault="00D70F9A" w:rsidP="00D70F9A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AE2C6B">
        <w:rPr>
          <w:rFonts w:ascii="Times New Roman" w:hAnsi="Times New Roman"/>
          <w:sz w:val="28"/>
          <w:szCs w:val="28"/>
          <w:lang w:val="lv-LV"/>
        </w:rPr>
        <w:t>Zemkopības ministrs</w:t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AE2C6B">
        <w:rPr>
          <w:rFonts w:ascii="Times New Roman" w:hAnsi="Times New Roman"/>
          <w:sz w:val="28"/>
          <w:szCs w:val="28"/>
          <w:lang w:val="lv-LV"/>
        </w:rPr>
        <w:t>J.Dūklavs</w:t>
      </w:r>
      <w:proofErr w:type="spellEnd"/>
    </w:p>
    <w:p w:rsidR="00D70F9A" w:rsidRDefault="00D70F9A" w:rsidP="00D70F9A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D70F9A" w:rsidRDefault="00D70F9A" w:rsidP="00D70F9A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D70F9A" w:rsidRDefault="00D70F9A" w:rsidP="00D70F9A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D70F9A" w:rsidRDefault="00D70F9A" w:rsidP="00D70F9A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D70F9A" w:rsidRDefault="00D70F9A" w:rsidP="00D70F9A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2014.02.03. 9:44</w:t>
      </w:r>
    </w:p>
    <w:p w:rsidR="00D70F9A" w:rsidRDefault="00D70F9A" w:rsidP="00D70F9A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  <w:lang w:val="lv-LV"/>
          </w:rPr>
          <w:t>264</w:t>
        </w:r>
      </w:fldSimple>
    </w:p>
    <w:p w:rsidR="00D70F9A" w:rsidRDefault="00D70F9A" w:rsidP="00D70F9A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O.Vecuma-Veco</w:t>
      </w:r>
    </w:p>
    <w:p w:rsidR="00D70F9A" w:rsidRPr="00AE2C6B" w:rsidRDefault="00D70F9A" w:rsidP="00D70F9A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67027551, Olita.vecuma-Veco@zm.gov.lv</w:t>
      </w:r>
    </w:p>
    <w:p w:rsidR="00D70F9A" w:rsidRPr="00CD753E" w:rsidRDefault="00D70F9A" w:rsidP="00952E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70F9A" w:rsidRPr="00CD753E" w:rsidSect="00A07E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B9" w:rsidRDefault="009168B9" w:rsidP="00A07EAD">
      <w:pPr>
        <w:spacing w:after="0" w:line="240" w:lineRule="auto"/>
      </w:pPr>
      <w:r>
        <w:separator/>
      </w:r>
    </w:p>
  </w:endnote>
  <w:endnote w:type="continuationSeparator" w:id="0">
    <w:p w:rsidR="009168B9" w:rsidRDefault="009168B9" w:rsidP="00A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AD" w:rsidRPr="00A07EAD" w:rsidRDefault="00A07EAD">
    <w:pPr>
      <w:pStyle w:val="Kjen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ZMZinop1_</w:t>
    </w:r>
    <w:r w:rsidR="003D0AF0">
      <w:rPr>
        <w:rFonts w:ascii="Times New Roman" w:hAnsi="Times New Roman" w:cs="Times New Roman"/>
        <w:sz w:val="24"/>
        <w:szCs w:val="24"/>
      </w:rPr>
      <w:t>020214</w:t>
    </w:r>
    <w:r>
      <w:rPr>
        <w:rFonts w:ascii="Times New Roman" w:hAnsi="Times New Roman" w:cs="Times New Roman"/>
        <w:sz w:val="24"/>
        <w:szCs w:val="24"/>
      </w:rPr>
      <w:t>ĀCM_papildu pasākumi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F0" w:rsidRPr="00A07EAD" w:rsidRDefault="003D0AF0" w:rsidP="003D0AF0">
    <w:pPr>
      <w:pStyle w:val="Kjen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ZMZinop1_020214ĀCM_papildu pasākumi</w:t>
    </w:r>
  </w:p>
  <w:p w:rsidR="003D0AF0" w:rsidRDefault="003D0AF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B9" w:rsidRDefault="009168B9" w:rsidP="00A07EAD">
      <w:pPr>
        <w:spacing w:after="0" w:line="240" w:lineRule="auto"/>
      </w:pPr>
      <w:r>
        <w:separator/>
      </w:r>
    </w:p>
  </w:footnote>
  <w:footnote w:type="continuationSeparator" w:id="0">
    <w:p w:rsidR="009168B9" w:rsidRDefault="009168B9" w:rsidP="00A0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557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72EAC" w:rsidRPr="00F72EAC" w:rsidRDefault="005D4D0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E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2EAC" w:rsidRPr="00F72E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2E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F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72E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7EAD" w:rsidRDefault="00A07EA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AD" w:rsidRDefault="00A07EAD">
    <w:pPr>
      <w:pStyle w:val="Galvene"/>
      <w:jc w:val="center"/>
    </w:pPr>
  </w:p>
  <w:p w:rsidR="00A07EAD" w:rsidRDefault="00A07E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9B4"/>
    <w:multiLevelType w:val="hybridMultilevel"/>
    <w:tmpl w:val="157EF31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58C"/>
    <w:multiLevelType w:val="hybridMultilevel"/>
    <w:tmpl w:val="71DC7330"/>
    <w:lvl w:ilvl="0" w:tplc="A596063C">
      <w:start w:val="1"/>
      <w:numFmt w:val="decimal"/>
      <w:lvlText w:val="%1)"/>
      <w:lvlJc w:val="left"/>
      <w:pPr>
        <w:ind w:left="405" w:hanging="360"/>
      </w:pPr>
    </w:lvl>
    <w:lvl w:ilvl="1" w:tplc="04260019">
      <w:start w:val="1"/>
      <w:numFmt w:val="lowerLetter"/>
      <w:lvlText w:val="%2."/>
      <w:lvlJc w:val="left"/>
      <w:pPr>
        <w:ind w:left="1125" w:hanging="360"/>
      </w:pPr>
    </w:lvl>
    <w:lvl w:ilvl="2" w:tplc="0426001B">
      <w:start w:val="1"/>
      <w:numFmt w:val="lowerRoman"/>
      <w:lvlText w:val="%3."/>
      <w:lvlJc w:val="right"/>
      <w:pPr>
        <w:ind w:left="1845" w:hanging="180"/>
      </w:pPr>
    </w:lvl>
    <w:lvl w:ilvl="3" w:tplc="0426000F">
      <w:start w:val="1"/>
      <w:numFmt w:val="decimal"/>
      <w:lvlText w:val="%4."/>
      <w:lvlJc w:val="left"/>
      <w:pPr>
        <w:ind w:left="2565" w:hanging="360"/>
      </w:pPr>
    </w:lvl>
    <w:lvl w:ilvl="4" w:tplc="04260019">
      <w:start w:val="1"/>
      <w:numFmt w:val="lowerLetter"/>
      <w:lvlText w:val="%5."/>
      <w:lvlJc w:val="left"/>
      <w:pPr>
        <w:ind w:left="3285" w:hanging="360"/>
      </w:pPr>
    </w:lvl>
    <w:lvl w:ilvl="5" w:tplc="0426001B">
      <w:start w:val="1"/>
      <w:numFmt w:val="lowerRoman"/>
      <w:lvlText w:val="%6."/>
      <w:lvlJc w:val="right"/>
      <w:pPr>
        <w:ind w:left="4005" w:hanging="180"/>
      </w:pPr>
    </w:lvl>
    <w:lvl w:ilvl="6" w:tplc="0426000F">
      <w:start w:val="1"/>
      <w:numFmt w:val="decimal"/>
      <w:lvlText w:val="%7."/>
      <w:lvlJc w:val="left"/>
      <w:pPr>
        <w:ind w:left="4725" w:hanging="360"/>
      </w:pPr>
    </w:lvl>
    <w:lvl w:ilvl="7" w:tplc="04260019">
      <w:start w:val="1"/>
      <w:numFmt w:val="lowerLetter"/>
      <w:lvlText w:val="%8."/>
      <w:lvlJc w:val="left"/>
      <w:pPr>
        <w:ind w:left="5445" w:hanging="360"/>
      </w:pPr>
    </w:lvl>
    <w:lvl w:ilvl="8" w:tplc="0426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497B49"/>
    <w:multiLevelType w:val="hybridMultilevel"/>
    <w:tmpl w:val="71DC7330"/>
    <w:lvl w:ilvl="0" w:tplc="A596063C">
      <w:start w:val="1"/>
      <w:numFmt w:val="decimal"/>
      <w:lvlText w:val="%1)"/>
      <w:lvlJc w:val="left"/>
      <w:pPr>
        <w:ind w:left="405" w:hanging="360"/>
      </w:pPr>
    </w:lvl>
    <w:lvl w:ilvl="1" w:tplc="04260019">
      <w:start w:val="1"/>
      <w:numFmt w:val="lowerLetter"/>
      <w:lvlText w:val="%2."/>
      <w:lvlJc w:val="left"/>
      <w:pPr>
        <w:ind w:left="1125" w:hanging="360"/>
      </w:pPr>
    </w:lvl>
    <w:lvl w:ilvl="2" w:tplc="0426001B">
      <w:start w:val="1"/>
      <w:numFmt w:val="lowerRoman"/>
      <w:lvlText w:val="%3."/>
      <w:lvlJc w:val="right"/>
      <w:pPr>
        <w:ind w:left="1845" w:hanging="180"/>
      </w:pPr>
    </w:lvl>
    <w:lvl w:ilvl="3" w:tplc="0426000F">
      <w:start w:val="1"/>
      <w:numFmt w:val="decimal"/>
      <w:lvlText w:val="%4."/>
      <w:lvlJc w:val="left"/>
      <w:pPr>
        <w:ind w:left="2565" w:hanging="360"/>
      </w:pPr>
    </w:lvl>
    <w:lvl w:ilvl="4" w:tplc="04260019">
      <w:start w:val="1"/>
      <w:numFmt w:val="lowerLetter"/>
      <w:lvlText w:val="%5."/>
      <w:lvlJc w:val="left"/>
      <w:pPr>
        <w:ind w:left="3285" w:hanging="360"/>
      </w:pPr>
    </w:lvl>
    <w:lvl w:ilvl="5" w:tplc="0426001B">
      <w:start w:val="1"/>
      <w:numFmt w:val="lowerRoman"/>
      <w:lvlText w:val="%6."/>
      <w:lvlJc w:val="right"/>
      <w:pPr>
        <w:ind w:left="4005" w:hanging="180"/>
      </w:pPr>
    </w:lvl>
    <w:lvl w:ilvl="6" w:tplc="0426000F">
      <w:start w:val="1"/>
      <w:numFmt w:val="decimal"/>
      <w:lvlText w:val="%7."/>
      <w:lvlJc w:val="left"/>
      <w:pPr>
        <w:ind w:left="4725" w:hanging="360"/>
      </w:pPr>
    </w:lvl>
    <w:lvl w:ilvl="7" w:tplc="04260019">
      <w:start w:val="1"/>
      <w:numFmt w:val="lowerLetter"/>
      <w:lvlText w:val="%8."/>
      <w:lvlJc w:val="left"/>
      <w:pPr>
        <w:ind w:left="5445" w:hanging="360"/>
      </w:pPr>
    </w:lvl>
    <w:lvl w:ilvl="8" w:tplc="0426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5A7F73"/>
    <w:multiLevelType w:val="hybridMultilevel"/>
    <w:tmpl w:val="421A5A6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19D0"/>
    <w:rsid w:val="00032D44"/>
    <w:rsid w:val="00044086"/>
    <w:rsid w:val="00061EDF"/>
    <w:rsid w:val="00073B20"/>
    <w:rsid w:val="000E0760"/>
    <w:rsid w:val="000F19D0"/>
    <w:rsid w:val="001F24CF"/>
    <w:rsid w:val="0026483B"/>
    <w:rsid w:val="002A30CA"/>
    <w:rsid w:val="002E76EA"/>
    <w:rsid w:val="0033670D"/>
    <w:rsid w:val="003B2B29"/>
    <w:rsid w:val="003D0AF0"/>
    <w:rsid w:val="004413BA"/>
    <w:rsid w:val="00465F91"/>
    <w:rsid w:val="004B6ED9"/>
    <w:rsid w:val="005D4D0B"/>
    <w:rsid w:val="00614792"/>
    <w:rsid w:val="006841A9"/>
    <w:rsid w:val="00684B2F"/>
    <w:rsid w:val="006A3E25"/>
    <w:rsid w:val="006B0A3C"/>
    <w:rsid w:val="006B0A7B"/>
    <w:rsid w:val="00734956"/>
    <w:rsid w:val="008036C9"/>
    <w:rsid w:val="00803C73"/>
    <w:rsid w:val="00877F66"/>
    <w:rsid w:val="008E2179"/>
    <w:rsid w:val="009168B9"/>
    <w:rsid w:val="00952E32"/>
    <w:rsid w:val="009911B4"/>
    <w:rsid w:val="00A07EAD"/>
    <w:rsid w:val="00A13619"/>
    <w:rsid w:val="00B6152A"/>
    <w:rsid w:val="00BB3B91"/>
    <w:rsid w:val="00C27E77"/>
    <w:rsid w:val="00CB405A"/>
    <w:rsid w:val="00CD753E"/>
    <w:rsid w:val="00CF15BA"/>
    <w:rsid w:val="00D162ED"/>
    <w:rsid w:val="00D70F9A"/>
    <w:rsid w:val="00DD6042"/>
    <w:rsid w:val="00F3456D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D4D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CB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05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CB405A"/>
    <w:pPr>
      <w:ind w:left="720"/>
      <w:contextualSpacing/>
    </w:pPr>
  </w:style>
  <w:style w:type="paragraph" w:styleId="ParastaisWeb">
    <w:name w:val="Normal (Web)"/>
    <w:basedOn w:val="Parastais"/>
    <w:uiPriority w:val="99"/>
    <w:semiHidden/>
    <w:unhideWhenUsed/>
    <w:rsid w:val="00061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A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7EAD"/>
  </w:style>
  <w:style w:type="paragraph" w:styleId="Kjene">
    <w:name w:val="footer"/>
    <w:basedOn w:val="Parastais"/>
    <w:link w:val="KjeneRakstz"/>
    <w:uiPriority w:val="99"/>
    <w:unhideWhenUsed/>
    <w:rsid w:val="00A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7EAD"/>
  </w:style>
  <w:style w:type="paragraph" w:styleId="Bezatstarpm">
    <w:name w:val="No Spacing"/>
    <w:uiPriority w:val="99"/>
    <w:qFormat/>
    <w:rsid w:val="00D70F9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AD"/>
  </w:style>
  <w:style w:type="paragraph" w:styleId="Footer">
    <w:name w:val="footer"/>
    <w:basedOn w:val="Normal"/>
    <w:link w:val="FooterChar"/>
    <w:uiPriority w:val="99"/>
    <w:unhideWhenUsed/>
    <w:rsid w:val="00A0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nita.kaulina.ZM\Documents\P&#274;T&#298;JUMI\Galja\sarazhots_iepirkt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nita.kaulina.ZM\Documents\P&#274;T&#298;JUMI\Galja\sarazhots_iepirkt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aiba.Udrase\AppData\Local\Microsoft\Windows\Temporary%20Internet%20Files\Content.Outlook\284B2G04\zavejui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Baiba.Udrase\Documents\GA&#315;A\Kopija%20no%20zavejui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Baiba.Udrase\Documents\GA&#315;A\Kopija%20no%20zaveju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Latvijā saražotās gaļas struktūra 2012.gadā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lv-LV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(tūkst.tonnas un %)</a:t>
            </a:r>
          </a:p>
        </c:rich>
      </c:tx>
      <c:layout>
        <c:manualLayout>
          <c:xMode val="edge"/>
          <c:yMode val="edge"/>
          <c:x val="0.23922007367219347"/>
          <c:y val="5.3266930182329093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644477269051935"/>
          <c:y val="0.22222212902481728"/>
          <c:w val="0.66824190326056843"/>
          <c:h val="0.64484812900384814"/>
        </c:manualLayout>
      </c:layout>
      <c:pie3DChart>
        <c:varyColors val="1"/>
        <c:ser>
          <c:idx val="0"/>
          <c:order val="0"/>
          <c:explosion val="10"/>
          <c:dPt>
            <c:idx val="1"/>
            <c:explosion val="20"/>
          </c:dPt>
          <c:dPt>
            <c:idx val="2"/>
            <c:explosion val="25"/>
          </c:dPt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Val val="1"/>
            <c:showCatName val="1"/>
            <c:showLeaderLines val="1"/>
          </c:dLbls>
          <c:cat>
            <c:strRef>
              <c:f>Lapa1!$A$116:$A$119</c:f>
              <c:strCache>
                <c:ptCount val="4"/>
                <c:pt idx="0">
                  <c:v>Cūkgaļa</c:v>
                </c:pt>
                <c:pt idx="1">
                  <c:v>Liellopu gaļa</c:v>
                </c:pt>
                <c:pt idx="2">
                  <c:v>Aitu un kazu gaļa</c:v>
                </c:pt>
                <c:pt idx="3">
                  <c:v>Putnu gaļa</c:v>
                </c:pt>
              </c:strCache>
            </c:strRef>
          </c:cat>
          <c:val>
            <c:numRef>
              <c:f>Lapa1!$H$116:$H$119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17.3</c:v>
                </c:pt>
                <c:pt idx="2">
                  <c:v>0.70000000000000018</c:v>
                </c:pt>
                <c:pt idx="3">
                  <c:v>24.6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txPr>
    <a:bodyPr/>
    <a:lstStyle/>
    <a:p>
      <a:pPr>
        <a:defRPr sz="1200"/>
      </a:pPr>
      <a:endParaRPr lang="lv-LV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Latvijā patērētās gaļas un tās produktu struktūra </a:t>
            </a:r>
            <a:r>
              <a:rPr lang="lv-LV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2012.gadā </a:t>
            </a:r>
            <a:r>
              <a:rPr lang="lv-LV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(tūkst.tonnas un %)</a:t>
            </a:r>
            <a:endParaRPr lang="lv-LV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636811023622054"/>
          <c:y val="2.156915610676733E-2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611111111111123"/>
          <c:y val="0.22222222222222221"/>
          <c:w val="0.6722222222222225"/>
          <c:h val="0.64441462881308098"/>
        </c:manualLayout>
      </c:layout>
      <c:pie3DChart>
        <c:varyColors val="1"/>
        <c:ser>
          <c:idx val="0"/>
          <c:order val="0"/>
          <c:explosion val="10"/>
          <c:dPt>
            <c:idx val="1"/>
            <c:explosion val="27"/>
          </c:dPt>
          <c:dPt>
            <c:idx val="2"/>
            <c:explosion val="44"/>
          </c:dPt>
          <c:dPt>
            <c:idx val="3"/>
            <c:explosion val="24"/>
          </c:dPt>
          <c:dLbls>
            <c:dLbl>
              <c:idx val="1"/>
              <c:layout>
                <c:manualLayout>
                  <c:x val="3.4681688180790281E-2"/>
                  <c:y val="8.803071838242447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2.2222222222222233E-2"/>
                  <c:y val="-7.549204637368563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outEnd"/>
            <c:showVal val="1"/>
            <c:showCatName val="1"/>
            <c:showLeaderLines val="1"/>
          </c:dLbls>
          <c:cat>
            <c:strRef>
              <c:f>Lapa1!$A$132:$A$135</c:f>
              <c:strCache>
                <c:ptCount val="4"/>
                <c:pt idx="0">
                  <c:v>Cūkgaļa</c:v>
                </c:pt>
                <c:pt idx="1">
                  <c:v>Liellopu gaļa</c:v>
                </c:pt>
                <c:pt idx="2">
                  <c:v>Aitu un kazu gaļa</c:v>
                </c:pt>
                <c:pt idx="3">
                  <c:v>Putnu gaļa</c:v>
                </c:pt>
              </c:strCache>
            </c:strRef>
          </c:cat>
          <c:val>
            <c:numRef>
              <c:f>Lapa1!$B$132:$B$135</c:f>
              <c:numCache>
                <c:formatCode>General</c:formatCode>
                <c:ptCount val="4"/>
                <c:pt idx="0">
                  <c:v>74.3</c:v>
                </c:pt>
                <c:pt idx="1">
                  <c:v>12.9</c:v>
                </c:pt>
                <c:pt idx="2">
                  <c:v>0.9</c:v>
                </c:pt>
                <c:pt idx="3">
                  <c:v>45.4</c:v>
                </c:pt>
              </c:numCache>
            </c:numRef>
          </c:val>
        </c:ser>
      </c:pie3DChart>
    </c:plotArea>
    <c:plotVisOnly val="1"/>
    <c:dispBlanksAs val="zero"/>
  </c:chart>
  <c:spPr>
    <a:noFill/>
    <a:ln>
      <a:noFill/>
    </a:ln>
  </c:spPr>
  <c:txPr>
    <a:bodyPr/>
    <a:lstStyle/>
    <a:p>
      <a:pPr>
        <a:defRPr sz="1200"/>
      </a:pPr>
      <a:endParaRPr lang="lv-LV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>
              <a:defRPr sz="1300"/>
            </a:pPr>
            <a:r>
              <a:rPr lang="lv-LV" sz="1300">
                <a:latin typeface="Times New Roman" panose="02020603050405020304" pitchFamily="18" charset="0"/>
                <a:cs typeface="Times New Roman" panose="02020603050405020304" pitchFamily="18" charset="0"/>
              </a:rPr>
              <a:t>Cūkgaļas pārstrādes produktu r</a:t>
            </a:r>
            <a:r>
              <a:rPr lang="en-US" sz="1300">
                <a:latin typeface="Times New Roman" panose="02020603050405020304" pitchFamily="18" charset="0"/>
                <a:cs typeface="Times New Roman" panose="02020603050405020304" pitchFamily="18" charset="0"/>
              </a:rPr>
              <a:t>ažošanas apjoms</a:t>
            </a:r>
            <a:r>
              <a:rPr lang="lv-LV" sz="1300">
                <a:latin typeface="Times New Roman" panose="02020603050405020304" pitchFamily="18" charset="0"/>
                <a:cs typeface="Times New Roman" panose="02020603050405020304" pitchFamily="18" charset="0"/>
              </a:rPr>
              <a:t> 2012.gadā</a:t>
            </a:r>
            <a:r>
              <a:rPr lang="lv-LV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v-LV" sz="13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(tonnas)</a:t>
            </a:r>
            <a:endParaRPr lang="en-US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54865005791801"/>
          <c:y val="7.0836978710994477E-3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363072640183409"/>
          <c:y val="0.19981014055486063"/>
          <c:w val="0.76246728257754615"/>
          <c:h val="0.74051733019353894"/>
        </c:manualLayout>
      </c:layout>
      <c:pie3DChart>
        <c:varyColors val="1"/>
        <c:ser>
          <c:idx val="0"/>
          <c:order val="0"/>
          <c:tx>
            <c:strRef>
              <c:f>Lapa1!$H$14</c:f>
              <c:strCache>
                <c:ptCount val="1"/>
                <c:pt idx="0">
                  <c:v>Ražošanas apjoms, t</c:v>
                </c:pt>
              </c:strCache>
            </c:strRef>
          </c:tx>
          <c:explosion val="8"/>
          <c:dPt>
            <c:idx val="0"/>
            <c:explosion val="3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explosion val="13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explosion val="38"/>
          </c:dPt>
          <c:dPt>
            <c:idx val="3"/>
            <c:explosion val="23"/>
          </c:dPt>
          <c:dPt>
            <c:idx val="4"/>
            <c:explosion val="24"/>
          </c:dPt>
          <c:dLbls>
            <c:dLbl>
              <c:idx val="0"/>
              <c:layout>
                <c:manualLayout>
                  <c:x val="-8.8799019607843171E-2"/>
                  <c:y val="-0.1442310338412699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8.5686817237732943E-2"/>
                  <c:y val="0.1559827821522311"/>
                </c:manualLayout>
              </c:layout>
              <c:tx>
                <c:rich>
                  <a:bodyPr/>
                  <a:lstStyle/>
                  <a:p>
                    <a:r>
                      <a:rPr lang="lv-LV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Cūkgaļas šķiņķi, pleci un to izcirtņi, ar kauliem, sālīti, sālījumā, žāvēti vai kūpināti, vītināti; </a:t>
                    </a:r>
                    <a:r>
                      <a:rPr lang="lv-LV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4969</a:t>
                    </a:r>
                    <a:endParaRPr lang="lv-LV" b="1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2.4646638271339671E-2"/>
                  <c:y val="5.758208223972007E-2"/>
                </c:manualLayout>
              </c:layout>
              <c:tx>
                <c:rich>
                  <a:bodyPr/>
                  <a:lstStyle/>
                  <a:p>
                    <a:r>
                      <a:rPr lang="lv-LV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Cūkgaļas vēderdaļas (cauraugušās) un to izcirtņi, sālīti, sālījumā, žāvēti vai kūpināti; </a:t>
                    </a:r>
                    <a:r>
                      <a:rPr lang="lv-LV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859</a:t>
                    </a:r>
                    <a:endParaRPr lang="lv-LV" b="1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5.8421240543461476E-2"/>
                  <c:y val="-3.1271224408248373E-2"/>
                </c:manualLayout>
              </c:layout>
              <c:tx>
                <c:rich>
                  <a:bodyPr/>
                  <a:lstStyle/>
                  <a:p>
                    <a:r>
                      <a:rPr lang="lv-LV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Pārējā žāvēta, kūpināta cūkgaļa; </a:t>
                    </a:r>
                    <a:r>
                      <a:rPr lang="lv-LV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7308</a:t>
                    </a:r>
                    <a:endParaRPr lang="lv-LV" b="1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8.9968529214747069E-3"/>
                  <c:y val="8.4876990376203058E-3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lv-LV" sz="10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Gatava vai konservēta cūkgaļa; </a:t>
                    </a:r>
                    <a:r>
                      <a:rPr lang="lv-LV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6339</a:t>
                    </a:r>
                    <a:endParaRPr lang="lv-LV" b="1"/>
                  </a:p>
                </c:rich>
              </c:tx>
              <c:spPr/>
              <c:showVal val="1"/>
              <c:showCatName val="1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Val val="1"/>
            <c:showCatName val="1"/>
            <c:showLeaderLines val="1"/>
          </c:dLbls>
          <c:cat>
            <c:strRef>
              <c:f>Lapa1!$F$15:$F$19</c:f>
              <c:strCache>
                <c:ptCount val="5"/>
                <c:pt idx="0">
                  <c:v>Svaiga, atdzesēta vai saldēta cūkgaļa</c:v>
                </c:pt>
                <c:pt idx="1">
                  <c:v>Cūkgaļas šķiņķi, pleci un to izcirtņi, ar kauliem, sālīti, sālījumā, žāvēti vai kūpināti, vītināti</c:v>
                </c:pt>
                <c:pt idx="2">
                  <c:v>Cūkgaļas vēderdaļas (cauraugušās) un to izcirtņi, sālīti, sālījumā, žāvēti vai kūpināti</c:v>
                </c:pt>
                <c:pt idx="3">
                  <c:v>Pārējā žāvēta, kūpināta cūkgaļa</c:v>
                </c:pt>
                <c:pt idx="4">
                  <c:v>Gatava vai konservēta cūkgaļa</c:v>
                </c:pt>
              </c:strCache>
            </c:strRef>
          </c:cat>
          <c:val>
            <c:numRef>
              <c:f>Lapa1!$H$15:$H$19</c:f>
              <c:numCache>
                <c:formatCode>0</c:formatCode>
                <c:ptCount val="5"/>
                <c:pt idx="0">
                  <c:v>32433.704000000005</c:v>
                </c:pt>
                <c:pt idx="1">
                  <c:v>4969.0420000000004</c:v>
                </c:pt>
                <c:pt idx="2">
                  <c:v>858.55099999999982</c:v>
                </c:pt>
                <c:pt idx="3">
                  <c:v>7307.7430000000013</c:v>
                </c:pt>
                <c:pt idx="4">
                  <c:v>6338.7550000000001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v-LV"/>
  <c:chart>
    <c:title>
      <c:tx>
        <c:rich>
          <a:bodyPr/>
          <a:lstStyle/>
          <a:p>
            <a:pPr>
              <a:defRPr/>
            </a:pPr>
            <a:r>
              <a:rPr lang="lv-LV"/>
              <a:t>Cūkgaļas pārstrādes produktu realizācijas apjoms 2012.gadā, (tonnas)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7130581786340358"/>
          <c:y val="0.20833368051215825"/>
          <c:w val="0.72794389827048389"/>
          <c:h val="0.70418754473872558"/>
        </c:manualLayout>
      </c:layout>
      <c:pie3DChart>
        <c:varyColors val="1"/>
        <c:ser>
          <c:idx val="0"/>
          <c:order val="0"/>
          <c:tx>
            <c:strRef>
              <c:f>Lapa1!$G$50</c:f>
              <c:strCache>
                <c:ptCount val="1"/>
                <c:pt idx="0">
                  <c:v>Realizācijas apjoms, t</c:v>
                </c:pt>
              </c:strCache>
            </c:strRef>
          </c:tx>
          <c:explosion val="17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explosion val="11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explosion val="31"/>
          </c:dPt>
          <c:dPt>
            <c:idx val="3"/>
            <c:explosion val="21"/>
          </c:dPt>
          <c:dLbls>
            <c:dLbl>
              <c:idx val="0"/>
              <c:layout>
                <c:manualLayout>
                  <c:x val="-9.8005969665455703E-2"/>
                  <c:y val="-0.14550585373325611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6.8487189530125198E-2"/>
                  <c:y val="9.433247863480268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8337205062060214E-2"/>
                  <c:y val="-4.195545597668114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795721289555787E-2"/>
                  <c:y val="-4.67988231807293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1429680852500687E-2"/>
                  <c:y val="7.6256692343877053E-3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Lapa1!$F$51:$F$55</c:f>
              <c:strCache>
                <c:ptCount val="5"/>
                <c:pt idx="0">
                  <c:v>Svaiga, atdzesēta vai saldēta cūkgaļa</c:v>
                </c:pt>
                <c:pt idx="1">
                  <c:v>Cūkgaļas šķiņķi, pleci un to izcirtņi, ar kauliem, sālīti, sālījumā, žāvēti vai kūpināti, vītināti</c:v>
                </c:pt>
                <c:pt idx="2">
                  <c:v>Cūkgaļas vēderdaļas (cauraugušās) un to izcirtņi, sālīti, sālījumā, žāvēti vai kūpināti</c:v>
                </c:pt>
                <c:pt idx="3">
                  <c:v>Pārējā žāvēta, kūpināta cūkgaļa</c:v>
                </c:pt>
                <c:pt idx="4">
                  <c:v>Gatava vai konservēta cūkgaļa</c:v>
                </c:pt>
              </c:strCache>
            </c:strRef>
          </c:cat>
          <c:val>
            <c:numRef>
              <c:f>Lapa1!$G$51:$G$55</c:f>
              <c:numCache>
                <c:formatCode>0</c:formatCode>
                <c:ptCount val="5"/>
                <c:pt idx="0">
                  <c:v>24666.878000000001</c:v>
                </c:pt>
                <c:pt idx="1">
                  <c:v>4939.7030000000004</c:v>
                </c:pt>
                <c:pt idx="2">
                  <c:v>857.755</c:v>
                </c:pt>
                <c:pt idx="3">
                  <c:v>6858.598</c:v>
                </c:pt>
                <c:pt idx="4">
                  <c:v>6260.5630000000001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v-LV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Cūkgaļas pārstrādes produktu r</a:t>
            </a:r>
            <a:r>
              <a:rPr lang="en-US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ealizācijas vērtība</a:t>
            </a:r>
            <a:r>
              <a:rPr lang="lv-LV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v-LV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2012.gadā </a:t>
            </a:r>
            <a:r>
              <a:rPr lang="lv-LV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(tūkst. </a:t>
            </a:r>
            <a:r>
              <a:rPr lang="en-US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EUR</a:t>
            </a:r>
            <a:r>
              <a:rPr lang="lv-LV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  <a:endPara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34478644714875"/>
          <c:y val="0"/>
        </c:manualLayout>
      </c:layout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1363868842237424"/>
          <c:y val="0.19271923924082363"/>
          <c:w val="0.78597316639767867"/>
          <c:h val="0.76397476915231399"/>
        </c:manualLayout>
      </c:layout>
      <c:pie3DChart>
        <c:varyColors val="1"/>
        <c:ser>
          <c:idx val="0"/>
          <c:order val="0"/>
          <c:tx>
            <c:strRef>
              <c:f>Lapa1!$K$14</c:f>
              <c:strCache>
                <c:ptCount val="1"/>
                <c:pt idx="0">
                  <c:v>Realizācijas vērtība, tūkst. EUR </c:v>
                </c:pt>
              </c:strCache>
            </c:strRef>
          </c:tx>
          <c:explosion val="25"/>
          <c:dPt>
            <c:idx val="0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explosion val="3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explosion val="44"/>
          </c:dPt>
          <c:dPt>
            <c:idx val="3"/>
            <c:explosion val="33"/>
          </c:dPt>
          <c:dLbls>
            <c:dLbl>
              <c:idx val="2"/>
              <c:layout>
                <c:manualLayout>
                  <c:x val="-4.6427876290744546E-2"/>
                  <c:y val="-3.8510399767868214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8.4970900376583423E-3"/>
                  <c:y val="-4.5290950042193086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Val val="1"/>
            <c:showCatName val="1"/>
            <c:showLeaderLines val="1"/>
          </c:dLbls>
          <c:cat>
            <c:strRef>
              <c:f>Lapa1!$J$15:$J$19</c:f>
              <c:strCache>
                <c:ptCount val="5"/>
                <c:pt idx="0">
                  <c:v>Svaiga, atdzesēta vai saldēta cūkgaļa</c:v>
                </c:pt>
                <c:pt idx="1">
                  <c:v>Cūkgaļas šķiņķi, pleci un to izcirtņi, ar kauliem, sālīti, sālījumā, žāvēti vai kūpināti, vītināti</c:v>
                </c:pt>
                <c:pt idx="2">
                  <c:v>Cūkgaļas vēderdaļas (cauraugušās) un to izcirtņi, sālīti, sālījumā, žāvēti vai kūpināti</c:v>
                </c:pt>
                <c:pt idx="3">
                  <c:v>Pārējā žāvēta, kūpināta cūkgaļa</c:v>
                </c:pt>
                <c:pt idx="4">
                  <c:v>Gatava vai konservēta cūkgaļa</c:v>
                </c:pt>
              </c:strCache>
            </c:strRef>
          </c:cat>
          <c:val>
            <c:numRef>
              <c:f>Lapa1!$K$15:$K$19</c:f>
              <c:numCache>
                <c:formatCode>0</c:formatCode>
                <c:ptCount val="5"/>
                <c:pt idx="0">
                  <c:v>56951.564020694233</c:v>
                </c:pt>
                <c:pt idx="1">
                  <c:v>14318.593804246988</c:v>
                </c:pt>
                <c:pt idx="2">
                  <c:v>2737.2795260129428</c:v>
                </c:pt>
                <c:pt idx="3">
                  <c:v>22657.103545227405</c:v>
                </c:pt>
                <c:pt idx="4">
                  <c:v>12534.58147648562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0.58755</cdr:x>
      <cdr:y>0.36751</cdr:y>
    </cdr:from>
    <cdr:to>
      <cdr:x>0.67489</cdr:x>
      <cdr:y>0.49534</cdr:y>
    </cdr:to>
    <cdr:sp macro="" textlink="">
      <cdr:nvSpPr>
        <cdr:cNvPr id="2" name="Tekstlodziņš 1"/>
        <cdr:cNvSpPr txBox="1"/>
      </cdr:nvSpPr>
      <cdr:spPr>
        <a:xfrm xmlns:a="http://schemas.openxmlformats.org/drawingml/2006/main">
          <a:off x="3524250" y="876300"/>
          <a:ext cx="5238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46%</a:t>
          </a:r>
        </a:p>
      </cdr:txBody>
    </cdr:sp>
  </cdr:relSizeAnchor>
  <cdr:relSizeAnchor xmlns:cdr="http://schemas.openxmlformats.org/drawingml/2006/chartDrawing">
    <cdr:from>
      <cdr:x>0.37688</cdr:x>
      <cdr:y>0.28495</cdr:y>
    </cdr:from>
    <cdr:to>
      <cdr:x>0.46422</cdr:x>
      <cdr:y>0.41278</cdr:y>
    </cdr:to>
    <cdr:sp macro="" textlink="">
      <cdr:nvSpPr>
        <cdr:cNvPr id="4" name="Tekstlodziņš 1"/>
        <cdr:cNvSpPr txBox="1"/>
      </cdr:nvSpPr>
      <cdr:spPr>
        <a:xfrm xmlns:a="http://schemas.openxmlformats.org/drawingml/2006/main">
          <a:off x="2260600" y="679450"/>
          <a:ext cx="523875" cy="3048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0.41023</cdr:x>
      <cdr:y>0.5486</cdr:y>
    </cdr:from>
    <cdr:to>
      <cdr:x>0.49757</cdr:x>
      <cdr:y>0.67643</cdr:y>
    </cdr:to>
    <cdr:sp macro="" textlink="">
      <cdr:nvSpPr>
        <cdr:cNvPr id="5" name="Tekstlodziņš 1"/>
        <cdr:cNvSpPr txBox="1"/>
      </cdr:nvSpPr>
      <cdr:spPr>
        <a:xfrm xmlns:a="http://schemas.openxmlformats.org/drawingml/2006/main">
          <a:off x="2460625" y="1308100"/>
          <a:ext cx="523875" cy="3048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0.59602</cdr:x>
      <cdr:y>0.38881</cdr:y>
    </cdr:from>
    <cdr:to>
      <cdr:x>0.68336</cdr:x>
      <cdr:y>0.51664</cdr:y>
    </cdr:to>
    <cdr:sp macro="" textlink="">
      <cdr:nvSpPr>
        <cdr:cNvPr id="6" name="Tekstlodziņš 1"/>
        <cdr:cNvSpPr txBox="1"/>
      </cdr:nvSpPr>
      <cdr:spPr>
        <a:xfrm xmlns:a="http://schemas.openxmlformats.org/drawingml/2006/main">
          <a:off x="3575050" y="927100"/>
          <a:ext cx="523875" cy="3048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0.39223</cdr:x>
      <cdr:y>0.2996</cdr:y>
    </cdr:from>
    <cdr:to>
      <cdr:x>0.48592</cdr:x>
      <cdr:y>0.40746</cdr:y>
    </cdr:to>
    <cdr:sp macro="" textlink="">
      <cdr:nvSpPr>
        <cdr:cNvPr id="7" name="Tekstlodziņš 6"/>
        <cdr:cNvSpPr txBox="1"/>
      </cdr:nvSpPr>
      <cdr:spPr>
        <a:xfrm xmlns:a="http://schemas.openxmlformats.org/drawingml/2006/main">
          <a:off x="2352674" y="714375"/>
          <a:ext cx="5619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31%</a:t>
          </a:r>
        </a:p>
      </cdr:txBody>
    </cdr:sp>
  </cdr:relSizeAnchor>
  <cdr:relSizeAnchor xmlns:cdr="http://schemas.openxmlformats.org/drawingml/2006/chartDrawing">
    <cdr:from>
      <cdr:x>0.4224</cdr:x>
      <cdr:y>0.57124</cdr:y>
    </cdr:from>
    <cdr:to>
      <cdr:x>0.51609</cdr:x>
      <cdr:y>0.68708</cdr:y>
    </cdr:to>
    <cdr:sp macro="" textlink="">
      <cdr:nvSpPr>
        <cdr:cNvPr id="8" name="Tekstlodziņš 7"/>
        <cdr:cNvSpPr txBox="1"/>
      </cdr:nvSpPr>
      <cdr:spPr>
        <a:xfrm xmlns:a="http://schemas.openxmlformats.org/drawingml/2006/main">
          <a:off x="2533649" y="1362075"/>
          <a:ext cx="5619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22%</a:t>
          </a:r>
        </a:p>
      </cdr:txBody>
    </cdr:sp>
  </cdr:relSizeAnchor>
  <cdr:relSizeAnchor xmlns:cdr="http://schemas.openxmlformats.org/drawingml/2006/chartDrawing">
    <cdr:from>
      <cdr:x>0.28107</cdr:x>
      <cdr:y>0.47137</cdr:y>
    </cdr:from>
    <cdr:to>
      <cdr:x>0.34459</cdr:x>
      <cdr:y>0.57923</cdr:y>
    </cdr:to>
    <cdr:sp macro="" textlink="">
      <cdr:nvSpPr>
        <cdr:cNvPr id="9" name="Tekstlodziņš 8"/>
        <cdr:cNvSpPr txBox="1"/>
      </cdr:nvSpPr>
      <cdr:spPr>
        <a:xfrm xmlns:a="http://schemas.openxmlformats.org/drawingml/2006/main">
          <a:off x="1685925" y="1123950"/>
          <a:ext cx="381000" cy="25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0.60417</cdr:x>
      <cdr:y>0.48126</cdr:y>
    </cdr:from>
    <cdr:to>
      <cdr:x>0.7125</cdr:x>
      <cdr:y>0.5945</cdr:y>
    </cdr:to>
    <cdr:sp macro="" textlink="">
      <cdr:nvSpPr>
        <cdr:cNvPr id="2" name="Tekstlodziņš 1"/>
        <cdr:cNvSpPr txBox="1"/>
      </cdr:nvSpPr>
      <cdr:spPr>
        <a:xfrm xmlns:a="http://schemas.openxmlformats.org/drawingml/2006/main">
          <a:off x="2762250" y="1133475"/>
          <a:ext cx="4953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55%</a:t>
          </a:r>
        </a:p>
      </cdr:txBody>
    </cdr:sp>
  </cdr:relSizeAnchor>
  <cdr:relSizeAnchor xmlns:cdr="http://schemas.openxmlformats.org/drawingml/2006/chartDrawing">
    <cdr:from>
      <cdr:x>0.33542</cdr:x>
      <cdr:y>0.31949</cdr:y>
    </cdr:from>
    <cdr:to>
      <cdr:x>0.44375</cdr:x>
      <cdr:y>0.43273</cdr:y>
    </cdr:to>
    <cdr:sp macro="" textlink="">
      <cdr:nvSpPr>
        <cdr:cNvPr id="3" name="Tekstlodziņš 2"/>
        <cdr:cNvSpPr txBox="1"/>
      </cdr:nvSpPr>
      <cdr:spPr>
        <a:xfrm xmlns:a="http://schemas.openxmlformats.org/drawingml/2006/main">
          <a:off x="1533525" y="752476"/>
          <a:ext cx="4953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34%</a:t>
          </a:r>
        </a:p>
      </cdr:txBody>
    </cdr:sp>
  </cdr:relSizeAnchor>
  <cdr:relSizeAnchor xmlns:cdr="http://schemas.openxmlformats.org/drawingml/2006/chartDrawing">
    <cdr:from>
      <cdr:x>0.36062</cdr:x>
      <cdr:y>0.55185</cdr:y>
    </cdr:from>
    <cdr:to>
      <cdr:x>0.46004</cdr:x>
      <cdr:y>0.66296</cdr:y>
    </cdr:to>
    <cdr:sp macro="" textlink="">
      <cdr:nvSpPr>
        <cdr:cNvPr id="4" name="Tekstlodziņš 3"/>
        <cdr:cNvSpPr txBox="1"/>
      </cdr:nvSpPr>
      <cdr:spPr>
        <a:xfrm xmlns:a="http://schemas.openxmlformats.org/drawingml/2006/main">
          <a:off x="1762124" y="1419226"/>
          <a:ext cx="4857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10%</a:t>
          </a:r>
        </a:p>
      </cdr:txBody>
    </cdr:sp>
  </cdr:relSizeAnchor>
  <cdr:relSizeAnchor xmlns:cdr="http://schemas.openxmlformats.org/drawingml/2006/chartDrawing">
    <cdr:from>
      <cdr:x>0.21832</cdr:x>
      <cdr:y>0.52222</cdr:y>
    </cdr:from>
    <cdr:to>
      <cdr:x>0.29435</cdr:x>
      <cdr:y>0.61852</cdr:y>
    </cdr:to>
    <cdr:sp macro="" textlink="">
      <cdr:nvSpPr>
        <cdr:cNvPr id="5" name="Tekstlodziņš 4"/>
        <cdr:cNvSpPr txBox="1"/>
      </cdr:nvSpPr>
      <cdr:spPr>
        <a:xfrm xmlns:a="http://schemas.openxmlformats.org/drawingml/2006/main">
          <a:off x="1066800" y="1343025"/>
          <a:ext cx="371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0.63778</cdr:x>
      <cdr:y>0.57225</cdr:y>
    </cdr:from>
    <cdr:to>
      <cdr:x>0.73437</cdr:x>
      <cdr:y>0.66956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99115" y="1799095"/>
          <a:ext cx="529959" cy="3059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400" b="1" i="0"/>
            <a:t>62%</a:t>
          </a:r>
        </a:p>
      </cdr:txBody>
    </cdr:sp>
  </cdr:relSizeAnchor>
  <cdr:relSizeAnchor xmlns:cdr="http://schemas.openxmlformats.org/drawingml/2006/chartDrawing">
    <cdr:from>
      <cdr:x>0.50829</cdr:x>
      <cdr:y>0.273</cdr:y>
    </cdr:from>
    <cdr:to>
      <cdr:x>0.60361</cdr:x>
      <cdr:y>0.34075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14874" y="1081725"/>
          <a:ext cx="659157" cy="2684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400" b="1" i="0"/>
            <a:t>12%</a:t>
          </a:r>
        </a:p>
      </cdr:txBody>
    </cdr:sp>
  </cdr:relSizeAnchor>
  <cdr:relSizeAnchor xmlns:cdr="http://schemas.openxmlformats.org/drawingml/2006/chartDrawing">
    <cdr:from>
      <cdr:x>0.35306</cdr:x>
      <cdr:y>0.36459</cdr:y>
    </cdr:from>
    <cdr:to>
      <cdr:x>0.44838</cdr:x>
      <cdr:y>0.43235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441487" y="1444655"/>
          <a:ext cx="659157" cy="268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400" b="1" i="0"/>
            <a:t>14%</a:t>
          </a:r>
        </a:p>
      </cdr:txBody>
    </cdr:sp>
  </cdr:relSizeAnchor>
  <cdr:relSizeAnchor xmlns:cdr="http://schemas.openxmlformats.org/drawingml/2006/chartDrawing">
    <cdr:from>
      <cdr:x>0.24148</cdr:x>
      <cdr:y>0.52181</cdr:y>
    </cdr:from>
    <cdr:to>
      <cdr:x>0.3368</cdr:x>
      <cdr:y>0.58956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327150" y="2127250"/>
          <a:ext cx="5238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400" b="1" i="0">
              <a:solidFill>
                <a:schemeClr val="bg1">
                  <a:lumMod val="75000"/>
                </a:schemeClr>
              </a:solidFill>
            </a:rPr>
            <a:t>2%</a:t>
          </a:r>
        </a:p>
      </cdr:txBody>
    </cdr:sp>
  </cdr:relSizeAnchor>
  <cdr:relSizeAnchor xmlns:cdr="http://schemas.openxmlformats.org/drawingml/2006/chartDrawing">
    <cdr:from>
      <cdr:x>0.35066</cdr:x>
      <cdr:y>0.52648</cdr:y>
    </cdr:from>
    <cdr:to>
      <cdr:x>0.44598</cdr:x>
      <cdr:y>0.59424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927225" y="2146300"/>
          <a:ext cx="5238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v-LV" sz="1400" b="1" i="0"/>
            <a:t>10%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0.69983</cdr:x>
      <cdr:y>0.54532</cdr:y>
    </cdr:from>
    <cdr:to>
      <cdr:x>0.79931</cdr:x>
      <cdr:y>0.63165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81600" y="2406652"/>
          <a:ext cx="7366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57%</a:t>
          </a:r>
        </a:p>
      </cdr:txBody>
    </cdr:sp>
  </cdr:relSizeAnchor>
  <cdr:relSizeAnchor xmlns:cdr="http://schemas.openxmlformats.org/drawingml/2006/chartDrawing">
    <cdr:from>
      <cdr:x>0.42196</cdr:x>
      <cdr:y>0.58273</cdr:y>
    </cdr:from>
    <cdr:to>
      <cdr:x>0.51846</cdr:x>
      <cdr:y>0.64286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03942" y="2098089"/>
          <a:ext cx="572633" cy="216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11%</a:t>
          </a:r>
        </a:p>
      </cdr:txBody>
    </cdr:sp>
  </cdr:relSizeAnchor>
  <cdr:relSizeAnchor xmlns:cdr="http://schemas.openxmlformats.org/drawingml/2006/chartDrawing">
    <cdr:from>
      <cdr:x>0.51458</cdr:x>
      <cdr:y>0.28345</cdr:y>
    </cdr:from>
    <cdr:to>
      <cdr:x>0.60032</cdr:x>
      <cdr:y>0.35979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53556" y="1020548"/>
          <a:ext cx="508794" cy="274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14%</a:t>
          </a:r>
        </a:p>
      </cdr:txBody>
    </cdr:sp>
  </cdr:relSizeAnchor>
  <cdr:relSizeAnchor xmlns:cdr="http://schemas.openxmlformats.org/drawingml/2006/chartDrawing">
    <cdr:from>
      <cdr:x>0.34991</cdr:x>
      <cdr:y>0.38993</cdr:y>
    </cdr:from>
    <cdr:to>
      <cdr:x>0.43739</cdr:x>
      <cdr:y>0.45036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590800" y="1720852"/>
          <a:ext cx="6477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16%</a:t>
          </a:r>
        </a:p>
      </cdr:txBody>
    </cdr:sp>
  </cdr:relSizeAnchor>
  <cdr:relSizeAnchor xmlns:cdr="http://schemas.openxmlformats.org/drawingml/2006/chartDrawing">
    <cdr:from>
      <cdr:x>0.28478</cdr:x>
      <cdr:y>0.58561</cdr:y>
    </cdr:from>
    <cdr:to>
      <cdr:x>0.35727</cdr:x>
      <cdr:y>0.65079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87944" y="2208863"/>
          <a:ext cx="429650" cy="245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2%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0.67133</cdr:x>
      <cdr:y>0.34002</cdr:y>
    </cdr:from>
    <cdr:to>
      <cdr:x>0.74586</cdr:x>
      <cdr:y>0.40786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17975" y="1400175"/>
          <a:ext cx="457200" cy="27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55%</a:t>
          </a:r>
        </a:p>
      </cdr:txBody>
    </cdr:sp>
  </cdr:relSizeAnchor>
  <cdr:relSizeAnchor xmlns:cdr="http://schemas.openxmlformats.org/drawingml/2006/chartDrawing">
    <cdr:from>
      <cdr:x>0.48499</cdr:x>
      <cdr:y>0.30301</cdr:y>
    </cdr:from>
    <cdr:to>
      <cdr:x>0.56573</cdr:x>
      <cdr:y>0.35544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74975" y="1247775"/>
          <a:ext cx="495300" cy="21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11%</a:t>
          </a:r>
        </a:p>
      </cdr:txBody>
    </cdr:sp>
  </cdr:relSizeAnchor>
  <cdr:relSizeAnchor xmlns:cdr="http://schemas.openxmlformats.org/drawingml/2006/chartDrawing">
    <cdr:from>
      <cdr:x>0.32557</cdr:x>
      <cdr:y>0.39244</cdr:y>
    </cdr:from>
    <cdr:to>
      <cdr:x>0.42288</cdr:x>
      <cdr:y>0.46955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97075" y="1616075"/>
          <a:ext cx="596900" cy="317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21%</a:t>
          </a:r>
        </a:p>
      </cdr:txBody>
    </cdr:sp>
  </cdr:relSizeAnchor>
  <cdr:relSizeAnchor xmlns:cdr="http://schemas.openxmlformats.org/drawingml/2006/chartDrawing">
    <cdr:from>
      <cdr:x>0.46014</cdr:x>
      <cdr:y>0.5744</cdr:y>
    </cdr:from>
    <cdr:to>
      <cdr:x>0.55124</cdr:x>
      <cdr:y>0.64534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22575" y="2365375"/>
          <a:ext cx="5588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13%</a:t>
          </a:r>
        </a:p>
      </cdr:txBody>
    </cdr:sp>
  </cdr:relSizeAnchor>
  <cdr:relSizeAnchor xmlns:cdr="http://schemas.openxmlformats.org/drawingml/2006/chartDrawing">
    <cdr:from>
      <cdr:x>0.25725</cdr:x>
      <cdr:y>0.61449</cdr:y>
    </cdr:from>
    <cdr:to>
      <cdr:x>0.34213</cdr:x>
      <cdr:y>0.68543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77975" y="2530475"/>
          <a:ext cx="5207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lv-LV" sz="1200" b="1"/>
            <a:t>3%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ēma">
  <a:themeElements>
    <a:clrScheme name="Aptiekār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1683</Characters>
  <Application>Microsoft Office Word</Application>
  <DocSecurity>0</DocSecurity>
  <Lines>70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Kaulina</dc:creator>
  <cp:lastModifiedBy>Renārs Žagars</cp:lastModifiedBy>
  <cp:revision>3</cp:revision>
  <dcterms:created xsi:type="dcterms:W3CDTF">2014-02-02T10:48:00Z</dcterms:created>
  <dcterms:modified xsi:type="dcterms:W3CDTF">2014-02-03T07:44:00Z</dcterms:modified>
</cp:coreProperties>
</file>