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D23" w:rsidRPr="009430FF" w:rsidRDefault="006C7D23" w:rsidP="006C7D23">
      <w:pPr>
        <w:jc w:val="center"/>
        <w:rPr>
          <w:b/>
          <w:sz w:val="28"/>
          <w:szCs w:val="28"/>
        </w:rPr>
      </w:pPr>
      <w:r w:rsidRPr="009430FF">
        <w:rPr>
          <w:b/>
          <w:sz w:val="28"/>
          <w:szCs w:val="28"/>
        </w:rPr>
        <w:t>Ministru kabineta noteikumu projekta „</w:t>
      </w:r>
      <w:r>
        <w:rPr>
          <w:b/>
          <w:sz w:val="28"/>
          <w:szCs w:val="28"/>
        </w:rPr>
        <w:t>Kārtība un apjoms, kādā sniedzamas ziņas Sodu reģistram un izsniedzamas Sodu reģistrā iekļautās ziņas</w:t>
      </w:r>
      <w:r w:rsidRPr="009430FF">
        <w:rPr>
          <w:b/>
          <w:sz w:val="28"/>
          <w:szCs w:val="28"/>
        </w:rPr>
        <w:t>” sākotnējās ietekmes novērtējuma ziņojums (anotācija)</w:t>
      </w:r>
    </w:p>
    <w:p w:rsidR="006C7D23" w:rsidRDefault="006C7D23" w:rsidP="006C7D23">
      <w:pPr>
        <w:pStyle w:val="BodyText"/>
        <w:rPr>
          <w:szCs w:val="28"/>
        </w:rPr>
      </w:pPr>
    </w:p>
    <w:p w:rsidR="006C7D23" w:rsidRPr="00D65D1A" w:rsidRDefault="006C7D23" w:rsidP="006C7D23">
      <w:pPr>
        <w:pStyle w:val="BodyText"/>
        <w:rPr>
          <w:szCs w:val="28"/>
        </w:rPr>
      </w:pPr>
    </w:p>
    <w:tbl>
      <w:tblPr>
        <w:tblStyle w:val="TableGrid"/>
        <w:tblW w:w="9133" w:type="dxa"/>
        <w:tblLook w:val="04A0" w:firstRow="1" w:lastRow="0" w:firstColumn="1" w:lastColumn="0" w:noHBand="0" w:noVBand="1"/>
      </w:tblPr>
      <w:tblGrid>
        <w:gridCol w:w="1834"/>
        <w:gridCol w:w="2530"/>
        <w:gridCol w:w="4769"/>
      </w:tblGrid>
      <w:tr w:rsidR="006C7D23" w:rsidRPr="00980CDC" w:rsidTr="00C05BD8">
        <w:tc>
          <w:tcPr>
            <w:tcW w:w="9133" w:type="dxa"/>
            <w:gridSpan w:val="3"/>
          </w:tcPr>
          <w:p w:rsidR="006C7D23" w:rsidRPr="00980CDC" w:rsidRDefault="006C7D23" w:rsidP="00C05BD8">
            <w:pPr>
              <w:pStyle w:val="BodyText"/>
              <w:spacing w:before="60" w:after="60"/>
              <w:rPr>
                <w:sz w:val="24"/>
              </w:rPr>
            </w:pPr>
            <w:r w:rsidRPr="00980CDC">
              <w:rPr>
                <w:sz w:val="24"/>
              </w:rPr>
              <w:t>I. Tiesību akta projekta izstrādes nepieciešamība</w:t>
            </w:r>
          </w:p>
        </w:tc>
      </w:tr>
      <w:tr w:rsidR="006C7D23" w:rsidRPr="00980CDC" w:rsidTr="00C05BD8">
        <w:tc>
          <w:tcPr>
            <w:tcW w:w="1834" w:type="dxa"/>
          </w:tcPr>
          <w:p w:rsidR="006C7D23" w:rsidRPr="00980CDC" w:rsidRDefault="006C7D23" w:rsidP="00C05BD8">
            <w:pPr>
              <w:spacing w:before="60"/>
            </w:pPr>
            <w:r w:rsidRPr="00980CDC">
              <w:t>1.</w:t>
            </w:r>
          </w:p>
        </w:tc>
        <w:tc>
          <w:tcPr>
            <w:tcW w:w="2530" w:type="dxa"/>
          </w:tcPr>
          <w:p w:rsidR="006C7D23" w:rsidRPr="00980CDC" w:rsidRDefault="006C7D23" w:rsidP="00C05BD8">
            <w:pPr>
              <w:spacing w:before="60"/>
            </w:pPr>
            <w:r w:rsidRPr="00980CDC">
              <w:t>Pamatojums</w:t>
            </w:r>
          </w:p>
        </w:tc>
        <w:tc>
          <w:tcPr>
            <w:tcW w:w="4769" w:type="dxa"/>
          </w:tcPr>
          <w:p w:rsidR="006C7D23" w:rsidRPr="00980CDC" w:rsidRDefault="006C7D23" w:rsidP="00EB516C">
            <w:pPr>
              <w:spacing w:before="60"/>
              <w:ind w:firstLine="598"/>
              <w:jc w:val="both"/>
            </w:pPr>
            <w:r w:rsidRPr="00980CDC">
              <w:t xml:space="preserve">Sodu reģistra likuma </w:t>
            </w:r>
            <w:r>
              <w:t>14.panta trešā daļa un 19.panta ceturtā daļa</w:t>
            </w:r>
            <w:r w:rsidRPr="00980CDC">
              <w:t>.</w:t>
            </w:r>
          </w:p>
        </w:tc>
      </w:tr>
      <w:tr w:rsidR="006C7D23" w:rsidRPr="00980CDC" w:rsidTr="00C05BD8">
        <w:tc>
          <w:tcPr>
            <w:tcW w:w="1834" w:type="dxa"/>
          </w:tcPr>
          <w:p w:rsidR="006C7D23" w:rsidRPr="00980CDC" w:rsidRDefault="006C7D23" w:rsidP="00C05BD8">
            <w:pPr>
              <w:spacing w:before="60" w:line="720" w:lineRule="auto"/>
            </w:pPr>
            <w:r w:rsidRPr="00980CDC">
              <w:t>2.</w:t>
            </w:r>
          </w:p>
        </w:tc>
        <w:tc>
          <w:tcPr>
            <w:tcW w:w="2530" w:type="dxa"/>
          </w:tcPr>
          <w:p w:rsidR="006C7D23" w:rsidRPr="00980CDC" w:rsidRDefault="006C7D23" w:rsidP="00C05BD8">
            <w:pPr>
              <w:spacing w:before="60"/>
            </w:pPr>
            <w:r w:rsidRPr="00980CDC">
              <w:t>Pašreizējā situācija un problēmas, kuru risināšanai tiesību akta projekts izstrādāts, tiesiskā regulējuma mērķis un būtība</w:t>
            </w:r>
          </w:p>
        </w:tc>
        <w:tc>
          <w:tcPr>
            <w:tcW w:w="4769" w:type="dxa"/>
          </w:tcPr>
          <w:p w:rsidR="00EB516C" w:rsidRPr="00EB516C" w:rsidRDefault="006C7D23" w:rsidP="00EB516C">
            <w:pPr>
              <w:ind w:firstLine="598"/>
              <w:jc w:val="both"/>
            </w:pPr>
            <w:r w:rsidRPr="0041269A">
              <w:t xml:space="preserve">2014.gada 1.janvārī stājās spēkā jauns Sodu reģistra likums. Minētā likuma 14.panta trešajā daļā ir paredzēts pilnvarojums Ministru kabinetam noteikt kārtību un apjomu, kādā Sodu reģistra likuma 14.panta pirmajā daļā minētās iestādes sniedz ziņas Iekšlietu ministrijas Informācijas centram. Savukārt Sodu reģistra likuma </w:t>
            </w:r>
            <w:r w:rsidR="00CD114F" w:rsidRPr="0041269A">
              <w:t>19. panta</w:t>
            </w:r>
            <w:r w:rsidRPr="0041269A">
              <w:t xml:space="preserve"> ceturtajā daļā ir paredzēts pilnvarojums Ministru kabinetam noteikt kārtību, kādā Iekšlietu ministrijas Informācijas centrs sniedz Sodu reģistrā</w:t>
            </w:r>
            <w:r w:rsidR="00AF110B">
              <w:t xml:space="preserve"> (turpmāk – Reģistrs)</w:t>
            </w:r>
            <w:r w:rsidRPr="0041269A">
              <w:t xml:space="preserve"> iekļautās ziņas.</w:t>
            </w:r>
            <w:r w:rsidR="00EB516C">
              <w:t xml:space="preserve"> </w:t>
            </w:r>
            <w:r w:rsidR="00EB516C" w:rsidRPr="00EB516C">
              <w:t>Tādējādi, atbilstoši noteiktajam pilnvarojumam, nepieciešams izstrādāt Ministru kabineta noteikumus.</w:t>
            </w:r>
          </w:p>
          <w:p w:rsidR="00E633A0" w:rsidRPr="00E633A0" w:rsidRDefault="006C7D23" w:rsidP="00E633A0">
            <w:pPr>
              <w:ind w:firstLine="720"/>
              <w:jc w:val="both"/>
            </w:pPr>
            <w:r w:rsidRPr="0041269A">
              <w:t xml:space="preserve">Ministru kabineta noteikumu projekta „Kārtība un apjoms, kādā sniedzamas ziņas Sodu reģistram un izsniedzamas Sodu reģistrā iekļautās ziņas” (turpmāk – projekts) mērķis ir noteikt </w:t>
            </w:r>
            <w:r w:rsidR="006811E2" w:rsidRPr="0041269A">
              <w:t xml:space="preserve">apjomu un </w:t>
            </w:r>
            <w:r w:rsidRPr="0041269A">
              <w:t>kārtību, kādā iestāde vai persona, kura pilnvarota veikt izmeklēšanu, prokuratūras struktūrvienība, tiesa, Ieslodzījuma vietu pārvalde, institūcija, kura izpilda sodu vai piemēroto piespiedu līdzekli</w:t>
            </w:r>
            <w:r w:rsidR="00AF110B">
              <w:t>,</w:t>
            </w:r>
            <w:r w:rsidRPr="0041269A">
              <w:t xml:space="preserve"> vai veic ar alkohola koncentrācijas, narkotisko vai citu apreibinošo vielu ietekmes konstatēšanai veiktajām pārbaudēm saistīto izdevumu piedziņu administratīvo pārkāpumu lietās, Valsts kase, Pilsonības un migrācijas lietu pārvalde, Valsts prezidenta kanceleja, institūcijas vai amatpersonas, kuras sastāda protokolu par administratīvo pārkāpumu, institūcijas vai amatpersonas, kuras ir tiesīgas izskatīt administratīvo pārkāpumu lietas</w:t>
            </w:r>
            <w:r w:rsidR="006811E2" w:rsidRPr="0041269A">
              <w:t>,</w:t>
            </w:r>
            <w:r w:rsidRPr="0041269A">
              <w:t xml:space="preserve"> sniedz </w:t>
            </w:r>
            <w:r w:rsidR="006811E2" w:rsidRPr="0041269A">
              <w:t xml:space="preserve">ziņas </w:t>
            </w:r>
            <w:r w:rsidRPr="0041269A">
              <w:t>Sodu reģistram, kā arī noteikt kārtību,</w:t>
            </w:r>
            <w:r w:rsidRPr="0041269A">
              <w:rPr>
                <w:b/>
              </w:rPr>
              <w:t xml:space="preserve"> </w:t>
            </w:r>
            <w:r w:rsidRPr="0041269A">
              <w:t xml:space="preserve">kādā Iekšlietu ministrijas Informācijas centrs sniedz </w:t>
            </w:r>
            <w:r w:rsidR="00E633A0" w:rsidRPr="00E633A0">
              <w:t>Reģistrā esošās ziņas</w:t>
            </w:r>
            <w:r w:rsidR="00E633A0" w:rsidRPr="00E633A0">
              <w:rPr>
                <w:color w:val="FF0000"/>
              </w:rPr>
              <w:t xml:space="preserve"> </w:t>
            </w:r>
            <w:r w:rsidR="00E633A0" w:rsidRPr="00E633A0">
              <w:t>Eiropas Savienības dalībvalsts centrālajai iestādei un</w:t>
            </w:r>
            <w:r w:rsidR="00E633A0" w:rsidRPr="00E633A0">
              <w:rPr>
                <w:color w:val="FF0000"/>
              </w:rPr>
              <w:t xml:space="preserve"> </w:t>
            </w:r>
            <w:r w:rsidR="00E633A0" w:rsidRPr="00E633A0">
              <w:t xml:space="preserve">privātpersonām, valsts un pašvaldību iestādēm, kā arī zinātnisko un statistisko pētījumu </w:t>
            </w:r>
            <w:r w:rsidR="00E633A0" w:rsidRPr="00E633A0">
              <w:lastRenderedPageBreak/>
              <w:t>veikšanai.</w:t>
            </w:r>
          </w:p>
          <w:p w:rsidR="00AF110B" w:rsidRDefault="00AF110B" w:rsidP="00AF110B">
            <w:pPr>
              <w:ind w:firstLine="720"/>
              <w:jc w:val="both"/>
            </w:pPr>
            <w:r w:rsidRPr="00AF110B">
              <w:t>Ziņas Reģistram iekļauj tiešsaistes datu pārraides vai automatizētajā datu apmaiņas režīmā, vai pamatojoties uz Eiropas Savienības dalībvalstu centrālo iestāžu paziņojumiem. Reģistrā iekļauj dokumentāri apstiprinātu informāciju</w:t>
            </w:r>
            <w:r w:rsidRPr="00E633A0">
              <w:t xml:space="preserve">. </w:t>
            </w:r>
            <w:r w:rsidR="00E633A0" w:rsidRPr="00E633A0">
              <w:t>Iestāde vai persona, kura pilnvarota veikt izmeklēšanu, prokuratūras struktūrvienība, tiesa, Ieslodzījuma vietu pārvalde, institūcija, kura izpilda sodu vai piemēroto piespiedu līdzekli, vai veic ar alkohola koncentrācijas, narkotisko vai citu apreibinošo vielu ietekmes konstatēšanai veiktajām pārbaudēm saistīto izdevumu piedziņu administratīvo pārkāpumu lietās, Valsts kase, Pilsonības un migrācijas lietu pārvalde, Valsts prezidenta kanceleja, institūcija vai amatpersona, kura sastāda protokolu par administratīvo pārkāpumu, institūcijas vai amatpersona, kura ir tiesīga izskatīt administratīvo pārkāpumu lietas, un citas valsts un pašvaldību iestādes ziņas tiešsaistes datu režīmā vai automatizētajā datu apmaiņas režīmā ievada Reģistrā nākamajā darbdienā</w:t>
            </w:r>
            <w:r w:rsidRPr="00AF110B">
              <w:t xml:space="preserve"> pēc šajos noteikumos procesuālo darbību veikšanas, procesuālā lēmuma pieņemšanas, reģistrācijas vai nolēmuma (lēmuma) stāšanās spēkā.</w:t>
            </w:r>
          </w:p>
          <w:p w:rsidR="0041269A" w:rsidRDefault="0041269A" w:rsidP="00AF110B">
            <w:pPr>
              <w:ind w:firstLine="720"/>
              <w:jc w:val="both"/>
            </w:pPr>
            <w:r>
              <w:t>Projekts nosaka Reģistrā sniedzamo ziņu apjomu</w:t>
            </w:r>
            <w:r w:rsidR="003730EC">
              <w:t xml:space="preserve"> </w:t>
            </w:r>
            <w:r w:rsidR="003730EC" w:rsidRPr="0041269A">
              <w:t>iestāde</w:t>
            </w:r>
            <w:r w:rsidR="003730EC">
              <w:t>i</w:t>
            </w:r>
            <w:r w:rsidR="003730EC" w:rsidRPr="0041269A">
              <w:t xml:space="preserve"> vai persona</w:t>
            </w:r>
            <w:r w:rsidR="003730EC">
              <w:t>i</w:t>
            </w:r>
            <w:r w:rsidR="003730EC" w:rsidRPr="0041269A">
              <w:t>, kura pilnvarota veikt izmeklēšanu, prokuratūras struktūrvienība, tiesa, Ieslodzījuma vietu pārvalde</w:t>
            </w:r>
            <w:r w:rsidR="003730EC">
              <w:t>i</w:t>
            </w:r>
            <w:r w:rsidR="003730EC" w:rsidRPr="0041269A">
              <w:t>, institūcija</w:t>
            </w:r>
            <w:r w:rsidR="003730EC">
              <w:t>i</w:t>
            </w:r>
            <w:r w:rsidR="003730EC" w:rsidRPr="0041269A">
              <w:t>, kura izpilda sodu vai piemēroto piespiedu līdzekli vai veic ar alkohola koncentrācijas, narkotisko vai citu apreibinošo vielu ietekmes konstatēšanai veiktajām pārbaudēm saistīto izdevumu piedziņu administratīvo pārkāpumu lietās, Valsts kase</w:t>
            </w:r>
            <w:r w:rsidR="003730EC">
              <w:t>i</w:t>
            </w:r>
            <w:r w:rsidR="003730EC" w:rsidRPr="0041269A">
              <w:t>, Pilsonības un migrācijas liet</w:t>
            </w:r>
            <w:r w:rsidR="003730EC">
              <w:t>u</w:t>
            </w:r>
            <w:r w:rsidR="003730EC" w:rsidRPr="0041269A">
              <w:t xml:space="preserve"> pārvalde</w:t>
            </w:r>
            <w:r w:rsidR="003730EC">
              <w:t>i</w:t>
            </w:r>
            <w:r w:rsidR="003730EC" w:rsidRPr="0041269A">
              <w:t>, Valsts prezidenta kanceleja</w:t>
            </w:r>
            <w:r w:rsidR="003730EC">
              <w:t>i</w:t>
            </w:r>
            <w:r w:rsidR="003730EC" w:rsidRPr="0041269A">
              <w:t>, institūcija</w:t>
            </w:r>
            <w:r w:rsidR="003730EC">
              <w:t>i</w:t>
            </w:r>
            <w:r w:rsidR="003730EC" w:rsidRPr="0041269A">
              <w:t xml:space="preserve"> vai amatpersona</w:t>
            </w:r>
            <w:r w:rsidR="003730EC">
              <w:t>i</w:t>
            </w:r>
            <w:r w:rsidR="003730EC" w:rsidRPr="0041269A">
              <w:t>, kura sastāda protokolu par administratīvo pārkāpumu, institūcija</w:t>
            </w:r>
            <w:r w:rsidR="003730EC">
              <w:t>i</w:t>
            </w:r>
            <w:r w:rsidR="003730EC" w:rsidRPr="0041269A">
              <w:t xml:space="preserve"> vai amatpersona</w:t>
            </w:r>
            <w:r w:rsidR="003730EC">
              <w:t>i</w:t>
            </w:r>
            <w:r w:rsidR="003730EC" w:rsidRPr="0041269A">
              <w:t>, kura ir tiesīga izskatīt administratīvo pārkāpumu lietas</w:t>
            </w:r>
            <w:r>
              <w:t>.</w:t>
            </w:r>
          </w:p>
          <w:p w:rsidR="0011147E" w:rsidRDefault="0041269A" w:rsidP="0011147E">
            <w:pPr>
              <w:ind w:firstLine="720"/>
              <w:jc w:val="both"/>
            </w:pPr>
            <w:r w:rsidRPr="0011147E">
              <w:t>Vienlaikus projekts par</w:t>
            </w:r>
            <w:r w:rsidR="00125AE2">
              <w:t>edz</w:t>
            </w:r>
            <w:r w:rsidRPr="0011147E">
              <w:t xml:space="preserve"> Reģistrā esošo ziņu sniegšanas kārtību. Iekšlietu ministrijas Informācijas centrs Reģistrā iekļautās ziņas sniedz</w:t>
            </w:r>
            <w:r w:rsidR="00E633A0">
              <w:t>,</w:t>
            </w:r>
            <w:r w:rsidRPr="0011147E">
              <w:t xml:space="preserve"> izmantojot datu pārraidi </w:t>
            </w:r>
            <w:r w:rsidRPr="0011147E">
              <w:lastRenderedPageBreak/>
              <w:t xml:space="preserve">tiešsaistes režīmā vai citus elektronisko sakaru līdzekļus vai rakstveidā. Projekts paredz ziņu sniegšanas kārtību </w:t>
            </w:r>
            <w:r w:rsidR="0011147E" w:rsidRPr="0011147E">
              <w:rPr>
                <w:lang w:val="de-DE"/>
              </w:rPr>
              <w:t xml:space="preserve">Eiropas Savienības dalībvalsts centrālajai iestādei par personas sodāmību Latvijas Republikā, </w:t>
            </w:r>
            <w:r w:rsidR="0011147E" w:rsidRPr="0011147E">
              <w:t>par iepriekš sniegto ziņu grozīšanu, sodāmības noņemšanu vai dzēšanu, par personas sodāmību Latvijas Republikā, citās Eiropas Savienības dalībvalstīs un trešajās valstīs un par personas sodāmību Latvijas Republikā, citās Eiropas Savienības dalībvalstīs un trešajās valstīs.</w:t>
            </w:r>
            <w:r w:rsidR="0011147E">
              <w:t xml:space="preserve"> </w:t>
            </w:r>
            <w:r w:rsidR="0011147E" w:rsidRPr="0011147E">
              <w:t>Fiziskā vai juridiskā persona izziņu no Reģistra no aktuālās un arhīva datu bāzes var saņemt, iesniedzot rakstisku pieprasījumu Centram.</w:t>
            </w:r>
          </w:p>
          <w:p w:rsidR="0011147E" w:rsidRPr="0011147E" w:rsidRDefault="0011147E" w:rsidP="0011147E">
            <w:pPr>
              <w:ind w:firstLine="720"/>
              <w:jc w:val="both"/>
            </w:pPr>
            <w:r w:rsidRPr="0011147E">
              <w:t>Fizisk</w:t>
            </w:r>
            <w:r w:rsidR="00125AE2">
              <w:t>ā</w:t>
            </w:r>
            <w:r w:rsidRPr="0011147E">
              <w:t xml:space="preserve"> persona</w:t>
            </w:r>
            <w:r w:rsidR="00125AE2">
              <w:t xml:space="preserve"> </w:t>
            </w:r>
            <w:r w:rsidRPr="0011147E">
              <w:t xml:space="preserve">izziņu par sevi var saņemt personīgi, ierodoties Centrā, ar izziņas saņēmēja pilnvarotas personas starpniecību, ja tā uzrāda notariāli apliecinātu pilnvaru, ierakstītā vēstulē, ja izziņas saņēmējs atrodas Latvijā, Latvijas Republikas diplomātiskajā pārstāvniecībā ārzemēs un elektroniskā dokumenta veidā. Savukārt </w:t>
            </w:r>
            <w:r w:rsidR="00125AE2">
              <w:t>i</w:t>
            </w:r>
            <w:r w:rsidRPr="0011147E">
              <w:t xml:space="preserve">zmantojot vienotajā valsts un pašvaldību pakalpojumu portālā </w:t>
            </w:r>
            <w:r w:rsidRPr="00A16301">
              <w:rPr>
                <w:i/>
              </w:rPr>
              <w:t>www.latvija.lv</w:t>
            </w:r>
            <w:r w:rsidRPr="0011147E">
              <w:t xml:space="preserve"> pieejamo elektronisko pakalpojumu, fizisk</w:t>
            </w:r>
            <w:r w:rsidR="00CD114F">
              <w:t xml:space="preserve">a persona, autentificējoties un, </w:t>
            </w:r>
            <w:r w:rsidRPr="0011147E">
              <w:t>apliecinot savu identitāti ar portālā pieejamiem autentifikācijas līdzekļiem, var bez maksas elektroniski saņemt par sevi, saviem nepilngadīgajiem bērniem un aizbildnībā vai aizgādnībā esošajām personām ziņas par administratīvajiem sodiem un par izdevumiem, kas saistīti ar personai veiktajām pārbaudēm alkohola koncentrācijas, narkotisko vai citu apreibinošo vielu ietekmes konstatēšanai, kā arī par to samaksu.</w:t>
            </w:r>
          </w:p>
          <w:p w:rsidR="0011147E" w:rsidRDefault="0011147E" w:rsidP="0011147E">
            <w:pPr>
              <w:ind w:firstLine="720"/>
              <w:jc w:val="both"/>
            </w:pPr>
            <w:r w:rsidRPr="0011147E">
              <w:t>Ziņas, kuras paredzēts izmantot zinātniskajiem vai statistiskajiem pētījumiem, no Reģistra var saņemt persona, kura veic attiecīgo pētījumu, iesniedzot rakstisku pieprasījumu.</w:t>
            </w:r>
          </w:p>
          <w:p w:rsidR="006C7D23" w:rsidRDefault="0011147E" w:rsidP="0011147E">
            <w:pPr>
              <w:ind w:firstLine="720"/>
              <w:jc w:val="both"/>
            </w:pPr>
            <w:r w:rsidRPr="0011147E">
              <w:t xml:space="preserve">No Reģistra sniedzamo ziņu apjomu personām, kurām saskaņā ar </w:t>
            </w:r>
            <w:hyperlink r:id="rId8" w:tgtFrame="_blank" w:history="1">
              <w:r w:rsidRPr="0011147E">
                <w:rPr>
                  <w:rStyle w:val="Hyperlink"/>
                  <w:color w:val="auto"/>
                  <w:u w:val="none"/>
                </w:rPr>
                <w:t>Sodu reģistra likumu</w:t>
              </w:r>
            </w:hyperlink>
            <w:r w:rsidRPr="0011147E">
              <w:t xml:space="preserve"> ir tiesības saņemt ziņas no Reģistra, nosaka šo personu darbību un kompetenci reglamentējošie normatīvie akti un ziņu pieprasītāja tiesību apjoms.</w:t>
            </w:r>
          </w:p>
          <w:p w:rsidR="00E633A0" w:rsidRPr="0041269A" w:rsidRDefault="00E633A0" w:rsidP="00E633A0">
            <w:pPr>
              <w:pStyle w:val="tv213"/>
              <w:spacing w:before="0" w:beforeAutospacing="0"/>
              <w:ind w:firstLine="720"/>
              <w:jc w:val="both"/>
            </w:pPr>
            <w:r w:rsidRPr="00E633A0">
              <w:t xml:space="preserve">Ziņas no Sodu reģistra saņem bez </w:t>
            </w:r>
            <w:r w:rsidRPr="00E633A0">
              <w:lastRenderedPageBreak/>
              <w:t xml:space="preserve">maksas personas un iestādes, kuras saskaņā ar </w:t>
            </w:r>
            <w:hyperlink r:id="rId9" w:tgtFrame="_blank" w:history="1">
              <w:r w:rsidRPr="00E633A0">
                <w:rPr>
                  <w:rStyle w:val="Hyperlink"/>
                  <w:color w:val="000000" w:themeColor="text1"/>
                  <w:u w:val="none"/>
                </w:rPr>
                <w:t>Sodu reģistra likumu</w:t>
              </w:r>
            </w:hyperlink>
            <w:r w:rsidRPr="00E633A0">
              <w:t xml:space="preserve"> ir tiesīgas saņemt ziņas no Reģistra.</w:t>
            </w:r>
            <w:r>
              <w:t xml:space="preserve"> </w:t>
            </w:r>
            <w:r w:rsidRPr="00E633A0">
              <w:t>Savukārt statistikas ziņas no Reģistra saņem bez maksas valsts un pašvaldības iestādes.</w:t>
            </w:r>
          </w:p>
        </w:tc>
      </w:tr>
      <w:tr w:rsidR="006C7D23" w:rsidRPr="00980CDC" w:rsidTr="00C05BD8">
        <w:tc>
          <w:tcPr>
            <w:tcW w:w="1834" w:type="dxa"/>
          </w:tcPr>
          <w:p w:rsidR="006C7D23" w:rsidRPr="00980CDC" w:rsidRDefault="006C7D23" w:rsidP="00C05BD8">
            <w:pPr>
              <w:spacing w:before="60"/>
            </w:pPr>
            <w:r w:rsidRPr="00980CDC">
              <w:lastRenderedPageBreak/>
              <w:t>3.</w:t>
            </w:r>
          </w:p>
        </w:tc>
        <w:tc>
          <w:tcPr>
            <w:tcW w:w="2530" w:type="dxa"/>
          </w:tcPr>
          <w:p w:rsidR="006C7D23" w:rsidRPr="00980CDC" w:rsidRDefault="006C7D23" w:rsidP="00C05BD8">
            <w:pPr>
              <w:spacing w:before="60" w:after="60"/>
            </w:pPr>
            <w:r w:rsidRPr="00980CDC">
              <w:t>Projekta izstrādē iesaistītās institūcijas</w:t>
            </w:r>
          </w:p>
        </w:tc>
        <w:tc>
          <w:tcPr>
            <w:tcW w:w="4769" w:type="dxa"/>
          </w:tcPr>
          <w:p w:rsidR="006C7D23" w:rsidRPr="00980CDC" w:rsidRDefault="006C7D23" w:rsidP="00C05BD8">
            <w:pPr>
              <w:autoSpaceDE w:val="0"/>
              <w:autoSpaceDN w:val="0"/>
              <w:adjustRightInd w:val="0"/>
              <w:spacing w:before="60" w:after="60"/>
              <w:jc w:val="both"/>
            </w:pPr>
            <w:r w:rsidRPr="00980CDC">
              <w:t>Projekts šo jomu neskar.</w:t>
            </w:r>
          </w:p>
        </w:tc>
      </w:tr>
      <w:tr w:rsidR="006C7D23" w:rsidRPr="00980CDC" w:rsidTr="00C05BD8">
        <w:tc>
          <w:tcPr>
            <w:tcW w:w="1834" w:type="dxa"/>
          </w:tcPr>
          <w:p w:rsidR="006C7D23" w:rsidRPr="00980CDC" w:rsidRDefault="006C7D23" w:rsidP="00C05BD8">
            <w:pPr>
              <w:spacing w:before="60"/>
            </w:pPr>
            <w:r w:rsidRPr="00980CDC">
              <w:t>4.</w:t>
            </w:r>
          </w:p>
        </w:tc>
        <w:tc>
          <w:tcPr>
            <w:tcW w:w="2530" w:type="dxa"/>
          </w:tcPr>
          <w:p w:rsidR="006C7D23" w:rsidRPr="00980CDC" w:rsidRDefault="006C7D23" w:rsidP="00C05BD8">
            <w:pPr>
              <w:spacing w:before="60" w:after="60"/>
            </w:pPr>
            <w:r w:rsidRPr="00980CDC">
              <w:t xml:space="preserve">Cita informācija </w:t>
            </w:r>
          </w:p>
        </w:tc>
        <w:tc>
          <w:tcPr>
            <w:tcW w:w="4769" w:type="dxa"/>
          </w:tcPr>
          <w:p w:rsidR="006C7D23" w:rsidRPr="00980CDC" w:rsidRDefault="006C7D23" w:rsidP="00C05BD8">
            <w:pPr>
              <w:spacing w:before="60" w:after="60"/>
              <w:jc w:val="both"/>
            </w:pPr>
            <w:r w:rsidRPr="00980CDC">
              <w:t>Nav.</w:t>
            </w:r>
          </w:p>
        </w:tc>
      </w:tr>
      <w:tr w:rsidR="006C7D23" w:rsidRPr="00980CDC" w:rsidTr="00C05BD8">
        <w:tc>
          <w:tcPr>
            <w:tcW w:w="9133" w:type="dxa"/>
            <w:gridSpan w:val="3"/>
          </w:tcPr>
          <w:p w:rsidR="006C7D23" w:rsidRPr="00980CDC" w:rsidRDefault="006C7D23" w:rsidP="00C05BD8">
            <w:pPr>
              <w:spacing w:before="60" w:after="60"/>
              <w:jc w:val="center"/>
            </w:pPr>
            <w:r w:rsidRPr="00980CDC">
              <w:rPr>
                <w:b/>
              </w:rPr>
              <w:t>II. Tiesību akta projekta ietekme uz sabiedrību, tautsaimniecības attīstību un administratīvo slogu</w:t>
            </w:r>
          </w:p>
        </w:tc>
      </w:tr>
      <w:tr w:rsidR="006C7D23" w:rsidRPr="00980CDC" w:rsidTr="00C05BD8">
        <w:tc>
          <w:tcPr>
            <w:tcW w:w="1834" w:type="dxa"/>
          </w:tcPr>
          <w:p w:rsidR="006C7D23" w:rsidRPr="00980CDC" w:rsidRDefault="006C7D23" w:rsidP="00C05BD8">
            <w:r w:rsidRPr="00980CDC">
              <w:t xml:space="preserve">1. </w:t>
            </w:r>
          </w:p>
        </w:tc>
        <w:tc>
          <w:tcPr>
            <w:tcW w:w="2530" w:type="dxa"/>
          </w:tcPr>
          <w:p w:rsidR="006C7D23" w:rsidRPr="00980CDC" w:rsidRDefault="006C7D23" w:rsidP="00C05BD8">
            <w:pPr>
              <w:spacing w:before="60" w:after="60"/>
            </w:pPr>
            <w:r w:rsidRPr="00980CDC">
              <w:t>Sabiedrības mērķgrupas, kuras tiesiskais regulējums ietekmē vai varētu ietekmēt</w:t>
            </w:r>
          </w:p>
        </w:tc>
        <w:tc>
          <w:tcPr>
            <w:tcW w:w="4769" w:type="dxa"/>
          </w:tcPr>
          <w:p w:rsidR="00AF3667" w:rsidRPr="00EA03B2" w:rsidRDefault="00AF3667" w:rsidP="00AF3667">
            <w:pPr>
              <w:jc w:val="both"/>
              <w:rPr>
                <w:iCs/>
              </w:rPr>
            </w:pPr>
            <w:r w:rsidRPr="00EA03B2">
              <w:rPr>
                <w:iCs/>
              </w:rPr>
              <w:t>Projekts attiecas uz:</w:t>
            </w:r>
          </w:p>
          <w:p w:rsidR="00EA03B2" w:rsidRPr="00EA03B2" w:rsidRDefault="00AF3667" w:rsidP="00C05BD8">
            <w:pPr>
              <w:jc w:val="both"/>
            </w:pPr>
            <w:r w:rsidRPr="00EA03B2">
              <w:rPr>
                <w:iCs/>
              </w:rPr>
              <w:t xml:space="preserve">1. </w:t>
            </w:r>
            <w:r w:rsidRPr="00EA03B2">
              <w:t>iestādi vai personu, kura pilnvarota veikt izmeklēšanu, prokuratūras struktūrvienību, tiesu, Ieslodzījuma vietu pārvaldi, institūciju, kura izpilda sodu vai piemēroto piespiedu līdzekli vai veic ar alkohola koncentrācijas, narkotisko vai citu apreibinošo vielu ietekmes konstatēšanai veiktajām pārbaudēm saistīto izdevumu piedziņu administratīvo pārkāpumu lietās, Valsts kasi, Pilsonības un migrācijas lietu pārvaldi, Valsts prezidenta kanceleju, institūciju vai amatpersonu, kura sastāda protokolu par administratīvo pārkāpumu, institūciju vai amatpersonu, kura ir tiesīga izskatīt administratīvo pārkāpumu lietas</w:t>
            </w:r>
            <w:r w:rsidR="00EA03B2" w:rsidRPr="00EA03B2">
              <w:t>;</w:t>
            </w:r>
          </w:p>
          <w:p w:rsidR="00EA03B2" w:rsidRPr="00EA03B2" w:rsidRDefault="00CD114F" w:rsidP="00C05BD8">
            <w:pPr>
              <w:jc w:val="both"/>
              <w:rPr>
                <w:iCs/>
              </w:rPr>
            </w:pPr>
            <w:r w:rsidRPr="00EA03B2">
              <w:rPr>
                <w:iCs/>
              </w:rPr>
              <w:t>2. person</w:t>
            </w:r>
            <w:r>
              <w:rPr>
                <w:iCs/>
              </w:rPr>
              <w:t>u</w:t>
            </w:r>
            <w:r w:rsidR="006C7D23" w:rsidRPr="00EA03B2">
              <w:rPr>
                <w:iCs/>
              </w:rPr>
              <w:t xml:space="preserve">, kuras vēlas saņemt izziņu no </w:t>
            </w:r>
            <w:r w:rsidR="00125AE2">
              <w:rPr>
                <w:iCs/>
              </w:rPr>
              <w:t>R</w:t>
            </w:r>
            <w:r w:rsidR="006C7D23" w:rsidRPr="00EA03B2">
              <w:rPr>
                <w:iCs/>
              </w:rPr>
              <w:t>eģistra.</w:t>
            </w:r>
            <w:r w:rsidR="00AF3667" w:rsidRPr="00EA03B2">
              <w:rPr>
                <w:iCs/>
              </w:rPr>
              <w:t xml:space="preserve"> </w:t>
            </w:r>
            <w:r w:rsidR="006C7D23" w:rsidRPr="00EA03B2">
              <w:rPr>
                <w:iCs/>
              </w:rPr>
              <w:t>Gadā tiek izsniegtas vidēji 13 100 izziņas no Sodu reģistra</w:t>
            </w:r>
            <w:r w:rsidR="00EA03B2" w:rsidRPr="00EA03B2">
              <w:rPr>
                <w:iCs/>
              </w:rPr>
              <w:t>;</w:t>
            </w:r>
          </w:p>
          <w:p w:rsidR="006C7D23" w:rsidRDefault="00EA03B2" w:rsidP="00EA03B2">
            <w:pPr>
              <w:jc w:val="both"/>
            </w:pPr>
            <w:r w:rsidRPr="00EA03B2">
              <w:rPr>
                <w:iCs/>
              </w:rPr>
              <w:t xml:space="preserve">3. </w:t>
            </w:r>
            <w:r w:rsidR="006C7D23" w:rsidRPr="00EA03B2">
              <w:rPr>
                <w:iCs/>
              </w:rPr>
              <w:t xml:space="preserve"> </w:t>
            </w:r>
            <w:r w:rsidRPr="00EA03B2">
              <w:t>person</w:t>
            </w:r>
            <w:r w:rsidR="00CD114F">
              <w:t>u</w:t>
            </w:r>
            <w:r w:rsidR="00E633A0">
              <w:t xml:space="preserve"> vai iestādi</w:t>
            </w:r>
            <w:r w:rsidRPr="00EA03B2">
              <w:t>, kur</w:t>
            </w:r>
            <w:r w:rsidR="00CD114F">
              <w:t>ai</w:t>
            </w:r>
            <w:r w:rsidRPr="00EA03B2">
              <w:t xml:space="preserve"> saskaņā ar </w:t>
            </w:r>
            <w:hyperlink r:id="rId10" w:tgtFrame="_blank" w:history="1">
              <w:r w:rsidRPr="00EA03B2">
                <w:rPr>
                  <w:rStyle w:val="Hyperlink"/>
                  <w:color w:val="auto"/>
                  <w:u w:val="none"/>
                </w:rPr>
                <w:t>Sodu reģistra likumu</w:t>
              </w:r>
            </w:hyperlink>
            <w:r w:rsidRPr="00EA03B2">
              <w:t xml:space="preserve"> ir ti</w:t>
            </w:r>
            <w:r w:rsidR="00125AE2">
              <w:t>esības saņemt ziņas no Reģistra;</w:t>
            </w:r>
          </w:p>
          <w:p w:rsidR="00125AE2" w:rsidRPr="00EA03B2" w:rsidRDefault="00125AE2" w:rsidP="00CD114F">
            <w:pPr>
              <w:jc w:val="both"/>
              <w:rPr>
                <w:iCs/>
              </w:rPr>
            </w:pPr>
            <w:r>
              <w:t>4. person</w:t>
            </w:r>
            <w:r w:rsidR="00CD114F">
              <w:t>u</w:t>
            </w:r>
            <w:r w:rsidR="00E633A0">
              <w:t xml:space="preserve"> vai iestādi</w:t>
            </w:r>
            <w:r>
              <w:t>, kura veic zinātniskos vai statistiskos pētījumus.</w:t>
            </w:r>
          </w:p>
        </w:tc>
      </w:tr>
      <w:tr w:rsidR="006C7D23" w:rsidRPr="00980CDC" w:rsidTr="00C05BD8">
        <w:tc>
          <w:tcPr>
            <w:tcW w:w="1834" w:type="dxa"/>
          </w:tcPr>
          <w:p w:rsidR="006C7D23" w:rsidRPr="00980CDC" w:rsidRDefault="006C7D23" w:rsidP="00C05BD8">
            <w:r w:rsidRPr="00980CDC">
              <w:t>2.</w:t>
            </w:r>
          </w:p>
        </w:tc>
        <w:tc>
          <w:tcPr>
            <w:tcW w:w="2530" w:type="dxa"/>
          </w:tcPr>
          <w:p w:rsidR="006C7D23" w:rsidRPr="00980CDC" w:rsidRDefault="006C7D23" w:rsidP="00C05BD8">
            <w:pPr>
              <w:spacing w:before="60" w:after="60"/>
            </w:pPr>
            <w:r w:rsidRPr="00980CDC">
              <w:t>Tiesiskā regulējuma ietekme uz tautsaimniecību un administratīvo slogu</w:t>
            </w:r>
          </w:p>
        </w:tc>
        <w:tc>
          <w:tcPr>
            <w:tcW w:w="4769" w:type="dxa"/>
          </w:tcPr>
          <w:p w:rsidR="006C7D23" w:rsidRPr="00980CDC" w:rsidRDefault="006C7D23" w:rsidP="00C05BD8">
            <w:pPr>
              <w:spacing w:before="60" w:after="60"/>
              <w:jc w:val="both"/>
            </w:pPr>
            <w:r w:rsidRPr="00980CDC">
              <w:t>Sabiedrības grupām un institūcijām projekta tiesiskais regulējums nemaina</w:t>
            </w:r>
            <w:r w:rsidR="00A16301">
              <w:t xml:space="preserve"> pašreiz noteiktās</w:t>
            </w:r>
            <w:r w:rsidRPr="00980CDC">
              <w:t xml:space="preserve"> tiesības un pienākumus, kā arī veicamās darbības.</w:t>
            </w:r>
          </w:p>
        </w:tc>
      </w:tr>
      <w:tr w:rsidR="006C7D23" w:rsidRPr="00980CDC" w:rsidTr="00C05BD8">
        <w:tc>
          <w:tcPr>
            <w:tcW w:w="1834" w:type="dxa"/>
          </w:tcPr>
          <w:p w:rsidR="006C7D23" w:rsidRPr="00980CDC" w:rsidRDefault="006C7D23" w:rsidP="00C05BD8">
            <w:r w:rsidRPr="00980CDC">
              <w:t>3.</w:t>
            </w:r>
          </w:p>
        </w:tc>
        <w:tc>
          <w:tcPr>
            <w:tcW w:w="2530" w:type="dxa"/>
          </w:tcPr>
          <w:p w:rsidR="006C7D23" w:rsidRPr="00980CDC" w:rsidRDefault="006C7D23" w:rsidP="00C05BD8">
            <w:pPr>
              <w:spacing w:before="60" w:after="60"/>
            </w:pPr>
            <w:r w:rsidRPr="00980CDC">
              <w:t>Administratīvo izmaksu monetārs novērtējums</w:t>
            </w:r>
          </w:p>
        </w:tc>
        <w:tc>
          <w:tcPr>
            <w:tcW w:w="4769" w:type="dxa"/>
          </w:tcPr>
          <w:p w:rsidR="006C7D23" w:rsidRPr="00980CDC" w:rsidRDefault="006C7D23" w:rsidP="00C05BD8">
            <w:pPr>
              <w:spacing w:before="60" w:after="60"/>
              <w:jc w:val="both"/>
            </w:pPr>
            <w:r w:rsidRPr="00980CDC">
              <w:t>Projekts šo jomu neskar.</w:t>
            </w:r>
          </w:p>
        </w:tc>
      </w:tr>
      <w:tr w:rsidR="006C7D23" w:rsidRPr="00980CDC" w:rsidTr="00C05BD8">
        <w:tc>
          <w:tcPr>
            <w:tcW w:w="1834" w:type="dxa"/>
          </w:tcPr>
          <w:p w:rsidR="006C7D23" w:rsidRPr="00980CDC" w:rsidRDefault="006C7D23" w:rsidP="00C05BD8">
            <w:r w:rsidRPr="00980CDC">
              <w:t>4.</w:t>
            </w:r>
          </w:p>
        </w:tc>
        <w:tc>
          <w:tcPr>
            <w:tcW w:w="2530" w:type="dxa"/>
          </w:tcPr>
          <w:p w:rsidR="006C7D23" w:rsidRPr="00980CDC" w:rsidRDefault="006C7D23" w:rsidP="00C05BD8">
            <w:pPr>
              <w:spacing w:before="60" w:after="60"/>
            </w:pPr>
            <w:r w:rsidRPr="00980CDC">
              <w:t>Cita informācija</w:t>
            </w:r>
          </w:p>
        </w:tc>
        <w:tc>
          <w:tcPr>
            <w:tcW w:w="4769" w:type="dxa"/>
          </w:tcPr>
          <w:p w:rsidR="006C7D23" w:rsidRPr="00980CDC" w:rsidRDefault="006C7D23" w:rsidP="00C05BD8">
            <w:pPr>
              <w:spacing w:before="60" w:after="60"/>
              <w:jc w:val="both"/>
            </w:pPr>
            <w:r w:rsidRPr="00980CDC">
              <w:t>Nav.</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2030"/>
        <w:gridCol w:w="6619"/>
      </w:tblGrid>
      <w:tr w:rsidR="006C7D23" w:rsidRPr="00EA03B2" w:rsidTr="00A16301">
        <w:trPr>
          <w:trHeight w:val="404"/>
        </w:trPr>
        <w:tc>
          <w:tcPr>
            <w:tcW w:w="9180" w:type="dxa"/>
            <w:gridSpan w:val="3"/>
          </w:tcPr>
          <w:p w:rsidR="006C7D23" w:rsidRPr="00EA03B2" w:rsidRDefault="006C7D23" w:rsidP="00C05BD8">
            <w:pPr>
              <w:rPr>
                <w:i/>
              </w:rPr>
            </w:pPr>
          </w:p>
          <w:p w:rsidR="006C7D23" w:rsidRPr="00125AE2" w:rsidRDefault="006C7D23" w:rsidP="00C05BD8">
            <w:pPr>
              <w:jc w:val="center"/>
              <w:rPr>
                <w:b/>
              </w:rPr>
            </w:pPr>
            <w:r w:rsidRPr="00125AE2">
              <w:rPr>
                <w:b/>
              </w:rPr>
              <w:t>IV. Tiesību akta projekta ietekme uz spēkā esošo tiesību normu sistēmu</w:t>
            </w:r>
          </w:p>
        </w:tc>
      </w:tr>
      <w:tr w:rsidR="006C7D23" w:rsidRPr="00980CDC" w:rsidTr="00A16301">
        <w:trPr>
          <w:trHeight w:val="404"/>
        </w:trPr>
        <w:tc>
          <w:tcPr>
            <w:tcW w:w="531" w:type="dxa"/>
          </w:tcPr>
          <w:p w:rsidR="006C7D23" w:rsidRPr="00980CDC" w:rsidRDefault="006C7D23" w:rsidP="00C05BD8">
            <w:pPr>
              <w:jc w:val="center"/>
            </w:pPr>
            <w:r w:rsidRPr="00980CDC">
              <w:t>1.</w:t>
            </w:r>
          </w:p>
        </w:tc>
        <w:tc>
          <w:tcPr>
            <w:tcW w:w="2030" w:type="dxa"/>
          </w:tcPr>
          <w:p w:rsidR="006C7D23" w:rsidRPr="00980CDC" w:rsidRDefault="006C7D23" w:rsidP="00C05BD8">
            <w:pPr>
              <w:rPr>
                <w:b/>
              </w:rPr>
            </w:pPr>
            <w:r w:rsidRPr="00980CDC">
              <w:t>Nepieciešamie saistītie tiesību aktu projekti</w:t>
            </w:r>
          </w:p>
        </w:tc>
        <w:tc>
          <w:tcPr>
            <w:tcW w:w="6619" w:type="dxa"/>
          </w:tcPr>
          <w:p w:rsidR="006C7D23" w:rsidRPr="00980CDC" w:rsidRDefault="006C7D23" w:rsidP="00C05BD8">
            <w:pPr>
              <w:jc w:val="both"/>
            </w:pPr>
            <w:r w:rsidRPr="00980CDC">
              <w:t>Projekts šo jomu neskar</w:t>
            </w:r>
          </w:p>
          <w:p w:rsidR="006C7D23" w:rsidRPr="00980CDC" w:rsidRDefault="006C7D23" w:rsidP="00C05BD8">
            <w:pPr>
              <w:pStyle w:val="NormalWeb"/>
              <w:spacing w:before="0" w:beforeAutospacing="0" w:after="0" w:afterAutospacing="0"/>
              <w:jc w:val="both"/>
              <w:rPr>
                <w:rFonts w:ascii="Times New Roman" w:hAnsi="Times New Roman"/>
                <w:b/>
                <w:sz w:val="24"/>
                <w:szCs w:val="24"/>
              </w:rPr>
            </w:pPr>
          </w:p>
        </w:tc>
      </w:tr>
      <w:tr w:rsidR="006C7D23" w:rsidRPr="00EA03B2" w:rsidTr="00A16301">
        <w:trPr>
          <w:trHeight w:val="404"/>
        </w:trPr>
        <w:tc>
          <w:tcPr>
            <w:tcW w:w="531" w:type="dxa"/>
          </w:tcPr>
          <w:p w:rsidR="006C7D23" w:rsidRPr="00EA03B2" w:rsidRDefault="006C7D23" w:rsidP="00C05BD8">
            <w:pPr>
              <w:jc w:val="center"/>
            </w:pPr>
            <w:r w:rsidRPr="00EA03B2">
              <w:lastRenderedPageBreak/>
              <w:t>2.</w:t>
            </w:r>
          </w:p>
        </w:tc>
        <w:tc>
          <w:tcPr>
            <w:tcW w:w="2030" w:type="dxa"/>
          </w:tcPr>
          <w:p w:rsidR="006C7D23" w:rsidRPr="00EA03B2" w:rsidRDefault="006C7D23" w:rsidP="00C05BD8">
            <w:r w:rsidRPr="00EA03B2">
              <w:t>Cita informācija</w:t>
            </w:r>
          </w:p>
        </w:tc>
        <w:tc>
          <w:tcPr>
            <w:tcW w:w="6619" w:type="dxa"/>
          </w:tcPr>
          <w:p w:rsidR="006C7D23" w:rsidRDefault="00EB516C" w:rsidP="00C05BD8">
            <w:pPr>
              <w:jc w:val="both"/>
            </w:pPr>
            <w:r>
              <w:t>Līdz ar projekta spēkā stāšanos</w:t>
            </w:r>
            <w:r w:rsidR="006C7D23" w:rsidRPr="00EA03B2">
              <w:t xml:space="preserve"> spēku zaudēs </w:t>
            </w:r>
            <w:r w:rsidR="00EA03B2" w:rsidRPr="00EA03B2">
              <w:t xml:space="preserve">Ministru kabineta </w:t>
            </w:r>
            <w:r>
              <w:t>2006. gada 22.augusta noteikumi</w:t>
            </w:r>
            <w:r w:rsidR="00EA03B2" w:rsidRPr="00EA03B2">
              <w:t xml:space="preserve"> Nr.687 „Kārtība un apjoms, kādā iesniedzamas ziņas Sodu reģistram un izsniedzamas Sodu reģistrā iekļautās ziņas”</w:t>
            </w:r>
            <w:r>
              <w:t>.</w:t>
            </w:r>
          </w:p>
          <w:p w:rsidR="00E633A0" w:rsidRPr="00EA03B2" w:rsidRDefault="00E633A0" w:rsidP="00C05BD8">
            <w:pPr>
              <w:jc w:val="both"/>
            </w:pPr>
          </w:p>
        </w:tc>
      </w:tr>
      <w:tr w:rsidR="006C7D23" w:rsidRPr="00980CDC" w:rsidTr="00A16301">
        <w:trPr>
          <w:trHeight w:val="404"/>
        </w:trPr>
        <w:tc>
          <w:tcPr>
            <w:tcW w:w="9180" w:type="dxa"/>
            <w:gridSpan w:val="3"/>
          </w:tcPr>
          <w:p w:rsidR="006C7D23" w:rsidRPr="00980CDC" w:rsidRDefault="006C7D23" w:rsidP="00C05BD8">
            <w:pPr>
              <w:pStyle w:val="naiskr"/>
              <w:spacing w:before="0" w:beforeAutospacing="0" w:after="0" w:afterAutospacing="0"/>
              <w:ind w:left="57" w:firstLine="3"/>
              <w:jc w:val="center"/>
            </w:pPr>
            <w:r w:rsidRPr="00980CDC">
              <w:rPr>
                <w:b/>
              </w:rPr>
              <w:t>VII. Tiesību akta projekta izpildes nodrošināšana un tās ietekme uz institūcijām</w:t>
            </w:r>
          </w:p>
        </w:tc>
      </w:tr>
      <w:tr w:rsidR="006C7D23" w:rsidRPr="00980CDC" w:rsidTr="00A16301">
        <w:trPr>
          <w:trHeight w:val="404"/>
        </w:trPr>
        <w:tc>
          <w:tcPr>
            <w:tcW w:w="531" w:type="dxa"/>
          </w:tcPr>
          <w:p w:rsidR="006C7D23" w:rsidRPr="00980CDC" w:rsidRDefault="006C7D23" w:rsidP="00C05BD8">
            <w:pPr>
              <w:pStyle w:val="naiskr"/>
              <w:spacing w:before="0" w:beforeAutospacing="0" w:after="0" w:afterAutospacing="0"/>
              <w:ind w:left="57" w:firstLine="3"/>
              <w:jc w:val="both"/>
            </w:pPr>
            <w:r w:rsidRPr="00980CDC">
              <w:t>1.</w:t>
            </w:r>
          </w:p>
        </w:tc>
        <w:tc>
          <w:tcPr>
            <w:tcW w:w="2030" w:type="dxa"/>
          </w:tcPr>
          <w:p w:rsidR="006C7D23" w:rsidRPr="00980CDC" w:rsidRDefault="006C7D23" w:rsidP="00C05BD8">
            <w:pPr>
              <w:pStyle w:val="naiskr"/>
              <w:spacing w:before="0" w:beforeAutospacing="0" w:after="0" w:afterAutospacing="0"/>
              <w:ind w:left="57" w:firstLine="3"/>
              <w:rPr>
                <w:b/>
              </w:rPr>
            </w:pPr>
            <w:r w:rsidRPr="00980CDC">
              <w:t>Projekta izpildē iesaistītās institūcijas</w:t>
            </w:r>
          </w:p>
        </w:tc>
        <w:tc>
          <w:tcPr>
            <w:tcW w:w="6619" w:type="dxa"/>
          </w:tcPr>
          <w:p w:rsidR="006C7D23" w:rsidRPr="00980CDC" w:rsidRDefault="006C7D23" w:rsidP="00C05BD8">
            <w:pPr>
              <w:pStyle w:val="naiskr"/>
              <w:spacing w:before="0" w:beforeAutospacing="0" w:after="0" w:afterAutospacing="0"/>
              <w:ind w:left="57" w:firstLine="3"/>
              <w:jc w:val="both"/>
              <w:rPr>
                <w:b/>
              </w:rPr>
            </w:pPr>
            <w:r w:rsidRPr="00980CDC">
              <w:rPr>
                <w:iCs/>
              </w:rPr>
              <w:t xml:space="preserve">Projekta izpildi savas kompetences ietvaros nodrošinās Iekšlietu </w:t>
            </w:r>
            <w:r w:rsidR="00EA03B2">
              <w:rPr>
                <w:iCs/>
              </w:rPr>
              <w:t xml:space="preserve">ministrijas Informācijas centrs, </w:t>
            </w:r>
            <w:r w:rsidR="00EA03B2" w:rsidRPr="0041269A">
              <w:t>iestāde vai persona, kura pilnvarota veikt izmeklēšanu, prokuratūras struktūrvienība, tiesa, Ieslodzījuma vietu pārvalde, institūcija, kura izpilda sodu vai piemēroto piespiedu līdzekli vai veic ar alkohola koncentrācijas, narkotisko vai citu apreibinošo vielu ietekmes konstatēšanai veiktajām pārbaudēm saistīto izdevumu piedziņu administratīvo pārkāpumu lietās, Valsts kase, Pilsonības un migrācijas lietu pārvalde, Valsts prezidenta kanceleja, institūcijas vai amatpersonas, kuras sastāda protokolu par administratīvo pārkāpumu, institūcijas vai amatpersonas, kuras ir tiesīgas izskatīt administratīvo pārkāpumu lietas</w:t>
            </w:r>
            <w:r w:rsidR="00CF587A">
              <w:t>.</w:t>
            </w:r>
          </w:p>
        </w:tc>
      </w:tr>
      <w:tr w:rsidR="006C7D23" w:rsidRPr="00980CDC" w:rsidTr="00A16301">
        <w:trPr>
          <w:trHeight w:val="404"/>
        </w:trPr>
        <w:tc>
          <w:tcPr>
            <w:tcW w:w="531" w:type="dxa"/>
          </w:tcPr>
          <w:p w:rsidR="006C7D23" w:rsidRPr="00980CDC" w:rsidRDefault="006C7D23" w:rsidP="00C05BD8">
            <w:pPr>
              <w:pStyle w:val="naiskr"/>
              <w:spacing w:before="0" w:beforeAutospacing="0" w:after="0" w:afterAutospacing="0"/>
              <w:ind w:left="57" w:firstLine="3"/>
              <w:jc w:val="both"/>
            </w:pPr>
            <w:r w:rsidRPr="00980CDC">
              <w:t>2.</w:t>
            </w:r>
          </w:p>
        </w:tc>
        <w:tc>
          <w:tcPr>
            <w:tcW w:w="2030" w:type="dxa"/>
          </w:tcPr>
          <w:p w:rsidR="006C7D23" w:rsidRPr="00980CDC" w:rsidRDefault="006C7D23" w:rsidP="00C05BD8">
            <w:pPr>
              <w:pStyle w:val="naiskr"/>
              <w:spacing w:before="0" w:beforeAutospacing="0" w:after="0" w:afterAutospacing="0"/>
              <w:ind w:left="57" w:firstLine="3"/>
            </w:pPr>
            <w:r w:rsidRPr="00980CDC">
              <w:t>Projekta izpildes ietekme uz pārvaldes funkcijām</w:t>
            </w:r>
          </w:p>
        </w:tc>
        <w:tc>
          <w:tcPr>
            <w:tcW w:w="6619" w:type="dxa"/>
          </w:tcPr>
          <w:p w:rsidR="006C7D23" w:rsidRPr="00980CDC" w:rsidRDefault="006C7D23" w:rsidP="00C05BD8">
            <w:pPr>
              <w:pStyle w:val="naiskr"/>
              <w:spacing w:before="0" w:beforeAutospacing="0" w:after="0" w:afterAutospacing="0"/>
              <w:ind w:left="57" w:firstLine="3"/>
              <w:jc w:val="both"/>
              <w:rPr>
                <w:iCs/>
              </w:rPr>
            </w:pPr>
            <w:r w:rsidRPr="00980CDC">
              <w:rPr>
                <w:iCs/>
              </w:rPr>
              <w:t>Projekts šo jomu neskar</w:t>
            </w:r>
          </w:p>
        </w:tc>
      </w:tr>
      <w:tr w:rsidR="006C7D23" w:rsidRPr="00980CDC" w:rsidTr="00A16301">
        <w:trPr>
          <w:trHeight w:val="404"/>
        </w:trPr>
        <w:tc>
          <w:tcPr>
            <w:tcW w:w="531" w:type="dxa"/>
          </w:tcPr>
          <w:p w:rsidR="006C7D23" w:rsidRPr="00980CDC" w:rsidRDefault="006C7D23" w:rsidP="00C05BD8">
            <w:pPr>
              <w:pStyle w:val="naiskr"/>
              <w:spacing w:before="0" w:beforeAutospacing="0" w:after="0" w:afterAutospacing="0"/>
              <w:ind w:left="57" w:firstLine="3"/>
              <w:jc w:val="both"/>
            </w:pPr>
            <w:r w:rsidRPr="00980CDC">
              <w:t>3.</w:t>
            </w:r>
          </w:p>
        </w:tc>
        <w:tc>
          <w:tcPr>
            <w:tcW w:w="2030" w:type="dxa"/>
          </w:tcPr>
          <w:p w:rsidR="006C7D23" w:rsidRPr="00980CDC" w:rsidRDefault="006C7D23" w:rsidP="00C05BD8">
            <w:pPr>
              <w:pStyle w:val="naisf"/>
              <w:spacing w:before="0" w:after="0"/>
              <w:ind w:left="57" w:right="57" w:firstLine="0"/>
              <w:jc w:val="left"/>
            </w:pPr>
            <w:r w:rsidRPr="00980CDC">
              <w:t>Projekta izpildes ietekme uz pārvaldes institucionālo struktūru.</w:t>
            </w:r>
          </w:p>
          <w:p w:rsidR="006C7D23" w:rsidRPr="00980CDC" w:rsidRDefault="006C7D23" w:rsidP="00C05BD8">
            <w:pPr>
              <w:pStyle w:val="naiskr"/>
              <w:spacing w:before="0" w:beforeAutospacing="0" w:after="0" w:afterAutospacing="0"/>
              <w:ind w:left="57" w:firstLine="3"/>
            </w:pPr>
            <w:r w:rsidRPr="00980CDC">
              <w:t>Jaunu institūciju izveide</w:t>
            </w:r>
          </w:p>
        </w:tc>
        <w:tc>
          <w:tcPr>
            <w:tcW w:w="6619" w:type="dxa"/>
          </w:tcPr>
          <w:p w:rsidR="006C7D23" w:rsidRPr="00980CDC" w:rsidRDefault="006C7D23" w:rsidP="00C05BD8">
            <w:pPr>
              <w:pStyle w:val="naiskr"/>
              <w:spacing w:before="0" w:beforeAutospacing="0" w:after="0" w:afterAutospacing="0"/>
              <w:ind w:left="57" w:firstLine="3"/>
              <w:jc w:val="both"/>
              <w:rPr>
                <w:iCs/>
              </w:rPr>
            </w:pPr>
            <w:r w:rsidRPr="00980CDC">
              <w:rPr>
                <w:iCs/>
              </w:rPr>
              <w:t>Projekts šo jomu neskar</w:t>
            </w:r>
          </w:p>
        </w:tc>
      </w:tr>
      <w:tr w:rsidR="006C7D23" w:rsidRPr="00980CDC" w:rsidTr="00A16301">
        <w:trPr>
          <w:trHeight w:val="404"/>
        </w:trPr>
        <w:tc>
          <w:tcPr>
            <w:tcW w:w="531" w:type="dxa"/>
          </w:tcPr>
          <w:p w:rsidR="006C7D23" w:rsidRPr="00980CDC" w:rsidRDefault="006C7D23" w:rsidP="00C05BD8">
            <w:pPr>
              <w:pStyle w:val="naiskr"/>
              <w:spacing w:before="0" w:beforeAutospacing="0" w:after="0" w:afterAutospacing="0"/>
              <w:ind w:left="57" w:firstLine="3"/>
              <w:jc w:val="both"/>
            </w:pPr>
            <w:r w:rsidRPr="00980CDC">
              <w:t>4.</w:t>
            </w:r>
          </w:p>
        </w:tc>
        <w:tc>
          <w:tcPr>
            <w:tcW w:w="2030" w:type="dxa"/>
          </w:tcPr>
          <w:p w:rsidR="006C7D23" w:rsidRPr="00980CDC" w:rsidRDefault="006C7D23" w:rsidP="00C05BD8">
            <w:pPr>
              <w:pStyle w:val="naisf"/>
              <w:spacing w:before="0" w:after="0"/>
              <w:ind w:left="57" w:right="57" w:firstLine="0"/>
              <w:jc w:val="left"/>
            </w:pPr>
            <w:r w:rsidRPr="00980CDC">
              <w:t>Projekta izpildes ietekme uz pārvaldes institucionālo struktūru.</w:t>
            </w:r>
          </w:p>
          <w:p w:rsidR="006C7D23" w:rsidRPr="00980CDC" w:rsidRDefault="006C7D23" w:rsidP="00C05BD8">
            <w:pPr>
              <w:pStyle w:val="naiskr"/>
              <w:spacing w:before="0" w:beforeAutospacing="0" w:after="0" w:afterAutospacing="0"/>
              <w:ind w:left="57" w:firstLine="3"/>
            </w:pPr>
            <w:r w:rsidRPr="00980CDC">
              <w:t>Esošu institūciju likvidācija</w:t>
            </w:r>
          </w:p>
        </w:tc>
        <w:tc>
          <w:tcPr>
            <w:tcW w:w="6619" w:type="dxa"/>
          </w:tcPr>
          <w:p w:rsidR="006C7D23" w:rsidRPr="00980CDC" w:rsidRDefault="006C7D23" w:rsidP="00C05BD8">
            <w:pPr>
              <w:pStyle w:val="naiskr"/>
              <w:spacing w:before="0" w:beforeAutospacing="0" w:after="0" w:afterAutospacing="0"/>
              <w:ind w:left="57" w:firstLine="3"/>
              <w:jc w:val="both"/>
              <w:rPr>
                <w:iCs/>
              </w:rPr>
            </w:pPr>
            <w:r w:rsidRPr="00980CDC">
              <w:rPr>
                <w:iCs/>
              </w:rPr>
              <w:t>Projekts šo jomu neskar</w:t>
            </w:r>
          </w:p>
        </w:tc>
      </w:tr>
      <w:tr w:rsidR="006C7D23" w:rsidRPr="00980CDC" w:rsidTr="00A16301">
        <w:trPr>
          <w:trHeight w:val="404"/>
        </w:trPr>
        <w:tc>
          <w:tcPr>
            <w:tcW w:w="531" w:type="dxa"/>
          </w:tcPr>
          <w:p w:rsidR="006C7D23" w:rsidRPr="00980CDC" w:rsidRDefault="006C7D23" w:rsidP="00C05BD8">
            <w:pPr>
              <w:pStyle w:val="naiskr"/>
              <w:spacing w:before="0" w:beforeAutospacing="0" w:after="0" w:afterAutospacing="0"/>
              <w:ind w:left="57" w:firstLine="3"/>
              <w:jc w:val="both"/>
            </w:pPr>
            <w:r w:rsidRPr="00980CDC">
              <w:t>6.</w:t>
            </w:r>
          </w:p>
        </w:tc>
        <w:tc>
          <w:tcPr>
            <w:tcW w:w="2030" w:type="dxa"/>
          </w:tcPr>
          <w:p w:rsidR="006C7D23" w:rsidRPr="00980CDC" w:rsidRDefault="006C7D23" w:rsidP="00C05BD8">
            <w:pPr>
              <w:pStyle w:val="naiskr"/>
              <w:spacing w:before="0" w:beforeAutospacing="0" w:after="0" w:afterAutospacing="0"/>
              <w:ind w:left="57" w:firstLine="3"/>
            </w:pPr>
            <w:r w:rsidRPr="00980CDC">
              <w:t>Cita informācija</w:t>
            </w:r>
          </w:p>
        </w:tc>
        <w:tc>
          <w:tcPr>
            <w:tcW w:w="6619" w:type="dxa"/>
          </w:tcPr>
          <w:p w:rsidR="006C7D23" w:rsidRPr="00980CDC" w:rsidRDefault="006C7D23" w:rsidP="00C05BD8">
            <w:pPr>
              <w:pStyle w:val="naiskr"/>
              <w:spacing w:before="0" w:beforeAutospacing="0" w:after="0" w:afterAutospacing="0"/>
              <w:ind w:left="57" w:firstLine="3"/>
              <w:jc w:val="both"/>
              <w:rPr>
                <w:iCs/>
              </w:rPr>
            </w:pPr>
            <w:r w:rsidRPr="00980CDC">
              <w:rPr>
                <w:iCs/>
              </w:rPr>
              <w:t>Nav</w:t>
            </w:r>
          </w:p>
        </w:tc>
      </w:tr>
    </w:tbl>
    <w:p w:rsidR="006C7D23" w:rsidRDefault="006C7D23" w:rsidP="006C7D23">
      <w:pPr>
        <w:rPr>
          <w:iCs/>
          <w:sz w:val="28"/>
          <w:szCs w:val="28"/>
          <w:lang w:eastAsia="lv-LV"/>
        </w:rPr>
      </w:pPr>
    </w:p>
    <w:p w:rsidR="006C7D23" w:rsidRPr="00A63E6C" w:rsidRDefault="006C7D23" w:rsidP="006C7D23">
      <w:pPr>
        <w:rPr>
          <w:sz w:val="28"/>
          <w:szCs w:val="28"/>
          <w:lang w:eastAsia="lv-LV"/>
        </w:rPr>
      </w:pPr>
      <w:r>
        <w:rPr>
          <w:iCs/>
          <w:sz w:val="28"/>
          <w:szCs w:val="28"/>
          <w:lang w:eastAsia="lv-LV"/>
        </w:rPr>
        <w:t xml:space="preserve">Anotācijas </w:t>
      </w:r>
      <w:r w:rsidR="001E4D8B">
        <w:rPr>
          <w:iCs/>
          <w:sz w:val="28"/>
          <w:szCs w:val="28"/>
          <w:lang w:eastAsia="lv-LV"/>
        </w:rPr>
        <w:t xml:space="preserve">III, </w:t>
      </w:r>
      <w:r w:rsidRPr="00A63E6C">
        <w:rPr>
          <w:iCs/>
          <w:sz w:val="28"/>
          <w:szCs w:val="28"/>
          <w:lang w:eastAsia="lv-LV"/>
        </w:rPr>
        <w:t>V</w:t>
      </w:r>
      <w:r>
        <w:rPr>
          <w:iCs/>
          <w:sz w:val="28"/>
          <w:szCs w:val="28"/>
          <w:lang w:eastAsia="lv-LV"/>
        </w:rPr>
        <w:t xml:space="preserve"> un</w:t>
      </w:r>
      <w:r w:rsidRPr="00A63E6C">
        <w:rPr>
          <w:iCs/>
          <w:sz w:val="28"/>
          <w:szCs w:val="28"/>
          <w:lang w:eastAsia="lv-LV"/>
        </w:rPr>
        <w:t xml:space="preserve"> VI</w:t>
      </w:r>
      <w:r>
        <w:rPr>
          <w:iCs/>
          <w:sz w:val="28"/>
          <w:szCs w:val="28"/>
          <w:lang w:eastAsia="lv-LV"/>
        </w:rPr>
        <w:t xml:space="preserve"> </w:t>
      </w:r>
      <w:r w:rsidRPr="00A63E6C">
        <w:rPr>
          <w:iCs/>
          <w:sz w:val="28"/>
          <w:szCs w:val="28"/>
          <w:lang w:eastAsia="lv-LV"/>
        </w:rPr>
        <w:t>sadaļa</w:t>
      </w:r>
      <w:r>
        <w:rPr>
          <w:iCs/>
          <w:sz w:val="28"/>
          <w:szCs w:val="28"/>
          <w:lang w:eastAsia="lv-LV"/>
        </w:rPr>
        <w:t xml:space="preserve"> –</w:t>
      </w:r>
      <w:r w:rsidRPr="00A63E6C">
        <w:rPr>
          <w:iCs/>
          <w:sz w:val="28"/>
          <w:szCs w:val="28"/>
          <w:lang w:eastAsia="lv-LV"/>
        </w:rPr>
        <w:t xml:space="preserve"> </w:t>
      </w:r>
      <w:r w:rsidRPr="00A63E6C">
        <w:rPr>
          <w:sz w:val="28"/>
          <w:szCs w:val="28"/>
          <w:lang w:eastAsia="lv-LV"/>
        </w:rPr>
        <w:t>projekts šo jomu neskar.</w:t>
      </w:r>
    </w:p>
    <w:p w:rsidR="006C7D23" w:rsidRDefault="006C7D23" w:rsidP="006C7D23">
      <w:pPr>
        <w:jc w:val="both"/>
        <w:rPr>
          <w:sz w:val="28"/>
          <w:szCs w:val="28"/>
          <w:lang w:val="de-DE"/>
        </w:rPr>
      </w:pPr>
    </w:p>
    <w:p w:rsidR="00A16301" w:rsidRDefault="00A16301" w:rsidP="006C7D23">
      <w:pPr>
        <w:jc w:val="both"/>
        <w:rPr>
          <w:sz w:val="28"/>
          <w:szCs w:val="28"/>
          <w:lang w:val="de-DE"/>
        </w:rPr>
      </w:pPr>
    </w:p>
    <w:p w:rsidR="006C7D23" w:rsidRDefault="006C7D23" w:rsidP="006C7D23">
      <w:pPr>
        <w:jc w:val="both"/>
        <w:rPr>
          <w:sz w:val="28"/>
          <w:szCs w:val="28"/>
          <w:lang w:val="de-DE"/>
        </w:rPr>
      </w:pPr>
      <w:r w:rsidRPr="00D1252E">
        <w:rPr>
          <w:sz w:val="28"/>
          <w:szCs w:val="28"/>
          <w:lang w:val="de-DE"/>
        </w:rPr>
        <w:t>Iekšlietu ministrs</w:t>
      </w:r>
      <w:r w:rsidRPr="00D1252E">
        <w:rPr>
          <w:sz w:val="28"/>
          <w:szCs w:val="28"/>
          <w:lang w:val="de-DE"/>
        </w:rPr>
        <w:tab/>
      </w:r>
      <w:r w:rsidRPr="00D1252E">
        <w:rPr>
          <w:sz w:val="28"/>
          <w:szCs w:val="28"/>
          <w:lang w:val="de-DE"/>
        </w:rPr>
        <w:tab/>
      </w:r>
      <w:r w:rsidRPr="00D1252E">
        <w:rPr>
          <w:sz w:val="28"/>
          <w:szCs w:val="28"/>
          <w:lang w:val="de-DE"/>
        </w:rPr>
        <w:tab/>
      </w:r>
      <w:r w:rsidRPr="00D1252E">
        <w:rPr>
          <w:sz w:val="28"/>
          <w:szCs w:val="28"/>
          <w:lang w:val="de-DE"/>
        </w:rPr>
        <w:tab/>
      </w:r>
      <w:r w:rsidRPr="00D1252E">
        <w:rPr>
          <w:sz w:val="28"/>
          <w:szCs w:val="28"/>
          <w:lang w:val="de-DE"/>
        </w:rPr>
        <w:tab/>
        <w:t xml:space="preserve">             R. Kozlovskis</w:t>
      </w:r>
    </w:p>
    <w:p w:rsidR="006C7D23" w:rsidRDefault="006C7D23" w:rsidP="006C7D23">
      <w:pPr>
        <w:jc w:val="both"/>
        <w:rPr>
          <w:sz w:val="28"/>
          <w:szCs w:val="28"/>
          <w:lang w:val="de-DE"/>
        </w:rPr>
      </w:pPr>
    </w:p>
    <w:p w:rsidR="006C7D23" w:rsidRDefault="006C7D23" w:rsidP="006C7D23">
      <w:pPr>
        <w:pStyle w:val="naisf"/>
        <w:ind w:firstLine="0"/>
        <w:rPr>
          <w:color w:val="000000"/>
          <w:sz w:val="20"/>
          <w:szCs w:val="20"/>
        </w:rPr>
      </w:pPr>
      <w:r w:rsidRPr="00D1252E">
        <w:rPr>
          <w:sz w:val="28"/>
          <w:szCs w:val="28"/>
        </w:rPr>
        <w:t>Vīza: valsts sekretāre</w:t>
      </w:r>
      <w:r w:rsidRPr="00D1252E">
        <w:rPr>
          <w:sz w:val="28"/>
          <w:szCs w:val="28"/>
        </w:rPr>
        <w:tab/>
      </w:r>
      <w:r w:rsidRPr="00D1252E">
        <w:rPr>
          <w:sz w:val="28"/>
          <w:szCs w:val="28"/>
        </w:rPr>
        <w:tab/>
      </w:r>
      <w:r w:rsidRPr="00D1252E">
        <w:rPr>
          <w:sz w:val="28"/>
          <w:szCs w:val="28"/>
        </w:rPr>
        <w:tab/>
      </w:r>
      <w:r w:rsidRPr="00D1252E">
        <w:rPr>
          <w:sz w:val="28"/>
          <w:szCs w:val="28"/>
        </w:rPr>
        <w:tab/>
        <w:t xml:space="preserve"> I.Pētersone–Godmane</w:t>
      </w:r>
    </w:p>
    <w:p w:rsidR="006C7D23" w:rsidRDefault="006C7D23" w:rsidP="006C7D23">
      <w:pPr>
        <w:rPr>
          <w:color w:val="000000"/>
          <w:sz w:val="20"/>
          <w:szCs w:val="20"/>
        </w:rPr>
      </w:pPr>
    </w:p>
    <w:p w:rsidR="006C7D23" w:rsidRDefault="006C7D23" w:rsidP="006C7D23">
      <w:pPr>
        <w:rPr>
          <w:color w:val="000000"/>
          <w:sz w:val="20"/>
          <w:szCs w:val="20"/>
        </w:rPr>
      </w:pPr>
    </w:p>
    <w:p w:rsidR="006C7D23" w:rsidRDefault="006C7D23" w:rsidP="006C7D23">
      <w:pPr>
        <w:rPr>
          <w:color w:val="000000"/>
          <w:sz w:val="20"/>
          <w:szCs w:val="20"/>
        </w:rPr>
      </w:pPr>
    </w:p>
    <w:p w:rsidR="006C7D23" w:rsidRDefault="006C7D23" w:rsidP="006C7D23">
      <w:pPr>
        <w:rPr>
          <w:color w:val="000000"/>
          <w:sz w:val="20"/>
          <w:szCs w:val="20"/>
        </w:rPr>
      </w:pPr>
    </w:p>
    <w:p w:rsidR="006C7D23" w:rsidRDefault="006C7D23" w:rsidP="006C7D23">
      <w:pPr>
        <w:rPr>
          <w:color w:val="000000"/>
          <w:sz w:val="20"/>
          <w:szCs w:val="20"/>
        </w:rPr>
      </w:pPr>
    </w:p>
    <w:p w:rsidR="006C7D23" w:rsidRDefault="006C7D23" w:rsidP="006C7D23">
      <w:pPr>
        <w:rPr>
          <w:color w:val="000000"/>
          <w:sz w:val="20"/>
          <w:szCs w:val="20"/>
        </w:rPr>
      </w:pPr>
    </w:p>
    <w:p w:rsidR="006C7D23" w:rsidRDefault="006C7D23" w:rsidP="006C7D23">
      <w:pPr>
        <w:rPr>
          <w:color w:val="000000"/>
          <w:sz w:val="20"/>
          <w:szCs w:val="20"/>
        </w:rPr>
      </w:pPr>
    </w:p>
    <w:p w:rsidR="00A16301" w:rsidRDefault="00A16301" w:rsidP="006C7D23">
      <w:pPr>
        <w:rPr>
          <w:color w:val="000000"/>
          <w:sz w:val="20"/>
          <w:szCs w:val="20"/>
        </w:rPr>
      </w:pPr>
    </w:p>
    <w:p w:rsidR="006C7D23" w:rsidRDefault="006C7D23" w:rsidP="006C7D23">
      <w:pPr>
        <w:rPr>
          <w:color w:val="000000"/>
          <w:sz w:val="20"/>
          <w:szCs w:val="20"/>
        </w:rPr>
      </w:pPr>
    </w:p>
    <w:p w:rsidR="006C7D23" w:rsidRDefault="006C7D23" w:rsidP="006C7D23">
      <w:pPr>
        <w:rPr>
          <w:color w:val="000000"/>
          <w:sz w:val="20"/>
          <w:szCs w:val="20"/>
        </w:rPr>
      </w:pPr>
      <w:r>
        <w:rPr>
          <w:color w:val="000000"/>
          <w:sz w:val="20"/>
          <w:szCs w:val="20"/>
        </w:rPr>
        <w:fldChar w:fldCharType="begin"/>
      </w:r>
      <w:r>
        <w:rPr>
          <w:color w:val="000000"/>
          <w:sz w:val="20"/>
          <w:szCs w:val="20"/>
        </w:rPr>
        <w:instrText xml:space="preserve"> TIME \@ "dd.MM.yyyy H:mm" </w:instrText>
      </w:r>
      <w:r>
        <w:rPr>
          <w:color w:val="000000"/>
          <w:sz w:val="20"/>
          <w:szCs w:val="20"/>
        </w:rPr>
        <w:fldChar w:fldCharType="separate"/>
      </w:r>
      <w:r w:rsidR="008D635F">
        <w:rPr>
          <w:noProof/>
          <w:color w:val="000000"/>
          <w:sz w:val="20"/>
          <w:szCs w:val="20"/>
        </w:rPr>
        <w:t>17.03.2014 9:17</w:t>
      </w:r>
      <w:r>
        <w:rPr>
          <w:color w:val="000000"/>
          <w:sz w:val="20"/>
          <w:szCs w:val="20"/>
        </w:rPr>
        <w:fldChar w:fldCharType="end"/>
      </w:r>
    </w:p>
    <w:p w:rsidR="006C7D23" w:rsidRPr="00A73F74" w:rsidRDefault="008D635F" w:rsidP="006C7D23">
      <w:pPr>
        <w:rPr>
          <w:color w:val="000000"/>
          <w:sz w:val="20"/>
          <w:szCs w:val="20"/>
        </w:rPr>
      </w:pPr>
      <w:r>
        <w:rPr>
          <w:color w:val="000000"/>
          <w:sz w:val="20"/>
          <w:szCs w:val="20"/>
        </w:rPr>
        <w:t>1164</w:t>
      </w:r>
      <w:bookmarkStart w:id="0" w:name="_GoBack"/>
      <w:bookmarkEnd w:id="0"/>
    </w:p>
    <w:p w:rsidR="006C7D23" w:rsidRDefault="006C7D23" w:rsidP="006C7D23">
      <w:pPr>
        <w:rPr>
          <w:color w:val="000000"/>
          <w:sz w:val="20"/>
          <w:szCs w:val="20"/>
        </w:rPr>
      </w:pPr>
      <w:r>
        <w:rPr>
          <w:color w:val="000000"/>
          <w:sz w:val="20"/>
          <w:szCs w:val="20"/>
        </w:rPr>
        <w:t>D.Radzeviča</w:t>
      </w:r>
    </w:p>
    <w:p w:rsidR="006C7D23" w:rsidRDefault="006C7D23" w:rsidP="006C7D23">
      <w:pPr>
        <w:rPr>
          <w:color w:val="000000"/>
          <w:sz w:val="20"/>
          <w:szCs w:val="20"/>
        </w:rPr>
      </w:pPr>
      <w:r>
        <w:rPr>
          <w:color w:val="000000"/>
          <w:sz w:val="20"/>
          <w:szCs w:val="20"/>
        </w:rPr>
        <w:t>67219418, dace.radzevica@iem.gov.lv</w:t>
      </w:r>
    </w:p>
    <w:p w:rsidR="006C7D23" w:rsidRDefault="006C7D23" w:rsidP="006C7D23"/>
    <w:sectPr w:rsidR="006C7D23" w:rsidSect="008D635F">
      <w:headerReference w:type="even" r:id="rId11"/>
      <w:headerReference w:type="default" r:id="rId12"/>
      <w:footerReference w:type="defaul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665D" w:rsidRDefault="00BA57C9">
      <w:r>
        <w:separator/>
      </w:r>
    </w:p>
  </w:endnote>
  <w:endnote w:type="continuationSeparator" w:id="0">
    <w:p w:rsidR="0011665D" w:rsidRDefault="00BA5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nsolas">
    <w:panose1 w:val="020B0609020204030204"/>
    <w:charset w:val="BA"/>
    <w:family w:val="modern"/>
    <w:pitch w:val="fixed"/>
    <w:sig w:usb0="E10002FF" w:usb1="4000FCFF" w:usb2="00000009" w:usb3="00000000" w:csb0="0000019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7C9" w:rsidRPr="00CE417F" w:rsidRDefault="00BA57C9" w:rsidP="00BA57C9">
    <w:pPr>
      <w:jc w:val="both"/>
      <w:rPr>
        <w:color w:val="000000"/>
        <w:sz w:val="20"/>
        <w:szCs w:val="20"/>
      </w:rPr>
    </w:pPr>
    <w:r w:rsidRPr="00D65D1A">
      <w:rPr>
        <w:sz w:val="20"/>
        <w:szCs w:val="20"/>
      </w:rPr>
      <w:t>IEMAnot_</w:t>
    </w:r>
    <w:r>
      <w:rPr>
        <w:sz w:val="20"/>
        <w:szCs w:val="20"/>
      </w:rPr>
      <w:t>1</w:t>
    </w:r>
    <w:r w:rsidR="008D635F">
      <w:rPr>
        <w:sz w:val="20"/>
        <w:szCs w:val="20"/>
      </w:rPr>
      <w:t>703</w:t>
    </w:r>
    <w:r>
      <w:rPr>
        <w:sz w:val="20"/>
        <w:szCs w:val="20"/>
      </w:rPr>
      <w:t>2014</w:t>
    </w:r>
    <w:r>
      <w:rPr>
        <w:sz w:val="20"/>
      </w:rPr>
      <w:t>.doc</w:t>
    </w:r>
    <w:r w:rsidRPr="00D65D1A">
      <w:rPr>
        <w:sz w:val="20"/>
        <w:szCs w:val="20"/>
      </w:rPr>
      <w:t xml:space="preserve">; Ministru kabineta noteikumu </w:t>
    </w:r>
    <w:r w:rsidRPr="007B2A3F">
      <w:rPr>
        <w:sz w:val="20"/>
        <w:szCs w:val="20"/>
      </w:rPr>
      <w:t>projekta „Kārtība un apjoms, kādā sniedzamas ziņas Sodu reģistram un izsniedzamas Sodu reģistrā iekļautās ziņas”</w:t>
    </w:r>
    <w:r>
      <w:rPr>
        <w:sz w:val="20"/>
        <w:szCs w:val="20"/>
      </w:rPr>
      <w:t xml:space="preserve"> </w:t>
    </w:r>
    <w:r w:rsidRPr="00D65D1A">
      <w:rPr>
        <w:sz w:val="20"/>
        <w:szCs w:val="20"/>
      </w:rPr>
      <w:t>sākotnējās ietekmes novērtējuma ziņojums (anotācija)</w:t>
    </w:r>
  </w:p>
  <w:p w:rsidR="00BA57C9" w:rsidRPr="00A16301" w:rsidRDefault="00BA57C9" w:rsidP="00BA57C9">
    <w:pPr>
      <w:pStyle w:val="Footer"/>
    </w:pPr>
  </w:p>
  <w:p w:rsidR="00E9479A" w:rsidRPr="00FD149B" w:rsidRDefault="008D635F" w:rsidP="00FD14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301" w:rsidRPr="00CE417F" w:rsidRDefault="00A16301" w:rsidP="00A16301">
    <w:pPr>
      <w:jc w:val="both"/>
      <w:rPr>
        <w:color w:val="000000"/>
        <w:sz w:val="20"/>
        <w:szCs w:val="20"/>
      </w:rPr>
    </w:pPr>
    <w:r w:rsidRPr="00D65D1A">
      <w:rPr>
        <w:sz w:val="20"/>
        <w:szCs w:val="20"/>
      </w:rPr>
      <w:t>IEMAnot_</w:t>
    </w:r>
    <w:r>
      <w:rPr>
        <w:sz w:val="20"/>
        <w:szCs w:val="20"/>
      </w:rPr>
      <w:t>1</w:t>
    </w:r>
    <w:r w:rsidR="008D635F">
      <w:rPr>
        <w:sz w:val="20"/>
        <w:szCs w:val="20"/>
      </w:rPr>
      <w:t>7</w:t>
    </w:r>
    <w:r>
      <w:rPr>
        <w:sz w:val="20"/>
        <w:szCs w:val="20"/>
      </w:rPr>
      <w:t>0</w:t>
    </w:r>
    <w:r w:rsidR="008D635F">
      <w:rPr>
        <w:sz w:val="20"/>
        <w:szCs w:val="20"/>
      </w:rPr>
      <w:t>3</w:t>
    </w:r>
    <w:r>
      <w:rPr>
        <w:sz w:val="20"/>
        <w:szCs w:val="20"/>
      </w:rPr>
      <w:t>2014</w:t>
    </w:r>
    <w:r>
      <w:rPr>
        <w:sz w:val="20"/>
      </w:rPr>
      <w:t>.doc</w:t>
    </w:r>
    <w:r w:rsidRPr="00D65D1A">
      <w:rPr>
        <w:sz w:val="20"/>
        <w:szCs w:val="20"/>
      </w:rPr>
      <w:t xml:space="preserve">; Ministru kabineta noteikumu </w:t>
    </w:r>
    <w:r w:rsidRPr="007B2A3F">
      <w:rPr>
        <w:sz w:val="20"/>
        <w:szCs w:val="20"/>
      </w:rPr>
      <w:t xml:space="preserve">projekta </w:t>
    </w:r>
    <w:r w:rsidR="007B2A3F" w:rsidRPr="007B2A3F">
      <w:rPr>
        <w:sz w:val="20"/>
        <w:szCs w:val="20"/>
      </w:rPr>
      <w:t>„Kārtība un apjoms, kādā sniedzamas ziņas Sodu reģistram un izsniedzamas Sodu reģistrā iekļautās ziņas”</w:t>
    </w:r>
    <w:r w:rsidR="00BA57C9">
      <w:rPr>
        <w:sz w:val="20"/>
        <w:szCs w:val="20"/>
      </w:rPr>
      <w:t xml:space="preserve"> </w:t>
    </w:r>
    <w:r w:rsidRPr="00D65D1A">
      <w:rPr>
        <w:sz w:val="20"/>
        <w:szCs w:val="20"/>
      </w:rPr>
      <w:t>sākotnējās ietekmes novērtējuma ziņojums (anotācija)</w:t>
    </w:r>
  </w:p>
  <w:p w:rsidR="00E9479A" w:rsidRPr="00A16301" w:rsidRDefault="008D635F" w:rsidP="00A163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665D" w:rsidRDefault="00BA57C9">
      <w:r>
        <w:separator/>
      </w:r>
    </w:p>
  </w:footnote>
  <w:footnote w:type="continuationSeparator" w:id="0">
    <w:p w:rsidR="0011665D" w:rsidRDefault="00BA57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79A" w:rsidRDefault="00162DAC" w:rsidP="00E9479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9479A" w:rsidRDefault="008D63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79A" w:rsidRDefault="00162DAC" w:rsidP="00E9479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D635F">
      <w:rPr>
        <w:rStyle w:val="PageNumber"/>
        <w:noProof/>
      </w:rPr>
      <w:t>4</w:t>
    </w:r>
    <w:r>
      <w:rPr>
        <w:rStyle w:val="PageNumber"/>
      </w:rPr>
      <w:fldChar w:fldCharType="end"/>
    </w:r>
  </w:p>
  <w:p w:rsidR="00E9479A" w:rsidRDefault="008D63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E43F78"/>
    <w:multiLevelType w:val="hybridMultilevel"/>
    <w:tmpl w:val="8B3CFF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717A191A"/>
    <w:multiLevelType w:val="hybridMultilevel"/>
    <w:tmpl w:val="838E41C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D23"/>
    <w:rsid w:val="0011147E"/>
    <w:rsid w:val="0011665D"/>
    <w:rsid w:val="00125AE2"/>
    <w:rsid w:val="00162DAC"/>
    <w:rsid w:val="001E4D8B"/>
    <w:rsid w:val="003730EC"/>
    <w:rsid w:val="0041269A"/>
    <w:rsid w:val="005A6EE6"/>
    <w:rsid w:val="006811E2"/>
    <w:rsid w:val="006C7D23"/>
    <w:rsid w:val="007B2A3F"/>
    <w:rsid w:val="008D635F"/>
    <w:rsid w:val="00A062F2"/>
    <w:rsid w:val="00A16301"/>
    <w:rsid w:val="00AF110B"/>
    <w:rsid w:val="00AF3667"/>
    <w:rsid w:val="00BA57C9"/>
    <w:rsid w:val="00CD114F"/>
    <w:rsid w:val="00CF587A"/>
    <w:rsid w:val="00D22685"/>
    <w:rsid w:val="00E633A0"/>
    <w:rsid w:val="00EA03B2"/>
    <w:rsid w:val="00EB516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FE7622-35B1-499D-A10F-1C6B58B77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7D2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C7D23"/>
    <w:pPr>
      <w:jc w:val="center"/>
    </w:pPr>
    <w:rPr>
      <w:b/>
      <w:bCs/>
      <w:sz w:val="28"/>
    </w:rPr>
  </w:style>
  <w:style w:type="character" w:customStyle="1" w:styleId="BodyTextChar">
    <w:name w:val="Body Text Char"/>
    <w:basedOn w:val="DefaultParagraphFont"/>
    <w:link w:val="BodyText"/>
    <w:rsid w:val="006C7D23"/>
    <w:rPr>
      <w:rFonts w:ascii="Times New Roman" w:eastAsia="Times New Roman" w:hAnsi="Times New Roman" w:cs="Times New Roman"/>
      <w:b/>
      <w:bCs/>
      <w:sz w:val="28"/>
      <w:szCs w:val="24"/>
    </w:rPr>
  </w:style>
  <w:style w:type="paragraph" w:customStyle="1" w:styleId="naisf">
    <w:name w:val="naisf"/>
    <w:basedOn w:val="Normal"/>
    <w:rsid w:val="006C7D23"/>
    <w:pPr>
      <w:spacing w:before="75" w:after="75"/>
      <w:ind w:firstLine="375"/>
      <w:jc w:val="both"/>
    </w:pPr>
    <w:rPr>
      <w:lang w:eastAsia="lv-LV"/>
    </w:rPr>
  </w:style>
  <w:style w:type="paragraph" w:styleId="Header">
    <w:name w:val="header"/>
    <w:basedOn w:val="Normal"/>
    <w:link w:val="HeaderChar"/>
    <w:rsid w:val="006C7D23"/>
    <w:pPr>
      <w:tabs>
        <w:tab w:val="center" w:pos="4153"/>
        <w:tab w:val="right" w:pos="8306"/>
      </w:tabs>
    </w:pPr>
    <w:rPr>
      <w:lang w:eastAsia="lv-LV"/>
    </w:rPr>
  </w:style>
  <w:style w:type="character" w:customStyle="1" w:styleId="HeaderChar">
    <w:name w:val="Header Char"/>
    <w:basedOn w:val="DefaultParagraphFont"/>
    <w:link w:val="Header"/>
    <w:rsid w:val="006C7D23"/>
    <w:rPr>
      <w:rFonts w:ascii="Times New Roman" w:eastAsia="Times New Roman" w:hAnsi="Times New Roman" w:cs="Times New Roman"/>
      <w:sz w:val="24"/>
      <w:szCs w:val="24"/>
      <w:lang w:eastAsia="lv-LV"/>
    </w:rPr>
  </w:style>
  <w:style w:type="character" w:styleId="PageNumber">
    <w:name w:val="page number"/>
    <w:basedOn w:val="DefaultParagraphFont"/>
    <w:rsid w:val="006C7D23"/>
  </w:style>
  <w:style w:type="table" w:styleId="TableGrid">
    <w:name w:val="Table Grid"/>
    <w:basedOn w:val="TableNormal"/>
    <w:uiPriority w:val="59"/>
    <w:rsid w:val="006C7D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6C7D23"/>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C7D23"/>
    <w:rPr>
      <w:rFonts w:ascii="Consolas" w:hAnsi="Consolas"/>
      <w:sz w:val="21"/>
      <w:szCs w:val="21"/>
    </w:rPr>
  </w:style>
  <w:style w:type="paragraph" w:customStyle="1" w:styleId="naiskr">
    <w:name w:val="naiskr"/>
    <w:basedOn w:val="Normal"/>
    <w:rsid w:val="006C7D23"/>
    <w:pPr>
      <w:spacing w:before="100" w:beforeAutospacing="1" w:after="100" w:afterAutospacing="1"/>
    </w:pPr>
    <w:rPr>
      <w:lang w:eastAsia="lv-LV"/>
    </w:rPr>
  </w:style>
  <w:style w:type="paragraph" w:styleId="ListParagraph">
    <w:name w:val="List Paragraph"/>
    <w:basedOn w:val="Normal"/>
    <w:uiPriority w:val="34"/>
    <w:qFormat/>
    <w:rsid w:val="006C7D23"/>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unhideWhenUsed/>
    <w:rsid w:val="006C7D23"/>
    <w:pPr>
      <w:spacing w:before="100" w:beforeAutospacing="1" w:after="100" w:afterAutospacing="1"/>
    </w:pPr>
    <w:rPr>
      <w:rFonts w:ascii="Verdana" w:hAnsi="Verdana"/>
      <w:sz w:val="18"/>
      <w:szCs w:val="18"/>
      <w:lang w:eastAsia="lv-LV"/>
    </w:rPr>
  </w:style>
  <w:style w:type="paragraph" w:styleId="Footer">
    <w:name w:val="footer"/>
    <w:basedOn w:val="Normal"/>
    <w:link w:val="FooterChar"/>
    <w:uiPriority w:val="99"/>
    <w:unhideWhenUsed/>
    <w:rsid w:val="006C7D23"/>
    <w:pPr>
      <w:tabs>
        <w:tab w:val="center" w:pos="4153"/>
        <w:tab w:val="right" w:pos="8306"/>
      </w:tabs>
    </w:pPr>
  </w:style>
  <w:style w:type="character" w:customStyle="1" w:styleId="FooterChar">
    <w:name w:val="Footer Char"/>
    <w:basedOn w:val="DefaultParagraphFont"/>
    <w:link w:val="Footer"/>
    <w:uiPriority w:val="99"/>
    <w:rsid w:val="006C7D23"/>
    <w:rPr>
      <w:rFonts w:ascii="Times New Roman" w:eastAsia="Times New Roman" w:hAnsi="Times New Roman" w:cs="Times New Roman"/>
      <w:sz w:val="24"/>
      <w:szCs w:val="24"/>
    </w:rPr>
  </w:style>
  <w:style w:type="paragraph" w:customStyle="1" w:styleId="naisnod">
    <w:name w:val="naisnod"/>
    <w:basedOn w:val="Normal"/>
    <w:rsid w:val="006C7D23"/>
    <w:pPr>
      <w:spacing w:before="100" w:beforeAutospacing="1" w:after="100" w:afterAutospacing="1"/>
    </w:pPr>
    <w:rPr>
      <w:lang w:eastAsia="lv-LV"/>
    </w:rPr>
  </w:style>
  <w:style w:type="paragraph" w:customStyle="1" w:styleId="tv213">
    <w:name w:val="tv213"/>
    <w:basedOn w:val="Normal"/>
    <w:rsid w:val="0011147E"/>
    <w:pPr>
      <w:spacing w:before="100" w:beforeAutospacing="1" w:after="100" w:afterAutospacing="1"/>
    </w:pPr>
    <w:rPr>
      <w:lang w:eastAsia="lv-LV"/>
    </w:rPr>
  </w:style>
  <w:style w:type="character" w:styleId="Hyperlink">
    <w:name w:val="Hyperlink"/>
    <w:basedOn w:val="DefaultParagraphFont"/>
    <w:unhideWhenUsed/>
    <w:rsid w:val="0011147E"/>
    <w:rPr>
      <w:color w:val="0000FF"/>
      <w:u w:val="single"/>
    </w:rPr>
  </w:style>
  <w:style w:type="paragraph" w:styleId="BalloonText">
    <w:name w:val="Balloon Text"/>
    <w:basedOn w:val="Normal"/>
    <w:link w:val="BalloonTextChar"/>
    <w:uiPriority w:val="99"/>
    <w:semiHidden/>
    <w:unhideWhenUsed/>
    <w:rsid w:val="00AF11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10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11936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likumi.lv/doc.php?id=119360" TargetMode="External"/><Relationship Id="rId4" Type="http://schemas.openxmlformats.org/officeDocument/2006/relationships/settings" Target="settings.xml"/><Relationship Id="rId9" Type="http://schemas.openxmlformats.org/officeDocument/2006/relationships/hyperlink" Target="http://likumi.lv/doc.php?id=11936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3AFCB2-C74C-45BB-B764-526FAC071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1272</TotalTime>
  <Pages>6</Pages>
  <Words>1198</Words>
  <Characters>8654</Characters>
  <Application>Microsoft Office Word</Application>
  <DocSecurity>0</DocSecurity>
  <Lines>309</Lines>
  <Paragraphs>82</Paragraphs>
  <ScaleCrop>false</ScaleCrop>
  <HeadingPairs>
    <vt:vector size="2" baseType="variant">
      <vt:variant>
        <vt:lpstr>Title</vt:lpstr>
      </vt:variant>
      <vt:variant>
        <vt:i4>1</vt:i4>
      </vt:variant>
    </vt:vector>
  </HeadingPairs>
  <TitlesOfParts>
    <vt:vector size="1" baseType="lpstr">
      <vt:lpstr/>
    </vt:vector>
  </TitlesOfParts>
  <Company>IeM</Company>
  <LinksUpToDate>false</LinksUpToDate>
  <CharactersWithSpaces>9770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Radzeviča</dc:creator>
  <cp:keywords/>
  <dc:description/>
  <cp:lastModifiedBy>Dace Radzeviča</cp:lastModifiedBy>
  <cp:revision>9</cp:revision>
  <cp:lastPrinted>2014-03-14T15:15:00Z</cp:lastPrinted>
  <dcterms:created xsi:type="dcterms:W3CDTF">2014-01-29T13:08:00Z</dcterms:created>
  <dcterms:modified xsi:type="dcterms:W3CDTF">2014-03-17T07:19:00Z</dcterms:modified>
</cp:coreProperties>
</file>