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8F645" w14:textId="77777777" w:rsidR="00DC689C" w:rsidRPr="00123439" w:rsidRDefault="00DC689C" w:rsidP="000F7E01">
      <w:pPr>
        <w:pStyle w:val="naislab"/>
        <w:spacing w:before="0" w:after="0"/>
        <w:ind w:left="-284" w:right="-285"/>
        <w:jc w:val="center"/>
        <w:outlineLvl w:val="0"/>
        <w:rPr>
          <w:b/>
        </w:rPr>
      </w:pPr>
      <w:r w:rsidRPr="00123439">
        <w:rPr>
          <w:b/>
        </w:rPr>
        <w:t>Ministru kabineta noteikum</w:t>
      </w:r>
      <w:r w:rsidR="007578EB" w:rsidRPr="00123439">
        <w:rPr>
          <w:b/>
        </w:rPr>
        <w:t>u</w:t>
      </w:r>
      <w:r w:rsidRPr="00123439">
        <w:rPr>
          <w:b/>
        </w:rPr>
        <w:t xml:space="preserve"> projekta </w:t>
      </w:r>
      <w:r w:rsidR="00283D6B" w:rsidRPr="00123439">
        <w:rPr>
          <w:b/>
        </w:rPr>
        <w:t>„</w:t>
      </w:r>
      <w:r w:rsidR="002B57DA" w:rsidRPr="00123439">
        <w:rPr>
          <w:b/>
        </w:rPr>
        <w:t>Grozījum</w:t>
      </w:r>
      <w:r w:rsidR="00933E9E" w:rsidRPr="00123439">
        <w:rPr>
          <w:b/>
        </w:rPr>
        <w:t>i</w:t>
      </w:r>
      <w:r w:rsidR="002B57DA" w:rsidRPr="00123439">
        <w:rPr>
          <w:b/>
        </w:rPr>
        <w:t xml:space="preserve"> Ministru kabineta 2012.gada 11.decembra noteikumos Nr.867 </w:t>
      </w:r>
      <w:r w:rsidR="00137E65" w:rsidRPr="00123439">
        <w:rPr>
          <w:b/>
        </w:rPr>
        <w:t>„</w:t>
      </w:r>
      <w:r w:rsidR="002B57DA" w:rsidRPr="00123439">
        <w:rPr>
          <w:b/>
        </w:rPr>
        <w:t>Kārtība, kādā nosakāms maksimāli pieļaujamais valsts budžeta izdevumu kopapjoms un maksimāli pieļaujamais valsts budžeta izdevumu kopējais apjoms katrai ministrijai un citām centrālajām valsts iestādēm vidējam termiņam”</w:t>
      </w:r>
      <w:r w:rsidR="00283D6B" w:rsidRPr="00123439">
        <w:rPr>
          <w:b/>
        </w:rPr>
        <w:t>”</w:t>
      </w:r>
      <w:r w:rsidR="00743B6F" w:rsidRPr="00123439">
        <w:rPr>
          <w:b/>
        </w:rPr>
        <w:t xml:space="preserve"> </w:t>
      </w:r>
      <w:r w:rsidRPr="00123439">
        <w:rPr>
          <w:b/>
        </w:rPr>
        <w:t>sākotnējās ietekmes novērtējuma ziņojums (anotācija)</w:t>
      </w:r>
    </w:p>
    <w:p w14:paraId="39BC8132" w14:textId="77777777" w:rsidR="00496027" w:rsidRPr="00123439" w:rsidRDefault="00496027" w:rsidP="0023237B">
      <w:pPr>
        <w:pStyle w:val="naislab"/>
        <w:spacing w:before="0" w:after="0"/>
        <w:jc w:val="center"/>
        <w:outlineLvl w:val="0"/>
        <w:rPr>
          <w:b/>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9"/>
        <w:gridCol w:w="1417"/>
        <w:gridCol w:w="8080"/>
      </w:tblGrid>
      <w:tr w:rsidR="00DC689C" w:rsidRPr="00123439" w14:paraId="3324570A" w14:textId="77777777" w:rsidTr="002634CF">
        <w:trPr>
          <w:jc w:val="center"/>
        </w:trPr>
        <w:tc>
          <w:tcPr>
            <w:tcW w:w="9786" w:type="dxa"/>
            <w:gridSpan w:val="3"/>
            <w:vAlign w:val="center"/>
          </w:tcPr>
          <w:p w14:paraId="0FB5239F" w14:textId="77777777" w:rsidR="00DC689C" w:rsidRPr="00123439" w:rsidRDefault="00DC689C" w:rsidP="002634CF">
            <w:pPr>
              <w:pStyle w:val="naisnod"/>
              <w:spacing w:before="0" w:after="0"/>
            </w:pPr>
            <w:r w:rsidRPr="00123439">
              <w:t>I. Tiesību akta projekta izstrādes nepieciešamība</w:t>
            </w:r>
          </w:p>
        </w:tc>
      </w:tr>
      <w:tr w:rsidR="00DC689C" w:rsidRPr="00123439" w14:paraId="260C20B7" w14:textId="77777777" w:rsidTr="002634CF">
        <w:trPr>
          <w:trHeight w:val="1975"/>
          <w:jc w:val="center"/>
        </w:trPr>
        <w:tc>
          <w:tcPr>
            <w:tcW w:w="289" w:type="dxa"/>
          </w:tcPr>
          <w:p w14:paraId="142BF107" w14:textId="77777777" w:rsidR="00DC689C" w:rsidRPr="00123439" w:rsidRDefault="00DC689C" w:rsidP="002634CF">
            <w:pPr>
              <w:pStyle w:val="naiskr"/>
              <w:spacing w:before="0" w:after="0"/>
              <w:rPr>
                <w:sz w:val="22"/>
                <w:szCs w:val="22"/>
              </w:rPr>
            </w:pPr>
            <w:r w:rsidRPr="00123439">
              <w:rPr>
                <w:sz w:val="22"/>
                <w:szCs w:val="22"/>
              </w:rPr>
              <w:t>1.</w:t>
            </w:r>
          </w:p>
        </w:tc>
        <w:tc>
          <w:tcPr>
            <w:tcW w:w="1417" w:type="dxa"/>
          </w:tcPr>
          <w:p w14:paraId="74CA5D93" w14:textId="77777777" w:rsidR="00DC689C" w:rsidRPr="00123439" w:rsidRDefault="00DC689C" w:rsidP="002634CF">
            <w:pPr>
              <w:pStyle w:val="naiskr"/>
              <w:spacing w:before="0" w:after="0"/>
              <w:ind w:hanging="10"/>
              <w:rPr>
                <w:sz w:val="22"/>
                <w:szCs w:val="22"/>
              </w:rPr>
            </w:pPr>
            <w:r w:rsidRPr="00123439">
              <w:rPr>
                <w:sz w:val="22"/>
                <w:szCs w:val="22"/>
              </w:rPr>
              <w:t>Pamatojums</w:t>
            </w:r>
          </w:p>
        </w:tc>
        <w:tc>
          <w:tcPr>
            <w:tcW w:w="8080" w:type="dxa"/>
          </w:tcPr>
          <w:p w14:paraId="1274CDE9" w14:textId="77777777" w:rsidR="00BA7031" w:rsidRPr="00123439" w:rsidRDefault="00870FC5" w:rsidP="002634CF">
            <w:pPr>
              <w:pStyle w:val="naiskr"/>
              <w:spacing w:before="0" w:after="0"/>
              <w:ind w:left="142" w:right="81" w:firstLine="425"/>
              <w:jc w:val="both"/>
            </w:pPr>
            <w:r w:rsidRPr="00123439">
              <w:t>Ministru kabineta noteikumu projekts „Grozījumi Ministru kabineta 2012.gada</w:t>
            </w:r>
            <w:r w:rsidR="00137E65" w:rsidRPr="00123439">
              <w:t xml:space="preserve"> 11.decembra noteikumos Nr.867 „</w:t>
            </w:r>
            <w:r w:rsidRPr="00123439">
              <w:t>Kārtība, kādā nosakāms maksimāli pieļaujamais valsts budžeta izdevumu kopapjoms un maksimāli pieļaujamais valsts budžeta izdevumu kopējais apjoms katrai ministrijai un citām centrālajām valsts iestādēm vidējam termiņam”” (turpmāk – noteikumu projekts) sagatavots pēc Finanšu ministrijas iniciatīvas.</w:t>
            </w:r>
            <w:r w:rsidR="00BA7031" w:rsidRPr="00123439">
              <w:t xml:space="preserve"> 2013.gadā pirmo reizi notika ministriju un citu centrālo valsts iestāžu (turpmāk – ministriju) iesniegto jauno politikas iniciatīvu vērtēšana atbilstoši Ministru kabineta 2012.gada 11.decembra noteikumiem Nr.867 </w:t>
            </w:r>
            <w:r w:rsidR="00137E65" w:rsidRPr="00123439">
              <w:t>„</w:t>
            </w:r>
            <w:r w:rsidR="00BA7031" w:rsidRPr="00123439">
              <w:t>Kārtība, kādā nosakāms maksimāli pieļaujamais valsts budžeta izdevumu kopapjoms un maksimāli pieļaujamais valsts budžeta izdevumu kopējais apjoms katrai ministrijai un citām centrālajām valsts iestādēm vidējam termiņam” (turpmāk</w:t>
            </w:r>
            <w:r w:rsidR="00AA1585" w:rsidRPr="00123439">
              <w:t xml:space="preserve"> -</w:t>
            </w:r>
            <w:r w:rsidR="00BA7031" w:rsidRPr="00123439">
              <w:t xml:space="preserve"> MK noteikumi Nr.867). </w:t>
            </w:r>
            <w:r w:rsidR="00531E88" w:rsidRPr="00123439">
              <w:t xml:space="preserve">Pamatojoties uz </w:t>
            </w:r>
            <w:r w:rsidR="00BA7031" w:rsidRPr="00123439">
              <w:t>2013.gadā veikt</w:t>
            </w:r>
            <w:r w:rsidR="00531E88" w:rsidRPr="00123439">
              <w:t>o</w:t>
            </w:r>
            <w:r w:rsidR="00BA7031" w:rsidRPr="00123439">
              <w:t xml:space="preserve"> jauno politikas iniciatīvu vērtēšanas proces</w:t>
            </w:r>
            <w:r w:rsidR="00531E88" w:rsidRPr="00123439">
              <w:t>u, ir</w:t>
            </w:r>
            <w:r w:rsidR="008363CD" w:rsidRPr="00123439">
              <w:t xml:space="preserve"> saskatītas iespējas</w:t>
            </w:r>
            <w:r w:rsidR="00D9029F" w:rsidRPr="00123439">
              <w:t xml:space="preserve"> pilnveidot</w:t>
            </w:r>
            <w:r w:rsidR="008363CD" w:rsidRPr="00123439">
              <w:t xml:space="preserve"> </w:t>
            </w:r>
            <w:r w:rsidR="006071E6" w:rsidRPr="00123439">
              <w:t xml:space="preserve">valsts budžeta bāzes aprēķināšanas un jauno politikas iniciatīvu iesniegšanas un vērtēšanas </w:t>
            </w:r>
            <w:r w:rsidR="008363CD" w:rsidRPr="00123439">
              <w:t>procesu</w:t>
            </w:r>
            <w:r w:rsidR="006071E6" w:rsidRPr="00123439">
              <w:t>s</w:t>
            </w:r>
            <w:r w:rsidR="008363CD" w:rsidRPr="00123439">
              <w:t>, uzlabot saņemamās informācijas kvalitāti</w:t>
            </w:r>
            <w:r w:rsidR="00137E65" w:rsidRPr="00123439">
              <w:t xml:space="preserve"> un</w:t>
            </w:r>
            <w:r w:rsidR="008363CD" w:rsidRPr="00123439">
              <w:t xml:space="preserve"> padarīt normatīvo aktu lietotājam saprotamāku</w:t>
            </w:r>
            <w:r w:rsidR="00BA7031" w:rsidRPr="00123439">
              <w:t>.</w:t>
            </w:r>
          </w:p>
        </w:tc>
      </w:tr>
      <w:tr w:rsidR="00DC689C" w:rsidRPr="00123439" w14:paraId="55C5F3AC" w14:textId="77777777" w:rsidTr="002634CF">
        <w:trPr>
          <w:trHeight w:val="2547"/>
          <w:jc w:val="center"/>
        </w:trPr>
        <w:tc>
          <w:tcPr>
            <w:tcW w:w="289" w:type="dxa"/>
          </w:tcPr>
          <w:p w14:paraId="3A4FC161" w14:textId="77777777" w:rsidR="00DC689C" w:rsidRPr="00123439" w:rsidRDefault="00DC689C" w:rsidP="002634CF">
            <w:pPr>
              <w:pStyle w:val="naiskr"/>
              <w:spacing w:before="0" w:after="0"/>
              <w:rPr>
                <w:sz w:val="22"/>
                <w:szCs w:val="22"/>
              </w:rPr>
            </w:pPr>
            <w:r w:rsidRPr="00123439">
              <w:rPr>
                <w:sz w:val="22"/>
                <w:szCs w:val="22"/>
              </w:rPr>
              <w:t>2.</w:t>
            </w:r>
          </w:p>
        </w:tc>
        <w:tc>
          <w:tcPr>
            <w:tcW w:w="1417" w:type="dxa"/>
          </w:tcPr>
          <w:p w14:paraId="20BA8939" w14:textId="77777777" w:rsidR="00DC689C" w:rsidRPr="00123439" w:rsidRDefault="00DC689C" w:rsidP="002634CF">
            <w:pPr>
              <w:pStyle w:val="naiskr"/>
              <w:tabs>
                <w:tab w:val="left" w:pos="170"/>
              </w:tabs>
              <w:spacing w:before="0" w:after="0"/>
              <w:rPr>
                <w:sz w:val="22"/>
                <w:szCs w:val="22"/>
              </w:rPr>
            </w:pPr>
            <w:r w:rsidRPr="00123439">
              <w:rPr>
                <w:sz w:val="22"/>
                <w:szCs w:val="22"/>
              </w:rPr>
              <w:t>Pašreizējā situācija un problēmas</w:t>
            </w:r>
            <w:r w:rsidR="00C90FFC" w:rsidRPr="00C90FFC">
              <w:rPr>
                <w:sz w:val="22"/>
                <w:szCs w:val="22"/>
              </w:rPr>
              <w:t>, kuru risināšanai tiesību akta projekts izstrādāts, tiesiskā regulējuma mērķis un būtība</w:t>
            </w:r>
          </w:p>
        </w:tc>
        <w:tc>
          <w:tcPr>
            <w:tcW w:w="8080" w:type="dxa"/>
          </w:tcPr>
          <w:p w14:paraId="2F2F0129" w14:textId="77777777" w:rsidR="009E2E0C" w:rsidRDefault="00C66A9B" w:rsidP="002634CF">
            <w:pPr>
              <w:ind w:right="81" w:firstLine="567"/>
              <w:jc w:val="both"/>
            </w:pPr>
            <w:r w:rsidRPr="00C66A9B">
              <w:rPr>
                <w:iCs/>
              </w:rPr>
              <w:t xml:space="preserve">MK noteikumu Nr.867 </w:t>
            </w:r>
            <w:r>
              <w:rPr>
                <w:iCs/>
              </w:rPr>
              <w:t xml:space="preserve">pašreizējā </w:t>
            </w:r>
            <w:r w:rsidRPr="00C66A9B">
              <w:t>regulējumā</w:t>
            </w:r>
            <w:r>
              <w:t xml:space="preserve"> galvenās problēmas</w:t>
            </w:r>
            <w:r w:rsidR="009E2E0C">
              <w:t>:</w:t>
            </w:r>
          </w:p>
          <w:p w14:paraId="394C573D" w14:textId="77777777" w:rsidR="009E2E0C" w:rsidRDefault="009E2E0C" w:rsidP="002634CF">
            <w:pPr>
              <w:ind w:left="142" w:right="79" w:firstLine="425"/>
              <w:jc w:val="both"/>
              <w:rPr>
                <w:iCs/>
              </w:rPr>
            </w:pPr>
            <w:r>
              <w:t xml:space="preserve">1) </w:t>
            </w:r>
            <w:r w:rsidR="00C66A9B">
              <w:t>netiek nodrošināts pārskatāms</w:t>
            </w:r>
            <w:r w:rsidR="00C66A9B" w:rsidRPr="00123439">
              <w:rPr>
                <w:iCs/>
              </w:rPr>
              <w:t xml:space="preserve"> valst</w:t>
            </w:r>
            <w:r w:rsidR="00C66A9B">
              <w:rPr>
                <w:iCs/>
              </w:rPr>
              <w:t>s budžeta bāzes aprēķināšanas process vidēja termiņa plānošanā  (n+3 gadam)</w:t>
            </w:r>
            <w:r>
              <w:rPr>
                <w:iCs/>
              </w:rPr>
              <w:t>;</w:t>
            </w:r>
          </w:p>
          <w:p w14:paraId="40BB94BB" w14:textId="77777777" w:rsidR="009E2E0C" w:rsidRDefault="009E2E0C" w:rsidP="002634CF">
            <w:pPr>
              <w:ind w:left="142" w:right="79" w:firstLine="425"/>
              <w:jc w:val="both"/>
              <w:rPr>
                <w:iCs/>
              </w:rPr>
            </w:pPr>
            <w:r>
              <w:rPr>
                <w:iCs/>
              </w:rPr>
              <w:t>2)</w:t>
            </w:r>
            <w:r w:rsidR="00C66A9B">
              <w:rPr>
                <w:iCs/>
              </w:rPr>
              <w:t xml:space="preserve"> valsts budžeta attīstības daļas plānošan</w:t>
            </w:r>
            <w:r w:rsidR="009057F2">
              <w:rPr>
                <w:iCs/>
              </w:rPr>
              <w:t>as procesā</w:t>
            </w:r>
            <w:r w:rsidR="00C66A9B">
              <w:rPr>
                <w:iCs/>
              </w:rPr>
              <w:t xml:space="preserve"> </w:t>
            </w:r>
            <w:r w:rsidR="009057F2">
              <w:rPr>
                <w:iCs/>
              </w:rPr>
              <w:t xml:space="preserve">jauno politikas iniciatīvu pieteikumu iesniegšanai nav </w:t>
            </w:r>
            <w:r w:rsidR="00C66A9B">
              <w:rPr>
                <w:iCs/>
              </w:rPr>
              <w:t>optimālas veidlapas</w:t>
            </w:r>
            <w:r w:rsidR="009057F2">
              <w:rPr>
                <w:iCs/>
              </w:rPr>
              <w:t xml:space="preserve"> tajās ietveramās informācijas satura ziņā</w:t>
            </w:r>
            <w:r>
              <w:rPr>
                <w:iCs/>
              </w:rPr>
              <w:t>;</w:t>
            </w:r>
          </w:p>
          <w:p w14:paraId="77458E0A" w14:textId="77777777" w:rsidR="009E2E0C" w:rsidRDefault="009E2E0C" w:rsidP="002634CF">
            <w:pPr>
              <w:ind w:left="142" w:right="79" w:firstLine="425"/>
              <w:jc w:val="both"/>
              <w:rPr>
                <w:iCs/>
              </w:rPr>
            </w:pPr>
            <w:r>
              <w:rPr>
                <w:iCs/>
              </w:rPr>
              <w:t>3) </w:t>
            </w:r>
            <w:r w:rsidR="00C66A9B">
              <w:rPr>
                <w:iCs/>
              </w:rPr>
              <w:t>nav definēti jauno politikas iniciatīvu veidi</w:t>
            </w:r>
            <w:r>
              <w:rPr>
                <w:iCs/>
              </w:rPr>
              <w:t>;</w:t>
            </w:r>
          </w:p>
          <w:p w14:paraId="42671A1B" w14:textId="77777777" w:rsidR="00CD6ED4" w:rsidRDefault="009E2E0C" w:rsidP="002634CF">
            <w:pPr>
              <w:ind w:left="142" w:right="79" w:firstLine="425"/>
              <w:jc w:val="both"/>
              <w:rPr>
                <w:iCs/>
              </w:rPr>
            </w:pPr>
            <w:r>
              <w:rPr>
                <w:iCs/>
              </w:rPr>
              <w:t xml:space="preserve">4) </w:t>
            </w:r>
            <w:r w:rsidR="009057F2">
              <w:rPr>
                <w:iCs/>
              </w:rPr>
              <w:t>pastāv problēmas ar punktu piešķiršanu jaunajām politikas iniciatīvām</w:t>
            </w:r>
            <w:r>
              <w:rPr>
                <w:iCs/>
              </w:rPr>
              <w:t xml:space="preserve"> to izvērtēšanai</w:t>
            </w:r>
            <w:r w:rsidR="00C66A9B">
              <w:rPr>
                <w:iCs/>
              </w:rPr>
              <w:t>.</w:t>
            </w:r>
          </w:p>
          <w:p w14:paraId="08615D0C" w14:textId="77777777" w:rsidR="00BC014A" w:rsidRDefault="009E2E0C" w:rsidP="002634CF">
            <w:pPr>
              <w:ind w:left="142" w:right="79" w:firstLine="425"/>
              <w:jc w:val="both"/>
              <w:rPr>
                <w:iCs/>
              </w:rPr>
            </w:pPr>
            <w:r>
              <w:rPr>
                <w:iCs/>
              </w:rPr>
              <w:t>Lai risinātu minētās p</w:t>
            </w:r>
            <w:r w:rsidR="00826850">
              <w:rPr>
                <w:iCs/>
              </w:rPr>
              <w:t>roblēmas un novērstu nepilnības ir</w:t>
            </w:r>
            <w:r>
              <w:rPr>
                <w:iCs/>
              </w:rPr>
              <w:t xml:space="preserve"> nepieciešams izstrādāt noteikumu projektu</w:t>
            </w:r>
            <w:r w:rsidR="00826850">
              <w:rPr>
                <w:iCs/>
              </w:rPr>
              <w:t xml:space="preserve"> tajā paredzot </w:t>
            </w:r>
            <w:r w:rsidR="00512C42">
              <w:rPr>
                <w:iCs/>
              </w:rPr>
              <w:t xml:space="preserve">vairākas būtiskas lietas: </w:t>
            </w:r>
          </w:p>
          <w:p w14:paraId="1A3B43AB" w14:textId="77777777" w:rsidR="00BC014A" w:rsidRDefault="00BC014A" w:rsidP="002634CF">
            <w:pPr>
              <w:ind w:left="142" w:right="79" w:firstLine="425"/>
              <w:jc w:val="both"/>
              <w:rPr>
                <w:iCs/>
              </w:rPr>
            </w:pPr>
            <w:r>
              <w:rPr>
                <w:iCs/>
              </w:rPr>
              <w:t xml:space="preserve">- </w:t>
            </w:r>
            <w:r w:rsidR="00826850">
              <w:rPr>
                <w:iCs/>
              </w:rPr>
              <w:t>precizēt valsts budžeta bāzes izdevumu n+3</w:t>
            </w:r>
            <w:r w:rsidR="00512C42">
              <w:rPr>
                <w:iCs/>
              </w:rPr>
              <w:t xml:space="preserve"> </w:t>
            </w:r>
            <w:r w:rsidR="00826850">
              <w:rPr>
                <w:iCs/>
              </w:rPr>
              <w:t xml:space="preserve">gadam aprēķināšanas metodi, </w:t>
            </w:r>
          </w:p>
          <w:p w14:paraId="6E9FB456" w14:textId="77777777" w:rsidR="00BC014A" w:rsidRDefault="00BC014A" w:rsidP="002634CF">
            <w:pPr>
              <w:ind w:left="142" w:right="79" w:firstLine="425"/>
              <w:jc w:val="both"/>
              <w:rPr>
                <w:iCs/>
              </w:rPr>
            </w:pPr>
            <w:r>
              <w:rPr>
                <w:iCs/>
              </w:rPr>
              <w:t xml:space="preserve">- </w:t>
            </w:r>
            <w:r w:rsidR="00826850">
              <w:rPr>
                <w:iCs/>
              </w:rPr>
              <w:t>noteikt elastīgāku valsts speci</w:t>
            </w:r>
            <w:r w:rsidR="00512C42">
              <w:rPr>
                <w:iCs/>
              </w:rPr>
              <w:t>āl</w:t>
            </w:r>
            <w:r w:rsidR="00826850">
              <w:rPr>
                <w:iCs/>
              </w:rPr>
              <w:t xml:space="preserve">ā budžeta </w:t>
            </w:r>
            <w:r>
              <w:rPr>
                <w:iCs/>
              </w:rPr>
              <w:t>sagatavošanas</w:t>
            </w:r>
            <w:r w:rsidR="00826850">
              <w:rPr>
                <w:iCs/>
              </w:rPr>
              <w:t xml:space="preserve"> grafiku, </w:t>
            </w:r>
          </w:p>
          <w:p w14:paraId="7FD63070" w14:textId="7D4C9353" w:rsidR="00BC014A" w:rsidRDefault="00BC014A" w:rsidP="002634CF">
            <w:pPr>
              <w:ind w:left="142" w:right="79" w:firstLine="425"/>
              <w:jc w:val="both"/>
              <w:rPr>
                <w:iCs/>
              </w:rPr>
            </w:pPr>
            <w:r>
              <w:rPr>
                <w:iCs/>
              </w:rPr>
              <w:t>- noprecizēt</w:t>
            </w:r>
            <w:r w:rsidR="00826850">
              <w:rPr>
                <w:iCs/>
              </w:rPr>
              <w:t xml:space="preserve">, ka  ieņēmumu aprēķinus veic tikai būtiskām jaunajām politikas iniciatīvām, kas rada papildus ieņēmumus, </w:t>
            </w:r>
          </w:p>
          <w:p w14:paraId="570D39CA" w14:textId="77777777" w:rsidR="00BC014A" w:rsidRDefault="00BC014A" w:rsidP="002634CF">
            <w:pPr>
              <w:ind w:left="142" w:right="79" w:firstLine="425"/>
              <w:jc w:val="both"/>
              <w:rPr>
                <w:iCs/>
              </w:rPr>
            </w:pPr>
            <w:r>
              <w:rPr>
                <w:iCs/>
              </w:rPr>
              <w:t xml:space="preserve">- </w:t>
            </w:r>
            <w:r w:rsidR="00826850">
              <w:rPr>
                <w:iCs/>
              </w:rPr>
              <w:t xml:space="preserve">noteikt regulējumu par starpnozaru jaunajām politikas iniciatīvām, </w:t>
            </w:r>
          </w:p>
          <w:p w14:paraId="316ED306" w14:textId="77777777" w:rsidR="00BC014A" w:rsidRDefault="00BC014A" w:rsidP="002634CF">
            <w:pPr>
              <w:ind w:left="142" w:right="79" w:firstLine="425"/>
              <w:jc w:val="both"/>
              <w:rPr>
                <w:iCs/>
              </w:rPr>
            </w:pPr>
            <w:r>
              <w:rPr>
                <w:iCs/>
              </w:rPr>
              <w:t xml:space="preserve">- noteikt  izteiktāku gradāciju un skaidrāku punktu piešķiršanas kārtību jaunajām politikas iniciatīvām, </w:t>
            </w:r>
          </w:p>
          <w:p w14:paraId="03A26274" w14:textId="77777777" w:rsidR="00BC014A" w:rsidRDefault="00BC014A" w:rsidP="002634CF">
            <w:pPr>
              <w:ind w:left="142" w:right="79" w:firstLine="425"/>
              <w:jc w:val="both"/>
              <w:rPr>
                <w:iCs/>
              </w:rPr>
            </w:pPr>
            <w:r>
              <w:rPr>
                <w:iCs/>
              </w:rPr>
              <w:t>- precīzāk definēt</w:t>
            </w:r>
            <w:r w:rsidR="00826850">
              <w:rPr>
                <w:iCs/>
              </w:rPr>
              <w:t xml:space="preserve">, ka neatkarīgo iestāžu jaunās politikas iniciatīvas nevērtē pēc šo noteikumu 4.pielikumā paredzētās punktu skalas, </w:t>
            </w:r>
          </w:p>
          <w:p w14:paraId="07A7A462" w14:textId="77777777" w:rsidR="009E2E0C" w:rsidRDefault="00BC014A" w:rsidP="002634CF">
            <w:pPr>
              <w:ind w:left="142" w:right="79" w:firstLine="425"/>
              <w:jc w:val="both"/>
              <w:rPr>
                <w:iCs/>
                <w:u w:val="single"/>
              </w:rPr>
            </w:pPr>
            <w:r>
              <w:rPr>
                <w:iCs/>
              </w:rPr>
              <w:t xml:space="preserve">- </w:t>
            </w:r>
            <w:r w:rsidR="00826850">
              <w:rPr>
                <w:iCs/>
              </w:rPr>
              <w:t>kā arī pilnveidot jauno politikas iniciatīvu pieteikumu veidlapas</w:t>
            </w:r>
            <w:r w:rsidR="007E747A">
              <w:rPr>
                <w:iCs/>
              </w:rPr>
              <w:t>.</w:t>
            </w:r>
          </w:p>
          <w:p w14:paraId="4559E578" w14:textId="77777777" w:rsidR="009B3AB7" w:rsidRPr="00123439" w:rsidRDefault="00532B5A" w:rsidP="002634CF">
            <w:pPr>
              <w:ind w:left="142" w:right="81" w:firstLine="425"/>
              <w:jc w:val="both"/>
              <w:rPr>
                <w:iCs/>
              </w:rPr>
            </w:pPr>
            <w:r w:rsidRPr="00123439">
              <w:rPr>
                <w:iCs/>
                <w:u w:val="single"/>
              </w:rPr>
              <w:t xml:space="preserve">MK noteikumi Nr.867 būtu pilnveidojami, lai novērstu </w:t>
            </w:r>
            <w:r w:rsidR="00531E88" w:rsidRPr="00123439">
              <w:rPr>
                <w:iCs/>
                <w:u w:val="single"/>
              </w:rPr>
              <w:t xml:space="preserve">esošās </w:t>
            </w:r>
            <w:r w:rsidRPr="00123439">
              <w:rPr>
                <w:iCs/>
                <w:u w:val="single"/>
              </w:rPr>
              <w:t>nepilnības valsts budžeta bāzes aprēķināšanas procesā</w:t>
            </w:r>
            <w:r w:rsidRPr="00123439">
              <w:rPr>
                <w:iCs/>
              </w:rPr>
              <w:t xml:space="preserve">. </w:t>
            </w:r>
            <w:r w:rsidR="00BD2EB5" w:rsidRPr="00123439">
              <w:rPr>
                <w:iCs/>
              </w:rPr>
              <w:t>Atbil</w:t>
            </w:r>
            <w:r w:rsidR="00C96569" w:rsidRPr="00123439">
              <w:rPr>
                <w:iCs/>
              </w:rPr>
              <w:t xml:space="preserve">stoši </w:t>
            </w:r>
            <w:r w:rsidR="009B3AB7" w:rsidRPr="00123439">
              <w:rPr>
                <w:iCs/>
              </w:rPr>
              <w:t>MK noteikumi</w:t>
            </w:r>
            <w:r w:rsidR="00C96569" w:rsidRPr="00123439">
              <w:rPr>
                <w:iCs/>
              </w:rPr>
              <w:t xml:space="preserve">em Nr.867 valsts budžeta bāzes aprēķina metode n+1 un n+2 gadam </w:t>
            </w:r>
            <w:r w:rsidR="006071E6" w:rsidRPr="00123439">
              <w:rPr>
                <w:iCs/>
              </w:rPr>
              <w:t xml:space="preserve">ir </w:t>
            </w:r>
            <w:r w:rsidR="00C96569" w:rsidRPr="00123439">
              <w:rPr>
                <w:iCs/>
              </w:rPr>
              <w:t>viegli piemērojama, savukārt metodei n+3 gada valsts budžeta bāzes aprēķināšanai ir šādi trūkumi:</w:t>
            </w:r>
          </w:p>
          <w:p w14:paraId="24C50A55" w14:textId="77777777" w:rsidR="00C96569" w:rsidRPr="00123439" w:rsidRDefault="00C96569" w:rsidP="002634CF">
            <w:pPr>
              <w:pStyle w:val="ListParagraph"/>
              <w:numPr>
                <w:ilvl w:val="0"/>
                <w:numId w:val="3"/>
              </w:numPr>
              <w:spacing w:line="240" w:lineRule="auto"/>
              <w:ind w:right="81"/>
              <w:rPr>
                <w:iCs/>
              </w:rPr>
            </w:pPr>
            <w:r w:rsidRPr="00123439">
              <w:rPr>
                <w:iCs/>
              </w:rPr>
              <w:t>netiek atšifrēti visi pasākumi</w:t>
            </w:r>
            <w:r w:rsidR="003B6D36" w:rsidRPr="00123439">
              <w:rPr>
                <w:iCs/>
              </w:rPr>
              <w:t>,</w:t>
            </w:r>
            <w:r w:rsidRPr="00123439">
              <w:rPr>
                <w:iCs/>
              </w:rPr>
              <w:t xml:space="preserve"> par kuriem tiek veiktas korekcijas</w:t>
            </w:r>
            <w:r w:rsidR="006071E6" w:rsidRPr="00123439">
              <w:rPr>
                <w:iCs/>
              </w:rPr>
              <w:t xml:space="preserve"> n+3 gadam</w:t>
            </w:r>
            <w:r w:rsidRPr="00123439">
              <w:rPr>
                <w:iCs/>
              </w:rPr>
              <w:t xml:space="preserve">. </w:t>
            </w:r>
            <w:r w:rsidR="003B6D36" w:rsidRPr="00123439">
              <w:rPr>
                <w:iCs/>
              </w:rPr>
              <w:t>Š</w:t>
            </w:r>
            <w:r w:rsidRPr="00123439">
              <w:rPr>
                <w:iCs/>
              </w:rPr>
              <w:t>āda informācija</w:t>
            </w:r>
            <w:r w:rsidR="006071E6" w:rsidRPr="00123439">
              <w:rPr>
                <w:iCs/>
              </w:rPr>
              <w:t xml:space="preserve"> par visām korekcijām</w:t>
            </w:r>
            <w:r w:rsidRPr="00123439">
              <w:rPr>
                <w:iCs/>
              </w:rPr>
              <w:t xml:space="preserve"> ir lietderīga, īpaši</w:t>
            </w:r>
            <w:r w:rsidR="003B6D36" w:rsidRPr="00123439">
              <w:rPr>
                <w:iCs/>
              </w:rPr>
              <w:t>,</w:t>
            </w:r>
            <w:r w:rsidRPr="00123439">
              <w:rPr>
                <w:iCs/>
              </w:rPr>
              <w:t xml:space="preserve"> ja pagājis ilgāks laiks un nepieciešams </w:t>
            </w:r>
            <w:r w:rsidR="00137E65" w:rsidRPr="00123439">
              <w:rPr>
                <w:iCs/>
              </w:rPr>
              <w:t>konstatēt</w:t>
            </w:r>
            <w:r w:rsidRPr="00123439">
              <w:rPr>
                <w:iCs/>
              </w:rPr>
              <w:t xml:space="preserve">, kas </w:t>
            </w:r>
            <w:r w:rsidR="00531E88" w:rsidRPr="00123439">
              <w:rPr>
                <w:iCs/>
              </w:rPr>
              <w:t xml:space="preserve">konkrēti </w:t>
            </w:r>
            <w:r w:rsidRPr="00123439">
              <w:rPr>
                <w:iCs/>
              </w:rPr>
              <w:t xml:space="preserve">bāzes aprēķinos ir ieskaitīts vai izņemts ārā. Attiecīgi </w:t>
            </w:r>
            <w:r w:rsidR="00137E65" w:rsidRPr="00123439">
              <w:rPr>
                <w:iCs/>
              </w:rPr>
              <w:t>ir</w:t>
            </w:r>
            <w:r w:rsidR="003B6D36" w:rsidRPr="00123439">
              <w:rPr>
                <w:iCs/>
              </w:rPr>
              <w:t xml:space="preserve"> </w:t>
            </w:r>
            <w:r w:rsidRPr="00123439">
              <w:rPr>
                <w:iCs/>
              </w:rPr>
              <w:t xml:space="preserve">mazāka varbūtība, ka pēc kāda laika perioda netiks </w:t>
            </w:r>
            <w:r w:rsidRPr="00123439">
              <w:rPr>
                <w:iCs/>
              </w:rPr>
              <w:lastRenderedPageBreak/>
              <w:t>veiktas visas nepieciešamās korekcijas (piemēram, terminētie pasākumi, kas pēc noteikta laika ir jāizņem ārā no bāzes);</w:t>
            </w:r>
          </w:p>
          <w:p w14:paraId="362A1B46" w14:textId="77777777" w:rsidR="00C96569" w:rsidRPr="00123439" w:rsidRDefault="00C96569" w:rsidP="002634CF">
            <w:pPr>
              <w:pStyle w:val="ListParagraph"/>
              <w:numPr>
                <w:ilvl w:val="0"/>
                <w:numId w:val="3"/>
              </w:numPr>
              <w:spacing w:line="240" w:lineRule="auto"/>
              <w:ind w:right="81"/>
              <w:rPr>
                <w:iCs/>
              </w:rPr>
            </w:pPr>
            <w:r w:rsidRPr="00123439">
              <w:rPr>
                <w:iCs/>
              </w:rPr>
              <w:t xml:space="preserve">šobrīd veidojas situācija, ka, ja </w:t>
            </w:r>
            <w:r w:rsidR="006071E6" w:rsidRPr="00123439">
              <w:rPr>
                <w:iCs/>
              </w:rPr>
              <w:t xml:space="preserve">vidēja termiņa budžeta ietvara likumā </w:t>
            </w:r>
            <w:r w:rsidRPr="00123439">
              <w:rPr>
                <w:iCs/>
              </w:rPr>
              <w:t>kādam pasākumam līdzekļi nav paredzēti un, aprēķinot budžeta bāzi n+2 un n+3 gadam, nepieciešams paredzēt papildu līdzekļus, bet nepieciešamā summa n+3 gadam ir mazāka nekā n+2 gadam, tad pasākuma skaidrojumā n+3 gada b</w:t>
            </w:r>
            <w:r w:rsidR="00532B5A" w:rsidRPr="00123439">
              <w:rPr>
                <w:iCs/>
              </w:rPr>
              <w:t>āz</w:t>
            </w:r>
            <w:r w:rsidRPr="00123439">
              <w:rPr>
                <w:iCs/>
              </w:rPr>
              <w:t>es aprēķinā pēc būtības ir jāraksta „finansējuma palielinājums”, bet reāli skaitlis tiek rādīts ar mīnus</w:t>
            </w:r>
            <w:r w:rsidR="00137E65" w:rsidRPr="00123439">
              <w:rPr>
                <w:iCs/>
              </w:rPr>
              <w:t>a</w:t>
            </w:r>
            <w:r w:rsidRPr="00123439">
              <w:rPr>
                <w:iCs/>
              </w:rPr>
              <w:t xml:space="preserve"> zīmi;</w:t>
            </w:r>
          </w:p>
          <w:p w14:paraId="08650F58" w14:textId="77777777" w:rsidR="00C96569" w:rsidRPr="00123439" w:rsidRDefault="00C96569" w:rsidP="002634CF">
            <w:pPr>
              <w:pStyle w:val="ListParagraph"/>
              <w:numPr>
                <w:ilvl w:val="0"/>
                <w:numId w:val="3"/>
              </w:numPr>
              <w:spacing w:line="240" w:lineRule="auto"/>
              <w:ind w:right="81"/>
              <w:rPr>
                <w:iCs/>
              </w:rPr>
            </w:pPr>
            <w:r w:rsidRPr="00123439">
              <w:rPr>
                <w:iCs/>
              </w:rPr>
              <w:t>nav viennozīmīgi skaidrs, kas ir n+3 gada sākotnējais plāns, pret kuru tiek veiktas korekcijas</w:t>
            </w:r>
            <w:r w:rsidR="00CC0B44" w:rsidRPr="00123439">
              <w:rPr>
                <w:iCs/>
              </w:rPr>
              <w:t>. T</w:t>
            </w:r>
            <w:r w:rsidRPr="00123439">
              <w:rPr>
                <w:iCs/>
              </w:rPr>
              <w:t>as rada problēmas gadījumos, kad ir jāgatavo dažādi apkopojumi un salīdzinājumi;</w:t>
            </w:r>
          </w:p>
          <w:p w14:paraId="280A5E50" w14:textId="77777777" w:rsidR="009B3AB7" w:rsidRPr="00123439" w:rsidRDefault="00CA555A" w:rsidP="002634CF">
            <w:pPr>
              <w:pStyle w:val="ListParagraph"/>
              <w:numPr>
                <w:ilvl w:val="0"/>
                <w:numId w:val="3"/>
              </w:numPr>
              <w:spacing w:after="120" w:line="240" w:lineRule="auto"/>
              <w:ind w:left="499" w:right="81" w:hanging="357"/>
              <w:rPr>
                <w:iCs/>
              </w:rPr>
            </w:pPr>
            <w:r w:rsidRPr="00123439">
              <w:rPr>
                <w:iCs/>
              </w:rPr>
              <w:t>sarežģīti veikt budžeta bāzes korekcijas n+3 gadam 74.resora „</w:t>
            </w:r>
            <w:r w:rsidR="00532B5A" w:rsidRPr="00123439">
              <w:rPr>
                <w:iCs/>
              </w:rPr>
              <w:t>G</w:t>
            </w:r>
            <w:r w:rsidRPr="00123439">
              <w:rPr>
                <w:iCs/>
              </w:rPr>
              <w:t xml:space="preserve">adskārtējā valsts budžeta izpildes procesā pārdalāmais finansējums” </w:t>
            </w:r>
            <w:r w:rsidR="002379E0" w:rsidRPr="00123439">
              <w:rPr>
                <w:iCs/>
              </w:rPr>
              <w:t xml:space="preserve">budžeta </w:t>
            </w:r>
            <w:r w:rsidRPr="00123439">
              <w:rPr>
                <w:iCs/>
              </w:rPr>
              <w:t xml:space="preserve">programmām. Ja, piemēram, nepieciešams veikt līdzekļu pārdali no 74.resora </w:t>
            </w:r>
            <w:r w:rsidR="002379E0" w:rsidRPr="00123439">
              <w:rPr>
                <w:iCs/>
              </w:rPr>
              <w:t xml:space="preserve">budžeta </w:t>
            </w:r>
            <w:r w:rsidRPr="00123439">
              <w:rPr>
                <w:iCs/>
              </w:rPr>
              <w:t xml:space="preserve">programmām uz ministriju budžetiem (vai otrādi) n+2 gadam, tad attiecīgi precizējas arī </w:t>
            </w:r>
            <w:r w:rsidR="00CC0B44" w:rsidRPr="00123439">
              <w:rPr>
                <w:iCs/>
              </w:rPr>
              <w:t xml:space="preserve">74.resora </w:t>
            </w:r>
            <w:r w:rsidR="002379E0" w:rsidRPr="00123439">
              <w:rPr>
                <w:iCs/>
              </w:rPr>
              <w:t xml:space="preserve">budžeta </w:t>
            </w:r>
            <w:r w:rsidRPr="00123439">
              <w:rPr>
                <w:iCs/>
              </w:rPr>
              <w:t xml:space="preserve">programmu bāzes </w:t>
            </w:r>
            <w:r w:rsidR="00531E88" w:rsidRPr="00123439">
              <w:rPr>
                <w:iCs/>
              </w:rPr>
              <w:t xml:space="preserve">izdevumi </w:t>
            </w:r>
            <w:r w:rsidRPr="00123439">
              <w:rPr>
                <w:iCs/>
              </w:rPr>
              <w:t>un līdz ar to š</w:t>
            </w:r>
            <w:r w:rsidR="00CC0B44" w:rsidRPr="00123439">
              <w:rPr>
                <w:iCs/>
              </w:rPr>
              <w:t>ī</w:t>
            </w:r>
            <w:r w:rsidRPr="00123439">
              <w:rPr>
                <w:iCs/>
              </w:rPr>
              <w:t xml:space="preserve">s izmaiņas attiecīgi ietekmē n+3 gada sākotnējo plānu, pret kuru veicamas korekcijas. </w:t>
            </w:r>
          </w:p>
          <w:p w14:paraId="30D0F782" w14:textId="77777777" w:rsidR="00532B5A" w:rsidRPr="00123439" w:rsidRDefault="00CA555A" w:rsidP="002634CF">
            <w:pPr>
              <w:ind w:left="142" w:right="81" w:firstLine="425"/>
              <w:jc w:val="both"/>
              <w:rPr>
                <w:iCs/>
              </w:rPr>
            </w:pPr>
            <w:r w:rsidRPr="00123439">
              <w:rPr>
                <w:iCs/>
              </w:rPr>
              <w:t xml:space="preserve">Kā pozitīvu aspektu </w:t>
            </w:r>
            <w:r w:rsidR="00532B5A" w:rsidRPr="00123439">
              <w:rPr>
                <w:iCs/>
              </w:rPr>
              <w:t xml:space="preserve">pašreiz </w:t>
            </w:r>
            <w:r w:rsidR="00CC0B44" w:rsidRPr="00123439">
              <w:rPr>
                <w:iCs/>
              </w:rPr>
              <w:t xml:space="preserve">MK </w:t>
            </w:r>
            <w:r w:rsidRPr="00123439">
              <w:rPr>
                <w:iCs/>
              </w:rPr>
              <w:t xml:space="preserve">noteikumos </w:t>
            </w:r>
            <w:r w:rsidR="00CC0B44" w:rsidRPr="00123439">
              <w:rPr>
                <w:iCs/>
              </w:rPr>
              <w:t xml:space="preserve">Nr.867 </w:t>
            </w:r>
            <w:r w:rsidRPr="00123439">
              <w:rPr>
                <w:iCs/>
              </w:rPr>
              <w:t xml:space="preserve">noteiktajai n+3 gada valsts budžeta bāzes aprēķināšanas metodei var minēt – ja budžeta resoram izdevumu apjoms visos trijos gados ir vienāds, tad n+3 gada dati nav jāievada vispār, jo datu ievade notiek automātiski ar iepriekš ievadīto formulu palīdzību. </w:t>
            </w:r>
          </w:p>
          <w:p w14:paraId="5BB404E6" w14:textId="77777777" w:rsidR="00CA555A" w:rsidRDefault="00CA555A" w:rsidP="002634CF">
            <w:pPr>
              <w:ind w:left="142" w:right="81" w:firstLine="425"/>
              <w:jc w:val="both"/>
              <w:rPr>
                <w:iCs/>
              </w:rPr>
            </w:pPr>
            <w:r w:rsidRPr="00123439">
              <w:rPr>
                <w:iCs/>
              </w:rPr>
              <w:t>Ņemot vērā</w:t>
            </w:r>
            <w:r w:rsidR="006071E6" w:rsidRPr="00123439">
              <w:rPr>
                <w:iCs/>
              </w:rPr>
              <w:t xml:space="preserve"> minētos </w:t>
            </w:r>
            <w:r w:rsidRPr="00123439">
              <w:rPr>
                <w:iCs/>
              </w:rPr>
              <w:t>trūkum</w:t>
            </w:r>
            <w:r w:rsidR="006071E6" w:rsidRPr="00123439">
              <w:rPr>
                <w:iCs/>
              </w:rPr>
              <w:t>us</w:t>
            </w:r>
            <w:r w:rsidR="00137E65" w:rsidRPr="00123439">
              <w:rPr>
                <w:iCs/>
              </w:rPr>
              <w:t>,</w:t>
            </w:r>
            <w:r w:rsidRPr="00123439">
              <w:rPr>
                <w:iCs/>
              </w:rPr>
              <w:t xml:space="preserve"> pašreizējai metodei n+3 gada </w:t>
            </w:r>
            <w:r w:rsidR="002379E0" w:rsidRPr="00123439">
              <w:rPr>
                <w:iCs/>
              </w:rPr>
              <w:t xml:space="preserve">valsts </w:t>
            </w:r>
            <w:r w:rsidRPr="00123439">
              <w:rPr>
                <w:iCs/>
              </w:rPr>
              <w:t xml:space="preserve">budžeta bāzes aprēķināšanai, nepieciešams </w:t>
            </w:r>
            <w:r w:rsidR="00532B5A" w:rsidRPr="00123439">
              <w:rPr>
                <w:iCs/>
              </w:rPr>
              <w:t>veikt izmaiņas normatīvajā regulējumā</w:t>
            </w:r>
            <w:r w:rsidR="00137E65" w:rsidRPr="00123439">
              <w:rPr>
                <w:iCs/>
              </w:rPr>
              <w:t>,</w:t>
            </w:r>
            <w:r w:rsidR="00532B5A" w:rsidRPr="00123439">
              <w:rPr>
                <w:iCs/>
              </w:rPr>
              <w:t xml:space="preserve"> paredzot</w:t>
            </w:r>
            <w:r w:rsidR="00EC6090" w:rsidRPr="00123439">
              <w:rPr>
                <w:iCs/>
              </w:rPr>
              <w:t>, ka visas korekcijas n+3 gadam tiek veiktas attiecībā pret iepriekšējā gada plānu, kas noteikts vidēja termiņa budžeta ietvara likumā.</w:t>
            </w:r>
          </w:p>
          <w:p w14:paraId="242CE11F" w14:textId="77777777" w:rsidR="00C90FFC" w:rsidRDefault="00C90FFC" w:rsidP="002634CF">
            <w:pPr>
              <w:ind w:left="142" w:right="81" w:firstLine="425"/>
              <w:jc w:val="both"/>
              <w:rPr>
                <w:iCs/>
              </w:rPr>
            </w:pPr>
          </w:p>
          <w:p w14:paraId="68C51583" w14:textId="77777777" w:rsidR="00C90FFC" w:rsidRPr="00123439" w:rsidRDefault="00C90FFC" w:rsidP="002634CF">
            <w:pPr>
              <w:ind w:left="141" w:right="81"/>
              <w:jc w:val="both"/>
            </w:pPr>
            <w:r w:rsidRPr="00123439">
              <w:t>Noteikumu projekts paredz:</w:t>
            </w:r>
          </w:p>
          <w:p w14:paraId="6BD725B8" w14:textId="77777777" w:rsidR="00C90FFC" w:rsidRDefault="00C90FFC" w:rsidP="002634CF">
            <w:pPr>
              <w:ind w:left="141" w:right="81"/>
              <w:jc w:val="both"/>
            </w:pPr>
            <w:r w:rsidRPr="00123439">
              <w:t>1. N+3 gada valsts budžeta bāze tiek aprēķināta par pamatu ņemot vidēja termiņa budžeta ietvara likumā iepriekšējam gadam apstiprināto maksimāli pieļaujamo izdevumu apjomu. Skatīt piemēru:</w:t>
            </w:r>
          </w:p>
          <w:p w14:paraId="37CEE999" w14:textId="77777777" w:rsidR="00C90FFC" w:rsidRPr="00123439" w:rsidRDefault="00C90FFC" w:rsidP="002634CF">
            <w:pPr>
              <w:ind w:left="141" w:right="81"/>
              <w:jc w:val="both"/>
            </w:pPr>
          </w:p>
          <w:tbl>
            <w:tblPr>
              <w:tblW w:w="6946" w:type="dxa"/>
              <w:tblInd w:w="595" w:type="dxa"/>
              <w:tblLayout w:type="fixed"/>
              <w:tblLook w:val="04A0" w:firstRow="1" w:lastRow="0" w:firstColumn="1" w:lastColumn="0" w:noHBand="0" w:noVBand="1"/>
            </w:tblPr>
            <w:tblGrid>
              <w:gridCol w:w="1560"/>
              <w:gridCol w:w="1559"/>
              <w:gridCol w:w="1276"/>
              <w:gridCol w:w="1275"/>
              <w:gridCol w:w="1276"/>
            </w:tblGrid>
            <w:tr w:rsidR="00C90FFC" w:rsidRPr="00123439" w14:paraId="55BFBCB5" w14:textId="77777777" w:rsidTr="002051BA">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45FD6" w14:textId="77777777" w:rsidR="00C90FFC" w:rsidRPr="00123439" w:rsidRDefault="00C90FFC" w:rsidP="002634CF">
                  <w:pPr>
                    <w:jc w:val="center"/>
                    <w:rPr>
                      <w:b/>
                      <w:bCs/>
                      <w:color w:val="000000"/>
                      <w:sz w:val="22"/>
                      <w:szCs w:val="22"/>
                    </w:rPr>
                  </w:pPr>
                  <w:r w:rsidRPr="00123439">
                    <w:rPr>
                      <w:b/>
                      <w:bCs/>
                      <w:color w:val="000000"/>
                      <w:sz w:val="22"/>
                      <w:szCs w:val="22"/>
                    </w:rPr>
                    <w:t xml:space="preserve">2013. gads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2F3D52A2" w14:textId="77777777" w:rsidR="00C90FFC" w:rsidRPr="00123439" w:rsidRDefault="00C90FFC" w:rsidP="002634CF">
                  <w:pPr>
                    <w:jc w:val="center"/>
                    <w:rPr>
                      <w:b/>
                      <w:bCs/>
                      <w:color w:val="000000"/>
                      <w:sz w:val="22"/>
                      <w:szCs w:val="22"/>
                    </w:rPr>
                  </w:pPr>
                  <w:r w:rsidRPr="00123439">
                    <w:rPr>
                      <w:b/>
                      <w:bCs/>
                      <w:color w:val="000000"/>
                      <w:sz w:val="22"/>
                      <w:szCs w:val="22"/>
                    </w:rPr>
                    <w:t>2014. gads</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5E97EC0A" w14:textId="77777777" w:rsidR="00C90FFC" w:rsidRPr="00123439" w:rsidRDefault="00C90FFC" w:rsidP="002634CF">
                  <w:pPr>
                    <w:jc w:val="center"/>
                    <w:rPr>
                      <w:b/>
                      <w:bCs/>
                      <w:color w:val="000000"/>
                      <w:sz w:val="22"/>
                      <w:szCs w:val="22"/>
                    </w:rPr>
                  </w:pPr>
                  <w:r w:rsidRPr="00123439">
                    <w:rPr>
                      <w:b/>
                      <w:bCs/>
                      <w:color w:val="000000"/>
                      <w:sz w:val="22"/>
                      <w:szCs w:val="22"/>
                    </w:rPr>
                    <w:t>2015. gads</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054717A6" w14:textId="77777777" w:rsidR="00C90FFC" w:rsidRPr="00123439" w:rsidRDefault="00C90FFC" w:rsidP="002634CF">
                  <w:pPr>
                    <w:jc w:val="center"/>
                    <w:rPr>
                      <w:b/>
                      <w:bCs/>
                      <w:color w:val="000000"/>
                      <w:sz w:val="22"/>
                      <w:szCs w:val="22"/>
                    </w:rPr>
                  </w:pPr>
                  <w:r w:rsidRPr="00123439">
                    <w:rPr>
                      <w:b/>
                      <w:bCs/>
                      <w:color w:val="000000"/>
                      <w:sz w:val="22"/>
                      <w:szCs w:val="22"/>
                    </w:rPr>
                    <w:t>2016. gads</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1362F0E2" w14:textId="77777777" w:rsidR="00C90FFC" w:rsidRPr="00123439" w:rsidRDefault="00C90FFC" w:rsidP="002634CF">
                  <w:pPr>
                    <w:jc w:val="center"/>
                    <w:rPr>
                      <w:b/>
                      <w:bCs/>
                      <w:color w:val="000000"/>
                      <w:sz w:val="22"/>
                      <w:szCs w:val="22"/>
                    </w:rPr>
                  </w:pPr>
                  <w:r w:rsidRPr="00123439">
                    <w:rPr>
                      <w:b/>
                      <w:bCs/>
                      <w:color w:val="000000"/>
                      <w:sz w:val="22"/>
                      <w:szCs w:val="22"/>
                    </w:rPr>
                    <w:t>2017. gads</w:t>
                  </w:r>
                </w:p>
              </w:tc>
            </w:tr>
            <w:tr w:rsidR="00C90FFC" w:rsidRPr="00123439" w14:paraId="1A7A257A" w14:textId="77777777" w:rsidTr="002051BA">
              <w:trPr>
                <w:trHeight w:val="315"/>
              </w:trPr>
              <w:tc>
                <w:tcPr>
                  <w:tcW w:w="1560" w:type="dxa"/>
                  <w:tcBorders>
                    <w:top w:val="nil"/>
                    <w:left w:val="single" w:sz="4" w:space="0" w:color="auto"/>
                    <w:bottom w:val="nil"/>
                    <w:right w:val="single" w:sz="4" w:space="0" w:color="auto"/>
                  </w:tcBorders>
                  <w:shd w:val="clear" w:color="auto" w:fill="auto"/>
                  <w:noWrap/>
                  <w:vAlign w:val="bottom"/>
                  <w:hideMark/>
                </w:tcPr>
                <w:p w14:paraId="37B744D8" w14:textId="77777777" w:rsidR="00C90FFC" w:rsidRPr="00123439" w:rsidRDefault="00C90FFC" w:rsidP="002634CF">
                  <w:pPr>
                    <w:rPr>
                      <w:color w:val="000000"/>
                    </w:rPr>
                  </w:pPr>
                  <w:r w:rsidRPr="00123439">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0CD8EB30" w14:textId="77777777" w:rsidR="00C90FFC" w:rsidRPr="00123439" w:rsidRDefault="00C90FFC" w:rsidP="002634CF">
                  <w:pPr>
                    <w:rPr>
                      <w:color w:val="000000"/>
                    </w:rPr>
                  </w:pPr>
                  <w:r w:rsidRPr="00123439">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78C3464F" w14:textId="77777777" w:rsidR="00C90FFC" w:rsidRPr="00123439" w:rsidRDefault="00C90FFC" w:rsidP="002634CF">
                  <w:pPr>
                    <w:rPr>
                      <w:color w:val="000000"/>
                    </w:rPr>
                  </w:pPr>
                  <w:r w:rsidRPr="00123439">
                    <w:rPr>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766D358A" w14:textId="77777777" w:rsidR="00C90FFC" w:rsidRPr="00123439" w:rsidRDefault="00C90FFC" w:rsidP="002634CF">
                  <w:pPr>
                    <w:rPr>
                      <w:color w:val="000000"/>
                    </w:rPr>
                  </w:pPr>
                  <w:r w:rsidRPr="00123439">
                    <w:rPr>
                      <w:color w:val="000000"/>
                    </w:rPr>
                    <w:t> </w:t>
                  </w:r>
                </w:p>
              </w:tc>
              <w:tc>
                <w:tcPr>
                  <w:tcW w:w="1276" w:type="dxa"/>
                  <w:vMerge w:val="restart"/>
                  <w:tcBorders>
                    <w:top w:val="nil"/>
                    <w:left w:val="nil"/>
                    <w:bottom w:val="single" w:sz="4" w:space="0" w:color="000000"/>
                    <w:right w:val="single" w:sz="4" w:space="0" w:color="auto"/>
                  </w:tcBorders>
                  <w:shd w:val="clear" w:color="auto" w:fill="auto"/>
                  <w:noWrap/>
                  <w:vAlign w:val="bottom"/>
                  <w:hideMark/>
                </w:tcPr>
                <w:p w14:paraId="56ABDE40" w14:textId="77777777" w:rsidR="00C90FFC" w:rsidRPr="00123439" w:rsidRDefault="00C90FFC" w:rsidP="002634CF">
                  <w:pPr>
                    <w:rPr>
                      <w:color w:val="000000"/>
                    </w:rPr>
                  </w:pPr>
                  <w:r w:rsidRPr="00123439">
                    <w:rPr>
                      <w:color w:val="000000"/>
                    </w:rPr>
                    <w:t> </w:t>
                  </w:r>
                </w:p>
              </w:tc>
            </w:tr>
            <w:tr w:rsidR="00C90FFC" w:rsidRPr="00123439" w14:paraId="5EAC6755" w14:textId="77777777" w:rsidTr="002051BA">
              <w:trPr>
                <w:trHeight w:val="840"/>
              </w:trPr>
              <w:tc>
                <w:tcPr>
                  <w:tcW w:w="1560" w:type="dxa"/>
                  <w:vMerge w:val="restart"/>
                  <w:tcBorders>
                    <w:top w:val="nil"/>
                    <w:left w:val="single" w:sz="4" w:space="0" w:color="auto"/>
                    <w:bottom w:val="nil"/>
                    <w:right w:val="single" w:sz="4" w:space="0" w:color="auto"/>
                  </w:tcBorders>
                  <w:shd w:val="clear" w:color="auto" w:fill="auto"/>
                  <w:vAlign w:val="bottom"/>
                  <w:hideMark/>
                </w:tcPr>
                <w:p w14:paraId="5AFC8632" w14:textId="77777777" w:rsidR="00C90FFC" w:rsidRPr="00123439" w:rsidRDefault="00C90FFC" w:rsidP="002634CF">
                  <w:pPr>
                    <w:jc w:val="both"/>
                    <w:rPr>
                      <w:bCs/>
                      <w:i/>
                      <w:iCs/>
                      <w:color w:val="000000"/>
                      <w:sz w:val="20"/>
                      <w:szCs w:val="20"/>
                    </w:rPr>
                  </w:pPr>
                  <w:r w:rsidRPr="00123439">
                    <w:rPr>
                      <w:bCs/>
                      <w:i/>
                      <w:iCs/>
                      <w:color w:val="000000"/>
                      <w:sz w:val="18"/>
                      <w:szCs w:val="18"/>
                    </w:rPr>
                    <w:t>2013. gadā apstiprina vidēja termiņa budžeta ietvara likumu nākamajiem trim gadiem (n+1, n+2 un n+3 gadam</w:t>
                  </w:r>
                  <w:r w:rsidRPr="00123439">
                    <w:rPr>
                      <w:bCs/>
                      <w:i/>
                      <w:iCs/>
                      <w:color w:val="000000"/>
                      <w:sz w:val="20"/>
                      <w:szCs w:val="20"/>
                    </w:rPr>
                    <w:t>)</w:t>
                  </w:r>
                </w:p>
              </w:tc>
              <w:tc>
                <w:tcPr>
                  <w:tcW w:w="4110" w:type="dxa"/>
                  <w:gridSpan w:val="3"/>
                  <w:tcBorders>
                    <w:top w:val="single" w:sz="4" w:space="0" w:color="auto"/>
                    <w:left w:val="nil"/>
                    <w:bottom w:val="single" w:sz="4" w:space="0" w:color="auto"/>
                    <w:right w:val="single" w:sz="4" w:space="0" w:color="000000"/>
                  </w:tcBorders>
                  <w:shd w:val="clear" w:color="000000" w:fill="FFFF00"/>
                  <w:vAlign w:val="bottom"/>
                  <w:hideMark/>
                </w:tcPr>
                <w:p w14:paraId="24B513F1" w14:textId="77777777" w:rsidR="00C90FFC" w:rsidRPr="00123439" w:rsidRDefault="00C90FFC" w:rsidP="002634CF">
                  <w:pPr>
                    <w:jc w:val="center"/>
                    <w:rPr>
                      <w:b/>
                      <w:bCs/>
                      <w:i/>
                      <w:iCs/>
                      <w:color w:val="000000"/>
                    </w:rPr>
                  </w:pPr>
                  <w:r w:rsidRPr="00123439">
                    <w:rPr>
                      <w:b/>
                      <w:bCs/>
                      <w:i/>
                      <w:iCs/>
                      <w:color w:val="000000"/>
                    </w:rPr>
                    <w:t xml:space="preserve">vidēja termiņa budžeta ietvara likums </w:t>
                  </w:r>
                </w:p>
                <w:p w14:paraId="51CACDFB" w14:textId="77777777" w:rsidR="00C90FFC" w:rsidRPr="00123439" w:rsidRDefault="00C90FFC" w:rsidP="002634CF">
                  <w:pPr>
                    <w:jc w:val="center"/>
                    <w:rPr>
                      <w:b/>
                      <w:bCs/>
                      <w:i/>
                      <w:iCs/>
                      <w:color w:val="000000"/>
                      <w:sz w:val="22"/>
                      <w:szCs w:val="22"/>
                    </w:rPr>
                  </w:pPr>
                  <w:r w:rsidRPr="00123439">
                    <w:rPr>
                      <w:b/>
                      <w:bCs/>
                      <w:i/>
                      <w:iCs/>
                      <w:color w:val="000000"/>
                    </w:rPr>
                    <w:t>2014.-2016. gadam</w:t>
                  </w:r>
                </w:p>
              </w:tc>
              <w:tc>
                <w:tcPr>
                  <w:tcW w:w="1276" w:type="dxa"/>
                  <w:vMerge/>
                  <w:tcBorders>
                    <w:top w:val="nil"/>
                    <w:left w:val="nil"/>
                    <w:bottom w:val="single" w:sz="4" w:space="0" w:color="000000"/>
                    <w:right w:val="single" w:sz="4" w:space="0" w:color="auto"/>
                  </w:tcBorders>
                  <w:vAlign w:val="center"/>
                  <w:hideMark/>
                </w:tcPr>
                <w:p w14:paraId="6C4CF052" w14:textId="77777777" w:rsidR="00C90FFC" w:rsidRPr="00123439" w:rsidRDefault="00C90FFC" w:rsidP="002634CF">
                  <w:pPr>
                    <w:rPr>
                      <w:color w:val="000000"/>
                    </w:rPr>
                  </w:pPr>
                </w:p>
              </w:tc>
            </w:tr>
            <w:tr w:rsidR="00C90FFC" w:rsidRPr="00123439" w14:paraId="6E6AEF31" w14:textId="77777777" w:rsidTr="002051BA">
              <w:trPr>
                <w:trHeight w:val="720"/>
              </w:trPr>
              <w:tc>
                <w:tcPr>
                  <w:tcW w:w="1560" w:type="dxa"/>
                  <w:vMerge/>
                  <w:tcBorders>
                    <w:top w:val="nil"/>
                    <w:left w:val="single" w:sz="4" w:space="0" w:color="auto"/>
                    <w:bottom w:val="nil"/>
                    <w:right w:val="single" w:sz="4" w:space="0" w:color="auto"/>
                  </w:tcBorders>
                  <w:vAlign w:val="center"/>
                  <w:hideMark/>
                </w:tcPr>
                <w:p w14:paraId="1705174D" w14:textId="77777777" w:rsidR="00C90FFC" w:rsidRPr="00123439" w:rsidRDefault="00C90FFC" w:rsidP="002634CF">
                  <w:pPr>
                    <w:jc w:val="both"/>
                    <w:rPr>
                      <w:b/>
                      <w:bCs/>
                      <w:i/>
                      <w:iCs/>
                      <w:color w:val="000000"/>
                      <w:sz w:val="20"/>
                      <w:szCs w:val="20"/>
                      <w:u w:val="single"/>
                    </w:rPr>
                  </w:pPr>
                </w:p>
              </w:tc>
              <w:tc>
                <w:tcPr>
                  <w:tcW w:w="1559" w:type="dxa"/>
                  <w:tcBorders>
                    <w:top w:val="nil"/>
                    <w:left w:val="nil"/>
                    <w:bottom w:val="single" w:sz="4" w:space="0" w:color="auto"/>
                    <w:right w:val="single" w:sz="4" w:space="0" w:color="auto"/>
                  </w:tcBorders>
                  <w:shd w:val="clear" w:color="000000" w:fill="FFFF00"/>
                  <w:noWrap/>
                  <w:hideMark/>
                </w:tcPr>
                <w:p w14:paraId="395B9C45" w14:textId="77777777" w:rsidR="00C90FFC" w:rsidRPr="00123439" w:rsidRDefault="00C90FFC" w:rsidP="002634CF">
                  <w:pPr>
                    <w:jc w:val="center"/>
                    <w:rPr>
                      <w:b/>
                      <w:color w:val="000000"/>
                      <w:sz w:val="22"/>
                      <w:szCs w:val="22"/>
                    </w:rPr>
                  </w:pPr>
                  <w:r w:rsidRPr="00123439">
                    <w:rPr>
                      <w:b/>
                      <w:color w:val="000000"/>
                      <w:sz w:val="22"/>
                      <w:szCs w:val="22"/>
                    </w:rPr>
                    <w:t xml:space="preserve">n+1 gada </w:t>
                  </w:r>
                </w:p>
                <w:p w14:paraId="0A86DEDB" w14:textId="77777777" w:rsidR="00C90FFC" w:rsidRPr="00123439" w:rsidRDefault="00C90FFC" w:rsidP="002634CF">
                  <w:pPr>
                    <w:jc w:val="center"/>
                    <w:rPr>
                      <w:b/>
                      <w:color w:val="000000"/>
                      <w:sz w:val="22"/>
                      <w:szCs w:val="22"/>
                    </w:rPr>
                  </w:pPr>
                  <w:r w:rsidRPr="00123439">
                    <w:rPr>
                      <w:b/>
                      <w:color w:val="000000"/>
                      <w:sz w:val="22"/>
                      <w:szCs w:val="22"/>
                    </w:rPr>
                    <w:t>dati</w:t>
                  </w:r>
                </w:p>
              </w:tc>
              <w:tc>
                <w:tcPr>
                  <w:tcW w:w="1276" w:type="dxa"/>
                  <w:tcBorders>
                    <w:top w:val="nil"/>
                    <w:left w:val="nil"/>
                    <w:bottom w:val="single" w:sz="4" w:space="0" w:color="auto"/>
                    <w:right w:val="single" w:sz="4" w:space="0" w:color="auto"/>
                  </w:tcBorders>
                  <w:shd w:val="clear" w:color="000000" w:fill="FFFF00"/>
                  <w:noWrap/>
                  <w:hideMark/>
                </w:tcPr>
                <w:p w14:paraId="73203E96" w14:textId="77777777" w:rsidR="00C90FFC" w:rsidRPr="00123439" w:rsidRDefault="00C90FFC" w:rsidP="002634CF">
                  <w:pPr>
                    <w:jc w:val="center"/>
                    <w:rPr>
                      <w:b/>
                      <w:color w:val="000000"/>
                      <w:sz w:val="22"/>
                    </w:rPr>
                  </w:pPr>
                  <w:r w:rsidRPr="00123439">
                    <w:rPr>
                      <w:b/>
                      <w:noProof/>
                      <w:color w:val="000000"/>
                      <w:sz w:val="22"/>
                      <w:szCs w:val="22"/>
                    </w:rPr>
                    <mc:AlternateContent>
                      <mc:Choice Requires="wps">
                        <w:drawing>
                          <wp:anchor distT="0" distB="0" distL="114300" distR="114300" simplePos="0" relativeHeight="251656192" behindDoc="0" locked="0" layoutInCell="1" allowOverlap="1" wp14:anchorId="786A7CF2" wp14:editId="28483DE9">
                            <wp:simplePos x="0" y="0"/>
                            <wp:positionH relativeFrom="column">
                              <wp:posOffset>417195</wp:posOffset>
                            </wp:positionH>
                            <wp:positionV relativeFrom="paragraph">
                              <wp:posOffset>355600</wp:posOffset>
                            </wp:positionV>
                            <wp:extent cx="0" cy="1123950"/>
                            <wp:effectExtent l="95250" t="0" r="57150" b="57150"/>
                            <wp:wrapNone/>
                            <wp:docPr id="1" name="Straight Arrow Connector 1"/>
                            <wp:cNvGraphicFramePr/>
                            <a:graphic xmlns:a="http://schemas.openxmlformats.org/drawingml/2006/main">
                              <a:graphicData uri="http://schemas.microsoft.com/office/word/2010/wordprocessingShape">
                                <wps:wsp>
                                  <wps:cNvCnPr/>
                                  <wps:spPr>
                                    <a:xfrm>
                                      <a:off x="0" y="0"/>
                                      <a:ext cx="0" cy="112395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560275A" id="_x0000_t32" coordsize="21600,21600" o:spt="32" o:oned="t" path="m,l21600,21600e" filled="f">
                            <v:path arrowok="t" fillok="f" o:connecttype="none"/>
                            <o:lock v:ext="edit" shapetype="t"/>
                          </v:shapetype>
                          <v:shape id="Straight Arrow Connector 1" o:spid="_x0000_s1026" type="#_x0000_t32" style="position:absolute;margin-left:32.85pt;margin-top:28pt;width:0;height: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" strokecolor="#4a7ebb" strokeweight="1.5pt">
                            <v:stroke endarrow="open"/>
                          </v:shape>
                        </w:pict>
                      </mc:Fallback>
                    </mc:AlternateContent>
                  </w:r>
                  <w:r w:rsidRPr="00123439">
                    <w:rPr>
                      <w:b/>
                      <w:color w:val="000000"/>
                      <w:sz w:val="22"/>
                      <w:szCs w:val="22"/>
                    </w:rPr>
                    <w:t xml:space="preserve">n+2 gada </w:t>
                  </w:r>
                </w:p>
                <w:p w14:paraId="370E0830" w14:textId="77777777" w:rsidR="00C90FFC" w:rsidRPr="00123439" w:rsidRDefault="00C90FFC" w:rsidP="002634CF">
                  <w:pPr>
                    <w:jc w:val="center"/>
                    <w:rPr>
                      <w:b/>
                      <w:color w:val="000000"/>
                      <w:sz w:val="22"/>
                      <w:szCs w:val="22"/>
                    </w:rPr>
                  </w:pPr>
                  <w:r w:rsidRPr="00123439">
                    <w:rPr>
                      <w:b/>
                      <w:color w:val="000000"/>
                      <w:sz w:val="22"/>
                      <w:szCs w:val="22"/>
                    </w:rPr>
                    <w:t>dati</w:t>
                  </w:r>
                </w:p>
              </w:tc>
              <w:tc>
                <w:tcPr>
                  <w:tcW w:w="1275" w:type="dxa"/>
                  <w:tcBorders>
                    <w:top w:val="nil"/>
                    <w:left w:val="nil"/>
                    <w:bottom w:val="single" w:sz="4" w:space="0" w:color="auto"/>
                    <w:right w:val="single" w:sz="4" w:space="0" w:color="auto"/>
                  </w:tcBorders>
                  <w:shd w:val="clear" w:color="000000" w:fill="FFFF00"/>
                  <w:noWrap/>
                  <w:hideMark/>
                </w:tcPr>
                <w:p w14:paraId="305CF17B" w14:textId="77777777" w:rsidR="00C90FFC" w:rsidRPr="00123439" w:rsidRDefault="00C90FFC" w:rsidP="002634CF">
                  <w:pPr>
                    <w:jc w:val="center"/>
                    <w:rPr>
                      <w:b/>
                      <w:color w:val="000000"/>
                      <w:sz w:val="22"/>
                      <w:szCs w:val="22"/>
                    </w:rPr>
                  </w:pPr>
                  <w:r w:rsidRPr="00123439">
                    <w:rPr>
                      <w:b/>
                      <w:color w:val="000000"/>
                      <w:sz w:val="22"/>
                      <w:szCs w:val="22"/>
                    </w:rPr>
                    <w:t xml:space="preserve">n+3 gada </w:t>
                  </w:r>
                </w:p>
                <w:p w14:paraId="78A8BF91" w14:textId="77777777" w:rsidR="00C90FFC" w:rsidRPr="00123439" w:rsidRDefault="00C90FFC" w:rsidP="002634CF">
                  <w:pPr>
                    <w:jc w:val="center"/>
                    <w:rPr>
                      <w:b/>
                      <w:color w:val="000000"/>
                      <w:sz w:val="22"/>
                      <w:szCs w:val="22"/>
                    </w:rPr>
                  </w:pPr>
                  <w:r w:rsidRPr="00123439">
                    <w:rPr>
                      <w:b/>
                      <w:noProof/>
                      <w:color w:val="000000"/>
                      <w:sz w:val="22"/>
                      <w:szCs w:val="22"/>
                    </w:rPr>
                    <mc:AlternateContent>
                      <mc:Choice Requires="wps">
                        <w:drawing>
                          <wp:anchor distT="0" distB="0" distL="114300" distR="114300" simplePos="0" relativeHeight="251660288" behindDoc="0" locked="0" layoutInCell="1" allowOverlap="1" wp14:anchorId="767BDFFE" wp14:editId="094D1700">
                            <wp:simplePos x="0" y="0"/>
                            <wp:positionH relativeFrom="column">
                              <wp:posOffset>462915</wp:posOffset>
                            </wp:positionH>
                            <wp:positionV relativeFrom="paragraph">
                              <wp:posOffset>175895</wp:posOffset>
                            </wp:positionV>
                            <wp:extent cx="657225" cy="1066800"/>
                            <wp:effectExtent l="0" t="0" r="47625" b="57150"/>
                            <wp:wrapNone/>
                            <wp:docPr id="2" name="Straight Arrow Connector 2"/>
                            <wp:cNvGraphicFramePr/>
                            <a:graphic xmlns:a="http://schemas.openxmlformats.org/drawingml/2006/main">
                              <a:graphicData uri="http://schemas.microsoft.com/office/word/2010/wordprocessingShape">
                                <wps:wsp>
                                  <wps:cNvCnPr/>
                                  <wps:spPr>
                                    <a:xfrm>
                                      <a:off x="0" y="0"/>
                                      <a:ext cx="657225" cy="106680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75EDEB5" id="Straight Arrow Connector 2" o:spid="_x0000_s1026" type="#_x0000_t32" style="position:absolute;margin-left:36.45pt;margin-top:13.85pt;width:51.75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" strokecolor="#4a7ebb" strokeweight="1.5pt">
                            <v:stroke endarrow="open"/>
                          </v:shape>
                        </w:pict>
                      </mc:Fallback>
                    </mc:AlternateContent>
                  </w:r>
                  <w:r w:rsidRPr="00123439">
                    <w:rPr>
                      <w:b/>
                      <w:noProof/>
                      <w:color w:val="000000"/>
                      <w:sz w:val="22"/>
                      <w:szCs w:val="22"/>
                    </w:rPr>
                    <mc:AlternateContent>
                      <mc:Choice Requires="wps">
                        <w:drawing>
                          <wp:anchor distT="0" distB="0" distL="114300" distR="114300" simplePos="0" relativeHeight="251658240" behindDoc="0" locked="0" layoutInCell="1" allowOverlap="1" wp14:anchorId="6D781B10" wp14:editId="33B31A44">
                            <wp:simplePos x="0" y="0"/>
                            <wp:positionH relativeFrom="column">
                              <wp:posOffset>464820</wp:posOffset>
                            </wp:positionH>
                            <wp:positionV relativeFrom="paragraph">
                              <wp:posOffset>180340</wp:posOffset>
                            </wp:positionV>
                            <wp:extent cx="0" cy="1123950"/>
                            <wp:effectExtent l="95250" t="0" r="57150" b="57150"/>
                            <wp:wrapNone/>
                            <wp:docPr id="3" name="Straight Arrow Connector 3"/>
                            <wp:cNvGraphicFramePr/>
                            <a:graphic xmlns:a="http://schemas.openxmlformats.org/drawingml/2006/main">
                              <a:graphicData uri="http://schemas.microsoft.com/office/word/2010/wordprocessingShape">
                                <wps:wsp>
                                  <wps:cNvCnPr/>
                                  <wps:spPr>
                                    <a:xfrm>
                                      <a:off x="0" y="0"/>
                                      <a:ext cx="0" cy="112395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anchor>
                        </w:drawing>
                      </mc:Choice>
                      <mc:Fallback>
                        <w:pict>
                          <v:shape w14:anchorId="561D9E2C" id="Straight Arrow Connector 3" o:spid="_x0000_s1026" type="#_x0000_t32" style="position:absolute;margin-left:36.6pt;margin-top:14.2pt;width:0;height:88.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" strokecolor="#4a7ebb" strokeweight="1.5pt">
                            <v:stroke endarrow="open"/>
                          </v:shape>
                        </w:pict>
                      </mc:Fallback>
                    </mc:AlternateContent>
                  </w:r>
                  <w:r w:rsidRPr="00123439">
                    <w:rPr>
                      <w:b/>
                      <w:color w:val="000000"/>
                      <w:sz w:val="22"/>
                      <w:szCs w:val="22"/>
                    </w:rPr>
                    <w:t>dati</w:t>
                  </w:r>
                </w:p>
              </w:tc>
              <w:tc>
                <w:tcPr>
                  <w:tcW w:w="1276" w:type="dxa"/>
                  <w:vMerge/>
                  <w:tcBorders>
                    <w:top w:val="nil"/>
                    <w:left w:val="nil"/>
                    <w:bottom w:val="single" w:sz="4" w:space="0" w:color="000000"/>
                    <w:right w:val="single" w:sz="4" w:space="0" w:color="auto"/>
                  </w:tcBorders>
                  <w:vAlign w:val="center"/>
                  <w:hideMark/>
                </w:tcPr>
                <w:p w14:paraId="7CCA0D3E" w14:textId="77777777" w:rsidR="00C90FFC" w:rsidRPr="00123439" w:rsidRDefault="00C90FFC" w:rsidP="002634CF">
                  <w:pPr>
                    <w:rPr>
                      <w:color w:val="000000"/>
                    </w:rPr>
                  </w:pPr>
                </w:p>
              </w:tc>
            </w:tr>
            <w:tr w:rsidR="00C90FFC" w:rsidRPr="00123439" w14:paraId="21C0F584" w14:textId="77777777" w:rsidTr="002051BA">
              <w:trPr>
                <w:trHeight w:val="315"/>
              </w:trPr>
              <w:tc>
                <w:tcPr>
                  <w:tcW w:w="15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7672BC1" w14:textId="77777777" w:rsidR="00C90FFC" w:rsidRPr="00123439" w:rsidRDefault="00C90FFC" w:rsidP="002634CF">
                  <w:pPr>
                    <w:jc w:val="both"/>
                    <w:rPr>
                      <w:color w:val="000000"/>
                    </w:rPr>
                  </w:pPr>
                  <w:r w:rsidRPr="00123439">
                    <w:rPr>
                      <w:color w:val="000000"/>
                    </w:rPr>
                    <w:t> </w:t>
                  </w:r>
                </w:p>
              </w:tc>
              <w:tc>
                <w:tcPr>
                  <w:tcW w:w="1559" w:type="dxa"/>
                  <w:vMerge w:val="restart"/>
                  <w:tcBorders>
                    <w:top w:val="nil"/>
                    <w:left w:val="single" w:sz="4" w:space="0" w:color="auto"/>
                    <w:bottom w:val="nil"/>
                    <w:right w:val="single" w:sz="4" w:space="0" w:color="auto"/>
                  </w:tcBorders>
                  <w:shd w:val="clear" w:color="auto" w:fill="auto"/>
                  <w:noWrap/>
                  <w:vAlign w:val="bottom"/>
                  <w:hideMark/>
                </w:tcPr>
                <w:p w14:paraId="6C0655D0" w14:textId="77777777" w:rsidR="00C90FFC" w:rsidRPr="00123439" w:rsidRDefault="00C90FFC" w:rsidP="002634CF">
                  <w:pPr>
                    <w:rPr>
                      <w:color w:val="000000"/>
                    </w:rPr>
                  </w:pPr>
                  <w:r w:rsidRPr="00123439">
                    <w:rPr>
                      <w:color w:val="000000"/>
                    </w:rPr>
                    <w:t>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A171070" w14:textId="77777777" w:rsidR="00C90FFC" w:rsidRPr="00123439" w:rsidRDefault="00C90FFC" w:rsidP="002634CF">
                  <w:pPr>
                    <w:rPr>
                      <w:color w:val="000000"/>
                    </w:rPr>
                  </w:pPr>
                  <w:r w:rsidRPr="00123439">
                    <w:rPr>
                      <w:color w:val="000000"/>
                    </w:rPr>
                    <w:t> </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1DE6689" w14:textId="77777777" w:rsidR="00C90FFC" w:rsidRPr="00123439" w:rsidRDefault="00C90FFC" w:rsidP="002634CF">
                  <w:pPr>
                    <w:rPr>
                      <w:color w:val="000000"/>
                    </w:rPr>
                  </w:pPr>
                  <w:r w:rsidRPr="00123439">
                    <w:rPr>
                      <w:color w:val="000000"/>
                    </w:rPr>
                    <w:t> </w:t>
                  </w:r>
                </w:p>
              </w:tc>
              <w:tc>
                <w:tcPr>
                  <w:tcW w:w="1276" w:type="dxa"/>
                  <w:vMerge/>
                  <w:tcBorders>
                    <w:top w:val="nil"/>
                    <w:left w:val="nil"/>
                    <w:bottom w:val="single" w:sz="4" w:space="0" w:color="000000"/>
                    <w:right w:val="single" w:sz="4" w:space="0" w:color="auto"/>
                  </w:tcBorders>
                  <w:vAlign w:val="center"/>
                  <w:hideMark/>
                </w:tcPr>
                <w:p w14:paraId="7C108B67" w14:textId="77777777" w:rsidR="00C90FFC" w:rsidRPr="00123439" w:rsidRDefault="00C90FFC" w:rsidP="002634CF">
                  <w:pPr>
                    <w:rPr>
                      <w:color w:val="000000"/>
                    </w:rPr>
                  </w:pPr>
                </w:p>
              </w:tc>
            </w:tr>
            <w:tr w:rsidR="00C90FFC" w:rsidRPr="00123439" w14:paraId="1AABD202" w14:textId="77777777" w:rsidTr="002051BA">
              <w:trPr>
                <w:trHeight w:val="315"/>
              </w:trPr>
              <w:tc>
                <w:tcPr>
                  <w:tcW w:w="1560" w:type="dxa"/>
                  <w:vMerge/>
                  <w:tcBorders>
                    <w:top w:val="nil"/>
                    <w:left w:val="single" w:sz="4" w:space="0" w:color="auto"/>
                    <w:bottom w:val="single" w:sz="4" w:space="0" w:color="000000"/>
                    <w:right w:val="single" w:sz="4" w:space="0" w:color="auto"/>
                  </w:tcBorders>
                  <w:vAlign w:val="center"/>
                  <w:hideMark/>
                </w:tcPr>
                <w:p w14:paraId="02978F9D" w14:textId="77777777" w:rsidR="00C90FFC" w:rsidRPr="00123439" w:rsidRDefault="00C90FFC" w:rsidP="002634CF">
                  <w:pPr>
                    <w:rPr>
                      <w:color w:val="000000"/>
                    </w:rPr>
                  </w:pPr>
                </w:p>
              </w:tc>
              <w:tc>
                <w:tcPr>
                  <w:tcW w:w="1559" w:type="dxa"/>
                  <w:vMerge/>
                  <w:tcBorders>
                    <w:top w:val="nil"/>
                    <w:left w:val="single" w:sz="4" w:space="0" w:color="auto"/>
                    <w:bottom w:val="nil"/>
                    <w:right w:val="single" w:sz="4" w:space="0" w:color="auto"/>
                  </w:tcBorders>
                  <w:vAlign w:val="center"/>
                  <w:hideMark/>
                </w:tcPr>
                <w:p w14:paraId="0B6D3887" w14:textId="77777777" w:rsidR="00C90FFC" w:rsidRPr="00123439" w:rsidRDefault="00C90FFC" w:rsidP="002634CF">
                  <w:pPr>
                    <w:rPr>
                      <w:color w:val="000000"/>
                    </w:rPr>
                  </w:pPr>
                </w:p>
              </w:tc>
              <w:tc>
                <w:tcPr>
                  <w:tcW w:w="1276" w:type="dxa"/>
                  <w:vMerge/>
                  <w:tcBorders>
                    <w:top w:val="nil"/>
                    <w:left w:val="single" w:sz="4" w:space="0" w:color="auto"/>
                    <w:bottom w:val="single" w:sz="4" w:space="0" w:color="000000"/>
                    <w:right w:val="single" w:sz="4" w:space="0" w:color="auto"/>
                  </w:tcBorders>
                  <w:vAlign w:val="center"/>
                  <w:hideMark/>
                </w:tcPr>
                <w:p w14:paraId="781E5940" w14:textId="77777777" w:rsidR="00C90FFC" w:rsidRPr="00123439" w:rsidRDefault="00C90FFC" w:rsidP="002634CF">
                  <w:pPr>
                    <w:rPr>
                      <w:color w:val="000000"/>
                    </w:rPr>
                  </w:pPr>
                </w:p>
              </w:tc>
              <w:tc>
                <w:tcPr>
                  <w:tcW w:w="1275" w:type="dxa"/>
                  <w:vMerge/>
                  <w:tcBorders>
                    <w:top w:val="nil"/>
                    <w:left w:val="single" w:sz="4" w:space="0" w:color="auto"/>
                    <w:bottom w:val="single" w:sz="4" w:space="0" w:color="000000"/>
                    <w:right w:val="single" w:sz="4" w:space="0" w:color="auto"/>
                  </w:tcBorders>
                  <w:vAlign w:val="center"/>
                  <w:hideMark/>
                </w:tcPr>
                <w:p w14:paraId="3F52E4A7" w14:textId="77777777" w:rsidR="00C90FFC" w:rsidRPr="00123439" w:rsidRDefault="00C90FFC" w:rsidP="002634CF">
                  <w:pPr>
                    <w:rPr>
                      <w:color w:val="000000"/>
                    </w:rPr>
                  </w:pPr>
                </w:p>
              </w:tc>
              <w:tc>
                <w:tcPr>
                  <w:tcW w:w="1276" w:type="dxa"/>
                  <w:vMerge/>
                  <w:tcBorders>
                    <w:top w:val="nil"/>
                    <w:left w:val="nil"/>
                    <w:bottom w:val="single" w:sz="4" w:space="0" w:color="000000"/>
                    <w:right w:val="single" w:sz="4" w:space="0" w:color="auto"/>
                  </w:tcBorders>
                  <w:vAlign w:val="center"/>
                  <w:hideMark/>
                </w:tcPr>
                <w:p w14:paraId="6A1AA153" w14:textId="77777777" w:rsidR="00C90FFC" w:rsidRPr="00123439" w:rsidRDefault="00C90FFC" w:rsidP="002634CF">
                  <w:pPr>
                    <w:rPr>
                      <w:color w:val="000000"/>
                    </w:rPr>
                  </w:pPr>
                </w:p>
              </w:tc>
            </w:tr>
            <w:tr w:rsidR="00C90FFC" w:rsidRPr="00123439" w14:paraId="00BDA150" w14:textId="77777777" w:rsidTr="002051BA">
              <w:trPr>
                <w:trHeight w:val="585"/>
              </w:trPr>
              <w:tc>
                <w:tcPr>
                  <w:tcW w:w="1560" w:type="dxa"/>
                  <w:vMerge/>
                  <w:tcBorders>
                    <w:top w:val="nil"/>
                    <w:left w:val="single" w:sz="4" w:space="0" w:color="auto"/>
                    <w:bottom w:val="single" w:sz="4" w:space="0" w:color="000000"/>
                    <w:right w:val="single" w:sz="4" w:space="0" w:color="auto"/>
                  </w:tcBorders>
                  <w:vAlign w:val="center"/>
                  <w:hideMark/>
                </w:tcPr>
                <w:p w14:paraId="4CA45CEF" w14:textId="77777777" w:rsidR="00C90FFC" w:rsidRPr="00123439" w:rsidRDefault="00C90FFC" w:rsidP="002634CF">
                  <w:pPr>
                    <w:rPr>
                      <w:color w:val="000000"/>
                    </w:rPr>
                  </w:pPr>
                </w:p>
              </w:tc>
              <w:tc>
                <w:tcPr>
                  <w:tcW w:w="1559" w:type="dxa"/>
                  <w:vMerge w:val="restart"/>
                  <w:tcBorders>
                    <w:top w:val="nil"/>
                    <w:left w:val="nil"/>
                    <w:bottom w:val="single" w:sz="4" w:space="0" w:color="000000"/>
                    <w:right w:val="nil"/>
                  </w:tcBorders>
                  <w:shd w:val="clear" w:color="auto" w:fill="auto"/>
                  <w:vAlign w:val="center"/>
                  <w:hideMark/>
                </w:tcPr>
                <w:p w14:paraId="588E1E3B" w14:textId="77777777" w:rsidR="00C90FFC" w:rsidRPr="00123439" w:rsidRDefault="00C90FFC" w:rsidP="002634CF">
                  <w:pPr>
                    <w:jc w:val="both"/>
                    <w:rPr>
                      <w:bCs/>
                      <w:i/>
                      <w:iCs/>
                      <w:color w:val="000000"/>
                      <w:sz w:val="18"/>
                      <w:szCs w:val="18"/>
                    </w:rPr>
                  </w:pPr>
                  <w:r w:rsidRPr="00123439">
                    <w:rPr>
                      <w:bCs/>
                      <w:i/>
                      <w:iCs/>
                      <w:color w:val="000000"/>
                      <w:sz w:val="18"/>
                      <w:szCs w:val="18"/>
                    </w:rPr>
                    <w:t>2014. gadā nosaka valsts budžeta bāzes nākamajiem trim gadiem  (n+1, n+2 un n+3 gadam)</w:t>
                  </w:r>
                </w:p>
              </w:tc>
              <w:tc>
                <w:tcPr>
                  <w:tcW w:w="3827" w:type="dxa"/>
                  <w:gridSpan w:val="3"/>
                  <w:tcBorders>
                    <w:top w:val="single" w:sz="4" w:space="0" w:color="auto"/>
                    <w:left w:val="single" w:sz="4" w:space="0" w:color="auto"/>
                    <w:bottom w:val="single" w:sz="4" w:space="0" w:color="auto"/>
                    <w:right w:val="single" w:sz="4" w:space="0" w:color="auto"/>
                  </w:tcBorders>
                  <w:shd w:val="clear" w:color="000000" w:fill="EBF1DE"/>
                  <w:vAlign w:val="center"/>
                  <w:hideMark/>
                </w:tcPr>
                <w:p w14:paraId="5F2A9C5E" w14:textId="77777777" w:rsidR="00C90FFC" w:rsidRPr="00123439" w:rsidRDefault="00C90FFC" w:rsidP="002634CF">
                  <w:pPr>
                    <w:jc w:val="center"/>
                    <w:rPr>
                      <w:b/>
                      <w:bCs/>
                      <w:i/>
                      <w:iCs/>
                      <w:color w:val="000000"/>
                    </w:rPr>
                  </w:pPr>
                  <w:r w:rsidRPr="00123439">
                    <w:rPr>
                      <w:b/>
                      <w:bCs/>
                      <w:i/>
                      <w:iCs/>
                      <w:color w:val="000000"/>
                    </w:rPr>
                    <w:t>valsts budžeta bāze</w:t>
                  </w:r>
                  <w:r w:rsidRPr="00123439">
                    <w:rPr>
                      <w:b/>
                      <w:bCs/>
                      <w:i/>
                      <w:iCs/>
                      <w:color w:val="000000"/>
                    </w:rPr>
                    <w:br/>
                    <w:t xml:space="preserve"> 2015.,  2016.  un 2017. gadam</w:t>
                  </w:r>
                </w:p>
              </w:tc>
            </w:tr>
            <w:tr w:rsidR="00C90FFC" w:rsidRPr="00123439" w14:paraId="63C64D92" w14:textId="77777777" w:rsidTr="002051BA">
              <w:trPr>
                <w:trHeight w:val="1260"/>
              </w:trPr>
              <w:tc>
                <w:tcPr>
                  <w:tcW w:w="1560" w:type="dxa"/>
                  <w:vMerge/>
                  <w:tcBorders>
                    <w:top w:val="nil"/>
                    <w:left w:val="single" w:sz="4" w:space="0" w:color="auto"/>
                    <w:bottom w:val="single" w:sz="4" w:space="0" w:color="000000"/>
                    <w:right w:val="single" w:sz="4" w:space="0" w:color="auto"/>
                  </w:tcBorders>
                  <w:vAlign w:val="center"/>
                  <w:hideMark/>
                </w:tcPr>
                <w:p w14:paraId="05E22167" w14:textId="77777777" w:rsidR="00C90FFC" w:rsidRPr="00123439" w:rsidRDefault="00C90FFC" w:rsidP="002634CF">
                  <w:pPr>
                    <w:rPr>
                      <w:color w:val="000000"/>
                    </w:rPr>
                  </w:pPr>
                </w:p>
              </w:tc>
              <w:tc>
                <w:tcPr>
                  <w:tcW w:w="1559" w:type="dxa"/>
                  <w:vMerge/>
                  <w:tcBorders>
                    <w:top w:val="nil"/>
                    <w:left w:val="nil"/>
                    <w:bottom w:val="single" w:sz="4" w:space="0" w:color="000000"/>
                    <w:right w:val="nil"/>
                  </w:tcBorders>
                  <w:vAlign w:val="center"/>
                  <w:hideMark/>
                </w:tcPr>
                <w:p w14:paraId="4F282DC2" w14:textId="77777777" w:rsidR="00C90FFC" w:rsidRPr="00123439" w:rsidRDefault="00C90FFC" w:rsidP="002634CF">
                  <w:pPr>
                    <w:rPr>
                      <w:b/>
                      <w:bCs/>
                      <w:i/>
                      <w:iCs/>
                      <w:color w:val="000000"/>
                      <w:sz w:val="20"/>
                      <w:szCs w:val="20"/>
                      <w:u w:val="single"/>
                    </w:rPr>
                  </w:pPr>
                </w:p>
              </w:tc>
              <w:tc>
                <w:tcPr>
                  <w:tcW w:w="1276" w:type="dxa"/>
                  <w:tcBorders>
                    <w:top w:val="nil"/>
                    <w:left w:val="single" w:sz="4" w:space="0" w:color="auto"/>
                    <w:bottom w:val="single" w:sz="4" w:space="0" w:color="auto"/>
                    <w:right w:val="single" w:sz="4" w:space="0" w:color="auto"/>
                  </w:tcBorders>
                  <w:shd w:val="clear" w:color="000000" w:fill="EBF1DE"/>
                  <w:vAlign w:val="center"/>
                  <w:hideMark/>
                </w:tcPr>
                <w:p w14:paraId="5370396F" w14:textId="77777777" w:rsidR="00C90FFC" w:rsidRPr="00123439" w:rsidRDefault="00C90FFC" w:rsidP="002634CF">
                  <w:pPr>
                    <w:jc w:val="center"/>
                    <w:rPr>
                      <w:b/>
                      <w:bCs/>
                      <w:color w:val="000000"/>
                      <w:sz w:val="22"/>
                      <w:szCs w:val="22"/>
                      <w:u w:val="single"/>
                    </w:rPr>
                  </w:pPr>
                </w:p>
                <w:p w14:paraId="13583CA1" w14:textId="77777777" w:rsidR="00C90FFC" w:rsidRPr="00123439" w:rsidRDefault="00C90FFC" w:rsidP="002634CF">
                  <w:pPr>
                    <w:jc w:val="center"/>
                    <w:rPr>
                      <w:color w:val="000000"/>
                      <w:sz w:val="22"/>
                      <w:szCs w:val="22"/>
                    </w:rPr>
                  </w:pPr>
                  <w:r w:rsidRPr="00123439">
                    <w:rPr>
                      <w:b/>
                      <w:bCs/>
                      <w:color w:val="000000"/>
                      <w:sz w:val="22"/>
                      <w:szCs w:val="22"/>
                      <w:u w:val="single"/>
                    </w:rPr>
                    <w:t>n+1 gada sākotnējais plāns</w:t>
                  </w:r>
                  <w:r w:rsidRPr="00123439">
                    <w:rPr>
                      <w:color w:val="000000"/>
                      <w:sz w:val="22"/>
                      <w:szCs w:val="22"/>
                    </w:rPr>
                    <w:t xml:space="preserve"> </w:t>
                  </w:r>
                </w:p>
              </w:tc>
              <w:tc>
                <w:tcPr>
                  <w:tcW w:w="1275" w:type="dxa"/>
                  <w:tcBorders>
                    <w:top w:val="nil"/>
                    <w:left w:val="nil"/>
                    <w:bottom w:val="single" w:sz="4" w:space="0" w:color="auto"/>
                    <w:right w:val="single" w:sz="4" w:space="0" w:color="auto"/>
                  </w:tcBorders>
                  <w:shd w:val="clear" w:color="000000" w:fill="EBF1DE"/>
                  <w:vAlign w:val="center"/>
                  <w:hideMark/>
                </w:tcPr>
                <w:p w14:paraId="3B1AB625" w14:textId="77777777" w:rsidR="00C90FFC" w:rsidRPr="00123439" w:rsidRDefault="00C90FFC" w:rsidP="002634CF">
                  <w:pPr>
                    <w:jc w:val="center"/>
                    <w:rPr>
                      <w:b/>
                      <w:bCs/>
                      <w:color w:val="000000"/>
                      <w:sz w:val="22"/>
                      <w:szCs w:val="22"/>
                      <w:u w:val="single"/>
                    </w:rPr>
                  </w:pPr>
                </w:p>
                <w:p w14:paraId="0ACA7220" w14:textId="77777777" w:rsidR="00C90FFC" w:rsidRPr="00123439" w:rsidRDefault="00C90FFC" w:rsidP="002634CF">
                  <w:pPr>
                    <w:jc w:val="center"/>
                    <w:rPr>
                      <w:color w:val="000000"/>
                      <w:sz w:val="22"/>
                      <w:szCs w:val="22"/>
                    </w:rPr>
                  </w:pPr>
                  <w:r w:rsidRPr="00123439">
                    <w:rPr>
                      <w:b/>
                      <w:bCs/>
                      <w:color w:val="000000"/>
                      <w:sz w:val="22"/>
                      <w:szCs w:val="22"/>
                      <w:u w:val="single"/>
                    </w:rPr>
                    <w:t>n+2 gada sākotnējais plāns</w:t>
                  </w:r>
                  <w:r w:rsidRPr="00123439">
                    <w:rPr>
                      <w:color w:val="000000"/>
                      <w:sz w:val="22"/>
                      <w:szCs w:val="22"/>
                    </w:rPr>
                    <w:t xml:space="preserve"> </w:t>
                  </w:r>
                </w:p>
              </w:tc>
              <w:tc>
                <w:tcPr>
                  <w:tcW w:w="1276" w:type="dxa"/>
                  <w:tcBorders>
                    <w:top w:val="nil"/>
                    <w:left w:val="nil"/>
                    <w:bottom w:val="single" w:sz="4" w:space="0" w:color="auto"/>
                    <w:right w:val="single" w:sz="4" w:space="0" w:color="auto"/>
                  </w:tcBorders>
                  <w:shd w:val="clear" w:color="000000" w:fill="EBF1DE"/>
                  <w:vAlign w:val="center"/>
                  <w:hideMark/>
                </w:tcPr>
                <w:p w14:paraId="1388F072" w14:textId="77777777" w:rsidR="00C90FFC" w:rsidRPr="00123439" w:rsidRDefault="00C90FFC" w:rsidP="002634CF">
                  <w:pPr>
                    <w:jc w:val="center"/>
                    <w:rPr>
                      <w:b/>
                      <w:bCs/>
                      <w:color w:val="000000"/>
                      <w:sz w:val="22"/>
                      <w:u w:val="single"/>
                    </w:rPr>
                  </w:pPr>
                </w:p>
                <w:p w14:paraId="077D0F72" w14:textId="77777777" w:rsidR="00C90FFC" w:rsidRPr="00123439" w:rsidRDefault="00C90FFC" w:rsidP="002634CF">
                  <w:pPr>
                    <w:jc w:val="center"/>
                    <w:rPr>
                      <w:color w:val="000000"/>
                      <w:sz w:val="22"/>
                      <w:szCs w:val="22"/>
                    </w:rPr>
                  </w:pPr>
                  <w:r w:rsidRPr="00123439">
                    <w:rPr>
                      <w:b/>
                      <w:bCs/>
                      <w:color w:val="000000"/>
                      <w:sz w:val="22"/>
                      <w:szCs w:val="22"/>
                      <w:u w:val="single"/>
                    </w:rPr>
                    <w:t>n+3 gada sākotnējais plāns</w:t>
                  </w:r>
                  <w:r w:rsidRPr="00123439">
                    <w:rPr>
                      <w:color w:val="000000"/>
                      <w:sz w:val="22"/>
                      <w:szCs w:val="22"/>
                    </w:rPr>
                    <w:t xml:space="preserve"> </w:t>
                  </w:r>
                </w:p>
              </w:tc>
            </w:tr>
          </w:tbl>
          <w:p w14:paraId="499ACCFB" w14:textId="77777777" w:rsidR="003D64EC" w:rsidRDefault="00C90FFC" w:rsidP="002634CF">
            <w:pPr>
              <w:spacing w:after="120"/>
              <w:ind w:left="142" w:right="79"/>
              <w:jc w:val="both"/>
            </w:pPr>
            <w:r w:rsidRPr="00123439">
              <w:lastRenderedPageBreak/>
              <w:t xml:space="preserve">Līdz ar to tiks nodrošināts, ka nepastāvēs </w:t>
            </w:r>
            <w:r>
              <w:t xml:space="preserve">iepriekš </w:t>
            </w:r>
            <w:r w:rsidRPr="00123439">
              <w:t>norādītie trūkumi, kā arī n+3 gada sākotnējais plāns būs fiksēts lielums, kas atvieglos turpmāko darbu pie gadskārtējā valsts budžeta sagatavošanas.</w:t>
            </w:r>
            <w:r w:rsidR="008532CC">
              <w:t xml:space="preserve"> </w:t>
            </w:r>
          </w:p>
          <w:p w14:paraId="52B68516" w14:textId="77777777" w:rsidR="00C90FFC" w:rsidRDefault="002634CF" w:rsidP="002634CF">
            <w:pPr>
              <w:spacing w:after="120"/>
              <w:ind w:left="142" w:right="79"/>
              <w:jc w:val="both"/>
              <w:rPr>
                <w:rFonts w:eastAsia="Calibri"/>
                <w:lang w:eastAsia="en-US"/>
              </w:rPr>
            </w:pPr>
            <w:r>
              <w:t>2. </w:t>
            </w:r>
            <w:r w:rsidR="00EB50E3">
              <w:t xml:space="preserve">Saistībā ar valsts budžeta bāzes aprēķināšanas kārtību </w:t>
            </w:r>
            <w:r w:rsidR="00A3632A">
              <w:t xml:space="preserve">nav noteikti </w:t>
            </w:r>
            <w:r w:rsidR="003D64EC" w:rsidRPr="00277298">
              <w:t>pasākum</w:t>
            </w:r>
            <w:r w:rsidR="00A3632A">
              <w:t>i</w:t>
            </w:r>
            <w:r w:rsidR="003D64EC" w:rsidRPr="00277298">
              <w:t>, kuri varētu atkārtoties</w:t>
            </w:r>
            <w:r w:rsidR="003D64EC">
              <w:t xml:space="preserve"> cikliski</w:t>
            </w:r>
            <w:r w:rsidR="003D64EC" w:rsidRPr="00277298">
              <w:t xml:space="preserve"> un kuru </w:t>
            </w:r>
            <w:r w:rsidR="003D64EC">
              <w:t xml:space="preserve">īstenošanai nepieciešamo </w:t>
            </w:r>
            <w:r w:rsidR="003D64EC" w:rsidRPr="00277298">
              <w:t>finansē</w:t>
            </w:r>
            <w:r w:rsidR="003D64EC">
              <w:t>jumu</w:t>
            </w:r>
            <w:r w:rsidR="003D64EC" w:rsidRPr="00277298">
              <w:t xml:space="preserve"> varētu iekļaut bāzes izdevumos</w:t>
            </w:r>
            <w:r w:rsidR="00A3632A">
              <w:t>. Pēc būtības š</w:t>
            </w:r>
            <w:r w:rsidR="003D64EC">
              <w:t>ādi pasākumi</w:t>
            </w:r>
            <w:r w:rsidR="00A3632A">
              <w:t>, kas atkārtojas cikliski,</w:t>
            </w:r>
            <w:r w:rsidR="003D64EC" w:rsidRPr="00277298">
              <w:t xml:space="preserve"> ir vēlēšanas. </w:t>
            </w:r>
            <w:r w:rsidR="00C90FFC">
              <w:rPr>
                <w:rFonts w:eastAsia="Calibri"/>
                <w:lang w:eastAsia="en-US"/>
              </w:rPr>
              <w:t>Tāp</w:t>
            </w:r>
            <w:r w:rsidR="003D64EC">
              <w:rPr>
                <w:rFonts w:eastAsia="Calibri"/>
                <w:lang w:eastAsia="en-US"/>
              </w:rPr>
              <w:t>ēc</w:t>
            </w:r>
            <w:r w:rsidR="00C90FFC">
              <w:rPr>
                <w:rFonts w:eastAsia="Calibri"/>
                <w:lang w:eastAsia="en-US"/>
              </w:rPr>
              <w:t xml:space="preserve"> n</w:t>
            </w:r>
            <w:r w:rsidR="00C90FFC" w:rsidRPr="004B46CC">
              <w:rPr>
                <w:rFonts w:eastAsia="Calibri"/>
                <w:lang w:eastAsia="en-US"/>
              </w:rPr>
              <w:t>oteikumu projektā pie regulējuma par budžeta bāzu aprēķināšan</w:t>
            </w:r>
            <w:r w:rsidR="002D7349">
              <w:rPr>
                <w:rFonts w:eastAsia="Calibri"/>
                <w:lang w:eastAsia="en-US"/>
              </w:rPr>
              <w:t>as korekcijām</w:t>
            </w:r>
            <w:r w:rsidR="00C90FFC" w:rsidRPr="004B46CC">
              <w:rPr>
                <w:rFonts w:eastAsia="Calibri"/>
                <w:lang w:eastAsia="en-US"/>
              </w:rPr>
              <w:t xml:space="preserve"> tiek paredzēts, ka izdevumus </w:t>
            </w:r>
            <w:r w:rsidR="00B55733">
              <w:rPr>
                <w:rFonts w:eastAsia="Calibri"/>
                <w:lang w:eastAsia="en-US"/>
              </w:rPr>
              <w:t xml:space="preserve">attiecīgi </w:t>
            </w:r>
            <w:r w:rsidR="00C90FFC" w:rsidRPr="004B46CC">
              <w:rPr>
                <w:rFonts w:eastAsia="Calibri"/>
                <w:lang w:eastAsia="en-US"/>
              </w:rPr>
              <w:t>palielina</w:t>
            </w:r>
            <w:r w:rsidR="003D64EC">
              <w:rPr>
                <w:rFonts w:eastAsia="Calibri"/>
                <w:lang w:eastAsia="en-US"/>
              </w:rPr>
              <w:t>,</w:t>
            </w:r>
            <w:r w:rsidR="00B55733">
              <w:rPr>
                <w:rFonts w:eastAsia="Calibri"/>
                <w:lang w:eastAsia="en-US"/>
              </w:rPr>
              <w:t xml:space="preserve"> </w:t>
            </w:r>
            <w:r w:rsidR="003D64EC" w:rsidRPr="003D64EC">
              <w:rPr>
                <w:rFonts w:eastAsia="Calibri"/>
                <w:lang w:eastAsia="en-US"/>
              </w:rPr>
              <w:t>lai nodrošinātu Latvijas Republikas Satversmes 6. un 101.pantā, Saeimas vēlēšan</w:t>
            </w:r>
            <w:r w:rsidR="00550B06">
              <w:rPr>
                <w:rFonts w:eastAsia="Calibri"/>
                <w:lang w:eastAsia="en-US"/>
              </w:rPr>
              <w:t>u</w:t>
            </w:r>
            <w:r w:rsidR="003D64EC" w:rsidRPr="003D64EC">
              <w:rPr>
                <w:rFonts w:eastAsia="Calibri"/>
                <w:lang w:eastAsia="en-US"/>
              </w:rPr>
              <w:t xml:space="preserve"> likumā, Republikas pilsētas domes un novada domes vēlēšan</w:t>
            </w:r>
            <w:r w:rsidR="00550B06">
              <w:rPr>
                <w:rFonts w:eastAsia="Calibri"/>
                <w:lang w:eastAsia="en-US"/>
              </w:rPr>
              <w:t>u</w:t>
            </w:r>
            <w:r w:rsidR="003D64EC" w:rsidRPr="003D64EC">
              <w:rPr>
                <w:rFonts w:eastAsia="Calibri"/>
                <w:lang w:eastAsia="en-US"/>
              </w:rPr>
              <w:t xml:space="preserve"> likumā, Eiropas Parlamenta vēlēšan</w:t>
            </w:r>
            <w:r w:rsidR="00550B06">
              <w:rPr>
                <w:rFonts w:eastAsia="Calibri"/>
                <w:lang w:eastAsia="en-US"/>
              </w:rPr>
              <w:t>u</w:t>
            </w:r>
            <w:r w:rsidR="003D64EC" w:rsidRPr="003D64EC">
              <w:rPr>
                <w:rFonts w:eastAsia="Calibri"/>
                <w:lang w:eastAsia="en-US"/>
              </w:rPr>
              <w:t xml:space="preserve"> likumā un Elektronisko plašsaziņas līdzekļu likuma 71.panta 1.daļas 11.punktā paredzēto pasākumu finansēšanu</w:t>
            </w:r>
            <w:r w:rsidR="003D64EC">
              <w:rPr>
                <w:rFonts w:eastAsia="Calibri"/>
                <w:lang w:eastAsia="en-US"/>
              </w:rPr>
              <w:t xml:space="preserve">. </w:t>
            </w:r>
          </w:p>
          <w:p w14:paraId="3F1C76E8" w14:textId="77777777" w:rsidR="007D1858" w:rsidRDefault="002634CF" w:rsidP="002634CF">
            <w:pPr>
              <w:spacing w:after="120"/>
              <w:ind w:left="142" w:right="79"/>
              <w:jc w:val="both"/>
              <w:rPr>
                <w:rFonts w:eastAsia="Calibri"/>
                <w:lang w:eastAsia="en-US"/>
              </w:rPr>
            </w:pPr>
            <w:r>
              <w:rPr>
                <w:rFonts w:eastAsia="Calibri"/>
                <w:lang w:eastAsia="en-US"/>
              </w:rPr>
              <w:t>3. </w:t>
            </w:r>
            <w:r w:rsidR="007D1858" w:rsidRPr="007D1858">
              <w:rPr>
                <w:rFonts w:eastAsia="Calibri"/>
                <w:lang w:eastAsia="en-US"/>
              </w:rPr>
              <w:t xml:space="preserve">Saistībā ar valsts budžeta bāzes aprēķināšanas kārtību </w:t>
            </w:r>
            <w:r w:rsidR="007D1858">
              <w:rPr>
                <w:rFonts w:eastAsia="Calibri"/>
                <w:lang w:eastAsia="en-US"/>
              </w:rPr>
              <w:t xml:space="preserve">šobrīd </w:t>
            </w:r>
            <w:r w:rsidR="007D1858" w:rsidRPr="007D1858">
              <w:rPr>
                <w:rFonts w:eastAsia="Calibri"/>
                <w:lang w:eastAsia="en-US"/>
              </w:rPr>
              <w:t xml:space="preserve">nav </w:t>
            </w:r>
            <w:r w:rsidR="007D1858">
              <w:rPr>
                <w:rFonts w:eastAsia="Calibri"/>
                <w:lang w:eastAsia="en-US"/>
              </w:rPr>
              <w:t xml:space="preserve">noteikts, ka </w:t>
            </w:r>
            <w:r w:rsidR="007D1858" w:rsidRPr="007D1858">
              <w:rPr>
                <w:rFonts w:eastAsia="Calibri"/>
                <w:lang w:eastAsia="en-US"/>
              </w:rPr>
              <w:t xml:space="preserve">pie bāzes aprēķināšanas </w:t>
            </w:r>
            <w:r w:rsidR="007D1858">
              <w:rPr>
                <w:rFonts w:eastAsia="Calibri"/>
                <w:lang w:eastAsia="en-US"/>
              </w:rPr>
              <w:t>jā</w:t>
            </w:r>
            <w:r w:rsidR="007D1858" w:rsidRPr="007D1858">
              <w:rPr>
                <w:rFonts w:eastAsia="Calibri"/>
                <w:lang w:eastAsia="en-US"/>
              </w:rPr>
              <w:t>ņem vērā arī izmaiņas bēgļu un personu, kurām piešķirts alternatīvais statuss, pabalstu saņēmēju kontingenta prognozēs.</w:t>
            </w:r>
            <w:r w:rsidR="007D1858">
              <w:rPr>
                <w:rFonts w:eastAsia="Calibri"/>
                <w:lang w:eastAsia="en-US"/>
              </w:rPr>
              <w:t xml:space="preserve"> Tāpat nav noteikts, ka </w:t>
            </w:r>
            <w:r w:rsidR="007D1858" w:rsidRPr="007D1858">
              <w:rPr>
                <w:rFonts w:eastAsia="Calibri"/>
                <w:lang w:eastAsia="en-US"/>
              </w:rPr>
              <w:t>nav pieļaujama ne tikai Labklājības ministrijas budžeta resorā plānoto izdevumu pabalstiem, bet arī citu ministriju budžeta resoros plānoto izdevumu pabalstiem pārdale uz citiem izdevumiem.</w:t>
            </w:r>
            <w:r w:rsidR="007D1858">
              <w:rPr>
                <w:rFonts w:eastAsia="Calibri"/>
                <w:lang w:eastAsia="en-US"/>
              </w:rPr>
              <w:t xml:space="preserve"> </w:t>
            </w:r>
            <w:r w:rsidR="007D1858" w:rsidRPr="007D1858">
              <w:rPr>
                <w:rFonts w:eastAsia="Calibri"/>
                <w:lang w:eastAsia="en-US"/>
              </w:rPr>
              <w:t>Tāpēc noteikumu projektā pie regulējuma par budžeta bāz</w:t>
            </w:r>
            <w:r w:rsidR="007D1858">
              <w:rPr>
                <w:rFonts w:eastAsia="Calibri"/>
                <w:lang w:eastAsia="en-US"/>
              </w:rPr>
              <w:t>ēm</w:t>
            </w:r>
            <w:r w:rsidR="007D1858" w:rsidRPr="007D1858">
              <w:rPr>
                <w:rFonts w:eastAsia="Calibri"/>
                <w:lang w:eastAsia="en-US"/>
              </w:rPr>
              <w:t xml:space="preserve"> tiek paredzēt</w:t>
            </w:r>
            <w:r w:rsidR="007D1858">
              <w:rPr>
                <w:rFonts w:eastAsia="Calibri"/>
                <w:lang w:eastAsia="en-US"/>
              </w:rPr>
              <w:t>i atbilstoši precizējumi.</w:t>
            </w:r>
          </w:p>
          <w:p w14:paraId="420A7AEC" w14:textId="77777777" w:rsidR="002B3ED8" w:rsidRDefault="002634CF" w:rsidP="002634CF">
            <w:pPr>
              <w:ind w:left="142" w:right="79"/>
              <w:jc w:val="both"/>
              <w:rPr>
                <w:rFonts w:eastAsia="Calibri"/>
                <w:lang w:eastAsia="en-US"/>
              </w:rPr>
            </w:pPr>
            <w:r>
              <w:rPr>
                <w:rFonts w:eastAsia="Calibri"/>
                <w:lang w:eastAsia="en-US"/>
              </w:rPr>
              <w:t>4. </w:t>
            </w:r>
            <w:r w:rsidR="002B3ED8">
              <w:rPr>
                <w:rFonts w:eastAsia="Calibri"/>
                <w:lang w:eastAsia="en-US"/>
              </w:rPr>
              <w:t>P</w:t>
            </w:r>
            <w:r w:rsidR="002B3ED8" w:rsidRPr="002B3ED8">
              <w:rPr>
                <w:rFonts w:eastAsia="Calibri"/>
                <w:lang w:eastAsia="en-US"/>
              </w:rPr>
              <w:t xml:space="preserve">ašreiz MK noteikumos Nr.867 </w:t>
            </w:r>
            <w:r w:rsidR="002B3ED8">
              <w:rPr>
                <w:rFonts w:eastAsia="Calibri"/>
                <w:lang w:eastAsia="en-US"/>
              </w:rPr>
              <w:t xml:space="preserve">ir ietverti konkrēti datumi saistībā ar valsts speciālā budžeta </w:t>
            </w:r>
            <w:r w:rsidR="00C102D1">
              <w:rPr>
                <w:rFonts w:eastAsia="Calibri"/>
                <w:lang w:eastAsia="en-US"/>
              </w:rPr>
              <w:t xml:space="preserve">bāzes </w:t>
            </w:r>
            <w:r w:rsidR="00BC014A">
              <w:rPr>
                <w:rFonts w:eastAsia="Calibri"/>
                <w:lang w:eastAsia="en-US"/>
              </w:rPr>
              <w:t>sagatavošanas</w:t>
            </w:r>
            <w:r w:rsidR="002B3ED8">
              <w:rPr>
                <w:rFonts w:eastAsia="Calibri"/>
                <w:lang w:eastAsia="en-US"/>
              </w:rPr>
              <w:t xml:space="preserve"> procesu, kas paredz:</w:t>
            </w:r>
          </w:p>
          <w:p w14:paraId="271A8501" w14:textId="77777777" w:rsidR="002B3ED8" w:rsidRDefault="002B3ED8" w:rsidP="002634CF">
            <w:pPr>
              <w:ind w:left="142" w:right="79"/>
              <w:jc w:val="both"/>
              <w:rPr>
                <w:rFonts w:eastAsia="Calibri"/>
                <w:lang w:eastAsia="en-US"/>
              </w:rPr>
            </w:pPr>
            <w:r>
              <w:rPr>
                <w:rFonts w:eastAsia="Calibri"/>
                <w:lang w:eastAsia="en-US"/>
              </w:rPr>
              <w:t xml:space="preserve">1) </w:t>
            </w:r>
            <w:r w:rsidRPr="002B3ED8">
              <w:rPr>
                <w:rFonts w:eastAsia="Calibri"/>
                <w:lang w:eastAsia="en-US"/>
              </w:rPr>
              <w:t xml:space="preserve">Finanšu ministrijai </w:t>
            </w:r>
            <w:r>
              <w:rPr>
                <w:rFonts w:eastAsia="Calibri"/>
                <w:lang w:eastAsia="en-US"/>
              </w:rPr>
              <w:t xml:space="preserve">pienākumu </w:t>
            </w:r>
            <w:r w:rsidRPr="002B3ED8">
              <w:rPr>
                <w:rFonts w:eastAsia="Calibri"/>
                <w:lang w:eastAsia="en-US"/>
              </w:rPr>
              <w:t>iesnie</w:t>
            </w:r>
            <w:r>
              <w:rPr>
                <w:rFonts w:eastAsia="Calibri"/>
                <w:lang w:eastAsia="en-US"/>
              </w:rPr>
              <w:t>gt</w:t>
            </w:r>
            <w:r w:rsidRPr="002B3ED8">
              <w:rPr>
                <w:rFonts w:eastAsia="Calibri"/>
                <w:lang w:eastAsia="en-US"/>
              </w:rPr>
              <w:t xml:space="preserve"> Labklājības ministrijai veidlapas un prognozes, kas nepieciešamas priekšlikumu par speciālā budžeta bāzi </w:t>
            </w:r>
            <w:r w:rsidR="00BC014A" w:rsidRPr="002B3ED8">
              <w:rPr>
                <w:rFonts w:eastAsia="Calibri"/>
                <w:lang w:eastAsia="en-US"/>
              </w:rPr>
              <w:t>sagatavošanai</w:t>
            </w:r>
            <w:r w:rsidRPr="002B3ED8">
              <w:rPr>
                <w:rFonts w:eastAsia="Calibri"/>
                <w:lang w:eastAsia="en-US"/>
              </w:rPr>
              <w:t xml:space="preserve"> līdz 10.janvārim. </w:t>
            </w:r>
          </w:p>
          <w:p w14:paraId="3F6D45F7" w14:textId="77777777" w:rsidR="002B3ED8" w:rsidRDefault="002B3ED8" w:rsidP="002634CF">
            <w:pPr>
              <w:ind w:left="142" w:right="79"/>
              <w:jc w:val="both"/>
              <w:rPr>
                <w:rFonts w:eastAsia="Calibri"/>
                <w:lang w:eastAsia="en-US"/>
              </w:rPr>
            </w:pPr>
            <w:r>
              <w:rPr>
                <w:rFonts w:eastAsia="Calibri"/>
                <w:lang w:eastAsia="en-US"/>
              </w:rPr>
              <w:t>2) s</w:t>
            </w:r>
            <w:r w:rsidRPr="002B3ED8">
              <w:rPr>
                <w:rFonts w:eastAsia="Calibri"/>
                <w:lang w:eastAsia="en-US"/>
              </w:rPr>
              <w:t>avukārt  Labklājības ministrija iesniedz priekšlikumus par speciālā budžeta bāzi Finanšu ministrijā līdz 7.februārim.</w:t>
            </w:r>
          </w:p>
          <w:p w14:paraId="5E21DCF6" w14:textId="77777777" w:rsidR="003C16D7" w:rsidRDefault="00C102D1" w:rsidP="002634CF">
            <w:pPr>
              <w:ind w:left="142" w:right="79"/>
              <w:jc w:val="both"/>
              <w:rPr>
                <w:rFonts w:eastAsia="Calibri"/>
                <w:lang w:eastAsia="en-US"/>
              </w:rPr>
            </w:pPr>
            <w:r>
              <w:rPr>
                <w:rFonts w:eastAsia="Calibri"/>
                <w:lang w:eastAsia="en-US"/>
              </w:rPr>
              <w:t xml:space="preserve">Valsts speciālā </w:t>
            </w:r>
            <w:r w:rsidR="002B3ED8" w:rsidRPr="002B3ED8">
              <w:rPr>
                <w:rFonts w:eastAsia="Calibri"/>
                <w:lang w:eastAsia="en-US"/>
              </w:rPr>
              <w:t xml:space="preserve">budžeta bāzes </w:t>
            </w:r>
            <w:r w:rsidR="003C16D7">
              <w:rPr>
                <w:rFonts w:eastAsia="Calibri"/>
                <w:lang w:eastAsia="en-US"/>
              </w:rPr>
              <w:t xml:space="preserve">varētu noteikt precīzāk, ja </w:t>
            </w:r>
            <w:r>
              <w:rPr>
                <w:rFonts w:eastAsia="Calibri"/>
                <w:lang w:eastAsia="en-US"/>
              </w:rPr>
              <w:t xml:space="preserve">minētie pasākumu izpildes </w:t>
            </w:r>
            <w:r w:rsidR="003C16D7">
              <w:rPr>
                <w:rFonts w:eastAsia="Calibri"/>
                <w:lang w:eastAsia="en-US"/>
              </w:rPr>
              <w:t xml:space="preserve">datumi tiktu </w:t>
            </w:r>
            <w:r w:rsidR="00BC014A">
              <w:rPr>
                <w:rFonts w:eastAsia="Calibri"/>
                <w:lang w:eastAsia="en-US"/>
              </w:rPr>
              <w:t>pārskatīti</w:t>
            </w:r>
            <w:r>
              <w:rPr>
                <w:rFonts w:eastAsia="Calibri"/>
                <w:lang w:eastAsia="en-US"/>
              </w:rPr>
              <w:t>, jo tā rezultātā būtu precīzāka pieejama informācija arī par iepriekšējā saimnieciskā gada datiem</w:t>
            </w:r>
            <w:r w:rsidR="003C16D7">
              <w:rPr>
                <w:rFonts w:eastAsia="Calibri"/>
                <w:lang w:eastAsia="en-US"/>
              </w:rPr>
              <w:t xml:space="preserve">. </w:t>
            </w:r>
          </w:p>
          <w:p w14:paraId="5426A71A" w14:textId="77777777" w:rsidR="002B3ED8" w:rsidRDefault="003C16D7" w:rsidP="002634CF">
            <w:pPr>
              <w:spacing w:after="120"/>
              <w:ind w:left="142" w:right="79"/>
              <w:jc w:val="both"/>
              <w:rPr>
                <w:rFonts w:eastAsia="Calibri"/>
                <w:lang w:eastAsia="en-US"/>
              </w:rPr>
            </w:pPr>
            <w:r>
              <w:rPr>
                <w:rFonts w:eastAsia="Calibri"/>
                <w:lang w:eastAsia="en-US"/>
              </w:rPr>
              <w:t>Noteikumu projekts paredz, ka</w:t>
            </w:r>
            <w:r w:rsidR="00C102D1">
              <w:t xml:space="preserve"> turpmāk </w:t>
            </w:r>
            <w:r w:rsidR="00980382">
              <w:t xml:space="preserve">Finanšu ministrija noteiks </w:t>
            </w:r>
            <w:r w:rsidR="00C102D1">
              <w:t xml:space="preserve">termiņu kādā </w:t>
            </w:r>
            <w:r w:rsidR="00C102D1" w:rsidRPr="00C102D1">
              <w:rPr>
                <w:rFonts w:eastAsia="Calibri"/>
                <w:lang w:eastAsia="en-US"/>
              </w:rPr>
              <w:t>Labklājības ministrija iesniedz priekšlikumus par speciālā budžeta bāzi Finanšu ministrijā</w:t>
            </w:r>
            <w:r w:rsidR="00980382">
              <w:rPr>
                <w:rFonts w:eastAsia="Calibri"/>
                <w:lang w:eastAsia="en-US"/>
              </w:rPr>
              <w:t>.</w:t>
            </w:r>
          </w:p>
          <w:p w14:paraId="69E57333" w14:textId="77777777" w:rsidR="00BA7031" w:rsidRPr="00123439" w:rsidRDefault="001F3005" w:rsidP="002634CF">
            <w:pPr>
              <w:ind w:left="142" w:right="81"/>
              <w:jc w:val="both"/>
              <w:rPr>
                <w:iCs/>
              </w:rPr>
            </w:pPr>
            <w:r w:rsidRPr="00123439">
              <w:rPr>
                <w:iCs/>
                <w:u w:val="single"/>
              </w:rPr>
              <w:t xml:space="preserve">MK noteikumi Nr.867 būtu pilnveidojami, lai novērstu </w:t>
            </w:r>
            <w:r w:rsidR="00AA1585" w:rsidRPr="00123439">
              <w:rPr>
                <w:iCs/>
                <w:u w:val="single"/>
              </w:rPr>
              <w:t xml:space="preserve">šādas </w:t>
            </w:r>
            <w:r w:rsidR="00531E88" w:rsidRPr="00123439">
              <w:rPr>
                <w:iCs/>
                <w:u w:val="single"/>
              </w:rPr>
              <w:t>es</w:t>
            </w:r>
            <w:r w:rsidRPr="00123439">
              <w:rPr>
                <w:iCs/>
                <w:u w:val="single"/>
              </w:rPr>
              <w:t>ošās nepilnības jauno politikas iniciatīvu iesniegšanas un vērtēšanas procesā</w:t>
            </w:r>
            <w:r w:rsidRPr="00123439">
              <w:rPr>
                <w:iCs/>
              </w:rPr>
              <w:t>:</w:t>
            </w:r>
          </w:p>
          <w:p w14:paraId="228154CE" w14:textId="77777777" w:rsidR="00767BC3" w:rsidRDefault="00CC277D" w:rsidP="002634CF">
            <w:pPr>
              <w:ind w:left="142" w:right="81"/>
              <w:jc w:val="both"/>
              <w:rPr>
                <w:iCs/>
              </w:rPr>
            </w:pPr>
            <w:r>
              <w:rPr>
                <w:iCs/>
              </w:rPr>
              <w:t>1</w:t>
            </w:r>
            <w:r w:rsidR="00767BC3">
              <w:rPr>
                <w:iCs/>
              </w:rPr>
              <w:t>. Ņemot vērā</w:t>
            </w:r>
            <w:r w:rsidR="00FD455B">
              <w:rPr>
                <w:iCs/>
              </w:rPr>
              <w:t>,</w:t>
            </w:r>
            <w:r w:rsidR="00767BC3">
              <w:rPr>
                <w:iCs/>
              </w:rPr>
              <w:t xml:space="preserve"> ka jauno politikas iniciatīvu vērtēšana ir sadalīta atbilstoši diviem valstī pastāvoš</w:t>
            </w:r>
            <w:r w:rsidR="00BC014A">
              <w:rPr>
                <w:iCs/>
              </w:rPr>
              <w:t>aj</w:t>
            </w:r>
            <w:r w:rsidR="00767BC3">
              <w:rPr>
                <w:iCs/>
              </w:rPr>
              <w:t xml:space="preserve">iem </w:t>
            </w:r>
            <w:r>
              <w:rPr>
                <w:iCs/>
              </w:rPr>
              <w:t xml:space="preserve">hierarhiski </w:t>
            </w:r>
            <w:r w:rsidR="00767BC3">
              <w:rPr>
                <w:iCs/>
              </w:rPr>
              <w:t>augstākajiem plānošanas dokumentiem: nacionālajam attīstības plānam un valsts aizsardzības koncepcijai, tad</w:t>
            </w:r>
            <w:r w:rsidR="00767BC3">
              <w:t xml:space="preserve"> </w:t>
            </w:r>
            <w:r w:rsidR="00767BC3" w:rsidRPr="00767BC3">
              <w:rPr>
                <w:iCs/>
              </w:rPr>
              <w:t xml:space="preserve">pirms </w:t>
            </w:r>
            <w:r w:rsidR="00550B06">
              <w:rPr>
                <w:iCs/>
              </w:rPr>
              <w:t xml:space="preserve">lēmuma pieņemšanas par atbalstāmajām jaunajām politikas iniciatīvām, </w:t>
            </w:r>
            <w:r w:rsidR="00FD455B">
              <w:rPr>
                <w:iCs/>
              </w:rPr>
              <w:t>var būt</w:t>
            </w:r>
            <w:r w:rsidR="00767BC3" w:rsidRPr="00767BC3">
              <w:rPr>
                <w:iCs/>
              </w:rPr>
              <w:t xml:space="preserve"> nepieciešams noteikt </w:t>
            </w:r>
            <w:r w:rsidR="00D34939">
              <w:rPr>
                <w:iCs/>
              </w:rPr>
              <w:t>novirzāmo</w:t>
            </w:r>
            <w:r w:rsidR="00767BC3" w:rsidRPr="00767BC3">
              <w:rPr>
                <w:iCs/>
              </w:rPr>
              <w:t xml:space="preserve"> līdzekļu apjomu no attīstības daļas izdevumiem, kas paredzēti tādām aizsardzības jomas jaunās politikas iniciatīvām, kas izrietēs  no valsts aizsardzības koncepcijas.</w:t>
            </w:r>
          </w:p>
          <w:p w14:paraId="569F1E2E" w14:textId="77777777" w:rsidR="00C90FFC" w:rsidRPr="00767BC3" w:rsidRDefault="00C90FFC" w:rsidP="002634CF">
            <w:pPr>
              <w:spacing w:after="120"/>
              <w:ind w:left="113" w:right="130"/>
              <w:jc w:val="both"/>
              <w:rPr>
                <w:rFonts w:eastAsia="Calibri"/>
                <w:lang w:eastAsia="en-US"/>
              </w:rPr>
            </w:pPr>
            <w:r w:rsidRPr="00254E1F">
              <w:rPr>
                <w:rFonts w:eastAsia="Calibri"/>
                <w:lang w:eastAsia="en-US"/>
              </w:rPr>
              <w:t>Noteikumu projekts paredz</w:t>
            </w:r>
            <w:r w:rsidR="002D7349" w:rsidRPr="00254E1F">
              <w:rPr>
                <w:rFonts w:eastAsia="Calibri"/>
                <w:lang w:eastAsia="en-US"/>
              </w:rPr>
              <w:t xml:space="preserve">, ka </w:t>
            </w:r>
            <w:r w:rsidR="00550B06" w:rsidRPr="00254E1F">
              <w:rPr>
                <w:bCs/>
              </w:rPr>
              <w:t xml:space="preserve">Ministru kabinets pirms lēmuma pieņemšanas par atbalstāmajām jaunajām politikas iniciatīvām </w:t>
            </w:r>
            <w:r w:rsidR="00F17E69" w:rsidRPr="00254E1F">
              <w:rPr>
                <w:bCs/>
              </w:rPr>
              <w:t xml:space="preserve">pēc Finanšu ministrijas priekšlikuma </w:t>
            </w:r>
            <w:r w:rsidR="00550B06" w:rsidRPr="00254E1F">
              <w:rPr>
                <w:bCs/>
              </w:rPr>
              <w:t xml:space="preserve">var noteikt kopējo pieejamo finansējumu šādā sadalījumā: finansējums pasākumiem, kas atbilst nacionālajam attīstības plānam un citiem attīstības plānošanas dokumentiem, finansējumu administratīvās kapacitātes stiprināšanas pasākumiem, kā arī finansējumu pasākumiem, kas atbilst valsts aizsardzības koncepcijai. </w:t>
            </w:r>
            <w:r w:rsidR="00FD455B" w:rsidRPr="00254E1F">
              <w:rPr>
                <w:rFonts w:eastAsia="Calibri"/>
                <w:lang w:eastAsia="en-US"/>
              </w:rPr>
              <w:t xml:space="preserve">Attiecīgi </w:t>
            </w:r>
            <w:r w:rsidR="00FD455B" w:rsidRPr="00254E1F">
              <w:t xml:space="preserve">ar </w:t>
            </w:r>
            <w:r w:rsidR="00FD455B" w:rsidRPr="00254E1F">
              <w:rPr>
                <w:rFonts w:eastAsia="Calibri"/>
                <w:lang w:eastAsia="en-US"/>
              </w:rPr>
              <w:t xml:space="preserve">pasākumiem, kas atbilst valsts aizsardzības koncepcijai saprot </w:t>
            </w:r>
            <w:r w:rsidRPr="00254E1F">
              <w:rPr>
                <w:rFonts w:eastAsia="Calibri"/>
                <w:lang w:eastAsia="en-US"/>
              </w:rPr>
              <w:t>paredzēt</w:t>
            </w:r>
            <w:r w:rsidR="00FD455B" w:rsidRPr="00254E1F">
              <w:rPr>
                <w:rFonts w:eastAsia="Calibri"/>
                <w:lang w:eastAsia="en-US"/>
              </w:rPr>
              <w:t>o</w:t>
            </w:r>
            <w:r w:rsidRPr="00254E1F">
              <w:rPr>
                <w:rFonts w:eastAsia="Calibri"/>
                <w:lang w:eastAsia="en-US"/>
              </w:rPr>
              <w:t xml:space="preserve"> finansējum</w:t>
            </w:r>
            <w:r w:rsidR="00FD455B" w:rsidRPr="00254E1F">
              <w:rPr>
                <w:rFonts w:eastAsia="Calibri"/>
                <w:lang w:eastAsia="en-US"/>
              </w:rPr>
              <w:t>u</w:t>
            </w:r>
            <w:r w:rsidRPr="00254E1F">
              <w:rPr>
                <w:rFonts w:eastAsia="Calibri"/>
                <w:lang w:eastAsia="en-US"/>
              </w:rPr>
              <w:t xml:space="preserve"> tādām jaunajām politikas iniciatīvām, kuras Finanšu ministrijas un Pārresoru koordinācijas centra veiktajā kritērijam </w:t>
            </w:r>
            <w:r w:rsidRPr="00254E1F">
              <w:rPr>
                <w:rFonts w:eastAsia="Calibri"/>
                <w:lang w:eastAsia="en-US"/>
              </w:rPr>
              <w:lastRenderedPageBreak/>
              <w:t>„Atbilstība valsts aizsardzības koncepcijai” vidējā vērtējumā saņems vismaz minimālo punktu skaitu jeb 1,5 punktus. Pārējās aizsardzības jomas jaunās politikas iniciatīvas, kas vērtēšanas procesā vienlaikus gan Finanšu ministrijas, gan Pārresoru koordinācijas centra vērtējumā pilnībā neatbildīs Valsts aizsardzības koncepcijai</w:t>
            </w:r>
            <w:r w:rsidR="002D7349" w:rsidRPr="00254E1F">
              <w:rPr>
                <w:rFonts w:eastAsia="Calibri"/>
                <w:lang w:eastAsia="en-US"/>
              </w:rPr>
              <w:t xml:space="preserve"> (</w:t>
            </w:r>
            <w:r w:rsidR="00B55733" w:rsidRPr="00254E1F">
              <w:rPr>
                <w:rFonts w:eastAsia="Calibri"/>
                <w:lang w:eastAsia="en-US"/>
              </w:rPr>
              <w:t xml:space="preserve">vidējā </w:t>
            </w:r>
            <w:r w:rsidR="002D7349" w:rsidRPr="00254E1F">
              <w:rPr>
                <w:rFonts w:eastAsia="Calibri"/>
                <w:lang w:eastAsia="en-US"/>
              </w:rPr>
              <w:t>vērtējumā saņems 0 punktus)</w:t>
            </w:r>
            <w:r w:rsidRPr="00254E1F">
              <w:rPr>
                <w:rFonts w:eastAsia="Calibri"/>
                <w:lang w:eastAsia="en-US"/>
              </w:rPr>
              <w:t xml:space="preserve"> finansējuma piešķiršanas ziņā tiek skatītas kopā ar visu citu ministriju jaunajām politikas iniciatīvām.</w:t>
            </w:r>
            <w:r w:rsidRPr="00767BC3">
              <w:rPr>
                <w:rFonts w:eastAsia="Calibri"/>
                <w:lang w:eastAsia="en-US"/>
              </w:rPr>
              <w:t xml:space="preserve"> </w:t>
            </w:r>
            <w:r>
              <w:t xml:space="preserve"> </w:t>
            </w:r>
          </w:p>
          <w:p w14:paraId="31559F28" w14:textId="77777777" w:rsidR="00C90FFC" w:rsidRDefault="00CC277D" w:rsidP="002634CF">
            <w:pPr>
              <w:ind w:left="142" w:right="81"/>
              <w:jc w:val="both"/>
              <w:rPr>
                <w:iCs/>
              </w:rPr>
            </w:pPr>
            <w:r>
              <w:rPr>
                <w:iCs/>
              </w:rPr>
              <w:t>2</w:t>
            </w:r>
            <w:r w:rsidR="00072749" w:rsidRPr="00123439">
              <w:rPr>
                <w:iCs/>
              </w:rPr>
              <w:t>.</w:t>
            </w:r>
            <w:r w:rsidR="001F3005" w:rsidRPr="00123439">
              <w:rPr>
                <w:iCs/>
              </w:rPr>
              <w:t xml:space="preserve"> Nav iespējams </w:t>
            </w:r>
            <w:r w:rsidR="006F7EE0" w:rsidRPr="00123439">
              <w:rPr>
                <w:iCs/>
              </w:rPr>
              <w:t>informatīviem mērķiem pietiekami precīzi novērtēt ieņēmumu</w:t>
            </w:r>
            <w:r w:rsidR="00B235FE" w:rsidRPr="00123439">
              <w:rPr>
                <w:iCs/>
              </w:rPr>
              <w:t xml:space="preserve"> izmaiņas</w:t>
            </w:r>
            <w:r w:rsidR="006F7EE0" w:rsidRPr="00123439">
              <w:rPr>
                <w:iCs/>
              </w:rPr>
              <w:t xml:space="preserve"> no tādām </w:t>
            </w:r>
            <w:r w:rsidR="00DF2792" w:rsidRPr="00123439">
              <w:rPr>
                <w:iCs/>
              </w:rPr>
              <w:t>jaun</w:t>
            </w:r>
            <w:r w:rsidR="006F7EE0" w:rsidRPr="00123439">
              <w:rPr>
                <w:iCs/>
              </w:rPr>
              <w:t>ajām</w:t>
            </w:r>
            <w:r w:rsidR="00DF2792" w:rsidRPr="00123439">
              <w:rPr>
                <w:iCs/>
              </w:rPr>
              <w:t xml:space="preserve"> politikas iniciatīv</w:t>
            </w:r>
            <w:r w:rsidR="006F7EE0" w:rsidRPr="00123439">
              <w:rPr>
                <w:iCs/>
              </w:rPr>
              <w:t>ām</w:t>
            </w:r>
            <w:r w:rsidR="00C22703" w:rsidRPr="00123439">
              <w:rPr>
                <w:iCs/>
              </w:rPr>
              <w:t xml:space="preserve">, </w:t>
            </w:r>
            <w:r w:rsidR="006F7EE0" w:rsidRPr="00123439">
              <w:rPr>
                <w:iCs/>
              </w:rPr>
              <w:t xml:space="preserve">kuru īstenošana ir vērsta uz nodokļu vai nenodokļu jauna veida ieņēmumu radīšanu vai ieņēmumu no esoša ieņēmumu veida apmēra </w:t>
            </w:r>
            <w:r w:rsidR="0098003D" w:rsidRPr="00123439">
              <w:rPr>
                <w:iCs/>
              </w:rPr>
              <w:t>izmaiņām</w:t>
            </w:r>
            <w:r w:rsidR="002D7349">
              <w:rPr>
                <w:iCs/>
              </w:rPr>
              <w:t>, kā arī j</w:t>
            </w:r>
            <w:r w:rsidR="002D7349" w:rsidRPr="002D7349">
              <w:rPr>
                <w:iCs/>
              </w:rPr>
              <w:t>auno politikas iniciatīvu pieteikumu veidlapās nav ietverta informācija par jaunās politikas iniciatīvas neto fiskālo ietekmi</w:t>
            </w:r>
            <w:r w:rsidR="002D7349">
              <w:rPr>
                <w:iCs/>
              </w:rPr>
              <w:t>.</w:t>
            </w:r>
            <w:r w:rsidR="00082662">
              <w:rPr>
                <w:iCs/>
              </w:rPr>
              <w:t xml:space="preserve"> </w:t>
            </w:r>
            <w:r w:rsidR="00041966" w:rsidRPr="00123439">
              <w:t xml:space="preserve"> </w:t>
            </w:r>
          </w:p>
          <w:p w14:paraId="3CC79035" w14:textId="77777777" w:rsidR="00127768" w:rsidRDefault="00127768" w:rsidP="002634CF">
            <w:pPr>
              <w:ind w:left="142" w:right="79"/>
              <w:jc w:val="both"/>
            </w:pPr>
            <w:r w:rsidRPr="00127768">
              <w:t>Noteikumu projekts paredz</w:t>
            </w:r>
            <w:r>
              <w:t>, ka j</w:t>
            </w:r>
            <w:r w:rsidRPr="00127768">
              <w:t>aunajām politikas iniciatīvām, kuru īstenošana ir vērsta arī uz nodokļu vai nenodokļu jauna veida ieņēmumu radīšanu vai ieņēmumu no esoša ieņēmumu veida apmēra izmaiņām, pieteikumā tiks uzrādītas prognozētās kopējās ieņēmumu izmaiņas, to sadalījums pa ieņēmumu veidiem, tai skaitā atsevišķiem nodokļiem, kā arī tiks sniegti aprēķini, kas pamatos ieņēmumu izmaiņu prognozes</w:t>
            </w:r>
            <w:r>
              <w:t>,</w:t>
            </w:r>
            <w:r w:rsidRPr="00123439">
              <w:t xml:space="preserve"> kas nodrošinās iesniegto datu ticamību. Tas optimizēs apstrādājamo datu apjomus, kā arī ļaus informatīviem mērķiem novērtēt neto fiskālo ietekmi par tām jaunajām politikas iniciatīvām, kuras ir būtiskas papildu ieņēmumu nodrošināšanā valsts budžetam.</w:t>
            </w:r>
          </w:p>
          <w:p w14:paraId="4EF41074" w14:textId="735E2208" w:rsidR="00127768" w:rsidRDefault="00127768" w:rsidP="002634CF">
            <w:pPr>
              <w:spacing w:after="120"/>
              <w:ind w:left="142" w:right="79"/>
              <w:jc w:val="both"/>
            </w:pPr>
            <w:r>
              <w:t xml:space="preserve">Līdz ar to </w:t>
            </w:r>
            <w:r w:rsidRPr="00127768">
              <w:t>jaunās politikas iniciatīvas pieteikumā nav jānorāda tādas ieņēmumu izmaiņas, kas ir izrietošas tikai no jaunās politikas iniciatīvas īstenošanas rezultātā veiktajiem izdevumiem (</w:t>
            </w:r>
            <w:r w:rsidRPr="00254E1F">
              <w:t>piemēram</w:t>
            </w:r>
            <w:r w:rsidR="00254E1F">
              <w:t xml:space="preserve">, </w:t>
            </w:r>
            <w:r w:rsidRPr="00254E1F">
              <w:t>pieprasot līdzekļus jaunām amata vietām, nenorāda budžetā ieskaitāmo iedzīvotāju ienākuma nodokli, valsts sociālās apdrošināšanas iemaksas</w:t>
            </w:r>
            <w:r w:rsidR="00254E1F">
              <w:t xml:space="preserve">. </w:t>
            </w:r>
            <w:r w:rsidRPr="00254E1F">
              <w:t>Tāpat par plānotajiem izdevumiem precēm un pakalpojumiem – nenorāda budžetā iemaksājamo  pievienotās vērtības nodokli u.t.t.).</w:t>
            </w:r>
            <w:r w:rsidRPr="00127768">
              <w:t xml:space="preserve"> Nodokļu politikas izmaiņas, kas  nodrošina  valsts budžeta ieņēmumu izmaiņas (piemēram, tiek paplašināta ar nodokli apliekamā bāze, tiek mainītas nodokļa likmes), taču vienlaikus netiek pieprasīti līdzekļi papildus izdevumiem</w:t>
            </w:r>
            <w:r>
              <w:t>, lai nodrošinātu minēto ieņēmumu pieaugumu</w:t>
            </w:r>
            <w:r w:rsidRPr="00127768">
              <w:t>, nav uzskatāmas par jaunajām politikas iniciatīvām šo Ministru kabineta noteikumu izpratnē.</w:t>
            </w:r>
          </w:p>
          <w:p w14:paraId="04280BC2" w14:textId="77777777" w:rsidR="001630FC" w:rsidRDefault="00CC277D" w:rsidP="002634CF">
            <w:pPr>
              <w:ind w:left="142" w:right="81"/>
              <w:jc w:val="both"/>
              <w:rPr>
                <w:iCs/>
              </w:rPr>
            </w:pPr>
            <w:r>
              <w:rPr>
                <w:iCs/>
              </w:rPr>
              <w:t>3</w:t>
            </w:r>
            <w:r w:rsidR="00F51403" w:rsidRPr="00123439">
              <w:rPr>
                <w:iCs/>
              </w:rPr>
              <w:t>.</w:t>
            </w:r>
            <w:r w:rsidR="007E3CB9" w:rsidRPr="00123439">
              <w:rPr>
                <w:iCs/>
              </w:rPr>
              <w:t> </w:t>
            </w:r>
            <w:r w:rsidR="00482AE6" w:rsidRPr="00123439">
              <w:rPr>
                <w:iCs/>
              </w:rPr>
              <w:t>M</w:t>
            </w:r>
            <w:r w:rsidR="001630FC" w:rsidRPr="00123439">
              <w:rPr>
                <w:iCs/>
              </w:rPr>
              <w:t>inistrijas iesniedz līdzekļu pieprasījumu par jomām</w:t>
            </w:r>
            <w:r w:rsidR="00137E65" w:rsidRPr="00123439">
              <w:rPr>
                <w:iCs/>
              </w:rPr>
              <w:t xml:space="preserve">, </w:t>
            </w:r>
            <w:r w:rsidR="001630FC" w:rsidRPr="00123439">
              <w:rPr>
                <w:iCs/>
              </w:rPr>
              <w:t xml:space="preserve">kurām </w:t>
            </w:r>
            <w:r w:rsidR="008C3B6B" w:rsidRPr="00123439">
              <w:rPr>
                <w:iCs/>
              </w:rPr>
              <w:t>Ministru kabinets</w:t>
            </w:r>
            <w:r w:rsidR="001630FC" w:rsidRPr="00123439">
              <w:rPr>
                <w:iCs/>
              </w:rPr>
              <w:t xml:space="preserve"> </w:t>
            </w:r>
            <w:r w:rsidR="00482AE6" w:rsidRPr="00123439">
              <w:rPr>
                <w:iCs/>
              </w:rPr>
              <w:t xml:space="preserve">jau iepriekš </w:t>
            </w:r>
            <w:r w:rsidR="00AA1585" w:rsidRPr="00123439">
              <w:rPr>
                <w:iCs/>
              </w:rPr>
              <w:t xml:space="preserve">lēmis </w:t>
            </w:r>
            <w:r w:rsidR="001630FC" w:rsidRPr="00123439">
              <w:rPr>
                <w:iCs/>
              </w:rPr>
              <w:t>horizontāli</w:t>
            </w:r>
            <w:r w:rsidR="008363CD" w:rsidRPr="00123439">
              <w:rPr>
                <w:iCs/>
              </w:rPr>
              <w:t xml:space="preserve"> </w:t>
            </w:r>
            <w:r w:rsidR="00531E88" w:rsidRPr="00123439">
              <w:rPr>
                <w:iCs/>
              </w:rPr>
              <w:t xml:space="preserve">starpnozaru līmenī </w:t>
            </w:r>
            <w:r w:rsidR="008363CD" w:rsidRPr="00123439">
              <w:rPr>
                <w:iCs/>
              </w:rPr>
              <w:t>(piemēram, par atalgojuma palielinājumu valsts pārvaldē strādājošiem</w:t>
            </w:r>
            <w:r w:rsidR="00482AE6" w:rsidRPr="00123439">
              <w:rPr>
                <w:iCs/>
              </w:rPr>
              <w:t>)</w:t>
            </w:r>
            <w:r w:rsidR="001630FC" w:rsidRPr="00123439">
              <w:rPr>
                <w:iCs/>
              </w:rPr>
              <w:t>.</w:t>
            </w:r>
            <w:r w:rsidR="001F3D07" w:rsidRPr="00123439">
              <w:rPr>
                <w:iCs/>
              </w:rPr>
              <w:t xml:space="preserve"> Līdz ar to tas rada papildu slogu, </w:t>
            </w:r>
            <w:r w:rsidR="008363CD" w:rsidRPr="00123439">
              <w:rPr>
                <w:iCs/>
              </w:rPr>
              <w:t xml:space="preserve">ja katra ministrija virza šāda veida </w:t>
            </w:r>
            <w:r w:rsidR="00F87C00" w:rsidRPr="00123439">
              <w:rPr>
                <w:iCs/>
              </w:rPr>
              <w:t xml:space="preserve">jauno politikas iniciatīvu </w:t>
            </w:r>
            <w:r w:rsidR="008363CD" w:rsidRPr="00123439">
              <w:rPr>
                <w:iCs/>
              </w:rPr>
              <w:t>atsevišķi</w:t>
            </w:r>
            <w:r w:rsidR="00137E65" w:rsidRPr="00123439">
              <w:rPr>
                <w:iCs/>
              </w:rPr>
              <w:t>,</w:t>
            </w:r>
            <w:r w:rsidR="00F87C00" w:rsidRPr="00123439">
              <w:rPr>
                <w:iCs/>
              </w:rPr>
              <w:t xml:space="preserve"> nevis tiek gatavots kopējs līdzekļu pieprasījums, ko virza tā ministrija, kas noteikta par atbildīgo attiecīgā Ministru kabineta lēmumā.</w:t>
            </w:r>
          </w:p>
          <w:p w14:paraId="0F57CE3F" w14:textId="77777777" w:rsidR="008532CC" w:rsidRDefault="008532CC" w:rsidP="002634CF">
            <w:pPr>
              <w:spacing w:after="120"/>
              <w:ind w:left="142" w:right="81"/>
              <w:jc w:val="both"/>
            </w:pPr>
            <w:r>
              <w:t>Noteikumu projekts paredz</w:t>
            </w:r>
            <w:r w:rsidR="00BE5986">
              <w:t>, ka m</w:t>
            </w:r>
            <w:r w:rsidRPr="00123439">
              <w:t>inistrijas katra atsevišķi neiesniedz līdzekļu pieprasījumu par jomām, kurām Ministru kabinets lēmis horizontāli starpnozaru līmenī</w:t>
            </w:r>
            <w:r>
              <w:t>.</w:t>
            </w:r>
            <w:r w:rsidRPr="00123439">
              <w:t xml:space="preserve"> Ministru kabineta lēmumā attiecīgi </w:t>
            </w:r>
            <w:r>
              <w:t>jā</w:t>
            </w:r>
            <w:r w:rsidRPr="00123439">
              <w:t xml:space="preserve">paredz </w:t>
            </w:r>
            <w:r>
              <w:t xml:space="preserve">pienākumu </w:t>
            </w:r>
            <w:r w:rsidRPr="00123439">
              <w:t xml:space="preserve">konkrētai ministrijai </w:t>
            </w:r>
            <w:r>
              <w:t xml:space="preserve">centralizēti iesniegt tādu starpnozaru </w:t>
            </w:r>
            <w:r w:rsidRPr="00123439">
              <w:t>jauno politikas iniciatīvu</w:t>
            </w:r>
            <w:r>
              <w:t>, to savstarpēji saskaņojot ar iesaistītām ministrijām.</w:t>
            </w:r>
            <w:r w:rsidRPr="00123439">
              <w:t xml:space="preserve"> </w:t>
            </w:r>
            <w:r>
              <w:t xml:space="preserve">Ministrija, kura iesniegs starpnozaru jauno politikas iniciatīvu pieteikumu, pavadvēstulē apliecina, ka saskaņojums veikts ar konkrētām iesaistītajām ministrijām. </w:t>
            </w:r>
            <w:r w:rsidRPr="00123439">
              <w:t>Tādā veidā tiek samazināts administratīvais slogs.</w:t>
            </w:r>
            <w:r w:rsidR="006C5BAB">
              <w:t xml:space="preserve"> Tāpat </w:t>
            </w:r>
            <w:r w:rsidR="006C5BAB" w:rsidRPr="006C5BAB">
              <w:t>ministrija pēc savas iniciatīvas</w:t>
            </w:r>
            <w:r w:rsidR="006C5BAB">
              <w:t xml:space="preserve"> (tajos gadījumos, kad par attiecīgo jomu </w:t>
            </w:r>
            <w:r w:rsidR="00801AFF" w:rsidRPr="00801AFF">
              <w:t xml:space="preserve">Ministru kabinets </w:t>
            </w:r>
            <w:r w:rsidR="00801AFF">
              <w:t xml:space="preserve">nav </w:t>
            </w:r>
            <w:r w:rsidR="00801AFF" w:rsidRPr="00801AFF">
              <w:t>lēmis horizontāli starpnozaru līmenī</w:t>
            </w:r>
            <w:r w:rsidR="00801AFF">
              <w:t>) var</w:t>
            </w:r>
            <w:r w:rsidR="006C5BAB" w:rsidRPr="006C5BAB">
              <w:t xml:space="preserve"> sagatavo</w:t>
            </w:r>
            <w:r w:rsidR="00801AFF">
              <w:t>t</w:t>
            </w:r>
            <w:r w:rsidR="006C5BAB" w:rsidRPr="006C5BAB">
              <w:t xml:space="preserve"> un virz</w:t>
            </w:r>
            <w:r w:rsidR="00801AFF">
              <w:t>īt</w:t>
            </w:r>
            <w:r w:rsidR="006C5BAB" w:rsidRPr="006C5BAB">
              <w:t xml:space="preserve"> priekšlikumu starpnozaru jaunajai politikas iniciatīvai (kurai ir ietekme arī uz citu ministriju izdevumiem)</w:t>
            </w:r>
            <w:r w:rsidR="00801AFF">
              <w:t>. Minētajos gadījumos</w:t>
            </w:r>
            <w:r w:rsidR="006C5BAB" w:rsidRPr="006C5BAB">
              <w:t xml:space="preserve"> ministrija pieprasa no iesaistītām ministrijām izdevumu aprēķinu un </w:t>
            </w:r>
            <w:r w:rsidR="006C5BAB" w:rsidRPr="006C5BAB">
              <w:lastRenderedPageBreak/>
              <w:t>nodrošina jaunās politikas iniciatīvas pieteikumā izdevumu sadalījumu par visām iesaistītajām ministrijām, to savstarpēji saskaņojot</w:t>
            </w:r>
            <w:r w:rsidR="00801AFF">
              <w:t>.</w:t>
            </w:r>
          </w:p>
          <w:p w14:paraId="36900647" w14:textId="77777777" w:rsidR="008C3B6B" w:rsidRDefault="00CC277D" w:rsidP="002634CF">
            <w:pPr>
              <w:ind w:left="142" w:right="79"/>
              <w:jc w:val="both"/>
              <w:rPr>
                <w:iCs/>
              </w:rPr>
            </w:pPr>
            <w:r>
              <w:rPr>
                <w:iCs/>
              </w:rPr>
              <w:t>4</w:t>
            </w:r>
            <w:r w:rsidR="001630FC" w:rsidRPr="00123439">
              <w:rPr>
                <w:iCs/>
              </w:rPr>
              <w:t>.</w:t>
            </w:r>
            <w:r w:rsidR="007E3CB9" w:rsidRPr="00123439">
              <w:rPr>
                <w:iCs/>
              </w:rPr>
              <w:t> </w:t>
            </w:r>
            <w:r w:rsidR="001F3D07" w:rsidRPr="00123439">
              <w:rPr>
                <w:iCs/>
              </w:rPr>
              <w:t>Ievērojot</w:t>
            </w:r>
            <w:r w:rsidR="00A14357">
              <w:rPr>
                <w:iCs/>
              </w:rPr>
              <w:t xml:space="preserve"> </w:t>
            </w:r>
            <w:r w:rsidR="00D06852" w:rsidRPr="00123439">
              <w:rPr>
                <w:iCs/>
              </w:rPr>
              <w:t>Valsts prezidenta kanceleja</w:t>
            </w:r>
            <w:r w:rsidR="00F05152" w:rsidRPr="00123439">
              <w:rPr>
                <w:iCs/>
              </w:rPr>
              <w:t>s</w:t>
            </w:r>
            <w:r w:rsidR="00D06852" w:rsidRPr="00123439">
              <w:rPr>
                <w:iCs/>
              </w:rPr>
              <w:t>, Augstākās tiesa</w:t>
            </w:r>
            <w:r w:rsidR="00F05152" w:rsidRPr="00123439">
              <w:rPr>
                <w:iCs/>
              </w:rPr>
              <w:t>s</w:t>
            </w:r>
            <w:r w:rsidR="00D06852" w:rsidRPr="00123439">
              <w:rPr>
                <w:iCs/>
              </w:rPr>
              <w:t>, Satversmes tiesa</w:t>
            </w:r>
            <w:r w:rsidR="00F05152" w:rsidRPr="00123439">
              <w:rPr>
                <w:iCs/>
              </w:rPr>
              <w:t>s</w:t>
            </w:r>
            <w:r w:rsidR="00D06852" w:rsidRPr="00123439">
              <w:rPr>
                <w:iCs/>
              </w:rPr>
              <w:t xml:space="preserve">, </w:t>
            </w:r>
            <w:r w:rsidR="00F05152" w:rsidRPr="00123439">
              <w:rPr>
                <w:iCs/>
              </w:rPr>
              <w:t>Zemesgrāmatu nodaļu, rajonu (pilsētu) tiesu, apgabaltiesu</w:t>
            </w:r>
            <w:r w:rsidR="00D06852" w:rsidRPr="00123439">
              <w:rPr>
                <w:iCs/>
              </w:rPr>
              <w:t>, Valsts kontrole</w:t>
            </w:r>
            <w:r w:rsidR="00F05152" w:rsidRPr="00123439">
              <w:rPr>
                <w:iCs/>
              </w:rPr>
              <w:t>s</w:t>
            </w:r>
            <w:r w:rsidR="00D06852" w:rsidRPr="00123439">
              <w:rPr>
                <w:iCs/>
              </w:rPr>
              <w:t>, Nacionālās elektronisko plašsaziņas līdzekļu padome</w:t>
            </w:r>
            <w:r w:rsidR="00F05152" w:rsidRPr="00123439">
              <w:rPr>
                <w:iCs/>
              </w:rPr>
              <w:t>s</w:t>
            </w:r>
            <w:r w:rsidR="00D06852" w:rsidRPr="00123439">
              <w:rPr>
                <w:iCs/>
              </w:rPr>
              <w:t>, Tiesībsarga biroja, Sabiedrisko pakalpojumu regulēšanas komisija</w:t>
            </w:r>
            <w:r w:rsidR="00F05152" w:rsidRPr="00123439">
              <w:rPr>
                <w:iCs/>
              </w:rPr>
              <w:t>s</w:t>
            </w:r>
            <w:r w:rsidR="00D06852" w:rsidRPr="00123439">
              <w:rPr>
                <w:iCs/>
              </w:rPr>
              <w:t xml:space="preserve"> un Ģenerālprokuratūra</w:t>
            </w:r>
            <w:r w:rsidR="00F05152" w:rsidRPr="00123439">
              <w:rPr>
                <w:iCs/>
              </w:rPr>
              <w:t>s</w:t>
            </w:r>
            <w:r w:rsidR="00D06852" w:rsidRPr="00123439">
              <w:rPr>
                <w:iCs/>
              </w:rPr>
              <w:t xml:space="preserve"> </w:t>
            </w:r>
            <w:r w:rsidR="00F05152" w:rsidRPr="00123439">
              <w:rPr>
                <w:iCs/>
              </w:rPr>
              <w:t>neatkarību budžeta sagatavošanā</w:t>
            </w:r>
            <w:r w:rsidR="00D06852" w:rsidRPr="00123439">
              <w:rPr>
                <w:iCs/>
              </w:rPr>
              <w:t xml:space="preserve">, </w:t>
            </w:r>
            <w:r w:rsidR="001F3D07" w:rsidRPr="00123439">
              <w:rPr>
                <w:iCs/>
              </w:rPr>
              <w:t xml:space="preserve">nav nepieciešams </w:t>
            </w:r>
            <w:r w:rsidR="001630FC" w:rsidRPr="00123439">
              <w:rPr>
                <w:iCs/>
              </w:rPr>
              <w:t>Finanšu ministrija</w:t>
            </w:r>
            <w:r w:rsidR="001F3D07" w:rsidRPr="00123439">
              <w:rPr>
                <w:iCs/>
              </w:rPr>
              <w:t>s</w:t>
            </w:r>
            <w:r w:rsidR="001630FC" w:rsidRPr="00123439">
              <w:rPr>
                <w:iCs/>
              </w:rPr>
              <w:t xml:space="preserve"> un Pārresoru koordinācijas centr</w:t>
            </w:r>
            <w:r w:rsidR="001F3D07" w:rsidRPr="00123439">
              <w:rPr>
                <w:iCs/>
              </w:rPr>
              <w:t>a vērtējums</w:t>
            </w:r>
            <w:r w:rsidR="00F87C00" w:rsidRPr="00123439">
              <w:rPr>
                <w:iCs/>
              </w:rPr>
              <w:t xml:space="preserve"> par</w:t>
            </w:r>
            <w:r w:rsidR="001F3D07" w:rsidRPr="00123439">
              <w:rPr>
                <w:iCs/>
              </w:rPr>
              <w:t xml:space="preserve"> to </w:t>
            </w:r>
            <w:r w:rsidR="00AA1585" w:rsidRPr="00123439">
              <w:rPr>
                <w:iCs/>
              </w:rPr>
              <w:t xml:space="preserve">sagatavotajām </w:t>
            </w:r>
            <w:r w:rsidR="001F3D07" w:rsidRPr="00123439">
              <w:rPr>
                <w:iCs/>
              </w:rPr>
              <w:t>jaunajām politikas iniciatīvām</w:t>
            </w:r>
            <w:r w:rsidR="00F87C00" w:rsidRPr="00123439">
              <w:rPr>
                <w:iCs/>
              </w:rPr>
              <w:t xml:space="preserve"> pēc MK noteikumu Nr.867 4.pielikumā paredzētās punktu skalas.</w:t>
            </w:r>
            <w:r w:rsidR="008C3B6B" w:rsidRPr="00123439">
              <w:rPr>
                <w:iCs/>
              </w:rPr>
              <w:t xml:space="preserve"> </w:t>
            </w:r>
          </w:p>
          <w:p w14:paraId="4E4D9EE5" w14:textId="77777777" w:rsidR="008532CC" w:rsidRPr="00123439" w:rsidRDefault="008532CC" w:rsidP="002634CF">
            <w:pPr>
              <w:spacing w:after="120"/>
              <w:ind w:left="142" w:right="79"/>
              <w:jc w:val="both"/>
            </w:pPr>
            <w:r>
              <w:t>Noteikumu projekts paredz</w:t>
            </w:r>
            <w:r w:rsidR="00BE5986">
              <w:t xml:space="preserve">, ka </w:t>
            </w:r>
            <w:r w:rsidRPr="00123439">
              <w:t>Finanšu ministrija un Pārresoru koordinācijas centrs nevērtē</w:t>
            </w:r>
            <w:r>
              <w:t>s</w:t>
            </w:r>
            <w:r w:rsidRPr="00123439">
              <w:t xml:space="preserve"> pēc MK noteikumu Nr.867 4.pielikumā paredzētās punktu skalas</w:t>
            </w:r>
            <w:r>
              <w:t xml:space="preserve"> </w:t>
            </w:r>
            <w:r w:rsidR="00BE5986">
              <w:t xml:space="preserve">minēto institūciju </w:t>
            </w:r>
            <w:r w:rsidRPr="00123439">
              <w:t>jaunās politikas iniciatīvas. Tādā veidā tiek nodrošināta</w:t>
            </w:r>
            <w:r>
              <w:t>s</w:t>
            </w:r>
            <w:r w:rsidRPr="00123439">
              <w:t xml:space="preserve"> neatkarīgo iestāžu tiesības uz budžeta patstāvību.</w:t>
            </w:r>
          </w:p>
          <w:p w14:paraId="12D58D83" w14:textId="77777777" w:rsidR="001630FC" w:rsidRDefault="00CC277D" w:rsidP="002634CF">
            <w:pPr>
              <w:ind w:left="142" w:right="79"/>
              <w:jc w:val="both"/>
              <w:rPr>
                <w:iCs/>
              </w:rPr>
            </w:pPr>
            <w:r>
              <w:rPr>
                <w:iCs/>
              </w:rPr>
              <w:t>5</w:t>
            </w:r>
            <w:r w:rsidR="001F3D07" w:rsidRPr="00123439">
              <w:rPr>
                <w:iCs/>
              </w:rPr>
              <w:t>.</w:t>
            </w:r>
            <w:r w:rsidR="007E3CB9" w:rsidRPr="00123439">
              <w:rPr>
                <w:iCs/>
              </w:rPr>
              <w:t> </w:t>
            </w:r>
            <w:r w:rsidR="00A75371" w:rsidRPr="00123439">
              <w:rPr>
                <w:iCs/>
              </w:rPr>
              <w:t>MK noteikumu Nr.867 3.pielikums „</w:t>
            </w:r>
            <w:r w:rsidR="00F05152" w:rsidRPr="00123439">
              <w:rPr>
                <w:i/>
                <w:iCs/>
              </w:rPr>
              <w:t>Jauno politikas iniciatīvu sarakst</w:t>
            </w:r>
            <w:r w:rsidR="00476ED8">
              <w:rPr>
                <w:i/>
                <w:iCs/>
              </w:rPr>
              <w:t>s</w:t>
            </w:r>
            <w:r w:rsidR="00F05152" w:rsidRPr="00123439">
              <w:rPr>
                <w:i/>
                <w:iCs/>
              </w:rPr>
              <w:t xml:space="preserve"> prioritārā secībā</w:t>
            </w:r>
            <w:r w:rsidR="00A75371" w:rsidRPr="00123439">
              <w:rPr>
                <w:i/>
                <w:iCs/>
              </w:rPr>
              <w:t>”</w:t>
            </w:r>
            <w:r w:rsidR="00F05152" w:rsidRPr="00123439">
              <w:rPr>
                <w:iCs/>
              </w:rPr>
              <w:t xml:space="preserve"> </w:t>
            </w:r>
            <w:r w:rsidR="00A75371" w:rsidRPr="00123439">
              <w:rPr>
                <w:iCs/>
              </w:rPr>
              <w:t>neparedz</w:t>
            </w:r>
            <w:r w:rsidR="00F05152" w:rsidRPr="00123439">
              <w:rPr>
                <w:iCs/>
              </w:rPr>
              <w:t xml:space="preserve"> uzrādīt </w:t>
            </w:r>
            <w:r w:rsidR="00F56C41" w:rsidRPr="00123439">
              <w:rPr>
                <w:iCs/>
              </w:rPr>
              <w:t>konkrētas jaunās politikas iniciatīvas</w:t>
            </w:r>
            <w:r w:rsidR="001630FC" w:rsidRPr="00123439">
              <w:rPr>
                <w:iCs/>
              </w:rPr>
              <w:t xml:space="preserve"> sadalījum</w:t>
            </w:r>
            <w:r w:rsidR="00A75371" w:rsidRPr="00123439">
              <w:rPr>
                <w:iCs/>
              </w:rPr>
              <w:t>u</w:t>
            </w:r>
            <w:r w:rsidR="001630FC" w:rsidRPr="00123439">
              <w:rPr>
                <w:iCs/>
              </w:rPr>
              <w:t xml:space="preserve"> pa budžeta programmām (apakšprogrammām), </w:t>
            </w:r>
            <w:r w:rsidR="00A75371" w:rsidRPr="00123439">
              <w:rPr>
                <w:iCs/>
              </w:rPr>
              <w:t>savukārt</w:t>
            </w:r>
            <w:r w:rsidR="001630FC" w:rsidRPr="00123439">
              <w:rPr>
                <w:iCs/>
              </w:rPr>
              <w:t xml:space="preserve"> prakse li</w:t>
            </w:r>
            <w:r w:rsidR="00F05152" w:rsidRPr="00123439">
              <w:rPr>
                <w:iCs/>
              </w:rPr>
              <w:t>e</w:t>
            </w:r>
            <w:r w:rsidR="001630FC" w:rsidRPr="00123439">
              <w:rPr>
                <w:iCs/>
              </w:rPr>
              <w:t xml:space="preserve">cina, ka tās var tikt īstenotas caur vairākām budžeta programmām </w:t>
            </w:r>
            <w:r w:rsidR="00F05152" w:rsidRPr="00123439">
              <w:rPr>
                <w:iCs/>
              </w:rPr>
              <w:t>(</w:t>
            </w:r>
            <w:r w:rsidR="001630FC" w:rsidRPr="00123439">
              <w:rPr>
                <w:iCs/>
              </w:rPr>
              <w:t>apakšprogrammām)</w:t>
            </w:r>
            <w:r w:rsidR="00F05152" w:rsidRPr="00123439">
              <w:rPr>
                <w:iCs/>
              </w:rPr>
              <w:t>.</w:t>
            </w:r>
          </w:p>
          <w:p w14:paraId="25A297A9" w14:textId="77777777" w:rsidR="008532CC" w:rsidRPr="00123439" w:rsidRDefault="008532CC" w:rsidP="002634CF">
            <w:pPr>
              <w:spacing w:after="120"/>
              <w:ind w:left="142" w:right="79"/>
              <w:jc w:val="both"/>
            </w:pPr>
            <w:r>
              <w:t>Noteikumu projekts paredz, ka v</w:t>
            </w:r>
            <w:r w:rsidRPr="00123439">
              <w:t>eidlapā „</w:t>
            </w:r>
            <w:r w:rsidRPr="00123439">
              <w:rPr>
                <w:i/>
              </w:rPr>
              <w:t>Jauno politikas iniciatīvu sarakst</w:t>
            </w:r>
            <w:r>
              <w:rPr>
                <w:i/>
              </w:rPr>
              <w:t>s</w:t>
            </w:r>
            <w:r w:rsidRPr="00123439">
              <w:rPr>
                <w:i/>
              </w:rPr>
              <w:t xml:space="preserve"> prioritārā secībā</w:t>
            </w:r>
            <w:r>
              <w:rPr>
                <w:i/>
              </w:rPr>
              <w:t>”</w:t>
            </w:r>
            <w:r w:rsidRPr="00123439">
              <w:t xml:space="preserve"> tiks uzrādīts arī konkrētas jaunās politikas iniciatīvas sadalījums pa  budžeta programmām (apakšprogrammām)</w:t>
            </w:r>
            <w:r>
              <w:t xml:space="preserve"> (ja tā tiek īstenota vairāku </w:t>
            </w:r>
            <w:r w:rsidR="00801AFF">
              <w:t xml:space="preserve">budžeta </w:t>
            </w:r>
            <w:r>
              <w:t>apakš/programmu ietvaros)</w:t>
            </w:r>
            <w:r w:rsidRPr="00123439">
              <w:t>, kas nodrošinās to, ka ar datiem var efektīvāk strādāt, jo tie ir attiecināmi uz konkrētām budžeta programmām (apakšprogrammām).</w:t>
            </w:r>
          </w:p>
          <w:p w14:paraId="69A0E34B" w14:textId="77777777" w:rsidR="001630FC" w:rsidRDefault="00CC277D" w:rsidP="002634CF">
            <w:pPr>
              <w:ind w:left="142" w:right="79"/>
              <w:jc w:val="both"/>
              <w:rPr>
                <w:iCs/>
              </w:rPr>
            </w:pPr>
            <w:r>
              <w:rPr>
                <w:iCs/>
              </w:rPr>
              <w:t>6.</w:t>
            </w:r>
            <w:r w:rsidR="007E3CB9" w:rsidRPr="00123439">
              <w:rPr>
                <w:iCs/>
              </w:rPr>
              <w:t> </w:t>
            </w:r>
            <w:r w:rsidR="00CC0B44" w:rsidRPr="00123439">
              <w:rPr>
                <w:iCs/>
              </w:rPr>
              <w:t>N</w:t>
            </w:r>
            <w:r w:rsidR="00763232" w:rsidRPr="00123439">
              <w:rPr>
                <w:iCs/>
              </w:rPr>
              <w:t xml:space="preserve">epieciešams papildus </w:t>
            </w:r>
            <w:r w:rsidR="001630FC" w:rsidRPr="00123439">
              <w:rPr>
                <w:iCs/>
              </w:rPr>
              <w:t xml:space="preserve">noteikt, ka </w:t>
            </w:r>
            <w:r w:rsidR="00CC0B44" w:rsidRPr="00123439">
              <w:rPr>
                <w:iCs/>
              </w:rPr>
              <w:t xml:space="preserve">jauno politikas iniciatīvu </w:t>
            </w:r>
            <w:r w:rsidR="00922CD6" w:rsidRPr="00123439">
              <w:rPr>
                <w:iCs/>
              </w:rPr>
              <w:t xml:space="preserve">vērtēšanā </w:t>
            </w:r>
            <w:r w:rsidR="00763232" w:rsidRPr="00123439">
              <w:rPr>
                <w:iCs/>
              </w:rPr>
              <w:t xml:space="preserve">punktu skaitu var </w:t>
            </w:r>
            <w:r w:rsidR="001630FC" w:rsidRPr="00123439">
              <w:rPr>
                <w:iCs/>
              </w:rPr>
              <w:t xml:space="preserve">piešķirt tikai atbilstoši </w:t>
            </w:r>
            <w:r w:rsidR="00922CD6" w:rsidRPr="00123439">
              <w:rPr>
                <w:iCs/>
              </w:rPr>
              <w:t>MK noteikumu Nr.867 4.pielikum</w:t>
            </w:r>
            <w:r w:rsidR="00F87C00" w:rsidRPr="00123439">
              <w:rPr>
                <w:iCs/>
              </w:rPr>
              <w:t>ā noteiktajām punktu vērtībām</w:t>
            </w:r>
            <w:r w:rsidR="003E47EC" w:rsidRPr="00123439">
              <w:rPr>
                <w:iCs/>
              </w:rPr>
              <w:t>, kā arī pārskatīt vērtēšanas kritērijus</w:t>
            </w:r>
            <w:r w:rsidR="001630FC" w:rsidRPr="00123439">
              <w:rPr>
                <w:iCs/>
              </w:rPr>
              <w:t>.</w:t>
            </w:r>
          </w:p>
          <w:p w14:paraId="5C3C973A" w14:textId="77777777" w:rsidR="008532CC" w:rsidRPr="00123439" w:rsidRDefault="008532CC" w:rsidP="002634CF">
            <w:pPr>
              <w:ind w:left="142" w:right="79"/>
              <w:jc w:val="both"/>
            </w:pPr>
            <w:r>
              <w:t xml:space="preserve">Noteikumu projekts paredz: </w:t>
            </w:r>
            <w:r w:rsidRPr="00FF32DC">
              <w:t xml:space="preserve">Jauno politikas iniciatīvu vērtēšanas procesā punktus var piešķirt tikai atbilstoši MK noteikumu Nr.867 4.pielikumā noteiktajām punktu vērtībām, tas ir </w:t>
            </w:r>
            <w:r w:rsidR="00236B30">
              <w:t xml:space="preserve">– </w:t>
            </w:r>
            <w:r w:rsidRPr="00FF32DC">
              <w:t xml:space="preserve"> noteikumu projektā tiek ietverts precīzs regulējums, kā punkti jāpiešķir. Tāpat tiek paredzēts, ka tiks vērtēta jaunās politikas iniciatīvas atbilstība uzdevumiem, kas tieši noteikti nacionālajā attīstības plānā, jo jaunās politikas iniciatīvas paredzētajiem pasākumiem būtu jāsekmē konkrētu nacionālā attīstības plāna uzdevumu sasniegšana. Atbilstības vērtējums nacionālajam attīstības plānam (un citiem attīstības plānošanas dokumentiem) norāda, vai konkrētā jaunā politikas iniciatīva atbilst valdības apstiprinātajai rīcībpolitikai. </w:t>
            </w:r>
          </w:p>
          <w:p w14:paraId="1B8263E4" w14:textId="77777777" w:rsidR="004264D8" w:rsidRDefault="008532CC" w:rsidP="002634CF">
            <w:pPr>
              <w:ind w:left="142" w:right="79"/>
              <w:jc w:val="both"/>
            </w:pPr>
            <w:r w:rsidRPr="00123439">
              <w:t>Noteikumu projekts paredz, ka kritērijam „</w:t>
            </w:r>
            <w:r w:rsidRPr="008D4493">
              <w:rPr>
                <w:i/>
              </w:rPr>
              <w:t>Atbilstība nacionālajā attīstības plānā noteiktajiem stratēģiskajiem rādītājiem un uzdevumiem vai valsts aizsardzības koncepcijai</w:t>
            </w:r>
            <w:r w:rsidRPr="00123439">
              <w:t>” ir vislielākais svars (6</w:t>
            </w:r>
            <w:r>
              <w:t xml:space="preserve"> </w:t>
            </w:r>
            <w:r w:rsidRPr="00123439">
              <w:t>punkti). Vienlaikus tiek palielināts punktu skaits kritērijam „</w:t>
            </w:r>
            <w:r w:rsidRPr="008D4493">
              <w:rPr>
                <w:i/>
              </w:rPr>
              <w:t>Atbilstība normatīvajiem aktiem (nacionālajiem normatīvajiem aktiem vai Eiropas Savienības regulām</w:t>
            </w:r>
            <w:r>
              <w:rPr>
                <w:i/>
              </w:rPr>
              <w:t xml:space="preserve"> un</w:t>
            </w:r>
            <w:r w:rsidRPr="008D4493">
              <w:rPr>
                <w:i/>
              </w:rPr>
              <w:t xml:space="preserve"> lēmumiem)</w:t>
            </w:r>
            <w:r w:rsidR="004264D8">
              <w:t>”</w:t>
            </w:r>
            <w:r w:rsidR="001E1F6D">
              <w:t xml:space="preserve"> (4.punkti)</w:t>
            </w:r>
            <w:r w:rsidRPr="00123439">
              <w:t>, jo šāda jaunās politikas iniciatīva ir  izgājusi noteiktu attīstības stadiju ne tikai caur attīstības plānošanas dokumentiem, bet arī normatīvajiem aktiem.</w:t>
            </w:r>
            <w:r w:rsidR="001E1F6D">
              <w:t xml:space="preserve"> </w:t>
            </w:r>
            <w:r w:rsidR="00ED63F9" w:rsidRPr="00ED63F9">
              <w:t xml:space="preserve">2.kritērija vērtējumā jaunajai politikas iniciatīvai var piešķirt 4.punktus, ja jauno politikas iniciatīvu pamatojošie Ministru </w:t>
            </w:r>
            <w:r w:rsidR="00BC014A" w:rsidRPr="00ED63F9">
              <w:t>kabineta</w:t>
            </w:r>
            <w:r w:rsidR="00ED63F9" w:rsidRPr="00ED63F9">
              <w:t xml:space="preserve"> noteikumi ir pieņemti vai attiecīgais likumprojekts atbalstīts Ministru kabinetā.</w:t>
            </w:r>
            <w:r w:rsidR="00ED63F9">
              <w:t xml:space="preserve"> </w:t>
            </w:r>
          </w:p>
          <w:p w14:paraId="743ED0CE" w14:textId="77777777" w:rsidR="008532CC" w:rsidRPr="00123439" w:rsidRDefault="008532CC" w:rsidP="002634CF">
            <w:pPr>
              <w:spacing w:after="120"/>
              <w:ind w:left="142" w:right="79"/>
              <w:jc w:val="both"/>
            </w:pPr>
            <w:r w:rsidRPr="00123439">
              <w:t xml:space="preserve">Atbilstība normatīvajiem aktiem </w:t>
            </w:r>
            <w:r>
              <w:t xml:space="preserve">ir nozīmīgāka </w:t>
            </w:r>
            <w:r w:rsidRPr="00123439">
              <w:t>nekā kritērijs „</w:t>
            </w:r>
            <w:r w:rsidRPr="00123439">
              <w:rPr>
                <w:i/>
              </w:rPr>
              <w:t>atbilstība Ministru kabineta rīkojumiem un protokollēmumiem</w:t>
            </w:r>
            <w:r w:rsidRPr="00123439">
              <w:t>” (1</w:t>
            </w:r>
            <w:r>
              <w:t xml:space="preserve"> </w:t>
            </w:r>
            <w:r w:rsidRPr="00123439">
              <w:t>punkts), jo šādā gadījumā jaunā politikas iniciatīva ir pamatota jau ar normatīvo aktu. Attīstības plānošanas dokument</w:t>
            </w:r>
            <w:r>
              <w:t>u ieviešana</w:t>
            </w:r>
            <w:r w:rsidRPr="00123439">
              <w:t xml:space="preserve"> būtu jāturpina caur normatīvo aktu izstrādi. </w:t>
            </w:r>
          </w:p>
          <w:p w14:paraId="28DD6AC5" w14:textId="77777777" w:rsidR="00870FC5" w:rsidRDefault="00CC277D" w:rsidP="002634CF">
            <w:pPr>
              <w:ind w:left="142" w:right="79"/>
              <w:jc w:val="both"/>
              <w:rPr>
                <w:iCs/>
              </w:rPr>
            </w:pPr>
            <w:r>
              <w:rPr>
                <w:iCs/>
              </w:rPr>
              <w:lastRenderedPageBreak/>
              <w:t>7</w:t>
            </w:r>
            <w:r w:rsidR="00922CD6" w:rsidRPr="00123439">
              <w:rPr>
                <w:iCs/>
              </w:rPr>
              <w:t>.</w:t>
            </w:r>
            <w:r w:rsidR="007E3CB9" w:rsidRPr="00123439">
              <w:rPr>
                <w:iCs/>
              </w:rPr>
              <w:t> </w:t>
            </w:r>
            <w:r w:rsidR="000E2559" w:rsidRPr="00123439">
              <w:rPr>
                <w:iCs/>
              </w:rPr>
              <w:t xml:space="preserve">Nepieciešams </w:t>
            </w:r>
            <w:r w:rsidR="00D67EFF">
              <w:rPr>
                <w:iCs/>
              </w:rPr>
              <w:t xml:space="preserve">precīzi </w:t>
            </w:r>
            <w:r w:rsidR="000E2559" w:rsidRPr="00123439">
              <w:rPr>
                <w:iCs/>
              </w:rPr>
              <w:t>noteikt vidējo punktu skaita aprēķināšanas kārtību jaunajām politikas iniciatīvām.</w:t>
            </w:r>
          </w:p>
          <w:p w14:paraId="5155CBD3" w14:textId="77777777" w:rsidR="008532CC" w:rsidRPr="00123439" w:rsidRDefault="008532CC" w:rsidP="002634CF">
            <w:pPr>
              <w:ind w:left="142" w:right="81"/>
              <w:jc w:val="both"/>
            </w:pPr>
            <w:r>
              <w:t>Noteikumu projekts paredz: t</w:t>
            </w:r>
            <w:r w:rsidRPr="00123439">
              <w:t xml:space="preserve">iek </w:t>
            </w:r>
            <w:r>
              <w:t xml:space="preserve">precīzi </w:t>
            </w:r>
            <w:r w:rsidRPr="00123439">
              <w:t>noteikta vidējo punktu skaita aprēķināšanas kārtība jaunajām politikas iniciatīvām – aprēķinot vidējo punktu skaitu konkrētai jaunajai politikas iniciatīvai, vispirms aprēķina iegūto vidējo punktu skaitu atbilstoši kritērijiem, kurus vērtē gan Finanšu ministrija, gan Pārresoru koordinācijas centrs un pēc tam pieskaita atbilstoši kritērijam, kuru vērtē tikai Finanšu ministrija (</w:t>
            </w:r>
            <w:r w:rsidRPr="00123439">
              <w:rPr>
                <w:i/>
              </w:rPr>
              <w:t>atbilstība normatīvajiem aktiem</w:t>
            </w:r>
            <w:r w:rsidR="00801AFF">
              <w:rPr>
                <w:i/>
              </w:rPr>
              <w:t xml:space="preserve"> </w:t>
            </w:r>
            <w:r w:rsidR="00801AFF" w:rsidRPr="00801AFF">
              <w:rPr>
                <w:i/>
              </w:rPr>
              <w:t>(nacionālajiem normatīvajiem aktiem vai Eiropas Savienības regulām un lēmumiem)</w:t>
            </w:r>
            <w:r w:rsidRPr="00123439">
              <w:rPr>
                <w:i/>
              </w:rPr>
              <w:t xml:space="preserve">)  </w:t>
            </w:r>
            <w:r w:rsidRPr="00123439">
              <w:t>iegūto punktu skaitu, kā arī atbilstoši kritērijam „Jaunās politikas iniciatīvas vieta ministrijas iesniegtajā jauno politikas iniciatīvu sarakstā” iegūto punktu skaitu.</w:t>
            </w:r>
          </w:p>
          <w:p w14:paraId="637949B2" w14:textId="77777777" w:rsidR="008532CC" w:rsidRPr="00123439" w:rsidRDefault="008532CC" w:rsidP="002634CF">
            <w:pPr>
              <w:ind w:left="142" w:right="81"/>
              <w:jc w:val="both"/>
            </w:pPr>
            <w:r w:rsidRPr="00123439">
              <w:t>Piemērs:</w:t>
            </w:r>
          </w:p>
          <w:tbl>
            <w:tblPr>
              <w:tblW w:w="4847" w:type="pct"/>
              <w:tblInd w:w="134"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03"/>
              <w:gridCol w:w="2600"/>
              <w:gridCol w:w="1365"/>
              <w:gridCol w:w="1088"/>
              <w:gridCol w:w="1226"/>
              <w:gridCol w:w="1226"/>
            </w:tblGrid>
            <w:tr w:rsidR="008532CC" w:rsidRPr="00123439" w14:paraId="1B2F1143" w14:textId="77777777" w:rsidTr="002051BA">
              <w:tc>
                <w:tcPr>
                  <w:tcW w:w="194" w:type="pct"/>
                  <w:tcBorders>
                    <w:top w:val="outset" w:sz="6" w:space="0" w:color="auto"/>
                    <w:left w:val="outset" w:sz="6" w:space="0" w:color="auto"/>
                    <w:bottom w:val="outset" w:sz="6" w:space="0" w:color="auto"/>
                    <w:right w:val="outset" w:sz="6" w:space="0" w:color="auto"/>
                  </w:tcBorders>
                </w:tcPr>
                <w:p w14:paraId="3F0D2F05" w14:textId="77777777" w:rsidR="008532CC" w:rsidRPr="00123439" w:rsidRDefault="008532CC" w:rsidP="002634CF">
                  <w:pPr>
                    <w:spacing w:before="100" w:beforeAutospacing="1" w:after="100" w:afterAutospacing="1"/>
                    <w:rPr>
                      <w:sz w:val="19"/>
                      <w:szCs w:val="19"/>
                    </w:rPr>
                  </w:pPr>
                </w:p>
              </w:tc>
              <w:tc>
                <w:tcPr>
                  <w:tcW w:w="1665" w:type="pct"/>
                  <w:tcBorders>
                    <w:top w:val="outset" w:sz="6" w:space="0" w:color="auto"/>
                    <w:left w:val="outset" w:sz="6" w:space="0" w:color="auto"/>
                    <w:bottom w:val="outset" w:sz="6" w:space="0" w:color="auto"/>
                    <w:right w:val="outset" w:sz="6" w:space="0" w:color="auto"/>
                  </w:tcBorders>
                </w:tcPr>
                <w:p w14:paraId="77D1A83B" w14:textId="77777777" w:rsidR="008532CC" w:rsidRPr="00123439" w:rsidRDefault="008532CC" w:rsidP="002634CF">
                  <w:pPr>
                    <w:rPr>
                      <w:sz w:val="19"/>
                      <w:szCs w:val="19"/>
                    </w:rPr>
                  </w:pPr>
                  <w:r w:rsidRPr="00123439">
                    <w:rPr>
                      <w:sz w:val="19"/>
                      <w:szCs w:val="19"/>
                    </w:rPr>
                    <w:t>Kritēriji, kas tiek vērtēti</w:t>
                  </w:r>
                </w:p>
              </w:tc>
              <w:tc>
                <w:tcPr>
                  <w:tcW w:w="874" w:type="pct"/>
                  <w:tcBorders>
                    <w:top w:val="outset" w:sz="6" w:space="0" w:color="auto"/>
                    <w:left w:val="outset" w:sz="6" w:space="0" w:color="auto"/>
                    <w:bottom w:val="outset" w:sz="6" w:space="0" w:color="auto"/>
                    <w:right w:val="outset" w:sz="6" w:space="0" w:color="auto"/>
                  </w:tcBorders>
                </w:tcPr>
                <w:p w14:paraId="412FE255" w14:textId="77777777" w:rsidR="008532CC" w:rsidRPr="00123439" w:rsidRDefault="008532CC" w:rsidP="002634CF">
                  <w:pPr>
                    <w:rPr>
                      <w:sz w:val="19"/>
                      <w:szCs w:val="19"/>
                    </w:rPr>
                  </w:pPr>
                  <w:r w:rsidRPr="00123439">
                    <w:rPr>
                      <w:sz w:val="19"/>
                      <w:szCs w:val="19"/>
                    </w:rPr>
                    <w:t>Iespējamais punktu skaits</w:t>
                  </w:r>
                </w:p>
              </w:tc>
              <w:tc>
                <w:tcPr>
                  <w:tcW w:w="697" w:type="pct"/>
                  <w:tcBorders>
                    <w:top w:val="outset" w:sz="6" w:space="0" w:color="auto"/>
                    <w:left w:val="outset" w:sz="6" w:space="0" w:color="auto"/>
                    <w:bottom w:val="outset" w:sz="6" w:space="0" w:color="auto"/>
                    <w:right w:val="outset" w:sz="6" w:space="0" w:color="auto"/>
                  </w:tcBorders>
                </w:tcPr>
                <w:p w14:paraId="650ABD4E" w14:textId="77777777" w:rsidR="008532CC" w:rsidRPr="00123439" w:rsidRDefault="008532CC" w:rsidP="002634CF">
                  <w:pPr>
                    <w:rPr>
                      <w:sz w:val="19"/>
                      <w:szCs w:val="19"/>
                    </w:rPr>
                  </w:pPr>
                  <w:r w:rsidRPr="00123439">
                    <w:rPr>
                      <w:sz w:val="19"/>
                      <w:szCs w:val="19"/>
                    </w:rPr>
                    <w:t>Finanšu ministrijas vērtējums</w:t>
                  </w:r>
                </w:p>
              </w:tc>
              <w:tc>
                <w:tcPr>
                  <w:tcW w:w="785" w:type="pct"/>
                  <w:tcBorders>
                    <w:top w:val="outset" w:sz="6" w:space="0" w:color="auto"/>
                    <w:left w:val="outset" w:sz="6" w:space="0" w:color="auto"/>
                    <w:bottom w:val="outset" w:sz="6" w:space="0" w:color="auto"/>
                    <w:right w:val="outset" w:sz="6" w:space="0" w:color="auto"/>
                  </w:tcBorders>
                </w:tcPr>
                <w:p w14:paraId="680D3EC9" w14:textId="77777777" w:rsidR="008532CC" w:rsidRPr="00123439" w:rsidRDefault="008532CC" w:rsidP="002634CF">
                  <w:pPr>
                    <w:rPr>
                      <w:sz w:val="19"/>
                      <w:szCs w:val="19"/>
                    </w:rPr>
                  </w:pPr>
                  <w:r w:rsidRPr="00123439">
                    <w:rPr>
                      <w:sz w:val="19"/>
                      <w:szCs w:val="19"/>
                    </w:rPr>
                    <w:t>Pārresoru koordinācijas centra vērtējums</w:t>
                  </w:r>
                </w:p>
              </w:tc>
              <w:tc>
                <w:tcPr>
                  <w:tcW w:w="785" w:type="pct"/>
                  <w:tcBorders>
                    <w:top w:val="outset" w:sz="6" w:space="0" w:color="auto"/>
                    <w:left w:val="outset" w:sz="6" w:space="0" w:color="auto"/>
                    <w:bottom w:val="outset" w:sz="6" w:space="0" w:color="auto"/>
                    <w:right w:val="outset" w:sz="6" w:space="0" w:color="auto"/>
                  </w:tcBorders>
                </w:tcPr>
                <w:p w14:paraId="5F2EA2F9" w14:textId="77777777" w:rsidR="008532CC" w:rsidRPr="00123439" w:rsidRDefault="008532CC" w:rsidP="002634CF">
                  <w:pPr>
                    <w:rPr>
                      <w:sz w:val="19"/>
                      <w:szCs w:val="19"/>
                    </w:rPr>
                  </w:pPr>
                  <w:r w:rsidRPr="00123439">
                    <w:rPr>
                      <w:sz w:val="19"/>
                      <w:szCs w:val="19"/>
                    </w:rPr>
                    <w:t>Vidējais vērtējums</w:t>
                  </w:r>
                </w:p>
              </w:tc>
            </w:tr>
            <w:tr w:rsidR="008532CC" w:rsidRPr="00123439" w14:paraId="72D50976" w14:textId="77777777" w:rsidTr="002051BA">
              <w:tc>
                <w:tcPr>
                  <w:tcW w:w="194" w:type="pct"/>
                  <w:tcBorders>
                    <w:top w:val="outset" w:sz="6" w:space="0" w:color="auto"/>
                    <w:left w:val="outset" w:sz="6" w:space="0" w:color="auto"/>
                    <w:bottom w:val="outset" w:sz="6" w:space="0" w:color="auto"/>
                    <w:right w:val="outset" w:sz="6" w:space="0" w:color="auto"/>
                  </w:tcBorders>
                  <w:hideMark/>
                </w:tcPr>
                <w:p w14:paraId="77B5F2E8" w14:textId="77777777" w:rsidR="008532CC" w:rsidRPr="00123439" w:rsidRDefault="008532CC" w:rsidP="002634CF">
                  <w:pPr>
                    <w:spacing w:before="100" w:beforeAutospacing="1" w:after="100" w:afterAutospacing="1"/>
                    <w:rPr>
                      <w:sz w:val="19"/>
                      <w:szCs w:val="19"/>
                    </w:rPr>
                  </w:pPr>
                  <w:r w:rsidRPr="00123439">
                    <w:rPr>
                      <w:sz w:val="19"/>
                      <w:szCs w:val="19"/>
                    </w:rPr>
                    <w:t>1.</w:t>
                  </w:r>
                </w:p>
              </w:tc>
              <w:tc>
                <w:tcPr>
                  <w:tcW w:w="1665" w:type="pct"/>
                  <w:tcBorders>
                    <w:top w:val="outset" w:sz="6" w:space="0" w:color="auto"/>
                    <w:left w:val="outset" w:sz="6" w:space="0" w:color="auto"/>
                    <w:bottom w:val="outset" w:sz="6" w:space="0" w:color="auto"/>
                    <w:right w:val="outset" w:sz="6" w:space="0" w:color="auto"/>
                  </w:tcBorders>
                  <w:hideMark/>
                </w:tcPr>
                <w:p w14:paraId="1A3497A2" w14:textId="77777777" w:rsidR="008532CC" w:rsidRPr="00123439" w:rsidRDefault="008532CC" w:rsidP="002634CF">
                  <w:pPr>
                    <w:rPr>
                      <w:sz w:val="19"/>
                      <w:szCs w:val="19"/>
                      <w:u w:val="single"/>
                    </w:rPr>
                  </w:pPr>
                  <w:r w:rsidRPr="00123439">
                    <w:rPr>
                      <w:sz w:val="19"/>
                      <w:szCs w:val="19"/>
                      <w:u w:val="single"/>
                    </w:rPr>
                    <w:t xml:space="preserve">Atbilstība nacionālajā attīstības plānā noteiktajiem </w:t>
                  </w:r>
                  <w:r>
                    <w:rPr>
                      <w:sz w:val="19"/>
                      <w:szCs w:val="19"/>
                      <w:u w:val="single"/>
                    </w:rPr>
                    <w:t xml:space="preserve"> stratēģiskajiem  rādītājiem un </w:t>
                  </w:r>
                  <w:r w:rsidRPr="00123439">
                    <w:rPr>
                      <w:sz w:val="19"/>
                      <w:szCs w:val="19"/>
                      <w:u w:val="single"/>
                    </w:rPr>
                    <w:t>uzdevumiem  vai valsts aizsardzības koncepcijai</w:t>
                  </w:r>
                </w:p>
              </w:tc>
              <w:tc>
                <w:tcPr>
                  <w:tcW w:w="874" w:type="pct"/>
                  <w:tcBorders>
                    <w:top w:val="outset" w:sz="6" w:space="0" w:color="auto"/>
                    <w:left w:val="outset" w:sz="6" w:space="0" w:color="auto"/>
                    <w:bottom w:val="outset" w:sz="6" w:space="0" w:color="auto"/>
                    <w:right w:val="outset" w:sz="6" w:space="0" w:color="auto"/>
                  </w:tcBorders>
                  <w:hideMark/>
                </w:tcPr>
                <w:p w14:paraId="6EA9E44F" w14:textId="77777777" w:rsidR="008532CC" w:rsidRPr="00123439" w:rsidRDefault="008532CC" w:rsidP="002634CF">
                  <w:pPr>
                    <w:rPr>
                      <w:sz w:val="19"/>
                      <w:szCs w:val="19"/>
                    </w:rPr>
                  </w:pPr>
                  <w:r w:rsidRPr="00123439">
                    <w:rPr>
                      <w:sz w:val="19"/>
                      <w:szCs w:val="19"/>
                    </w:rPr>
                    <w:t>atbilst – 6</w:t>
                  </w:r>
                </w:p>
                <w:p w14:paraId="06A8AF53" w14:textId="77777777" w:rsidR="008532CC" w:rsidRPr="00123439" w:rsidRDefault="008532CC" w:rsidP="002634CF">
                  <w:pPr>
                    <w:rPr>
                      <w:sz w:val="19"/>
                      <w:szCs w:val="19"/>
                    </w:rPr>
                  </w:pPr>
                  <w:r w:rsidRPr="00123439">
                    <w:rPr>
                      <w:sz w:val="19"/>
                      <w:szCs w:val="19"/>
                    </w:rPr>
                    <w:t>daļēji atbilst – 3</w:t>
                  </w:r>
                  <w:r w:rsidRPr="00123439">
                    <w:rPr>
                      <w:sz w:val="19"/>
                      <w:szCs w:val="19"/>
                    </w:rPr>
                    <w:br/>
                    <w:t>neatbilst – 0</w:t>
                  </w:r>
                </w:p>
              </w:tc>
              <w:tc>
                <w:tcPr>
                  <w:tcW w:w="697" w:type="pct"/>
                  <w:tcBorders>
                    <w:top w:val="outset" w:sz="6" w:space="0" w:color="auto"/>
                    <w:left w:val="outset" w:sz="6" w:space="0" w:color="auto"/>
                    <w:bottom w:val="outset" w:sz="6" w:space="0" w:color="auto"/>
                    <w:right w:val="outset" w:sz="6" w:space="0" w:color="auto"/>
                  </w:tcBorders>
                  <w:vAlign w:val="center"/>
                </w:tcPr>
                <w:p w14:paraId="105ACA1D" w14:textId="77777777" w:rsidR="008532CC" w:rsidRPr="00123439" w:rsidRDefault="008532CC" w:rsidP="002634CF">
                  <w:pPr>
                    <w:jc w:val="center"/>
                    <w:rPr>
                      <w:b/>
                      <w:sz w:val="19"/>
                      <w:szCs w:val="19"/>
                      <w:u w:val="single"/>
                    </w:rPr>
                  </w:pPr>
                  <w:r w:rsidRPr="00123439">
                    <w:rPr>
                      <w:b/>
                      <w:sz w:val="19"/>
                      <w:szCs w:val="19"/>
                      <w:u w:val="single"/>
                    </w:rPr>
                    <w:t>6</w:t>
                  </w:r>
                </w:p>
              </w:tc>
              <w:tc>
                <w:tcPr>
                  <w:tcW w:w="785" w:type="pct"/>
                  <w:tcBorders>
                    <w:top w:val="outset" w:sz="6" w:space="0" w:color="auto"/>
                    <w:left w:val="outset" w:sz="6" w:space="0" w:color="auto"/>
                    <w:bottom w:val="outset" w:sz="6" w:space="0" w:color="auto"/>
                    <w:right w:val="outset" w:sz="6" w:space="0" w:color="auto"/>
                  </w:tcBorders>
                  <w:vAlign w:val="center"/>
                </w:tcPr>
                <w:p w14:paraId="06086E8A" w14:textId="77777777" w:rsidR="008532CC" w:rsidRPr="00123439" w:rsidRDefault="008532CC" w:rsidP="002634CF">
                  <w:pPr>
                    <w:jc w:val="center"/>
                    <w:rPr>
                      <w:b/>
                      <w:sz w:val="19"/>
                      <w:szCs w:val="19"/>
                      <w:u w:val="single"/>
                    </w:rPr>
                  </w:pPr>
                  <w:r w:rsidRPr="00123439">
                    <w:rPr>
                      <w:b/>
                      <w:sz w:val="19"/>
                      <w:szCs w:val="19"/>
                      <w:u w:val="single"/>
                    </w:rPr>
                    <w:t>3</w:t>
                  </w:r>
                </w:p>
              </w:tc>
              <w:tc>
                <w:tcPr>
                  <w:tcW w:w="785" w:type="pct"/>
                  <w:tcBorders>
                    <w:top w:val="outset" w:sz="6" w:space="0" w:color="auto"/>
                    <w:left w:val="outset" w:sz="6" w:space="0" w:color="auto"/>
                    <w:bottom w:val="outset" w:sz="6" w:space="0" w:color="auto"/>
                    <w:right w:val="outset" w:sz="6" w:space="0" w:color="auto"/>
                  </w:tcBorders>
                  <w:vAlign w:val="center"/>
                </w:tcPr>
                <w:p w14:paraId="0C8559DC" w14:textId="77777777" w:rsidR="008532CC" w:rsidRPr="00123439" w:rsidRDefault="008532CC" w:rsidP="002634CF">
                  <w:pPr>
                    <w:jc w:val="center"/>
                    <w:rPr>
                      <w:b/>
                      <w:sz w:val="19"/>
                      <w:szCs w:val="19"/>
                      <w:u w:val="single"/>
                    </w:rPr>
                  </w:pPr>
                  <w:r w:rsidRPr="00123439">
                    <w:rPr>
                      <w:b/>
                      <w:sz w:val="19"/>
                      <w:szCs w:val="19"/>
                      <w:u w:val="single"/>
                    </w:rPr>
                    <w:t>(6+3)/2=4,5</w:t>
                  </w:r>
                </w:p>
              </w:tc>
            </w:tr>
            <w:tr w:rsidR="008532CC" w:rsidRPr="00123439" w14:paraId="69D8E32D" w14:textId="77777777" w:rsidTr="002051BA">
              <w:tc>
                <w:tcPr>
                  <w:tcW w:w="194" w:type="pct"/>
                  <w:tcBorders>
                    <w:top w:val="outset" w:sz="6" w:space="0" w:color="auto"/>
                    <w:left w:val="outset" w:sz="6" w:space="0" w:color="auto"/>
                    <w:bottom w:val="outset" w:sz="6" w:space="0" w:color="auto"/>
                    <w:right w:val="outset" w:sz="6" w:space="0" w:color="auto"/>
                  </w:tcBorders>
                </w:tcPr>
                <w:p w14:paraId="71D8EB13" w14:textId="77777777" w:rsidR="008532CC" w:rsidRPr="00123439" w:rsidRDefault="008532CC" w:rsidP="002634CF">
                  <w:pPr>
                    <w:spacing w:before="100" w:beforeAutospacing="1" w:after="100" w:afterAutospacing="1"/>
                    <w:rPr>
                      <w:sz w:val="19"/>
                      <w:szCs w:val="19"/>
                    </w:rPr>
                  </w:pPr>
                  <w:r w:rsidRPr="00123439">
                    <w:rPr>
                      <w:sz w:val="19"/>
                      <w:szCs w:val="19"/>
                    </w:rPr>
                    <w:t>2.</w:t>
                  </w:r>
                </w:p>
              </w:tc>
              <w:tc>
                <w:tcPr>
                  <w:tcW w:w="1665" w:type="pct"/>
                  <w:tcBorders>
                    <w:top w:val="outset" w:sz="6" w:space="0" w:color="auto"/>
                    <w:left w:val="outset" w:sz="6" w:space="0" w:color="auto"/>
                    <w:bottom w:val="outset" w:sz="6" w:space="0" w:color="auto"/>
                    <w:right w:val="outset" w:sz="6" w:space="0" w:color="auto"/>
                  </w:tcBorders>
                </w:tcPr>
                <w:p w14:paraId="29BF37CE" w14:textId="77777777" w:rsidR="008532CC" w:rsidRPr="00123439" w:rsidRDefault="008532CC" w:rsidP="002634CF">
                  <w:pPr>
                    <w:rPr>
                      <w:sz w:val="19"/>
                      <w:szCs w:val="19"/>
                      <w:u w:val="single"/>
                    </w:rPr>
                  </w:pPr>
                  <w:r w:rsidRPr="00123439">
                    <w:rPr>
                      <w:sz w:val="19"/>
                      <w:szCs w:val="19"/>
                    </w:rPr>
                    <w:t xml:space="preserve">Atbilstība normatīvajiem </w:t>
                  </w:r>
                  <w:r>
                    <w:rPr>
                      <w:sz w:val="19"/>
                      <w:szCs w:val="19"/>
                    </w:rPr>
                    <w:t xml:space="preserve"> </w:t>
                  </w:r>
                  <w:r w:rsidRPr="00123439">
                    <w:rPr>
                      <w:sz w:val="19"/>
                      <w:szCs w:val="19"/>
                    </w:rPr>
                    <w:t xml:space="preserve"> aktiem</w:t>
                  </w:r>
                  <w:r>
                    <w:rPr>
                      <w:sz w:val="19"/>
                      <w:szCs w:val="19"/>
                    </w:rPr>
                    <w:t xml:space="preserve"> (nacionālajiem normatīvajiem aktiem vai Eiropas Savienības regulām un lēmumiem) </w:t>
                  </w:r>
                </w:p>
              </w:tc>
              <w:tc>
                <w:tcPr>
                  <w:tcW w:w="874" w:type="pct"/>
                  <w:tcBorders>
                    <w:top w:val="outset" w:sz="6" w:space="0" w:color="auto"/>
                    <w:left w:val="outset" w:sz="6" w:space="0" w:color="auto"/>
                    <w:bottom w:val="outset" w:sz="6" w:space="0" w:color="auto"/>
                    <w:right w:val="outset" w:sz="6" w:space="0" w:color="auto"/>
                  </w:tcBorders>
                </w:tcPr>
                <w:p w14:paraId="27CCB613" w14:textId="77777777" w:rsidR="008532CC" w:rsidRPr="00123439" w:rsidRDefault="008532CC" w:rsidP="002634CF">
                  <w:pPr>
                    <w:rPr>
                      <w:sz w:val="19"/>
                      <w:szCs w:val="19"/>
                    </w:rPr>
                  </w:pPr>
                  <w:r w:rsidRPr="00123439">
                    <w:rPr>
                      <w:sz w:val="19"/>
                      <w:szCs w:val="19"/>
                    </w:rPr>
                    <w:t>atbilst –4</w:t>
                  </w:r>
                </w:p>
                <w:p w14:paraId="7371C161" w14:textId="77777777" w:rsidR="008532CC" w:rsidRPr="00123439" w:rsidRDefault="008532CC" w:rsidP="002634CF">
                  <w:pPr>
                    <w:rPr>
                      <w:sz w:val="19"/>
                      <w:szCs w:val="19"/>
                    </w:rPr>
                  </w:pPr>
                  <w:r w:rsidRPr="00123439">
                    <w:rPr>
                      <w:sz w:val="19"/>
                      <w:szCs w:val="19"/>
                    </w:rPr>
                    <w:t>nav pamatojošo dokumentu – 0</w:t>
                  </w:r>
                </w:p>
              </w:tc>
              <w:tc>
                <w:tcPr>
                  <w:tcW w:w="697" w:type="pct"/>
                  <w:tcBorders>
                    <w:top w:val="outset" w:sz="6" w:space="0" w:color="auto"/>
                    <w:left w:val="outset" w:sz="6" w:space="0" w:color="auto"/>
                    <w:bottom w:val="outset" w:sz="6" w:space="0" w:color="auto"/>
                    <w:right w:val="outset" w:sz="6" w:space="0" w:color="auto"/>
                  </w:tcBorders>
                  <w:vAlign w:val="center"/>
                </w:tcPr>
                <w:p w14:paraId="6E149534" w14:textId="77777777" w:rsidR="008532CC" w:rsidRPr="00123439" w:rsidRDefault="008532CC" w:rsidP="002634CF">
                  <w:pPr>
                    <w:jc w:val="center"/>
                    <w:rPr>
                      <w:b/>
                      <w:sz w:val="19"/>
                      <w:szCs w:val="19"/>
                      <w:u w:val="single"/>
                    </w:rPr>
                  </w:pPr>
                  <w:r w:rsidRPr="00123439">
                    <w:rPr>
                      <w:b/>
                      <w:sz w:val="19"/>
                      <w:szCs w:val="19"/>
                      <w:u w:val="single"/>
                    </w:rPr>
                    <w:t>4</w:t>
                  </w:r>
                </w:p>
              </w:tc>
              <w:tc>
                <w:tcPr>
                  <w:tcW w:w="785" w:type="pct"/>
                  <w:tcBorders>
                    <w:top w:val="outset" w:sz="6" w:space="0" w:color="auto"/>
                    <w:left w:val="outset" w:sz="6" w:space="0" w:color="auto"/>
                    <w:bottom w:val="outset" w:sz="6" w:space="0" w:color="auto"/>
                    <w:right w:val="outset" w:sz="6" w:space="0" w:color="auto"/>
                  </w:tcBorders>
                  <w:vAlign w:val="center"/>
                </w:tcPr>
                <w:p w14:paraId="26ACEC8B" w14:textId="77777777" w:rsidR="008532CC" w:rsidRPr="00123439" w:rsidRDefault="008532CC" w:rsidP="002634CF">
                  <w:pPr>
                    <w:jc w:val="center"/>
                    <w:rPr>
                      <w:b/>
                      <w:sz w:val="19"/>
                      <w:szCs w:val="19"/>
                    </w:rPr>
                  </w:pPr>
                  <w:r w:rsidRPr="00123439">
                    <w:rPr>
                      <w:b/>
                      <w:sz w:val="19"/>
                      <w:szCs w:val="19"/>
                    </w:rPr>
                    <w:t>n/a (nevērtē)</w:t>
                  </w:r>
                </w:p>
                <w:p w14:paraId="52FB65B0" w14:textId="77777777" w:rsidR="008532CC" w:rsidRPr="00123439" w:rsidRDefault="008532CC" w:rsidP="002634CF">
                  <w:pPr>
                    <w:jc w:val="center"/>
                    <w:rPr>
                      <w:b/>
                      <w:sz w:val="19"/>
                      <w:szCs w:val="19"/>
                      <w:u w:val="single"/>
                    </w:rPr>
                  </w:pPr>
                </w:p>
              </w:tc>
              <w:tc>
                <w:tcPr>
                  <w:tcW w:w="785" w:type="pct"/>
                  <w:tcBorders>
                    <w:top w:val="outset" w:sz="6" w:space="0" w:color="auto"/>
                    <w:left w:val="outset" w:sz="6" w:space="0" w:color="auto"/>
                    <w:bottom w:val="outset" w:sz="6" w:space="0" w:color="auto"/>
                    <w:right w:val="outset" w:sz="6" w:space="0" w:color="auto"/>
                  </w:tcBorders>
                  <w:vAlign w:val="center"/>
                </w:tcPr>
                <w:p w14:paraId="1178FEEF" w14:textId="77777777" w:rsidR="008532CC" w:rsidRPr="00123439" w:rsidRDefault="008532CC" w:rsidP="002634CF">
                  <w:pPr>
                    <w:jc w:val="center"/>
                    <w:rPr>
                      <w:b/>
                      <w:sz w:val="19"/>
                      <w:szCs w:val="19"/>
                      <w:u w:val="single"/>
                    </w:rPr>
                  </w:pPr>
                  <w:r w:rsidRPr="00123439">
                    <w:rPr>
                      <w:b/>
                      <w:sz w:val="19"/>
                      <w:szCs w:val="19"/>
                    </w:rPr>
                    <w:t>4/1=4</w:t>
                  </w:r>
                </w:p>
              </w:tc>
            </w:tr>
            <w:tr w:rsidR="008532CC" w:rsidRPr="00123439" w14:paraId="42FACB32" w14:textId="77777777" w:rsidTr="002051BA">
              <w:tc>
                <w:tcPr>
                  <w:tcW w:w="194" w:type="pct"/>
                  <w:tcBorders>
                    <w:top w:val="outset" w:sz="6" w:space="0" w:color="auto"/>
                    <w:left w:val="outset" w:sz="6" w:space="0" w:color="auto"/>
                    <w:bottom w:val="outset" w:sz="6" w:space="0" w:color="auto"/>
                    <w:right w:val="outset" w:sz="6" w:space="0" w:color="auto"/>
                  </w:tcBorders>
                  <w:hideMark/>
                </w:tcPr>
                <w:p w14:paraId="409012B5" w14:textId="77777777" w:rsidR="008532CC" w:rsidRPr="00123439" w:rsidRDefault="008532CC" w:rsidP="002634CF">
                  <w:pPr>
                    <w:spacing w:before="100" w:beforeAutospacing="1" w:after="100" w:afterAutospacing="1"/>
                    <w:rPr>
                      <w:sz w:val="19"/>
                      <w:szCs w:val="19"/>
                    </w:rPr>
                  </w:pPr>
                  <w:r w:rsidRPr="00123439">
                    <w:rPr>
                      <w:sz w:val="19"/>
                      <w:szCs w:val="19"/>
                    </w:rPr>
                    <w:t>3.</w:t>
                  </w:r>
                </w:p>
              </w:tc>
              <w:tc>
                <w:tcPr>
                  <w:tcW w:w="1665" w:type="pct"/>
                  <w:tcBorders>
                    <w:top w:val="outset" w:sz="6" w:space="0" w:color="auto"/>
                    <w:left w:val="outset" w:sz="6" w:space="0" w:color="auto"/>
                    <w:bottom w:val="outset" w:sz="6" w:space="0" w:color="auto"/>
                    <w:right w:val="outset" w:sz="6" w:space="0" w:color="auto"/>
                  </w:tcBorders>
                  <w:hideMark/>
                </w:tcPr>
                <w:p w14:paraId="722A9007" w14:textId="77777777" w:rsidR="008532CC" w:rsidRPr="00123439" w:rsidRDefault="008532CC" w:rsidP="002634CF">
                  <w:pPr>
                    <w:rPr>
                      <w:sz w:val="19"/>
                      <w:szCs w:val="19"/>
                      <w:u w:val="single"/>
                    </w:rPr>
                  </w:pPr>
                  <w:r w:rsidRPr="00123439">
                    <w:rPr>
                      <w:sz w:val="19"/>
                      <w:szCs w:val="19"/>
                      <w:u w:val="single"/>
                    </w:rPr>
                    <w:t xml:space="preserve">Atbilstība citiem attīstības plānošanas dokumentiem </w:t>
                  </w:r>
                </w:p>
              </w:tc>
              <w:tc>
                <w:tcPr>
                  <w:tcW w:w="874" w:type="pct"/>
                  <w:tcBorders>
                    <w:top w:val="outset" w:sz="6" w:space="0" w:color="auto"/>
                    <w:left w:val="outset" w:sz="6" w:space="0" w:color="auto"/>
                    <w:bottom w:val="outset" w:sz="6" w:space="0" w:color="auto"/>
                    <w:right w:val="outset" w:sz="6" w:space="0" w:color="auto"/>
                  </w:tcBorders>
                  <w:hideMark/>
                </w:tcPr>
                <w:p w14:paraId="65E45A6C" w14:textId="77777777" w:rsidR="008532CC" w:rsidRPr="00123439" w:rsidRDefault="008532CC" w:rsidP="002634CF">
                  <w:pPr>
                    <w:rPr>
                      <w:sz w:val="19"/>
                      <w:szCs w:val="19"/>
                    </w:rPr>
                  </w:pPr>
                  <w:r w:rsidRPr="00123439">
                    <w:rPr>
                      <w:sz w:val="19"/>
                      <w:szCs w:val="19"/>
                    </w:rPr>
                    <w:t>atbilst – 3</w:t>
                  </w:r>
                  <w:r w:rsidRPr="00123439">
                    <w:rPr>
                      <w:sz w:val="19"/>
                      <w:szCs w:val="19"/>
                    </w:rPr>
                    <w:br/>
                    <w:t>nav pamatojošo dokumentu – 0</w:t>
                  </w:r>
                </w:p>
              </w:tc>
              <w:tc>
                <w:tcPr>
                  <w:tcW w:w="697" w:type="pct"/>
                  <w:tcBorders>
                    <w:top w:val="outset" w:sz="6" w:space="0" w:color="auto"/>
                    <w:left w:val="outset" w:sz="6" w:space="0" w:color="auto"/>
                    <w:bottom w:val="outset" w:sz="6" w:space="0" w:color="auto"/>
                    <w:right w:val="outset" w:sz="6" w:space="0" w:color="auto"/>
                  </w:tcBorders>
                  <w:vAlign w:val="center"/>
                </w:tcPr>
                <w:p w14:paraId="046DC112" w14:textId="77777777" w:rsidR="008532CC" w:rsidRPr="00123439" w:rsidRDefault="008532CC" w:rsidP="002634CF">
                  <w:pPr>
                    <w:jc w:val="center"/>
                    <w:rPr>
                      <w:b/>
                      <w:sz w:val="19"/>
                      <w:szCs w:val="19"/>
                      <w:u w:val="single"/>
                    </w:rPr>
                  </w:pPr>
                  <w:r w:rsidRPr="00123439">
                    <w:rPr>
                      <w:b/>
                      <w:sz w:val="19"/>
                      <w:szCs w:val="19"/>
                      <w:u w:val="single"/>
                    </w:rPr>
                    <w:t>3</w:t>
                  </w:r>
                </w:p>
              </w:tc>
              <w:tc>
                <w:tcPr>
                  <w:tcW w:w="785" w:type="pct"/>
                  <w:tcBorders>
                    <w:top w:val="outset" w:sz="6" w:space="0" w:color="auto"/>
                    <w:left w:val="outset" w:sz="6" w:space="0" w:color="auto"/>
                    <w:bottom w:val="outset" w:sz="6" w:space="0" w:color="auto"/>
                    <w:right w:val="outset" w:sz="6" w:space="0" w:color="auto"/>
                  </w:tcBorders>
                  <w:vAlign w:val="center"/>
                </w:tcPr>
                <w:p w14:paraId="01948F3B" w14:textId="77777777" w:rsidR="008532CC" w:rsidRPr="00123439" w:rsidRDefault="008532CC" w:rsidP="002634CF">
                  <w:pPr>
                    <w:jc w:val="center"/>
                    <w:rPr>
                      <w:b/>
                      <w:sz w:val="19"/>
                      <w:szCs w:val="19"/>
                      <w:u w:val="single"/>
                    </w:rPr>
                  </w:pPr>
                  <w:r w:rsidRPr="00123439">
                    <w:rPr>
                      <w:b/>
                      <w:sz w:val="19"/>
                      <w:szCs w:val="19"/>
                      <w:u w:val="single"/>
                    </w:rPr>
                    <w:t>3</w:t>
                  </w:r>
                </w:p>
              </w:tc>
              <w:tc>
                <w:tcPr>
                  <w:tcW w:w="785" w:type="pct"/>
                  <w:tcBorders>
                    <w:top w:val="outset" w:sz="6" w:space="0" w:color="auto"/>
                    <w:left w:val="outset" w:sz="6" w:space="0" w:color="auto"/>
                    <w:bottom w:val="outset" w:sz="6" w:space="0" w:color="auto"/>
                    <w:right w:val="outset" w:sz="6" w:space="0" w:color="auto"/>
                  </w:tcBorders>
                  <w:vAlign w:val="center"/>
                </w:tcPr>
                <w:p w14:paraId="3B478D0C" w14:textId="77777777" w:rsidR="008532CC" w:rsidRPr="00123439" w:rsidRDefault="008532CC" w:rsidP="002634CF">
                  <w:pPr>
                    <w:jc w:val="center"/>
                    <w:rPr>
                      <w:b/>
                      <w:sz w:val="19"/>
                      <w:szCs w:val="19"/>
                      <w:u w:val="single"/>
                    </w:rPr>
                  </w:pPr>
                  <w:r w:rsidRPr="00123439">
                    <w:rPr>
                      <w:b/>
                      <w:sz w:val="19"/>
                      <w:szCs w:val="19"/>
                      <w:u w:val="single"/>
                    </w:rPr>
                    <w:t>(3+3)/2=3</w:t>
                  </w:r>
                </w:p>
              </w:tc>
            </w:tr>
            <w:tr w:rsidR="008532CC" w:rsidRPr="00123439" w14:paraId="3C3920A5" w14:textId="77777777" w:rsidTr="002051BA">
              <w:tc>
                <w:tcPr>
                  <w:tcW w:w="194" w:type="pct"/>
                  <w:tcBorders>
                    <w:top w:val="outset" w:sz="6" w:space="0" w:color="auto"/>
                    <w:left w:val="outset" w:sz="6" w:space="0" w:color="auto"/>
                    <w:bottom w:val="outset" w:sz="6" w:space="0" w:color="auto"/>
                    <w:right w:val="outset" w:sz="6" w:space="0" w:color="auto"/>
                  </w:tcBorders>
                </w:tcPr>
                <w:p w14:paraId="2A520732" w14:textId="77777777" w:rsidR="008532CC" w:rsidRPr="00123439" w:rsidRDefault="008532CC" w:rsidP="002634CF">
                  <w:pPr>
                    <w:spacing w:before="100" w:beforeAutospacing="1" w:after="100" w:afterAutospacing="1"/>
                    <w:rPr>
                      <w:sz w:val="19"/>
                      <w:szCs w:val="19"/>
                    </w:rPr>
                  </w:pPr>
                  <w:r w:rsidRPr="00123439">
                    <w:rPr>
                      <w:sz w:val="19"/>
                      <w:szCs w:val="19"/>
                    </w:rPr>
                    <w:t>4.</w:t>
                  </w:r>
                </w:p>
              </w:tc>
              <w:tc>
                <w:tcPr>
                  <w:tcW w:w="1665" w:type="pct"/>
                  <w:tcBorders>
                    <w:top w:val="outset" w:sz="6" w:space="0" w:color="auto"/>
                    <w:left w:val="outset" w:sz="6" w:space="0" w:color="auto"/>
                    <w:bottom w:val="outset" w:sz="6" w:space="0" w:color="auto"/>
                    <w:right w:val="outset" w:sz="6" w:space="0" w:color="auto"/>
                  </w:tcBorders>
                </w:tcPr>
                <w:p w14:paraId="27EACE53" w14:textId="77777777" w:rsidR="008532CC" w:rsidRPr="00123439" w:rsidRDefault="008532CC" w:rsidP="002634CF">
                  <w:pPr>
                    <w:rPr>
                      <w:sz w:val="19"/>
                      <w:szCs w:val="19"/>
                      <w:u w:val="single"/>
                    </w:rPr>
                  </w:pPr>
                  <w:r w:rsidRPr="00123439">
                    <w:rPr>
                      <w:sz w:val="19"/>
                      <w:szCs w:val="19"/>
                      <w:u w:val="single"/>
                    </w:rPr>
                    <w:t>Atbilstība Deklarācijā par Ministru kabineta iecerēto darbību norādītajiem uzdevumiem</w:t>
                  </w:r>
                </w:p>
              </w:tc>
              <w:tc>
                <w:tcPr>
                  <w:tcW w:w="874" w:type="pct"/>
                  <w:tcBorders>
                    <w:top w:val="outset" w:sz="6" w:space="0" w:color="auto"/>
                    <w:left w:val="outset" w:sz="6" w:space="0" w:color="auto"/>
                    <w:bottom w:val="outset" w:sz="6" w:space="0" w:color="auto"/>
                    <w:right w:val="outset" w:sz="6" w:space="0" w:color="auto"/>
                  </w:tcBorders>
                </w:tcPr>
                <w:p w14:paraId="75FA12BA" w14:textId="77777777" w:rsidR="008532CC" w:rsidRPr="00123439" w:rsidRDefault="008532CC" w:rsidP="002634CF">
                  <w:pPr>
                    <w:rPr>
                      <w:sz w:val="19"/>
                      <w:szCs w:val="19"/>
                    </w:rPr>
                  </w:pPr>
                  <w:r w:rsidRPr="00123439">
                    <w:rPr>
                      <w:sz w:val="19"/>
                      <w:szCs w:val="19"/>
                    </w:rPr>
                    <w:t>atbilst – 3</w:t>
                  </w:r>
                  <w:r w:rsidRPr="00123439">
                    <w:rPr>
                      <w:sz w:val="19"/>
                      <w:szCs w:val="19"/>
                    </w:rPr>
                    <w:br/>
                    <w:t>neatbilst – 0</w:t>
                  </w:r>
                </w:p>
              </w:tc>
              <w:tc>
                <w:tcPr>
                  <w:tcW w:w="697" w:type="pct"/>
                  <w:tcBorders>
                    <w:top w:val="outset" w:sz="6" w:space="0" w:color="auto"/>
                    <w:left w:val="outset" w:sz="6" w:space="0" w:color="auto"/>
                    <w:bottom w:val="outset" w:sz="6" w:space="0" w:color="auto"/>
                    <w:right w:val="outset" w:sz="6" w:space="0" w:color="auto"/>
                  </w:tcBorders>
                  <w:vAlign w:val="center"/>
                </w:tcPr>
                <w:p w14:paraId="15AD5BD7" w14:textId="77777777" w:rsidR="008532CC" w:rsidRPr="00123439" w:rsidRDefault="008532CC" w:rsidP="002634CF">
                  <w:pPr>
                    <w:jc w:val="center"/>
                    <w:rPr>
                      <w:b/>
                      <w:sz w:val="19"/>
                      <w:szCs w:val="19"/>
                      <w:u w:val="single"/>
                    </w:rPr>
                  </w:pPr>
                  <w:r w:rsidRPr="00123439">
                    <w:rPr>
                      <w:b/>
                      <w:sz w:val="19"/>
                      <w:szCs w:val="19"/>
                      <w:u w:val="single"/>
                    </w:rPr>
                    <w:t>3</w:t>
                  </w:r>
                </w:p>
              </w:tc>
              <w:tc>
                <w:tcPr>
                  <w:tcW w:w="785" w:type="pct"/>
                  <w:tcBorders>
                    <w:top w:val="outset" w:sz="6" w:space="0" w:color="auto"/>
                    <w:left w:val="outset" w:sz="6" w:space="0" w:color="auto"/>
                    <w:bottom w:val="outset" w:sz="6" w:space="0" w:color="auto"/>
                    <w:right w:val="outset" w:sz="6" w:space="0" w:color="auto"/>
                  </w:tcBorders>
                  <w:vAlign w:val="center"/>
                </w:tcPr>
                <w:p w14:paraId="36A8FABB" w14:textId="77777777" w:rsidR="008532CC" w:rsidRPr="00123439" w:rsidRDefault="008532CC" w:rsidP="002634CF">
                  <w:pPr>
                    <w:jc w:val="center"/>
                    <w:rPr>
                      <w:b/>
                      <w:sz w:val="19"/>
                      <w:szCs w:val="19"/>
                      <w:u w:val="single"/>
                    </w:rPr>
                  </w:pPr>
                  <w:r w:rsidRPr="00123439">
                    <w:rPr>
                      <w:b/>
                      <w:sz w:val="19"/>
                      <w:szCs w:val="19"/>
                      <w:u w:val="single"/>
                    </w:rPr>
                    <w:t>3</w:t>
                  </w:r>
                </w:p>
              </w:tc>
              <w:tc>
                <w:tcPr>
                  <w:tcW w:w="785" w:type="pct"/>
                  <w:tcBorders>
                    <w:top w:val="outset" w:sz="6" w:space="0" w:color="auto"/>
                    <w:left w:val="outset" w:sz="6" w:space="0" w:color="auto"/>
                    <w:bottom w:val="outset" w:sz="6" w:space="0" w:color="auto"/>
                    <w:right w:val="outset" w:sz="6" w:space="0" w:color="auto"/>
                  </w:tcBorders>
                  <w:vAlign w:val="center"/>
                </w:tcPr>
                <w:p w14:paraId="0BA7B78C" w14:textId="77777777" w:rsidR="008532CC" w:rsidRPr="00123439" w:rsidRDefault="008532CC" w:rsidP="002634CF">
                  <w:pPr>
                    <w:jc w:val="center"/>
                    <w:rPr>
                      <w:b/>
                      <w:sz w:val="19"/>
                      <w:szCs w:val="19"/>
                      <w:u w:val="single"/>
                    </w:rPr>
                  </w:pPr>
                  <w:r w:rsidRPr="00123439">
                    <w:rPr>
                      <w:b/>
                      <w:sz w:val="19"/>
                      <w:szCs w:val="19"/>
                      <w:u w:val="single"/>
                    </w:rPr>
                    <w:t>(3+3)2=3</w:t>
                  </w:r>
                </w:p>
              </w:tc>
            </w:tr>
            <w:tr w:rsidR="008532CC" w:rsidRPr="00123439" w14:paraId="62E897BF" w14:textId="77777777" w:rsidTr="002051BA">
              <w:tc>
                <w:tcPr>
                  <w:tcW w:w="194" w:type="pct"/>
                  <w:tcBorders>
                    <w:top w:val="outset" w:sz="6" w:space="0" w:color="auto"/>
                    <w:left w:val="outset" w:sz="6" w:space="0" w:color="auto"/>
                    <w:bottom w:val="outset" w:sz="6" w:space="0" w:color="auto"/>
                    <w:right w:val="outset" w:sz="6" w:space="0" w:color="auto"/>
                  </w:tcBorders>
                </w:tcPr>
                <w:p w14:paraId="76A628EA" w14:textId="77777777" w:rsidR="008532CC" w:rsidRPr="00123439" w:rsidRDefault="008532CC" w:rsidP="002634CF">
                  <w:pPr>
                    <w:spacing w:before="100" w:beforeAutospacing="1" w:after="100" w:afterAutospacing="1"/>
                    <w:rPr>
                      <w:sz w:val="19"/>
                      <w:szCs w:val="19"/>
                    </w:rPr>
                  </w:pPr>
                  <w:r w:rsidRPr="00123439">
                    <w:rPr>
                      <w:sz w:val="19"/>
                      <w:szCs w:val="19"/>
                    </w:rPr>
                    <w:t>5.</w:t>
                  </w:r>
                </w:p>
              </w:tc>
              <w:tc>
                <w:tcPr>
                  <w:tcW w:w="1665" w:type="pct"/>
                  <w:tcBorders>
                    <w:top w:val="outset" w:sz="6" w:space="0" w:color="auto"/>
                    <w:left w:val="outset" w:sz="6" w:space="0" w:color="auto"/>
                    <w:bottom w:val="outset" w:sz="6" w:space="0" w:color="auto"/>
                    <w:right w:val="outset" w:sz="6" w:space="0" w:color="auto"/>
                  </w:tcBorders>
                </w:tcPr>
                <w:p w14:paraId="5F7C8414" w14:textId="77777777" w:rsidR="008532CC" w:rsidRPr="00123439" w:rsidRDefault="008532CC" w:rsidP="002634CF">
                  <w:pPr>
                    <w:rPr>
                      <w:sz w:val="19"/>
                      <w:szCs w:val="19"/>
                      <w:u w:val="single"/>
                    </w:rPr>
                  </w:pPr>
                  <w:r w:rsidRPr="00123439">
                    <w:rPr>
                      <w:sz w:val="19"/>
                      <w:szCs w:val="19"/>
                      <w:u w:val="single"/>
                    </w:rPr>
                    <w:t xml:space="preserve">Atbilstība Ministru kabineta rīkojumiem  un protokollēmumiem </w:t>
                  </w:r>
                </w:p>
              </w:tc>
              <w:tc>
                <w:tcPr>
                  <w:tcW w:w="874" w:type="pct"/>
                  <w:tcBorders>
                    <w:top w:val="outset" w:sz="6" w:space="0" w:color="auto"/>
                    <w:left w:val="outset" w:sz="6" w:space="0" w:color="auto"/>
                    <w:bottom w:val="outset" w:sz="6" w:space="0" w:color="auto"/>
                    <w:right w:val="outset" w:sz="6" w:space="0" w:color="auto"/>
                  </w:tcBorders>
                </w:tcPr>
                <w:p w14:paraId="46E3E2D5" w14:textId="77777777" w:rsidR="008532CC" w:rsidRPr="00123439" w:rsidRDefault="008532CC" w:rsidP="002634CF">
                  <w:pPr>
                    <w:rPr>
                      <w:sz w:val="19"/>
                      <w:szCs w:val="19"/>
                    </w:rPr>
                  </w:pPr>
                  <w:r w:rsidRPr="00123439">
                    <w:rPr>
                      <w:sz w:val="19"/>
                      <w:szCs w:val="19"/>
                    </w:rPr>
                    <w:t>atbilst – 1</w:t>
                  </w:r>
                  <w:r w:rsidRPr="00123439">
                    <w:rPr>
                      <w:sz w:val="19"/>
                      <w:szCs w:val="19"/>
                    </w:rPr>
                    <w:br/>
                    <w:t>nav pamatojošo dokumentu – 0</w:t>
                  </w:r>
                </w:p>
              </w:tc>
              <w:tc>
                <w:tcPr>
                  <w:tcW w:w="697" w:type="pct"/>
                  <w:tcBorders>
                    <w:top w:val="outset" w:sz="6" w:space="0" w:color="auto"/>
                    <w:left w:val="outset" w:sz="6" w:space="0" w:color="auto"/>
                    <w:bottom w:val="outset" w:sz="6" w:space="0" w:color="auto"/>
                    <w:right w:val="outset" w:sz="6" w:space="0" w:color="auto"/>
                  </w:tcBorders>
                  <w:vAlign w:val="center"/>
                </w:tcPr>
                <w:p w14:paraId="2F81F0FA" w14:textId="77777777" w:rsidR="008532CC" w:rsidRPr="00123439" w:rsidRDefault="008532CC" w:rsidP="002634CF">
                  <w:pPr>
                    <w:jc w:val="center"/>
                    <w:rPr>
                      <w:b/>
                      <w:sz w:val="19"/>
                      <w:szCs w:val="19"/>
                      <w:u w:val="single"/>
                    </w:rPr>
                  </w:pPr>
                  <w:r w:rsidRPr="00123439">
                    <w:rPr>
                      <w:b/>
                      <w:sz w:val="19"/>
                      <w:szCs w:val="19"/>
                      <w:u w:val="single"/>
                    </w:rPr>
                    <w:t>1</w:t>
                  </w:r>
                </w:p>
              </w:tc>
              <w:tc>
                <w:tcPr>
                  <w:tcW w:w="785" w:type="pct"/>
                  <w:tcBorders>
                    <w:top w:val="outset" w:sz="6" w:space="0" w:color="auto"/>
                    <w:left w:val="outset" w:sz="6" w:space="0" w:color="auto"/>
                    <w:bottom w:val="outset" w:sz="6" w:space="0" w:color="auto"/>
                    <w:right w:val="outset" w:sz="6" w:space="0" w:color="auto"/>
                  </w:tcBorders>
                  <w:vAlign w:val="center"/>
                </w:tcPr>
                <w:p w14:paraId="27067A5E" w14:textId="77777777" w:rsidR="008532CC" w:rsidRPr="00123439" w:rsidRDefault="008532CC" w:rsidP="002634CF">
                  <w:pPr>
                    <w:jc w:val="center"/>
                    <w:rPr>
                      <w:b/>
                      <w:sz w:val="19"/>
                      <w:szCs w:val="19"/>
                      <w:u w:val="single"/>
                    </w:rPr>
                  </w:pPr>
                  <w:r w:rsidRPr="00123439">
                    <w:rPr>
                      <w:b/>
                      <w:sz w:val="19"/>
                      <w:szCs w:val="19"/>
                      <w:u w:val="single"/>
                    </w:rPr>
                    <w:t>1</w:t>
                  </w:r>
                </w:p>
              </w:tc>
              <w:tc>
                <w:tcPr>
                  <w:tcW w:w="785" w:type="pct"/>
                  <w:tcBorders>
                    <w:top w:val="outset" w:sz="6" w:space="0" w:color="auto"/>
                    <w:left w:val="outset" w:sz="6" w:space="0" w:color="auto"/>
                    <w:bottom w:val="outset" w:sz="6" w:space="0" w:color="auto"/>
                    <w:right w:val="outset" w:sz="6" w:space="0" w:color="auto"/>
                  </w:tcBorders>
                  <w:vAlign w:val="center"/>
                </w:tcPr>
                <w:p w14:paraId="3E912FEE" w14:textId="77777777" w:rsidR="008532CC" w:rsidRPr="00123439" w:rsidRDefault="008532CC" w:rsidP="002634CF">
                  <w:pPr>
                    <w:jc w:val="center"/>
                    <w:rPr>
                      <w:b/>
                      <w:sz w:val="19"/>
                      <w:szCs w:val="19"/>
                      <w:u w:val="single"/>
                    </w:rPr>
                  </w:pPr>
                  <w:r w:rsidRPr="00123439">
                    <w:rPr>
                      <w:b/>
                      <w:sz w:val="19"/>
                      <w:szCs w:val="19"/>
                      <w:u w:val="single"/>
                    </w:rPr>
                    <w:t>(1+1)/2=1</w:t>
                  </w:r>
                </w:p>
              </w:tc>
            </w:tr>
            <w:tr w:rsidR="008532CC" w:rsidRPr="00123439" w14:paraId="64FCDBC6" w14:textId="77777777" w:rsidTr="002051BA">
              <w:tc>
                <w:tcPr>
                  <w:tcW w:w="5000" w:type="pct"/>
                  <w:gridSpan w:val="6"/>
                  <w:tcBorders>
                    <w:top w:val="outset" w:sz="6" w:space="0" w:color="auto"/>
                    <w:left w:val="outset" w:sz="6" w:space="0" w:color="auto"/>
                    <w:bottom w:val="outset" w:sz="6" w:space="0" w:color="auto"/>
                    <w:right w:val="outset" w:sz="6" w:space="0" w:color="auto"/>
                  </w:tcBorders>
                </w:tcPr>
                <w:p w14:paraId="101275DF" w14:textId="77777777" w:rsidR="008532CC" w:rsidRPr="00123439" w:rsidRDefault="008532CC" w:rsidP="002634CF">
                  <w:pPr>
                    <w:rPr>
                      <w:b/>
                      <w:sz w:val="19"/>
                      <w:szCs w:val="19"/>
                    </w:rPr>
                  </w:pPr>
                </w:p>
                <w:p w14:paraId="2F40ACAD" w14:textId="77777777" w:rsidR="008532CC" w:rsidRPr="00123439" w:rsidRDefault="008532CC" w:rsidP="002634CF">
                  <w:pPr>
                    <w:rPr>
                      <w:b/>
                      <w:sz w:val="19"/>
                      <w:szCs w:val="19"/>
                    </w:rPr>
                  </w:pPr>
                  <w:r w:rsidRPr="00123439">
                    <w:rPr>
                      <w:b/>
                      <w:sz w:val="19"/>
                      <w:szCs w:val="19"/>
                    </w:rPr>
                    <w:t>Kritērijs, kuru Finanšu ministrija un</w:t>
                  </w:r>
                </w:p>
                <w:p w14:paraId="5F2D3952" w14:textId="77777777" w:rsidR="008532CC" w:rsidRPr="00123439" w:rsidRDefault="008532CC" w:rsidP="002634CF">
                  <w:pPr>
                    <w:rPr>
                      <w:b/>
                      <w:sz w:val="19"/>
                      <w:szCs w:val="19"/>
                    </w:rPr>
                  </w:pPr>
                  <w:r w:rsidRPr="00123439">
                    <w:rPr>
                      <w:b/>
                      <w:sz w:val="19"/>
                      <w:szCs w:val="19"/>
                    </w:rPr>
                    <w:t>Pārresoru koordinācijas centrs nevērtē:</w:t>
                  </w:r>
                </w:p>
              </w:tc>
            </w:tr>
            <w:tr w:rsidR="008532CC" w:rsidRPr="00123439" w14:paraId="01966655" w14:textId="77777777" w:rsidTr="002051BA">
              <w:tc>
                <w:tcPr>
                  <w:tcW w:w="194" w:type="pct"/>
                  <w:tcBorders>
                    <w:top w:val="outset" w:sz="6" w:space="0" w:color="auto"/>
                    <w:left w:val="outset" w:sz="6" w:space="0" w:color="auto"/>
                    <w:bottom w:val="outset" w:sz="6" w:space="0" w:color="auto"/>
                    <w:right w:val="outset" w:sz="6" w:space="0" w:color="auto"/>
                  </w:tcBorders>
                  <w:hideMark/>
                </w:tcPr>
                <w:p w14:paraId="538824BA" w14:textId="77777777" w:rsidR="008532CC" w:rsidRPr="00123439" w:rsidRDefault="008532CC" w:rsidP="002634CF">
                  <w:pPr>
                    <w:spacing w:before="100" w:beforeAutospacing="1" w:after="100" w:afterAutospacing="1"/>
                    <w:rPr>
                      <w:sz w:val="19"/>
                      <w:szCs w:val="19"/>
                    </w:rPr>
                  </w:pPr>
                  <w:r w:rsidRPr="00123439">
                    <w:rPr>
                      <w:sz w:val="19"/>
                      <w:szCs w:val="19"/>
                    </w:rPr>
                    <w:t>6.</w:t>
                  </w:r>
                </w:p>
              </w:tc>
              <w:tc>
                <w:tcPr>
                  <w:tcW w:w="1665" w:type="pct"/>
                  <w:tcBorders>
                    <w:top w:val="outset" w:sz="6" w:space="0" w:color="auto"/>
                    <w:left w:val="outset" w:sz="6" w:space="0" w:color="auto"/>
                    <w:bottom w:val="outset" w:sz="6" w:space="0" w:color="auto"/>
                    <w:right w:val="outset" w:sz="6" w:space="0" w:color="auto"/>
                  </w:tcBorders>
                  <w:hideMark/>
                </w:tcPr>
                <w:p w14:paraId="28F5DFB2" w14:textId="77777777" w:rsidR="008532CC" w:rsidRPr="00123439" w:rsidRDefault="008532CC" w:rsidP="002634CF">
                  <w:pPr>
                    <w:rPr>
                      <w:sz w:val="19"/>
                      <w:szCs w:val="19"/>
                    </w:rPr>
                  </w:pPr>
                  <w:r w:rsidRPr="00123439">
                    <w:rPr>
                      <w:sz w:val="19"/>
                      <w:szCs w:val="19"/>
                    </w:rPr>
                    <w:t>Jaunās politikas iniciatīvas vieta ministrijas iesniegtajā jauno politikas iniciatīvu sarakstā</w:t>
                  </w:r>
                </w:p>
              </w:tc>
              <w:tc>
                <w:tcPr>
                  <w:tcW w:w="2356" w:type="pct"/>
                  <w:gridSpan w:val="3"/>
                  <w:tcBorders>
                    <w:top w:val="outset" w:sz="6" w:space="0" w:color="auto"/>
                    <w:left w:val="outset" w:sz="6" w:space="0" w:color="auto"/>
                    <w:bottom w:val="outset" w:sz="6" w:space="0" w:color="auto"/>
                    <w:right w:val="outset" w:sz="6" w:space="0" w:color="auto"/>
                  </w:tcBorders>
                  <w:hideMark/>
                </w:tcPr>
                <w:p w14:paraId="7B936742" w14:textId="77777777" w:rsidR="008532CC" w:rsidRPr="00123439" w:rsidRDefault="008532CC" w:rsidP="002634CF">
                  <w:pPr>
                    <w:rPr>
                      <w:sz w:val="19"/>
                      <w:szCs w:val="19"/>
                    </w:rPr>
                  </w:pPr>
                  <w:r w:rsidRPr="00123439">
                    <w:rPr>
                      <w:sz w:val="19"/>
                      <w:szCs w:val="19"/>
                    </w:rPr>
                    <w:t>1.–5.vieta – 2</w:t>
                  </w:r>
                  <w:r w:rsidRPr="00123439">
                    <w:rPr>
                      <w:sz w:val="19"/>
                      <w:szCs w:val="19"/>
                    </w:rPr>
                    <w:br/>
                    <w:t>no 6. līdz pēdējai vietai – 1</w:t>
                  </w:r>
                </w:p>
                <w:p w14:paraId="60ED46A3" w14:textId="77777777" w:rsidR="008532CC" w:rsidRPr="00123439" w:rsidRDefault="008532CC" w:rsidP="002634CF">
                  <w:pPr>
                    <w:jc w:val="center"/>
                    <w:rPr>
                      <w:b/>
                      <w:sz w:val="19"/>
                      <w:szCs w:val="19"/>
                    </w:rPr>
                  </w:pPr>
                </w:p>
              </w:tc>
              <w:tc>
                <w:tcPr>
                  <w:tcW w:w="785" w:type="pct"/>
                  <w:tcBorders>
                    <w:top w:val="outset" w:sz="6" w:space="0" w:color="auto"/>
                    <w:left w:val="outset" w:sz="6" w:space="0" w:color="auto"/>
                    <w:bottom w:val="outset" w:sz="6" w:space="0" w:color="auto"/>
                    <w:right w:val="outset" w:sz="6" w:space="0" w:color="auto"/>
                  </w:tcBorders>
                  <w:vAlign w:val="center"/>
                </w:tcPr>
                <w:p w14:paraId="09BBB834" w14:textId="77777777" w:rsidR="008532CC" w:rsidRPr="00123439" w:rsidRDefault="008532CC" w:rsidP="002634CF">
                  <w:pPr>
                    <w:jc w:val="center"/>
                    <w:rPr>
                      <w:b/>
                      <w:sz w:val="19"/>
                      <w:szCs w:val="19"/>
                    </w:rPr>
                  </w:pPr>
                  <w:r w:rsidRPr="00123439">
                    <w:rPr>
                      <w:b/>
                      <w:sz w:val="19"/>
                      <w:szCs w:val="19"/>
                    </w:rPr>
                    <w:t>1</w:t>
                  </w:r>
                </w:p>
              </w:tc>
            </w:tr>
          </w:tbl>
          <w:p w14:paraId="01E06A47" w14:textId="77777777" w:rsidR="008532CC" w:rsidRPr="00123439" w:rsidRDefault="008532CC" w:rsidP="002634CF">
            <w:pPr>
              <w:ind w:left="142" w:right="81"/>
              <w:jc w:val="both"/>
              <w:rPr>
                <w:rFonts w:eastAsia="Calibri"/>
                <w:sz w:val="20"/>
                <w:szCs w:val="20"/>
                <w:lang w:eastAsia="en-US"/>
              </w:rPr>
            </w:pPr>
            <w:r w:rsidRPr="00123439">
              <w:rPr>
                <w:rFonts w:eastAsia="Calibri"/>
                <w:sz w:val="20"/>
                <w:szCs w:val="20"/>
                <w:lang w:eastAsia="en-US"/>
              </w:rPr>
              <w:t xml:space="preserve">Minētajā piemērā Vidējais punktu skaits jaunajai politikas iniciatīvai ir ((6+3)+(3+3)+(3+3)+(1+1))/2+4+1=16,5 punkti.  </w:t>
            </w:r>
          </w:p>
          <w:p w14:paraId="1959DD65" w14:textId="77777777" w:rsidR="008532CC" w:rsidRPr="00B963A3" w:rsidRDefault="008532CC" w:rsidP="002634CF">
            <w:pPr>
              <w:ind w:left="142" w:right="81"/>
              <w:jc w:val="both"/>
              <w:rPr>
                <w:rFonts w:eastAsia="Calibri"/>
                <w:sz w:val="20"/>
                <w:szCs w:val="20"/>
                <w:lang w:eastAsia="en-US"/>
              </w:rPr>
            </w:pPr>
            <w:r w:rsidRPr="00B963A3">
              <w:rPr>
                <w:rFonts w:eastAsia="Calibri"/>
                <w:sz w:val="20"/>
                <w:szCs w:val="20"/>
                <w:lang w:eastAsia="en-US"/>
              </w:rPr>
              <w:t xml:space="preserve">Kritēriji, kurus vērtē </w:t>
            </w:r>
            <w:r w:rsidRPr="00FC5894">
              <w:rPr>
                <w:rFonts w:eastAsia="Calibri"/>
                <w:sz w:val="20"/>
                <w:szCs w:val="20"/>
                <w:u w:val="single"/>
                <w:lang w:eastAsia="en-US"/>
              </w:rPr>
              <w:t>gan Finanšu ministrija, gan Pārresoru koordinācijas centrs</w:t>
            </w:r>
            <w:r w:rsidRPr="00B963A3">
              <w:rPr>
                <w:rFonts w:eastAsia="Calibri"/>
                <w:sz w:val="20"/>
                <w:szCs w:val="20"/>
                <w:lang w:eastAsia="en-US"/>
              </w:rPr>
              <w:t>, jaunajai politikas iniciatīvai vidējā vērtējumā dod (6+3+3+3+3+3+1+1)/2= 11,5 punktus;</w:t>
            </w:r>
          </w:p>
          <w:p w14:paraId="278F2220" w14:textId="77777777" w:rsidR="008532CC" w:rsidRPr="00B963A3" w:rsidRDefault="008532CC" w:rsidP="002634CF">
            <w:pPr>
              <w:ind w:left="142" w:right="81"/>
              <w:jc w:val="both"/>
              <w:rPr>
                <w:rFonts w:eastAsia="Calibri"/>
                <w:sz w:val="20"/>
                <w:szCs w:val="20"/>
                <w:lang w:eastAsia="en-US"/>
              </w:rPr>
            </w:pPr>
            <w:r w:rsidRPr="00B963A3">
              <w:rPr>
                <w:rFonts w:eastAsia="Calibri"/>
                <w:sz w:val="20"/>
                <w:szCs w:val="20"/>
                <w:lang w:eastAsia="en-US"/>
              </w:rPr>
              <w:t xml:space="preserve">Kritērijs, kuru vērtē </w:t>
            </w:r>
            <w:r w:rsidRPr="00FC5894">
              <w:rPr>
                <w:rFonts w:eastAsia="Calibri"/>
                <w:sz w:val="20"/>
                <w:szCs w:val="20"/>
                <w:u w:val="single"/>
                <w:lang w:eastAsia="en-US"/>
              </w:rPr>
              <w:t>tikai Finanšu ministrija</w:t>
            </w:r>
            <w:r w:rsidRPr="00B963A3">
              <w:rPr>
                <w:rFonts w:eastAsia="Calibri"/>
                <w:sz w:val="20"/>
                <w:szCs w:val="20"/>
                <w:lang w:eastAsia="en-US"/>
              </w:rPr>
              <w:t xml:space="preserve"> (atbilstība normatīvajiem aktiem), jaunajai politikas iniciatīvai vidējā vērtējumā dod 4 punktus;</w:t>
            </w:r>
          </w:p>
          <w:p w14:paraId="391CFA2F" w14:textId="77777777" w:rsidR="008532CC" w:rsidRPr="00123439" w:rsidRDefault="008532CC" w:rsidP="002634CF">
            <w:pPr>
              <w:spacing w:after="120"/>
              <w:ind w:left="142" w:right="79"/>
              <w:jc w:val="both"/>
              <w:rPr>
                <w:rFonts w:eastAsia="Calibri"/>
                <w:sz w:val="20"/>
                <w:szCs w:val="20"/>
                <w:u w:val="single"/>
                <w:lang w:eastAsia="en-US"/>
              </w:rPr>
            </w:pPr>
            <w:r w:rsidRPr="00B963A3">
              <w:rPr>
                <w:sz w:val="20"/>
                <w:szCs w:val="20"/>
              </w:rPr>
              <w:t>Kritērijs „Jaunās politikas iniciatīvas vieta ministrijas iesniegtajā jauno politikas iniciatīvu sarakstā”  jaunajai politikas iniciatīvai vidējā vērtējumā dod 1 punktu.</w:t>
            </w:r>
            <w:r w:rsidRPr="00123439">
              <w:rPr>
                <w:rFonts w:eastAsia="Calibri"/>
                <w:sz w:val="20"/>
                <w:szCs w:val="20"/>
                <w:u w:val="single"/>
                <w:lang w:eastAsia="en-US"/>
              </w:rPr>
              <w:t xml:space="preserve">     </w:t>
            </w:r>
          </w:p>
          <w:p w14:paraId="27B6A306" w14:textId="77777777" w:rsidR="008532CC" w:rsidRPr="00123439" w:rsidRDefault="008532CC" w:rsidP="002634CF">
            <w:pPr>
              <w:spacing w:after="120"/>
              <w:ind w:left="142" w:right="79"/>
              <w:jc w:val="both"/>
            </w:pPr>
            <w:r w:rsidRPr="00123439">
              <w:t xml:space="preserve">Finanšu ministrijai un Pārresoru koordinācijas centram visos gadījumos ir pienākums vērtēt jaunās politikas iniciatīvas atbilstoši tiem kritērijiem, kas noteikti MK noteikumos Nr.867 un  piemērot tikai šo noteikumu 4.pielikumā norādītas punktu vērtības, jo noteikumi neparedz izņēmumus vai tādu iespējamību, ka varētu </w:t>
            </w:r>
            <w:r>
              <w:t>piešķirt citas punktu vērtības</w:t>
            </w:r>
            <w:r w:rsidRPr="00123439">
              <w:t xml:space="preserve">. Ja minētajos noteikumos ir noteikts, ka Pārresoru koordinācijas centrs nevērtē atsevišķu kritēriju, tad tādā gadījumā </w:t>
            </w:r>
            <w:r>
              <w:t xml:space="preserve">Finanšu </w:t>
            </w:r>
            <w:r>
              <w:lastRenderedPageBreak/>
              <w:t xml:space="preserve">ministrijai </w:t>
            </w:r>
            <w:r w:rsidRPr="00123439">
              <w:t xml:space="preserve">vērtēšanas tabulā ir jāatzīmē, ka „nevērtē” (vai izdarot kādu citu atzīmi „ – ” vai „n/a”, nevar likt skaitlisku vērtību 0 punkti).  </w:t>
            </w:r>
          </w:p>
          <w:p w14:paraId="2498D2FB" w14:textId="77777777" w:rsidR="005705C2" w:rsidRDefault="00CC277D" w:rsidP="002634CF">
            <w:pPr>
              <w:ind w:left="142" w:right="79"/>
              <w:jc w:val="both"/>
              <w:rPr>
                <w:iCs/>
              </w:rPr>
            </w:pPr>
            <w:r>
              <w:rPr>
                <w:iCs/>
              </w:rPr>
              <w:t>8</w:t>
            </w:r>
            <w:r w:rsidR="00193ACB" w:rsidRPr="00123439">
              <w:rPr>
                <w:iCs/>
              </w:rPr>
              <w:t>.</w:t>
            </w:r>
            <w:r w:rsidR="00496027">
              <w:rPr>
                <w:iCs/>
              </w:rPr>
              <w:t> </w:t>
            </w:r>
            <w:r w:rsidR="00193ACB" w:rsidRPr="00123439">
              <w:rPr>
                <w:iCs/>
              </w:rPr>
              <w:t xml:space="preserve">Nepieciešams noteikt tiesības Finanšu ministrijai un Pārresoru koordinācijas centram </w:t>
            </w:r>
            <w:r w:rsidR="00E51617" w:rsidRPr="00123439">
              <w:rPr>
                <w:iCs/>
              </w:rPr>
              <w:t xml:space="preserve">atgriezt atpakaļ precizēšanai </w:t>
            </w:r>
            <w:r w:rsidR="00193ACB" w:rsidRPr="00123439">
              <w:rPr>
                <w:iCs/>
              </w:rPr>
              <w:t>ministri</w:t>
            </w:r>
            <w:r w:rsidR="004B0A81" w:rsidRPr="00123439">
              <w:rPr>
                <w:iCs/>
              </w:rPr>
              <w:t>ju</w:t>
            </w:r>
            <w:r w:rsidR="00193ACB" w:rsidRPr="00123439">
              <w:rPr>
                <w:iCs/>
              </w:rPr>
              <w:t xml:space="preserve"> jaun</w:t>
            </w:r>
            <w:r w:rsidR="00C22703" w:rsidRPr="00123439">
              <w:rPr>
                <w:iCs/>
              </w:rPr>
              <w:t>o</w:t>
            </w:r>
            <w:r w:rsidR="00193ACB" w:rsidRPr="00123439">
              <w:rPr>
                <w:iCs/>
              </w:rPr>
              <w:t xml:space="preserve"> politikas iniciatīv</w:t>
            </w:r>
            <w:r w:rsidR="004B0A81" w:rsidRPr="00123439">
              <w:rPr>
                <w:iCs/>
              </w:rPr>
              <w:t>u</w:t>
            </w:r>
            <w:r w:rsidR="00193ACB" w:rsidRPr="00123439">
              <w:rPr>
                <w:iCs/>
              </w:rPr>
              <w:t xml:space="preserve">, ja tā </w:t>
            </w:r>
            <w:r w:rsidR="004B0A81" w:rsidRPr="00123439">
              <w:rPr>
                <w:iCs/>
              </w:rPr>
              <w:t>neatbilst šo noteikumu prasībām, tai skaitā, piemēram</w:t>
            </w:r>
            <w:r w:rsidR="00FE3EC5" w:rsidRPr="00123439">
              <w:rPr>
                <w:iCs/>
              </w:rPr>
              <w:t>,</w:t>
            </w:r>
            <w:r w:rsidR="004B0A81" w:rsidRPr="00123439">
              <w:rPr>
                <w:iCs/>
              </w:rPr>
              <w:t xml:space="preserve"> </w:t>
            </w:r>
            <w:r w:rsidR="00C22703" w:rsidRPr="00123439">
              <w:rPr>
                <w:iCs/>
              </w:rPr>
              <w:t xml:space="preserve">jaunā politikas iniciatīva </w:t>
            </w:r>
            <w:r w:rsidR="004B0A81" w:rsidRPr="00123439">
              <w:rPr>
                <w:iCs/>
              </w:rPr>
              <w:t>nav iesniegta</w:t>
            </w:r>
            <w:r w:rsidR="00531E88" w:rsidRPr="00123439">
              <w:rPr>
                <w:iCs/>
              </w:rPr>
              <w:t>,</w:t>
            </w:r>
            <w:r w:rsidR="004B0A81" w:rsidRPr="00123439">
              <w:rPr>
                <w:iCs/>
              </w:rPr>
              <w:t xml:space="preserve"> </w:t>
            </w:r>
            <w:r w:rsidR="00531E88" w:rsidRPr="00123439">
              <w:t xml:space="preserve"> </w:t>
            </w:r>
            <w:r w:rsidR="00531E88" w:rsidRPr="00123439">
              <w:rPr>
                <w:iCs/>
              </w:rPr>
              <w:t xml:space="preserve">aizpildot vienotu atbilstošu veidlapu, </w:t>
            </w:r>
            <w:r w:rsidR="004B0A81" w:rsidRPr="00123439">
              <w:rPr>
                <w:iCs/>
              </w:rPr>
              <w:t xml:space="preserve">vai </w:t>
            </w:r>
            <w:r w:rsidR="004B0A81" w:rsidRPr="00123439">
              <w:t>a</w:t>
            </w:r>
            <w:r w:rsidR="004B0A81" w:rsidRPr="00123439">
              <w:rPr>
                <w:iCs/>
              </w:rPr>
              <w:t xml:space="preserve">tsevišķa jaunās politikas iniciatīva ietver apakšpasākumus, kas nav saturiski vienoti, </w:t>
            </w:r>
            <w:r w:rsidR="00C22703" w:rsidRPr="00123439">
              <w:rPr>
                <w:iCs/>
              </w:rPr>
              <w:t xml:space="preserve">vai arī par jauno politikas iniciatīvu </w:t>
            </w:r>
            <w:r w:rsidR="004B0A81" w:rsidRPr="00123439">
              <w:rPr>
                <w:iCs/>
              </w:rPr>
              <w:t xml:space="preserve">nav sniegta visa veidlapās ietveramā informācija. </w:t>
            </w:r>
            <w:r w:rsidR="00082662">
              <w:rPr>
                <w:iCs/>
              </w:rPr>
              <w:t>Vienlaikus nepieciešams noteikt, ka ministrija šādos gadījumos var iesniegt precizēto līdzekļu pieprasījumu jaunajām politikas iniciatīvām</w:t>
            </w:r>
            <w:r w:rsidR="005705C2">
              <w:rPr>
                <w:iCs/>
              </w:rPr>
              <w:t>, novēršot norādītās neatbilstības</w:t>
            </w:r>
            <w:r w:rsidR="00082662">
              <w:rPr>
                <w:iCs/>
              </w:rPr>
              <w:t>.</w:t>
            </w:r>
            <w:r w:rsidR="005705C2">
              <w:rPr>
                <w:iCs/>
              </w:rPr>
              <w:t xml:space="preserve"> </w:t>
            </w:r>
          </w:p>
          <w:p w14:paraId="15E2AAB2" w14:textId="77777777" w:rsidR="005705C2" w:rsidRPr="00123439" w:rsidRDefault="005705C2" w:rsidP="002634CF">
            <w:pPr>
              <w:ind w:left="142" w:right="79"/>
              <w:jc w:val="both"/>
            </w:pPr>
            <w:r>
              <w:t xml:space="preserve">Noteikumu projekts paredz noteikt, ka </w:t>
            </w:r>
            <w:r w:rsidRPr="005705C2">
              <w:rPr>
                <w:bCs/>
              </w:rPr>
              <w:t>Finanšu ministrija un Pārresoru koordinācijas centrs divu nedēļu laikā no jauno politikas iniciatīvu iesniegšanas datuma, kas noteikts gadskārtējā valsts budžeta likuma projekta sagatavošanas un iesniegšanas grafikā, izvērtē vai ministrijas iesniegtās jaunās politikas iniciatīvas ir iesniegtas saskaņā ar šajos noteikumos minētajiem nosacījumiem. Finanšu ministrija nosūta ministrijai Finanšu ministrijas un Pārresoru koordinācijas centra savstarpēji saskaņotu viedokli par konstatētajām neatbilstībām</w:t>
            </w:r>
            <w:r w:rsidR="00C44328">
              <w:t xml:space="preserve"> un </w:t>
            </w:r>
            <w:r w:rsidR="00C44328" w:rsidRPr="00C44328">
              <w:rPr>
                <w:bCs/>
              </w:rPr>
              <w:t>norādījumus informācijas precizēšanai</w:t>
            </w:r>
            <w:r>
              <w:rPr>
                <w:bCs/>
              </w:rPr>
              <w:t xml:space="preserve">, </w:t>
            </w:r>
            <w:r w:rsidRPr="005705C2">
              <w:rPr>
                <w:bCs/>
              </w:rPr>
              <w:t>lai nozares ministrija zinātu, kas tieši ir jāprecizē</w:t>
            </w:r>
            <w:r>
              <w:rPr>
                <w:bCs/>
              </w:rPr>
              <w:t xml:space="preserve"> (p</w:t>
            </w:r>
            <w:r>
              <w:t xml:space="preserve">iemēram, konkrētā jaunajā politikas iniciatīvā ietverti apakšpasākumi, kas nav saturiski vienoti). </w:t>
            </w:r>
            <w:r w:rsidRPr="005705C2">
              <w:rPr>
                <w:bCs/>
              </w:rPr>
              <w:t>Ministrija vienas nedēļas laikā pēc Finanšu ministrijas nosūtītā</w:t>
            </w:r>
            <w:r w:rsidR="006B3082">
              <w:rPr>
                <w:bCs/>
              </w:rPr>
              <w:t xml:space="preserve"> viedokļa</w:t>
            </w:r>
            <w:r w:rsidRPr="005705C2">
              <w:rPr>
                <w:bCs/>
              </w:rPr>
              <w:t xml:space="preserve"> </w:t>
            </w:r>
            <w:r w:rsidR="005B765E">
              <w:t xml:space="preserve"> </w:t>
            </w:r>
            <w:r w:rsidR="005B765E" w:rsidRPr="005B765E">
              <w:rPr>
                <w:bCs/>
              </w:rPr>
              <w:t xml:space="preserve">par konstatētajām neatbilstībām </w:t>
            </w:r>
            <w:r w:rsidRPr="005705C2">
              <w:rPr>
                <w:bCs/>
              </w:rPr>
              <w:t>saņemšanas atkārtoti iesniedz precizēto informāciju</w:t>
            </w:r>
            <w:r w:rsidR="00C44328">
              <w:rPr>
                <w:bCs/>
              </w:rPr>
              <w:t xml:space="preserve"> </w:t>
            </w:r>
            <w:r w:rsidR="00C44328">
              <w:t xml:space="preserve"> </w:t>
            </w:r>
            <w:r w:rsidR="00C44328" w:rsidRPr="00C44328">
              <w:rPr>
                <w:bCs/>
              </w:rPr>
              <w:t>atbilstoši saņemtajiem norādījumiem</w:t>
            </w:r>
            <w:r w:rsidRPr="005705C2">
              <w:rPr>
                <w:bCs/>
              </w:rPr>
              <w:t>.</w:t>
            </w:r>
            <w:r>
              <w:rPr>
                <w:bCs/>
              </w:rPr>
              <w:t xml:space="preserve"> </w:t>
            </w:r>
            <w:r>
              <w:t>Ministrijām šādos gadījumos ir jāiesniedz atkārtoti jauno politikas iniciatīvu saraksts prioritārā secībā, kā arī precizētais (-ie) jaunās politikas iniciatīvas pieteikums (-i). Ministrija veic izmaiņas excel failā tikai attiecībā uz norādītajām neatbilstībām. Iesniedzot precizēto failu, ministrija pavadvēstulē norāda, kuros jaunās politikas iniciatīvas pieteikumos izmaiņas veiktas.</w:t>
            </w:r>
          </w:p>
          <w:p w14:paraId="33BB3B64" w14:textId="77777777" w:rsidR="00CD6ED4" w:rsidRDefault="005705C2" w:rsidP="002634CF">
            <w:pPr>
              <w:spacing w:after="120"/>
              <w:ind w:left="142" w:right="79"/>
              <w:jc w:val="both"/>
            </w:pPr>
            <w:r>
              <w:t xml:space="preserve">Tāpat noteikumu projekts paredz, ka Finanšu ministrijai un Pārresoru koordinācijas centram ir tiesības pieprasīt papildu informāciju ministrijām jauno politikas iniciatīvu </w:t>
            </w:r>
            <w:r w:rsidR="00137F0A">
              <w:t xml:space="preserve">izvērtēšanas un </w:t>
            </w:r>
            <w:r>
              <w:t>apkopošanas procesā</w:t>
            </w:r>
            <w:r w:rsidR="00801AFF">
              <w:t>. A</w:t>
            </w:r>
            <w:r w:rsidR="00801AFF" w:rsidRPr="00801AFF">
              <w:t>tsevišķa jaunās politikas iniciatīva nevar ietvert apakšpasākumus, kas nav saturiski vienoti.</w:t>
            </w:r>
          </w:p>
          <w:p w14:paraId="30E2452B" w14:textId="77777777" w:rsidR="00D8761C" w:rsidRDefault="00CC277D" w:rsidP="002634CF">
            <w:pPr>
              <w:ind w:left="142" w:right="79"/>
              <w:jc w:val="both"/>
              <w:rPr>
                <w:iCs/>
              </w:rPr>
            </w:pPr>
            <w:r>
              <w:rPr>
                <w:iCs/>
              </w:rPr>
              <w:t>9</w:t>
            </w:r>
            <w:r w:rsidR="00D8761C">
              <w:rPr>
                <w:iCs/>
              </w:rPr>
              <w:t>.</w:t>
            </w:r>
            <w:r w:rsidR="00496027">
              <w:rPr>
                <w:iCs/>
              </w:rPr>
              <w:t> </w:t>
            </w:r>
            <w:r w:rsidR="00D8761C">
              <w:rPr>
                <w:iCs/>
              </w:rPr>
              <w:t xml:space="preserve">Šobrīd noteikumi neparedz vienotu algoritmu, kā sniegt detalizēto aprēķinu par jaunajām nepieciešamajām amata vietām. Līdz ar to sniegtos aprēķinus ne vienmēr ir iespējams kvalitatīvi izvērtēt. </w:t>
            </w:r>
          </w:p>
          <w:p w14:paraId="7384544A" w14:textId="77777777" w:rsidR="008532CC" w:rsidRDefault="008532CC" w:rsidP="002634CF">
            <w:pPr>
              <w:spacing w:after="120"/>
              <w:ind w:left="142" w:right="79"/>
              <w:jc w:val="both"/>
            </w:pPr>
            <w:r>
              <w:t xml:space="preserve">Noteikumu projekts ietver norādi (veidlapās) par to, ka </w:t>
            </w:r>
            <w:r w:rsidRPr="00D8761C">
              <w:t>atlīdzību papildu amata vietām plāno atbilstoši Ministru kabineta 2009.gada 15.decembra instrukcijā Nr.19 „Tiesību akta projekta sākotnējās ietekmes izvērtēšanas kārtība” noteiktajai kārtībai</w:t>
            </w:r>
            <w:r>
              <w:t xml:space="preserve">. Tas nodrošinās, ka aprēķini tiks sniegti pēc vienotiem nosacījumiem, ietverot visu informāciju, kas nepieciešama aprēķina pamatotības izvērtējumam. </w:t>
            </w:r>
          </w:p>
          <w:p w14:paraId="36A29AA3" w14:textId="77777777" w:rsidR="00D67EFF" w:rsidRDefault="00D67EFF" w:rsidP="002634CF">
            <w:pPr>
              <w:ind w:left="142" w:right="79"/>
              <w:jc w:val="both"/>
              <w:rPr>
                <w:iCs/>
              </w:rPr>
            </w:pPr>
            <w:r w:rsidRPr="00123439">
              <w:rPr>
                <w:iCs/>
              </w:rPr>
              <w:t>1</w:t>
            </w:r>
            <w:r w:rsidR="008D2A2B">
              <w:rPr>
                <w:iCs/>
              </w:rPr>
              <w:t>0</w:t>
            </w:r>
            <w:r w:rsidRPr="00123439">
              <w:rPr>
                <w:iCs/>
              </w:rPr>
              <w:t>. Ne visas ministrijas, sagatavojot pieteikumus jaunajām politikas iniciatīvām, izmanto vienotas veidlapas MS Excel formātā, kas ievietotas Finanšu ministrijas mājas lapā. Tādējādi ministriju iesniegtie pieteikumi ir dažādi noformēti, līdz ar to tas apgrūtina Finanšu ministrijas turpmāko darbu.</w:t>
            </w:r>
            <w:r>
              <w:rPr>
                <w:iCs/>
              </w:rPr>
              <w:t xml:space="preserve"> </w:t>
            </w:r>
          </w:p>
          <w:p w14:paraId="17132D85" w14:textId="77777777" w:rsidR="008532CC" w:rsidRPr="00236B30" w:rsidRDefault="008532CC" w:rsidP="002634CF">
            <w:pPr>
              <w:ind w:left="142" w:right="79"/>
              <w:jc w:val="both"/>
            </w:pPr>
            <w:r w:rsidRPr="008532CC">
              <w:t>Noteikumu projekts paredz:</w:t>
            </w:r>
            <w:r>
              <w:t xml:space="preserve"> m</w:t>
            </w:r>
            <w:r w:rsidRPr="00123439">
              <w:t>inistrija, sagatavojot pieteikumus jaunajām politikas iniciatīvām, izmanto</w:t>
            </w:r>
            <w:r>
              <w:t>s</w:t>
            </w:r>
            <w:r w:rsidRPr="00123439">
              <w:t xml:space="preserve"> vienotas veidlapas MS Excel formātā, kas ievietotas Finanšu ministrijas mājas lapā, neveicot izmaiņas veidlapas struktūrā. Tāpat ministrijas piešķirs jaunajām politikas iniciatīvām kodus. Līdz ar to būs efektīvāk iespējams apstrādāt no ministrijām saņemtos datus. </w:t>
            </w:r>
            <w:r>
              <w:t>J</w:t>
            </w:r>
            <w:r w:rsidRPr="00123439">
              <w:t xml:space="preserve">auno politikas iniciatīvu pieteikumu veidlapas vienlaikus ir pilnveidotas, vadoties no </w:t>
            </w:r>
            <w:r>
              <w:t>2013.</w:t>
            </w:r>
            <w:r w:rsidRPr="00123439">
              <w:t>gada pieredzes.</w:t>
            </w:r>
          </w:p>
        </w:tc>
      </w:tr>
      <w:tr w:rsidR="00DC689C" w:rsidRPr="00123439" w14:paraId="200DCF61" w14:textId="77777777" w:rsidTr="002634CF">
        <w:trPr>
          <w:trHeight w:val="476"/>
          <w:jc w:val="center"/>
        </w:trPr>
        <w:tc>
          <w:tcPr>
            <w:tcW w:w="289" w:type="dxa"/>
          </w:tcPr>
          <w:p w14:paraId="2621FBB5" w14:textId="77777777" w:rsidR="00DC689C" w:rsidRPr="00123439" w:rsidRDefault="00C90FFC" w:rsidP="002634CF">
            <w:pPr>
              <w:pStyle w:val="naiskr"/>
              <w:spacing w:before="0" w:after="0"/>
              <w:rPr>
                <w:sz w:val="22"/>
                <w:szCs w:val="22"/>
              </w:rPr>
            </w:pPr>
            <w:r>
              <w:rPr>
                <w:sz w:val="22"/>
                <w:szCs w:val="22"/>
              </w:rPr>
              <w:lastRenderedPageBreak/>
              <w:t>3</w:t>
            </w:r>
            <w:r w:rsidR="00DC689C" w:rsidRPr="00123439">
              <w:rPr>
                <w:sz w:val="22"/>
                <w:szCs w:val="22"/>
              </w:rPr>
              <w:t>.</w:t>
            </w:r>
          </w:p>
        </w:tc>
        <w:tc>
          <w:tcPr>
            <w:tcW w:w="1417" w:type="dxa"/>
          </w:tcPr>
          <w:p w14:paraId="00C209A7" w14:textId="77777777" w:rsidR="00DC689C" w:rsidRPr="00123439" w:rsidRDefault="00DC689C" w:rsidP="002634CF">
            <w:pPr>
              <w:pStyle w:val="naiskr"/>
              <w:spacing w:before="0" w:after="0"/>
              <w:rPr>
                <w:sz w:val="22"/>
                <w:szCs w:val="22"/>
              </w:rPr>
            </w:pPr>
            <w:r w:rsidRPr="00123439">
              <w:rPr>
                <w:sz w:val="22"/>
                <w:szCs w:val="22"/>
              </w:rPr>
              <w:t xml:space="preserve">Projekta izstrādē </w:t>
            </w:r>
            <w:r w:rsidRPr="00123439">
              <w:rPr>
                <w:sz w:val="22"/>
                <w:szCs w:val="22"/>
              </w:rPr>
              <w:lastRenderedPageBreak/>
              <w:t>iesaistītās institūcijas</w:t>
            </w:r>
          </w:p>
        </w:tc>
        <w:tc>
          <w:tcPr>
            <w:tcW w:w="8080" w:type="dxa"/>
          </w:tcPr>
          <w:p w14:paraId="2EF8F64E" w14:textId="77777777" w:rsidR="00DC689C" w:rsidRPr="00123439" w:rsidRDefault="008C1E67" w:rsidP="002634CF">
            <w:pPr>
              <w:pStyle w:val="naiskr"/>
              <w:spacing w:before="0" w:after="0"/>
              <w:ind w:left="142" w:right="81"/>
            </w:pPr>
            <w:r w:rsidRPr="00123439">
              <w:rPr>
                <w:iCs/>
              </w:rPr>
              <w:lastRenderedPageBreak/>
              <w:t>Pārresoru koordinācijas centrs</w:t>
            </w:r>
            <w:r w:rsidR="007578EB" w:rsidRPr="00123439">
              <w:rPr>
                <w:iCs/>
              </w:rPr>
              <w:t>.</w:t>
            </w:r>
          </w:p>
        </w:tc>
      </w:tr>
      <w:tr w:rsidR="00DC689C" w:rsidRPr="00123439" w14:paraId="6083267C" w14:textId="77777777" w:rsidTr="002634CF">
        <w:trPr>
          <w:jc w:val="center"/>
        </w:trPr>
        <w:tc>
          <w:tcPr>
            <w:tcW w:w="289" w:type="dxa"/>
          </w:tcPr>
          <w:p w14:paraId="4CD96E54" w14:textId="77777777" w:rsidR="00DC689C" w:rsidRPr="00123439" w:rsidRDefault="00C90FFC" w:rsidP="002634CF">
            <w:pPr>
              <w:pStyle w:val="naiskr"/>
              <w:spacing w:before="0" w:after="0"/>
              <w:rPr>
                <w:sz w:val="22"/>
                <w:szCs w:val="22"/>
              </w:rPr>
            </w:pPr>
            <w:r>
              <w:rPr>
                <w:sz w:val="22"/>
                <w:szCs w:val="22"/>
              </w:rPr>
              <w:lastRenderedPageBreak/>
              <w:t>4</w:t>
            </w:r>
            <w:r w:rsidR="00DC689C" w:rsidRPr="00123439">
              <w:rPr>
                <w:sz w:val="22"/>
                <w:szCs w:val="22"/>
              </w:rPr>
              <w:t>.</w:t>
            </w:r>
          </w:p>
        </w:tc>
        <w:tc>
          <w:tcPr>
            <w:tcW w:w="1417" w:type="dxa"/>
          </w:tcPr>
          <w:p w14:paraId="4C6A638B" w14:textId="77777777" w:rsidR="00DC689C" w:rsidRPr="00123439" w:rsidRDefault="00DC689C" w:rsidP="002634CF">
            <w:pPr>
              <w:pStyle w:val="naiskr"/>
              <w:spacing w:before="0" w:after="0"/>
              <w:rPr>
                <w:sz w:val="22"/>
                <w:szCs w:val="22"/>
              </w:rPr>
            </w:pPr>
            <w:r w:rsidRPr="00123439">
              <w:rPr>
                <w:sz w:val="22"/>
                <w:szCs w:val="22"/>
              </w:rPr>
              <w:t>Cita informācija</w:t>
            </w:r>
          </w:p>
        </w:tc>
        <w:tc>
          <w:tcPr>
            <w:tcW w:w="8080" w:type="dxa"/>
          </w:tcPr>
          <w:p w14:paraId="2879B78B" w14:textId="77777777" w:rsidR="00DC689C" w:rsidRPr="00123439" w:rsidRDefault="008E4D69" w:rsidP="002634CF">
            <w:pPr>
              <w:pStyle w:val="naiskr"/>
              <w:spacing w:before="0" w:after="0"/>
              <w:ind w:left="142" w:right="81"/>
            </w:pPr>
            <w:r w:rsidRPr="00123439">
              <w:t>Nav.</w:t>
            </w:r>
          </w:p>
        </w:tc>
      </w:tr>
    </w:tbl>
    <w:p w14:paraId="22685ED5" w14:textId="77777777" w:rsidR="008D3A5D" w:rsidRDefault="008D3A5D" w:rsidP="00014F75">
      <w:pPr>
        <w:pStyle w:val="naisf"/>
        <w:spacing w:before="0" w:after="0"/>
        <w:ind w:firstLine="0"/>
        <w:rPr>
          <w:sz w:val="28"/>
          <w:szCs w:val="28"/>
        </w:rPr>
      </w:pPr>
    </w:p>
    <w:p w14:paraId="190AC78E" w14:textId="77777777" w:rsidR="004F543E" w:rsidRDefault="004F543E" w:rsidP="00014F75">
      <w:pPr>
        <w:pStyle w:val="naisf"/>
        <w:spacing w:before="0" w:after="0"/>
        <w:ind w:firstLine="0"/>
        <w:rPr>
          <w:sz w:val="28"/>
          <w:szCs w:val="28"/>
        </w:rPr>
      </w:pPr>
    </w:p>
    <w:tbl>
      <w:tblPr>
        <w:tblStyle w:val="TableGrid"/>
        <w:tblW w:w="9782" w:type="dxa"/>
        <w:tblInd w:w="-431" w:type="dxa"/>
        <w:tblLook w:val="04A0" w:firstRow="1" w:lastRow="0" w:firstColumn="1" w:lastColumn="0" w:noHBand="0" w:noVBand="1"/>
      </w:tblPr>
      <w:tblGrid>
        <w:gridCol w:w="823"/>
        <w:gridCol w:w="2693"/>
        <w:gridCol w:w="6266"/>
      </w:tblGrid>
      <w:tr w:rsidR="003F35BE" w14:paraId="1AEAAFE4" w14:textId="77777777" w:rsidTr="003F35BE">
        <w:tc>
          <w:tcPr>
            <w:tcW w:w="9782" w:type="dxa"/>
            <w:gridSpan w:val="3"/>
          </w:tcPr>
          <w:p w14:paraId="4D965293" w14:textId="77777777" w:rsidR="003F35BE" w:rsidRPr="004D5484" w:rsidRDefault="003F35BE" w:rsidP="00887DDD">
            <w:pPr>
              <w:pStyle w:val="naisf"/>
              <w:spacing w:before="0" w:after="0"/>
              <w:ind w:firstLine="0"/>
              <w:jc w:val="center"/>
            </w:pPr>
            <w:r w:rsidRPr="00FC3551">
              <w:rPr>
                <w:b/>
                <w:bCs/>
              </w:rPr>
              <w:t>IV. Tiesību akta projekta ietekme uz spēkā esošo tiesību normu sistēmu</w:t>
            </w:r>
          </w:p>
        </w:tc>
      </w:tr>
      <w:tr w:rsidR="003F35BE" w14:paraId="76843731" w14:textId="77777777" w:rsidTr="003F35BE">
        <w:tc>
          <w:tcPr>
            <w:tcW w:w="823" w:type="dxa"/>
          </w:tcPr>
          <w:p w14:paraId="386A732E" w14:textId="77777777" w:rsidR="003F35BE" w:rsidRPr="00A3632A" w:rsidRDefault="003F35BE" w:rsidP="00887DDD">
            <w:pPr>
              <w:pStyle w:val="naisf"/>
              <w:spacing w:before="0" w:after="0"/>
              <w:ind w:firstLine="0"/>
              <w:rPr>
                <w:sz w:val="22"/>
                <w:szCs w:val="22"/>
              </w:rPr>
            </w:pPr>
            <w:r w:rsidRPr="00A3632A">
              <w:rPr>
                <w:sz w:val="22"/>
                <w:szCs w:val="22"/>
              </w:rPr>
              <w:t>1.</w:t>
            </w:r>
          </w:p>
        </w:tc>
        <w:tc>
          <w:tcPr>
            <w:tcW w:w="2693" w:type="dxa"/>
          </w:tcPr>
          <w:p w14:paraId="66D16BC6" w14:textId="77777777" w:rsidR="003F35BE" w:rsidRPr="00FC3551" w:rsidRDefault="003F35BE" w:rsidP="00887DDD">
            <w:pPr>
              <w:rPr>
                <w:sz w:val="22"/>
                <w:szCs w:val="22"/>
              </w:rPr>
            </w:pPr>
            <w:r w:rsidRPr="00FC3551">
              <w:rPr>
                <w:sz w:val="22"/>
                <w:szCs w:val="22"/>
              </w:rPr>
              <w:t>Nepieciešamie saistītie tiesību aktu projekti</w:t>
            </w:r>
          </w:p>
        </w:tc>
        <w:tc>
          <w:tcPr>
            <w:tcW w:w="6266" w:type="dxa"/>
          </w:tcPr>
          <w:p w14:paraId="0B207063" w14:textId="77777777" w:rsidR="003F35BE" w:rsidRPr="004D5484" w:rsidRDefault="003F35BE" w:rsidP="00887DDD">
            <w:pPr>
              <w:pStyle w:val="naisf"/>
              <w:spacing w:before="0" w:after="0"/>
              <w:ind w:firstLine="0"/>
              <w:rPr>
                <w:sz w:val="22"/>
                <w:szCs w:val="22"/>
              </w:rPr>
            </w:pPr>
            <w:r w:rsidRPr="004D5484">
              <w:rPr>
                <w:iCs/>
                <w:sz w:val="22"/>
                <w:szCs w:val="22"/>
              </w:rPr>
              <w:t>Projekts šo jomu neskar.</w:t>
            </w:r>
          </w:p>
        </w:tc>
      </w:tr>
      <w:tr w:rsidR="003F35BE" w14:paraId="4D2A6DE2" w14:textId="77777777" w:rsidTr="003F35BE">
        <w:tc>
          <w:tcPr>
            <w:tcW w:w="823" w:type="dxa"/>
          </w:tcPr>
          <w:p w14:paraId="4946399A" w14:textId="77777777" w:rsidR="003F35BE" w:rsidRPr="00A3632A" w:rsidRDefault="003F35BE" w:rsidP="00887DDD">
            <w:pPr>
              <w:pStyle w:val="naisf"/>
              <w:spacing w:before="0" w:after="0"/>
              <w:ind w:firstLine="0"/>
              <w:rPr>
                <w:sz w:val="22"/>
                <w:szCs w:val="22"/>
              </w:rPr>
            </w:pPr>
            <w:r w:rsidRPr="00A3632A">
              <w:rPr>
                <w:sz w:val="22"/>
                <w:szCs w:val="22"/>
              </w:rPr>
              <w:t>2.</w:t>
            </w:r>
          </w:p>
        </w:tc>
        <w:tc>
          <w:tcPr>
            <w:tcW w:w="2693" w:type="dxa"/>
          </w:tcPr>
          <w:p w14:paraId="261CAAE1" w14:textId="77777777" w:rsidR="003F35BE" w:rsidRPr="004D5484" w:rsidRDefault="003F35BE" w:rsidP="00887DDD">
            <w:pPr>
              <w:pStyle w:val="naisf"/>
              <w:spacing w:before="0" w:after="0"/>
              <w:ind w:firstLine="0"/>
              <w:rPr>
                <w:sz w:val="22"/>
                <w:szCs w:val="22"/>
              </w:rPr>
            </w:pPr>
            <w:r w:rsidRPr="00FC3551">
              <w:rPr>
                <w:sz w:val="22"/>
                <w:szCs w:val="22"/>
              </w:rPr>
              <w:t>Atbildīgā institūcija</w:t>
            </w:r>
          </w:p>
        </w:tc>
        <w:tc>
          <w:tcPr>
            <w:tcW w:w="6266" w:type="dxa"/>
          </w:tcPr>
          <w:p w14:paraId="34D43CBA" w14:textId="77777777" w:rsidR="003F35BE" w:rsidRPr="004D5484" w:rsidRDefault="003F35BE" w:rsidP="00887DDD">
            <w:pPr>
              <w:pStyle w:val="naisf"/>
              <w:spacing w:before="0" w:after="0"/>
              <w:ind w:firstLine="0"/>
              <w:rPr>
                <w:sz w:val="22"/>
                <w:szCs w:val="22"/>
              </w:rPr>
            </w:pPr>
            <w:r w:rsidRPr="004D5484">
              <w:rPr>
                <w:sz w:val="22"/>
                <w:szCs w:val="22"/>
              </w:rPr>
              <w:t>Finanšu ministrija</w:t>
            </w:r>
          </w:p>
        </w:tc>
      </w:tr>
      <w:tr w:rsidR="003F35BE" w14:paraId="54132E6D" w14:textId="77777777" w:rsidTr="003F35BE">
        <w:tc>
          <w:tcPr>
            <w:tcW w:w="823" w:type="dxa"/>
          </w:tcPr>
          <w:p w14:paraId="6FC6476C" w14:textId="77777777" w:rsidR="003F35BE" w:rsidRPr="00A3632A" w:rsidRDefault="003F35BE" w:rsidP="00887DDD">
            <w:pPr>
              <w:pStyle w:val="naisf"/>
              <w:spacing w:before="0" w:after="0"/>
              <w:ind w:firstLine="0"/>
              <w:rPr>
                <w:sz w:val="22"/>
                <w:szCs w:val="22"/>
              </w:rPr>
            </w:pPr>
            <w:r w:rsidRPr="00A3632A">
              <w:rPr>
                <w:sz w:val="22"/>
                <w:szCs w:val="22"/>
              </w:rPr>
              <w:t>3.</w:t>
            </w:r>
          </w:p>
        </w:tc>
        <w:tc>
          <w:tcPr>
            <w:tcW w:w="2693" w:type="dxa"/>
          </w:tcPr>
          <w:p w14:paraId="24AEEFA6" w14:textId="77777777" w:rsidR="003F35BE" w:rsidRPr="004D5484" w:rsidRDefault="003F35BE" w:rsidP="00887DDD">
            <w:pPr>
              <w:pStyle w:val="naisf"/>
              <w:spacing w:before="0" w:after="0"/>
              <w:ind w:firstLine="0"/>
              <w:rPr>
                <w:sz w:val="22"/>
                <w:szCs w:val="22"/>
              </w:rPr>
            </w:pPr>
            <w:r w:rsidRPr="00FC3551">
              <w:rPr>
                <w:sz w:val="22"/>
                <w:szCs w:val="22"/>
              </w:rPr>
              <w:t>Cita informācija</w:t>
            </w:r>
          </w:p>
        </w:tc>
        <w:tc>
          <w:tcPr>
            <w:tcW w:w="6266" w:type="dxa"/>
          </w:tcPr>
          <w:p w14:paraId="662C7F0E" w14:textId="77777777" w:rsidR="003F35BE" w:rsidRPr="004D5484" w:rsidRDefault="003F35BE" w:rsidP="00887DDD">
            <w:pPr>
              <w:pStyle w:val="naisf"/>
              <w:spacing w:before="0" w:after="0"/>
              <w:ind w:firstLine="0"/>
              <w:rPr>
                <w:sz w:val="22"/>
                <w:szCs w:val="22"/>
              </w:rPr>
            </w:pPr>
            <w:r w:rsidRPr="004D5484">
              <w:rPr>
                <w:sz w:val="22"/>
                <w:szCs w:val="22"/>
              </w:rPr>
              <w:t>Nav</w:t>
            </w:r>
          </w:p>
        </w:tc>
      </w:tr>
    </w:tbl>
    <w:p w14:paraId="7EE8EC7A" w14:textId="77777777" w:rsidR="004F543E" w:rsidRDefault="004F543E" w:rsidP="00014F75">
      <w:pPr>
        <w:pStyle w:val="naisf"/>
        <w:spacing w:before="0" w:after="0"/>
        <w:ind w:firstLine="0"/>
        <w:rPr>
          <w:sz w:val="28"/>
          <w:szCs w:val="28"/>
        </w:rPr>
      </w:pPr>
    </w:p>
    <w:p w14:paraId="48C4FF34" w14:textId="77777777" w:rsidR="004F543E" w:rsidRDefault="004F543E" w:rsidP="00014F75">
      <w:pPr>
        <w:pStyle w:val="naisf"/>
        <w:spacing w:before="0" w:after="0"/>
        <w:ind w:firstLine="0"/>
        <w:rPr>
          <w:sz w:val="28"/>
          <w:szCs w:val="28"/>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43"/>
        <w:gridCol w:w="4198"/>
        <w:gridCol w:w="4841"/>
      </w:tblGrid>
      <w:tr w:rsidR="00DC689C" w:rsidRPr="00123439" w14:paraId="554EA9D9" w14:textId="77777777" w:rsidTr="003F35BE">
        <w:tc>
          <w:tcPr>
            <w:tcW w:w="9782" w:type="dxa"/>
            <w:gridSpan w:val="3"/>
            <w:tcBorders>
              <w:top w:val="single" w:sz="4" w:space="0" w:color="auto"/>
            </w:tcBorders>
          </w:tcPr>
          <w:p w14:paraId="487F4389" w14:textId="77777777" w:rsidR="00DC689C" w:rsidRPr="00123439" w:rsidRDefault="00DC689C" w:rsidP="0023237B">
            <w:pPr>
              <w:pStyle w:val="naisnod"/>
              <w:spacing w:before="0" w:after="0"/>
              <w:ind w:left="57" w:right="57"/>
            </w:pPr>
            <w:r w:rsidRPr="00123439">
              <w:t>VII. Tiesību akta projekta izpildes nodrošināšana un tās ietekme uz institūcijām</w:t>
            </w:r>
          </w:p>
        </w:tc>
      </w:tr>
      <w:tr w:rsidR="00DC689C" w:rsidRPr="00123439" w14:paraId="599A0E5D" w14:textId="77777777" w:rsidTr="003F35BE">
        <w:trPr>
          <w:trHeight w:val="427"/>
        </w:trPr>
        <w:tc>
          <w:tcPr>
            <w:tcW w:w="743" w:type="dxa"/>
          </w:tcPr>
          <w:p w14:paraId="45D6C3D2" w14:textId="77777777" w:rsidR="00DC689C" w:rsidRPr="00123439" w:rsidRDefault="00DC689C" w:rsidP="0023237B">
            <w:pPr>
              <w:pStyle w:val="naisnod"/>
              <w:spacing w:before="0" w:after="0"/>
              <w:ind w:left="57" w:right="57"/>
              <w:jc w:val="left"/>
              <w:rPr>
                <w:b w:val="0"/>
                <w:sz w:val="22"/>
                <w:szCs w:val="22"/>
              </w:rPr>
            </w:pPr>
            <w:r w:rsidRPr="00123439">
              <w:rPr>
                <w:b w:val="0"/>
                <w:sz w:val="22"/>
                <w:szCs w:val="22"/>
              </w:rPr>
              <w:t>1.</w:t>
            </w:r>
          </w:p>
        </w:tc>
        <w:tc>
          <w:tcPr>
            <w:tcW w:w="4198" w:type="dxa"/>
          </w:tcPr>
          <w:p w14:paraId="5B232EE5" w14:textId="77777777" w:rsidR="00DC689C" w:rsidRPr="00123439" w:rsidRDefault="00DC689C" w:rsidP="0023237B">
            <w:pPr>
              <w:pStyle w:val="naisf"/>
              <w:spacing w:before="0" w:after="0"/>
              <w:ind w:left="57" w:right="57" w:firstLine="0"/>
              <w:jc w:val="left"/>
              <w:rPr>
                <w:sz w:val="22"/>
                <w:szCs w:val="22"/>
              </w:rPr>
            </w:pPr>
            <w:r w:rsidRPr="00123439">
              <w:rPr>
                <w:sz w:val="22"/>
                <w:szCs w:val="22"/>
              </w:rPr>
              <w:t xml:space="preserve">Projekta izpildē iesaistītās institūcijas </w:t>
            </w:r>
          </w:p>
        </w:tc>
        <w:tc>
          <w:tcPr>
            <w:tcW w:w="4841" w:type="dxa"/>
          </w:tcPr>
          <w:p w14:paraId="6FCAFEB3" w14:textId="77777777" w:rsidR="00DC689C" w:rsidRPr="00123439" w:rsidRDefault="00390B89" w:rsidP="00283D6B">
            <w:pPr>
              <w:pStyle w:val="naisnod"/>
              <w:spacing w:before="0" w:after="0"/>
              <w:ind w:left="57" w:right="57"/>
              <w:jc w:val="left"/>
              <w:rPr>
                <w:b w:val="0"/>
                <w:sz w:val="22"/>
                <w:szCs w:val="22"/>
              </w:rPr>
            </w:pPr>
            <w:r w:rsidRPr="00123439">
              <w:rPr>
                <w:b w:val="0"/>
                <w:iCs/>
                <w:sz w:val="22"/>
                <w:szCs w:val="22"/>
              </w:rPr>
              <w:t>Ministrijas un citas centrālās valsts iestādes</w:t>
            </w:r>
            <w:r w:rsidR="00E21FA7">
              <w:rPr>
                <w:b w:val="0"/>
                <w:iCs/>
                <w:sz w:val="22"/>
                <w:szCs w:val="22"/>
              </w:rPr>
              <w:t>, Pārresoru koordinācijas centrs</w:t>
            </w:r>
          </w:p>
        </w:tc>
      </w:tr>
      <w:tr w:rsidR="00DC689C" w:rsidRPr="00123439" w14:paraId="59A848D7" w14:textId="77777777" w:rsidTr="003F35BE">
        <w:trPr>
          <w:trHeight w:val="463"/>
        </w:trPr>
        <w:tc>
          <w:tcPr>
            <w:tcW w:w="743" w:type="dxa"/>
          </w:tcPr>
          <w:p w14:paraId="0625F103" w14:textId="77777777" w:rsidR="00DC689C" w:rsidRPr="00123439" w:rsidRDefault="00DC689C" w:rsidP="0023237B">
            <w:pPr>
              <w:pStyle w:val="naisnod"/>
              <w:spacing w:before="0" w:after="0"/>
              <w:ind w:left="57" w:right="57"/>
              <w:jc w:val="left"/>
              <w:rPr>
                <w:b w:val="0"/>
                <w:sz w:val="22"/>
                <w:szCs w:val="22"/>
              </w:rPr>
            </w:pPr>
            <w:r w:rsidRPr="00123439">
              <w:rPr>
                <w:b w:val="0"/>
                <w:sz w:val="22"/>
                <w:szCs w:val="22"/>
              </w:rPr>
              <w:t>2.</w:t>
            </w:r>
          </w:p>
        </w:tc>
        <w:tc>
          <w:tcPr>
            <w:tcW w:w="4198" w:type="dxa"/>
          </w:tcPr>
          <w:p w14:paraId="789BB0CA" w14:textId="77777777" w:rsidR="00DC689C" w:rsidRPr="00123439" w:rsidRDefault="00DC689C" w:rsidP="0023237B">
            <w:pPr>
              <w:pStyle w:val="naisf"/>
              <w:spacing w:before="0" w:after="0"/>
              <w:ind w:left="57" w:right="57" w:firstLine="0"/>
              <w:jc w:val="left"/>
              <w:rPr>
                <w:sz w:val="22"/>
                <w:szCs w:val="22"/>
              </w:rPr>
            </w:pPr>
            <w:r w:rsidRPr="00123439">
              <w:rPr>
                <w:sz w:val="22"/>
                <w:szCs w:val="22"/>
              </w:rPr>
              <w:t xml:space="preserve">Projekta izpildes ietekme uz pārvaldes funkcijām </w:t>
            </w:r>
          </w:p>
        </w:tc>
        <w:tc>
          <w:tcPr>
            <w:tcW w:w="4841" w:type="dxa"/>
          </w:tcPr>
          <w:p w14:paraId="07DA3823" w14:textId="77777777" w:rsidR="00DC689C" w:rsidRPr="00123439" w:rsidRDefault="00014F75" w:rsidP="0023237B">
            <w:pPr>
              <w:pStyle w:val="naisnod"/>
              <w:spacing w:before="0" w:after="0"/>
              <w:ind w:left="57" w:right="57"/>
              <w:jc w:val="left"/>
              <w:rPr>
                <w:b w:val="0"/>
                <w:sz w:val="22"/>
                <w:szCs w:val="22"/>
              </w:rPr>
            </w:pPr>
            <w:r w:rsidRPr="00123439">
              <w:rPr>
                <w:b w:val="0"/>
                <w:iCs/>
                <w:sz w:val="22"/>
                <w:szCs w:val="22"/>
              </w:rPr>
              <w:t>Projekts šo jomu neskar.</w:t>
            </w:r>
          </w:p>
        </w:tc>
      </w:tr>
      <w:tr w:rsidR="00DC689C" w:rsidRPr="00123439" w14:paraId="3BC1EC0D" w14:textId="77777777" w:rsidTr="003F35BE">
        <w:trPr>
          <w:trHeight w:val="725"/>
        </w:trPr>
        <w:tc>
          <w:tcPr>
            <w:tcW w:w="743" w:type="dxa"/>
          </w:tcPr>
          <w:p w14:paraId="27FF4DCD" w14:textId="77777777" w:rsidR="00DC689C" w:rsidRPr="00123439" w:rsidRDefault="00DC689C" w:rsidP="0023237B">
            <w:pPr>
              <w:pStyle w:val="naisnod"/>
              <w:spacing w:before="0" w:after="0"/>
              <w:ind w:left="57" w:right="57"/>
              <w:jc w:val="left"/>
              <w:rPr>
                <w:b w:val="0"/>
                <w:sz w:val="22"/>
                <w:szCs w:val="22"/>
              </w:rPr>
            </w:pPr>
            <w:r w:rsidRPr="00123439">
              <w:rPr>
                <w:b w:val="0"/>
                <w:sz w:val="22"/>
                <w:szCs w:val="22"/>
              </w:rPr>
              <w:t>3.</w:t>
            </w:r>
          </w:p>
        </w:tc>
        <w:tc>
          <w:tcPr>
            <w:tcW w:w="4198" w:type="dxa"/>
          </w:tcPr>
          <w:p w14:paraId="08588851" w14:textId="77777777" w:rsidR="00DC689C" w:rsidRPr="00123439" w:rsidRDefault="00DC689C" w:rsidP="0023237B">
            <w:pPr>
              <w:pStyle w:val="naisf"/>
              <w:spacing w:before="0" w:after="0"/>
              <w:ind w:left="57" w:right="57" w:firstLine="0"/>
              <w:jc w:val="left"/>
              <w:rPr>
                <w:sz w:val="22"/>
                <w:szCs w:val="22"/>
              </w:rPr>
            </w:pPr>
            <w:r w:rsidRPr="00123439">
              <w:rPr>
                <w:sz w:val="22"/>
                <w:szCs w:val="22"/>
              </w:rPr>
              <w:t>Projekta izpildes ietekme uz pārvaldes institucionālo struktūru.</w:t>
            </w:r>
          </w:p>
          <w:p w14:paraId="477252E8" w14:textId="77777777" w:rsidR="00DC689C" w:rsidRPr="00123439" w:rsidRDefault="00DC689C" w:rsidP="0023237B">
            <w:pPr>
              <w:pStyle w:val="naisf"/>
              <w:spacing w:before="0" w:after="0"/>
              <w:ind w:left="57" w:right="57" w:firstLine="0"/>
              <w:jc w:val="left"/>
              <w:rPr>
                <w:sz w:val="22"/>
                <w:szCs w:val="22"/>
              </w:rPr>
            </w:pPr>
            <w:r w:rsidRPr="00123439">
              <w:rPr>
                <w:sz w:val="22"/>
                <w:szCs w:val="22"/>
              </w:rPr>
              <w:t>Jaunu institūciju izveide</w:t>
            </w:r>
            <w:r w:rsidR="00C90FFC" w:rsidRPr="00C90FFC">
              <w:rPr>
                <w:sz w:val="22"/>
                <w:szCs w:val="22"/>
              </w:rPr>
              <w:t>, esošo institūciju likvidācija vai reorganizācija, to ietekme uz institūcijas cilvēkresursiem</w:t>
            </w:r>
          </w:p>
        </w:tc>
        <w:tc>
          <w:tcPr>
            <w:tcW w:w="4841" w:type="dxa"/>
          </w:tcPr>
          <w:p w14:paraId="07E37310" w14:textId="77777777" w:rsidR="00DC689C" w:rsidRPr="00123439" w:rsidRDefault="00014F75" w:rsidP="0023237B">
            <w:pPr>
              <w:pStyle w:val="naisnod"/>
              <w:spacing w:before="0" w:after="0"/>
              <w:ind w:left="57" w:right="57"/>
              <w:jc w:val="left"/>
              <w:rPr>
                <w:b w:val="0"/>
                <w:sz w:val="22"/>
                <w:szCs w:val="22"/>
              </w:rPr>
            </w:pPr>
            <w:r w:rsidRPr="00123439">
              <w:rPr>
                <w:b w:val="0"/>
                <w:iCs/>
                <w:sz w:val="22"/>
                <w:szCs w:val="22"/>
              </w:rPr>
              <w:t>Projekts šo jomu neskar.</w:t>
            </w:r>
          </w:p>
        </w:tc>
      </w:tr>
      <w:tr w:rsidR="00DC689C" w:rsidRPr="00123439" w14:paraId="19BE460C" w14:textId="77777777" w:rsidTr="003F35BE">
        <w:trPr>
          <w:trHeight w:val="476"/>
        </w:trPr>
        <w:tc>
          <w:tcPr>
            <w:tcW w:w="743" w:type="dxa"/>
          </w:tcPr>
          <w:p w14:paraId="19899441" w14:textId="77777777" w:rsidR="00DC689C" w:rsidRPr="00123439" w:rsidRDefault="00C90FFC" w:rsidP="0023237B">
            <w:pPr>
              <w:pStyle w:val="naiskr"/>
              <w:spacing w:before="0" w:after="0"/>
              <w:ind w:left="57" w:right="57"/>
              <w:rPr>
                <w:sz w:val="22"/>
                <w:szCs w:val="22"/>
              </w:rPr>
            </w:pPr>
            <w:r>
              <w:rPr>
                <w:sz w:val="22"/>
                <w:szCs w:val="22"/>
              </w:rPr>
              <w:t>4</w:t>
            </w:r>
            <w:r w:rsidR="00DC689C" w:rsidRPr="00123439">
              <w:rPr>
                <w:sz w:val="22"/>
                <w:szCs w:val="22"/>
              </w:rPr>
              <w:t>.</w:t>
            </w:r>
          </w:p>
        </w:tc>
        <w:tc>
          <w:tcPr>
            <w:tcW w:w="4198" w:type="dxa"/>
          </w:tcPr>
          <w:p w14:paraId="4E0939CF" w14:textId="77777777" w:rsidR="00DC689C" w:rsidRPr="00123439" w:rsidRDefault="00DC689C" w:rsidP="0023237B">
            <w:pPr>
              <w:pStyle w:val="naiskr"/>
              <w:spacing w:before="0" w:after="0"/>
              <w:ind w:left="57" w:right="57"/>
              <w:rPr>
                <w:sz w:val="22"/>
                <w:szCs w:val="22"/>
              </w:rPr>
            </w:pPr>
            <w:r w:rsidRPr="00123439">
              <w:rPr>
                <w:sz w:val="22"/>
                <w:szCs w:val="22"/>
              </w:rPr>
              <w:t>Cita informācija</w:t>
            </w:r>
          </w:p>
        </w:tc>
        <w:tc>
          <w:tcPr>
            <w:tcW w:w="4841" w:type="dxa"/>
          </w:tcPr>
          <w:p w14:paraId="52FB9CE1" w14:textId="77777777" w:rsidR="00DC689C" w:rsidRPr="00123439" w:rsidRDefault="00014F75" w:rsidP="0023237B">
            <w:pPr>
              <w:pStyle w:val="naiskr"/>
              <w:spacing w:before="0" w:after="0"/>
              <w:ind w:left="57" w:right="57"/>
              <w:rPr>
                <w:sz w:val="22"/>
                <w:szCs w:val="22"/>
              </w:rPr>
            </w:pPr>
            <w:r w:rsidRPr="00123439">
              <w:rPr>
                <w:sz w:val="22"/>
                <w:szCs w:val="22"/>
              </w:rPr>
              <w:t>Nav.</w:t>
            </w:r>
          </w:p>
        </w:tc>
      </w:tr>
    </w:tbl>
    <w:p w14:paraId="3391F9D3" w14:textId="77777777" w:rsidR="004264D8" w:rsidRDefault="004264D8" w:rsidP="00014F75">
      <w:pPr>
        <w:pStyle w:val="naisf"/>
        <w:tabs>
          <w:tab w:val="left" w:pos="5760"/>
        </w:tabs>
        <w:spacing w:before="0" w:after="0"/>
        <w:ind w:firstLine="0"/>
        <w:rPr>
          <w:i/>
        </w:rPr>
      </w:pPr>
    </w:p>
    <w:p w14:paraId="0229E7BA" w14:textId="77777777" w:rsidR="00DC689C" w:rsidRPr="00123439" w:rsidRDefault="00014F75" w:rsidP="00014F75">
      <w:pPr>
        <w:pStyle w:val="naisf"/>
        <w:tabs>
          <w:tab w:val="left" w:pos="5760"/>
        </w:tabs>
        <w:spacing w:before="0" w:after="0"/>
        <w:ind w:firstLine="0"/>
        <w:rPr>
          <w:i/>
        </w:rPr>
      </w:pPr>
      <w:r w:rsidRPr="00123439">
        <w:rPr>
          <w:i/>
        </w:rPr>
        <w:t xml:space="preserve">Anotācijas </w:t>
      </w:r>
      <w:r w:rsidR="00046858">
        <w:rPr>
          <w:i/>
        </w:rPr>
        <w:t>II</w:t>
      </w:r>
      <w:r w:rsidR="00A54284">
        <w:rPr>
          <w:i/>
        </w:rPr>
        <w:t xml:space="preserve">; III; V un </w:t>
      </w:r>
      <w:r w:rsidRPr="00123439">
        <w:rPr>
          <w:i/>
        </w:rPr>
        <w:t>VI  sadaļa –  projekts šīs jomas neskar.</w:t>
      </w:r>
    </w:p>
    <w:p w14:paraId="1CAB7668" w14:textId="77777777" w:rsidR="004264D8" w:rsidRDefault="004264D8" w:rsidP="00AE45A1">
      <w:pPr>
        <w:rPr>
          <w:sz w:val="28"/>
          <w:szCs w:val="28"/>
        </w:rPr>
      </w:pPr>
    </w:p>
    <w:p w14:paraId="78EA3139" w14:textId="77777777" w:rsidR="0005443C" w:rsidRDefault="0005443C" w:rsidP="00AE45A1">
      <w:pPr>
        <w:rPr>
          <w:sz w:val="28"/>
          <w:szCs w:val="28"/>
        </w:rPr>
      </w:pPr>
    </w:p>
    <w:p w14:paraId="4B6F4673" w14:textId="77777777" w:rsidR="0005443C" w:rsidRDefault="0005443C" w:rsidP="00AE45A1">
      <w:pPr>
        <w:rPr>
          <w:sz w:val="28"/>
          <w:szCs w:val="28"/>
        </w:rPr>
      </w:pPr>
    </w:p>
    <w:p w14:paraId="06EE959A" w14:textId="77777777" w:rsidR="00AE45A1" w:rsidRPr="00123439" w:rsidRDefault="00AE45A1" w:rsidP="00AE45A1">
      <w:pPr>
        <w:rPr>
          <w:sz w:val="28"/>
          <w:szCs w:val="28"/>
        </w:rPr>
      </w:pPr>
      <w:r w:rsidRPr="00123439">
        <w:rPr>
          <w:sz w:val="28"/>
          <w:szCs w:val="28"/>
        </w:rPr>
        <w:t xml:space="preserve">Finanšu ministrs </w:t>
      </w:r>
      <w:r w:rsidRPr="00123439">
        <w:rPr>
          <w:sz w:val="28"/>
          <w:szCs w:val="28"/>
        </w:rPr>
        <w:tab/>
        <w:t xml:space="preserve">  </w:t>
      </w:r>
      <w:r w:rsidRPr="00123439">
        <w:rPr>
          <w:sz w:val="28"/>
          <w:szCs w:val="28"/>
        </w:rPr>
        <w:tab/>
      </w:r>
      <w:r w:rsidRPr="00123439">
        <w:rPr>
          <w:sz w:val="28"/>
          <w:szCs w:val="28"/>
        </w:rPr>
        <w:tab/>
      </w:r>
      <w:r w:rsidRPr="00123439">
        <w:rPr>
          <w:sz w:val="28"/>
          <w:szCs w:val="28"/>
        </w:rPr>
        <w:tab/>
      </w:r>
      <w:r w:rsidRPr="00123439">
        <w:rPr>
          <w:sz w:val="28"/>
          <w:szCs w:val="28"/>
        </w:rPr>
        <w:tab/>
      </w:r>
      <w:r w:rsidRPr="00123439">
        <w:rPr>
          <w:sz w:val="28"/>
          <w:szCs w:val="28"/>
        </w:rPr>
        <w:tab/>
      </w:r>
      <w:r w:rsidRPr="00123439">
        <w:rPr>
          <w:sz w:val="28"/>
          <w:szCs w:val="28"/>
        </w:rPr>
        <w:tab/>
      </w:r>
      <w:r w:rsidR="008D3A5D" w:rsidRPr="00123439">
        <w:rPr>
          <w:sz w:val="28"/>
          <w:szCs w:val="28"/>
        </w:rPr>
        <w:tab/>
      </w:r>
      <w:r w:rsidR="008D3A5D" w:rsidRPr="00123439">
        <w:rPr>
          <w:sz w:val="28"/>
          <w:szCs w:val="28"/>
        </w:rPr>
        <w:tab/>
      </w:r>
      <w:r w:rsidRPr="00123439">
        <w:rPr>
          <w:sz w:val="28"/>
          <w:szCs w:val="28"/>
        </w:rPr>
        <w:t>A.Vilks</w:t>
      </w:r>
    </w:p>
    <w:p w14:paraId="09EDF709" w14:textId="77777777" w:rsidR="004264D8" w:rsidRDefault="004264D8" w:rsidP="00283D6B">
      <w:pPr>
        <w:jc w:val="both"/>
        <w:rPr>
          <w:sz w:val="18"/>
          <w:szCs w:val="18"/>
        </w:rPr>
      </w:pPr>
    </w:p>
    <w:p w14:paraId="092ACFB1" w14:textId="77777777" w:rsidR="004264D8" w:rsidRDefault="004264D8" w:rsidP="00283D6B">
      <w:pPr>
        <w:jc w:val="both"/>
        <w:rPr>
          <w:sz w:val="18"/>
          <w:szCs w:val="18"/>
        </w:rPr>
      </w:pPr>
    </w:p>
    <w:p w14:paraId="4A6E6E5A" w14:textId="77777777" w:rsidR="003F35BE" w:rsidRDefault="003F35BE" w:rsidP="00283D6B">
      <w:pPr>
        <w:jc w:val="both"/>
        <w:rPr>
          <w:sz w:val="18"/>
          <w:szCs w:val="18"/>
        </w:rPr>
      </w:pPr>
    </w:p>
    <w:p w14:paraId="098C3D41" w14:textId="77777777" w:rsidR="003F35BE" w:rsidRDefault="003F35BE" w:rsidP="00283D6B">
      <w:pPr>
        <w:jc w:val="both"/>
        <w:rPr>
          <w:sz w:val="18"/>
          <w:szCs w:val="18"/>
        </w:rPr>
      </w:pPr>
    </w:p>
    <w:p w14:paraId="64168FD2" w14:textId="77777777" w:rsidR="003F35BE" w:rsidRDefault="003F35BE" w:rsidP="00283D6B">
      <w:pPr>
        <w:jc w:val="both"/>
        <w:rPr>
          <w:sz w:val="18"/>
          <w:szCs w:val="18"/>
        </w:rPr>
      </w:pPr>
    </w:p>
    <w:p w14:paraId="509867BF" w14:textId="77777777" w:rsidR="003F35BE" w:rsidRDefault="003F35BE" w:rsidP="00283D6B">
      <w:pPr>
        <w:jc w:val="both"/>
        <w:rPr>
          <w:sz w:val="18"/>
          <w:szCs w:val="18"/>
        </w:rPr>
      </w:pPr>
    </w:p>
    <w:p w14:paraId="01D0D8EA" w14:textId="77777777" w:rsidR="003F35BE" w:rsidRDefault="003F35BE" w:rsidP="00283D6B">
      <w:pPr>
        <w:jc w:val="both"/>
        <w:rPr>
          <w:sz w:val="18"/>
          <w:szCs w:val="18"/>
        </w:rPr>
      </w:pPr>
    </w:p>
    <w:p w14:paraId="441E4A45" w14:textId="77777777" w:rsidR="003F35BE" w:rsidRDefault="003F35BE" w:rsidP="00283D6B">
      <w:pPr>
        <w:jc w:val="both"/>
        <w:rPr>
          <w:sz w:val="18"/>
          <w:szCs w:val="18"/>
        </w:rPr>
      </w:pPr>
    </w:p>
    <w:p w14:paraId="59141AED" w14:textId="77777777" w:rsidR="003F35BE" w:rsidRDefault="003F35BE" w:rsidP="00283D6B">
      <w:pPr>
        <w:jc w:val="both"/>
        <w:rPr>
          <w:sz w:val="18"/>
          <w:szCs w:val="18"/>
        </w:rPr>
      </w:pPr>
    </w:p>
    <w:p w14:paraId="7359C91E" w14:textId="77777777" w:rsidR="00665E37" w:rsidRPr="006071D8" w:rsidRDefault="003F35BE" w:rsidP="00283D6B">
      <w:pPr>
        <w:jc w:val="both"/>
        <w:rPr>
          <w:sz w:val="18"/>
          <w:szCs w:val="18"/>
        </w:rPr>
      </w:pPr>
      <w:r>
        <w:rPr>
          <w:sz w:val="18"/>
          <w:szCs w:val="18"/>
        </w:rPr>
        <w:t>26</w:t>
      </w:r>
      <w:r w:rsidR="00665E37" w:rsidRPr="006071D8">
        <w:rPr>
          <w:sz w:val="18"/>
          <w:szCs w:val="18"/>
        </w:rPr>
        <w:t>.</w:t>
      </w:r>
      <w:r w:rsidR="006B3082">
        <w:rPr>
          <w:sz w:val="18"/>
          <w:szCs w:val="18"/>
        </w:rPr>
        <w:t>0</w:t>
      </w:r>
      <w:r w:rsidR="007D3D14">
        <w:rPr>
          <w:sz w:val="18"/>
          <w:szCs w:val="18"/>
        </w:rPr>
        <w:t>3</w:t>
      </w:r>
      <w:r w:rsidR="00665E37" w:rsidRPr="006071D8">
        <w:rPr>
          <w:sz w:val="18"/>
          <w:szCs w:val="18"/>
        </w:rPr>
        <w:t>.201</w:t>
      </w:r>
      <w:r w:rsidR="00F85CA7" w:rsidRPr="006071D8">
        <w:rPr>
          <w:sz w:val="18"/>
          <w:szCs w:val="18"/>
        </w:rPr>
        <w:t>4</w:t>
      </w:r>
      <w:r w:rsidR="00665E37" w:rsidRPr="006071D8">
        <w:rPr>
          <w:sz w:val="18"/>
          <w:szCs w:val="18"/>
        </w:rPr>
        <w:t>.  1</w:t>
      </w:r>
      <w:r w:rsidR="007D3D14">
        <w:rPr>
          <w:sz w:val="18"/>
          <w:szCs w:val="18"/>
        </w:rPr>
        <w:t>1</w:t>
      </w:r>
      <w:r w:rsidR="00665E37" w:rsidRPr="006071D8">
        <w:rPr>
          <w:sz w:val="18"/>
          <w:szCs w:val="18"/>
        </w:rPr>
        <w:t>:</w:t>
      </w:r>
      <w:r w:rsidR="00D633B1" w:rsidRPr="006071D8">
        <w:rPr>
          <w:sz w:val="18"/>
          <w:szCs w:val="18"/>
        </w:rPr>
        <w:t>4</w:t>
      </w:r>
      <w:r w:rsidR="00137E65" w:rsidRPr="006071D8">
        <w:rPr>
          <w:sz w:val="18"/>
          <w:szCs w:val="18"/>
        </w:rPr>
        <w:t>0</w:t>
      </w:r>
    </w:p>
    <w:p w14:paraId="568567A0" w14:textId="77777777" w:rsidR="00283D6B" w:rsidRPr="006071D8" w:rsidRDefault="00283D6B" w:rsidP="00283D6B">
      <w:pPr>
        <w:jc w:val="both"/>
        <w:rPr>
          <w:sz w:val="18"/>
          <w:szCs w:val="18"/>
        </w:rPr>
      </w:pPr>
      <w:r w:rsidRPr="006071D8">
        <w:rPr>
          <w:sz w:val="18"/>
          <w:szCs w:val="18"/>
        </w:rPr>
        <w:fldChar w:fldCharType="begin"/>
      </w:r>
      <w:r w:rsidRPr="006071D8">
        <w:rPr>
          <w:sz w:val="18"/>
          <w:szCs w:val="18"/>
        </w:rPr>
        <w:instrText xml:space="preserve"> NUMWORDS   \* MERGEFORMAT </w:instrText>
      </w:r>
      <w:r w:rsidRPr="006071D8">
        <w:rPr>
          <w:sz w:val="18"/>
          <w:szCs w:val="18"/>
        </w:rPr>
        <w:fldChar w:fldCharType="separate"/>
      </w:r>
      <w:r w:rsidR="004F3A4C">
        <w:rPr>
          <w:noProof/>
          <w:sz w:val="18"/>
          <w:szCs w:val="18"/>
        </w:rPr>
        <w:t>3032</w:t>
      </w:r>
      <w:r w:rsidRPr="006071D8">
        <w:rPr>
          <w:sz w:val="18"/>
          <w:szCs w:val="18"/>
        </w:rPr>
        <w:fldChar w:fldCharType="end"/>
      </w:r>
      <w:bookmarkStart w:id="0" w:name="_GoBack"/>
      <w:bookmarkEnd w:id="0"/>
    </w:p>
    <w:p w14:paraId="56E55C56" w14:textId="77777777" w:rsidR="00283D6B" w:rsidRPr="006071D8" w:rsidRDefault="00283D6B" w:rsidP="00283D6B">
      <w:pPr>
        <w:jc w:val="both"/>
        <w:rPr>
          <w:sz w:val="18"/>
          <w:szCs w:val="18"/>
        </w:rPr>
      </w:pPr>
      <w:r w:rsidRPr="006071D8">
        <w:rPr>
          <w:sz w:val="18"/>
          <w:szCs w:val="18"/>
        </w:rPr>
        <w:t>R.Čablis</w:t>
      </w:r>
    </w:p>
    <w:p w14:paraId="381428B5" w14:textId="77777777" w:rsidR="00283D6B" w:rsidRPr="006071D8" w:rsidRDefault="00283D6B" w:rsidP="00283D6B">
      <w:pPr>
        <w:jc w:val="both"/>
        <w:rPr>
          <w:sz w:val="18"/>
          <w:szCs w:val="18"/>
        </w:rPr>
      </w:pPr>
      <w:r w:rsidRPr="006071D8">
        <w:rPr>
          <w:sz w:val="18"/>
          <w:szCs w:val="18"/>
        </w:rPr>
        <w:t>67095498, raivis.cablis@fm.gov.lv;</w:t>
      </w:r>
    </w:p>
    <w:sectPr w:rsidR="00283D6B" w:rsidRPr="006071D8" w:rsidSect="004264D8">
      <w:headerReference w:type="even" r:id="rId11"/>
      <w:headerReference w:type="default" r:id="rId12"/>
      <w:footerReference w:type="default" r:id="rId13"/>
      <w:footerReference w:type="first" r:id="rId14"/>
      <w:pgSz w:w="11906" w:h="16838" w:code="9"/>
      <w:pgMar w:top="1134" w:right="1134" w:bottom="1134" w:left="1701" w:header="709" w:footer="1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34BF1" w14:textId="77777777" w:rsidR="002B6529" w:rsidRDefault="002B6529" w:rsidP="00307F91">
      <w:r>
        <w:separator/>
      </w:r>
    </w:p>
  </w:endnote>
  <w:endnote w:type="continuationSeparator" w:id="0">
    <w:p w14:paraId="4BD5E123" w14:textId="77777777" w:rsidR="002B6529" w:rsidRDefault="002B6529" w:rsidP="0030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mbria Math">
    <w:panose1 w:val="02040503050406030204"/>
    <w:charset w:val="BA"/>
    <w:family w:val="roman"/>
    <w:pitch w:val="variable"/>
    <w:sig w:usb0="E00002FF" w:usb1="42002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7E029" w14:textId="77777777" w:rsidR="002B57DA" w:rsidRPr="00A3632A" w:rsidRDefault="002B57DA" w:rsidP="002B57DA">
    <w:pPr>
      <w:pStyle w:val="Footer"/>
      <w:ind w:left="-284" w:right="-285"/>
      <w:jc w:val="both"/>
      <w:rPr>
        <w:sz w:val="16"/>
        <w:szCs w:val="16"/>
      </w:rPr>
    </w:pPr>
    <w:r w:rsidRPr="00A3632A">
      <w:rPr>
        <w:sz w:val="16"/>
        <w:szCs w:val="16"/>
      </w:rPr>
      <w:t>FMAnot_</w:t>
    </w:r>
    <w:r w:rsidR="00933E9E" w:rsidRPr="00A3632A">
      <w:rPr>
        <w:sz w:val="16"/>
        <w:szCs w:val="16"/>
      </w:rPr>
      <w:t>0208</w:t>
    </w:r>
    <w:r w:rsidRPr="00A3632A">
      <w:rPr>
        <w:sz w:val="16"/>
        <w:szCs w:val="16"/>
      </w:rPr>
      <w:t>13_</w:t>
    </w:r>
    <w:r w:rsidR="00F753F7">
      <w:rPr>
        <w:sz w:val="16"/>
        <w:szCs w:val="16"/>
      </w:rPr>
      <w:t>VSS1968</w:t>
    </w:r>
    <w:r w:rsidRPr="00A3632A">
      <w:rPr>
        <w:sz w:val="16"/>
        <w:szCs w:val="16"/>
      </w:rPr>
      <w:t>; Ministru kabineta noteikumu projekta „Grozījum</w:t>
    </w:r>
    <w:r w:rsidR="00933E9E" w:rsidRPr="00A3632A">
      <w:rPr>
        <w:sz w:val="16"/>
        <w:szCs w:val="16"/>
      </w:rPr>
      <w:t>i</w:t>
    </w:r>
    <w:r w:rsidRPr="00A3632A">
      <w:rPr>
        <w:sz w:val="16"/>
        <w:szCs w:val="16"/>
      </w:rPr>
      <w:t xml:space="preserve"> Ministru kabineta 2012.gada 11.decembra noteikumos Nr.867 "Kārtība, kādā nosakāms maksimāli pieļaujamais valsts budžeta izdevumu kopapjoms un maksimāli pieļaujamais valsts budžeta izdevumu kopējais apjoms katrai ministrijai un citām centrālajām valsts iestādēm vidējam termiņam”” sākotnējās ietekmes novērtējuma ziņojums (anotācija)</w:t>
    </w:r>
  </w:p>
  <w:p w14:paraId="6F3F57EA" w14:textId="77777777" w:rsidR="00743B6F" w:rsidRPr="002B57DA" w:rsidRDefault="00743B6F" w:rsidP="002B57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31683" w14:textId="77777777" w:rsidR="00743B6F" w:rsidRPr="00743B6F" w:rsidRDefault="00743B6F" w:rsidP="006A576C">
    <w:pPr>
      <w:pStyle w:val="Footer"/>
      <w:ind w:left="-284" w:right="-285"/>
      <w:jc w:val="both"/>
      <w:rPr>
        <w:sz w:val="18"/>
        <w:szCs w:val="18"/>
      </w:rPr>
    </w:pPr>
    <w:r w:rsidRPr="00743B6F">
      <w:rPr>
        <w:sz w:val="18"/>
        <w:szCs w:val="18"/>
      </w:rPr>
      <w:t>FMAnot_</w:t>
    </w:r>
    <w:r w:rsidR="00933E9E">
      <w:rPr>
        <w:sz w:val="18"/>
        <w:szCs w:val="18"/>
      </w:rPr>
      <w:t>0208</w:t>
    </w:r>
    <w:r w:rsidRPr="00743B6F">
      <w:rPr>
        <w:sz w:val="18"/>
        <w:szCs w:val="18"/>
      </w:rPr>
      <w:t>13_</w:t>
    </w:r>
    <w:r w:rsidR="00F753F7">
      <w:rPr>
        <w:sz w:val="18"/>
        <w:szCs w:val="18"/>
      </w:rPr>
      <w:t>VSS1968</w:t>
    </w:r>
    <w:r w:rsidRPr="00743B6F">
      <w:rPr>
        <w:sz w:val="18"/>
        <w:szCs w:val="18"/>
      </w:rPr>
      <w:t xml:space="preserve">; Ministru kabineta noteikumu projekta </w:t>
    </w:r>
    <w:r w:rsidR="00283D6B">
      <w:rPr>
        <w:sz w:val="18"/>
        <w:szCs w:val="18"/>
      </w:rPr>
      <w:t>„</w:t>
    </w:r>
    <w:r w:rsidR="002B57DA" w:rsidRPr="002B57DA">
      <w:rPr>
        <w:sz w:val="18"/>
        <w:szCs w:val="18"/>
      </w:rPr>
      <w:t>Grozījum</w:t>
    </w:r>
    <w:r w:rsidR="00933E9E">
      <w:rPr>
        <w:sz w:val="18"/>
        <w:szCs w:val="18"/>
      </w:rPr>
      <w:t>i</w:t>
    </w:r>
    <w:r w:rsidR="002B57DA" w:rsidRPr="002B57DA">
      <w:rPr>
        <w:sz w:val="18"/>
        <w:szCs w:val="18"/>
      </w:rPr>
      <w:t xml:space="preserve"> Ministru kabineta 2012.gada 11.decembra noteikumos Nr.867 "Kārtība, kādā nosakāms maksimāli pieļaujamais valsts budžeta izdevumu kopapjoms un maksimāli pieļaujamais valsts budžeta izdevumu kopējais apjoms katrai ministrijai un citām centrālajām valsts iestādēm vidējam termiņam”</w:t>
    </w:r>
    <w:r w:rsidR="00283D6B">
      <w:rPr>
        <w:sz w:val="18"/>
        <w:szCs w:val="18"/>
      </w:rPr>
      <w:t>”</w:t>
    </w:r>
    <w:r w:rsidRPr="00743B6F">
      <w:rPr>
        <w:sz w:val="18"/>
        <w:szCs w:val="18"/>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5D7D8" w14:textId="77777777" w:rsidR="002B6529" w:rsidRDefault="002B6529" w:rsidP="00307F91">
      <w:r>
        <w:separator/>
      </w:r>
    </w:p>
  </w:footnote>
  <w:footnote w:type="continuationSeparator" w:id="0">
    <w:p w14:paraId="02E467A2" w14:textId="77777777" w:rsidR="002B6529" w:rsidRDefault="002B6529" w:rsidP="00307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89F00" w14:textId="77777777" w:rsidR="007578EB" w:rsidRDefault="007578EB" w:rsidP="00232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C8A3F5" w14:textId="77777777" w:rsidR="007578EB" w:rsidRDefault="007578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CB84C" w14:textId="77777777" w:rsidR="007578EB" w:rsidRDefault="007578EB" w:rsidP="00232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3A4C">
      <w:rPr>
        <w:rStyle w:val="PageNumber"/>
        <w:noProof/>
      </w:rPr>
      <w:t>7</w:t>
    </w:r>
    <w:r>
      <w:rPr>
        <w:rStyle w:val="PageNumber"/>
      </w:rPr>
      <w:fldChar w:fldCharType="end"/>
    </w:r>
  </w:p>
  <w:p w14:paraId="4B270710" w14:textId="77777777" w:rsidR="007578EB" w:rsidRDefault="007578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A5492"/>
    <w:multiLevelType w:val="hybridMultilevel"/>
    <w:tmpl w:val="8AA0A964"/>
    <w:lvl w:ilvl="0" w:tplc="0E7E3B70">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
    <w:nsid w:val="28A85FFD"/>
    <w:multiLevelType w:val="hybridMultilevel"/>
    <w:tmpl w:val="8DA0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6FA6506"/>
    <w:multiLevelType w:val="hybridMultilevel"/>
    <w:tmpl w:val="D84C950A"/>
    <w:lvl w:ilvl="0" w:tplc="0426000D">
      <w:start w:val="1"/>
      <w:numFmt w:val="bullet"/>
      <w:lvlText w:val=""/>
      <w:lvlJc w:val="left"/>
      <w:pPr>
        <w:ind w:left="502" w:hanging="360"/>
      </w:pPr>
      <w:rPr>
        <w:rFonts w:ascii="Wingdings" w:hAnsi="Wingdings"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9C"/>
    <w:rsid w:val="00006C5A"/>
    <w:rsid w:val="00011FD8"/>
    <w:rsid w:val="00014F75"/>
    <w:rsid w:val="00025D74"/>
    <w:rsid w:val="000325F2"/>
    <w:rsid w:val="000334A9"/>
    <w:rsid w:val="00041298"/>
    <w:rsid w:val="00041966"/>
    <w:rsid w:val="000452BD"/>
    <w:rsid w:val="00046858"/>
    <w:rsid w:val="0005443C"/>
    <w:rsid w:val="00064157"/>
    <w:rsid w:val="0006462B"/>
    <w:rsid w:val="0006640F"/>
    <w:rsid w:val="00066834"/>
    <w:rsid w:val="00071337"/>
    <w:rsid w:val="00072749"/>
    <w:rsid w:val="00082662"/>
    <w:rsid w:val="00087569"/>
    <w:rsid w:val="000A4B61"/>
    <w:rsid w:val="000A6768"/>
    <w:rsid w:val="000C4B6B"/>
    <w:rsid w:val="000C4C14"/>
    <w:rsid w:val="000D6D4B"/>
    <w:rsid w:val="000E2559"/>
    <w:rsid w:val="000E3269"/>
    <w:rsid w:val="000E59AC"/>
    <w:rsid w:val="000E6AFC"/>
    <w:rsid w:val="000F7E01"/>
    <w:rsid w:val="0010377F"/>
    <w:rsid w:val="00104BDC"/>
    <w:rsid w:val="001160EE"/>
    <w:rsid w:val="00120E17"/>
    <w:rsid w:val="00123439"/>
    <w:rsid w:val="00127768"/>
    <w:rsid w:val="00137E65"/>
    <w:rsid w:val="00137F0A"/>
    <w:rsid w:val="001630FC"/>
    <w:rsid w:val="00185D51"/>
    <w:rsid w:val="00193142"/>
    <w:rsid w:val="00193ACB"/>
    <w:rsid w:val="001A16C5"/>
    <w:rsid w:val="001A757D"/>
    <w:rsid w:val="001B01A2"/>
    <w:rsid w:val="001B6443"/>
    <w:rsid w:val="001C07FB"/>
    <w:rsid w:val="001C5CA4"/>
    <w:rsid w:val="001E1F6D"/>
    <w:rsid w:val="001E5481"/>
    <w:rsid w:val="001F0B08"/>
    <w:rsid w:val="001F3005"/>
    <w:rsid w:val="001F3AAA"/>
    <w:rsid w:val="001F3D07"/>
    <w:rsid w:val="001F6DAB"/>
    <w:rsid w:val="00200159"/>
    <w:rsid w:val="002004B3"/>
    <w:rsid w:val="00225CD4"/>
    <w:rsid w:val="00231EBA"/>
    <w:rsid w:val="0023237B"/>
    <w:rsid w:val="002345AA"/>
    <w:rsid w:val="00236B30"/>
    <w:rsid w:val="002379E0"/>
    <w:rsid w:val="0025068D"/>
    <w:rsid w:val="00254E1F"/>
    <w:rsid w:val="0025517E"/>
    <w:rsid w:val="002634CF"/>
    <w:rsid w:val="00265083"/>
    <w:rsid w:val="00274800"/>
    <w:rsid w:val="00275F03"/>
    <w:rsid w:val="00280295"/>
    <w:rsid w:val="00283D6B"/>
    <w:rsid w:val="00286021"/>
    <w:rsid w:val="00286F46"/>
    <w:rsid w:val="002A096A"/>
    <w:rsid w:val="002A3415"/>
    <w:rsid w:val="002A4D03"/>
    <w:rsid w:val="002A6395"/>
    <w:rsid w:val="002B3ED8"/>
    <w:rsid w:val="002B57DA"/>
    <w:rsid w:val="002B6529"/>
    <w:rsid w:val="002C0678"/>
    <w:rsid w:val="002C28A4"/>
    <w:rsid w:val="002C2EE0"/>
    <w:rsid w:val="002C7253"/>
    <w:rsid w:val="002D351B"/>
    <w:rsid w:val="002D64E7"/>
    <w:rsid w:val="002D7349"/>
    <w:rsid w:val="002E1D26"/>
    <w:rsid w:val="00303934"/>
    <w:rsid w:val="00307F91"/>
    <w:rsid w:val="00316053"/>
    <w:rsid w:val="00320C04"/>
    <w:rsid w:val="00337BC3"/>
    <w:rsid w:val="00346BE5"/>
    <w:rsid w:val="0037540B"/>
    <w:rsid w:val="00390903"/>
    <w:rsid w:val="00390B89"/>
    <w:rsid w:val="00393747"/>
    <w:rsid w:val="00394DAC"/>
    <w:rsid w:val="003B6D36"/>
    <w:rsid w:val="003B7B41"/>
    <w:rsid w:val="003B7FB3"/>
    <w:rsid w:val="003C16D7"/>
    <w:rsid w:val="003C2448"/>
    <w:rsid w:val="003C44C3"/>
    <w:rsid w:val="003D4480"/>
    <w:rsid w:val="003D46EE"/>
    <w:rsid w:val="003D64EC"/>
    <w:rsid w:val="003D68C6"/>
    <w:rsid w:val="003E0413"/>
    <w:rsid w:val="003E47EC"/>
    <w:rsid w:val="003F35BE"/>
    <w:rsid w:val="003F4153"/>
    <w:rsid w:val="00413666"/>
    <w:rsid w:val="00423A8D"/>
    <w:rsid w:val="004264D8"/>
    <w:rsid w:val="0043045A"/>
    <w:rsid w:val="00440C2F"/>
    <w:rsid w:val="004511E2"/>
    <w:rsid w:val="00467B1E"/>
    <w:rsid w:val="00471BA0"/>
    <w:rsid w:val="00476ED8"/>
    <w:rsid w:val="00482AE6"/>
    <w:rsid w:val="00482F9F"/>
    <w:rsid w:val="00496027"/>
    <w:rsid w:val="004964F3"/>
    <w:rsid w:val="00497891"/>
    <w:rsid w:val="004A6F46"/>
    <w:rsid w:val="004A769B"/>
    <w:rsid w:val="004B0A81"/>
    <w:rsid w:val="004B46CC"/>
    <w:rsid w:val="004B6FE4"/>
    <w:rsid w:val="004B77DA"/>
    <w:rsid w:val="004C0B72"/>
    <w:rsid w:val="004C180B"/>
    <w:rsid w:val="004D04BD"/>
    <w:rsid w:val="004D4536"/>
    <w:rsid w:val="004D5484"/>
    <w:rsid w:val="004E5F5B"/>
    <w:rsid w:val="004F3A4C"/>
    <w:rsid w:val="004F543E"/>
    <w:rsid w:val="00503E32"/>
    <w:rsid w:val="00512C42"/>
    <w:rsid w:val="0052636A"/>
    <w:rsid w:val="00526B54"/>
    <w:rsid w:val="00531471"/>
    <w:rsid w:val="00531E88"/>
    <w:rsid w:val="00532B5A"/>
    <w:rsid w:val="00550B06"/>
    <w:rsid w:val="005553B8"/>
    <w:rsid w:val="00557597"/>
    <w:rsid w:val="005705C2"/>
    <w:rsid w:val="00571380"/>
    <w:rsid w:val="00574A93"/>
    <w:rsid w:val="00584EEF"/>
    <w:rsid w:val="005A4EDF"/>
    <w:rsid w:val="005B765E"/>
    <w:rsid w:val="005C738F"/>
    <w:rsid w:val="005D6FA3"/>
    <w:rsid w:val="005E4CF6"/>
    <w:rsid w:val="005F4937"/>
    <w:rsid w:val="005F5A14"/>
    <w:rsid w:val="00601125"/>
    <w:rsid w:val="00606DEA"/>
    <w:rsid w:val="006071D8"/>
    <w:rsid w:val="006071E6"/>
    <w:rsid w:val="00611697"/>
    <w:rsid w:val="00620281"/>
    <w:rsid w:val="006342C2"/>
    <w:rsid w:val="00647CB3"/>
    <w:rsid w:val="00652ABE"/>
    <w:rsid w:val="006572D9"/>
    <w:rsid w:val="00665E37"/>
    <w:rsid w:val="00666EDF"/>
    <w:rsid w:val="006747EB"/>
    <w:rsid w:val="006A22A4"/>
    <w:rsid w:val="006A5605"/>
    <w:rsid w:val="006A576C"/>
    <w:rsid w:val="006B3082"/>
    <w:rsid w:val="006B53D5"/>
    <w:rsid w:val="006B6475"/>
    <w:rsid w:val="006C5BAB"/>
    <w:rsid w:val="006D73C8"/>
    <w:rsid w:val="006E0721"/>
    <w:rsid w:val="006E0762"/>
    <w:rsid w:val="006E4D1C"/>
    <w:rsid w:val="006F2A19"/>
    <w:rsid w:val="006F7EE0"/>
    <w:rsid w:val="00701527"/>
    <w:rsid w:val="007102E6"/>
    <w:rsid w:val="00716AFE"/>
    <w:rsid w:val="00726A39"/>
    <w:rsid w:val="0073699C"/>
    <w:rsid w:val="007400D4"/>
    <w:rsid w:val="007406A5"/>
    <w:rsid w:val="0074219B"/>
    <w:rsid w:val="007439A7"/>
    <w:rsid w:val="00743B6F"/>
    <w:rsid w:val="0074410F"/>
    <w:rsid w:val="00753574"/>
    <w:rsid w:val="007578EB"/>
    <w:rsid w:val="00763232"/>
    <w:rsid w:val="00767BC3"/>
    <w:rsid w:val="00775869"/>
    <w:rsid w:val="00776B90"/>
    <w:rsid w:val="00791AE3"/>
    <w:rsid w:val="0079227F"/>
    <w:rsid w:val="00797DF5"/>
    <w:rsid w:val="007A2DA8"/>
    <w:rsid w:val="007A40DB"/>
    <w:rsid w:val="007A44C1"/>
    <w:rsid w:val="007D1858"/>
    <w:rsid w:val="007D3D14"/>
    <w:rsid w:val="007E3CB9"/>
    <w:rsid w:val="007E747A"/>
    <w:rsid w:val="007F0AF9"/>
    <w:rsid w:val="007F33B5"/>
    <w:rsid w:val="00801AFF"/>
    <w:rsid w:val="008200C5"/>
    <w:rsid w:val="00824EC3"/>
    <w:rsid w:val="00826850"/>
    <w:rsid w:val="008363CD"/>
    <w:rsid w:val="00841793"/>
    <w:rsid w:val="00847881"/>
    <w:rsid w:val="008532CC"/>
    <w:rsid w:val="008546C6"/>
    <w:rsid w:val="00856969"/>
    <w:rsid w:val="00862BC1"/>
    <w:rsid w:val="008670FF"/>
    <w:rsid w:val="00870FC5"/>
    <w:rsid w:val="008A24ED"/>
    <w:rsid w:val="008C1E67"/>
    <w:rsid w:val="008C3B6B"/>
    <w:rsid w:val="008C5531"/>
    <w:rsid w:val="008C5700"/>
    <w:rsid w:val="008D229C"/>
    <w:rsid w:val="008D2A2B"/>
    <w:rsid w:val="008D3058"/>
    <w:rsid w:val="008D3A5D"/>
    <w:rsid w:val="008D4493"/>
    <w:rsid w:val="008D4B2B"/>
    <w:rsid w:val="008E2419"/>
    <w:rsid w:val="008E4D69"/>
    <w:rsid w:val="008F26D3"/>
    <w:rsid w:val="009057F2"/>
    <w:rsid w:val="00907062"/>
    <w:rsid w:val="00913CA2"/>
    <w:rsid w:val="009176D2"/>
    <w:rsid w:val="00920581"/>
    <w:rsid w:val="00922CD6"/>
    <w:rsid w:val="00924DD8"/>
    <w:rsid w:val="00933E9E"/>
    <w:rsid w:val="0093631C"/>
    <w:rsid w:val="009463A5"/>
    <w:rsid w:val="00946C15"/>
    <w:rsid w:val="00962326"/>
    <w:rsid w:val="00962889"/>
    <w:rsid w:val="00966967"/>
    <w:rsid w:val="00971D23"/>
    <w:rsid w:val="00974C5B"/>
    <w:rsid w:val="0098003D"/>
    <w:rsid w:val="00980382"/>
    <w:rsid w:val="009B3A31"/>
    <w:rsid w:val="009B3AB7"/>
    <w:rsid w:val="009D1172"/>
    <w:rsid w:val="009D1535"/>
    <w:rsid w:val="009E1A91"/>
    <w:rsid w:val="009E2E0C"/>
    <w:rsid w:val="00A10FDE"/>
    <w:rsid w:val="00A14357"/>
    <w:rsid w:val="00A15F74"/>
    <w:rsid w:val="00A17F43"/>
    <w:rsid w:val="00A26C12"/>
    <w:rsid w:val="00A3584E"/>
    <w:rsid w:val="00A3632A"/>
    <w:rsid w:val="00A37FA4"/>
    <w:rsid w:val="00A43FE0"/>
    <w:rsid w:val="00A4711D"/>
    <w:rsid w:val="00A54284"/>
    <w:rsid w:val="00A6515D"/>
    <w:rsid w:val="00A7137A"/>
    <w:rsid w:val="00A75371"/>
    <w:rsid w:val="00A75B3A"/>
    <w:rsid w:val="00A76F6E"/>
    <w:rsid w:val="00A907D6"/>
    <w:rsid w:val="00A9688C"/>
    <w:rsid w:val="00AA1585"/>
    <w:rsid w:val="00AA1F45"/>
    <w:rsid w:val="00AC150D"/>
    <w:rsid w:val="00AC3ECB"/>
    <w:rsid w:val="00AD45C6"/>
    <w:rsid w:val="00AD78FC"/>
    <w:rsid w:val="00AE45A1"/>
    <w:rsid w:val="00B031B8"/>
    <w:rsid w:val="00B11354"/>
    <w:rsid w:val="00B235FE"/>
    <w:rsid w:val="00B52BAE"/>
    <w:rsid w:val="00B5571C"/>
    <w:rsid w:val="00B55733"/>
    <w:rsid w:val="00B6132A"/>
    <w:rsid w:val="00B9570B"/>
    <w:rsid w:val="00B963A3"/>
    <w:rsid w:val="00BA0166"/>
    <w:rsid w:val="00BA6A29"/>
    <w:rsid w:val="00BA7031"/>
    <w:rsid w:val="00BB1397"/>
    <w:rsid w:val="00BB5CE6"/>
    <w:rsid w:val="00BC014A"/>
    <w:rsid w:val="00BD265A"/>
    <w:rsid w:val="00BD2EB5"/>
    <w:rsid w:val="00BD43EC"/>
    <w:rsid w:val="00BD60E2"/>
    <w:rsid w:val="00BE392C"/>
    <w:rsid w:val="00BE5986"/>
    <w:rsid w:val="00C102D1"/>
    <w:rsid w:val="00C1051F"/>
    <w:rsid w:val="00C10A08"/>
    <w:rsid w:val="00C22703"/>
    <w:rsid w:val="00C44328"/>
    <w:rsid w:val="00C45363"/>
    <w:rsid w:val="00C5294E"/>
    <w:rsid w:val="00C66A9B"/>
    <w:rsid w:val="00C71401"/>
    <w:rsid w:val="00C77757"/>
    <w:rsid w:val="00C90FFC"/>
    <w:rsid w:val="00C95036"/>
    <w:rsid w:val="00C96569"/>
    <w:rsid w:val="00C96C5E"/>
    <w:rsid w:val="00CA2026"/>
    <w:rsid w:val="00CA555A"/>
    <w:rsid w:val="00CC0B44"/>
    <w:rsid w:val="00CC277D"/>
    <w:rsid w:val="00CD6ED4"/>
    <w:rsid w:val="00CE11CD"/>
    <w:rsid w:val="00CE63F8"/>
    <w:rsid w:val="00CF5666"/>
    <w:rsid w:val="00CF76EC"/>
    <w:rsid w:val="00D00A19"/>
    <w:rsid w:val="00D06852"/>
    <w:rsid w:val="00D14039"/>
    <w:rsid w:val="00D34939"/>
    <w:rsid w:val="00D36D26"/>
    <w:rsid w:val="00D44AC1"/>
    <w:rsid w:val="00D617AE"/>
    <w:rsid w:val="00D633B1"/>
    <w:rsid w:val="00D6698A"/>
    <w:rsid w:val="00D67EFF"/>
    <w:rsid w:val="00D7058A"/>
    <w:rsid w:val="00D84A1A"/>
    <w:rsid w:val="00D86709"/>
    <w:rsid w:val="00D8761C"/>
    <w:rsid w:val="00D9029F"/>
    <w:rsid w:val="00DC689C"/>
    <w:rsid w:val="00DE7621"/>
    <w:rsid w:val="00DF2792"/>
    <w:rsid w:val="00DF3CF3"/>
    <w:rsid w:val="00DF7D4A"/>
    <w:rsid w:val="00E0016E"/>
    <w:rsid w:val="00E0232D"/>
    <w:rsid w:val="00E21FA7"/>
    <w:rsid w:val="00E226BA"/>
    <w:rsid w:val="00E231F4"/>
    <w:rsid w:val="00E271FB"/>
    <w:rsid w:val="00E33115"/>
    <w:rsid w:val="00E33BB8"/>
    <w:rsid w:val="00E51617"/>
    <w:rsid w:val="00E53471"/>
    <w:rsid w:val="00E6267E"/>
    <w:rsid w:val="00E70200"/>
    <w:rsid w:val="00E752D9"/>
    <w:rsid w:val="00EB50E3"/>
    <w:rsid w:val="00EB5517"/>
    <w:rsid w:val="00EC05D2"/>
    <w:rsid w:val="00EC0948"/>
    <w:rsid w:val="00EC6090"/>
    <w:rsid w:val="00EC7696"/>
    <w:rsid w:val="00ED295B"/>
    <w:rsid w:val="00ED63F9"/>
    <w:rsid w:val="00F05152"/>
    <w:rsid w:val="00F074ED"/>
    <w:rsid w:val="00F17E69"/>
    <w:rsid w:val="00F51403"/>
    <w:rsid w:val="00F56C41"/>
    <w:rsid w:val="00F64D7E"/>
    <w:rsid w:val="00F753F7"/>
    <w:rsid w:val="00F77BFC"/>
    <w:rsid w:val="00F81F07"/>
    <w:rsid w:val="00F82D99"/>
    <w:rsid w:val="00F85CA7"/>
    <w:rsid w:val="00F86B33"/>
    <w:rsid w:val="00F87C00"/>
    <w:rsid w:val="00FB7C0B"/>
    <w:rsid w:val="00FC0B65"/>
    <w:rsid w:val="00FC2C34"/>
    <w:rsid w:val="00FC3551"/>
    <w:rsid w:val="00FC5894"/>
    <w:rsid w:val="00FD455B"/>
    <w:rsid w:val="00FE3EC5"/>
    <w:rsid w:val="00FE4B33"/>
    <w:rsid w:val="00FF32DC"/>
    <w:rsid w:val="00FF7D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4E21F"/>
  <w15:docId w15:val="{E45BFABA-C177-43B9-8615-A5C9EEFA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89C"/>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8C5531"/>
    <w:pPr>
      <w:keepNext/>
      <w:ind w:firstLine="567"/>
      <w:jc w:val="center"/>
      <w:outlineLvl w:val="0"/>
    </w:pPr>
    <w:rPr>
      <w:szCs w:val="20"/>
      <w:lang w:val="en-US" w:eastAsia="en-US"/>
    </w:rPr>
  </w:style>
  <w:style w:type="paragraph" w:styleId="Heading2">
    <w:name w:val="heading 2"/>
    <w:basedOn w:val="Normal"/>
    <w:next w:val="Normal"/>
    <w:link w:val="Heading2Char"/>
    <w:uiPriority w:val="99"/>
    <w:qFormat/>
    <w:rsid w:val="008C5531"/>
    <w:pPr>
      <w:keepNext/>
      <w:spacing w:before="240" w:after="60"/>
      <w:ind w:firstLine="567"/>
      <w:jc w:val="both"/>
      <w:outlineLvl w:val="1"/>
    </w:pPr>
    <w:rPr>
      <w:rFonts w:ascii="Arial" w:hAnsi="Arial" w:cs="Arial"/>
      <w:b/>
      <w:bCs/>
      <w:i/>
      <w:iCs/>
      <w:sz w:val="28"/>
      <w:szCs w:val="28"/>
      <w:lang w:val="en-US" w:eastAsia="en-US"/>
    </w:rPr>
  </w:style>
  <w:style w:type="paragraph" w:styleId="Heading3">
    <w:name w:val="heading 3"/>
    <w:basedOn w:val="Normal"/>
    <w:next w:val="Normal"/>
    <w:link w:val="Heading3Char"/>
    <w:uiPriority w:val="9"/>
    <w:semiHidden/>
    <w:unhideWhenUsed/>
    <w:qFormat/>
    <w:rsid w:val="008C5531"/>
    <w:pPr>
      <w:keepNext/>
      <w:keepLines/>
      <w:spacing w:before="200" w:line="360" w:lineRule="auto"/>
      <w:ind w:firstLine="567"/>
      <w:jc w:val="both"/>
      <w:outlineLvl w:val="2"/>
    </w:pPr>
    <w:rPr>
      <w:rFonts w:asciiTheme="majorHAnsi" w:eastAsiaTheme="majorEastAsia" w:hAnsiTheme="majorHAnsi" w:cstheme="majorBidi"/>
      <w:b/>
      <w:b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
    <w:name w:val="virsraks"/>
    <w:basedOn w:val="Normal"/>
    <w:qFormat/>
    <w:rsid w:val="008C5531"/>
    <w:pPr>
      <w:spacing w:after="240" w:line="360" w:lineRule="auto"/>
      <w:ind w:firstLine="567"/>
    </w:pPr>
    <w:rPr>
      <w:rFonts w:eastAsiaTheme="minorHAnsi"/>
      <w:b/>
      <w:caps/>
      <w:sz w:val="28"/>
      <w:lang w:eastAsia="en-US"/>
    </w:rPr>
  </w:style>
  <w:style w:type="paragraph" w:customStyle="1" w:styleId="apaks">
    <w:name w:val="apaks"/>
    <w:basedOn w:val="Normal"/>
    <w:qFormat/>
    <w:rsid w:val="008C5531"/>
    <w:pPr>
      <w:spacing w:before="240" w:after="240" w:line="360" w:lineRule="auto"/>
      <w:ind w:firstLine="567"/>
    </w:pPr>
    <w:rPr>
      <w:rFonts w:eastAsiaTheme="minorHAnsi"/>
      <w:b/>
      <w:lang w:eastAsia="en-US"/>
    </w:rPr>
  </w:style>
  <w:style w:type="paragraph" w:customStyle="1" w:styleId="attels">
    <w:name w:val="attels"/>
    <w:basedOn w:val="Normal"/>
    <w:qFormat/>
    <w:rsid w:val="008C5531"/>
    <w:pPr>
      <w:spacing w:before="240" w:line="360" w:lineRule="auto"/>
      <w:jc w:val="center"/>
    </w:pPr>
    <w:rPr>
      <w:rFonts w:eastAsiaTheme="minorHAnsi"/>
      <w:lang w:eastAsia="en-US"/>
    </w:rPr>
  </w:style>
  <w:style w:type="paragraph" w:customStyle="1" w:styleId="Tabula">
    <w:name w:val="Tabula"/>
    <w:basedOn w:val="Normal"/>
    <w:qFormat/>
    <w:rsid w:val="008C5531"/>
    <w:pPr>
      <w:tabs>
        <w:tab w:val="right" w:leader="dot" w:pos="9072"/>
      </w:tabs>
      <w:spacing w:line="360" w:lineRule="auto"/>
      <w:jc w:val="center"/>
    </w:pPr>
    <w:rPr>
      <w:rFonts w:eastAsia="Calibri"/>
      <w:lang w:eastAsia="en-US"/>
    </w:rPr>
  </w:style>
  <w:style w:type="paragraph" w:customStyle="1" w:styleId="anotacija">
    <w:name w:val="anotacija"/>
    <w:basedOn w:val="Normal"/>
    <w:qFormat/>
    <w:rsid w:val="008C5531"/>
    <w:pPr>
      <w:spacing w:after="240" w:line="360" w:lineRule="auto"/>
      <w:jc w:val="center"/>
    </w:pPr>
    <w:rPr>
      <w:rFonts w:eastAsiaTheme="minorHAnsi" w:cstheme="minorBidi"/>
      <w:b/>
      <w:caps/>
      <w:sz w:val="28"/>
      <w:szCs w:val="22"/>
      <w:lang w:eastAsia="en-US"/>
    </w:rPr>
  </w:style>
  <w:style w:type="paragraph" w:customStyle="1" w:styleId="formulas">
    <w:name w:val="formulas"/>
    <w:basedOn w:val="Normal"/>
    <w:qFormat/>
    <w:rsid w:val="008C5531"/>
    <w:pPr>
      <w:spacing w:before="120" w:after="120" w:line="360" w:lineRule="auto"/>
      <w:ind w:left="357"/>
      <w:jc w:val="right"/>
    </w:pPr>
    <w:rPr>
      <w:rFonts w:eastAsiaTheme="minorHAnsi"/>
      <w:lang w:eastAsia="en-US"/>
    </w:rPr>
  </w:style>
  <w:style w:type="paragraph" w:customStyle="1" w:styleId="pecatt">
    <w:name w:val="pec att"/>
    <w:basedOn w:val="attels"/>
    <w:qFormat/>
    <w:rsid w:val="008C5531"/>
    <w:pPr>
      <w:spacing w:before="0" w:after="240"/>
    </w:pPr>
  </w:style>
  <w:style w:type="paragraph" w:customStyle="1" w:styleId="pecfor">
    <w:name w:val="pec for"/>
    <w:basedOn w:val="Normal"/>
    <w:qFormat/>
    <w:rsid w:val="008C5531"/>
    <w:pPr>
      <w:spacing w:after="240" w:line="360" w:lineRule="auto"/>
      <w:ind w:firstLine="567"/>
      <w:jc w:val="both"/>
    </w:pPr>
    <w:rPr>
      <w:rFonts w:eastAsiaTheme="minorHAnsi"/>
      <w:lang w:eastAsia="en-US"/>
    </w:rPr>
  </w:style>
  <w:style w:type="paragraph" w:customStyle="1" w:styleId="par">
    <w:name w:val="par"/>
    <w:basedOn w:val="ListParagraph"/>
    <w:qFormat/>
    <w:rsid w:val="008C5531"/>
    <w:rPr>
      <w:rFonts w:ascii="Cambria Math" w:eastAsiaTheme="minorEastAsia" w:hAnsi="Cambria Math" w:cstheme="minorHAnsi"/>
      <w:i/>
      <w:szCs w:val="24"/>
    </w:rPr>
  </w:style>
  <w:style w:type="paragraph" w:styleId="ListParagraph">
    <w:name w:val="List Paragraph"/>
    <w:basedOn w:val="Normal"/>
    <w:uiPriority w:val="34"/>
    <w:qFormat/>
    <w:rsid w:val="008C5531"/>
    <w:pPr>
      <w:spacing w:line="360" w:lineRule="auto"/>
      <w:ind w:left="720" w:firstLine="567"/>
      <w:contextualSpacing/>
      <w:jc w:val="both"/>
    </w:pPr>
    <w:rPr>
      <w:rFonts w:eastAsiaTheme="minorHAnsi" w:cstheme="minorBidi"/>
      <w:szCs w:val="22"/>
      <w:lang w:eastAsia="en-US"/>
    </w:rPr>
  </w:style>
  <w:style w:type="paragraph" w:customStyle="1" w:styleId="apaks2">
    <w:name w:val="apaks2"/>
    <w:basedOn w:val="Normal"/>
    <w:link w:val="apaks2Char"/>
    <w:qFormat/>
    <w:rsid w:val="008C5531"/>
    <w:pPr>
      <w:spacing w:before="240" w:after="240" w:line="360" w:lineRule="auto"/>
      <w:ind w:firstLine="567"/>
    </w:pPr>
    <w:rPr>
      <w:rFonts w:eastAsiaTheme="minorHAnsi" w:cstheme="minorBidi"/>
      <w:b/>
      <w:szCs w:val="22"/>
      <w:lang w:eastAsia="en-US"/>
    </w:rPr>
  </w:style>
  <w:style w:type="character" w:customStyle="1" w:styleId="apaks2Char">
    <w:name w:val="apaks2 Char"/>
    <w:basedOn w:val="DefaultParagraphFont"/>
    <w:link w:val="apaks2"/>
    <w:rsid w:val="008C5531"/>
    <w:rPr>
      <w:rFonts w:ascii="Times New Roman" w:hAnsi="Times New Roman"/>
      <w:b/>
      <w:sz w:val="24"/>
    </w:rPr>
  </w:style>
  <w:style w:type="paragraph" w:customStyle="1" w:styleId="saturs">
    <w:name w:val="saturs"/>
    <w:basedOn w:val="Normal"/>
    <w:link w:val="satursChar"/>
    <w:qFormat/>
    <w:rsid w:val="008C5531"/>
    <w:pPr>
      <w:spacing w:after="240" w:line="360" w:lineRule="auto"/>
      <w:jc w:val="center"/>
    </w:pPr>
    <w:rPr>
      <w:rFonts w:eastAsiaTheme="minorHAnsi" w:cstheme="minorBidi"/>
      <w:b/>
      <w:caps/>
      <w:color w:val="000000"/>
      <w:sz w:val="28"/>
      <w:szCs w:val="22"/>
      <w:lang w:eastAsia="en-US"/>
    </w:rPr>
  </w:style>
  <w:style w:type="character" w:customStyle="1" w:styleId="satursChar">
    <w:name w:val="saturs Char"/>
    <w:basedOn w:val="DefaultParagraphFont"/>
    <w:link w:val="saturs"/>
    <w:rsid w:val="008C5531"/>
    <w:rPr>
      <w:rFonts w:ascii="Times New Roman" w:hAnsi="Times New Roman"/>
      <w:b/>
      <w:caps/>
      <w:color w:val="000000"/>
      <w:sz w:val="28"/>
    </w:rPr>
  </w:style>
  <w:style w:type="character" w:customStyle="1" w:styleId="Heading1Char">
    <w:name w:val="Heading 1 Char"/>
    <w:basedOn w:val="DefaultParagraphFont"/>
    <w:link w:val="Heading1"/>
    <w:uiPriority w:val="99"/>
    <w:rsid w:val="008C5531"/>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9"/>
    <w:rsid w:val="008C5531"/>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semiHidden/>
    <w:rsid w:val="008C5531"/>
    <w:rPr>
      <w:rFonts w:asciiTheme="majorHAnsi" w:eastAsiaTheme="majorEastAsia" w:hAnsiTheme="majorHAnsi" w:cstheme="majorBidi"/>
      <w:b/>
      <w:bCs/>
      <w:color w:val="4F81BD" w:themeColor="accent1"/>
      <w:sz w:val="24"/>
    </w:rPr>
  </w:style>
  <w:style w:type="paragraph" w:styleId="Title">
    <w:name w:val="Title"/>
    <w:basedOn w:val="Normal"/>
    <w:link w:val="TitleChar"/>
    <w:uiPriority w:val="99"/>
    <w:qFormat/>
    <w:rsid w:val="008C5531"/>
    <w:pPr>
      <w:tabs>
        <w:tab w:val="left" w:pos="1843"/>
      </w:tabs>
      <w:ind w:firstLine="567"/>
      <w:jc w:val="center"/>
    </w:pPr>
    <w:rPr>
      <w:sz w:val="28"/>
      <w:szCs w:val="20"/>
      <w:lang w:val="en-US" w:eastAsia="en-US"/>
    </w:rPr>
  </w:style>
  <w:style w:type="character" w:customStyle="1" w:styleId="TitleChar">
    <w:name w:val="Title Char"/>
    <w:basedOn w:val="DefaultParagraphFont"/>
    <w:link w:val="Title"/>
    <w:uiPriority w:val="99"/>
    <w:rsid w:val="008C5531"/>
    <w:rPr>
      <w:rFonts w:ascii="Times New Roman" w:eastAsia="Times New Roman" w:hAnsi="Times New Roman" w:cs="Times New Roman"/>
      <w:sz w:val="28"/>
      <w:szCs w:val="20"/>
      <w:lang w:val="en-US"/>
    </w:rPr>
  </w:style>
  <w:style w:type="paragraph" w:styleId="Header">
    <w:name w:val="header"/>
    <w:basedOn w:val="Normal"/>
    <w:link w:val="HeaderChar"/>
    <w:rsid w:val="00DC689C"/>
    <w:pPr>
      <w:tabs>
        <w:tab w:val="center" w:pos="4153"/>
        <w:tab w:val="right" w:pos="8306"/>
      </w:tabs>
    </w:pPr>
  </w:style>
  <w:style w:type="character" w:customStyle="1" w:styleId="HeaderChar">
    <w:name w:val="Header Char"/>
    <w:basedOn w:val="DefaultParagraphFont"/>
    <w:link w:val="Header"/>
    <w:rsid w:val="00DC689C"/>
    <w:rPr>
      <w:rFonts w:ascii="Times New Roman" w:eastAsia="Times New Roman" w:hAnsi="Times New Roman" w:cs="Times New Roman"/>
      <w:sz w:val="24"/>
      <w:szCs w:val="24"/>
      <w:lang w:eastAsia="lv-LV"/>
    </w:rPr>
  </w:style>
  <w:style w:type="character" w:styleId="PageNumber">
    <w:name w:val="page number"/>
    <w:basedOn w:val="DefaultParagraphFont"/>
    <w:rsid w:val="00DC689C"/>
  </w:style>
  <w:style w:type="paragraph" w:customStyle="1" w:styleId="naisf">
    <w:name w:val="naisf"/>
    <w:basedOn w:val="Normal"/>
    <w:rsid w:val="00DC689C"/>
    <w:pPr>
      <w:spacing w:before="75" w:after="75"/>
      <w:ind w:firstLine="375"/>
      <w:jc w:val="both"/>
    </w:pPr>
  </w:style>
  <w:style w:type="paragraph" w:customStyle="1" w:styleId="naisnod">
    <w:name w:val="naisnod"/>
    <w:basedOn w:val="Normal"/>
    <w:rsid w:val="00DC689C"/>
    <w:pPr>
      <w:spacing w:before="150" w:after="150"/>
      <w:jc w:val="center"/>
    </w:pPr>
    <w:rPr>
      <w:b/>
      <w:bCs/>
    </w:rPr>
  </w:style>
  <w:style w:type="paragraph" w:customStyle="1" w:styleId="naislab">
    <w:name w:val="naislab"/>
    <w:basedOn w:val="Normal"/>
    <w:rsid w:val="00DC689C"/>
    <w:pPr>
      <w:spacing w:before="75" w:after="75"/>
      <w:jc w:val="right"/>
    </w:pPr>
  </w:style>
  <w:style w:type="paragraph" w:customStyle="1" w:styleId="naiskr">
    <w:name w:val="naiskr"/>
    <w:basedOn w:val="Normal"/>
    <w:rsid w:val="00DC689C"/>
    <w:pPr>
      <w:spacing w:before="75" w:after="75"/>
    </w:pPr>
  </w:style>
  <w:style w:type="paragraph" w:styleId="FootnoteText">
    <w:name w:val="footnote text"/>
    <w:basedOn w:val="Normal"/>
    <w:link w:val="FootnoteTextChar"/>
    <w:semiHidden/>
    <w:rsid w:val="00DC689C"/>
    <w:rPr>
      <w:sz w:val="20"/>
      <w:szCs w:val="20"/>
    </w:rPr>
  </w:style>
  <w:style w:type="character" w:customStyle="1" w:styleId="FootnoteTextChar">
    <w:name w:val="Footnote Text Char"/>
    <w:basedOn w:val="DefaultParagraphFont"/>
    <w:link w:val="FootnoteText"/>
    <w:semiHidden/>
    <w:rsid w:val="00DC689C"/>
    <w:rPr>
      <w:rFonts w:ascii="Times New Roman" w:eastAsia="Times New Roman" w:hAnsi="Times New Roman" w:cs="Times New Roman"/>
      <w:sz w:val="20"/>
      <w:szCs w:val="20"/>
      <w:lang w:eastAsia="lv-LV"/>
    </w:rPr>
  </w:style>
  <w:style w:type="paragraph" w:styleId="Footer">
    <w:name w:val="footer"/>
    <w:basedOn w:val="Normal"/>
    <w:link w:val="FooterChar"/>
    <w:rsid w:val="00DC689C"/>
    <w:pPr>
      <w:tabs>
        <w:tab w:val="center" w:pos="4153"/>
        <w:tab w:val="right" w:pos="8306"/>
      </w:tabs>
    </w:pPr>
  </w:style>
  <w:style w:type="character" w:customStyle="1" w:styleId="FooterChar">
    <w:name w:val="Footer Char"/>
    <w:basedOn w:val="DefaultParagraphFont"/>
    <w:link w:val="Footer"/>
    <w:rsid w:val="00DC689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E45A1"/>
    <w:rPr>
      <w:rFonts w:ascii="Tahoma" w:hAnsi="Tahoma" w:cs="Tahoma"/>
      <w:sz w:val="16"/>
      <w:szCs w:val="16"/>
    </w:rPr>
  </w:style>
  <w:style w:type="character" w:customStyle="1" w:styleId="BalloonTextChar">
    <w:name w:val="Balloon Text Char"/>
    <w:basedOn w:val="DefaultParagraphFont"/>
    <w:link w:val="BalloonText"/>
    <w:uiPriority w:val="99"/>
    <w:semiHidden/>
    <w:rsid w:val="00AE45A1"/>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A75B3A"/>
    <w:rPr>
      <w:sz w:val="16"/>
      <w:szCs w:val="16"/>
    </w:rPr>
  </w:style>
  <w:style w:type="paragraph" w:styleId="CommentText">
    <w:name w:val="annotation text"/>
    <w:basedOn w:val="Normal"/>
    <w:link w:val="CommentTextChar"/>
    <w:uiPriority w:val="99"/>
    <w:semiHidden/>
    <w:unhideWhenUsed/>
    <w:rsid w:val="00A75B3A"/>
    <w:rPr>
      <w:sz w:val="20"/>
      <w:szCs w:val="20"/>
    </w:rPr>
  </w:style>
  <w:style w:type="character" w:customStyle="1" w:styleId="CommentTextChar">
    <w:name w:val="Comment Text Char"/>
    <w:basedOn w:val="DefaultParagraphFont"/>
    <w:link w:val="CommentText"/>
    <w:uiPriority w:val="99"/>
    <w:semiHidden/>
    <w:rsid w:val="00A75B3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75B3A"/>
    <w:rPr>
      <w:b/>
      <w:bCs/>
    </w:rPr>
  </w:style>
  <w:style w:type="character" w:customStyle="1" w:styleId="CommentSubjectChar">
    <w:name w:val="Comment Subject Char"/>
    <w:basedOn w:val="CommentTextChar"/>
    <w:link w:val="CommentSubject"/>
    <w:uiPriority w:val="99"/>
    <w:semiHidden/>
    <w:rsid w:val="00A75B3A"/>
    <w:rPr>
      <w:rFonts w:ascii="Times New Roman" w:eastAsia="Times New Roman" w:hAnsi="Times New Roman" w:cs="Times New Roman"/>
      <w:b/>
      <w:bCs/>
      <w:sz w:val="20"/>
      <w:szCs w:val="20"/>
      <w:lang w:eastAsia="lv-LV"/>
    </w:rPr>
  </w:style>
  <w:style w:type="table" w:styleId="TableGrid">
    <w:name w:val="Table Grid"/>
    <w:basedOn w:val="TableNormal"/>
    <w:uiPriority w:val="59"/>
    <w:rsid w:val="00A54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038724">
      <w:bodyDiv w:val="1"/>
      <w:marLeft w:val="0"/>
      <w:marRight w:val="0"/>
      <w:marTop w:val="0"/>
      <w:marBottom w:val="0"/>
      <w:divBdr>
        <w:top w:val="none" w:sz="0" w:space="0" w:color="auto"/>
        <w:left w:val="none" w:sz="0" w:space="0" w:color="auto"/>
        <w:bottom w:val="none" w:sz="0" w:space="0" w:color="auto"/>
        <w:right w:val="none" w:sz="0" w:space="0" w:color="auto"/>
      </w:divBdr>
      <w:divsChild>
        <w:div w:id="345256482">
          <w:marLeft w:val="0"/>
          <w:marRight w:val="0"/>
          <w:marTop w:val="0"/>
          <w:marBottom w:val="0"/>
          <w:divBdr>
            <w:top w:val="none" w:sz="0" w:space="0" w:color="auto"/>
            <w:left w:val="none" w:sz="0" w:space="0" w:color="auto"/>
            <w:bottom w:val="none" w:sz="0" w:space="0" w:color="auto"/>
            <w:right w:val="none" w:sz="0" w:space="0" w:color="auto"/>
          </w:divBdr>
          <w:divsChild>
            <w:div w:id="1175651325">
              <w:marLeft w:val="0"/>
              <w:marRight w:val="0"/>
              <w:marTop w:val="0"/>
              <w:marBottom w:val="0"/>
              <w:divBdr>
                <w:top w:val="none" w:sz="0" w:space="0" w:color="auto"/>
                <w:left w:val="none" w:sz="0" w:space="0" w:color="auto"/>
                <w:bottom w:val="none" w:sz="0" w:space="0" w:color="auto"/>
                <w:right w:val="none" w:sz="0" w:space="0" w:color="auto"/>
              </w:divBdr>
              <w:divsChild>
                <w:div w:id="1101536480">
                  <w:marLeft w:val="0"/>
                  <w:marRight w:val="0"/>
                  <w:marTop w:val="0"/>
                  <w:marBottom w:val="0"/>
                  <w:divBdr>
                    <w:top w:val="none" w:sz="0" w:space="0" w:color="auto"/>
                    <w:left w:val="none" w:sz="0" w:space="0" w:color="auto"/>
                    <w:bottom w:val="none" w:sz="0" w:space="0" w:color="auto"/>
                    <w:right w:val="none" w:sz="0" w:space="0" w:color="auto"/>
                  </w:divBdr>
                  <w:divsChild>
                    <w:div w:id="1638335200">
                      <w:marLeft w:val="0"/>
                      <w:marRight w:val="0"/>
                      <w:marTop w:val="0"/>
                      <w:marBottom w:val="0"/>
                      <w:divBdr>
                        <w:top w:val="none" w:sz="0" w:space="0" w:color="auto"/>
                        <w:left w:val="none" w:sz="0" w:space="0" w:color="auto"/>
                        <w:bottom w:val="none" w:sz="0" w:space="0" w:color="auto"/>
                        <w:right w:val="none" w:sz="0" w:space="0" w:color="auto"/>
                      </w:divBdr>
                      <w:divsChild>
                        <w:div w:id="178392783">
                          <w:marLeft w:val="0"/>
                          <w:marRight w:val="0"/>
                          <w:marTop w:val="0"/>
                          <w:marBottom w:val="0"/>
                          <w:divBdr>
                            <w:top w:val="none" w:sz="0" w:space="0" w:color="auto"/>
                            <w:left w:val="none" w:sz="0" w:space="0" w:color="auto"/>
                            <w:bottom w:val="none" w:sz="0" w:space="0" w:color="auto"/>
                            <w:right w:val="none" w:sz="0" w:space="0" w:color="auto"/>
                          </w:divBdr>
                          <w:divsChild>
                            <w:div w:id="20411210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7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091943EFBEC2744BF973D3CD9DCF0D9" ma:contentTypeVersion="5" ma:contentTypeDescription="Izveidot jaunu dokumentu." ma:contentTypeScope="" ma:versionID="5b2d2eb7b7a99d56505a3db64d04e481">
  <xsd:schema xmlns:xsd="http://www.w3.org/2001/XMLSchema" xmlns:p="http://schemas.microsoft.com/office/2006/metadata/properties" xmlns:ns1="2e5bb04e-596e-45bd-9003-43ca78b1ba16" targetNamespace="http://schemas.microsoft.com/office/2006/metadata/properties" ma:root="true" ma:fieldsID="db25b206ed3104c3a217abc9ccf6a040"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E2CF9C1F-5FE4-4FDC-9181-88766F5B2507}"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Vad_x012b_t_x0101_js xmlns="2e5bb04e-596e-45bd-9003-43ca78b1ba16">L.Jevčuka</Vad_x012b_t_x0101_js>
    <Kategorija xmlns="2e5bb04e-596e-45bd-9003-43ca78b1ba16">Anotācija</Kategorija>
    <DKP xmlns="2e5bb04e-596e-45bd-9003-43ca78b1ba16">463</DK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3E756-FA49-4BBD-936F-82180B2E6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8A896D3-F1C0-47DF-84FD-01D246966911}">
  <ds:schemaRefs>
    <ds:schemaRef ds:uri="http://schemas.microsoft.com/office/2006/metadata/properties"/>
    <ds:schemaRef ds:uri="2e5bb04e-596e-45bd-9003-43ca78b1ba16"/>
  </ds:schemaRefs>
</ds:datastoreItem>
</file>

<file path=customXml/itemProps3.xml><?xml version="1.0" encoding="utf-8"?>
<ds:datastoreItem xmlns:ds="http://schemas.openxmlformats.org/officeDocument/2006/customXml" ds:itemID="{24E73109-AE00-49DF-89CA-B86A224F4146}">
  <ds:schemaRefs>
    <ds:schemaRef ds:uri="http://schemas.microsoft.com/sharepoint/v3/contenttype/forms"/>
  </ds:schemaRefs>
</ds:datastoreItem>
</file>

<file path=customXml/itemProps4.xml><?xml version="1.0" encoding="utf-8"?>
<ds:datastoreItem xmlns:ds="http://schemas.openxmlformats.org/officeDocument/2006/customXml" ds:itemID="{6320B63A-AE5B-42A6-850C-3DAAEF85C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3061</Words>
  <Characters>21922</Characters>
  <Application>Microsoft Office Word</Application>
  <DocSecurity>0</DocSecurity>
  <Lines>534</Lines>
  <Paragraphs>190</Paragraphs>
  <ScaleCrop>false</ScaleCrop>
  <HeadingPairs>
    <vt:vector size="2" baseType="variant">
      <vt:variant>
        <vt:lpstr>Title</vt:lpstr>
      </vt:variant>
      <vt:variant>
        <vt:i4>1</vt:i4>
      </vt:variant>
    </vt:vector>
  </HeadingPairs>
  <TitlesOfParts>
    <vt:vector size="1" baseType="lpstr">
      <vt:lpstr>MK noteikumu projekta "Grozījumi Ministru kabineta 2012.gada 11.decembra noteikumos Nr.867 "Kārtība, kādā nosakāms maksimāli pieļaujamais valsts budžeta izdevumu kopapjoms un maksimāli pieļaujamais valsts budžeta izdevumu kopējais apjoms katrai ministrija</vt:lpstr>
    </vt:vector>
  </TitlesOfParts>
  <Company>Finanšu ministrija</Company>
  <LinksUpToDate>false</LinksUpToDate>
  <CharactersWithSpaces>24793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2012.gada 11.decembra noteikumos Nr.867 "Kārtība, kādā nosakāms maksimāli pieļaujamais valsts budžeta izdevumu kopapjoms un maksimāli pieļaujamais valsts budžeta izdevumu kopējais apjoms katrai ministrija</dc:title>
  <dc:subject>Anotācija</dc:subject>
  <dc:creator>R.Čablis</dc:creator>
  <dc:description>67095498, raivis.cablis@fm.gov.lv</dc:description>
  <cp:lastModifiedBy>Windows User</cp:lastModifiedBy>
  <cp:revision>7</cp:revision>
  <cp:lastPrinted>2014-01-09T08:44:00Z</cp:lastPrinted>
  <dcterms:created xsi:type="dcterms:W3CDTF">2014-03-26T11:50:00Z</dcterms:created>
  <dcterms:modified xsi:type="dcterms:W3CDTF">2014-04-02T05:53:00Z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0x0101008091943EFBEC2744BF973D3CD9DCF0D9</vt:lpwstr>
  </property>
</Properties>
</file>