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C8" w:rsidRPr="00803B09" w:rsidRDefault="000C51C8" w:rsidP="000C51C8">
      <w:pPr>
        <w:pStyle w:val="Footer"/>
        <w:jc w:val="center"/>
        <w:rPr>
          <w:rFonts w:ascii="Times New Roman" w:hAnsi="Times New Roman"/>
          <w:b/>
          <w:sz w:val="24"/>
          <w:szCs w:val="24"/>
        </w:rPr>
      </w:pPr>
      <w:r w:rsidRPr="00803B09">
        <w:rPr>
          <w:rFonts w:ascii="Times New Roman" w:hAnsi="Times New Roman"/>
          <w:b/>
          <w:sz w:val="24"/>
          <w:szCs w:val="24"/>
        </w:rPr>
        <w:t xml:space="preserve">Likumprojekta "Grozījumi Apdrošināšanas un pārapdrošināšanas starpnieku darbības likumā" </w:t>
      </w:r>
      <w:r w:rsidRPr="00803B09">
        <w:rPr>
          <w:rFonts w:ascii="Times New Roman" w:hAnsi="Times New Roman"/>
          <w:b/>
          <w:bCs/>
          <w:sz w:val="24"/>
          <w:szCs w:val="24"/>
        </w:rPr>
        <w:t>sākotnējās ietekmes novērtējuma ziņojums</w:t>
      </w:r>
      <w:r w:rsidRPr="00803B09">
        <w:rPr>
          <w:rFonts w:ascii="Times New Roman" w:hAnsi="Times New Roman"/>
          <w:b/>
          <w:sz w:val="24"/>
          <w:szCs w:val="24"/>
        </w:rPr>
        <w:t xml:space="preserve"> </w:t>
      </w:r>
      <w:r w:rsidRPr="00803B09">
        <w:rPr>
          <w:rFonts w:ascii="Times New Roman" w:hAnsi="Times New Roman"/>
          <w:b/>
          <w:bCs/>
          <w:sz w:val="24"/>
          <w:szCs w:val="24"/>
        </w:rPr>
        <w:t>(anotācija)</w:t>
      </w:r>
    </w:p>
    <w:p w:rsidR="0065551F" w:rsidRPr="00803B09" w:rsidRDefault="0065551F" w:rsidP="0065551F">
      <w:pPr>
        <w:spacing w:after="0" w:line="240" w:lineRule="auto"/>
        <w:ind w:firstLine="300"/>
        <w:jc w:val="center"/>
        <w:rPr>
          <w:rFonts w:ascii="Times New Roman" w:eastAsia="Times New Roman" w:hAnsi="Times New Roman"/>
          <w:b/>
          <w:bCs/>
          <w:sz w:val="24"/>
          <w:szCs w:val="24"/>
          <w:lang w:eastAsia="lv-LV"/>
        </w:rPr>
      </w:pPr>
    </w:p>
    <w:tbl>
      <w:tblPr>
        <w:tblW w:w="503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7"/>
        <w:gridCol w:w="2580"/>
        <w:gridCol w:w="5328"/>
        <w:gridCol w:w="8"/>
      </w:tblGrid>
      <w:tr w:rsidR="0065551F" w:rsidRPr="00803B09" w:rsidTr="00A65B92">
        <w:trPr>
          <w:gridBefore w:val="1"/>
          <w:gridAfter w:val="1"/>
          <w:wBefore w:w="5" w:type="pct"/>
          <w:wAfter w:w="5" w:type="pct"/>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5551F" w:rsidRPr="00803B09" w:rsidRDefault="0065551F" w:rsidP="00B50B85">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I. Tiesību akta projekta izstrādes nepieciešamība</w:t>
            </w:r>
          </w:p>
        </w:tc>
      </w:tr>
      <w:tr w:rsidR="0065551F" w:rsidRPr="00803B09" w:rsidTr="00A65B92">
        <w:trPr>
          <w:gridBefore w:val="1"/>
          <w:gridAfter w:val="1"/>
          <w:wBefore w:w="5" w:type="pct"/>
          <w:wAfter w:w="5" w:type="pct"/>
          <w:trHeight w:val="40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rsidR="0065551F" w:rsidRPr="00803B09" w:rsidRDefault="000C51C8" w:rsidP="00934889">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Likumprojekts "Grozījumi Apdrošināšanas un pārapdrošināšanas starpnieku darbības likumā" izstrādāts, lai uzlabotu apdrošināšanas un pārapdrošināšanas starpnieku uzraudzību, padarot to efektīvāku, kā arī</w:t>
            </w:r>
            <w:r w:rsidR="00D74134">
              <w:rPr>
                <w:rFonts w:ascii="Times New Roman" w:hAnsi="Times New Roman"/>
                <w:sz w:val="24"/>
                <w:szCs w:val="24"/>
              </w:rPr>
              <w:t>,</w:t>
            </w:r>
            <w:r w:rsidRPr="00803B09">
              <w:rPr>
                <w:rFonts w:ascii="Times New Roman" w:hAnsi="Times New Roman"/>
                <w:sz w:val="24"/>
                <w:szCs w:val="24"/>
              </w:rPr>
              <w:t xml:space="preserve"> lai samazinātu finanšu riskus apdrošināšanas un pārapdrošināšanas starpniecības tirgū, ieviešot lielāku apdrošināto interešu aizsardzību.</w:t>
            </w:r>
          </w:p>
        </w:tc>
      </w:tr>
      <w:tr w:rsidR="0065551F" w:rsidRPr="00803B09" w:rsidTr="00A65B92">
        <w:trPr>
          <w:gridBefore w:val="1"/>
          <w:gridAfter w:val="1"/>
          <w:wBefore w:w="5" w:type="pct"/>
          <w:wAfter w:w="5" w:type="pct"/>
          <w:trHeight w:val="46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194" w:type="pct"/>
            <w:tcBorders>
              <w:top w:val="outset" w:sz="6" w:space="0" w:color="414142"/>
              <w:left w:val="outset" w:sz="6" w:space="0" w:color="414142"/>
              <w:bottom w:val="outset" w:sz="6" w:space="0" w:color="414142"/>
              <w:right w:val="outset" w:sz="6" w:space="0" w:color="414142"/>
            </w:tcBorders>
            <w:hideMark/>
          </w:tcPr>
          <w:p w:rsidR="000C51C8" w:rsidRPr="00803B09" w:rsidRDefault="000C51C8" w:rsidP="00D74134">
            <w:pPr>
              <w:pStyle w:val="naiskr"/>
              <w:spacing w:before="0" w:after="0"/>
              <w:jc w:val="both"/>
            </w:pPr>
            <w:r w:rsidRPr="00803B09">
              <w:t>1. Latvijā patlaban ir reģistrēti 87 apdrošināšanas brokeri. Finanšu un kapitāla tirgus komisija (turpmāk – Komisija)</w:t>
            </w:r>
            <w:r w:rsidR="006E2425" w:rsidRPr="00803B09">
              <w:t xml:space="preserve"> 2011. un 2012.</w:t>
            </w:r>
            <w:r w:rsidRPr="00803B09">
              <w:t>gadā veica plānveida uzraudzības darbības, lai pārbaudītu apdrošināšanas brokeru darbības atbilstību Apdrošināšanas un pārapdrošināšanas starpni</w:t>
            </w:r>
            <w:r w:rsidR="006E2425" w:rsidRPr="00803B09">
              <w:t>eku darbības likuma (turpmāk</w:t>
            </w:r>
            <w:r w:rsidRPr="00803B09">
              <w:t xml:space="preserve"> – Likums) prasībām. Uzraudzības darbības </w:t>
            </w:r>
            <w:proofErr w:type="spellStart"/>
            <w:r w:rsidRPr="00803B09">
              <w:t>tiek</w:t>
            </w:r>
            <w:r w:rsidR="00D74134">
              <w:t>a</w:t>
            </w:r>
            <w:proofErr w:type="spellEnd"/>
            <w:r w:rsidRPr="00803B09">
              <w:t xml:space="preserve"> turpinātas arī 2013. gadā. Komisija konstatēja, ka atsevišķas tiesību normas tirgus dalībnieki interpretē atšķirīgi. Tādēļ Komisija ir sniegusi vairākus Likuma tiesību normu skaidrojumus. Šāda situācija liecina, ka pašlaik daži ar Likumu ieviestie pasākumi, kas atrunāti Eiropas Parlamenta un Padomes 2002.gada 9.decembra direktīvā 2002/92/EK par apdrošināšanas starpniecību (turpmāk – Direktīva 2002/92/EK), lai aizsargātu klientus pret apdrošināšanas starpnieku nespēju nodot apdrošināšanas prēmijas apdrošinātājiem vai nodot apdrošināšanas atlīdzību tās saņēmējam, vai arī veikt atpirkuma summu izmaksu, Likumā nav pietiekami saprotami formulēti. Tādēļ dažkārt rodas pārpratumi un neatbilstības apdrošināšanas un pārapdrošināšanas starpnieku darbībā.</w:t>
            </w:r>
          </w:p>
          <w:p w:rsidR="000C51C8" w:rsidRPr="00803B09" w:rsidRDefault="000C51C8" w:rsidP="00D74134">
            <w:pPr>
              <w:pStyle w:val="naiskr"/>
              <w:spacing w:before="0" w:after="0"/>
              <w:jc w:val="both"/>
            </w:pPr>
            <w:r w:rsidRPr="00803B09">
              <w:t xml:space="preserve">2. Uzraugot apdrošināšanas un pārapdrošināšanas starpniekus, </w:t>
            </w:r>
            <w:r w:rsidR="00D74134">
              <w:t>K</w:t>
            </w:r>
            <w:r w:rsidRPr="00803B09">
              <w:t>omisija ir konstatējusi, ka tirgus dalībniekiem nav pilnībā izprotami Likuma 15. panta nosacījumi par naudas līdzekļu, kas iegūti no klientiem, šķirtu turēšanu. Tādēļ Likumā ir jāprecizē šķirti turēto klientu līdzekļu izmantošanas veidi, lai skaidrāk tiktu pausta Direktīvas 2002/92/EK būtība attiecībā uz līdzekļu, kas iegūti no klientiem, šķirtu turēšanu speciālā norēķinu kontā.</w:t>
            </w:r>
          </w:p>
          <w:p w:rsidR="000C51C8" w:rsidRPr="00803B09" w:rsidRDefault="000C51C8" w:rsidP="00D74134">
            <w:pPr>
              <w:pStyle w:val="naiskr"/>
              <w:spacing w:before="0" w:after="0"/>
              <w:jc w:val="both"/>
            </w:pPr>
            <w:r w:rsidRPr="00803B09">
              <w:t xml:space="preserve">3. Likums skaidri nenosaka, kādās attiecībās jāatrodas apdrošināšanas vai pārapdrošināšanas starpniecībā tieši iesaistītajiem darbiniekiem un apdrošināšanas brokerim, kā dēļ starp tirgus dalībniekiem un uzraudzības iestādi ir radušās diskusijas un regulējuma formulējums pieļauj dažādas interpretācijas. Tādējādi </w:t>
            </w:r>
            <w:r w:rsidRPr="00803B09">
              <w:lastRenderedPageBreak/>
              <w:t>ir jāprecizē Likuma normas attiecībā uz minēto jautājumu.</w:t>
            </w:r>
          </w:p>
          <w:p w:rsidR="000C51C8" w:rsidRPr="00803B09" w:rsidRDefault="000C51C8" w:rsidP="00D74134">
            <w:pPr>
              <w:pStyle w:val="naiskr"/>
              <w:spacing w:before="0" w:after="0"/>
              <w:jc w:val="both"/>
            </w:pPr>
            <w:r w:rsidRPr="00803B09">
              <w:t xml:space="preserve">4. Likums pašlaik paredz vienīgi apdrošināšanas un pārapdrošināšanas starpniekiem tiesības iesniegt dokumentus to reģistrācijai. Apdrošināšanas komersantam un </w:t>
            </w:r>
            <w:proofErr w:type="spellStart"/>
            <w:r w:rsidRPr="00803B09">
              <w:t>nedalībvalsts</w:t>
            </w:r>
            <w:proofErr w:type="spellEnd"/>
            <w:r w:rsidRPr="00803B09">
              <w:t xml:space="preserve"> apdrošinātāja filiālei nav arī tiesību lūgt izslēgt no apdrošināšanas un pārapdrošināšanas starpnieku reģistra to atbildībā esošos apdrošināšanas aģentus. Tomēr praksē tieši apdrošināšanas komersanti iesniedz Komisijai pieteikumus par starpnieka reģistrāciju vai izslēgšanu no reģistra. Komisija uzskata, ka šāda prakse ir ērtāka tirgus dalībniekiem, nesatur paaugstinātu risku, līdz ar to ir pieļaujama. Tādēļ būtu attiecīgi jāprecizē Likuma 10. panta pirmā daļa.</w:t>
            </w:r>
          </w:p>
          <w:p w:rsidR="000C51C8" w:rsidRPr="00803B09" w:rsidRDefault="000C51C8" w:rsidP="00D74134">
            <w:pPr>
              <w:pStyle w:val="naiskr"/>
              <w:spacing w:before="0" w:after="0"/>
              <w:jc w:val="both"/>
            </w:pPr>
            <w:r w:rsidRPr="00803B09">
              <w:t>Attiecībā uz iesniedzamajiem dokumentiem, reģistrējot apdrošināšanas un pārapdrošināšanas starpniekus, apdrošināšanas starpniekiem, kuru līgumā ar apdrošinātāju ir atrunāts, ka tie nesaņems apdrošināšanas prēmijas un neizmaksās klientiem domātus naudas līdzekļus, nebūtu jāatver atsevišķs norēķinu konts no klientiem iegūto līdzekļu turēšanai un līdz ar to arī nebūtu jāiesniedz līgums ar kredītiestādi par šāda konta atvēršanu. No minētā izriet, ka apdrošināšanas un pārapdrošināšanas starpniekam nebūtu jāiesniedz visi Likuma 10. panta pirmajā daļā minētie dokumenti. Tādēļ ir jāprecizē attiecīgais punkts.</w:t>
            </w:r>
          </w:p>
          <w:p w:rsidR="000C51C8" w:rsidRPr="00803B09" w:rsidRDefault="000C51C8" w:rsidP="00D74134">
            <w:pPr>
              <w:pStyle w:val="naiskr"/>
              <w:spacing w:before="0" w:after="0"/>
              <w:jc w:val="both"/>
            </w:pPr>
            <w:r w:rsidRPr="00803B09">
              <w:t>5. Likums paredz Komisijai ierobežotas izvēles iespējas sankciju piemērošanā, un starp divām piedāvātajām sankcijām – brīdinājumu un reģistrācijas ieraksta anulēšanu – nepastāv samērīga sankcija vai pasākums.</w:t>
            </w:r>
          </w:p>
          <w:p w:rsidR="000C51C8" w:rsidRPr="00803B09" w:rsidRDefault="000C51C8" w:rsidP="00D74134">
            <w:pPr>
              <w:pStyle w:val="naiskr"/>
              <w:spacing w:before="0" w:after="0"/>
              <w:jc w:val="both"/>
            </w:pPr>
            <w:r w:rsidRPr="00803B09">
              <w:t xml:space="preserve">6. Likums atļauj </w:t>
            </w:r>
            <w:r w:rsidRPr="00803B09">
              <w:rPr>
                <w:u w:val="single"/>
              </w:rPr>
              <w:t>civiltiesiskās atbildības apdrošināšanas</w:t>
            </w:r>
            <w:r w:rsidRPr="00803B09">
              <w:t xml:space="preserve"> līgumā paredzēt apdrošināšanas un pārapdrošināšanas starpnieka pašrisku 10 000 </w:t>
            </w:r>
            <w:proofErr w:type="spellStart"/>
            <w:r w:rsidRPr="00803B09">
              <w:rPr>
                <w:i/>
              </w:rPr>
              <w:t>euro</w:t>
            </w:r>
            <w:proofErr w:type="spellEnd"/>
            <w:r w:rsidRPr="00803B09">
              <w:t xml:space="preserve"> apmērā. Nav noteikti skaidri kritēriji, ko Komisija vērtē, lai atļautu vai aizliegtu pašriska iekļaušanu civiltiesiskās atbildības apdrošināšanas līgumā. Minētais veicinātu vienlīdzīgu attieksmi un iespēju apdrošināšanas un pārapdrošināšanas starpniekiem saņemt atļauju pašriskam.</w:t>
            </w:r>
          </w:p>
          <w:p w:rsidR="000C51C8" w:rsidRPr="00803B09" w:rsidRDefault="000C51C8" w:rsidP="00D74134">
            <w:pPr>
              <w:pStyle w:val="naiskr"/>
              <w:spacing w:before="0" w:after="0"/>
              <w:jc w:val="both"/>
            </w:pPr>
            <w:r w:rsidRPr="00803B09">
              <w:t>Likums patlaban neparedz citas civiltiesiskās atbildības garantijas iespējas, lai gan Direktīvas 2002/92/EK 4. panta trešā daļa bez civiltiesiskās atbildības apdrošināšanas pieļauj arī citu tai pielīdzināmu garantiju, ko var izmantot apdrošināšanas un pārapdrošināšanas starpnieki.</w:t>
            </w:r>
          </w:p>
          <w:p w:rsidR="000C51C8" w:rsidRPr="00803B09" w:rsidRDefault="000C51C8" w:rsidP="00D74134">
            <w:pPr>
              <w:pStyle w:val="naiskr"/>
              <w:spacing w:before="0" w:after="0"/>
              <w:jc w:val="both"/>
            </w:pPr>
            <w:r w:rsidRPr="00803B09">
              <w:t xml:space="preserve">Pamatojoties uz Direktīvas 2002/92/EK 4. panta septīto daļu, civiltiesiskās atbildības apdrošināšanas limiti </w:t>
            </w:r>
            <w:r w:rsidRPr="00803B09">
              <w:lastRenderedPageBreak/>
              <w:t>regulāri tiek pārskatīti, lai ņemtu vērā izmaiņas Eiropas patēriņa cenu indeksā. Pēdējā pārskatīšana notika 2013. gada sākumā, kā rezultātā ir noteikti jauni limiti civiltiesiskās atbildības apdrošināšanai</w:t>
            </w:r>
            <w:r w:rsidRPr="00803B09">
              <w:rPr>
                <w:b/>
              </w:rPr>
              <w:t>.</w:t>
            </w:r>
          </w:p>
          <w:p w:rsidR="000C51C8" w:rsidRPr="00803B09" w:rsidRDefault="000C51C8" w:rsidP="00D74134">
            <w:pPr>
              <w:pStyle w:val="naiskr"/>
              <w:spacing w:before="0" w:after="0"/>
              <w:jc w:val="both"/>
            </w:pPr>
            <w:r w:rsidRPr="00803B09">
              <w:t>7. Tā kā Komisijas finansējumu nodrošina tās uzraugāmie finanšu un kapitāla tirgus dalībnieki un Komisija uzrauga arī apdrošināšanas brokerus un citu dalībvalstu apdrošināšanas un pārapdrošināšanas starpnieku filiāles, ievērojot analoģiju, arī tiem būtu jāpiedalās Komisijas finansēšanā.</w:t>
            </w:r>
          </w:p>
          <w:p w:rsidR="000C51C8" w:rsidRPr="00803B09" w:rsidRDefault="000C51C8" w:rsidP="00D74134">
            <w:pPr>
              <w:pStyle w:val="naiskr"/>
              <w:spacing w:before="0" w:after="0"/>
              <w:jc w:val="both"/>
            </w:pPr>
            <w:r w:rsidRPr="00803B09">
              <w:t>Likums patlaban neparedz nekāda veida atlīdzību, kas apdrošināšanas un pārapdrošināšanas starpniekiem būtu jāmaksā Komisijai par jauno apdrošināšanas un pārapdrošināšanas starpnieku reģistrācijas dokumentu apstrādi, bet šo dokumentu izskatīšanai un apstrādei tiek tērēti Komisijas resursi. Arī Latvijas kaimiņvalstīs ir noteikta uzraudzības maksa apdrošināšanas brokeriem, citu dalībvalstu apdrošināšanas un pārapdrošināšanas starpnieku filiālēm, kā arī noteikta maksa par reģistrācijai iesniegto dokumentu apstrādi. Piemēram, šādas prasības ir noteiktas gan Lietuvā, gan Igaunijā.</w:t>
            </w:r>
          </w:p>
          <w:p w:rsidR="000C51C8" w:rsidRPr="00803B09" w:rsidRDefault="000C51C8" w:rsidP="00D74134">
            <w:pPr>
              <w:pStyle w:val="naiskr"/>
              <w:spacing w:before="0" w:after="0"/>
              <w:jc w:val="both"/>
            </w:pPr>
            <w:r w:rsidRPr="00803B09">
              <w:t>8. Likums pašlaik neparedz pienākumu apdrošināšanas un pārapdrošināšanas starpniekiem regulāri iesniegt Komisijai pārskatus par savu darbību. Tādējādi Komisija nevar gūt pilnvērtīgu priekšstatu par apdrošināšanas un pārapdrošināšanas starpniecības tirgu un tā attīstību Latvijā, līdz ar to arī nevar sniegt nepieciešamo informāciju Eiropas Savienības institūcijām datu apkopošanai un tirgus analīzei.</w:t>
            </w:r>
          </w:p>
          <w:p w:rsidR="00543DA3" w:rsidRPr="00803B09" w:rsidRDefault="000C51C8" w:rsidP="00D74134">
            <w:pPr>
              <w:spacing w:after="0" w:line="240" w:lineRule="auto"/>
              <w:jc w:val="both"/>
              <w:rPr>
                <w:rFonts w:ascii="Times New Roman" w:hAnsi="Times New Roman"/>
                <w:sz w:val="24"/>
                <w:szCs w:val="24"/>
              </w:rPr>
            </w:pPr>
            <w:r w:rsidRPr="00803B09">
              <w:rPr>
                <w:rFonts w:ascii="Times New Roman" w:hAnsi="Times New Roman"/>
                <w:sz w:val="24"/>
                <w:szCs w:val="24"/>
              </w:rPr>
              <w:t>9. Apdrošināšanas un pārapdrošināšanas starpnieku darbības likums neparedz tiesības apdrošināšanas un pārapdrošināšanas starpnieku uzraudzības iestādei – Finanšu un kapitāla tirgus komisijai – rīkoties, lai novērstu tās uzraugāmo subjektu darbībā konstatēto tādu citu normatīvo aktu kā Noziedzīgi iegūto līdzekļu legalizācijas un terorisma finansēšanas novēršanas likums, Eiropas Savienības institūciju izdotie tieši piemērojamie tiesību akti un citi no šiem normatīvajiem aktiem izrietošie tiesību akti apdrošināšanas un pārapdrošināšanas starpniecības jomā pārkāpumus.</w:t>
            </w:r>
          </w:p>
          <w:p w:rsidR="005A3498" w:rsidRPr="00803B09" w:rsidRDefault="005A3498" w:rsidP="00D74134">
            <w:pPr>
              <w:pStyle w:val="naisf"/>
              <w:spacing w:before="0" w:after="0"/>
              <w:ind w:firstLine="0"/>
            </w:pPr>
            <w:r w:rsidRPr="00803B09">
              <w:t xml:space="preserve">Tiesiskais regulējums ir izstrādāts, lai precizētu pastāvošo regulējumu un nodrošinātu apdrošināšanas un pārapdrošināšanas starpnieku finansiālo stabilitāti un klientu un apdrošinātāju interešu aizsardzību. </w:t>
            </w:r>
          </w:p>
          <w:p w:rsidR="005A3498" w:rsidRPr="00803B09" w:rsidRDefault="005A3498" w:rsidP="00D74134">
            <w:pPr>
              <w:pStyle w:val="naisf"/>
              <w:spacing w:before="0" w:after="0"/>
              <w:ind w:firstLine="0"/>
            </w:pPr>
            <w:r w:rsidRPr="00803B09">
              <w:t xml:space="preserve">Atbilstoši minētajam likumprojekta regulējuma būtība ir ieviest vairākus grozījumus Apdrošināšanas un pārapdrošināšanas starpnieku darbības likumā, </w:t>
            </w:r>
            <w:r w:rsidRPr="00803B09">
              <w:lastRenderedPageBreak/>
              <w:t>precizējot apdrošināšanas un pārapdrošināšanas starpniecības definīciju.</w:t>
            </w:r>
          </w:p>
          <w:p w:rsidR="005A3498" w:rsidRPr="00803B09" w:rsidRDefault="005A3498" w:rsidP="00D74134">
            <w:pPr>
              <w:pStyle w:val="naisf"/>
              <w:spacing w:before="0" w:after="0"/>
              <w:ind w:firstLine="0"/>
            </w:pPr>
            <w:r w:rsidRPr="00803B09">
              <w:t>Papildus minētajam likumprojekta regulējuma būtība ir ieviest šādus grozījumus:</w:t>
            </w:r>
          </w:p>
          <w:p w:rsidR="005A3498" w:rsidRPr="00803B09" w:rsidRDefault="005A3498" w:rsidP="00D74134">
            <w:pPr>
              <w:pStyle w:val="naisf"/>
              <w:spacing w:before="0" w:after="0"/>
              <w:ind w:firstLine="0"/>
            </w:pPr>
            <w:r w:rsidRPr="00803B09">
              <w:t>1) precizēt starp apdrošināšanas brokeri un apdrošināšanas vai pārapdrošināšanas starpniecībā tieši iesaistīto darbinieku pastāvošās darba tiesiskās attiecības;</w:t>
            </w:r>
          </w:p>
          <w:p w:rsidR="005A3498" w:rsidRPr="00803B09" w:rsidRDefault="005A3498" w:rsidP="00D74134">
            <w:pPr>
              <w:pStyle w:val="naisf"/>
              <w:spacing w:before="0" w:after="0"/>
              <w:ind w:firstLine="0"/>
            </w:pPr>
            <w:r w:rsidRPr="00803B09">
              <w:t xml:space="preserve">2) noteikt tiesības apdrošināšanas sabiedrībai un </w:t>
            </w:r>
            <w:proofErr w:type="spellStart"/>
            <w:r w:rsidRPr="00803B09">
              <w:t>nedalībvalsts</w:t>
            </w:r>
            <w:proofErr w:type="spellEnd"/>
            <w:r w:rsidRPr="00803B09">
              <w:t xml:space="preserve"> apdrošinātāja filiālei apdrošināšanas aģenta vietā iesniegt dokumentus reģistrācijai, kā arī izteikt lūgumu anulēt ierakstu apdrošināšanas un pārapdrošināšanas starpnieku reģistrā;</w:t>
            </w:r>
          </w:p>
          <w:p w:rsidR="005A3498" w:rsidRPr="00803B09" w:rsidRDefault="005A3498" w:rsidP="00D74134">
            <w:pPr>
              <w:pStyle w:val="naisf"/>
              <w:spacing w:before="0" w:after="0"/>
              <w:ind w:firstLine="0"/>
            </w:pPr>
            <w:r w:rsidRPr="00803B09">
              <w:t>3) papildināt piemērojamo sankciju klāstu ar pasākumu, paredzot Komisijai tiesības noteikt saprātīgus ierobežojumus apdrošināšanas un pārapdrošināšanas starpnieka darbībai;</w:t>
            </w:r>
          </w:p>
          <w:p w:rsidR="005A3498" w:rsidRPr="00803B09" w:rsidRDefault="005A3498" w:rsidP="00D74134">
            <w:pPr>
              <w:pStyle w:val="naisf"/>
              <w:spacing w:before="0" w:after="0"/>
              <w:ind w:firstLine="0"/>
            </w:pPr>
            <w:r w:rsidRPr="00803B09">
              <w:t>4) noteikt apdrošināšanas un pārapdrošināšanas starpniekiem papildu veidu savas civiltiesiskās atbildības apdrošināšanai – pielīdzināta, kredītiestādes izsniegta garantija. Precizēt civiltiesiskās atbildības apdrošināšanas minimālo limitu apmēru atbilstoši Eiropas patēriņa cenu indeksa izmaiņām. Paredzēt deleģējumu Komisijai noteikt kritērijus, izvērtējot apdrošināšanas un pārapdrošināšanas starpnieka pašriska iekļaušanu civiltiesiskās atbildības apdrošināšanas līgumā;</w:t>
            </w:r>
          </w:p>
          <w:p w:rsidR="005A3498" w:rsidRPr="00803B09" w:rsidRDefault="005A3498" w:rsidP="00D74134">
            <w:pPr>
              <w:pStyle w:val="naisf"/>
              <w:spacing w:before="0" w:after="0"/>
              <w:ind w:firstLine="0"/>
            </w:pPr>
            <w:r w:rsidRPr="00803B09">
              <w:t xml:space="preserve">5) precizēt Likuma 15. panta pirmās daļas prasību, nosakot atsevišķajā kontā turēto līdzekļu izlietojuma veidus; </w:t>
            </w:r>
          </w:p>
          <w:p w:rsidR="005A3498" w:rsidRPr="00803B09" w:rsidRDefault="005A3498" w:rsidP="00D74134">
            <w:pPr>
              <w:pStyle w:val="naisf"/>
              <w:spacing w:before="0" w:after="0"/>
              <w:ind w:firstLine="0"/>
            </w:pPr>
            <w:r w:rsidRPr="00803B09">
              <w:t>6) ietvert Eiropas Parlamenta un Padomes</w:t>
            </w:r>
            <w:r w:rsidR="00D74134">
              <w:t xml:space="preserve"> 2002.gada 9.decembra</w:t>
            </w:r>
            <w:r w:rsidRPr="00803B09">
              <w:t xml:space="preserve"> direktīvā 2002/92/EK par apdrošināšanas starpniecību atrunāto prasību, kas nosaka, ka tos no klientiem saņemtos līdzekļus, kas atrodas atsevišķajos naudas kontos, var izmantot vienīgi apdrošināšanas un pārapdrošināšanas starpnieka klientu naudas pārskaitīšanai, kā arī tādas starpnieka komisijas naudas pārskaitīšanai, kas pienākas apdrošināšanas un pārapdrošināšanas starpniekam no jau saņemtas apdrošināšanas un pārapdrošināšanas prēmijas;</w:t>
            </w:r>
          </w:p>
          <w:p w:rsidR="005A3498" w:rsidRPr="00803B09" w:rsidRDefault="005A3498" w:rsidP="00D74134">
            <w:pPr>
              <w:pStyle w:val="naisf"/>
              <w:spacing w:before="0" w:after="0"/>
              <w:ind w:firstLine="0"/>
            </w:pPr>
            <w:r w:rsidRPr="00803B09">
              <w:t>7) noteikt vienreizēju maksājumu Komisijai par apdrošināšanas un pārapdrošināšanas starpnieku reģistrācijas dokumentu un grozījumu tajos izskatīšanu, ņemot vērā, ka visiem pārējiem finanšu un kapitāla tirgus dalībniekiem šādi vai līdzīgi maksājumi jau ir noteikti;</w:t>
            </w:r>
          </w:p>
          <w:p w:rsidR="005A3498" w:rsidRPr="00803B09" w:rsidRDefault="005A3498" w:rsidP="00D74134">
            <w:pPr>
              <w:pStyle w:val="naisf"/>
              <w:spacing w:before="0" w:after="0"/>
              <w:ind w:firstLine="0"/>
            </w:pPr>
            <w:r w:rsidRPr="00803B09">
              <w:t xml:space="preserve">8) noteikt uzraudzības gada maksu apdrošināšanas brokeriem un citas dalībvalsts apdrošināšanas un pārapdrošināšanas starpnieku filiālēm, kā arī piešķirt </w:t>
            </w:r>
            <w:r w:rsidRPr="00803B09">
              <w:lastRenderedPageBreak/>
              <w:t>tiesības Komisijai noteikt tās aprēķināšanas un samaksas kārtību;</w:t>
            </w:r>
          </w:p>
          <w:p w:rsidR="005A3498" w:rsidRPr="00803B09" w:rsidRDefault="005A3498" w:rsidP="00D74134">
            <w:pPr>
              <w:pStyle w:val="naisf"/>
              <w:spacing w:before="0" w:after="0"/>
              <w:ind w:firstLine="0"/>
            </w:pPr>
            <w:r w:rsidRPr="00803B09">
              <w:t>9) papildināt Likumu ar jaunu 37.</w:t>
            </w:r>
            <w:r w:rsidRPr="00803B09">
              <w:rPr>
                <w:vertAlign w:val="superscript"/>
              </w:rPr>
              <w:t>1</w:t>
            </w:r>
            <w:r w:rsidRPr="00803B09">
              <w:t xml:space="preserve"> pantu, nosakot apdrošināšanas brokeriem prasību reizi pusgadā sagatavot pārskatus par to starpniecības darbību un spēju izpildīt saistības pret apdrošināšanas komersantiem, </w:t>
            </w:r>
            <w:proofErr w:type="spellStart"/>
            <w:r w:rsidRPr="00803B09">
              <w:t>nedalībvalsts</w:t>
            </w:r>
            <w:proofErr w:type="spellEnd"/>
            <w:r w:rsidRPr="00803B09">
              <w:t xml:space="preserve"> apdrošinātāju filiālēm, </w:t>
            </w:r>
            <w:proofErr w:type="spellStart"/>
            <w:r w:rsidRPr="00803B09">
              <w:t>pārapdrošinātājiem</w:t>
            </w:r>
            <w:proofErr w:type="spellEnd"/>
            <w:r w:rsidRPr="00803B09">
              <w:t xml:space="preserve"> un apdrošinājuma ņēmējiem, kas radušās apdrošināšanas un pārapdrošināšanas starpniecības rezultātā;</w:t>
            </w:r>
          </w:p>
          <w:p w:rsidR="00060132" w:rsidRPr="00803B09" w:rsidRDefault="005A3498" w:rsidP="00D74134">
            <w:pPr>
              <w:pStyle w:val="naisf"/>
              <w:spacing w:before="0" w:after="0"/>
              <w:ind w:firstLine="0"/>
            </w:pPr>
            <w:r w:rsidRPr="00803B09">
              <w:t>10) ietvert 41. pantā tiesības Komisijai pieprasīt, lai apdrošināšanas un pārapdrošināšanas starpnieks novērš Noziedzīgi iegūtu līdzekļu legalizācijas un terorisma finansēšanas novēršanas likuma un Eiropas Savienības institūciju izdoto tieši piemērojamo tiesību aktu apdrošināšanas un pārapdrošināšanas starpniecības jomā pārkāpumus, kā arī ietvert 11. pantā sankcijas par minēto tiesību aktu pārkāpumiem;</w:t>
            </w:r>
          </w:p>
          <w:p w:rsidR="005A3498" w:rsidRPr="00803B09" w:rsidRDefault="005A3498" w:rsidP="00D74134">
            <w:pPr>
              <w:pStyle w:val="naisf"/>
              <w:spacing w:before="0" w:after="0"/>
              <w:ind w:firstLine="0"/>
            </w:pPr>
            <w:r w:rsidRPr="00803B09">
              <w:t xml:space="preserve">11) ietvert pārejas noteikumus, lai noteiktu termiņu apdrošināšanas un pārapdrošināšanas starpnieku civiltiesiskās atbildības apdrošināšanas līgumu grozījumiem. Pārejas noteikumos tiek noteikts termiņš, kad stājas spēkā prasības attiecībā uz maksājumiem </w:t>
            </w:r>
            <w:r w:rsidRPr="00803B09">
              <w:rPr>
                <w:color w:val="000000"/>
              </w:rPr>
              <w:t xml:space="preserve">Finanšu un kapitāla tirgus </w:t>
            </w:r>
            <w:r w:rsidRPr="00803B09">
              <w:t>komisijas finansēšanai.</w:t>
            </w:r>
          </w:p>
        </w:tc>
      </w:tr>
      <w:tr w:rsidR="0065551F" w:rsidRPr="00803B09" w:rsidTr="00A65B92">
        <w:trPr>
          <w:gridBefore w:val="1"/>
          <w:gridAfter w:val="1"/>
          <w:wBefore w:w="5" w:type="pct"/>
          <w:wAfter w:w="5" w:type="pct"/>
          <w:trHeight w:val="465"/>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rsidR="0065551F" w:rsidRPr="00EC345E" w:rsidRDefault="005A3498" w:rsidP="00934889">
            <w:pPr>
              <w:spacing w:after="0" w:line="240" w:lineRule="auto"/>
              <w:jc w:val="both"/>
              <w:rPr>
                <w:rFonts w:ascii="Times New Roman" w:eastAsia="Times New Roman" w:hAnsi="Times New Roman"/>
                <w:sz w:val="24"/>
                <w:szCs w:val="24"/>
                <w:lang w:eastAsia="lv-LV"/>
              </w:rPr>
            </w:pPr>
            <w:r w:rsidRPr="00EC345E">
              <w:rPr>
                <w:rFonts w:ascii="Times New Roman" w:hAnsi="Times New Roman"/>
                <w:iCs/>
                <w:sz w:val="24"/>
                <w:szCs w:val="24"/>
              </w:rPr>
              <w:t>Projekts šo jomu neskar</w:t>
            </w:r>
            <w:r w:rsidR="00EC345E">
              <w:rPr>
                <w:rFonts w:ascii="Times New Roman" w:hAnsi="Times New Roman"/>
                <w:iCs/>
                <w:sz w:val="24"/>
                <w:szCs w:val="24"/>
              </w:rPr>
              <w:t>.</w:t>
            </w:r>
          </w:p>
        </w:tc>
      </w:tr>
      <w:tr w:rsidR="0065551F" w:rsidRPr="00803B09" w:rsidTr="00A65B92">
        <w:trPr>
          <w:gridBefore w:val="1"/>
          <w:gridAfter w:val="1"/>
          <w:wBefore w:w="5" w:type="pct"/>
          <w:wAfter w:w="5" w:type="pct"/>
        </w:trPr>
        <w:tc>
          <w:tcPr>
            <w:tcW w:w="24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060132" w:rsidRPr="00803B09" w:rsidRDefault="00060132" w:rsidP="00EC345E">
            <w:pPr>
              <w:autoSpaceDE w:val="0"/>
              <w:autoSpaceDN w:val="0"/>
              <w:adjustRightInd w:val="0"/>
              <w:spacing w:after="0" w:line="240" w:lineRule="auto"/>
              <w:jc w:val="both"/>
              <w:rPr>
                <w:rFonts w:ascii="Times New Roman" w:hAnsi="Times New Roman"/>
                <w:color w:val="000000"/>
                <w:sz w:val="24"/>
                <w:szCs w:val="24"/>
              </w:rPr>
            </w:pPr>
            <w:r w:rsidRPr="00803B09">
              <w:rPr>
                <w:rFonts w:ascii="Times New Roman" w:hAnsi="Times New Roman"/>
                <w:color w:val="000000"/>
                <w:sz w:val="24"/>
                <w:szCs w:val="24"/>
              </w:rPr>
              <w:t xml:space="preserve">Tirgus dalībnieku maksājumu apmērs par uzraudzību, t.i., maksājumi </w:t>
            </w:r>
            <w:r w:rsidR="00F939FF">
              <w:rPr>
                <w:rFonts w:ascii="Times New Roman" w:hAnsi="Times New Roman"/>
                <w:color w:val="000000"/>
                <w:sz w:val="24"/>
                <w:szCs w:val="24"/>
              </w:rPr>
              <w:t>K</w:t>
            </w:r>
            <w:r w:rsidRPr="00803B09">
              <w:rPr>
                <w:rFonts w:ascii="Times New Roman" w:hAnsi="Times New Roman"/>
                <w:color w:val="000000"/>
                <w:sz w:val="24"/>
                <w:szCs w:val="24"/>
              </w:rPr>
              <w:t>omis</w:t>
            </w:r>
            <w:r w:rsidR="00F939FF">
              <w:rPr>
                <w:rFonts w:ascii="Times New Roman" w:hAnsi="Times New Roman"/>
                <w:color w:val="000000"/>
                <w:sz w:val="24"/>
                <w:szCs w:val="24"/>
              </w:rPr>
              <w:t>ijas finansēšanai, tiek noteikti</w:t>
            </w:r>
            <w:r w:rsidRPr="00803B09">
              <w:rPr>
                <w:rFonts w:ascii="Times New Roman" w:hAnsi="Times New Roman"/>
                <w:color w:val="000000"/>
                <w:sz w:val="24"/>
                <w:szCs w:val="24"/>
              </w:rPr>
              <w:t xml:space="preserve">, katru gadu analizējot </w:t>
            </w:r>
            <w:r w:rsidR="00F939FF">
              <w:rPr>
                <w:rFonts w:ascii="Times New Roman" w:hAnsi="Times New Roman"/>
                <w:color w:val="000000"/>
                <w:sz w:val="24"/>
                <w:szCs w:val="24"/>
              </w:rPr>
              <w:t xml:space="preserve">Komisijas </w:t>
            </w:r>
            <w:r w:rsidRPr="00803B09">
              <w:rPr>
                <w:rFonts w:ascii="Times New Roman" w:hAnsi="Times New Roman"/>
                <w:color w:val="000000"/>
                <w:sz w:val="24"/>
                <w:szCs w:val="24"/>
              </w:rPr>
              <w:t xml:space="preserve">darbinieku darba laika noslodzi attiecīgā sektora uzraudzības nodrošināšanai un izvērtējot izmaksu īpatsvaru.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 veic ne tikai apdrošināšanas un pārapdrošināšanas sabiedrību uzraudzību, bet arī apdrošināšanas un pārapdrošināšanas starpniecības kā atsevišķa apdrošināšanas un pārapdrošināšanas sektorā ietilpstoša pakalpojuma uzraudzību. Izvērtējot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omisijas darbinieku noslodzi apdrošināšanas sektora uzraudzības nodrošināšanā,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 ir konstatējusi, ka 2012. gadā, salīdzinot ar 2011. gadu, ir būtiski palielinājusies </w:t>
            </w:r>
            <w:r w:rsidR="00F939FF">
              <w:rPr>
                <w:rFonts w:ascii="Times New Roman" w:hAnsi="Times New Roman"/>
                <w:color w:val="000000"/>
                <w:sz w:val="24"/>
                <w:szCs w:val="24"/>
              </w:rPr>
              <w:t>K</w:t>
            </w:r>
            <w:r w:rsidRPr="00803B09">
              <w:rPr>
                <w:rFonts w:ascii="Times New Roman" w:hAnsi="Times New Roman"/>
                <w:color w:val="000000"/>
                <w:sz w:val="24"/>
                <w:szCs w:val="24"/>
              </w:rPr>
              <w:t>omisijas darbinieku darba laika noslodze tieši apdrošināšanas brokeru sabiedrību uzraudzības nodrošināšanai.</w:t>
            </w:r>
          </w:p>
          <w:p w:rsidR="00060132" w:rsidRPr="00803B09" w:rsidRDefault="00060132" w:rsidP="00EC345E">
            <w:pPr>
              <w:autoSpaceDE w:val="0"/>
              <w:autoSpaceDN w:val="0"/>
              <w:adjustRightInd w:val="0"/>
              <w:spacing w:after="0" w:line="240" w:lineRule="auto"/>
              <w:jc w:val="both"/>
              <w:rPr>
                <w:rFonts w:ascii="Times New Roman" w:hAnsi="Times New Roman"/>
                <w:sz w:val="24"/>
                <w:szCs w:val="24"/>
              </w:rPr>
            </w:pPr>
            <w:r w:rsidRPr="00803B09">
              <w:rPr>
                <w:rFonts w:ascii="Times New Roman" w:hAnsi="Times New Roman"/>
                <w:color w:val="000000"/>
                <w:sz w:val="24"/>
                <w:szCs w:val="24"/>
              </w:rPr>
              <w:t xml:space="preserve">Ņemot vērā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omisijas apdrošināšanas un pārapdrošināšanas starpnieku reģistrā reģistrēto apdrošināšanas brokeru sabiedrību skaitu un uzraudzības procesā konstatēto nepieciešamību pilnveidot </w:t>
            </w:r>
            <w:r w:rsidR="00F939FF">
              <w:rPr>
                <w:rFonts w:ascii="Times New Roman" w:hAnsi="Times New Roman"/>
                <w:color w:val="000000"/>
                <w:sz w:val="24"/>
                <w:szCs w:val="24"/>
              </w:rPr>
              <w:t>L</w:t>
            </w:r>
            <w:r w:rsidRPr="00803B09">
              <w:rPr>
                <w:rFonts w:ascii="Times New Roman" w:hAnsi="Times New Roman"/>
                <w:color w:val="000000"/>
                <w:sz w:val="24"/>
                <w:szCs w:val="24"/>
              </w:rPr>
              <w:t xml:space="preserve">ikumā noteiktās prasības, paredzot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omisijas tiesības pieprasīt pārskatus uzraudzības vajadzībām, arī turpmāk sagaidāma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omisijas </w:t>
            </w:r>
            <w:r w:rsidRPr="00803B09">
              <w:rPr>
                <w:rFonts w:ascii="Times New Roman" w:hAnsi="Times New Roman"/>
                <w:color w:val="000000"/>
                <w:sz w:val="24"/>
                <w:szCs w:val="24"/>
              </w:rPr>
              <w:lastRenderedPageBreak/>
              <w:t>darbinieku n</w:t>
            </w:r>
            <w:r w:rsidR="00F939FF">
              <w:rPr>
                <w:rFonts w:ascii="Times New Roman" w:hAnsi="Times New Roman"/>
                <w:color w:val="000000"/>
                <w:sz w:val="24"/>
                <w:szCs w:val="24"/>
              </w:rPr>
              <w:t xml:space="preserve">oslodzes apdrošināšanas brokeru </w:t>
            </w:r>
            <w:r w:rsidRPr="00803B09">
              <w:rPr>
                <w:rFonts w:ascii="Times New Roman" w:hAnsi="Times New Roman"/>
                <w:color w:val="000000"/>
                <w:sz w:val="24"/>
                <w:szCs w:val="24"/>
              </w:rPr>
              <w:t>sabiedrību uzraudzības nodrošināšanai palielināšanās, lai izvērtētu apdrošināšanas brokeru sabiedrību iesniegtajos pārskatos atspoguļoto informāciju, nepieciešamības gadījumā veiktu neklātienes un klātienes pārbaudes, lai pārliecinātos par to darbības atbilstību normatīvajos aktos noteiktajām prasībām un, konstatējot to darbības neatbilstību normatīvajos aktos noteiktajām prasībām, veiktu pasākumus, lai konstatētie trūkumi tiktu novērsti vai lai piemērotu normatīvajos aktos paredzētās sankcijas vai pasākumus.</w:t>
            </w:r>
          </w:p>
          <w:p w:rsidR="00060132" w:rsidRPr="00803B09" w:rsidRDefault="00F939FF" w:rsidP="00EC345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Salīdzinot ar 2011.</w:t>
            </w:r>
            <w:r w:rsidR="00060132" w:rsidRPr="00803B09">
              <w:rPr>
                <w:rFonts w:ascii="Times New Roman" w:hAnsi="Times New Roman"/>
                <w:sz w:val="24"/>
                <w:szCs w:val="24"/>
              </w:rPr>
              <w:t xml:space="preserve">gadā noteikto apdrošināšanas un pārapdrošināšanas starpnieku uzraudzībai veltīto </w:t>
            </w:r>
            <w:r>
              <w:rPr>
                <w:rFonts w:ascii="Times New Roman" w:hAnsi="Times New Roman"/>
                <w:sz w:val="24"/>
                <w:szCs w:val="24"/>
              </w:rPr>
              <w:t>K</w:t>
            </w:r>
            <w:r w:rsidR="00060132" w:rsidRPr="00803B09">
              <w:rPr>
                <w:rFonts w:ascii="Times New Roman" w:hAnsi="Times New Roman"/>
                <w:sz w:val="24"/>
                <w:szCs w:val="24"/>
              </w:rPr>
              <w:t xml:space="preserve">omisijas darba laika noslodzi (3.57%), </w:t>
            </w:r>
            <w:r>
              <w:rPr>
                <w:rFonts w:ascii="Times New Roman" w:hAnsi="Times New Roman"/>
                <w:color w:val="000000"/>
                <w:sz w:val="24"/>
                <w:szCs w:val="24"/>
              </w:rPr>
              <w:t>2012.</w:t>
            </w:r>
            <w:r w:rsidR="00060132" w:rsidRPr="00803B09">
              <w:rPr>
                <w:rFonts w:ascii="Times New Roman" w:hAnsi="Times New Roman"/>
                <w:color w:val="000000"/>
                <w:sz w:val="24"/>
                <w:szCs w:val="24"/>
              </w:rPr>
              <w:t>gadā darba laika noslodze apdrošināšanas brokeru uzraudzībā bija 3.6%. I</w:t>
            </w:r>
            <w:r w:rsidR="00060132" w:rsidRPr="00803B09">
              <w:rPr>
                <w:rFonts w:ascii="Times New Roman" w:hAnsi="Times New Roman"/>
                <w:sz w:val="24"/>
                <w:szCs w:val="24"/>
              </w:rPr>
              <w:t>espējamais K</w:t>
            </w:r>
            <w:r>
              <w:rPr>
                <w:rFonts w:ascii="Times New Roman" w:hAnsi="Times New Roman"/>
                <w:sz w:val="24"/>
                <w:szCs w:val="24"/>
              </w:rPr>
              <w:t>omisijas kopējais budžets 2014.</w:t>
            </w:r>
            <w:r w:rsidR="00060132" w:rsidRPr="00803B09">
              <w:rPr>
                <w:rFonts w:ascii="Times New Roman" w:hAnsi="Times New Roman"/>
                <w:sz w:val="24"/>
                <w:szCs w:val="24"/>
              </w:rPr>
              <w:t>gadam ir sagaidāms 5 miljonu latu apmērā. Ievērojot iespējamo darba laika noslodzi, secināms, ka apdrošināšanas brokeru uzraudzībai Kom</w:t>
            </w:r>
            <w:r>
              <w:rPr>
                <w:rFonts w:ascii="Times New Roman" w:hAnsi="Times New Roman"/>
                <w:sz w:val="24"/>
                <w:szCs w:val="24"/>
              </w:rPr>
              <w:t>isija tērētu 180 000 latu 2014.</w:t>
            </w:r>
            <w:r w:rsidR="00060132" w:rsidRPr="00803B09">
              <w:rPr>
                <w:rFonts w:ascii="Times New Roman" w:hAnsi="Times New Roman"/>
                <w:sz w:val="24"/>
                <w:szCs w:val="24"/>
              </w:rPr>
              <w:t>gadā no tās budžeta.</w:t>
            </w:r>
            <w:r>
              <w:rPr>
                <w:rFonts w:ascii="Times New Roman" w:hAnsi="Times New Roman"/>
                <w:color w:val="000000"/>
                <w:sz w:val="24"/>
                <w:szCs w:val="24"/>
              </w:rPr>
              <w:t xml:space="preserve"> Saskaņā ar Komisijas 2013.</w:t>
            </w:r>
            <w:r w:rsidR="00060132" w:rsidRPr="00803B09">
              <w:rPr>
                <w:rFonts w:ascii="Times New Roman" w:hAnsi="Times New Roman"/>
                <w:color w:val="000000"/>
                <w:sz w:val="24"/>
                <w:szCs w:val="24"/>
              </w:rPr>
              <w:t>gada pavasarī veikto apdrošināšanas un pārapdrošināšanas brokeru sabiedrību aptauju to kopējie ieņēmumi no apdroši</w:t>
            </w:r>
            <w:r>
              <w:rPr>
                <w:rFonts w:ascii="Times New Roman" w:hAnsi="Times New Roman"/>
                <w:color w:val="000000"/>
                <w:sz w:val="24"/>
                <w:szCs w:val="24"/>
              </w:rPr>
              <w:t>nāšanas starpniecības par 2012.</w:t>
            </w:r>
            <w:r w:rsidR="00060132" w:rsidRPr="00803B09">
              <w:rPr>
                <w:rFonts w:ascii="Times New Roman" w:hAnsi="Times New Roman"/>
                <w:color w:val="000000"/>
                <w:sz w:val="24"/>
                <w:szCs w:val="24"/>
              </w:rPr>
              <w:t xml:space="preserve">gadu bija </w:t>
            </w:r>
            <w:r w:rsidR="00060132" w:rsidRPr="00F939FF">
              <w:rPr>
                <w:rFonts w:ascii="Times New Roman" w:hAnsi="Times New Roman"/>
                <w:color w:val="000000"/>
                <w:sz w:val="24"/>
                <w:szCs w:val="24"/>
              </w:rPr>
              <w:t>6.634.809,48 lati</w:t>
            </w:r>
            <w:r w:rsidR="00060132" w:rsidRPr="00803B09">
              <w:rPr>
                <w:rFonts w:ascii="Times New Roman" w:hAnsi="Times New Roman"/>
                <w:b/>
                <w:color w:val="000000"/>
                <w:sz w:val="24"/>
                <w:szCs w:val="24"/>
              </w:rPr>
              <w:t xml:space="preserve"> </w:t>
            </w:r>
            <w:r w:rsidR="00060132" w:rsidRPr="00803B09">
              <w:rPr>
                <w:rFonts w:ascii="Times New Roman" w:hAnsi="Times New Roman"/>
                <w:sz w:val="24"/>
                <w:szCs w:val="24"/>
              </w:rPr>
              <w:t>(Komisija saņēma datus par 70 no 89 apdrošināšanas brokeriem)</w:t>
            </w:r>
            <w:r w:rsidR="00060132" w:rsidRPr="00803B09">
              <w:rPr>
                <w:rFonts w:ascii="Times New Roman" w:hAnsi="Times New Roman"/>
                <w:color w:val="000000"/>
                <w:sz w:val="24"/>
                <w:szCs w:val="24"/>
              </w:rPr>
              <w:t>.</w:t>
            </w:r>
          </w:p>
          <w:p w:rsidR="00060132" w:rsidRPr="00803B09" w:rsidRDefault="00060132" w:rsidP="00EC345E">
            <w:pPr>
              <w:autoSpaceDE w:val="0"/>
              <w:autoSpaceDN w:val="0"/>
              <w:adjustRightInd w:val="0"/>
              <w:spacing w:after="0" w:line="240" w:lineRule="auto"/>
              <w:jc w:val="both"/>
              <w:rPr>
                <w:rFonts w:ascii="Times New Roman" w:hAnsi="Times New Roman"/>
                <w:sz w:val="24"/>
                <w:szCs w:val="24"/>
              </w:rPr>
            </w:pPr>
            <w:r w:rsidRPr="00803B09">
              <w:rPr>
                <w:rFonts w:ascii="Times New Roman" w:hAnsi="Times New Roman"/>
                <w:sz w:val="24"/>
                <w:szCs w:val="24"/>
              </w:rPr>
              <w:t xml:space="preserve">Likumā </w:t>
            </w:r>
            <w:r w:rsidR="00F939FF">
              <w:rPr>
                <w:rFonts w:ascii="Times New Roman" w:hAnsi="Times New Roman"/>
                <w:sz w:val="24"/>
                <w:szCs w:val="24"/>
              </w:rPr>
              <w:t>ir</w:t>
            </w:r>
            <w:r w:rsidRPr="00803B09">
              <w:rPr>
                <w:rFonts w:ascii="Times New Roman" w:hAnsi="Times New Roman"/>
                <w:sz w:val="24"/>
                <w:szCs w:val="24"/>
              </w:rPr>
              <w:t xml:space="preserve"> noteikt</w:t>
            </w:r>
            <w:r w:rsidR="00F939FF">
              <w:rPr>
                <w:rFonts w:ascii="Times New Roman" w:hAnsi="Times New Roman"/>
                <w:sz w:val="24"/>
                <w:szCs w:val="24"/>
              </w:rPr>
              <w:t>s</w:t>
            </w:r>
            <w:r w:rsidRPr="00803B09">
              <w:rPr>
                <w:rFonts w:ascii="Times New Roman" w:hAnsi="Times New Roman"/>
                <w:sz w:val="24"/>
                <w:szCs w:val="24"/>
              </w:rPr>
              <w:t xml:space="preserve">, ka apdrošināšanas brokeris un citas dalībvalsts apdrošināšanas un pārapdrošināšanas starpnieka filiāle </w:t>
            </w:r>
            <w:r w:rsidR="00F939FF">
              <w:rPr>
                <w:rFonts w:ascii="Times New Roman" w:hAnsi="Times New Roman"/>
                <w:sz w:val="24"/>
                <w:szCs w:val="24"/>
              </w:rPr>
              <w:t>K</w:t>
            </w:r>
            <w:r w:rsidRPr="00803B09">
              <w:rPr>
                <w:rFonts w:ascii="Times New Roman" w:hAnsi="Times New Roman"/>
                <w:sz w:val="24"/>
                <w:szCs w:val="24"/>
              </w:rPr>
              <w:t xml:space="preserve">omisijas finansēšanai maksā </w:t>
            </w:r>
            <w:r w:rsidRPr="00F939FF">
              <w:rPr>
                <w:rFonts w:ascii="Times New Roman" w:hAnsi="Times New Roman"/>
                <w:sz w:val="24"/>
                <w:szCs w:val="24"/>
              </w:rPr>
              <w:t>līdz 3 procentiem</w:t>
            </w:r>
            <w:r w:rsidRPr="00803B09">
              <w:rPr>
                <w:rFonts w:ascii="Times New Roman" w:hAnsi="Times New Roman"/>
                <w:b/>
                <w:sz w:val="24"/>
                <w:szCs w:val="24"/>
              </w:rPr>
              <w:t xml:space="preserve"> </w:t>
            </w:r>
            <w:r w:rsidRPr="00803B09">
              <w:rPr>
                <w:rFonts w:ascii="Times New Roman" w:hAnsi="Times New Roman"/>
                <w:sz w:val="24"/>
                <w:szCs w:val="24"/>
              </w:rPr>
              <w:t xml:space="preserve">no pārskata periodā saņemtajām komisijām, bet ne mazāk par 150 </w:t>
            </w:r>
            <w:proofErr w:type="spellStart"/>
            <w:r w:rsidRPr="00803B09">
              <w:rPr>
                <w:rFonts w:ascii="Times New Roman" w:hAnsi="Times New Roman"/>
                <w:i/>
                <w:sz w:val="24"/>
                <w:szCs w:val="24"/>
              </w:rPr>
              <w:t>euro</w:t>
            </w:r>
            <w:proofErr w:type="spellEnd"/>
            <w:r w:rsidRPr="00803B09">
              <w:rPr>
                <w:rFonts w:ascii="Times New Roman" w:hAnsi="Times New Roman"/>
                <w:sz w:val="24"/>
                <w:szCs w:val="24"/>
              </w:rPr>
              <w:t xml:space="preserve"> gadā. </w:t>
            </w:r>
          </w:p>
          <w:p w:rsidR="00060132" w:rsidRPr="00803B09" w:rsidRDefault="00060132" w:rsidP="00EC345E">
            <w:pPr>
              <w:autoSpaceDE w:val="0"/>
              <w:autoSpaceDN w:val="0"/>
              <w:adjustRightInd w:val="0"/>
              <w:spacing w:after="0" w:line="240" w:lineRule="auto"/>
              <w:jc w:val="both"/>
              <w:rPr>
                <w:rFonts w:ascii="Times New Roman" w:hAnsi="Times New Roman"/>
                <w:color w:val="000000"/>
                <w:sz w:val="24"/>
                <w:szCs w:val="24"/>
              </w:rPr>
            </w:pPr>
            <w:r w:rsidRPr="00803B09">
              <w:rPr>
                <w:rFonts w:ascii="Times New Roman" w:hAnsi="Times New Roman"/>
                <w:color w:val="000000"/>
                <w:sz w:val="24"/>
                <w:szCs w:val="24"/>
              </w:rPr>
              <w:t xml:space="preserve">Ieviešot Likumā minētās maksas, tiks panākts, ka pilnībā tiek segti </w:t>
            </w:r>
            <w:r w:rsidR="00F939FF">
              <w:rPr>
                <w:rFonts w:ascii="Times New Roman" w:hAnsi="Times New Roman"/>
                <w:color w:val="000000"/>
                <w:sz w:val="24"/>
                <w:szCs w:val="24"/>
              </w:rPr>
              <w:t>K</w:t>
            </w:r>
            <w:r w:rsidRPr="00803B09">
              <w:rPr>
                <w:rFonts w:ascii="Times New Roman" w:hAnsi="Times New Roman"/>
                <w:color w:val="000000"/>
                <w:sz w:val="24"/>
                <w:szCs w:val="24"/>
              </w:rPr>
              <w:t>omisijas izdevumi par apdrošināšanas brokeru sabiedrību un citu dalībvalstu apdrošināšanas un pārapdrošināšanas starpnieku filiāļu uzraudzību. Komisija katru gadu izdod normatīvos noteikumus, ar kuriem ir apstiprināta katra gada uzraudzības maksas likme atbilstoši konkrētā gada Komisijas budžeta apmēram.</w:t>
            </w:r>
          </w:p>
          <w:p w:rsidR="00060132" w:rsidRPr="00803B09" w:rsidRDefault="00060132" w:rsidP="00EC345E">
            <w:pPr>
              <w:snapToGrid w:val="0"/>
              <w:spacing w:after="0" w:line="240" w:lineRule="auto"/>
              <w:jc w:val="both"/>
              <w:rPr>
                <w:rFonts w:ascii="Times New Roman" w:hAnsi="Times New Roman"/>
                <w:sz w:val="24"/>
                <w:szCs w:val="24"/>
              </w:rPr>
            </w:pPr>
            <w:r w:rsidRPr="00803B09">
              <w:rPr>
                <w:rFonts w:ascii="Times New Roman" w:hAnsi="Times New Roman"/>
                <w:color w:val="000000"/>
                <w:sz w:val="24"/>
                <w:szCs w:val="24"/>
              </w:rPr>
              <w:t xml:space="preserve">Pašlaik apdrošināšanas un pārapdrošināšanas starpnieka reģistrāciju </w:t>
            </w:r>
            <w:r w:rsidR="00F939FF">
              <w:rPr>
                <w:rFonts w:ascii="Times New Roman" w:hAnsi="Times New Roman"/>
                <w:color w:val="000000"/>
                <w:sz w:val="24"/>
                <w:szCs w:val="24"/>
              </w:rPr>
              <w:t>K</w:t>
            </w:r>
            <w:r w:rsidRPr="00803B09">
              <w:rPr>
                <w:rFonts w:ascii="Times New Roman" w:hAnsi="Times New Roman"/>
                <w:color w:val="000000"/>
                <w:sz w:val="24"/>
                <w:szCs w:val="24"/>
              </w:rPr>
              <w:t xml:space="preserve">omisija var paveikt, patērējot 1.2 tīrās darbadienas ar kopējām izmaksām vidēji 179 latu apmērā. </w:t>
            </w:r>
            <w:r w:rsidRPr="00803B09">
              <w:rPr>
                <w:rFonts w:ascii="Times New Roman" w:hAnsi="Times New Roman"/>
                <w:sz w:val="24"/>
                <w:szCs w:val="24"/>
              </w:rPr>
              <w:t xml:space="preserve">Tādējādi, lai segtu </w:t>
            </w:r>
            <w:r w:rsidR="00F939FF">
              <w:rPr>
                <w:rFonts w:ascii="Times New Roman" w:hAnsi="Times New Roman"/>
                <w:sz w:val="24"/>
                <w:szCs w:val="24"/>
              </w:rPr>
              <w:t>K</w:t>
            </w:r>
            <w:r w:rsidRPr="00803B09">
              <w:rPr>
                <w:rFonts w:ascii="Times New Roman" w:hAnsi="Times New Roman"/>
                <w:sz w:val="24"/>
                <w:szCs w:val="24"/>
              </w:rPr>
              <w:t xml:space="preserve">omisijas darbības izmaksas, tiek piedāvāts Likumā noteikt, ka apdrošināšanas un pārapdrošināšanas starpnieks un citas dalībvalsts apdrošināšanas un pārapdrošināšanas starpnieka filiāle pirms darbības uzsākšanas Latvijā maksā </w:t>
            </w:r>
            <w:r w:rsidR="001D70FD">
              <w:rPr>
                <w:rFonts w:ascii="Times New Roman" w:hAnsi="Times New Roman"/>
                <w:sz w:val="24"/>
                <w:szCs w:val="24"/>
              </w:rPr>
              <w:t>K</w:t>
            </w:r>
            <w:r w:rsidRPr="00803B09">
              <w:rPr>
                <w:rFonts w:ascii="Times New Roman" w:hAnsi="Times New Roman"/>
                <w:sz w:val="24"/>
                <w:szCs w:val="24"/>
              </w:rPr>
              <w:t xml:space="preserve">omisijai par reģistrācijai apdrošināšanas un </w:t>
            </w:r>
            <w:r w:rsidRPr="00803B09">
              <w:rPr>
                <w:rFonts w:ascii="Times New Roman" w:hAnsi="Times New Roman"/>
                <w:sz w:val="24"/>
                <w:szCs w:val="24"/>
              </w:rPr>
              <w:lastRenderedPageBreak/>
              <w:t xml:space="preserve">pārapdrošināšanas starpnieku reģistrā iesniegto dokumentu izskatīšanu 250 </w:t>
            </w:r>
            <w:proofErr w:type="spellStart"/>
            <w:r w:rsidRPr="00803B09">
              <w:rPr>
                <w:rFonts w:ascii="Times New Roman" w:hAnsi="Times New Roman"/>
                <w:i/>
                <w:sz w:val="24"/>
                <w:szCs w:val="24"/>
              </w:rPr>
              <w:t>euro</w:t>
            </w:r>
            <w:proofErr w:type="spellEnd"/>
            <w:r w:rsidRPr="00803B09">
              <w:rPr>
                <w:rFonts w:ascii="Times New Roman" w:hAnsi="Times New Roman"/>
                <w:sz w:val="24"/>
                <w:szCs w:val="24"/>
              </w:rPr>
              <w:t>.</w:t>
            </w:r>
          </w:p>
          <w:p w:rsidR="0065551F" w:rsidRPr="00803B09" w:rsidRDefault="00060132" w:rsidP="001D70FD">
            <w:pPr>
              <w:snapToGrid w:val="0"/>
              <w:spacing w:after="0" w:line="240" w:lineRule="auto"/>
              <w:jc w:val="both"/>
              <w:rPr>
                <w:rFonts w:ascii="Times New Roman" w:hAnsi="Times New Roman"/>
                <w:sz w:val="24"/>
                <w:szCs w:val="24"/>
              </w:rPr>
            </w:pPr>
            <w:r w:rsidRPr="00803B09">
              <w:rPr>
                <w:rFonts w:ascii="Times New Roman" w:hAnsi="Times New Roman"/>
                <w:sz w:val="24"/>
                <w:szCs w:val="24"/>
              </w:rPr>
              <w:t>Savukārt Likuma 10. panta pirmās d</w:t>
            </w:r>
            <w:r w:rsidR="001D70FD">
              <w:rPr>
                <w:rFonts w:ascii="Times New Roman" w:hAnsi="Times New Roman"/>
                <w:sz w:val="24"/>
                <w:szCs w:val="24"/>
              </w:rPr>
              <w:t>aļas 6., 7., 8., 9., 10. un 11.</w:t>
            </w:r>
            <w:r w:rsidRPr="00803B09">
              <w:rPr>
                <w:rFonts w:ascii="Times New Roman" w:hAnsi="Times New Roman"/>
                <w:sz w:val="24"/>
                <w:szCs w:val="24"/>
              </w:rPr>
              <w:t>punktā minēto p</w:t>
            </w:r>
            <w:r w:rsidR="001D70FD">
              <w:rPr>
                <w:rFonts w:ascii="Times New Roman" w:hAnsi="Times New Roman"/>
                <w:sz w:val="24"/>
                <w:szCs w:val="24"/>
              </w:rPr>
              <w:t>rocedūru grozījumu un Likuma 9.</w:t>
            </w:r>
            <w:r w:rsidRPr="00803B09">
              <w:rPr>
                <w:rFonts w:ascii="Times New Roman" w:hAnsi="Times New Roman"/>
                <w:sz w:val="24"/>
                <w:szCs w:val="24"/>
              </w:rPr>
              <w:t xml:space="preserve">pantā minētā paziņojuma izskatīšanu </w:t>
            </w:r>
            <w:r w:rsidR="001D70FD">
              <w:rPr>
                <w:rFonts w:ascii="Times New Roman" w:hAnsi="Times New Roman"/>
                <w:sz w:val="24"/>
                <w:szCs w:val="24"/>
              </w:rPr>
              <w:t>K</w:t>
            </w:r>
            <w:r w:rsidRPr="00803B09">
              <w:rPr>
                <w:rFonts w:ascii="Times New Roman" w:hAnsi="Times New Roman"/>
                <w:sz w:val="24"/>
                <w:szCs w:val="24"/>
              </w:rPr>
              <w:t xml:space="preserve">omisija var paveikt, patērējot vienu stundu tīrās darbadienas laika ar kopējām izmaksām vidēji 29 latu apmērā. Tādējādi tiek piedāvāts Likumā noteikt, ka apdrošināšanas un pārapdrošināšanas starpnieks maksā </w:t>
            </w:r>
            <w:r w:rsidR="001D70FD">
              <w:rPr>
                <w:rFonts w:ascii="Times New Roman" w:hAnsi="Times New Roman"/>
                <w:sz w:val="24"/>
                <w:szCs w:val="24"/>
              </w:rPr>
              <w:t>K</w:t>
            </w:r>
            <w:r w:rsidRPr="00803B09">
              <w:rPr>
                <w:rFonts w:ascii="Times New Roman" w:hAnsi="Times New Roman"/>
                <w:sz w:val="24"/>
                <w:szCs w:val="24"/>
              </w:rPr>
              <w:t xml:space="preserve">omisijai par šādu grozījumu izskatīšanu 40 </w:t>
            </w:r>
            <w:proofErr w:type="spellStart"/>
            <w:r w:rsidRPr="00803B09">
              <w:rPr>
                <w:rFonts w:ascii="Times New Roman" w:hAnsi="Times New Roman"/>
                <w:i/>
                <w:sz w:val="24"/>
                <w:szCs w:val="24"/>
              </w:rPr>
              <w:t>euro</w:t>
            </w:r>
            <w:proofErr w:type="spellEnd"/>
            <w:r w:rsidRPr="00803B09">
              <w:rPr>
                <w:rFonts w:ascii="Times New Roman" w:hAnsi="Times New Roman"/>
                <w:sz w:val="24"/>
                <w:szCs w:val="24"/>
              </w:rPr>
              <w:t>.</w:t>
            </w:r>
          </w:p>
        </w:tc>
      </w:tr>
      <w:tr w:rsidR="0065551F" w:rsidRPr="00803B09" w:rsidTr="00A65B92">
        <w:trPr>
          <w:gridBefore w:val="1"/>
          <w:gridAfter w:val="1"/>
          <w:wBefore w:w="5" w:type="pct"/>
          <w:wAfter w:w="5" w:type="pct"/>
          <w:trHeight w:val="128"/>
        </w:trPr>
        <w:tc>
          <w:tcPr>
            <w:tcW w:w="4990" w:type="pct"/>
            <w:gridSpan w:val="4"/>
            <w:tcBorders>
              <w:top w:val="outset" w:sz="6" w:space="0" w:color="414142"/>
              <w:left w:val="nil"/>
              <w:bottom w:val="outset" w:sz="6" w:space="0" w:color="414142"/>
              <w:right w:val="nil"/>
            </w:tcBorders>
          </w:tcPr>
          <w:p w:rsidR="0065551F" w:rsidRPr="00803B09" w:rsidRDefault="0065551F" w:rsidP="00934889">
            <w:pPr>
              <w:tabs>
                <w:tab w:val="left" w:pos="990"/>
              </w:tabs>
              <w:spacing w:after="0" w:line="240" w:lineRule="auto"/>
              <w:rPr>
                <w:rFonts w:ascii="Times New Roman" w:eastAsia="Times New Roman" w:hAnsi="Times New Roman"/>
                <w:sz w:val="24"/>
                <w:szCs w:val="24"/>
                <w:lang w:eastAsia="lv-LV"/>
              </w:rPr>
            </w:pPr>
          </w:p>
        </w:tc>
      </w:tr>
      <w:tr w:rsidR="002E2010" w:rsidRPr="00803B09" w:rsidTr="00A65B92">
        <w:trPr>
          <w:trHeight w:val="465"/>
        </w:trPr>
        <w:tc>
          <w:tcPr>
            <w:tcW w:w="5000" w:type="pct"/>
            <w:gridSpan w:val="6"/>
            <w:tcBorders>
              <w:top w:val="outset" w:sz="6" w:space="0" w:color="414142"/>
              <w:left w:val="outset" w:sz="6" w:space="0" w:color="414142"/>
              <w:bottom w:val="outset" w:sz="6" w:space="0" w:color="414142"/>
              <w:right w:val="outset" w:sz="6" w:space="0" w:color="414142"/>
            </w:tcBorders>
          </w:tcPr>
          <w:p w:rsidR="002E2010" w:rsidRPr="00803B09" w:rsidRDefault="002E2010" w:rsidP="00934889">
            <w:pPr>
              <w:spacing w:after="0" w:line="240" w:lineRule="auto"/>
              <w:jc w:val="center"/>
              <w:rPr>
                <w:rFonts w:ascii="Times New Roman" w:eastAsia="Times New Roman" w:hAnsi="Times New Roman"/>
                <w:sz w:val="24"/>
                <w:szCs w:val="24"/>
                <w:lang w:eastAsia="lv-LV"/>
              </w:rPr>
            </w:pPr>
            <w:r w:rsidRPr="00803B09">
              <w:rPr>
                <w:rFonts w:ascii="Times New Roman" w:eastAsia="Times New Roman" w:hAnsi="Times New Roman"/>
                <w:b/>
                <w:bCs/>
                <w:sz w:val="24"/>
                <w:szCs w:val="24"/>
                <w:lang w:eastAsia="lv-LV"/>
              </w:rPr>
              <w:t>II. Tiesību akta projekta ietekme uz sabiedrību, tautsaimniecības attīstību un administratīvo slogu</w:t>
            </w:r>
          </w:p>
        </w:tc>
      </w:tr>
      <w:tr w:rsidR="0065551F" w:rsidRPr="00803B09" w:rsidTr="00A65B92">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 xml:space="preserve">Sabiedrības </w:t>
            </w:r>
            <w:proofErr w:type="spellStart"/>
            <w:r w:rsidRPr="00803B09">
              <w:rPr>
                <w:rFonts w:ascii="Times New Roman" w:eastAsia="Times New Roman" w:hAnsi="Times New Roman"/>
                <w:sz w:val="24"/>
                <w:szCs w:val="24"/>
                <w:lang w:eastAsia="lv-LV"/>
              </w:rPr>
              <w:t>mērķgrupas</w:t>
            </w:r>
            <w:proofErr w:type="spellEnd"/>
            <w:r w:rsidRPr="00803B09">
              <w:rPr>
                <w:rFonts w:ascii="Times New Roman" w:eastAsia="Times New Roman" w:hAnsi="Times New Roman"/>
                <w:sz w:val="24"/>
                <w:szCs w:val="24"/>
                <w:lang w:eastAsia="lv-LV"/>
              </w:rPr>
              <w:t>, kuras tiesiskais regulējums ietekmē vai varētu ietekmēt</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060132" w:rsidP="00934889">
            <w:pPr>
              <w:spacing w:after="0" w:line="240" w:lineRule="auto"/>
              <w:jc w:val="both"/>
              <w:rPr>
                <w:rFonts w:ascii="Times New Roman" w:eastAsia="Times New Roman" w:hAnsi="Times New Roman"/>
                <w:sz w:val="24"/>
                <w:szCs w:val="24"/>
                <w:lang w:eastAsia="lv-LV"/>
              </w:rPr>
            </w:pPr>
            <w:r w:rsidRPr="00803B09">
              <w:rPr>
                <w:rFonts w:ascii="Times New Roman" w:hAnsi="Times New Roman"/>
                <w:color w:val="000000"/>
                <w:sz w:val="24"/>
                <w:szCs w:val="24"/>
              </w:rPr>
              <w:t xml:space="preserve">Finanšu un kapitāla tirgus dalībnieki – apdrošināšanas un pārapdrošināšanas starpnieki, apdrošināšanas komersanti un dalībvalstu un </w:t>
            </w:r>
            <w:proofErr w:type="spellStart"/>
            <w:r w:rsidRPr="00803B09">
              <w:rPr>
                <w:rFonts w:ascii="Times New Roman" w:hAnsi="Times New Roman"/>
                <w:color w:val="000000"/>
                <w:sz w:val="24"/>
                <w:szCs w:val="24"/>
              </w:rPr>
              <w:t>nedalībvalstu</w:t>
            </w:r>
            <w:proofErr w:type="spellEnd"/>
            <w:r w:rsidRPr="00803B09">
              <w:rPr>
                <w:rFonts w:ascii="Times New Roman" w:hAnsi="Times New Roman"/>
                <w:color w:val="000000"/>
                <w:sz w:val="24"/>
                <w:szCs w:val="24"/>
              </w:rPr>
              <w:t xml:space="preserve"> apdrošinātāju filiāles.</w:t>
            </w:r>
          </w:p>
        </w:tc>
      </w:tr>
      <w:tr w:rsidR="0065551F" w:rsidRPr="00803B09" w:rsidTr="00A65B92">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Tiesiskā regulējuma ietekme uz tautsaimniecību un administratīvo slogu</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A65B92" w:rsidP="00934889">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Netiek paredzētas papildu administratīvās procedūras.</w:t>
            </w:r>
          </w:p>
        </w:tc>
      </w:tr>
      <w:tr w:rsidR="0065551F" w:rsidRPr="00803B09" w:rsidTr="00A65B92">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Administratīvo izmaksu monetārs novērtējums</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060132" w:rsidRPr="00803B09" w:rsidRDefault="00060132" w:rsidP="000705C2">
            <w:pPr>
              <w:snapToGrid w:val="0"/>
              <w:spacing w:after="0" w:line="240" w:lineRule="auto"/>
              <w:jc w:val="both"/>
              <w:rPr>
                <w:rFonts w:ascii="Times New Roman" w:hAnsi="Times New Roman"/>
                <w:color w:val="000000"/>
                <w:sz w:val="24"/>
                <w:szCs w:val="24"/>
              </w:rPr>
            </w:pPr>
            <w:r w:rsidRPr="00803B09">
              <w:rPr>
                <w:rFonts w:ascii="Times New Roman" w:hAnsi="Times New Roman"/>
                <w:color w:val="000000"/>
                <w:sz w:val="24"/>
                <w:szCs w:val="24"/>
              </w:rPr>
              <w:t xml:space="preserve">Tiek noteikti papildu maksājumi par apdrošināšanas un pārapdrošināšanas starpnieku reģistrācijas dokumentu izskatīšanu 250 </w:t>
            </w:r>
            <w:proofErr w:type="spellStart"/>
            <w:r w:rsidRPr="00803B09">
              <w:rPr>
                <w:rFonts w:ascii="Times New Roman" w:hAnsi="Times New Roman"/>
                <w:i/>
                <w:color w:val="000000"/>
                <w:sz w:val="24"/>
                <w:szCs w:val="24"/>
              </w:rPr>
              <w:t>euro</w:t>
            </w:r>
            <w:proofErr w:type="spellEnd"/>
            <w:r w:rsidRPr="00803B09">
              <w:rPr>
                <w:rFonts w:ascii="Times New Roman" w:hAnsi="Times New Roman"/>
                <w:color w:val="000000"/>
                <w:sz w:val="24"/>
                <w:szCs w:val="24"/>
              </w:rPr>
              <w:t xml:space="preserve"> apmērā un reģistrāciju pamatojošo procedūru grozījumu izskatīšanu 40 </w:t>
            </w:r>
            <w:proofErr w:type="spellStart"/>
            <w:r w:rsidRPr="00803B09">
              <w:rPr>
                <w:rFonts w:ascii="Times New Roman" w:hAnsi="Times New Roman"/>
                <w:i/>
                <w:color w:val="000000"/>
                <w:sz w:val="24"/>
                <w:szCs w:val="24"/>
              </w:rPr>
              <w:t>euro</w:t>
            </w:r>
            <w:proofErr w:type="spellEnd"/>
            <w:r w:rsidRPr="00803B09">
              <w:rPr>
                <w:rFonts w:ascii="Times New Roman" w:hAnsi="Times New Roman"/>
                <w:color w:val="000000"/>
                <w:sz w:val="24"/>
                <w:szCs w:val="24"/>
              </w:rPr>
              <w:t xml:space="preserve"> apmērā. Apdrošināšanas brokeriem un citu dalībvalstu apdrošināšanas un pārapdrošināšanas starpnieku filiālēm tiek noteikta maksa </w:t>
            </w:r>
            <w:r w:rsidR="000705C2">
              <w:rPr>
                <w:rFonts w:ascii="Times New Roman" w:hAnsi="Times New Roman"/>
                <w:color w:val="000000"/>
                <w:sz w:val="24"/>
                <w:szCs w:val="24"/>
              </w:rPr>
              <w:t>K</w:t>
            </w:r>
            <w:r w:rsidRPr="00803B09">
              <w:rPr>
                <w:rFonts w:ascii="Times New Roman" w:hAnsi="Times New Roman"/>
                <w:color w:val="000000"/>
                <w:sz w:val="24"/>
                <w:szCs w:val="24"/>
              </w:rPr>
              <w:t xml:space="preserve">omisijas uzturēšanai līdz 3 procentu apmērā no pārskata periodā saņemtajām komisijām, bet ne mazāk par 150 </w:t>
            </w:r>
            <w:proofErr w:type="spellStart"/>
            <w:r w:rsidRPr="00803B09">
              <w:rPr>
                <w:rFonts w:ascii="Times New Roman" w:hAnsi="Times New Roman"/>
                <w:i/>
                <w:color w:val="000000"/>
                <w:sz w:val="24"/>
                <w:szCs w:val="24"/>
              </w:rPr>
              <w:t>euro</w:t>
            </w:r>
            <w:proofErr w:type="spellEnd"/>
            <w:r w:rsidRPr="00803B09">
              <w:rPr>
                <w:rFonts w:ascii="Times New Roman" w:hAnsi="Times New Roman"/>
                <w:color w:val="000000"/>
                <w:sz w:val="24"/>
                <w:szCs w:val="24"/>
              </w:rPr>
              <w:t>.</w:t>
            </w:r>
          </w:p>
          <w:p w:rsidR="0065551F" w:rsidRPr="00803B09" w:rsidRDefault="00060132" w:rsidP="000705C2">
            <w:pPr>
              <w:spacing w:after="0" w:line="240" w:lineRule="auto"/>
              <w:jc w:val="both"/>
              <w:rPr>
                <w:rFonts w:ascii="Times New Roman" w:eastAsia="Times New Roman" w:hAnsi="Times New Roman"/>
                <w:color w:val="000000"/>
                <w:sz w:val="24"/>
                <w:szCs w:val="24"/>
                <w:lang w:eastAsia="lv-LV"/>
              </w:rPr>
            </w:pPr>
            <w:r w:rsidRPr="00803B09">
              <w:rPr>
                <w:rFonts w:ascii="Times New Roman" w:hAnsi="Times New Roman"/>
                <w:color w:val="000000"/>
                <w:sz w:val="24"/>
                <w:szCs w:val="24"/>
              </w:rPr>
              <w:t>Saistībā ar izmaiņām Eiropas patēriņa cenu indeksā tiek palielināti civiltiesiskās atbildības limiti.</w:t>
            </w:r>
          </w:p>
        </w:tc>
      </w:tr>
      <w:tr w:rsidR="0065551F" w:rsidRPr="00803B09" w:rsidTr="00A65B92">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4.</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Cita informācija</w:t>
            </w:r>
          </w:p>
        </w:tc>
        <w:tc>
          <w:tcPr>
            <w:tcW w:w="3199" w:type="pct"/>
            <w:gridSpan w:val="2"/>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Nav</w:t>
            </w:r>
          </w:p>
        </w:tc>
      </w:tr>
    </w:tbl>
    <w:p w:rsidR="0065551F" w:rsidRPr="00803B0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A246C8" w:rsidRPr="00803B09" w:rsidTr="00B50B85">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A246C8" w:rsidRPr="00803B09" w:rsidRDefault="00A246C8"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III. Tiesību akta projekta ietekme uz valsts budžetu un pašvaldību budžetiem</w:t>
            </w:r>
          </w:p>
        </w:tc>
      </w:tr>
      <w:tr w:rsidR="00A246C8" w:rsidRPr="00803B09" w:rsidTr="00B50B85">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A246C8" w:rsidRPr="00803B09" w:rsidRDefault="00A246C8"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Cs/>
                <w:sz w:val="24"/>
                <w:szCs w:val="24"/>
                <w:lang w:eastAsia="lv-LV"/>
              </w:rPr>
              <w:t>Projekts šo jomu neskar</w:t>
            </w:r>
          </w:p>
        </w:tc>
      </w:tr>
    </w:tbl>
    <w:p w:rsidR="00A246C8" w:rsidRPr="00803B09" w:rsidRDefault="00A246C8" w:rsidP="00934889">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65551F" w:rsidRPr="00803B09" w:rsidTr="00B50B8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803B09" w:rsidRDefault="0065551F"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IV. Tiesību akta projekta ietekme uz spēkā esošo tiesību normu sistēmu</w:t>
            </w:r>
          </w:p>
        </w:tc>
      </w:tr>
      <w:tr w:rsidR="0065551F" w:rsidRPr="00803B0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0733B" w:rsidRPr="00803B09" w:rsidRDefault="00994ED7" w:rsidP="00B608EA">
            <w:pPr>
              <w:spacing w:after="0" w:line="240" w:lineRule="auto"/>
              <w:jc w:val="both"/>
              <w:rPr>
                <w:rFonts w:ascii="Times New Roman" w:hAnsi="Times New Roman"/>
                <w:sz w:val="24"/>
                <w:szCs w:val="24"/>
              </w:rPr>
            </w:pPr>
            <w:r w:rsidRPr="00803B09">
              <w:rPr>
                <w:rFonts w:ascii="Times New Roman" w:hAnsi="Times New Roman"/>
                <w:sz w:val="24"/>
                <w:szCs w:val="24"/>
              </w:rPr>
              <w:t xml:space="preserve">Tiks izstrādāti Finanšu un kapitāla tirgus komisijas noteikumi par starpnieku pienākumu iesniegt </w:t>
            </w:r>
            <w:r w:rsidR="00B608EA">
              <w:rPr>
                <w:rFonts w:ascii="Times New Roman" w:hAnsi="Times New Roman"/>
                <w:sz w:val="24"/>
                <w:szCs w:val="24"/>
              </w:rPr>
              <w:t>K</w:t>
            </w:r>
            <w:r w:rsidRPr="00803B09">
              <w:rPr>
                <w:rFonts w:ascii="Times New Roman" w:hAnsi="Times New Roman"/>
                <w:sz w:val="24"/>
                <w:szCs w:val="24"/>
              </w:rPr>
              <w:t>omisijai ceturkšņa pārskatus par savu starpniecības darbību, kā arī noteikumi par kritērijiem atļaujas piešķiršanai iekļaut civiltiesiskās atbildības apdrošināšanas līgumā pašrisku.</w:t>
            </w:r>
          </w:p>
        </w:tc>
      </w:tr>
      <w:tr w:rsidR="0065551F" w:rsidRPr="00803B0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5551F"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Finanšu</w:t>
            </w:r>
            <w:r w:rsidR="0065551F" w:rsidRPr="00803B09">
              <w:rPr>
                <w:rFonts w:ascii="Times New Roman" w:eastAsia="Times New Roman" w:hAnsi="Times New Roman"/>
                <w:sz w:val="24"/>
                <w:szCs w:val="24"/>
                <w:lang w:eastAsia="lv-LV"/>
              </w:rPr>
              <w:t xml:space="preserve"> ministrija</w:t>
            </w:r>
            <w:r w:rsidR="00994ED7" w:rsidRPr="00803B09">
              <w:rPr>
                <w:rFonts w:ascii="Times New Roman" w:eastAsia="Times New Roman" w:hAnsi="Times New Roman"/>
                <w:sz w:val="24"/>
                <w:szCs w:val="24"/>
                <w:lang w:eastAsia="lv-LV"/>
              </w:rPr>
              <w:t>, Finanšu</w:t>
            </w:r>
            <w:r w:rsidR="008644F9" w:rsidRPr="00803B09">
              <w:rPr>
                <w:rFonts w:ascii="Times New Roman" w:eastAsia="Times New Roman" w:hAnsi="Times New Roman"/>
                <w:sz w:val="24"/>
                <w:szCs w:val="24"/>
                <w:lang w:eastAsia="lv-LV"/>
              </w:rPr>
              <w:t xml:space="preserve"> un</w:t>
            </w:r>
            <w:r w:rsidR="00994ED7" w:rsidRPr="00803B09">
              <w:rPr>
                <w:rFonts w:ascii="Times New Roman" w:eastAsia="Times New Roman" w:hAnsi="Times New Roman"/>
                <w:sz w:val="24"/>
                <w:szCs w:val="24"/>
                <w:lang w:eastAsia="lv-LV"/>
              </w:rPr>
              <w:t xml:space="preserve"> kapitāla tirgus komisija.</w:t>
            </w:r>
          </w:p>
        </w:tc>
      </w:tr>
      <w:tr w:rsidR="0065551F" w:rsidRPr="00803B09" w:rsidTr="00B50B85">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Nav</w:t>
            </w:r>
          </w:p>
        </w:tc>
      </w:tr>
    </w:tbl>
    <w:p w:rsidR="0065551F" w:rsidRPr="00803B0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65551F" w:rsidRPr="00803B09" w:rsidTr="00B50B8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5551F" w:rsidRPr="00803B09" w:rsidRDefault="0065551F"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V. Tiesību akta projekta atbilstība Latvijas Republikas starptautiskajām saistībām</w:t>
            </w:r>
          </w:p>
        </w:tc>
      </w:tr>
      <w:tr w:rsidR="00C722FC" w:rsidRPr="00803B09" w:rsidTr="00B50B85">
        <w:tc>
          <w:tcPr>
            <w:tcW w:w="250" w:type="pct"/>
            <w:tcBorders>
              <w:top w:val="outset" w:sz="6" w:space="0" w:color="414142"/>
              <w:left w:val="outset" w:sz="6" w:space="0" w:color="414142"/>
              <w:bottom w:val="outset" w:sz="6" w:space="0" w:color="414142"/>
              <w:right w:val="outset" w:sz="6" w:space="0" w:color="414142"/>
            </w:tcBorders>
            <w:hideMark/>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hAnsi="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722FC" w:rsidRPr="00803B09" w:rsidRDefault="00803B09" w:rsidP="00DB337F">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Eiropas Parlamenta un Padomes 2002. gada 9. decembra direktīva 2002/92/EK par apdrošināšanas starpniecību.</w:t>
            </w:r>
          </w:p>
        </w:tc>
      </w:tr>
      <w:tr w:rsidR="00C722FC" w:rsidRPr="00803B09" w:rsidTr="00B50B85">
        <w:tc>
          <w:tcPr>
            <w:tcW w:w="250" w:type="pct"/>
            <w:tcBorders>
              <w:top w:val="outset" w:sz="6" w:space="0" w:color="414142"/>
              <w:left w:val="outset" w:sz="6" w:space="0" w:color="414142"/>
              <w:bottom w:val="outset" w:sz="6" w:space="0" w:color="414142"/>
              <w:right w:val="outset" w:sz="6" w:space="0" w:color="414142"/>
            </w:tcBorders>
            <w:hideMark/>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hAnsi="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722FC" w:rsidRPr="00803B09" w:rsidRDefault="00803B09" w:rsidP="00934889">
            <w:pPr>
              <w:spacing w:after="0" w:line="240" w:lineRule="auto"/>
              <w:rPr>
                <w:rFonts w:ascii="Times New Roman" w:eastAsia="Times New Roman" w:hAnsi="Times New Roman"/>
                <w:sz w:val="24"/>
                <w:szCs w:val="24"/>
                <w:lang w:eastAsia="lv-LV"/>
              </w:rPr>
            </w:pPr>
            <w:r w:rsidRPr="00803B09">
              <w:rPr>
                <w:rFonts w:ascii="Times New Roman" w:hAnsi="Times New Roman"/>
                <w:iCs/>
                <w:sz w:val="24"/>
                <w:szCs w:val="24"/>
              </w:rPr>
              <w:t>Nav.</w:t>
            </w:r>
          </w:p>
        </w:tc>
      </w:tr>
      <w:tr w:rsidR="00C722FC" w:rsidRPr="00803B09" w:rsidTr="00B50B85">
        <w:tc>
          <w:tcPr>
            <w:tcW w:w="250" w:type="pct"/>
            <w:tcBorders>
              <w:top w:val="outset" w:sz="6" w:space="0" w:color="414142"/>
              <w:left w:val="outset" w:sz="6" w:space="0" w:color="414142"/>
              <w:bottom w:val="outset" w:sz="6" w:space="0" w:color="414142"/>
              <w:right w:val="outset" w:sz="6" w:space="0" w:color="414142"/>
            </w:tcBorders>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C722FC" w:rsidRPr="00803B09" w:rsidRDefault="00C722FC" w:rsidP="00934889">
            <w:pPr>
              <w:spacing w:after="0" w:line="240" w:lineRule="auto"/>
              <w:rPr>
                <w:rFonts w:ascii="Times New Roman" w:hAnsi="Times New Roman"/>
                <w:sz w:val="24"/>
                <w:szCs w:val="24"/>
              </w:rPr>
            </w:pPr>
            <w:r w:rsidRPr="00803B09">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722FC" w:rsidRPr="00803B09" w:rsidRDefault="00C722FC" w:rsidP="00934889">
            <w:pPr>
              <w:spacing w:after="0" w:line="240" w:lineRule="auto"/>
              <w:rPr>
                <w:rFonts w:ascii="Times New Roman" w:eastAsia="Times New Roman" w:hAnsi="Times New Roman"/>
                <w:sz w:val="24"/>
                <w:szCs w:val="24"/>
                <w:lang w:eastAsia="lv-LV"/>
              </w:rPr>
            </w:pPr>
            <w:r w:rsidRPr="00803B09">
              <w:rPr>
                <w:rFonts w:ascii="Times New Roman" w:hAnsi="Times New Roman"/>
                <w:iCs/>
                <w:sz w:val="24"/>
                <w:szCs w:val="24"/>
              </w:rPr>
              <w:t>Nav.</w:t>
            </w:r>
          </w:p>
        </w:tc>
      </w:tr>
    </w:tbl>
    <w:p w:rsidR="00C722FC" w:rsidRPr="00803B09" w:rsidRDefault="00C722FC"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635B6" w:rsidRPr="00803B09" w:rsidTr="00B50B85">
        <w:tc>
          <w:tcPr>
            <w:tcW w:w="5000" w:type="pct"/>
            <w:tcBorders>
              <w:top w:val="outset" w:sz="6" w:space="0" w:color="414142"/>
              <w:left w:val="outset" w:sz="6" w:space="0" w:color="414142"/>
              <w:bottom w:val="outset" w:sz="6" w:space="0" w:color="414142"/>
              <w:right w:val="outset" w:sz="6" w:space="0" w:color="414142"/>
            </w:tcBorders>
            <w:vAlign w:val="center"/>
            <w:hideMark/>
          </w:tcPr>
          <w:p w:rsidR="008635B6" w:rsidRPr="00803B09" w:rsidRDefault="008635B6" w:rsidP="00934889">
            <w:pPr>
              <w:pStyle w:val="naisnod"/>
              <w:spacing w:before="0" w:after="0"/>
            </w:pPr>
            <w:r w:rsidRPr="00803B09">
              <w:t xml:space="preserve">1.tabula </w:t>
            </w:r>
          </w:p>
          <w:p w:rsidR="008635B6" w:rsidRPr="00803B09" w:rsidRDefault="008635B6"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hAnsi="Times New Roman"/>
                <w:b/>
                <w:sz w:val="24"/>
                <w:szCs w:val="24"/>
              </w:rPr>
              <w:t>Tiesību akta projekta atbilstība ES tiesību aktiem</w:t>
            </w:r>
          </w:p>
        </w:tc>
      </w:tr>
      <w:tr w:rsidR="00B930E4" w:rsidRPr="00803B09" w:rsidTr="00B50B85">
        <w:tc>
          <w:tcPr>
            <w:tcW w:w="5000" w:type="pct"/>
            <w:tcBorders>
              <w:top w:val="outset" w:sz="6" w:space="0" w:color="414142"/>
              <w:left w:val="outset" w:sz="6" w:space="0" w:color="414142"/>
              <w:bottom w:val="outset" w:sz="6" w:space="0" w:color="414142"/>
              <w:right w:val="outset" w:sz="6" w:space="0" w:color="414142"/>
            </w:tcBorders>
            <w:vAlign w:val="center"/>
          </w:tcPr>
          <w:p w:rsidR="00B930E4" w:rsidRPr="00803B09" w:rsidRDefault="00B930E4" w:rsidP="00934889">
            <w:pPr>
              <w:pStyle w:val="naisnod"/>
              <w:spacing w:before="0" w:after="0"/>
              <w:rPr>
                <w:b w:val="0"/>
              </w:rPr>
            </w:pPr>
            <w:r w:rsidRPr="00803B09">
              <w:rPr>
                <w:b w:val="0"/>
                <w:bCs w:val="0"/>
                <w:iCs/>
              </w:rPr>
              <w:t>Projekts šo jomu neskar.</w:t>
            </w:r>
          </w:p>
        </w:tc>
      </w:tr>
    </w:tbl>
    <w:p w:rsidR="008635B6" w:rsidRPr="00803B09" w:rsidRDefault="008635B6"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930E4" w:rsidRPr="00803B09" w:rsidTr="00B50B85">
        <w:tc>
          <w:tcPr>
            <w:tcW w:w="5000" w:type="pct"/>
            <w:tcBorders>
              <w:top w:val="outset" w:sz="6" w:space="0" w:color="414142"/>
              <w:left w:val="outset" w:sz="6" w:space="0" w:color="414142"/>
              <w:bottom w:val="outset" w:sz="6" w:space="0" w:color="414142"/>
              <w:right w:val="outset" w:sz="6" w:space="0" w:color="414142"/>
            </w:tcBorders>
            <w:vAlign w:val="center"/>
            <w:hideMark/>
          </w:tcPr>
          <w:p w:rsidR="00B930E4" w:rsidRPr="00803B09" w:rsidRDefault="00B930E4" w:rsidP="00934889">
            <w:pPr>
              <w:pStyle w:val="naisnod"/>
              <w:spacing w:before="0" w:after="0"/>
            </w:pPr>
            <w:r w:rsidRPr="00803B09">
              <w:t xml:space="preserve">2.tabula </w:t>
            </w:r>
          </w:p>
          <w:p w:rsidR="00B930E4" w:rsidRPr="00803B09" w:rsidRDefault="00B930E4" w:rsidP="00934889">
            <w:pPr>
              <w:pStyle w:val="naisnod"/>
              <w:spacing w:before="0" w:after="0"/>
            </w:pPr>
            <w:r w:rsidRPr="00803B09">
              <w:t>Ar tiesību akta projektu uzņemtās saistības, kas izriet no starptautiskajiem tiesību aktiem vai starptautiskas institūcijas vai organizācijas dokumentiem</w:t>
            </w:r>
          </w:p>
          <w:p w:rsidR="00B930E4" w:rsidRPr="00803B09" w:rsidRDefault="00B930E4"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hAnsi="Times New Roman"/>
                <w:b/>
                <w:sz w:val="24"/>
                <w:szCs w:val="24"/>
              </w:rPr>
              <w:t>Pasākumi šo saistību izpildei</w:t>
            </w:r>
          </w:p>
        </w:tc>
      </w:tr>
      <w:tr w:rsidR="00B930E4" w:rsidRPr="00803B09" w:rsidTr="00B50B85">
        <w:tc>
          <w:tcPr>
            <w:tcW w:w="5000" w:type="pct"/>
            <w:tcBorders>
              <w:top w:val="outset" w:sz="6" w:space="0" w:color="414142"/>
              <w:left w:val="outset" w:sz="6" w:space="0" w:color="414142"/>
              <w:bottom w:val="outset" w:sz="6" w:space="0" w:color="414142"/>
              <w:right w:val="outset" w:sz="6" w:space="0" w:color="414142"/>
            </w:tcBorders>
            <w:vAlign w:val="center"/>
          </w:tcPr>
          <w:p w:rsidR="00B930E4" w:rsidRPr="00803B09" w:rsidRDefault="00B930E4" w:rsidP="00934889">
            <w:pPr>
              <w:pStyle w:val="naisnod"/>
              <w:spacing w:before="0" w:after="0"/>
              <w:rPr>
                <w:b w:val="0"/>
              </w:rPr>
            </w:pPr>
            <w:r w:rsidRPr="00803B09">
              <w:rPr>
                <w:b w:val="0"/>
                <w:bCs w:val="0"/>
                <w:iCs/>
              </w:rPr>
              <w:t>Projekts šo jomu neskar.</w:t>
            </w:r>
          </w:p>
        </w:tc>
      </w:tr>
    </w:tbl>
    <w:p w:rsidR="008635B6" w:rsidRPr="00803B09" w:rsidRDefault="008635B6"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65551F" w:rsidRPr="00803B09" w:rsidTr="00B50B8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803B09" w:rsidRDefault="0065551F"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VI. Sabiedrības līdzdalība un komunikācijas aktivitātes</w:t>
            </w:r>
          </w:p>
        </w:tc>
      </w:tr>
      <w:tr w:rsidR="0065551F" w:rsidRPr="00803B09" w:rsidTr="00B50B8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803B09" w:rsidRDefault="00803B09" w:rsidP="00DB337F">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 xml:space="preserve">Par likumprojekta izstrādes uzsākšanu tika informēta Latvijas Banka, Latvijas Komercbanku asociācija, </w:t>
            </w:r>
            <w:r w:rsidRPr="00803B09">
              <w:rPr>
                <w:rFonts w:ascii="Times New Roman" w:hAnsi="Times New Roman"/>
                <w:color w:val="000000"/>
                <w:sz w:val="24"/>
                <w:szCs w:val="24"/>
              </w:rPr>
              <w:t>Latvijas Apdrošināšanas brokeru asociācija (</w:t>
            </w:r>
            <w:r w:rsidR="00DB337F">
              <w:rPr>
                <w:rFonts w:ascii="Times New Roman" w:hAnsi="Times New Roman"/>
                <w:color w:val="000000"/>
                <w:sz w:val="24"/>
                <w:szCs w:val="24"/>
              </w:rPr>
              <w:t xml:space="preserve">turpmāk - </w:t>
            </w:r>
            <w:r w:rsidRPr="00803B09">
              <w:rPr>
                <w:rFonts w:ascii="Times New Roman" w:hAnsi="Times New Roman"/>
                <w:color w:val="000000"/>
                <w:sz w:val="24"/>
                <w:szCs w:val="24"/>
              </w:rPr>
              <w:t>LABA), Latvijas Profesionālo apdrošināšanas brokeru asociācija (</w:t>
            </w:r>
            <w:r w:rsidR="00DB337F">
              <w:rPr>
                <w:rFonts w:ascii="Times New Roman" w:hAnsi="Times New Roman"/>
                <w:color w:val="000000"/>
                <w:sz w:val="24"/>
                <w:szCs w:val="24"/>
              </w:rPr>
              <w:t xml:space="preserve">turpmāk - </w:t>
            </w:r>
            <w:r w:rsidRPr="00803B09">
              <w:rPr>
                <w:rFonts w:ascii="Times New Roman" w:hAnsi="Times New Roman"/>
                <w:color w:val="000000"/>
                <w:sz w:val="24"/>
                <w:szCs w:val="24"/>
              </w:rPr>
              <w:t>LPABA) un Latvijas Apdrošinātāju asociācija (</w:t>
            </w:r>
            <w:r w:rsidR="00DB337F">
              <w:rPr>
                <w:rFonts w:ascii="Times New Roman" w:hAnsi="Times New Roman"/>
                <w:color w:val="000000"/>
                <w:sz w:val="24"/>
                <w:szCs w:val="24"/>
              </w:rPr>
              <w:t xml:space="preserve">turpmāk - </w:t>
            </w:r>
            <w:r w:rsidRPr="00803B09">
              <w:rPr>
                <w:rFonts w:ascii="Times New Roman" w:hAnsi="Times New Roman"/>
                <w:color w:val="000000"/>
                <w:sz w:val="24"/>
                <w:szCs w:val="24"/>
              </w:rPr>
              <w:t>LAA)</w:t>
            </w:r>
            <w:r w:rsidRPr="00803B09">
              <w:rPr>
                <w:rFonts w:ascii="Times New Roman" w:hAnsi="Times New Roman"/>
                <w:sz w:val="24"/>
                <w:szCs w:val="24"/>
              </w:rPr>
              <w:t>.</w:t>
            </w:r>
          </w:p>
        </w:tc>
      </w:tr>
      <w:tr w:rsidR="0065551F" w:rsidRPr="00803B09" w:rsidTr="00B50B8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803B09" w:rsidRDefault="00020A87" w:rsidP="00934889">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 xml:space="preserve">Likumprojekts ir skaņots ar </w:t>
            </w:r>
            <w:r w:rsidRPr="00803B09">
              <w:rPr>
                <w:rFonts w:ascii="Times New Roman" w:hAnsi="Times New Roman"/>
                <w:color w:val="000000"/>
                <w:sz w:val="24"/>
                <w:szCs w:val="24"/>
              </w:rPr>
              <w:t>LABA, LPABA un LAA.</w:t>
            </w:r>
          </w:p>
        </w:tc>
      </w:tr>
      <w:tr w:rsidR="0065551F" w:rsidRPr="00803B09" w:rsidTr="00B50B8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03B09" w:rsidRPr="00803B09" w:rsidRDefault="00803B09" w:rsidP="00803B09">
            <w:pPr>
              <w:pStyle w:val="naiskr"/>
              <w:spacing w:before="20" w:after="20"/>
              <w:jc w:val="both"/>
            </w:pPr>
            <w:r w:rsidRPr="00803B09">
              <w:rPr>
                <w:color w:val="000000"/>
              </w:rPr>
              <w:t>L</w:t>
            </w:r>
            <w:r w:rsidRPr="00803B09">
              <w:t>ikumprojekta izstrādes gaitā tika ņemts vērā industrijas paustais viedoklis, izņemot turpmāk minēto.</w:t>
            </w:r>
          </w:p>
          <w:p w:rsidR="00803B09" w:rsidRPr="00803B09" w:rsidRDefault="00803B09" w:rsidP="00803B09">
            <w:pPr>
              <w:pStyle w:val="naiskr"/>
              <w:spacing w:before="20" w:after="20"/>
              <w:jc w:val="both"/>
            </w:pPr>
            <w:r w:rsidRPr="00803B09">
              <w:t xml:space="preserve">Pārrunās ar LABA un LPABA netika panākta vienošanās par 37. panta ceturtās daļas redakciju. LPABA uzraudzības maksu ieviešanu konceptuāli neatbalsta. LABA atbalsta uzraudzības maksas ieviešanu visiem apdrošināšanas starpniekiem, bet piedāvā samazināt likmi – līdz 0.7% no apdrošināšanas starpnieka ieņēmumiem pārskata gadā, nosakot, ka summa nav mazāka par 150 </w:t>
            </w:r>
            <w:proofErr w:type="spellStart"/>
            <w:r w:rsidRPr="00803B09">
              <w:rPr>
                <w:i/>
              </w:rPr>
              <w:t>euro</w:t>
            </w:r>
            <w:proofErr w:type="spellEnd"/>
            <w:r w:rsidRPr="00803B09">
              <w:t xml:space="preserve"> un tā nedrīkst pārsniegt 800 </w:t>
            </w:r>
            <w:proofErr w:type="spellStart"/>
            <w:r w:rsidRPr="00803B09">
              <w:rPr>
                <w:i/>
              </w:rPr>
              <w:t>euro</w:t>
            </w:r>
            <w:proofErr w:type="spellEnd"/>
            <w:r w:rsidRPr="00803B09">
              <w:t xml:space="preserve">. LABA uzskata, ka uzraudzības maksa būtu jāievieš arī attiecībā uz apdrošināšanas starpniekiem, kas neiekasē apdrošināšanas prēmijas, lai ievērotu vienlīdzīgas attieksmes principu pret visiem apdrošināšanas starpniekiem. LABA piedāvā noteikt šiem apdrošināšanas starpniekiem uzraudzības maksu </w:t>
            </w:r>
            <w:r w:rsidRPr="00803B09">
              <w:lastRenderedPageBreak/>
              <w:t>0.3% apmērā no ieņēmumiem, bet ne mazāk kā 150 </w:t>
            </w:r>
            <w:proofErr w:type="spellStart"/>
            <w:r w:rsidRPr="00803B09">
              <w:rPr>
                <w:i/>
              </w:rPr>
              <w:t>euro</w:t>
            </w:r>
            <w:proofErr w:type="spellEnd"/>
            <w:r w:rsidRPr="00803B09">
              <w:t xml:space="preserve"> un ne vairāk kā 400 </w:t>
            </w:r>
            <w:proofErr w:type="spellStart"/>
            <w:r w:rsidRPr="00803B09">
              <w:rPr>
                <w:i/>
              </w:rPr>
              <w:t>euro</w:t>
            </w:r>
            <w:proofErr w:type="spellEnd"/>
            <w:r w:rsidRPr="00803B09">
              <w:t>.</w:t>
            </w:r>
          </w:p>
          <w:p w:rsidR="0065551F" w:rsidRPr="00803B09" w:rsidRDefault="00DB337F" w:rsidP="00803B0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Šīs anotācijas I. daļas 4</w:t>
            </w:r>
            <w:r w:rsidR="00803B09" w:rsidRPr="00803B09">
              <w:rPr>
                <w:rFonts w:ascii="Times New Roman" w:hAnsi="Times New Roman"/>
                <w:sz w:val="24"/>
                <w:szCs w:val="24"/>
              </w:rPr>
              <w:t>. punktā ir iekļauts Komisijas izstrādātais ekonomiskais pamatojums izvēlētajam uzraudzības maksas modelim un apmēriem, lai tiktu nosegtas apdrošināšanas brokeru un citu dalībvalstu apdrošināšanas un pārapdrošināšanas starpnieku filiāļu darbības uzraudzības izmaksas.</w:t>
            </w:r>
          </w:p>
        </w:tc>
      </w:tr>
      <w:tr w:rsidR="0065551F" w:rsidRPr="00803B09" w:rsidTr="00B50B85">
        <w:trPr>
          <w:trHeight w:val="326"/>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Nav</w:t>
            </w:r>
          </w:p>
        </w:tc>
      </w:tr>
    </w:tbl>
    <w:p w:rsidR="0065551F" w:rsidRPr="00803B09" w:rsidRDefault="0065551F" w:rsidP="0093488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65551F" w:rsidRPr="00803B09" w:rsidTr="00B50B8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5551F" w:rsidRPr="00803B09" w:rsidRDefault="0065551F" w:rsidP="00934889">
            <w:pPr>
              <w:spacing w:after="0" w:line="240" w:lineRule="auto"/>
              <w:ind w:firstLine="300"/>
              <w:jc w:val="center"/>
              <w:rPr>
                <w:rFonts w:ascii="Times New Roman" w:eastAsia="Times New Roman" w:hAnsi="Times New Roman"/>
                <w:b/>
                <w:bCs/>
                <w:sz w:val="24"/>
                <w:szCs w:val="24"/>
                <w:lang w:eastAsia="lv-LV"/>
              </w:rPr>
            </w:pPr>
            <w:r w:rsidRPr="00803B09">
              <w:rPr>
                <w:rFonts w:ascii="Times New Roman" w:eastAsia="Times New Roman" w:hAnsi="Times New Roman"/>
                <w:b/>
                <w:bCs/>
                <w:sz w:val="24"/>
                <w:szCs w:val="24"/>
                <w:lang w:eastAsia="lv-LV"/>
              </w:rPr>
              <w:t>VII. Tiesību akta projekta izpildes nodrošināšana un tās ietekme uz institūcijām</w:t>
            </w:r>
          </w:p>
        </w:tc>
      </w:tr>
      <w:tr w:rsidR="0065551F" w:rsidRPr="00803B09" w:rsidTr="00B50B8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803B09" w:rsidRDefault="0047282B" w:rsidP="00020A87">
            <w:pPr>
              <w:spacing w:after="0" w:line="240" w:lineRule="auto"/>
              <w:jc w:val="both"/>
              <w:rPr>
                <w:rFonts w:ascii="Times New Roman" w:eastAsia="Times New Roman" w:hAnsi="Times New Roman"/>
                <w:sz w:val="24"/>
                <w:szCs w:val="24"/>
                <w:lang w:eastAsia="lv-LV"/>
              </w:rPr>
            </w:pPr>
            <w:r w:rsidRPr="00803B09">
              <w:rPr>
                <w:rFonts w:ascii="Times New Roman" w:hAnsi="Times New Roman"/>
                <w:sz w:val="24"/>
                <w:szCs w:val="24"/>
              </w:rPr>
              <w:t xml:space="preserve">Likumprojekta prasību izpildi nodrošinās Finanšu un </w:t>
            </w:r>
            <w:r w:rsidR="00020A87" w:rsidRPr="00803B09">
              <w:rPr>
                <w:rFonts w:ascii="Times New Roman" w:hAnsi="Times New Roman"/>
                <w:sz w:val="24"/>
                <w:szCs w:val="24"/>
              </w:rPr>
              <w:t>kapitāla tirgus komisija.</w:t>
            </w:r>
          </w:p>
        </w:tc>
      </w:tr>
      <w:tr w:rsidR="0065551F" w:rsidRPr="00803B09" w:rsidTr="00B50B8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 xml:space="preserve">Projekta izpildes ietekme uz pārvaldes funkcijām un institucionālo struktūru. </w:t>
            </w:r>
          </w:p>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Projekta izpilde neietekmēs pārvaldes funkcijas vai institucionālo struktūru</w:t>
            </w:r>
            <w:r w:rsidR="00020A87" w:rsidRPr="00803B09">
              <w:rPr>
                <w:rFonts w:ascii="Times New Roman" w:eastAsia="Times New Roman" w:hAnsi="Times New Roman"/>
                <w:sz w:val="24"/>
                <w:szCs w:val="24"/>
                <w:lang w:eastAsia="lv-LV"/>
              </w:rPr>
              <w:t>.</w:t>
            </w:r>
          </w:p>
        </w:tc>
      </w:tr>
      <w:tr w:rsidR="0065551F" w:rsidRPr="00803B09" w:rsidTr="00B50B8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5551F" w:rsidRPr="00803B09" w:rsidRDefault="0065551F" w:rsidP="00934889">
            <w:pPr>
              <w:spacing w:after="0" w:line="240" w:lineRule="auto"/>
              <w:rPr>
                <w:rFonts w:ascii="Times New Roman" w:eastAsia="Times New Roman" w:hAnsi="Times New Roman"/>
                <w:sz w:val="24"/>
                <w:szCs w:val="24"/>
                <w:lang w:eastAsia="lv-LV"/>
              </w:rPr>
            </w:pPr>
            <w:r w:rsidRPr="00803B09">
              <w:rPr>
                <w:rFonts w:ascii="Times New Roman" w:eastAsia="Times New Roman" w:hAnsi="Times New Roman"/>
                <w:sz w:val="24"/>
                <w:szCs w:val="24"/>
                <w:lang w:eastAsia="lv-LV"/>
              </w:rPr>
              <w:t>Nav</w:t>
            </w:r>
          </w:p>
        </w:tc>
      </w:tr>
    </w:tbl>
    <w:p w:rsidR="0065551F" w:rsidRPr="00803B09" w:rsidRDefault="0065551F" w:rsidP="0065551F">
      <w:pPr>
        <w:spacing w:after="0" w:line="240" w:lineRule="auto"/>
        <w:rPr>
          <w:rFonts w:ascii="Times New Roman" w:hAnsi="Times New Roman"/>
          <w:sz w:val="24"/>
          <w:szCs w:val="24"/>
        </w:rPr>
      </w:pPr>
    </w:p>
    <w:p w:rsidR="00CF107E" w:rsidRPr="00803B09" w:rsidRDefault="00CF107E" w:rsidP="0065551F">
      <w:pPr>
        <w:spacing w:after="0" w:line="240" w:lineRule="auto"/>
        <w:rPr>
          <w:rFonts w:ascii="Times New Roman" w:hAnsi="Times New Roman"/>
          <w:sz w:val="24"/>
          <w:szCs w:val="24"/>
        </w:rPr>
      </w:pPr>
    </w:p>
    <w:p w:rsidR="00CF107E" w:rsidRPr="00803B09" w:rsidRDefault="00CF107E" w:rsidP="0065551F">
      <w:pPr>
        <w:spacing w:after="0" w:line="240" w:lineRule="auto"/>
        <w:rPr>
          <w:rFonts w:ascii="Times New Roman" w:hAnsi="Times New Roman"/>
          <w:sz w:val="24"/>
          <w:szCs w:val="24"/>
        </w:rPr>
      </w:pPr>
    </w:p>
    <w:p w:rsidR="0047282B" w:rsidRPr="00803B09" w:rsidRDefault="0047282B" w:rsidP="0047282B">
      <w:pPr>
        <w:pStyle w:val="NormalWeb"/>
        <w:spacing w:before="0" w:beforeAutospacing="0" w:after="0" w:afterAutospacing="0"/>
        <w:ind w:left="540"/>
      </w:pPr>
      <w:r w:rsidRPr="00803B09">
        <w:t xml:space="preserve">Finanšu ministrs </w:t>
      </w:r>
      <w:r w:rsidRPr="00803B09">
        <w:tab/>
      </w:r>
      <w:r w:rsidRPr="00803B09">
        <w:tab/>
      </w:r>
      <w:r w:rsidRPr="00803B09">
        <w:tab/>
      </w:r>
      <w:r w:rsidRPr="00803B09">
        <w:tab/>
      </w:r>
      <w:r w:rsidRPr="00803B09">
        <w:tab/>
      </w:r>
      <w:r w:rsidRPr="00803B09">
        <w:tab/>
        <w:t>A. Vilks</w:t>
      </w:r>
    </w:p>
    <w:p w:rsidR="0047282B" w:rsidRPr="00803B09" w:rsidRDefault="0047282B" w:rsidP="00CF107E">
      <w:pPr>
        <w:spacing w:after="0"/>
        <w:rPr>
          <w:rFonts w:ascii="Times New Roman" w:hAnsi="Times New Roman"/>
          <w:sz w:val="24"/>
          <w:szCs w:val="24"/>
        </w:rPr>
      </w:pPr>
    </w:p>
    <w:p w:rsidR="0047282B" w:rsidRPr="00803B09" w:rsidRDefault="0047282B" w:rsidP="00CF107E">
      <w:pPr>
        <w:spacing w:after="0"/>
        <w:rPr>
          <w:rFonts w:ascii="Times New Roman" w:hAnsi="Times New Roman"/>
          <w:sz w:val="24"/>
          <w:szCs w:val="24"/>
        </w:rPr>
      </w:pPr>
    </w:p>
    <w:p w:rsidR="0047282B" w:rsidRPr="00803B09" w:rsidRDefault="0047282B" w:rsidP="00CF107E">
      <w:pPr>
        <w:spacing w:after="0"/>
        <w:rPr>
          <w:rFonts w:ascii="Times New Roman" w:hAnsi="Times New Roman"/>
          <w:sz w:val="24"/>
          <w:szCs w:val="24"/>
        </w:rPr>
      </w:pPr>
    </w:p>
    <w:p w:rsidR="00CF107E" w:rsidRPr="00803B09" w:rsidRDefault="00CF107E" w:rsidP="00CF107E">
      <w:pPr>
        <w:spacing w:after="0"/>
        <w:rPr>
          <w:rFonts w:ascii="Times New Roman" w:hAnsi="Times New Roman"/>
          <w:sz w:val="24"/>
          <w:szCs w:val="24"/>
        </w:rPr>
      </w:pPr>
    </w:p>
    <w:p w:rsidR="00CF107E" w:rsidRPr="00803B09" w:rsidRDefault="00CF107E" w:rsidP="00CF107E">
      <w:pPr>
        <w:spacing w:after="0"/>
        <w:rPr>
          <w:rFonts w:ascii="Times New Roman" w:hAnsi="Times New Roman"/>
          <w:sz w:val="24"/>
          <w:szCs w:val="24"/>
        </w:rPr>
      </w:pPr>
    </w:p>
    <w:p w:rsidR="00CF107E" w:rsidRDefault="00CF107E" w:rsidP="00CF107E">
      <w:pPr>
        <w:spacing w:after="0"/>
        <w:rPr>
          <w:rFonts w:ascii="Times New Roman" w:hAnsi="Times New Roman"/>
          <w:sz w:val="24"/>
          <w:szCs w:val="24"/>
        </w:rPr>
      </w:pPr>
    </w:p>
    <w:p w:rsidR="00DB337F" w:rsidRDefault="00DB337F" w:rsidP="00CF107E">
      <w:pPr>
        <w:spacing w:after="0"/>
        <w:rPr>
          <w:rFonts w:ascii="Times New Roman" w:hAnsi="Times New Roman"/>
          <w:sz w:val="24"/>
          <w:szCs w:val="24"/>
        </w:rPr>
      </w:pPr>
    </w:p>
    <w:p w:rsidR="00DB337F" w:rsidRDefault="00DB337F" w:rsidP="00CF107E">
      <w:pPr>
        <w:spacing w:after="0"/>
        <w:rPr>
          <w:rFonts w:ascii="Times New Roman" w:hAnsi="Times New Roman"/>
          <w:sz w:val="24"/>
          <w:szCs w:val="24"/>
        </w:rPr>
      </w:pPr>
    </w:p>
    <w:p w:rsidR="00DB337F" w:rsidRDefault="00DB337F" w:rsidP="00CF107E">
      <w:pPr>
        <w:spacing w:after="0"/>
        <w:rPr>
          <w:rFonts w:ascii="Times New Roman" w:hAnsi="Times New Roman"/>
          <w:sz w:val="24"/>
          <w:szCs w:val="24"/>
        </w:rPr>
      </w:pPr>
    </w:p>
    <w:p w:rsidR="00DB337F" w:rsidRDefault="00DB337F" w:rsidP="00CF107E">
      <w:pPr>
        <w:spacing w:after="0"/>
        <w:rPr>
          <w:rFonts w:ascii="Times New Roman" w:hAnsi="Times New Roman"/>
          <w:sz w:val="24"/>
          <w:szCs w:val="24"/>
        </w:rPr>
      </w:pPr>
      <w:bookmarkStart w:id="0" w:name="_GoBack"/>
      <w:bookmarkEnd w:id="0"/>
    </w:p>
    <w:p w:rsidR="00DB337F" w:rsidRPr="00803B09" w:rsidRDefault="00DB337F" w:rsidP="00CF107E">
      <w:pPr>
        <w:spacing w:after="0"/>
        <w:rPr>
          <w:rFonts w:ascii="Times New Roman" w:hAnsi="Times New Roman"/>
          <w:sz w:val="24"/>
          <w:szCs w:val="24"/>
        </w:rPr>
      </w:pPr>
    </w:p>
    <w:p w:rsidR="00020A87" w:rsidRPr="00DB337F" w:rsidRDefault="00DB337F" w:rsidP="00020A87">
      <w:pPr>
        <w:spacing w:after="0" w:line="240" w:lineRule="auto"/>
        <w:rPr>
          <w:rFonts w:ascii="Times New Roman" w:hAnsi="Times New Roman"/>
          <w:sz w:val="20"/>
          <w:szCs w:val="20"/>
        </w:rPr>
      </w:pPr>
      <w:r>
        <w:rPr>
          <w:rFonts w:ascii="Times New Roman" w:hAnsi="Times New Roman"/>
          <w:sz w:val="20"/>
          <w:szCs w:val="20"/>
        </w:rPr>
        <w:t>04.04.2014 11</w:t>
      </w:r>
      <w:r w:rsidR="00020A87" w:rsidRPr="00DB337F">
        <w:rPr>
          <w:rFonts w:ascii="Times New Roman" w:hAnsi="Times New Roman"/>
          <w:sz w:val="20"/>
          <w:szCs w:val="20"/>
        </w:rPr>
        <w:t>.51</w:t>
      </w:r>
    </w:p>
    <w:p w:rsidR="00020A87" w:rsidRPr="00DB337F" w:rsidRDefault="00DB337F" w:rsidP="00020A87">
      <w:pPr>
        <w:spacing w:after="0" w:line="240" w:lineRule="auto"/>
        <w:rPr>
          <w:rFonts w:ascii="Times New Roman" w:hAnsi="Times New Roman"/>
          <w:sz w:val="20"/>
          <w:szCs w:val="20"/>
        </w:rPr>
      </w:pPr>
      <w:r>
        <w:rPr>
          <w:rFonts w:ascii="Times New Roman" w:hAnsi="Times New Roman"/>
          <w:sz w:val="20"/>
          <w:szCs w:val="20"/>
        </w:rPr>
        <w:t>2265</w:t>
      </w:r>
    </w:p>
    <w:p w:rsidR="00020A87" w:rsidRPr="00DB337F" w:rsidRDefault="00020A87" w:rsidP="00020A87">
      <w:pPr>
        <w:spacing w:after="0" w:line="240" w:lineRule="auto"/>
        <w:rPr>
          <w:rFonts w:ascii="Times New Roman" w:hAnsi="Times New Roman"/>
          <w:sz w:val="20"/>
          <w:szCs w:val="20"/>
        </w:rPr>
      </w:pPr>
      <w:r w:rsidRPr="00DB337F">
        <w:rPr>
          <w:rFonts w:ascii="Times New Roman" w:hAnsi="Times New Roman"/>
          <w:sz w:val="20"/>
          <w:szCs w:val="20"/>
        </w:rPr>
        <w:t xml:space="preserve">G. </w:t>
      </w:r>
      <w:proofErr w:type="spellStart"/>
      <w:r w:rsidRPr="00DB337F">
        <w:rPr>
          <w:rFonts w:ascii="Times New Roman" w:hAnsi="Times New Roman"/>
          <w:sz w:val="20"/>
          <w:szCs w:val="20"/>
        </w:rPr>
        <w:t>Dirveika</w:t>
      </w:r>
      <w:proofErr w:type="spellEnd"/>
      <w:r w:rsidRPr="00DB337F">
        <w:rPr>
          <w:rFonts w:ascii="Times New Roman" w:hAnsi="Times New Roman"/>
          <w:sz w:val="20"/>
          <w:szCs w:val="20"/>
        </w:rPr>
        <w:t>; 67774823</w:t>
      </w:r>
    </w:p>
    <w:p w:rsidR="00020A87" w:rsidRPr="00DB337F" w:rsidRDefault="00DB337F" w:rsidP="00020A87">
      <w:pPr>
        <w:spacing w:after="0" w:line="240" w:lineRule="auto"/>
        <w:rPr>
          <w:rFonts w:ascii="Times New Roman" w:hAnsi="Times New Roman"/>
          <w:sz w:val="20"/>
          <w:szCs w:val="20"/>
        </w:rPr>
      </w:pPr>
      <w:hyperlink r:id="rId7" w:history="1">
        <w:r w:rsidRPr="00112398">
          <w:rPr>
            <w:rStyle w:val="Hyperlink"/>
            <w:rFonts w:ascii="Times New Roman" w:hAnsi="Times New Roman"/>
            <w:sz w:val="20"/>
            <w:szCs w:val="20"/>
          </w:rPr>
          <w:t>guna.dirveika@fktk.lv</w:t>
        </w:r>
      </w:hyperlink>
      <w:r>
        <w:rPr>
          <w:rFonts w:ascii="Times New Roman" w:hAnsi="Times New Roman"/>
          <w:sz w:val="20"/>
          <w:szCs w:val="20"/>
        </w:rPr>
        <w:t xml:space="preserve"> </w:t>
      </w:r>
    </w:p>
    <w:p w:rsidR="00801A04" w:rsidRPr="00DB337F" w:rsidRDefault="00801A04" w:rsidP="009F2B0C">
      <w:pPr>
        <w:spacing w:after="0" w:line="240" w:lineRule="auto"/>
        <w:rPr>
          <w:rFonts w:ascii="Times New Roman" w:hAnsi="Times New Roman"/>
          <w:sz w:val="20"/>
          <w:szCs w:val="20"/>
        </w:rPr>
      </w:pPr>
    </w:p>
    <w:p w:rsidR="009F2B0C" w:rsidRPr="00DB337F" w:rsidRDefault="009F2B0C" w:rsidP="009F2B0C">
      <w:pPr>
        <w:spacing w:after="0" w:line="240" w:lineRule="auto"/>
        <w:rPr>
          <w:rFonts w:ascii="Times New Roman" w:hAnsi="Times New Roman"/>
          <w:sz w:val="20"/>
          <w:szCs w:val="20"/>
        </w:rPr>
      </w:pPr>
      <w:r w:rsidRPr="00DB337F">
        <w:rPr>
          <w:rFonts w:ascii="Times New Roman" w:hAnsi="Times New Roman"/>
          <w:sz w:val="20"/>
          <w:szCs w:val="20"/>
        </w:rPr>
        <w:t>M. Stepiņš</w:t>
      </w:r>
    </w:p>
    <w:p w:rsidR="009F2B0C" w:rsidRPr="00DB337F" w:rsidRDefault="009F2B0C" w:rsidP="009F2B0C">
      <w:pPr>
        <w:spacing w:after="0" w:line="240" w:lineRule="auto"/>
        <w:rPr>
          <w:rFonts w:ascii="Times New Roman" w:hAnsi="Times New Roman"/>
          <w:sz w:val="20"/>
          <w:szCs w:val="20"/>
        </w:rPr>
      </w:pPr>
      <w:r w:rsidRPr="00DB337F">
        <w:rPr>
          <w:rFonts w:ascii="Times New Roman" w:hAnsi="Times New Roman"/>
          <w:sz w:val="20"/>
          <w:szCs w:val="20"/>
        </w:rPr>
        <w:t xml:space="preserve">67095490, </w:t>
      </w:r>
      <w:hyperlink r:id="rId8" w:history="1">
        <w:r w:rsidRPr="00DB337F">
          <w:rPr>
            <w:rStyle w:val="Hyperlink"/>
            <w:rFonts w:ascii="Times New Roman" w:hAnsi="Times New Roman"/>
            <w:sz w:val="20"/>
            <w:szCs w:val="20"/>
          </w:rPr>
          <w:t>maris.stepins@fm.gov.lv</w:t>
        </w:r>
      </w:hyperlink>
    </w:p>
    <w:sectPr w:rsidR="009F2B0C" w:rsidRPr="00DB337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F3" w:rsidRDefault="00347AF3" w:rsidP="00347AF3">
      <w:pPr>
        <w:spacing w:after="0" w:line="240" w:lineRule="auto"/>
      </w:pPr>
      <w:r>
        <w:separator/>
      </w:r>
    </w:p>
  </w:endnote>
  <w:endnote w:type="continuationSeparator" w:id="0">
    <w:p w:rsidR="00347AF3" w:rsidRDefault="00347AF3" w:rsidP="0034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F3" w:rsidRPr="00AA3D35" w:rsidRDefault="00AA3D35" w:rsidP="00AA3D35">
    <w:pPr>
      <w:pStyle w:val="Footer"/>
      <w:jc w:val="both"/>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Pr>
        <w:rFonts w:ascii="Times New Roman" w:hAnsi="Times New Roman"/>
        <w:noProof/>
        <w:sz w:val="20"/>
        <w:szCs w:val="20"/>
      </w:rPr>
      <w:t>FMAnot_040414_APSDL</w:t>
    </w:r>
    <w:r>
      <w:rPr>
        <w:rFonts w:ascii="Times New Roman" w:hAnsi="Times New Roman"/>
        <w:noProof/>
        <w:sz w:val="20"/>
        <w:szCs w:val="20"/>
      </w:rPr>
      <w:fldChar w:fldCharType="end"/>
    </w:r>
    <w:r w:rsidRPr="0093092F">
      <w:rPr>
        <w:rFonts w:ascii="Times New Roman" w:hAnsi="Times New Roman"/>
        <w:noProof/>
        <w:sz w:val="20"/>
        <w:szCs w:val="20"/>
      </w:rPr>
      <w:t>;</w:t>
    </w:r>
    <w:r w:rsidRPr="0093092F">
      <w:rPr>
        <w:rFonts w:ascii="Times New Roman" w:hAnsi="Times New Roman"/>
        <w:sz w:val="20"/>
        <w:szCs w:val="20"/>
      </w:rPr>
      <w:t xml:space="preserve"> Likumprojekta „Grozījumi Apdrošināšanas un pārapdrošināšanas starpnieku darbības likumā” </w:t>
    </w:r>
    <w:r w:rsidRPr="0093092F">
      <w:rPr>
        <w:rFonts w:ascii="Times New Roman" w:hAnsi="Times New Roman"/>
        <w:bCs/>
        <w:sz w:val="20"/>
        <w:szCs w:val="20"/>
      </w:rPr>
      <w:t>sākotnējās ietekmes novērtējuma ziņojums (</w:t>
    </w:r>
    <w:r w:rsidRPr="0093092F">
      <w:rPr>
        <w:rFonts w:ascii="Times New Roman" w:hAnsi="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F3" w:rsidRDefault="00347AF3" w:rsidP="00347AF3">
      <w:pPr>
        <w:spacing w:after="0" w:line="240" w:lineRule="auto"/>
      </w:pPr>
      <w:r>
        <w:separator/>
      </w:r>
    </w:p>
  </w:footnote>
  <w:footnote w:type="continuationSeparator" w:id="0">
    <w:p w:rsidR="00347AF3" w:rsidRDefault="00347AF3" w:rsidP="00347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1F"/>
    <w:rsid w:val="0000733B"/>
    <w:rsid w:val="00020A87"/>
    <w:rsid w:val="00060132"/>
    <w:rsid w:val="000705C2"/>
    <w:rsid w:val="000C51C8"/>
    <w:rsid w:val="001D70FD"/>
    <w:rsid w:val="002D5DC3"/>
    <w:rsid w:val="002E2010"/>
    <w:rsid w:val="002F7573"/>
    <w:rsid w:val="00300AE2"/>
    <w:rsid w:val="00347AF3"/>
    <w:rsid w:val="00404787"/>
    <w:rsid w:val="00435EC9"/>
    <w:rsid w:val="0047282B"/>
    <w:rsid w:val="00543DA3"/>
    <w:rsid w:val="00571763"/>
    <w:rsid w:val="0059788D"/>
    <w:rsid w:val="005A3498"/>
    <w:rsid w:val="006123D4"/>
    <w:rsid w:val="006258B0"/>
    <w:rsid w:val="0065551F"/>
    <w:rsid w:val="00657B31"/>
    <w:rsid w:val="006C2609"/>
    <w:rsid w:val="006E2425"/>
    <w:rsid w:val="00712F1F"/>
    <w:rsid w:val="00727BA9"/>
    <w:rsid w:val="007D23B6"/>
    <w:rsid w:val="00801A04"/>
    <w:rsid w:val="00803B09"/>
    <w:rsid w:val="00855F5B"/>
    <w:rsid w:val="008635B6"/>
    <w:rsid w:val="008644F9"/>
    <w:rsid w:val="00906AE6"/>
    <w:rsid w:val="0093092F"/>
    <w:rsid w:val="00934889"/>
    <w:rsid w:val="00961975"/>
    <w:rsid w:val="00994ED7"/>
    <w:rsid w:val="009F2B0C"/>
    <w:rsid w:val="009F43E4"/>
    <w:rsid w:val="00A246C8"/>
    <w:rsid w:val="00A65B92"/>
    <w:rsid w:val="00AA3D35"/>
    <w:rsid w:val="00AC059E"/>
    <w:rsid w:val="00AD4368"/>
    <w:rsid w:val="00B0360C"/>
    <w:rsid w:val="00B608EA"/>
    <w:rsid w:val="00B65481"/>
    <w:rsid w:val="00B72727"/>
    <w:rsid w:val="00B930E4"/>
    <w:rsid w:val="00BD5201"/>
    <w:rsid w:val="00C57522"/>
    <w:rsid w:val="00C722FC"/>
    <w:rsid w:val="00CF107E"/>
    <w:rsid w:val="00CF1EE6"/>
    <w:rsid w:val="00D74134"/>
    <w:rsid w:val="00DB337F"/>
    <w:rsid w:val="00DC5CB9"/>
    <w:rsid w:val="00EC345E"/>
    <w:rsid w:val="00F75DD8"/>
    <w:rsid w:val="00F93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5A0D-7981-434B-B58B-2C370D9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65551F"/>
    <w:pPr>
      <w:spacing w:after="120" w:line="240" w:lineRule="auto"/>
      <w:ind w:firstLine="720"/>
      <w:jc w:val="right"/>
    </w:pPr>
    <w:rPr>
      <w:rFonts w:ascii="Times New Roman" w:eastAsia="Times New Roman" w:hAnsi="Times New Roman"/>
      <w:sz w:val="28"/>
      <w:szCs w:val="28"/>
    </w:rPr>
  </w:style>
  <w:style w:type="paragraph" w:customStyle="1" w:styleId="tv2131">
    <w:name w:val="tv2131"/>
    <w:basedOn w:val="Normal"/>
    <w:rsid w:val="0065551F"/>
    <w:pPr>
      <w:spacing w:before="240" w:after="0" w:line="360" w:lineRule="auto"/>
      <w:ind w:firstLine="300"/>
      <w:jc w:val="both"/>
    </w:pPr>
    <w:rPr>
      <w:rFonts w:ascii="Verdana" w:eastAsia="Times New Roman" w:hAnsi="Verdana"/>
      <w:sz w:val="18"/>
      <w:szCs w:val="18"/>
      <w:lang w:eastAsia="lv-LV"/>
    </w:rPr>
  </w:style>
  <w:style w:type="paragraph" w:customStyle="1" w:styleId="naiskr">
    <w:name w:val="naiskr"/>
    <w:basedOn w:val="Normal"/>
    <w:rsid w:val="0065551F"/>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635B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635B6"/>
    <w:pPr>
      <w:spacing w:before="150" w:after="150" w:line="240" w:lineRule="auto"/>
      <w:jc w:val="center"/>
    </w:pPr>
    <w:rPr>
      <w:rFonts w:ascii="Times New Roman" w:eastAsia="Times New Roman" w:hAnsi="Times New Roman"/>
      <w:b/>
      <w:bCs/>
      <w:sz w:val="24"/>
      <w:szCs w:val="24"/>
      <w:lang w:eastAsia="lv-LV"/>
    </w:rPr>
  </w:style>
  <w:style w:type="paragraph" w:styleId="NormalWeb">
    <w:name w:val="Normal (Web)"/>
    <w:basedOn w:val="Normal"/>
    <w:rsid w:val="0047282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47A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7AF3"/>
    <w:rPr>
      <w:rFonts w:ascii="Calibri" w:eastAsia="Calibri" w:hAnsi="Calibri" w:cs="Times New Roman"/>
    </w:rPr>
  </w:style>
  <w:style w:type="paragraph" w:styleId="Footer">
    <w:name w:val="footer"/>
    <w:basedOn w:val="Normal"/>
    <w:link w:val="FooterChar"/>
    <w:unhideWhenUsed/>
    <w:rsid w:val="00347AF3"/>
    <w:pPr>
      <w:tabs>
        <w:tab w:val="center" w:pos="4153"/>
        <w:tab w:val="right" w:pos="8306"/>
      </w:tabs>
      <w:spacing w:after="0" w:line="240" w:lineRule="auto"/>
    </w:pPr>
  </w:style>
  <w:style w:type="character" w:customStyle="1" w:styleId="FooterChar">
    <w:name w:val="Footer Char"/>
    <w:basedOn w:val="DefaultParagraphFont"/>
    <w:link w:val="Footer"/>
    <w:rsid w:val="00347AF3"/>
    <w:rPr>
      <w:rFonts w:ascii="Calibri" w:eastAsia="Calibri" w:hAnsi="Calibri" w:cs="Times New Roman"/>
    </w:rPr>
  </w:style>
  <w:style w:type="character" w:styleId="Hyperlink">
    <w:name w:val="Hyperlink"/>
    <w:basedOn w:val="DefaultParagraphFont"/>
    <w:uiPriority w:val="99"/>
    <w:unhideWhenUsed/>
    <w:rsid w:val="009F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tepins@fm.gov.l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una.dirveika@fktk.l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43</DKP>
  </documentManagement>
</p:properties>
</file>

<file path=customXml/itemProps1.xml><?xml version="1.0" encoding="utf-8"?>
<ds:datastoreItem xmlns:ds="http://schemas.openxmlformats.org/officeDocument/2006/customXml" ds:itemID="{C2D8467C-516B-49A4-9556-D1645B1CA5E1}"/>
</file>

<file path=customXml/itemProps2.xml><?xml version="1.0" encoding="utf-8"?>
<ds:datastoreItem xmlns:ds="http://schemas.openxmlformats.org/officeDocument/2006/customXml" ds:itemID="{B744349E-1857-47CA-839C-AC10D746C639}"/>
</file>

<file path=customXml/itemProps3.xml><?xml version="1.0" encoding="utf-8"?>
<ds:datastoreItem xmlns:ds="http://schemas.openxmlformats.org/officeDocument/2006/customXml" ds:itemID="{FCDA4A99-99AF-4612-A491-22D6D0278F5B}"/>
</file>

<file path=customXml/itemProps4.xml><?xml version="1.0" encoding="utf-8"?>
<ds:datastoreItem xmlns:ds="http://schemas.openxmlformats.org/officeDocument/2006/customXml" ds:itemID="{26656986-DF19-4491-973A-24D733ED057F}"/>
</file>

<file path=docProps/app.xml><?xml version="1.0" encoding="utf-8"?>
<Properties xmlns="http://schemas.openxmlformats.org/officeDocument/2006/extended-properties" xmlns:vt="http://schemas.openxmlformats.org/officeDocument/2006/docPropsVTypes">
  <Template>Normal</Template>
  <TotalTime>221</TotalTime>
  <Pages>9</Pages>
  <Words>12437</Words>
  <Characters>7090</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Likumprojekta "Grozījumi Apdrošināšanas un pārapdrošināšanas starpnieku darbības likumā" sākotnējās ietekmes novērtējuma ziņojums (anotācija)</vt:lpstr>
    </vt:vector>
  </TitlesOfParts>
  <Company>Finanšu ministrija</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starpnieku darbības likumā" anotācija</dc:title>
  <dc:subject/>
  <dc:creator>G.Dirveika, M.Stepiņš</dc:creator>
  <cp:keywords/>
  <dc:description>67095490, maris.stepins@fm.gov.lv</dc:description>
  <cp:lastModifiedBy>Windows User</cp:lastModifiedBy>
  <cp:revision>17</cp:revision>
  <dcterms:created xsi:type="dcterms:W3CDTF">2014-03-28T10:07:00Z</dcterms:created>
  <dcterms:modified xsi:type="dcterms:W3CDTF">2014-04-04T08:57:00Z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