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B6" w:rsidRDefault="00BE653F" w:rsidP="00407AEF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040E45">
        <w:rPr>
          <w:b/>
          <w:sz w:val="28"/>
        </w:rPr>
        <w:t>M</w:t>
      </w:r>
      <w:r w:rsidR="00407AEF" w:rsidRPr="00040E45">
        <w:rPr>
          <w:b/>
          <w:sz w:val="28"/>
        </w:rPr>
        <w:t xml:space="preserve">inistru </w:t>
      </w:r>
      <w:r w:rsidR="00791B00" w:rsidRPr="00040E45">
        <w:rPr>
          <w:b/>
          <w:sz w:val="28"/>
        </w:rPr>
        <w:t>k</w:t>
      </w:r>
      <w:r w:rsidR="00407AEF" w:rsidRPr="00040E45">
        <w:rPr>
          <w:b/>
          <w:sz w:val="28"/>
        </w:rPr>
        <w:t>abineta n</w:t>
      </w:r>
      <w:r w:rsidRPr="00040E45">
        <w:rPr>
          <w:b/>
          <w:sz w:val="28"/>
        </w:rPr>
        <w:t xml:space="preserve">oteikumu </w:t>
      </w:r>
      <w:r w:rsidR="009D5F79" w:rsidRPr="00040E45">
        <w:rPr>
          <w:b/>
          <w:sz w:val="28"/>
        </w:rPr>
        <w:t xml:space="preserve">projekta </w:t>
      </w:r>
    </w:p>
    <w:p w:rsidR="002633B6" w:rsidRDefault="00BE653F" w:rsidP="002633B6">
      <w:pPr>
        <w:jc w:val="center"/>
        <w:rPr>
          <w:b/>
          <w:bCs/>
          <w:sz w:val="28"/>
          <w:szCs w:val="28"/>
        </w:rPr>
      </w:pPr>
      <w:r w:rsidRPr="00040E45">
        <w:rPr>
          <w:b/>
          <w:sz w:val="28"/>
        </w:rPr>
        <w:t>„Grozījums Ministru kabineta</w:t>
      </w:r>
      <w:r w:rsidR="008520A7" w:rsidRPr="00040E45">
        <w:rPr>
          <w:b/>
          <w:sz w:val="28"/>
        </w:rPr>
        <w:t xml:space="preserve"> </w:t>
      </w:r>
      <w:r w:rsidRPr="00040E45">
        <w:rPr>
          <w:b/>
          <w:sz w:val="28"/>
        </w:rPr>
        <w:t xml:space="preserve">2013.gada 19.marta noteikumos </w:t>
      </w:r>
    </w:p>
    <w:p w:rsidR="002633B6" w:rsidRDefault="00BE653F" w:rsidP="002633B6">
      <w:pPr>
        <w:jc w:val="center"/>
        <w:rPr>
          <w:b/>
          <w:bCs/>
          <w:sz w:val="28"/>
          <w:szCs w:val="28"/>
        </w:rPr>
      </w:pPr>
      <w:r w:rsidRPr="00040E45">
        <w:rPr>
          <w:b/>
          <w:sz w:val="28"/>
        </w:rPr>
        <w:t>Nr.144 „Profesionālās izglītības kompetences centra</w:t>
      </w:r>
      <w:r w:rsidR="00407AEF" w:rsidRPr="00040E45">
        <w:rPr>
          <w:b/>
          <w:sz w:val="28"/>
        </w:rPr>
        <w:t xml:space="preserve"> statusa </w:t>
      </w:r>
      <w:r w:rsidRPr="00040E45">
        <w:rPr>
          <w:b/>
          <w:sz w:val="28"/>
        </w:rPr>
        <w:t>piešķiršanas un anulēšanas kārtība”</w:t>
      </w:r>
      <w:r w:rsidR="00D64AA5" w:rsidRPr="00040E45">
        <w:rPr>
          <w:b/>
          <w:sz w:val="28"/>
        </w:rPr>
        <w:t xml:space="preserve">” </w:t>
      </w:r>
      <w:r w:rsidRPr="00040E45">
        <w:rPr>
          <w:sz w:val="28"/>
        </w:rPr>
        <w:t>s</w:t>
      </w:r>
      <w:r w:rsidR="00610A39" w:rsidRPr="00040E45">
        <w:rPr>
          <w:b/>
          <w:sz w:val="28"/>
        </w:rPr>
        <w:t xml:space="preserve">ākotnējās ietekmes novērtējuma </w:t>
      </w:r>
    </w:p>
    <w:p w:rsidR="008B6F82" w:rsidRPr="00040E45" w:rsidRDefault="00610A39" w:rsidP="002633B6">
      <w:pPr>
        <w:jc w:val="center"/>
        <w:rPr>
          <w:b/>
          <w:sz w:val="28"/>
        </w:rPr>
      </w:pPr>
      <w:r w:rsidRPr="00040E45">
        <w:rPr>
          <w:b/>
          <w:sz w:val="28"/>
        </w:rPr>
        <w:t xml:space="preserve">ziņojums </w:t>
      </w:r>
      <w:r w:rsidR="008B6F82" w:rsidRPr="00040E45">
        <w:rPr>
          <w:b/>
          <w:sz w:val="28"/>
        </w:rPr>
        <w:t>(anotācija)</w:t>
      </w:r>
    </w:p>
    <w:bookmarkEnd w:id="0"/>
    <w:bookmarkEnd w:id="1"/>
    <w:p w:rsidR="008B6F82" w:rsidRPr="00040E45" w:rsidRDefault="008B6F82" w:rsidP="008B6F82">
      <w:pPr>
        <w:jc w:val="center"/>
        <w:rPr>
          <w:b/>
          <w:color w:val="0D0D0D"/>
          <w:sz w:val="28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2976"/>
        <w:gridCol w:w="5954"/>
      </w:tblGrid>
      <w:tr w:rsidR="008B6F82" w:rsidRPr="002633B6" w:rsidTr="00333A56">
        <w:trPr>
          <w:trHeight w:val="535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F82" w:rsidRPr="00040E45" w:rsidRDefault="008B6F82" w:rsidP="00C71066">
            <w:pPr>
              <w:spacing w:before="100" w:beforeAutospacing="1" w:after="100" w:afterAutospacing="1"/>
              <w:jc w:val="center"/>
              <w:rPr>
                <w:sz w:val="28"/>
              </w:rPr>
            </w:pPr>
            <w:bookmarkStart w:id="2" w:name="OLE_LINK3"/>
            <w:bookmarkStart w:id="3" w:name="OLE_LINK1"/>
            <w:bookmarkStart w:id="4" w:name="OLE_LINK2"/>
            <w:bookmarkStart w:id="5" w:name="OLE_LINK4"/>
            <w:r w:rsidRPr="00040E45">
              <w:rPr>
                <w:b/>
                <w:sz w:val="28"/>
              </w:rPr>
              <w:t>I. Tiesību akta projekta izstrādes nepieciešamība</w:t>
            </w:r>
          </w:p>
        </w:tc>
      </w:tr>
      <w:tr w:rsidR="008B6F82" w:rsidRPr="002633B6" w:rsidTr="0049247E">
        <w:trPr>
          <w:trHeight w:val="232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8B6F82" w:rsidP="00651B0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40E45">
              <w:rPr>
                <w:sz w:val="28"/>
              </w:rPr>
              <w:t>1.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8B6F82" w:rsidP="00C71066">
            <w:pPr>
              <w:spacing w:before="100" w:beforeAutospacing="1" w:after="100" w:afterAutospacing="1"/>
              <w:rPr>
                <w:sz w:val="28"/>
              </w:rPr>
            </w:pPr>
            <w:r w:rsidRPr="00040E45">
              <w:rPr>
                <w:sz w:val="28"/>
              </w:rPr>
              <w:t> Pamatojums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333A56" w:rsidP="002633B6">
            <w:pPr>
              <w:ind w:firstLine="552"/>
              <w:jc w:val="both"/>
              <w:rPr>
                <w:sz w:val="28"/>
              </w:rPr>
            </w:pPr>
            <w:r w:rsidRPr="00040E45">
              <w:rPr>
                <w:sz w:val="28"/>
              </w:rPr>
              <w:t>M</w:t>
            </w:r>
            <w:r w:rsidR="00791B00" w:rsidRPr="00040E45">
              <w:rPr>
                <w:sz w:val="28"/>
              </w:rPr>
              <w:t xml:space="preserve">inistru kabineta noteikumu </w:t>
            </w:r>
            <w:r w:rsidR="00161EF8" w:rsidRPr="00040E45">
              <w:rPr>
                <w:sz w:val="28"/>
              </w:rPr>
              <w:t xml:space="preserve">projekts </w:t>
            </w:r>
            <w:r w:rsidR="00F25C11" w:rsidRPr="00040E45">
              <w:rPr>
                <w:sz w:val="28"/>
              </w:rPr>
              <w:t>„</w:t>
            </w:r>
            <w:r w:rsidRPr="00040E45">
              <w:rPr>
                <w:sz w:val="28"/>
              </w:rPr>
              <w:t>Grozījums Ministru kabineta</w:t>
            </w:r>
            <w:r w:rsidR="00791B00" w:rsidRPr="00040E45">
              <w:rPr>
                <w:sz w:val="28"/>
              </w:rPr>
              <w:t xml:space="preserve"> </w:t>
            </w:r>
            <w:r w:rsidRPr="00040E45">
              <w:rPr>
                <w:sz w:val="28"/>
              </w:rPr>
              <w:t>2013.</w:t>
            </w:r>
            <w:r w:rsidR="00791B00" w:rsidRPr="00040E45">
              <w:rPr>
                <w:sz w:val="28"/>
              </w:rPr>
              <w:t xml:space="preserve">gada 19.marta noteikumos Nr.144 </w:t>
            </w:r>
            <w:r w:rsidRPr="00040E45">
              <w:rPr>
                <w:sz w:val="28"/>
              </w:rPr>
              <w:t>„Profesionālā</w:t>
            </w:r>
            <w:r w:rsidR="00791B00" w:rsidRPr="00040E45">
              <w:rPr>
                <w:sz w:val="28"/>
              </w:rPr>
              <w:t xml:space="preserve">s izglītības kompetences centra </w:t>
            </w:r>
            <w:r w:rsidRPr="00040E45">
              <w:rPr>
                <w:sz w:val="28"/>
              </w:rPr>
              <w:t>statusa piešķiršanas un anulēšanas kārtība”</w:t>
            </w:r>
            <w:r w:rsidR="00F25C11" w:rsidRPr="00040E45">
              <w:rPr>
                <w:sz w:val="28"/>
              </w:rPr>
              <w:t>”</w:t>
            </w:r>
            <w:r w:rsidR="00791B00" w:rsidRPr="00040E45">
              <w:rPr>
                <w:sz w:val="28"/>
              </w:rPr>
              <w:t xml:space="preserve"> </w:t>
            </w:r>
            <w:r w:rsidR="00F25C11" w:rsidRPr="00040E45">
              <w:rPr>
                <w:sz w:val="28"/>
              </w:rPr>
              <w:t>(turpmāk</w:t>
            </w:r>
            <w:r w:rsidR="00791B00" w:rsidRPr="00040E45">
              <w:rPr>
                <w:sz w:val="28"/>
              </w:rPr>
              <w:t xml:space="preserve"> </w:t>
            </w:r>
            <w:r w:rsidR="00F25C11" w:rsidRPr="00040E45">
              <w:rPr>
                <w:sz w:val="28"/>
              </w:rPr>
              <w:t>–</w:t>
            </w:r>
            <w:r w:rsidR="005D0D1A" w:rsidRPr="00040E45">
              <w:rPr>
                <w:sz w:val="28"/>
              </w:rPr>
              <w:t xml:space="preserve"> </w:t>
            </w:r>
            <w:r w:rsidR="002633B6">
              <w:rPr>
                <w:sz w:val="28"/>
                <w:szCs w:val="28"/>
              </w:rPr>
              <w:t>P</w:t>
            </w:r>
            <w:r w:rsidR="00D64AA5" w:rsidRPr="002633B6">
              <w:rPr>
                <w:sz w:val="28"/>
                <w:szCs w:val="28"/>
              </w:rPr>
              <w:t>rojekts</w:t>
            </w:r>
            <w:r w:rsidR="00F25C11" w:rsidRPr="00040E45">
              <w:rPr>
                <w:sz w:val="28"/>
              </w:rPr>
              <w:t xml:space="preserve">) izstrādāts </w:t>
            </w:r>
            <w:r w:rsidR="00D64AA5" w:rsidRPr="00040E45">
              <w:rPr>
                <w:sz w:val="28"/>
              </w:rPr>
              <w:t>saskaņā ar</w:t>
            </w:r>
            <w:r w:rsidR="00051C0B" w:rsidRPr="00040E45">
              <w:rPr>
                <w:sz w:val="28"/>
              </w:rPr>
              <w:t xml:space="preserve"> Profesionālās izglītības likuma 7.panta 11.punktu.</w:t>
            </w:r>
            <w:r w:rsidR="00D64AA5" w:rsidRPr="00040E45">
              <w:rPr>
                <w:sz w:val="28"/>
              </w:rPr>
              <w:t xml:space="preserve"> </w:t>
            </w:r>
            <w:r w:rsidR="0049247E" w:rsidRPr="00040E45">
              <w:rPr>
                <w:sz w:val="28"/>
              </w:rPr>
              <w:tab/>
            </w:r>
          </w:p>
        </w:tc>
      </w:tr>
      <w:tr w:rsidR="008B6F82" w:rsidRPr="002633B6" w:rsidTr="00333A56">
        <w:trPr>
          <w:trHeight w:val="47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8B6F82" w:rsidP="00651B0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40E45">
              <w:rPr>
                <w:sz w:val="28"/>
              </w:rPr>
              <w:t>2.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8B6F82" w:rsidP="00503FA9">
            <w:pPr>
              <w:spacing w:before="100" w:beforeAutospacing="1" w:after="100" w:afterAutospacing="1"/>
              <w:rPr>
                <w:sz w:val="28"/>
              </w:rPr>
            </w:pPr>
            <w:r w:rsidRPr="00040E45">
              <w:rPr>
                <w:sz w:val="28"/>
              </w:rPr>
              <w:t>Pašreizējā situācija un problēmas</w:t>
            </w:r>
            <w:r w:rsidR="00503FA9" w:rsidRPr="00040E45">
              <w:rPr>
                <w:sz w:val="28"/>
              </w:rPr>
              <w:t>, kuru risināšanai tiesību akta projekts izstrādāts, tiesiskā regulējuma mērķis un būtība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0A7" w:rsidRPr="00040E45" w:rsidRDefault="00F3406F" w:rsidP="008520A7">
            <w:pPr>
              <w:pStyle w:val="naisc"/>
              <w:spacing w:before="0" w:after="0"/>
              <w:ind w:firstLine="552"/>
              <w:jc w:val="both"/>
              <w:rPr>
                <w:sz w:val="28"/>
              </w:rPr>
            </w:pPr>
            <w:r w:rsidRPr="00040E45">
              <w:rPr>
                <w:sz w:val="28"/>
              </w:rPr>
              <w:t>Kultūras ministrija</w:t>
            </w:r>
            <w:r w:rsidR="00816F15" w:rsidRPr="00040E45">
              <w:rPr>
                <w:sz w:val="28"/>
              </w:rPr>
              <w:t xml:space="preserve"> </w:t>
            </w:r>
            <w:r w:rsidR="008259FD" w:rsidRPr="00040E45">
              <w:rPr>
                <w:sz w:val="28"/>
              </w:rPr>
              <w:t>saskaņā ar Latvijas Nacionālo attīstības plānu 2014. – 2020.gadam, kā vienu no veicamajiem uzdevumiem</w:t>
            </w:r>
            <w:r w:rsidR="00973D9C" w:rsidRPr="00040E45">
              <w:rPr>
                <w:sz w:val="28"/>
              </w:rPr>
              <w:t>,</w:t>
            </w:r>
            <w:r w:rsidRPr="00040E45">
              <w:rPr>
                <w:sz w:val="28"/>
              </w:rPr>
              <w:t xml:space="preserve"> plāno </w:t>
            </w:r>
            <w:r w:rsidR="00460D92" w:rsidRPr="00040E45">
              <w:rPr>
                <w:sz w:val="28"/>
              </w:rPr>
              <w:t>iz</w:t>
            </w:r>
            <w:r w:rsidRPr="00040E45">
              <w:rPr>
                <w:sz w:val="28"/>
              </w:rPr>
              <w:t xml:space="preserve">veidot profesionālās izglītības kompetences centrus (turpmāk – </w:t>
            </w:r>
            <w:r w:rsidR="00161EF8" w:rsidRPr="00040E45">
              <w:rPr>
                <w:sz w:val="28"/>
              </w:rPr>
              <w:t>Kompetences centri</w:t>
            </w:r>
            <w:r w:rsidRPr="00040E45">
              <w:rPr>
                <w:sz w:val="28"/>
              </w:rPr>
              <w:t>) kultūrizglītības nozarē</w:t>
            </w:r>
            <w:r w:rsidR="00973D9C" w:rsidRPr="00040E45">
              <w:rPr>
                <w:sz w:val="28"/>
              </w:rPr>
              <w:t>s</w:t>
            </w:r>
            <w:r w:rsidRPr="00040E45">
              <w:rPr>
                <w:sz w:val="28"/>
              </w:rPr>
              <w:t xml:space="preserve">. </w:t>
            </w:r>
            <w:r w:rsidR="007D6510" w:rsidRPr="00040E45">
              <w:rPr>
                <w:sz w:val="28"/>
              </w:rPr>
              <w:t>Kompetences</w:t>
            </w:r>
            <w:r w:rsidR="008259FD" w:rsidRPr="00040E45">
              <w:rPr>
                <w:sz w:val="28"/>
              </w:rPr>
              <w:t xml:space="preserve"> centru galvenais uzdevums </w:t>
            </w:r>
            <w:r w:rsidR="00973D9C" w:rsidRPr="00040E45">
              <w:rPr>
                <w:sz w:val="28"/>
              </w:rPr>
              <w:t xml:space="preserve">ir </w:t>
            </w:r>
            <w:r w:rsidR="008259FD" w:rsidRPr="00040E45">
              <w:rPr>
                <w:sz w:val="28"/>
              </w:rPr>
              <w:t xml:space="preserve">jauniešu nodarbinātības veicināšana, t.sk., </w:t>
            </w:r>
            <w:r w:rsidRPr="00040E45">
              <w:rPr>
                <w:sz w:val="28"/>
              </w:rPr>
              <w:t xml:space="preserve">nodrošināt profesionālās vidējās izglītības kvalitāti, kas </w:t>
            </w:r>
            <w:r w:rsidR="00973D9C" w:rsidRPr="00040E45">
              <w:rPr>
                <w:sz w:val="28"/>
              </w:rPr>
              <w:t xml:space="preserve">sekmētu jauniešu integrēšanos darba tirgū </w:t>
            </w:r>
            <w:r w:rsidR="00460D92" w:rsidRPr="00040E45">
              <w:rPr>
                <w:sz w:val="28"/>
              </w:rPr>
              <w:t xml:space="preserve">pēc profesionālās vai augstākās izglītības </w:t>
            </w:r>
            <w:r w:rsidR="00973D9C" w:rsidRPr="00040E45">
              <w:rPr>
                <w:sz w:val="28"/>
              </w:rPr>
              <w:t>iegūšanas</w:t>
            </w:r>
            <w:r w:rsidR="00866620">
              <w:rPr>
                <w:sz w:val="28"/>
              </w:rPr>
              <w:t>, kā arī nodrošinātu</w:t>
            </w:r>
            <w:r w:rsidRPr="00040E45">
              <w:rPr>
                <w:sz w:val="28"/>
              </w:rPr>
              <w:t xml:space="preserve"> mūzikas, dejas, mākslas u</w:t>
            </w:r>
            <w:r w:rsidR="00866620">
              <w:rPr>
                <w:sz w:val="28"/>
              </w:rPr>
              <w:t xml:space="preserve">n dizaina izglītības </w:t>
            </w:r>
            <w:r w:rsidR="00866620" w:rsidRPr="00866620">
              <w:rPr>
                <w:sz w:val="28"/>
              </w:rPr>
              <w:t xml:space="preserve">programmu </w:t>
            </w:r>
            <w:r w:rsidRPr="00866620">
              <w:rPr>
                <w:sz w:val="28"/>
              </w:rPr>
              <w:t>izglītības satura un materiāli tehniskās bāzes pilnveidi</w:t>
            </w:r>
            <w:r w:rsidR="00866620" w:rsidRPr="00866620">
              <w:rPr>
                <w:sz w:val="28"/>
              </w:rPr>
              <w:t xml:space="preserve"> un</w:t>
            </w:r>
            <w:r w:rsidRPr="00866620">
              <w:rPr>
                <w:sz w:val="28"/>
              </w:rPr>
              <w:t xml:space="preserve"> </w:t>
            </w:r>
            <w:r w:rsidR="00492F4F" w:rsidRPr="00866620">
              <w:rPr>
                <w:sz w:val="28"/>
              </w:rPr>
              <w:t>uzlabot</w:t>
            </w:r>
            <w:r w:rsidR="00866620" w:rsidRPr="00866620">
              <w:rPr>
                <w:sz w:val="28"/>
              </w:rPr>
              <w:t>u</w:t>
            </w:r>
            <w:r w:rsidR="00492F4F" w:rsidRPr="00866620">
              <w:rPr>
                <w:sz w:val="28"/>
              </w:rPr>
              <w:t xml:space="preserve"> </w:t>
            </w:r>
            <w:r w:rsidRPr="00866620">
              <w:rPr>
                <w:sz w:val="28"/>
              </w:rPr>
              <w:t>izglītības iestāžu adminis</w:t>
            </w:r>
            <w:r w:rsidR="00492F4F" w:rsidRPr="00866620">
              <w:rPr>
                <w:sz w:val="28"/>
              </w:rPr>
              <w:t>tratīvās pārvaldes</w:t>
            </w:r>
            <w:r w:rsidR="00492F4F" w:rsidRPr="00040E45">
              <w:rPr>
                <w:sz w:val="28"/>
              </w:rPr>
              <w:t xml:space="preserve"> efektivitāti</w:t>
            </w:r>
            <w:r w:rsidRPr="00040E45">
              <w:rPr>
                <w:sz w:val="28"/>
              </w:rPr>
              <w:t xml:space="preserve"> un izglītības iestā</w:t>
            </w:r>
            <w:r w:rsidR="00492F4F" w:rsidRPr="00040E45">
              <w:rPr>
                <w:sz w:val="28"/>
              </w:rPr>
              <w:t>žu infrastruktūru.</w:t>
            </w:r>
            <w:r w:rsidR="008520A7" w:rsidRPr="00040E45">
              <w:rPr>
                <w:sz w:val="28"/>
              </w:rPr>
              <w:t xml:space="preserve"> </w:t>
            </w:r>
          </w:p>
          <w:p w:rsidR="00AF30FE" w:rsidRPr="00040E45" w:rsidRDefault="007D6510" w:rsidP="00040E45">
            <w:pPr>
              <w:pStyle w:val="naisc"/>
              <w:spacing w:before="0" w:after="0"/>
              <w:ind w:firstLine="552"/>
              <w:jc w:val="both"/>
              <w:rPr>
                <w:sz w:val="28"/>
              </w:rPr>
            </w:pPr>
            <w:r w:rsidRPr="00040E45">
              <w:rPr>
                <w:sz w:val="28"/>
              </w:rPr>
              <w:t>Ņemot vērā nozaru darba tirgus specifiku, š</w:t>
            </w:r>
            <w:r w:rsidR="00460D92" w:rsidRPr="00040E45">
              <w:rPr>
                <w:sz w:val="28"/>
              </w:rPr>
              <w:t>obrīd Ministru kabineta 2013.gada 19.marta noteikumu Nr.144 „Profesionālās izglītības kompetences centra statusa piešķirša</w:t>
            </w:r>
            <w:r w:rsidR="002633B6" w:rsidRPr="00040E45">
              <w:rPr>
                <w:sz w:val="28"/>
              </w:rPr>
              <w:t>nas un anulēšanas kārtība” 4.2.</w:t>
            </w:r>
            <w:r w:rsidR="00460D92" w:rsidRPr="00040E45">
              <w:rPr>
                <w:sz w:val="28"/>
              </w:rPr>
              <w:t xml:space="preserve">apakšpunkts nosaka, ka </w:t>
            </w:r>
            <w:r w:rsidR="00857FD8" w:rsidRPr="00040E45">
              <w:rPr>
                <w:sz w:val="28"/>
              </w:rPr>
              <w:t>K</w:t>
            </w:r>
            <w:r w:rsidR="00BD1055" w:rsidRPr="00040E45">
              <w:rPr>
                <w:sz w:val="28"/>
              </w:rPr>
              <w:t xml:space="preserve">ultūras ministrijas padotībā esošai </w:t>
            </w:r>
            <w:r w:rsidR="002A7D64" w:rsidRPr="00040E45">
              <w:rPr>
                <w:sz w:val="28"/>
              </w:rPr>
              <w:t xml:space="preserve">profesionālās vidējās izglītības iestādei, kurā apgūst mūzikas un skatuves mākslas izglītības programmas, Kompetences centra statusu </w:t>
            </w:r>
            <w:r w:rsidR="00492F4F" w:rsidRPr="00040E45">
              <w:rPr>
                <w:sz w:val="28"/>
              </w:rPr>
              <w:t>piešķir</w:t>
            </w:r>
            <w:r w:rsidR="00BD1055" w:rsidRPr="00040E45">
              <w:rPr>
                <w:sz w:val="28"/>
              </w:rPr>
              <w:t xml:space="preserve">, </w:t>
            </w:r>
            <w:r w:rsidR="0004592D" w:rsidRPr="00040E45">
              <w:rPr>
                <w:sz w:val="28"/>
              </w:rPr>
              <w:t>ja</w:t>
            </w:r>
            <w:r w:rsidR="00857FD8" w:rsidRPr="00040E45">
              <w:rPr>
                <w:sz w:val="28"/>
              </w:rPr>
              <w:t xml:space="preserve"> papildus šajos noteikumos minētajiem kritērijiem tajā profesionālo vidējo izglītību iegūst </w:t>
            </w:r>
            <w:r w:rsidR="00BD1055" w:rsidRPr="00040E45">
              <w:rPr>
                <w:sz w:val="28"/>
              </w:rPr>
              <w:t>ne mazāk par 200 izglītojamiem</w:t>
            </w:r>
            <w:r w:rsidR="002A7D64" w:rsidRPr="00040E45">
              <w:rPr>
                <w:sz w:val="28"/>
              </w:rPr>
              <w:t>.</w:t>
            </w:r>
            <w:r w:rsidR="00857FD8" w:rsidRPr="00040E45">
              <w:rPr>
                <w:sz w:val="28"/>
              </w:rPr>
              <w:t xml:space="preserve"> </w:t>
            </w:r>
          </w:p>
          <w:p w:rsidR="002A7D64" w:rsidRPr="00040E45" w:rsidRDefault="002633B6" w:rsidP="00040E45">
            <w:pPr>
              <w:pStyle w:val="naisc"/>
              <w:spacing w:before="0" w:after="0"/>
              <w:ind w:firstLine="55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P</w:t>
            </w:r>
            <w:r w:rsidR="00AF30FE" w:rsidRPr="002633B6">
              <w:rPr>
                <w:sz w:val="28"/>
                <w:szCs w:val="28"/>
              </w:rPr>
              <w:t>rojekta</w:t>
            </w:r>
            <w:r w:rsidR="00AF30FE" w:rsidRPr="00040E45">
              <w:rPr>
                <w:sz w:val="28"/>
              </w:rPr>
              <w:t xml:space="preserve"> mērķis </w:t>
            </w:r>
            <w:r w:rsidR="007D6510" w:rsidRPr="00040E45">
              <w:rPr>
                <w:sz w:val="28"/>
              </w:rPr>
              <w:t xml:space="preserve">ir </w:t>
            </w:r>
            <w:r w:rsidR="00AF30FE" w:rsidRPr="00040E45">
              <w:rPr>
                <w:sz w:val="28"/>
              </w:rPr>
              <w:t xml:space="preserve">noteikt, ka </w:t>
            </w:r>
            <w:r w:rsidR="002A7D64" w:rsidRPr="00040E45">
              <w:rPr>
                <w:sz w:val="28"/>
              </w:rPr>
              <w:t xml:space="preserve">Kultūras </w:t>
            </w:r>
            <w:r w:rsidR="002A7D64" w:rsidRPr="00040E45">
              <w:rPr>
                <w:sz w:val="28"/>
              </w:rPr>
              <w:lastRenderedPageBreak/>
              <w:t>ministrijas padotībā esošai profesionālās vidējās izglītības iestādei, kurā apgūst mūzikas un skatuves mākslas izglītības programmas un kura atrodas ārpus Rīgas – citā administratīvā teritorijā, Kompetences centra statusu piešķir, ja papildus šajos noteikumos minētajiem kritērijiem, tajā profesionālo vidējo izglītību iegūst ne mazāk par 100 izglītojamiem</w:t>
            </w:r>
            <w:r w:rsidR="00362CED" w:rsidRPr="00040E45">
              <w:rPr>
                <w:sz w:val="28"/>
              </w:rPr>
              <w:t xml:space="preserve"> </w:t>
            </w:r>
          </w:p>
          <w:p w:rsidR="00F1599D" w:rsidRDefault="00362CED" w:rsidP="00040E45">
            <w:pPr>
              <w:pStyle w:val="naisc"/>
              <w:spacing w:before="0" w:after="0"/>
              <w:ind w:firstLine="552"/>
              <w:jc w:val="both"/>
              <w:rPr>
                <w:sz w:val="28"/>
              </w:rPr>
            </w:pPr>
            <w:r w:rsidRPr="00040E45">
              <w:rPr>
                <w:sz w:val="28"/>
              </w:rPr>
              <w:t>Pēc Kompetences centr</w:t>
            </w:r>
            <w:r w:rsidR="00492F4F" w:rsidRPr="00040E45">
              <w:rPr>
                <w:sz w:val="28"/>
              </w:rPr>
              <w:t>a</w:t>
            </w:r>
            <w:r w:rsidRPr="00040E45">
              <w:rPr>
                <w:sz w:val="28"/>
              </w:rPr>
              <w:t xml:space="preserve"> izveides Rīgā, apvienojot E.Dārziņa Mūzikas vidusskolu, Rīgas Horeogrāfijas vidusskolu, Rīgas Doma kora skolu un J.Mediņa Rīgas mūzikas vidusskolu, ir plānots izveidot arī Kompetences centru</w:t>
            </w:r>
            <w:r w:rsidR="002A7D64" w:rsidRPr="00040E45">
              <w:rPr>
                <w:sz w:val="28"/>
              </w:rPr>
              <w:t xml:space="preserve"> Ventspilī</w:t>
            </w:r>
            <w:r w:rsidRPr="00040E45">
              <w:rPr>
                <w:sz w:val="28"/>
              </w:rPr>
              <w:t>, kurā apgūst mūzikas un skatuves mākslas izglītības programmas</w:t>
            </w:r>
            <w:r w:rsidR="002A7D64" w:rsidRPr="00040E45">
              <w:rPr>
                <w:sz w:val="28"/>
              </w:rPr>
              <w:t>.</w:t>
            </w:r>
            <w:r w:rsidRPr="00040E45">
              <w:rPr>
                <w:sz w:val="28"/>
              </w:rPr>
              <w:t xml:space="preserve"> </w:t>
            </w:r>
          </w:p>
          <w:p w:rsidR="00F1599D" w:rsidRDefault="00362CED" w:rsidP="00040E45">
            <w:pPr>
              <w:pStyle w:val="naisc"/>
              <w:spacing w:before="0" w:after="0"/>
              <w:ind w:firstLine="552"/>
              <w:jc w:val="both"/>
              <w:rPr>
                <w:sz w:val="28"/>
              </w:rPr>
            </w:pPr>
            <w:r w:rsidRPr="00040E45">
              <w:rPr>
                <w:sz w:val="28"/>
              </w:rPr>
              <w:t>Līdzšinējā statistika rāda, ka nevienā no mūzikas profe</w:t>
            </w:r>
            <w:r w:rsidR="00040E45">
              <w:rPr>
                <w:sz w:val="28"/>
              </w:rPr>
              <w:t>sionālās vidējās izglītības iestādēm</w:t>
            </w:r>
            <w:r w:rsidRPr="00040E45">
              <w:rPr>
                <w:sz w:val="28"/>
              </w:rPr>
              <w:t>, kas</w:t>
            </w:r>
            <w:r w:rsidR="00040E45">
              <w:rPr>
                <w:sz w:val="28"/>
              </w:rPr>
              <w:t xml:space="preserve"> atrodas</w:t>
            </w:r>
            <w:r w:rsidRPr="00040E45">
              <w:rPr>
                <w:sz w:val="28"/>
              </w:rPr>
              <w:t xml:space="preserve"> ārpus Rīgas, </w:t>
            </w:r>
            <w:r w:rsidR="00040E45">
              <w:rPr>
                <w:sz w:val="28"/>
              </w:rPr>
              <w:t>profesionālās vidējās izglītības pakāpē</w:t>
            </w:r>
            <w:r w:rsidR="00040E45" w:rsidRPr="00040E45">
              <w:rPr>
                <w:sz w:val="28"/>
              </w:rPr>
              <w:t xml:space="preserve"> </w:t>
            </w:r>
            <w:r w:rsidRPr="00040E45">
              <w:rPr>
                <w:sz w:val="28"/>
              </w:rPr>
              <w:t>nav vairāk par 100 izglītojam</w:t>
            </w:r>
            <w:r w:rsidR="002A7D64" w:rsidRPr="00040E45">
              <w:rPr>
                <w:sz w:val="28"/>
              </w:rPr>
              <w:t>iem</w:t>
            </w:r>
            <w:r w:rsidRPr="00040E45">
              <w:rPr>
                <w:sz w:val="28"/>
              </w:rPr>
              <w:t>, un Kultūras ministrija neplāno palielināt kopējo izglītojamo skaitu kultūrizglītības profesionālās vidējās izglītības programmās.</w:t>
            </w:r>
            <w:r w:rsidR="00040E45">
              <w:rPr>
                <w:sz w:val="28"/>
              </w:rPr>
              <w:t xml:space="preserve"> </w:t>
            </w:r>
          </w:p>
          <w:p w:rsidR="00E7281C" w:rsidRPr="00040E45" w:rsidRDefault="00F1599D" w:rsidP="00040E45">
            <w:pPr>
              <w:pStyle w:val="naisc"/>
              <w:spacing w:before="0" w:after="0"/>
              <w:ind w:firstLine="5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Mūzikas profesionālo vidējo izglītību </w:t>
            </w:r>
            <w:r w:rsidR="00040E45" w:rsidRPr="00040E45">
              <w:rPr>
                <w:sz w:val="28"/>
              </w:rPr>
              <w:t>Alfrēda</w:t>
            </w:r>
            <w:r>
              <w:rPr>
                <w:sz w:val="28"/>
              </w:rPr>
              <w:t xml:space="preserve"> Kalniņa Cēsu mūzikas vidusskolā</w:t>
            </w:r>
            <w:r w:rsidR="00040E4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apgūst </w:t>
            </w:r>
            <w:r w:rsidR="00040E45">
              <w:rPr>
                <w:sz w:val="28"/>
              </w:rPr>
              <w:t>30</w:t>
            </w:r>
            <w:r>
              <w:rPr>
                <w:sz w:val="28"/>
              </w:rPr>
              <w:t xml:space="preserve"> izglītojamo,</w:t>
            </w:r>
            <w:r w:rsidR="00040E45">
              <w:rPr>
                <w:sz w:val="28"/>
              </w:rPr>
              <w:t xml:space="preserve"> </w:t>
            </w:r>
            <w:r>
              <w:rPr>
                <w:sz w:val="28"/>
              </w:rPr>
              <w:t>J</w:t>
            </w:r>
            <w:r w:rsidR="00040E45" w:rsidRPr="00040E45">
              <w:rPr>
                <w:sz w:val="28"/>
              </w:rPr>
              <w:t>elgavas mūzikas vidusskol</w:t>
            </w:r>
            <w:r>
              <w:rPr>
                <w:sz w:val="28"/>
              </w:rPr>
              <w:t>ā apgūst</w:t>
            </w:r>
            <w:r w:rsidR="00040E45">
              <w:rPr>
                <w:sz w:val="28"/>
              </w:rPr>
              <w:t xml:space="preserve"> 57</w:t>
            </w:r>
            <w:r>
              <w:rPr>
                <w:sz w:val="28"/>
              </w:rPr>
              <w:t xml:space="preserve"> izglītojamo,</w:t>
            </w:r>
            <w:r w:rsidR="00040E45">
              <w:rPr>
                <w:sz w:val="28"/>
              </w:rPr>
              <w:t xml:space="preserve"> Daugavpils</w:t>
            </w:r>
            <w:r w:rsidR="00040E45" w:rsidRPr="00040E45">
              <w:rPr>
                <w:sz w:val="28"/>
              </w:rPr>
              <w:t xml:space="preserve"> mūzikas vidusskol</w:t>
            </w:r>
            <w:r>
              <w:rPr>
                <w:sz w:val="28"/>
              </w:rPr>
              <w:t>ā</w:t>
            </w:r>
            <w:r w:rsidR="00040E4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apgūst </w:t>
            </w:r>
            <w:r w:rsidR="00040E45">
              <w:rPr>
                <w:sz w:val="28"/>
              </w:rPr>
              <w:t>73</w:t>
            </w:r>
            <w:r>
              <w:rPr>
                <w:sz w:val="28"/>
              </w:rPr>
              <w:t xml:space="preserve"> izglītojamo,</w:t>
            </w:r>
            <w:r w:rsidR="00040E45">
              <w:rPr>
                <w:sz w:val="28"/>
              </w:rPr>
              <w:t xml:space="preserve"> </w:t>
            </w:r>
            <w:r w:rsidR="00040E45" w:rsidRPr="00040E45">
              <w:rPr>
                <w:sz w:val="28"/>
              </w:rPr>
              <w:t>Jāņa Ivanova Rēzeknes mūzikas vidusskol</w:t>
            </w:r>
            <w:r>
              <w:rPr>
                <w:sz w:val="28"/>
              </w:rPr>
              <w:t>ā</w:t>
            </w:r>
            <w:r w:rsidR="00040E4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apgūst </w:t>
            </w:r>
            <w:r w:rsidR="00040E45">
              <w:rPr>
                <w:sz w:val="28"/>
              </w:rPr>
              <w:t>43</w:t>
            </w:r>
            <w:r>
              <w:rPr>
                <w:sz w:val="28"/>
              </w:rPr>
              <w:t xml:space="preserve"> izglītojamo,</w:t>
            </w:r>
            <w:r w:rsidR="00040E45">
              <w:rPr>
                <w:sz w:val="28"/>
              </w:rPr>
              <w:t xml:space="preserve"> </w:t>
            </w:r>
            <w:proofErr w:type="spellStart"/>
            <w:r w:rsidR="00040E45" w:rsidRPr="00040E45">
              <w:rPr>
                <w:sz w:val="28"/>
              </w:rPr>
              <w:t>Emiļa</w:t>
            </w:r>
            <w:proofErr w:type="spellEnd"/>
            <w:r w:rsidR="00040E45" w:rsidRPr="00040E45">
              <w:rPr>
                <w:sz w:val="28"/>
              </w:rPr>
              <w:t xml:space="preserve"> Melngaiļa Liepājas mūzikas vidusskol</w:t>
            </w:r>
            <w:r>
              <w:rPr>
                <w:sz w:val="28"/>
              </w:rPr>
              <w:t>ā</w:t>
            </w:r>
            <w:r w:rsidR="00040E4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apgūst </w:t>
            </w:r>
            <w:r w:rsidR="00040E45">
              <w:rPr>
                <w:sz w:val="28"/>
              </w:rPr>
              <w:t>56</w:t>
            </w:r>
            <w:r>
              <w:rPr>
                <w:sz w:val="28"/>
              </w:rPr>
              <w:t xml:space="preserve"> izglītojamo un </w:t>
            </w:r>
            <w:r w:rsidR="00040E45" w:rsidRPr="00040E45">
              <w:rPr>
                <w:sz w:val="28"/>
              </w:rPr>
              <w:t>Ventspils Mūzikas vidusskol</w:t>
            </w:r>
            <w:r>
              <w:rPr>
                <w:sz w:val="28"/>
              </w:rPr>
              <w:t>ā apgūst 7</w:t>
            </w:r>
            <w:r w:rsidR="00040E45">
              <w:rPr>
                <w:sz w:val="28"/>
              </w:rPr>
              <w:t>6</w:t>
            </w:r>
            <w:r>
              <w:rPr>
                <w:sz w:val="28"/>
              </w:rPr>
              <w:t xml:space="preserve"> izglītojamo</w:t>
            </w:r>
            <w:r w:rsidR="00040E45">
              <w:rPr>
                <w:sz w:val="28"/>
              </w:rPr>
              <w:t xml:space="preserve"> (plānots palielināt līdz 100 izglītojamiem).</w:t>
            </w:r>
          </w:p>
          <w:p w:rsidR="004B043D" w:rsidRPr="00040E45" w:rsidRDefault="00AF30FE" w:rsidP="00040E45">
            <w:pPr>
              <w:pStyle w:val="naisc"/>
              <w:spacing w:before="0" w:after="0"/>
              <w:ind w:firstLine="552"/>
              <w:jc w:val="both"/>
              <w:rPr>
                <w:sz w:val="28"/>
              </w:rPr>
            </w:pPr>
            <w:r w:rsidRPr="00040E45">
              <w:rPr>
                <w:sz w:val="28"/>
              </w:rPr>
              <w:t>Projekts neradīs nekādu finansiālo ietekmi, jo nosaka kritērijus Kompetences centra statusa piešķiršanai.</w:t>
            </w:r>
          </w:p>
        </w:tc>
      </w:tr>
      <w:tr w:rsidR="008B6F82" w:rsidRPr="002633B6" w:rsidTr="00333A56">
        <w:trPr>
          <w:trHeight w:val="47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3E7A49" w:rsidP="00651B0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40E45">
              <w:rPr>
                <w:sz w:val="28"/>
              </w:rPr>
              <w:lastRenderedPageBreak/>
              <w:t>3</w:t>
            </w:r>
            <w:r w:rsidR="008B6F82" w:rsidRPr="00040E45">
              <w:rPr>
                <w:sz w:val="28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8B6F82" w:rsidP="00C71066">
            <w:pPr>
              <w:spacing w:before="100" w:beforeAutospacing="1" w:after="100" w:afterAutospacing="1"/>
              <w:rPr>
                <w:sz w:val="28"/>
              </w:rPr>
            </w:pPr>
            <w:r w:rsidRPr="00040E45">
              <w:rPr>
                <w:sz w:val="28"/>
              </w:rPr>
              <w:t> Projekta izstrādē iesaistītās institūcijas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913C3E" w:rsidP="003158C0">
            <w:pPr>
              <w:ind w:left="57" w:right="57"/>
              <w:jc w:val="both"/>
              <w:rPr>
                <w:sz w:val="28"/>
              </w:rPr>
            </w:pPr>
            <w:r w:rsidRPr="00040E45">
              <w:rPr>
                <w:sz w:val="28"/>
              </w:rPr>
              <w:t xml:space="preserve">Kultūras ministrija, </w:t>
            </w:r>
            <w:r w:rsidR="00F805F2" w:rsidRPr="00040E45">
              <w:rPr>
                <w:sz w:val="28"/>
              </w:rPr>
              <w:t>Latvij</w:t>
            </w:r>
            <w:r w:rsidR="003158C0" w:rsidRPr="00040E45">
              <w:rPr>
                <w:sz w:val="28"/>
              </w:rPr>
              <w:t>as Nacionālais kultūras centrs</w:t>
            </w:r>
            <w:r w:rsidR="008520A7" w:rsidRPr="00040E45">
              <w:rPr>
                <w:sz w:val="28"/>
              </w:rPr>
              <w:t>.</w:t>
            </w:r>
          </w:p>
        </w:tc>
      </w:tr>
      <w:tr w:rsidR="008B6F82" w:rsidRPr="002633B6" w:rsidTr="00333A56">
        <w:trPr>
          <w:trHeight w:val="50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8207E7" w:rsidP="00651B00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40E45">
              <w:rPr>
                <w:sz w:val="28"/>
              </w:rPr>
              <w:t>4</w:t>
            </w:r>
            <w:r w:rsidR="008B6F82" w:rsidRPr="00040E45">
              <w:rPr>
                <w:sz w:val="28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8B6F82" w:rsidP="00C71066">
            <w:pPr>
              <w:spacing w:before="100" w:beforeAutospacing="1" w:after="100" w:afterAutospacing="1"/>
              <w:rPr>
                <w:sz w:val="28"/>
              </w:rPr>
            </w:pPr>
            <w:r w:rsidRPr="00040E45">
              <w:rPr>
                <w:sz w:val="28"/>
              </w:rPr>
              <w:t> Cita informācija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8B6F82" w:rsidP="00C71066">
            <w:pPr>
              <w:jc w:val="both"/>
              <w:rPr>
                <w:sz w:val="28"/>
              </w:rPr>
            </w:pPr>
            <w:r w:rsidRPr="00040E45">
              <w:rPr>
                <w:sz w:val="28"/>
              </w:rPr>
              <w:t xml:space="preserve"> Nav</w:t>
            </w:r>
          </w:p>
        </w:tc>
      </w:tr>
    </w:tbl>
    <w:p w:rsidR="008B6F82" w:rsidRPr="00040E45" w:rsidRDefault="008B6F82" w:rsidP="008B6F82">
      <w:pPr>
        <w:jc w:val="both"/>
        <w:rPr>
          <w:sz w:val="28"/>
        </w:rPr>
      </w:pPr>
    </w:p>
    <w:tbl>
      <w:tblPr>
        <w:tblpPr w:leftFromText="180" w:rightFromText="180" w:vertAnchor="text" w:horzAnchor="margin" w:tblpXSpec="center" w:tblpY="149"/>
        <w:tblW w:w="921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3827"/>
        <w:gridCol w:w="4961"/>
      </w:tblGrid>
      <w:tr w:rsidR="008B6F82" w:rsidRPr="002633B6" w:rsidTr="00651B00">
        <w:trPr>
          <w:trHeight w:val="560"/>
        </w:trPr>
        <w:tc>
          <w:tcPr>
            <w:tcW w:w="9219" w:type="dxa"/>
            <w:gridSpan w:val="3"/>
            <w:vAlign w:val="center"/>
          </w:tcPr>
          <w:p w:rsidR="008B6F82" w:rsidRPr="00040E45" w:rsidRDefault="008B6F82" w:rsidP="00C71066">
            <w:pPr>
              <w:pStyle w:val="naisnod"/>
              <w:spacing w:before="0" w:after="0"/>
              <w:jc w:val="center"/>
              <w:rPr>
                <w:b/>
                <w:sz w:val="28"/>
              </w:rPr>
            </w:pPr>
            <w:r w:rsidRPr="00040E45">
              <w:rPr>
                <w:b/>
                <w:sz w:val="28"/>
              </w:rPr>
              <w:t>II. Tiesību akta projekta ietekme uz sabiedrību</w:t>
            </w:r>
            <w:r w:rsidR="00C141CC" w:rsidRPr="00040E45">
              <w:rPr>
                <w:b/>
                <w:sz w:val="28"/>
              </w:rPr>
              <w:t>, tautsaimniecības attīstību un administratīvo slogu</w:t>
            </w:r>
          </w:p>
        </w:tc>
      </w:tr>
      <w:tr w:rsidR="008B6F82" w:rsidRPr="002633B6" w:rsidTr="00651B00">
        <w:trPr>
          <w:trHeight w:val="467"/>
        </w:trPr>
        <w:tc>
          <w:tcPr>
            <w:tcW w:w="431" w:type="dxa"/>
          </w:tcPr>
          <w:p w:rsidR="008B6F82" w:rsidRPr="00040E45" w:rsidRDefault="008B6F82" w:rsidP="00651B00">
            <w:pPr>
              <w:pStyle w:val="naiskr"/>
              <w:spacing w:before="0" w:after="0"/>
              <w:jc w:val="center"/>
              <w:rPr>
                <w:sz w:val="28"/>
              </w:rPr>
            </w:pPr>
            <w:r w:rsidRPr="00040E45">
              <w:rPr>
                <w:sz w:val="28"/>
              </w:rPr>
              <w:lastRenderedPageBreak/>
              <w:t>1.</w:t>
            </w:r>
          </w:p>
        </w:tc>
        <w:tc>
          <w:tcPr>
            <w:tcW w:w="3827" w:type="dxa"/>
          </w:tcPr>
          <w:p w:rsidR="008B6F82" w:rsidRPr="00040E45" w:rsidRDefault="008B6F82" w:rsidP="00ED7F41">
            <w:pPr>
              <w:pStyle w:val="naiskr"/>
              <w:spacing w:before="0" w:after="0"/>
              <w:rPr>
                <w:sz w:val="28"/>
              </w:rPr>
            </w:pPr>
            <w:r w:rsidRPr="00040E45">
              <w:rPr>
                <w:sz w:val="28"/>
              </w:rPr>
              <w:t>Sabiedrības mērķgrupa</w:t>
            </w:r>
            <w:r w:rsidR="00ED7F41" w:rsidRPr="00040E45">
              <w:rPr>
                <w:sz w:val="28"/>
              </w:rPr>
              <w:t>, kuras tiesiskais regulējums</w:t>
            </w:r>
            <w:r w:rsidR="008207E7" w:rsidRPr="00040E45">
              <w:rPr>
                <w:sz w:val="28"/>
              </w:rPr>
              <w:t xml:space="preserve"> ietekmē vai varētu ietekmēt</w:t>
            </w:r>
          </w:p>
        </w:tc>
        <w:tc>
          <w:tcPr>
            <w:tcW w:w="4961" w:type="dxa"/>
          </w:tcPr>
          <w:p w:rsidR="008B6F82" w:rsidRPr="00040E45" w:rsidRDefault="00AC56DD" w:rsidP="00AC56DD">
            <w:pPr>
              <w:pStyle w:val="naiskr"/>
              <w:jc w:val="both"/>
              <w:rPr>
                <w:sz w:val="28"/>
              </w:rPr>
            </w:pPr>
            <w:r w:rsidRPr="00040E45">
              <w:rPr>
                <w:sz w:val="28"/>
              </w:rPr>
              <w:t>P</w:t>
            </w:r>
            <w:r w:rsidR="00F3406F" w:rsidRPr="00040E45">
              <w:rPr>
                <w:sz w:val="28"/>
              </w:rPr>
              <w:t>rojekta mērķgrupa ir Kultūras ministrijas padotībā esošās profesionālās vidējās izglītības iestādes, to pedagogi, izglītojamie</w:t>
            </w:r>
            <w:r w:rsidR="00407AEF" w:rsidRPr="00040E45">
              <w:rPr>
                <w:sz w:val="28"/>
              </w:rPr>
              <w:t xml:space="preserve"> un</w:t>
            </w:r>
            <w:r w:rsidR="00F3406F" w:rsidRPr="00040E45">
              <w:rPr>
                <w:sz w:val="28"/>
              </w:rPr>
              <w:t xml:space="preserve"> viņu vecāki.</w:t>
            </w:r>
          </w:p>
        </w:tc>
      </w:tr>
      <w:tr w:rsidR="008B6F82" w:rsidRPr="002633B6" w:rsidTr="00651B00">
        <w:trPr>
          <w:trHeight w:val="523"/>
        </w:trPr>
        <w:tc>
          <w:tcPr>
            <w:tcW w:w="431" w:type="dxa"/>
          </w:tcPr>
          <w:p w:rsidR="008B6F82" w:rsidRPr="00040E45" w:rsidRDefault="008B6F82" w:rsidP="00651B00">
            <w:pPr>
              <w:pStyle w:val="naiskr"/>
              <w:spacing w:before="0" w:after="0"/>
              <w:jc w:val="center"/>
              <w:rPr>
                <w:sz w:val="28"/>
              </w:rPr>
            </w:pPr>
            <w:r w:rsidRPr="00040E45">
              <w:rPr>
                <w:sz w:val="28"/>
              </w:rPr>
              <w:t>2.</w:t>
            </w:r>
          </w:p>
        </w:tc>
        <w:tc>
          <w:tcPr>
            <w:tcW w:w="3827" w:type="dxa"/>
          </w:tcPr>
          <w:p w:rsidR="008B6F82" w:rsidRPr="00040E45" w:rsidRDefault="008207E7" w:rsidP="00C71066">
            <w:pPr>
              <w:pStyle w:val="naiskr"/>
              <w:spacing w:before="0" w:after="0"/>
              <w:rPr>
                <w:sz w:val="28"/>
              </w:rPr>
            </w:pPr>
            <w:r w:rsidRPr="00040E45">
              <w:rPr>
                <w:sz w:val="28"/>
              </w:rPr>
              <w:t>Tiesiskā regulējuma ietekme uz tautsaimniecību un administratīvo slogu</w:t>
            </w:r>
          </w:p>
        </w:tc>
        <w:tc>
          <w:tcPr>
            <w:tcW w:w="4961" w:type="dxa"/>
          </w:tcPr>
          <w:p w:rsidR="008B6F82" w:rsidRPr="00040E45" w:rsidRDefault="00F3406F" w:rsidP="00383C7C">
            <w:pPr>
              <w:pStyle w:val="naiskr"/>
              <w:jc w:val="both"/>
              <w:rPr>
                <w:sz w:val="28"/>
              </w:rPr>
            </w:pPr>
            <w:r w:rsidRPr="00040E45">
              <w:rPr>
                <w:sz w:val="28"/>
              </w:rPr>
              <w:t>Projekts šo jomu neskar.</w:t>
            </w:r>
          </w:p>
        </w:tc>
      </w:tr>
      <w:tr w:rsidR="008B6F82" w:rsidRPr="002633B6" w:rsidTr="00651B00">
        <w:trPr>
          <w:trHeight w:val="357"/>
        </w:trPr>
        <w:tc>
          <w:tcPr>
            <w:tcW w:w="431" w:type="dxa"/>
          </w:tcPr>
          <w:p w:rsidR="008B6F82" w:rsidRPr="00040E45" w:rsidRDefault="008207E7" w:rsidP="00651B00">
            <w:pPr>
              <w:pStyle w:val="naiskr"/>
              <w:spacing w:before="0" w:after="0"/>
              <w:jc w:val="center"/>
              <w:rPr>
                <w:sz w:val="28"/>
              </w:rPr>
            </w:pPr>
            <w:r w:rsidRPr="00040E45">
              <w:rPr>
                <w:sz w:val="28"/>
              </w:rPr>
              <w:t>3</w:t>
            </w:r>
            <w:r w:rsidR="008B6F82" w:rsidRPr="00040E45">
              <w:rPr>
                <w:sz w:val="28"/>
              </w:rPr>
              <w:t>.</w:t>
            </w:r>
          </w:p>
        </w:tc>
        <w:tc>
          <w:tcPr>
            <w:tcW w:w="3827" w:type="dxa"/>
          </w:tcPr>
          <w:p w:rsidR="008B6F82" w:rsidRPr="00040E45" w:rsidRDefault="008B6F82" w:rsidP="00C71066">
            <w:pPr>
              <w:pStyle w:val="naiskr"/>
              <w:spacing w:before="0" w:after="0"/>
              <w:rPr>
                <w:sz w:val="28"/>
              </w:rPr>
            </w:pPr>
            <w:r w:rsidRPr="00040E45">
              <w:rPr>
                <w:sz w:val="28"/>
              </w:rPr>
              <w:t>Administratīvo izmaksu monetārs novērtējums</w:t>
            </w:r>
          </w:p>
        </w:tc>
        <w:tc>
          <w:tcPr>
            <w:tcW w:w="4961" w:type="dxa"/>
          </w:tcPr>
          <w:p w:rsidR="008B6F82" w:rsidRPr="00040E45" w:rsidRDefault="008B6F82" w:rsidP="00C71066">
            <w:pPr>
              <w:pStyle w:val="naiskr"/>
              <w:spacing w:before="0" w:after="0"/>
              <w:rPr>
                <w:sz w:val="28"/>
              </w:rPr>
            </w:pPr>
            <w:r w:rsidRPr="00040E45">
              <w:rPr>
                <w:sz w:val="28"/>
              </w:rPr>
              <w:t>Projekts šo jomu neskar.</w:t>
            </w:r>
          </w:p>
        </w:tc>
      </w:tr>
      <w:tr w:rsidR="008B6F82" w:rsidRPr="002633B6" w:rsidTr="00651B00">
        <w:trPr>
          <w:trHeight w:val="568"/>
        </w:trPr>
        <w:tc>
          <w:tcPr>
            <w:tcW w:w="431" w:type="dxa"/>
          </w:tcPr>
          <w:p w:rsidR="008B6F82" w:rsidRPr="00040E45" w:rsidRDefault="008207E7" w:rsidP="00651B00">
            <w:pPr>
              <w:pStyle w:val="naiskr"/>
              <w:spacing w:before="0" w:after="0"/>
              <w:jc w:val="center"/>
              <w:rPr>
                <w:sz w:val="28"/>
              </w:rPr>
            </w:pPr>
            <w:r w:rsidRPr="00040E45">
              <w:rPr>
                <w:sz w:val="28"/>
              </w:rPr>
              <w:t>4</w:t>
            </w:r>
            <w:r w:rsidR="008B6F82" w:rsidRPr="00040E45">
              <w:rPr>
                <w:sz w:val="28"/>
              </w:rPr>
              <w:t>.</w:t>
            </w:r>
          </w:p>
        </w:tc>
        <w:tc>
          <w:tcPr>
            <w:tcW w:w="3827" w:type="dxa"/>
          </w:tcPr>
          <w:p w:rsidR="008B6F82" w:rsidRPr="00040E45" w:rsidRDefault="008B6F82" w:rsidP="00C71066">
            <w:pPr>
              <w:pStyle w:val="naiskr"/>
              <w:spacing w:before="0" w:after="0"/>
              <w:rPr>
                <w:sz w:val="28"/>
              </w:rPr>
            </w:pPr>
            <w:r w:rsidRPr="00040E45">
              <w:rPr>
                <w:sz w:val="28"/>
              </w:rPr>
              <w:t>Cita informācija</w:t>
            </w:r>
          </w:p>
        </w:tc>
        <w:tc>
          <w:tcPr>
            <w:tcW w:w="4961" w:type="dxa"/>
          </w:tcPr>
          <w:p w:rsidR="008B6F82" w:rsidRPr="00040E45" w:rsidRDefault="008B6F82" w:rsidP="00C71066">
            <w:pPr>
              <w:pStyle w:val="naiskr"/>
              <w:spacing w:before="0" w:after="0"/>
              <w:rPr>
                <w:sz w:val="28"/>
              </w:rPr>
            </w:pPr>
            <w:r w:rsidRPr="00040E45">
              <w:rPr>
                <w:sz w:val="28"/>
              </w:rPr>
              <w:t>Nav</w:t>
            </w:r>
          </w:p>
        </w:tc>
      </w:tr>
    </w:tbl>
    <w:p w:rsidR="00CB2188" w:rsidRPr="00040E45" w:rsidRDefault="00CB2188" w:rsidP="008520A7">
      <w:pPr>
        <w:rPr>
          <w:rFonts w:eastAsia="Calibri"/>
          <w:i/>
          <w:sz w:val="28"/>
        </w:rPr>
      </w:pPr>
    </w:p>
    <w:p w:rsidR="008520A7" w:rsidRPr="00040E45" w:rsidRDefault="008520A7" w:rsidP="008520A7">
      <w:pPr>
        <w:rPr>
          <w:rFonts w:eastAsia="Calibri"/>
          <w:i/>
          <w:sz w:val="28"/>
        </w:rPr>
      </w:pPr>
      <w:r w:rsidRPr="00040E45">
        <w:rPr>
          <w:rFonts w:eastAsia="Calibri"/>
          <w:i/>
          <w:sz w:val="28"/>
        </w:rPr>
        <w:t xml:space="preserve">Anotācijas III, IV, </w:t>
      </w:r>
      <w:r w:rsidRPr="00040E45">
        <w:rPr>
          <w:i/>
          <w:sz w:val="28"/>
        </w:rPr>
        <w:t xml:space="preserve">V un VI </w:t>
      </w:r>
      <w:r w:rsidRPr="00040E45">
        <w:rPr>
          <w:rFonts w:eastAsia="Calibri"/>
          <w:i/>
          <w:sz w:val="28"/>
        </w:rPr>
        <w:t>sadaļa – projekts šo jomu neskar.</w:t>
      </w:r>
    </w:p>
    <w:p w:rsidR="00CB2188" w:rsidRPr="00040E45" w:rsidRDefault="00CB2188" w:rsidP="008520A7">
      <w:pPr>
        <w:rPr>
          <w:rFonts w:eastAsia="Calibri"/>
          <w:i/>
          <w:sz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872"/>
        <w:gridCol w:w="4689"/>
      </w:tblGrid>
      <w:tr w:rsidR="008B6F82" w:rsidRPr="002633B6" w:rsidTr="0049247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F82" w:rsidRPr="00040E45" w:rsidRDefault="008B6F82" w:rsidP="00C71066">
            <w:pPr>
              <w:jc w:val="center"/>
              <w:rPr>
                <w:sz w:val="28"/>
              </w:rPr>
            </w:pPr>
            <w:r w:rsidRPr="00040E45">
              <w:rPr>
                <w:b/>
                <w:sz w:val="28"/>
              </w:rPr>
              <w:t>VII. Tiesību akta projekta izpildes nodrošināšana un tās ietekme uz institūcijām</w:t>
            </w:r>
          </w:p>
        </w:tc>
      </w:tr>
      <w:tr w:rsidR="008B6F82" w:rsidRPr="002633B6" w:rsidTr="0049247E">
        <w:trPr>
          <w:trHeight w:val="427"/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8B6F82" w:rsidP="00C71066">
            <w:pPr>
              <w:rPr>
                <w:sz w:val="28"/>
              </w:rPr>
            </w:pPr>
            <w:r w:rsidRPr="00040E45">
              <w:rPr>
                <w:sz w:val="28"/>
              </w:rPr>
              <w:t> 1.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8B6F82" w:rsidP="00C71066">
            <w:pPr>
              <w:rPr>
                <w:sz w:val="28"/>
              </w:rPr>
            </w:pPr>
            <w:r w:rsidRPr="00040E45">
              <w:rPr>
                <w:sz w:val="28"/>
              </w:rPr>
              <w:t> Projekta izpildē iesaistītās institūcijas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F82" w:rsidRPr="00040E45" w:rsidRDefault="008B6F82" w:rsidP="00C90621">
            <w:pPr>
              <w:ind w:left="57" w:right="57"/>
              <w:contextualSpacing/>
              <w:jc w:val="both"/>
              <w:rPr>
                <w:sz w:val="28"/>
              </w:rPr>
            </w:pPr>
            <w:r w:rsidRPr="00040E45">
              <w:rPr>
                <w:sz w:val="28"/>
              </w:rPr>
              <w:t xml:space="preserve">Kultūras ministrija, </w:t>
            </w:r>
            <w:r w:rsidR="00DD3EC5" w:rsidRPr="00040E45">
              <w:rPr>
                <w:sz w:val="28"/>
              </w:rPr>
              <w:t>Latvijas Nacionālais kultūras</w:t>
            </w:r>
            <w:r w:rsidRPr="00040E45">
              <w:rPr>
                <w:sz w:val="28"/>
              </w:rPr>
              <w:t xml:space="preserve"> centrs</w:t>
            </w:r>
            <w:r w:rsidR="00D11823" w:rsidRPr="00040E45">
              <w:rPr>
                <w:sz w:val="28"/>
              </w:rPr>
              <w:t>.</w:t>
            </w:r>
          </w:p>
        </w:tc>
      </w:tr>
      <w:tr w:rsidR="008B6F82" w:rsidRPr="002633B6" w:rsidTr="0049247E">
        <w:trPr>
          <w:trHeight w:val="463"/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8B6F82" w:rsidP="00C71066">
            <w:pPr>
              <w:rPr>
                <w:sz w:val="28"/>
              </w:rPr>
            </w:pPr>
            <w:r w:rsidRPr="00040E45">
              <w:rPr>
                <w:sz w:val="28"/>
              </w:rPr>
              <w:t> 2.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8B6F82" w:rsidP="00C71066">
            <w:pPr>
              <w:rPr>
                <w:sz w:val="28"/>
              </w:rPr>
            </w:pPr>
            <w:r w:rsidRPr="00040E45">
              <w:rPr>
                <w:sz w:val="28"/>
              </w:rPr>
              <w:t> Projekta izpildes ietekme uz pārvaldes funkcijām</w:t>
            </w:r>
            <w:r w:rsidR="00E33871" w:rsidRPr="00040E45">
              <w:rPr>
                <w:sz w:val="28"/>
              </w:rPr>
              <w:t xml:space="preserve"> un institucionālo struktūru.</w:t>
            </w:r>
          </w:p>
          <w:p w:rsidR="00C90621" w:rsidRPr="00040E45" w:rsidRDefault="00C90621" w:rsidP="00C71066">
            <w:pPr>
              <w:rPr>
                <w:sz w:val="28"/>
              </w:rPr>
            </w:pPr>
          </w:p>
          <w:p w:rsidR="00E33871" w:rsidRPr="00040E45" w:rsidRDefault="00E33871" w:rsidP="00C71066">
            <w:pPr>
              <w:rPr>
                <w:sz w:val="28"/>
              </w:rPr>
            </w:pPr>
            <w:r w:rsidRPr="00040E45">
              <w:rPr>
                <w:sz w:val="28"/>
              </w:rPr>
              <w:t xml:space="preserve">Jaunu institūciju izveide, esošo institūciju likvidācija vai reorganizācija, to ietekme uz institūcijas cilvēkresursiem. 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C90621" w:rsidP="007F62C5">
            <w:pPr>
              <w:ind w:left="57" w:right="57"/>
              <w:jc w:val="both"/>
              <w:rPr>
                <w:sz w:val="28"/>
              </w:rPr>
            </w:pPr>
            <w:r w:rsidRPr="00040E45">
              <w:rPr>
                <w:sz w:val="28"/>
              </w:rPr>
              <w:t>P</w:t>
            </w:r>
            <w:r w:rsidR="00ED7F41" w:rsidRPr="00040E45">
              <w:rPr>
                <w:sz w:val="28"/>
              </w:rPr>
              <w:t>rojekta izpilde neietekmēs pārvaldes funkcijas vai institucionālo struktūru.</w:t>
            </w:r>
          </w:p>
        </w:tc>
      </w:tr>
      <w:tr w:rsidR="008B6F82" w:rsidRPr="002633B6" w:rsidTr="0049247E">
        <w:trPr>
          <w:trHeight w:val="476"/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8B6F82" w:rsidP="00C71066">
            <w:pPr>
              <w:rPr>
                <w:sz w:val="28"/>
              </w:rPr>
            </w:pPr>
            <w:r w:rsidRPr="00040E45">
              <w:rPr>
                <w:sz w:val="28"/>
              </w:rPr>
              <w:t> 6.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8B6F82" w:rsidP="00C71066">
            <w:pPr>
              <w:rPr>
                <w:sz w:val="28"/>
              </w:rPr>
            </w:pPr>
            <w:r w:rsidRPr="00040E45">
              <w:rPr>
                <w:sz w:val="28"/>
              </w:rPr>
              <w:t> Cita informācija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040E45" w:rsidRDefault="00391CB8" w:rsidP="00391CB8">
            <w:pPr>
              <w:ind w:left="-19"/>
              <w:rPr>
                <w:sz w:val="28"/>
              </w:rPr>
            </w:pPr>
            <w:r w:rsidRPr="00040E45">
              <w:rPr>
                <w:sz w:val="28"/>
              </w:rPr>
              <w:t xml:space="preserve"> </w:t>
            </w:r>
            <w:r w:rsidR="008B6F82" w:rsidRPr="00040E45">
              <w:rPr>
                <w:sz w:val="28"/>
              </w:rPr>
              <w:t>Nav</w:t>
            </w:r>
          </w:p>
        </w:tc>
      </w:tr>
      <w:bookmarkEnd w:id="2"/>
      <w:bookmarkEnd w:id="3"/>
      <w:bookmarkEnd w:id="4"/>
      <w:bookmarkEnd w:id="5"/>
    </w:tbl>
    <w:p w:rsidR="00AE3F5F" w:rsidRPr="00040E45" w:rsidRDefault="00AE3F5F" w:rsidP="008B6F82">
      <w:pPr>
        <w:jc w:val="both"/>
        <w:rPr>
          <w:color w:val="000000"/>
          <w:sz w:val="28"/>
        </w:rPr>
      </w:pPr>
    </w:p>
    <w:p w:rsidR="00CB2188" w:rsidRPr="00040E45" w:rsidRDefault="00CB2188" w:rsidP="00F57387">
      <w:pPr>
        <w:ind w:left="284"/>
        <w:rPr>
          <w:sz w:val="28"/>
        </w:rPr>
      </w:pPr>
    </w:p>
    <w:p w:rsidR="008B6F82" w:rsidRPr="00040E45" w:rsidRDefault="008B6F82" w:rsidP="00F57387">
      <w:pPr>
        <w:ind w:left="284"/>
        <w:rPr>
          <w:sz w:val="28"/>
        </w:rPr>
      </w:pPr>
      <w:r w:rsidRPr="00040E45">
        <w:rPr>
          <w:sz w:val="28"/>
        </w:rPr>
        <w:t xml:space="preserve">Kultūras </w:t>
      </w:r>
      <w:r w:rsidR="001D5FA5" w:rsidRPr="00040E45">
        <w:rPr>
          <w:sz w:val="28"/>
        </w:rPr>
        <w:t>ministre</w:t>
      </w:r>
      <w:r w:rsidRPr="00040E45">
        <w:rPr>
          <w:sz w:val="28"/>
        </w:rPr>
        <w:tab/>
      </w:r>
      <w:r w:rsidRPr="00040E45">
        <w:rPr>
          <w:sz w:val="28"/>
        </w:rPr>
        <w:tab/>
      </w:r>
      <w:r w:rsidR="002633B6" w:rsidRPr="00040E45">
        <w:rPr>
          <w:sz w:val="28"/>
        </w:rPr>
        <w:tab/>
      </w:r>
      <w:r w:rsidR="002633B6" w:rsidRPr="00040E45">
        <w:rPr>
          <w:sz w:val="28"/>
        </w:rPr>
        <w:tab/>
      </w:r>
      <w:r w:rsidR="002633B6" w:rsidRPr="00040E45">
        <w:rPr>
          <w:sz w:val="28"/>
        </w:rPr>
        <w:tab/>
      </w:r>
      <w:r w:rsidR="002633B6" w:rsidRPr="00040E45">
        <w:rPr>
          <w:sz w:val="28"/>
        </w:rPr>
        <w:tab/>
      </w:r>
      <w:proofErr w:type="spellStart"/>
      <w:r w:rsidR="001D5FA5" w:rsidRPr="00040E45">
        <w:rPr>
          <w:sz w:val="28"/>
        </w:rPr>
        <w:t>D.Melbārde</w:t>
      </w:r>
      <w:proofErr w:type="spellEnd"/>
    </w:p>
    <w:p w:rsidR="00AE3F5F" w:rsidRPr="00040E45" w:rsidRDefault="0049247E" w:rsidP="0049247E">
      <w:pPr>
        <w:tabs>
          <w:tab w:val="left" w:pos="3630"/>
        </w:tabs>
        <w:ind w:left="284"/>
        <w:rPr>
          <w:sz w:val="28"/>
        </w:rPr>
      </w:pPr>
      <w:r w:rsidRPr="00040E45">
        <w:rPr>
          <w:sz w:val="28"/>
        </w:rPr>
        <w:tab/>
      </w:r>
    </w:p>
    <w:p w:rsidR="008B6F82" w:rsidRPr="00040E45" w:rsidRDefault="008B6F82" w:rsidP="00F57387">
      <w:pPr>
        <w:ind w:left="284"/>
        <w:rPr>
          <w:sz w:val="28"/>
        </w:rPr>
      </w:pPr>
      <w:r w:rsidRPr="00040E45">
        <w:rPr>
          <w:sz w:val="28"/>
        </w:rPr>
        <w:t>Vīza: Valsts sekretār</w:t>
      </w:r>
      <w:r w:rsidR="00D6514A" w:rsidRPr="00040E45">
        <w:rPr>
          <w:sz w:val="28"/>
        </w:rPr>
        <w:t xml:space="preserve">a </w:t>
      </w:r>
      <w:proofErr w:type="spellStart"/>
      <w:r w:rsidR="00D6514A" w:rsidRPr="00040E45">
        <w:rPr>
          <w:sz w:val="28"/>
        </w:rPr>
        <w:t>p.i</w:t>
      </w:r>
      <w:proofErr w:type="spellEnd"/>
      <w:r w:rsidR="00D6514A" w:rsidRPr="00040E45">
        <w:rPr>
          <w:sz w:val="28"/>
        </w:rPr>
        <w:t>.</w:t>
      </w:r>
      <w:r w:rsidR="0049247E" w:rsidRPr="00040E45">
        <w:rPr>
          <w:sz w:val="28"/>
        </w:rPr>
        <w:tab/>
      </w:r>
      <w:r w:rsidR="0049247E" w:rsidRPr="00040E45">
        <w:rPr>
          <w:sz w:val="28"/>
        </w:rPr>
        <w:tab/>
      </w:r>
      <w:r w:rsidR="0049247E" w:rsidRPr="00040E45">
        <w:rPr>
          <w:sz w:val="28"/>
        </w:rPr>
        <w:tab/>
      </w:r>
      <w:r w:rsidR="0049247E" w:rsidRPr="00040E45">
        <w:rPr>
          <w:sz w:val="28"/>
        </w:rPr>
        <w:tab/>
      </w:r>
      <w:r w:rsidR="0049247E" w:rsidRPr="00040E45">
        <w:rPr>
          <w:sz w:val="28"/>
        </w:rPr>
        <w:tab/>
      </w:r>
      <w:r w:rsidR="00D6514A" w:rsidRPr="00040E45">
        <w:rPr>
          <w:sz w:val="28"/>
        </w:rPr>
        <w:t>U.Lielpēters</w:t>
      </w:r>
    </w:p>
    <w:p w:rsidR="008B6F82" w:rsidRDefault="008B6F82" w:rsidP="008B6F82">
      <w:pPr>
        <w:rPr>
          <w:sz w:val="28"/>
          <w:szCs w:val="28"/>
        </w:rPr>
      </w:pPr>
    </w:p>
    <w:p w:rsidR="00D37699" w:rsidRPr="008520A7" w:rsidRDefault="00D37699" w:rsidP="00407AEF">
      <w:pPr>
        <w:tabs>
          <w:tab w:val="left" w:pos="2505"/>
        </w:tabs>
        <w:rPr>
          <w:sz w:val="22"/>
          <w:szCs w:val="22"/>
        </w:rPr>
      </w:pPr>
    </w:p>
    <w:p w:rsidR="00CB2188" w:rsidRDefault="00CB2188" w:rsidP="00407AEF">
      <w:pPr>
        <w:tabs>
          <w:tab w:val="left" w:pos="2505"/>
        </w:tabs>
        <w:rPr>
          <w:sz w:val="20"/>
          <w:szCs w:val="20"/>
        </w:rPr>
      </w:pPr>
    </w:p>
    <w:p w:rsidR="00CB2188" w:rsidRPr="00040E45" w:rsidRDefault="00CB2188" w:rsidP="00407AEF">
      <w:pPr>
        <w:tabs>
          <w:tab w:val="left" w:pos="2505"/>
        </w:tabs>
        <w:rPr>
          <w:sz w:val="22"/>
        </w:rPr>
      </w:pPr>
    </w:p>
    <w:p w:rsidR="00F3406F" w:rsidRPr="00040E45" w:rsidRDefault="00866620" w:rsidP="00407AEF">
      <w:pPr>
        <w:tabs>
          <w:tab w:val="left" w:pos="2505"/>
        </w:tabs>
        <w:rPr>
          <w:sz w:val="22"/>
        </w:rPr>
      </w:pPr>
      <w:r>
        <w:rPr>
          <w:sz w:val="22"/>
        </w:rPr>
        <w:t>2</w:t>
      </w:r>
      <w:r w:rsidR="00D27712">
        <w:rPr>
          <w:sz w:val="22"/>
        </w:rPr>
        <w:t>6</w:t>
      </w:r>
      <w:r w:rsidR="00F3406F" w:rsidRPr="00040E45">
        <w:rPr>
          <w:sz w:val="22"/>
        </w:rPr>
        <w:t>.03.2014</w:t>
      </w:r>
      <w:r w:rsidR="004B102F" w:rsidRPr="00040E45">
        <w:rPr>
          <w:sz w:val="22"/>
        </w:rPr>
        <w:t xml:space="preserve"> </w:t>
      </w:r>
      <w:r w:rsidR="00F1599D">
        <w:rPr>
          <w:sz w:val="22"/>
        </w:rPr>
        <w:t>1</w:t>
      </w:r>
      <w:r w:rsidR="00D27712">
        <w:rPr>
          <w:sz w:val="22"/>
        </w:rPr>
        <w:t>3</w:t>
      </w:r>
      <w:r w:rsidR="00F1599D">
        <w:rPr>
          <w:sz w:val="22"/>
        </w:rPr>
        <w:t>:</w:t>
      </w:r>
      <w:r w:rsidR="00D27712">
        <w:rPr>
          <w:sz w:val="22"/>
        </w:rPr>
        <w:t>4</w:t>
      </w:r>
      <w:bookmarkStart w:id="6" w:name="_GoBack"/>
      <w:bookmarkEnd w:id="6"/>
      <w:r>
        <w:rPr>
          <w:sz w:val="22"/>
        </w:rPr>
        <w:t>1</w:t>
      </w:r>
    </w:p>
    <w:p w:rsidR="00407AEF" w:rsidRPr="002633B6" w:rsidRDefault="00F1599D" w:rsidP="00407AEF">
      <w:pPr>
        <w:tabs>
          <w:tab w:val="left" w:pos="2505"/>
        </w:tabs>
        <w:rPr>
          <w:sz w:val="22"/>
          <w:szCs w:val="22"/>
        </w:rPr>
      </w:pPr>
      <w:r>
        <w:rPr>
          <w:sz w:val="22"/>
          <w:szCs w:val="22"/>
        </w:rPr>
        <w:t>572</w:t>
      </w:r>
    </w:p>
    <w:p w:rsidR="00F3406F" w:rsidRPr="00040E45" w:rsidRDefault="00F3406F" w:rsidP="00F3406F">
      <w:pPr>
        <w:rPr>
          <w:sz w:val="22"/>
        </w:rPr>
      </w:pPr>
      <w:bookmarkStart w:id="7" w:name="OLE_LINK7"/>
      <w:bookmarkStart w:id="8" w:name="OLE_LINK8"/>
      <w:r w:rsidRPr="00040E45">
        <w:rPr>
          <w:sz w:val="22"/>
        </w:rPr>
        <w:t>J. Klišāne</w:t>
      </w:r>
    </w:p>
    <w:p w:rsidR="00F3406F" w:rsidRPr="00040E45" w:rsidRDefault="00F3406F" w:rsidP="00F3406F">
      <w:pPr>
        <w:rPr>
          <w:sz w:val="22"/>
        </w:rPr>
      </w:pPr>
      <w:r w:rsidRPr="00040E45">
        <w:rPr>
          <w:sz w:val="22"/>
        </w:rPr>
        <w:t>67322234</w:t>
      </w:r>
    </w:p>
    <w:p w:rsidR="00F3406F" w:rsidRPr="00040E45" w:rsidRDefault="00CF1E1F" w:rsidP="00F3406F">
      <w:pPr>
        <w:tabs>
          <w:tab w:val="left" w:pos="6804"/>
        </w:tabs>
        <w:jc w:val="both"/>
        <w:rPr>
          <w:sz w:val="22"/>
        </w:rPr>
      </w:pPr>
      <w:hyperlink r:id="rId11" w:history="1">
        <w:r w:rsidR="008520A7" w:rsidRPr="00040E45">
          <w:rPr>
            <w:rStyle w:val="Hipersaite"/>
            <w:sz w:val="22"/>
          </w:rPr>
          <w:t>Jolanta.Klisane@lnkc.gov.lv</w:t>
        </w:r>
      </w:hyperlink>
    </w:p>
    <w:p w:rsidR="00F3406F" w:rsidRPr="00040E45" w:rsidRDefault="00F3406F" w:rsidP="00F3406F">
      <w:pPr>
        <w:jc w:val="both"/>
        <w:rPr>
          <w:sz w:val="22"/>
        </w:rPr>
      </w:pPr>
      <w:r w:rsidRPr="00040E45">
        <w:rPr>
          <w:sz w:val="22"/>
        </w:rPr>
        <w:t>L.Amatniece</w:t>
      </w:r>
    </w:p>
    <w:p w:rsidR="00F3406F" w:rsidRPr="00040E45" w:rsidRDefault="00F3406F" w:rsidP="00F3406F">
      <w:pPr>
        <w:jc w:val="both"/>
        <w:rPr>
          <w:sz w:val="22"/>
        </w:rPr>
      </w:pPr>
      <w:r w:rsidRPr="00040E45">
        <w:rPr>
          <w:sz w:val="22"/>
        </w:rPr>
        <w:t>67228985</w:t>
      </w:r>
    </w:p>
    <w:p w:rsidR="00117AF5" w:rsidRPr="00040E45" w:rsidRDefault="00CF1E1F" w:rsidP="0049247E">
      <w:pPr>
        <w:jc w:val="both"/>
        <w:rPr>
          <w:sz w:val="22"/>
        </w:rPr>
      </w:pPr>
      <w:hyperlink r:id="rId12" w:history="1">
        <w:r w:rsidR="00F3406F" w:rsidRPr="00040E45">
          <w:rPr>
            <w:rStyle w:val="Hipersaite"/>
            <w:sz w:val="22"/>
          </w:rPr>
          <w:t>Laima.Amatniece@lnkc.gov.lv</w:t>
        </w:r>
      </w:hyperlink>
      <w:bookmarkEnd w:id="7"/>
      <w:bookmarkEnd w:id="8"/>
      <w:r w:rsidR="00F3406F" w:rsidRPr="00040E45">
        <w:rPr>
          <w:sz w:val="22"/>
        </w:rPr>
        <w:t xml:space="preserve"> </w:t>
      </w:r>
    </w:p>
    <w:sectPr w:rsidR="00117AF5" w:rsidRPr="00040E45" w:rsidSect="00040E45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62" w:rsidRDefault="00BD4962" w:rsidP="00DD3EC5">
      <w:r>
        <w:separator/>
      </w:r>
    </w:p>
    <w:p w:rsidR="00BD4962" w:rsidRDefault="00BD4962"/>
    <w:p w:rsidR="00BD4962" w:rsidRDefault="00BD4962"/>
  </w:endnote>
  <w:endnote w:type="continuationSeparator" w:id="0">
    <w:p w:rsidR="00BD4962" w:rsidRDefault="00BD4962" w:rsidP="00DD3EC5">
      <w:r>
        <w:continuationSeparator/>
      </w:r>
    </w:p>
    <w:p w:rsidR="00BD4962" w:rsidRDefault="00BD4962"/>
    <w:p w:rsidR="00BD4962" w:rsidRDefault="00BD49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2D" w:rsidRPr="008520A7" w:rsidRDefault="00866620" w:rsidP="00713084">
    <w:pPr>
      <w:jc w:val="both"/>
      <w:rPr>
        <w:sz w:val="22"/>
        <w:szCs w:val="22"/>
      </w:rPr>
    </w:pPr>
    <w:r>
      <w:rPr>
        <w:sz w:val="22"/>
        <w:szCs w:val="22"/>
      </w:rPr>
      <w:t>KMNot_2</w:t>
    </w:r>
    <w:r w:rsidR="00D27712">
      <w:rPr>
        <w:sz w:val="22"/>
        <w:szCs w:val="22"/>
      </w:rPr>
      <w:t>6</w:t>
    </w:r>
    <w:r w:rsidR="0004592D" w:rsidRPr="008520A7">
      <w:rPr>
        <w:sz w:val="22"/>
        <w:szCs w:val="22"/>
      </w:rPr>
      <w:t>0314_MK</w:t>
    </w:r>
    <w:r w:rsidR="0004592D">
      <w:rPr>
        <w:sz w:val="22"/>
        <w:szCs w:val="22"/>
      </w:rPr>
      <w:t>_</w:t>
    </w:r>
    <w:r w:rsidR="0004592D" w:rsidRPr="008520A7">
      <w:rPr>
        <w:sz w:val="22"/>
        <w:szCs w:val="22"/>
      </w:rPr>
      <w:t xml:space="preserve">144; Ministru kabineta noteikumu </w:t>
    </w:r>
    <w:r w:rsidR="0004592D">
      <w:rPr>
        <w:sz w:val="22"/>
        <w:szCs w:val="22"/>
      </w:rPr>
      <w:t>projekta „</w:t>
    </w:r>
    <w:r w:rsidR="0004592D" w:rsidRPr="008520A7">
      <w:rPr>
        <w:sz w:val="22"/>
        <w:szCs w:val="22"/>
      </w:rPr>
      <w:t>Grozījums Ministru kabineta 2013.gada 19.marta noteikumos Nr.144 „Profesionālās izglītības kompetences centra statusa piešķiršanas un anulēšanas kārtība”</w:t>
    </w:r>
    <w:r w:rsidR="0004592D">
      <w:rPr>
        <w:sz w:val="22"/>
        <w:szCs w:val="22"/>
      </w:rPr>
      <w:t>”</w:t>
    </w:r>
    <w:r w:rsidR="0004592D" w:rsidRPr="008520A7">
      <w:rPr>
        <w:sz w:val="22"/>
        <w:szCs w:val="22"/>
      </w:rPr>
      <w:t xml:space="preserve">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2D" w:rsidRPr="008520A7" w:rsidRDefault="00866620" w:rsidP="008520A7">
    <w:pPr>
      <w:jc w:val="both"/>
      <w:rPr>
        <w:bCs/>
        <w:sz w:val="22"/>
        <w:szCs w:val="22"/>
      </w:rPr>
    </w:pPr>
    <w:r>
      <w:rPr>
        <w:sz w:val="22"/>
        <w:szCs w:val="22"/>
      </w:rPr>
      <w:t>KMNot_2</w:t>
    </w:r>
    <w:r w:rsidR="00D27712">
      <w:rPr>
        <w:sz w:val="22"/>
        <w:szCs w:val="22"/>
      </w:rPr>
      <w:t>6</w:t>
    </w:r>
    <w:r w:rsidR="0004592D" w:rsidRPr="008520A7">
      <w:rPr>
        <w:sz w:val="22"/>
        <w:szCs w:val="22"/>
      </w:rPr>
      <w:t>0314_MK</w:t>
    </w:r>
    <w:r w:rsidR="0004592D">
      <w:rPr>
        <w:sz w:val="22"/>
        <w:szCs w:val="22"/>
      </w:rPr>
      <w:t>_</w:t>
    </w:r>
    <w:r w:rsidR="0004592D" w:rsidRPr="008520A7">
      <w:rPr>
        <w:sz w:val="22"/>
        <w:szCs w:val="22"/>
      </w:rPr>
      <w:t xml:space="preserve">144; Ministru kabineta noteikumu </w:t>
    </w:r>
    <w:r w:rsidR="0004592D">
      <w:rPr>
        <w:sz w:val="22"/>
        <w:szCs w:val="22"/>
      </w:rPr>
      <w:t xml:space="preserve">projekta </w:t>
    </w:r>
    <w:r w:rsidR="0004592D" w:rsidRPr="008520A7">
      <w:rPr>
        <w:sz w:val="22"/>
        <w:szCs w:val="22"/>
      </w:rPr>
      <w:t>„</w:t>
    </w:r>
    <w:r w:rsidR="0004592D" w:rsidRPr="008520A7">
      <w:rPr>
        <w:bCs/>
        <w:sz w:val="22"/>
        <w:szCs w:val="22"/>
      </w:rPr>
      <w:t>Grozījums Ministru kabineta</w:t>
    </w:r>
    <w:r w:rsidR="0004592D">
      <w:rPr>
        <w:bCs/>
        <w:sz w:val="22"/>
        <w:szCs w:val="22"/>
      </w:rPr>
      <w:t xml:space="preserve"> </w:t>
    </w:r>
    <w:r w:rsidR="0004592D" w:rsidRPr="008520A7">
      <w:rPr>
        <w:bCs/>
        <w:sz w:val="22"/>
        <w:szCs w:val="22"/>
      </w:rPr>
      <w:t>2013.gada 19.marta noteikumos Nr.144 „Profesionālās izglītības kompetences centra statusa piešķiršanas un anulēšanas kārtība”” sākotnējās ietekmes</w:t>
    </w:r>
    <w:r w:rsidR="0004592D" w:rsidRPr="008520A7">
      <w:rPr>
        <w:sz w:val="22"/>
        <w:szCs w:val="22"/>
      </w:rPr>
      <w:t xml:space="preserve"> </w:t>
    </w:r>
    <w:r w:rsidR="0004592D" w:rsidRPr="008520A7">
      <w:rPr>
        <w:bCs/>
        <w:sz w:val="22"/>
        <w:szCs w:val="22"/>
      </w:rPr>
      <w:t>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62" w:rsidRDefault="00BD4962" w:rsidP="00DD3EC5">
      <w:r>
        <w:separator/>
      </w:r>
    </w:p>
    <w:p w:rsidR="00BD4962" w:rsidRDefault="00BD4962"/>
    <w:p w:rsidR="00BD4962" w:rsidRDefault="00BD4962"/>
  </w:footnote>
  <w:footnote w:type="continuationSeparator" w:id="0">
    <w:p w:rsidR="00BD4962" w:rsidRDefault="00BD4962" w:rsidP="00DD3EC5">
      <w:r>
        <w:continuationSeparator/>
      </w:r>
    </w:p>
    <w:p w:rsidR="00BD4962" w:rsidRDefault="00BD4962"/>
    <w:p w:rsidR="00BD4962" w:rsidRDefault="00BD49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6242"/>
      <w:docPartObj>
        <w:docPartGallery w:val="Page Numbers (Top of Page)"/>
        <w:docPartUnique/>
      </w:docPartObj>
    </w:sdtPr>
    <w:sdtContent>
      <w:p w:rsidR="0004592D" w:rsidRDefault="00CF1E1F">
        <w:pPr>
          <w:pStyle w:val="Galvene"/>
          <w:jc w:val="center"/>
        </w:pPr>
        <w:r w:rsidRPr="00C71066">
          <w:rPr>
            <w:sz w:val="22"/>
            <w:szCs w:val="22"/>
          </w:rPr>
          <w:fldChar w:fldCharType="begin"/>
        </w:r>
        <w:r w:rsidR="0004592D" w:rsidRPr="00C71066">
          <w:rPr>
            <w:sz w:val="22"/>
            <w:szCs w:val="22"/>
          </w:rPr>
          <w:instrText xml:space="preserve"> PAGE   \* MERGEFORMAT </w:instrText>
        </w:r>
        <w:r w:rsidRPr="00C71066">
          <w:rPr>
            <w:sz w:val="22"/>
            <w:szCs w:val="22"/>
          </w:rPr>
          <w:fldChar w:fldCharType="separate"/>
        </w:r>
        <w:r w:rsidR="00330D77">
          <w:rPr>
            <w:noProof/>
            <w:sz w:val="22"/>
            <w:szCs w:val="22"/>
          </w:rPr>
          <w:t>3</w:t>
        </w:r>
        <w:r w:rsidRPr="00C71066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019C"/>
    <w:multiLevelType w:val="hybridMultilevel"/>
    <w:tmpl w:val="B65A16EA"/>
    <w:lvl w:ilvl="0" w:tplc="C3922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169AF"/>
    <w:multiLevelType w:val="hybridMultilevel"/>
    <w:tmpl w:val="C8E455AA"/>
    <w:lvl w:ilvl="0" w:tplc="2B7C8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D47415"/>
    <w:multiLevelType w:val="hybridMultilevel"/>
    <w:tmpl w:val="9618A92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B6F82"/>
    <w:rsid w:val="00001203"/>
    <w:rsid w:val="00021A72"/>
    <w:rsid w:val="000250CC"/>
    <w:rsid w:val="00026004"/>
    <w:rsid w:val="00026B1B"/>
    <w:rsid w:val="00040E45"/>
    <w:rsid w:val="00044018"/>
    <w:rsid w:val="0004592D"/>
    <w:rsid w:val="00051C0B"/>
    <w:rsid w:val="00061235"/>
    <w:rsid w:val="00061C57"/>
    <w:rsid w:val="000645FA"/>
    <w:rsid w:val="0009245B"/>
    <w:rsid w:val="00095AC3"/>
    <w:rsid w:val="000C2816"/>
    <w:rsid w:val="000D3A02"/>
    <w:rsid w:val="000F5EC9"/>
    <w:rsid w:val="001122F9"/>
    <w:rsid w:val="00117AF5"/>
    <w:rsid w:val="0013373B"/>
    <w:rsid w:val="00133A0B"/>
    <w:rsid w:val="00161EF8"/>
    <w:rsid w:val="001832DC"/>
    <w:rsid w:val="00194DD0"/>
    <w:rsid w:val="001B1FC5"/>
    <w:rsid w:val="001C1039"/>
    <w:rsid w:val="001C4D8C"/>
    <w:rsid w:val="001D3E69"/>
    <w:rsid w:val="001D5FA5"/>
    <w:rsid w:val="00231056"/>
    <w:rsid w:val="002323B1"/>
    <w:rsid w:val="00234644"/>
    <w:rsid w:val="00242720"/>
    <w:rsid w:val="002633B6"/>
    <w:rsid w:val="00266DD2"/>
    <w:rsid w:val="0028522F"/>
    <w:rsid w:val="0028643E"/>
    <w:rsid w:val="002A7D64"/>
    <w:rsid w:val="002C144E"/>
    <w:rsid w:val="002C7391"/>
    <w:rsid w:val="002C7686"/>
    <w:rsid w:val="002D3FF1"/>
    <w:rsid w:val="002E646F"/>
    <w:rsid w:val="002F1137"/>
    <w:rsid w:val="002F1AD0"/>
    <w:rsid w:val="002F66EE"/>
    <w:rsid w:val="00310F21"/>
    <w:rsid w:val="003158C0"/>
    <w:rsid w:val="00324F18"/>
    <w:rsid w:val="00330D77"/>
    <w:rsid w:val="00333A56"/>
    <w:rsid w:val="00357C91"/>
    <w:rsid w:val="00362CED"/>
    <w:rsid w:val="0037281C"/>
    <w:rsid w:val="003801D8"/>
    <w:rsid w:val="00383C7C"/>
    <w:rsid w:val="00384DE1"/>
    <w:rsid w:val="00391CB8"/>
    <w:rsid w:val="0039497C"/>
    <w:rsid w:val="003B06E5"/>
    <w:rsid w:val="003E7A49"/>
    <w:rsid w:val="003E7E7B"/>
    <w:rsid w:val="003F1058"/>
    <w:rsid w:val="003F5519"/>
    <w:rsid w:val="003F59B0"/>
    <w:rsid w:val="003F7B5A"/>
    <w:rsid w:val="00400C8D"/>
    <w:rsid w:val="00407AEF"/>
    <w:rsid w:val="004162BC"/>
    <w:rsid w:val="00432119"/>
    <w:rsid w:val="00460D92"/>
    <w:rsid w:val="00474CE4"/>
    <w:rsid w:val="0049247E"/>
    <w:rsid w:val="00492F4F"/>
    <w:rsid w:val="004B043D"/>
    <w:rsid w:val="004B102F"/>
    <w:rsid w:val="004B2D40"/>
    <w:rsid w:val="004B51A8"/>
    <w:rsid w:val="004C13D5"/>
    <w:rsid w:val="004D47E6"/>
    <w:rsid w:val="004F4118"/>
    <w:rsid w:val="00503FA9"/>
    <w:rsid w:val="00531ADA"/>
    <w:rsid w:val="00551BC0"/>
    <w:rsid w:val="005549F4"/>
    <w:rsid w:val="00556905"/>
    <w:rsid w:val="00557F36"/>
    <w:rsid w:val="00563D29"/>
    <w:rsid w:val="00564293"/>
    <w:rsid w:val="00567174"/>
    <w:rsid w:val="00571DE8"/>
    <w:rsid w:val="00576C06"/>
    <w:rsid w:val="005A7097"/>
    <w:rsid w:val="005C4C91"/>
    <w:rsid w:val="005C5759"/>
    <w:rsid w:val="005D0D1A"/>
    <w:rsid w:val="005F53DB"/>
    <w:rsid w:val="00604AAF"/>
    <w:rsid w:val="00610A39"/>
    <w:rsid w:val="006157A0"/>
    <w:rsid w:val="0062302C"/>
    <w:rsid w:val="00623B6D"/>
    <w:rsid w:val="00651B00"/>
    <w:rsid w:val="0065612E"/>
    <w:rsid w:val="006A1C4E"/>
    <w:rsid w:val="006C6544"/>
    <w:rsid w:val="006E5720"/>
    <w:rsid w:val="006F148C"/>
    <w:rsid w:val="006F34C1"/>
    <w:rsid w:val="00713084"/>
    <w:rsid w:val="007242EC"/>
    <w:rsid w:val="0075435D"/>
    <w:rsid w:val="00756D6C"/>
    <w:rsid w:val="00762093"/>
    <w:rsid w:val="00772300"/>
    <w:rsid w:val="00774DC8"/>
    <w:rsid w:val="007751CE"/>
    <w:rsid w:val="007771EC"/>
    <w:rsid w:val="00777B67"/>
    <w:rsid w:val="00791B00"/>
    <w:rsid w:val="007948C0"/>
    <w:rsid w:val="007A0F2A"/>
    <w:rsid w:val="007C6340"/>
    <w:rsid w:val="007C64AF"/>
    <w:rsid w:val="007D4545"/>
    <w:rsid w:val="007D6510"/>
    <w:rsid w:val="007E79DC"/>
    <w:rsid w:val="007F62C5"/>
    <w:rsid w:val="008025F6"/>
    <w:rsid w:val="00816F15"/>
    <w:rsid w:val="008207E7"/>
    <w:rsid w:val="00824E3E"/>
    <w:rsid w:val="008259FD"/>
    <w:rsid w:val="008520A7"/>
    <w:rsid w:val="0085511C"/>
    <w:rsid w:val="00857FD8"/>
    <w:rsid w:val="00862EC6"/>
    <w:rsid w:val="00866620"/>
    <w:rsid w:val="00883B99"/>
    <w:rsid w:val="00895A82"/>
    <w:rsid w:val="008A4E68"/>
    <w:rsid w:val="008B3FF2"/>
    <w:rsid w:val="008B4E3B"/>
    <w:rsid w:val="008B6534"/>
    <w:rsid w:val="008B6F82"/>
    <w:rsid w:val="008C36FD"/>
    <w:rsid w:val="008D3C74"/>
    <w:rsid w:val="008D4760"/>
    <w:rsid w:val="008D7B58"/>
    <w:rsid w:val="008D7DF9"/>
    <w:rsid w:val="008E0D6B"/>
    <w:rsid w:val="008E7EBC"/>
    <w:rsid w:val="008F0863"/>
    <w:rsid w:val="00903013"/>
    <w:rsid w:val="0091394B"/>
    <w:rsid w:val="00913C3E"/>
    <w:rsid w:val="00915DF0"/>
    <w:rsid w:val="00927C72"/>
    <w:rsid w:val="00931FCA"/>
    <w:rsid w:val="00941356"/>
    <w:rsid w:val="00950082"/>
    <w:rsid w:val="009503E1"/>
    <w:rsid w:val="009506DD"/>
    <w:rsid w:val="00952BC8"/>
    <w:rsid w:val="009600D1"/>
    <w:rsid w:val="0096284B"/>
    <w:rsid w:val="00971A5F"/>
    <w:rsid w:val="00973D9C"/>
    <w:rsid w:val="00976947"/>
    <w:rsid w:val="0098030A"/>
    <w:rsid w:val="00990648"/>
    <w:rsid w:val="009A7FE5"/>
    <w:rsid w:val="009B66E1"/>
    <w:rsid w:val="009D544F"/>
    <w:rsid w:val="009D5F79"/>
    <w:rsid w:val="009E3A1C"/>
    <w:rsid w:val="009F2AD4"/>
    <w:rsid w:val="009F54E7"/>
    <w:rsid w:val="00A2559D"/>
    <w:rsid w:val="00A34A10"/>
    <w:rsid w:val="00A83526"/>
    <w:rsid w:val="00A95E3C"/>
    <w:rsid w:val="00AA0ECC"/>
    <w:rsid w:val="00AA2E64"/>
    <w:rsid w:val="00AC1635"/>
    <w:rsid w:val="00AC480E"/>
    <w:rsid w:val="00AC56DD"/>
    <w:rsid w:val="00AD6995"/>
    <w:rsid w:val="00AE3F5F"/>
    <w:rsid w:val="00AF30FE"/>
    <w:rsid w:val="00AF718B"/>
    <w:rsid w:val="00B02CA7"/>
    <w:rsid w:val="00B227A7"/>
    <w:rsid w:val="00B31419"/>
    <w:rsid w:val="00B81BB1"/>
    <w:rsid w:val="00B953DE"/>
    <w:rsid w:val="00B96D68"/>
    <w:rsid w:val="00BA1E31"/>
    <w:rsid w:val="00BB20E8"/>
    <w:rsid w:val="00BC4F52"/>
    <w:rsid w:val="00BC55D5"/>
    <w:rsid w:val="00BD1055"/>
    <w:rsid w:val="00BD4962"/>
    <w:rsid w:val="00BE45BA"/>
    <w:rsid w:val="00BE653F"/>
    <w:rsid w:val="00BF17F9"/>
    <w:rsid w:val="00BF7C87"/>
    <w:rsid w:val="00C06E0A"/>
    <w:rsid w:val="00C12534"/>
    <w:rsid w:val="00C141CC"/>
    <w:rsid w:val="00C42EE9"/>
    <w:rsid w:val="00C50BCE"/>
    <w:rsid w:val="00C53D6E"/>
    <w:rsid w:val="00C71066"/>
    <w:rsid w:val="00C72DD8"/>
    <w:rsid w:val="00C74834"/>
    <w:rsid w:val="00C82F76"/>
    <w:rsid w:val="00C90621"/>
    <w:rsid w:val="00CA5139"/>
    <w:rsid w:val="00CA5DDA"/>
    <w:rsid w:val="00CB2188"/>
    <w:rsid w:val="00CC7DC4"/>
    <w:rsid w:val="00CD0335"/>
    <w:rsid w:val="00CD54B4"/>
    <w:rsid w:val="00CE589D"/>
    <w:rsid w:val="00CF1E1F"/>
    <w:rsid w:val="00D01615"/>
    <w:rsid w:val="00D039BF"/>
    <w:rsid w:val="00D117CE"/>
    <w:rsid w:val="00D11823"/>
    <w:rsid w:val="00D27712"/>
    <w:rsid w:val="00D27DDC"/>
    <w:rsid w:val="00D37699"/>
    <w:rsid w:val="00D404A8"/>
    <w:rsid w:val="00D4676E"/>
    <w:rsid w:val="00D64AA5"/>
    <w:rsid w:val="00D6514A"/>
    <w:rsid w:val="00D96646"/>
    <w:rsid w:val="00DA24D3"/>
    <w:rsid w:val="00DC2411"/>
    <w:rsid w:val="00DD3EC5"/>
    <w:rsid w:val="00DE680D"/>
    <w:rsid w:val="00E016D0"/>
    <w:rsid w:val="00E07A82"/>
    <w:rsid w:val="00E33871"/>
    <w:rsid w:val="00E36CBF"/>
    <w:rsid w:val="00E63B2D"/>
    <w:rsid w:val="00E64011"/>
    <w:rsid w:val="00E70EC2"/>
    <w:rsid w:val="00E7281C"/>
    <w:rsid w:val="00EA47AA"/>
    <w:rsid w:val="00EA7262"/>
    <w:rsid w:val="00EB5D76"/>
    <w:rsid w:val="00EC6ED4"/>
    <w:rsid w:val="00ED7F41"/>
    <w:rsid w:val="00EE4E73"/>
    <w:rsid w:val="00EE5541"/>
    <w:rsid w:val="00F1007D"/>
    <w:rsid w:val="00F1599D"/>
    <w:rsid w:val="00F25C11"/>
    <w:rsid w:val="00F3406F"/>
    <w:rsid w:val="00F44623"/>
    <w:rsid w:val="00F57387"/>
    <w:rsid w:val="00F6649C"/>
    <w:rsid w:val="00F805F2"/>
    <w:rsid w:val="00F92247"/>
    <w:rsid w:val="00FA41A7"/>
    <w:rsid w:val="00FB2E1B"/>
    <w:rsid w:val="00FC6D3F"/>
    <w:rsid w:val="00FE017B"/>
    <w:rsid w:val="00FE177D"/>
    <w:rsid w:val="00FE6358"/>
    <w:rsid w:val="00FF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B6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rsid w:val="008B6F8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B6F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alvene">
    <w:name w:val="header"/>
    <w:basedOn w:val="Parastais"/>
    <w:link w:val="GalveneRakstz"/>
    <w:uiPriority w:val="99"/>
    <w:rsid w:val="008B6F82"/>
    <w:pPr>
      <w:tabs>
        <w:tab w:val="center" w:pos="4153"/>
        <w:tab w:val="right" w:pos="8306"/>
      </w:tabs>
      <w:suppressAutoHyphens w:val="0"/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8B6F8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ais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Parastais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Parastais"/>
    <w:rsid w:val="008B6F82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styleId="Pamatteksts">
    <w:name w:val="Body Text"/>
    <w:basedOn w:val="Parastais"/>
    <w:link w:val="PamattekstsRakstz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8B6F8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B6F82"/>
  </w:style>
  <w:style w:type="paragraph" w:styleId="Pamatteksts2">
    <w:name w:val="Body Text 2"/>
    <w:basedOn w:val="Parastais"/>
    <w:link w:val="Pamatteksts2Rakstz"/>
    <w:uiPriority w:val="99"/>
    <w:semiHidden/>
    <w:unhideWhenUsed/>
    <w:rsid w:val="00DD3EC5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DD3E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saite">
    <w:name w:val="Hyperlink"/>
    <w:basedOn w:val="Noklusjumarindkopasfonts"/>
    <w:uiPriority w:val="99"/>
    <w:unhideWhenUsed/>
    <w:rsid w:val="00C71066"/>
    <w:rPr>
      <w:color w:val="0000FF" w:themeColor="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51B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1B00"/>
    <w:rPr>
      <w:rFonts w:ascii="Tahoma" w:eastAsia="Times New Roman" w:hAnsi="Tahoma" w:cs="Tahoma"/>
      <w:sz w:val="16"/>
      <w:szCs w:val="16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651B0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651B0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51B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51B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51B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v2131">
    <w:name w:val="tv2131"/>
    <w:basedOn w:val="Parastais"/>
    <w:rsid w:val="003158C0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naisc">
    <w:name w:val="naisc"/>
    <w:basedOn w:val="Parastais"/>
    <w:rsid w:val="00BD1055"/>
    <w:pPr>
      <w:suppressAutoHyphens w:val="0"/>
      <w:spacing w:before="75" w:after="75"/>
      <w:jc w:val="center"/>
    </w:pPr>
    <w:rPr>
      <w:rFonts w:eastAsia="Calibri"/>
      <w:lang w:eastAsia="lv-LV"/>
    </w:rPr>
  </w:style>
  <w:style w:type="paragraph" w:styleId="Bezatstarpm">
    <w:name w:val="No Spacing"/>
    <w:qFormat/>
    <w:rsid w:val="00DE680D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customStyle="1" w:styleId="parastaischar">
    <w:name w:val="parastais__char"/>
    <w:basedOn w:val="Noklusjumarindkopasfonts"/>
    <w:rsid w:val="00DE680D"/>
  </w:style>
  <w:style w:type="character" w:customStyle="1" w:styleId="izc0113lumschar">
    <w:name w:val="izc_0113lums__char"/>
    <w:basedOn w:val="Noklusjumarindkopasfonts"/>
    <w:rsid w:val="00DE6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6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6F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8B6F82"/>
    <w:pPr>
      <w:tabs>
        <w:tab w:val="center" w:pos="4153"/>
        <w:tab w:val="right" w:pos="8306"/>
      </w:tabs>
      <w:suppressAutoHyphens w:val="0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B6F8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Normal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8B6F82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8B6F8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B6F82"/>
  </w:style>
  <w:style w:type="paragraph" w:styleId="BodyText2">
    <w:name w:val="Body Text 2"/>
    <w:basedOn w:val="Normal"/>
    <w:link w:val="BodyText2Char"/>
    <w:uiPriority w:val="99"/>
    <w:semiHidden/>
    <w:unhideWhenUsed/>
    <w:rsid w:val="00DD3E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3E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C710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00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51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B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B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v2131">
    <w:name w:val="tv2131"/>
    <w:basedOn w:val="Normal"/>
    <w:rsid w:val="003158C0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naisc">
    <w:name w:val="naisc"/>
    <w:basedOn w:val="Normal"/>
    <w:rsid w:val="00BD1055"/>
    <w:pPr>
      <w:suppressAutoHyphens w:val="0"/>
      <w:spacing w:before="75" w:after="75"/>
      <w:jc w:val="center"/>
    </w:pPr>
    <w:rPr>
      <w:rFonts w:eastAsia="Calibri"/>
      <w:lang w:eastAsia="lv-LV"/>
    </w:rPr>
  </w:style>
  <w:style w:type="paragraph" w:styleId="NoSpacing">
    <w:name w:val="No Spacing"/>
    <w:qFormat/>
    <w:rsid w:val="00DE680D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customStyle="1" w:styleId="parastaischar">
    <w:name w:val="parastais__char"/>
    <w:basedOn w:val="DefaultParagraphFont"/>
    <w:rsid w:val="00DE680D"/>
  </w:style>
  <w:style w:type="character" w:customStyle="1" w:styleId="izc0113lumschar">
    <w:name w:val="izc_0113lums__char"/>
    <w:basedOn w:val="DefaultParagraphFont"/>
    <w:rsid w:val="00DE6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ima.Amatniece@lnkc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lanta.Klisane@lnkc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736E0-C186-45BB-AE36-B1F83286A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4E0D2F-1A46-4893-B03B-C49733F3C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11144A-D342-4F2D-9BB4-2F7A326156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1DE883-66FF-4C7D-9BEB-EFC8BE08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3222</Words>
  <Characters>1838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2013.gada 19.marta noteikumos Nr.144 „Profesionālās izglītības kompetences centra statusa piešķiršanas un anulēšanas kārtība”” sākotnējās ietekmes novērtējuma ziņojums (anotācija)</dc:title>
  <dc:subject>anotācija</dc:subject>
  <dc:creator>J.Klišāne, L.Amatniece</dc:creator>
  <dc:description>J. Klišāne
67322234
Jolanta.Klisane@lnkc.gov.lv
L.Amatniece
67228985
Laima.Amatniece@lnkc.gov.lv</dc:description>
  <cp:lastModifiedBy>Dzintra Rozīte</cp:lastModifiedBy>
  <cp:revision>3</cp:revision>
  <cp:lastPrinted>2014-02-14T12:16:00Z</cp:lastPrinted>
  <dcterms:created xsi:type="dcterms:W3CDTF">2014-03-26T11:31:00Z</dcterms:created>
  <dcterms:modified xsi:type="dcterms:W3CDTF">2014-04-01T06:41:00Z</dcterms:modified>
</cp:coreProperties>
</file>