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90" w:rsidRPr="00E45D07" w:rsidRDefault="004A2B90" w:rsidP="00E45D07">
      <w:pPr>
        <w:pStyle w:val="Heading2"/>
        <w:spacing w:before="0" w:afterLines="40" w:after="96" w:line="240" w:lineRule="auto"/>
        <w:jc w:val="center"/>
        <w:rPr>
          <w:rFonts w:ascii="Times New Roman" w:hAnsi="Times New Roman"/>
          <w:color w:val="000000"/>
        </w:rPr>
      </w:pPr>
      <w:bookmarkStart w:id="0" w:name="_Toc388627047"/>
    </w:p>
    <w:bookmarkEnd w:id="0"/>
    <w:p w:rsidR="0041110C" w:rsidRPr="00E45D07" w:rsidRDefault="0041110C" w:rsidP="00E45D07">
      <w:pPr>
        <w:spacing w:afterLines="40" w:after="96" w:line="240" w:lineRule="auto"/>
        <w:jc w:val="right"/>
        <w:rPr>
          <w:rFonts w:ascii="Times New Roman" w:hAnsi="Times New Roman"/>
          <w:sz w:val="26"/>
          <w:szCs w:val="26"/>
        </w:rPr>
      </w:pPr>
    </w:p>
    <w:p w:rsidR="0041110C" w:rsidRPr="00E45D07" w:rsidRDefault="0041110C" w:rsidP="00E45D07">
      <w:pPr>
        <w:spacing w:afterLines="40" w:after="96" w:line="240" w:lineRule="auto"/>
        <w:jc w:val="right"/>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41110C" w:rsidRPr="00E45D07" w:rsidRDefault="0041110C" w:rsidP="00E45D07">
      <w:pPr>
        <w:spacing w:afterLines="40" w:after="96" w:line="240" w:lineRule="auto"/>
        <w:jc w:val="center"/>
        <w:rPr>
          <w:rFonts w:ascii="Times New Roman" w:hAnsi="Times New Roman"/>
          <w:sz w:val="26"/>
          <w:szCs w:val="26"/>
        </w:rPr>
      </w:pPr>
    </w:p>
    <w:p w:rsidR="00E45D07" w:rsidRPr="00E45D07" w:rsidRDefault="0041110C" w:rsidP="00E45D07">
      <w:pPr>
        <w:spacing w:afterLines="40" w:after="96" w:line="240" w:lineRule="auto"/>
        <w:jc w:val="center"/>
        <w:rPr>
          <w:rFonts w:ascii="Times New Roman" w:hAnsi="Times New Roman"/>
          <w:b/>
          <w:color w:val="000000"/>
          <w:sz w:val="32"/>
          <w:szCs w:val="32"/>
        </w:rPr>
      </w:pPr>
      <w:r w:rsidRPr="00E45D07">
        <w:rPr>
          <w:rFonts w:ascii="Times New Roman" w:hAnsi="Times New Roman"/>
          <w:b/>
          <w:color w:val="000000"/>
          <w:sz w:val="32"/>
          <w:szCs w:val="32"/>
        </w:rPr>
        <w:t xml:space="preserve">Informatīvais ziņojums </w:t>
      </w:r>
    </w:p>
    <w:p w:rsidR="0041110C" w:rsidRPr="00E45D07" w:rsidRDefault="00E45D07" w:rsidP="00E45D07">
      <w:pPr>
        <w:spacing w:afterLines="40" w:after="96" w:line="240" w:lineRule="auto"/>
        <w:jc w:val="center"/>
        <w:rPr>
          <w:rFonts w:ascii="Times New Roman" w:hAnsi="Times New Roman"/>
          <w:b/>
          <w:color w:val="000000"/>
          <w:sz w:val="32"/>
          <w:szCs w:val="32"/>
        </w:rPr>
      </w:pPr>
      <w:r w:rsidRPr="00E45D07">
        <w:rPr>
          <w:rFonts w:ascii="Times New Roman" w:hAnsi="Times New Roman"/>
          <w:b/>
          <w:color w:val="000000"/>
          <w:sz w:val="32"/>
          <w:szCs w:val="32"/>
        </w:rPr>
        <w:t>„P</w:t>
      </w:r>
      <w:r w:rsidR="0041110C" w:rsidRPr="00E45D07">
        <w:rPr>
          <w:rFonts w:ascii="Times New Roman" w:hAnsi="Times New Roman"/>
          <w:b/>
          <w:color w:val="000000"/>
          <w:sz w:val="32"/>
          <w:szCs w:val="32"/>
        </w:rPr>
        <w:t>ar priekšlikumiem vidēja un ilgtermiņa eksporta kredīta garantiju ieviešanas modelim</w:t>
      </w:r>
      <w:r w:rsidRPr="00E45D07">
        <w:rPr>
          <w:rFonts w:ascii="Times New Roman" w:hAnsi="Times New Roman"/>
          <w:b/>
          <w:color w:val="000000"/>
          <w:sz w:val="32"/>
          <w:szCs w:val="32"/>
        </w:rPr>
        <w:t>”</w:t>
      </w: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jc w:val="center"/>
        <w:rPr>
          <w:rFonts w:ascii="Times New Roman" w:hAnsi="Times New Roman"/>
          <w:color w:val="000000"/>
          <w:sz w:val="26"/>
          <w:szCs w:val="26"/>
        </w:rPr>
      </w:pPr>
    </w:p>
    <w:p w:rsidR="0041110C" w:rsidRPr="00E45D07" w:rsidRDefault="0041110C" w:rsidP="00E45D07">
      <w:pPr>
        <w:spacing w:afterLines="40" w:after="96" w:line="240" w:lineRule="auto"/>
        <w:rPr>
          <w:rFonts w:ascii="Times New Roman" w:hAnsi="Times New Roman"/>
          <w:b/>
          <w:sz w:val="26"/>
          <w:szCs w:val="26"/>
        </w:rPr>
      </w:pPr>
      <w:r w:rsidRPr="00E45D07">
        <w:rPr>
          <w:rFonts w:ascii="Times New Roman" w:hAnsi="Times New Roman"/>
          <w:b/>
          <w:sz w:val="26"/>
          <w:szCs w:val="26"/>
        </w:rPr>
        <w:br w:type="page"/>
      </w:r>
    </w:p>
    <w:p w:rsidR="0041110C" w:rsidRPr="00E45D07" w:rsidRDefault="0041110C" w:rsidP="00E45D07">
      <w:pPr>
        <w:pStyle w:val="TOCHeading"/>
        <w:spacing w:before="0" w:afterLines="40" w:after="96" w:line="240" w:lineRule="auto"/>
        <w:jc w:val="center"/>
        <w:rPr>
          <w:rFonts w:ascii="Times New Roman" w:hAnsi="Times New Roman"/>
          <w:color w:val="000000"/>
          <w:sz w:val="26"/>
          <w:szCs w:val="26"/>
          <w:lang w:val="lv-LV"/>
        </w:rPr>
      </w:pPr>
      <w:r w:rsidRPr="00E45D07">
        <w:rPr>
          <w:rFonts w:ascii="Times New Roman" w:hAnsi="Times New Roman"/>
          <w:color w:val="000000"/>
          <w:sz w:val="26"/>
          <w:szCs w:val="26"/>
          <w:lang w:val="lv-LV"/>
        </w:rPr>
        <w:lastRenderedPageBreak/>
        <w:t>Saturs</w:t>
      </w:r>
    </w:p>
    <w:p w:rsidR="0041110C" w:rsidRPr="00E45D07" w:rsidRDefault="0041110C" w:rsidP="00E45D07">
      <w:pPr>
        <w:spacing w:afterLines="40" w:after="96" w:line="240" w:lineRule="auto"/>
        <w:jc w:val="right"/>
        <w:rPr>
          <w:rFonts w:ascii="Times New Roman" w:hAnsi="Times New Roman"/>
          <w:color w:val="000000"/>
          <w:sz w:val="26"/>
          <w:szCs w:val="26"/>
        </w:rPr>
      </w:pPr>
    </w:p>
    <w:p w:rsidR="0041110C" w:rsidRPr="00E45D07" w:rsidRDefault="0041110C" w:rsidP="00E45D07">
      <w:pPr>
        <w:pStyle w:val="TOC1"/>
        <w:spacing w:afterLines="40" w:after="96" w:line="240" w:lineRule="auto"/>
        <w:jc w:val="right"/>
        <w:rPr>
          <w:rFonts w:ascii="Times New Roman" w:eastAsia="Times New Roman" w:hAnsi="Times New Roman"/>
          <w:sz w:val="26"/>
          <w:szCs w:val="26"/>
          <w:lang w:eastAsia="lv-LV"/>
        </w:rPr>
      </w:pPr>
      <w:r w:rsidRPr="00E45D07">
        <w:rPr>
          <w:rFonts w:ascii="Times New Roman" w:hAnsi="Times New Roman"/>
          <w:color w:val="000000"/>
          <w:sz w:val="26"/>
          <w:szCs w:val="26"/>
        </w:rPr>
        <w:fldChar w:fldCharType="begin"/>
      </w:r>
      <w:r w:rsidRPr="00E45D07">
        <w:rPr>
          <w:rFonts w:ascii="Times New Roman" w:hAnsi="Times New Roman"/>
          <w:color w:val="000000"/>
          <w:sz w:val="26"/>
          <w:szCs w:val="26"/>
        </w:rPr>
        <w:instrText xml:space="preserve"> TOC \o "1-3" \h \z \u </w:instrText>
      </w:r>
      <w:r w:rsidRPr="00E45D07">
        <w:rPr>
          <w:rFonts w:ascii="Times New Roman" w:hAnsi="Times New Roman"/>
          <w:color w:val="000000"/>
          <w:sz w:val="26"/>
          <w:szCs w:val="26"/>
        </w:rPr>
        <w:fldChar w:fldCharType="separate"/>
      </w:r>
      <w:hyperlink w:anchor="_Toc388627027" w:history="1">
        <w:r w:rsidRPr="00E45D07">
          <w:rPr>
            <w:rStyle w:val="Hyperlink"/>
            <w:rFonts w:ascii="Times New Roman" w:hAnsi="Times New Roman"/>
            <w:sz w:val="26"/>
            <w:szCs w:val="26"/>
          </w:rPr>
          <w:t>Saīsinājumi</w:t>
        </w:r>
        <w:r w:rsidRPr="00E45D07">
          <w:rPr>
            <w:rFonts w:ascii="Times New Roman" w:hAnsi="Times New Roman"/>
            <w:webHidden/>
            <w:sz w:val="26"/>
            <w:szCs w:val="26"/>
          </w:rPr>
          <w:tab/>
        </w:r>
        <w:r w:rsidRPr="00E45D07">
          <w:rPr>
            <w:rFonts w:ascii="Times New Roman" w:hAnsi="Times New Roman"/>
            <w:webHidden/>
            <w:sz w:val="26"/>
            <w:szCs w:val="26"/>
          </w:rPr>
          <w:fldChar w:fldCharType="begin"/>
        </w:r>
        <w:r w:rsidRPr="00E45D07">
          <w:rPr>
            <w:rFonts w:ascii="Times New Roman" w:hAnsi="Times New Roman"/>
            <w:webHidden/>
            <w:sz w:val="26"/>
            <w:szCs w:val="26"/>
          </w:rPr>
          <w:instrText xml:space="preserve"> PAGEREF _Toc388627027 \h </w:instrText>
        </w:r>
        <w:r w:rsidRPr="00E45D07">
          <w:rPr>
            <w:rFonts w:ascii="Times New Roman" w:hAnsi="Times New Roman"/>
            <w:webHidden/>
            <w:sz w:val="26"/>
            <w:szCs w:val="26"/>
          </w:rPr>
        </w:r>
        <w:r w:rsidRPr="00E45D07">
          <w:rPr>
            <w:rFonts w:ascii="Times New Roman" w:hAnsi="Times New Roman"/>
            <w:webHidden/>
            <w:sz w:val="26"/>
            <w:szCs w:val="26"/>
          </w:rPr>
          <w:fldChar w:fldCharType="separate"/>
        </w:r>
        <w:r w:rsidR="00EA209D">
          <w:rPr>
            <w:rFonts w:ascii="Times New Roman" w:hAnsi="Times New Roman"/>
            <w:webHidden/>
            <w:sz w:val="26"/>
            <w:szCs w:val="26"/>
          </w:rPr>
          <w:t>3</w:t>
        </w:r>
        <w:r w:rsidRPr="00E45D07">
          <w:rPr>
            <w:rFonts w:ascii="Times New Roman" w:hAnsi="Times New Roman"/>
            <w:webHidden/>
            <w:sz w:val="26"/>
            <w:szCs w:val="26"/>
          </w:rPr>
          <w:fldChar w:fldCharType="end"/>
        </w:r>
      </w:hyperlink>
    </w:p>
    <w:p w:rsidR="0041110C" w:rsidRPr="00E45D07" w:rsidRDefault="00D620F0" w:rsidP="00E45D07">
      <w:pPr>
        <w:pStyle w:val="TOC1"/>
        <w:spacing w:afterLines="40" w:after="96" w:line="240" w:lineRule="auto"/>
        <w:jc w:val="right"/>
        <w:rPr>
          <w:rFonts w:ascii="Times New Roman" w:eastAsia="Times New Roman" w:hAnsi="Times New Roman"/>
          <w:sz w:val="26"/>
          <w:szCs w:val="26"/>
          <w:lang w:eastAsia="lv-LV"/>
        </w:rPr>
      </w:pPr>
      <w:hyperlink w:anchor="_Toc388627028" w:history="1">
        <w:r w:rsidR="0041110C" w:rsidRPr="00E45D07">
          <w:rPr>
            <w:rStyle w:val="Hyperlink"/>
            <w:rFonts w:ascii="Times New Roman" w:hAnsi="Times New Roman"/>
            <w:sz w:val="26"/>
            <w:szCs w:val="26"/>
          </w:rPr>
          <w:t>Kopsavilkums</w:t>
        </w:r>
        <w:r w:rsidR="0041110C" w:rsidRPr="00E45D07">
          <w:rPr>
            <w:rFonts w:ascii="Times New Roman" w:hAnsi="Times New Roman"/>
            <w:webHidden/>
            <w:sz w:val="26"/>
            <w:szCs w:val="26"/>
          </w:rPr>
          <w:tab/>
        </w:r>
        <w:r w:rsidR="0041110C" w:rsidRPr="00E45D07">
          <w:rPr>
            <w:rFonts w:ascii="Times New Roman" w:hAnsi="Times New Roman"/>
            <w:webHidden/>
            <w:sz w:val="26"/>
            <w:szCs w:val="26"/>
          </w:rPr>
          <w:fldChar w:fldCharType="begin"/>
        </w:r>
        <w:r w:rsidR="0041110C" w:rsidRPr="00E45D07">
          <w:rPr>
            <w:rFonts w:ascii="Times New Roman" w:hAnsi="Times New Roman"/>
            <w:webHidden/>
            <w:sz w:val="26"/>
            <w:szCs w:val="26"/>
          </w:rPr>
          <w:instrText xml:space="preserve"> PAGEREF _Toc388627028 \h </w:instrText>
        </w:r>
        <w:r w:rsidR="0041110C" w:rsidRPr="00E45D07">
          <w:rPr>
            <w:rFonts w:ascii="Times New Roman" w:hAnsi="Times New Roman"/>
            <w:webHidden/>
            <w:sz w:val="26"/>
            <w:szCs w:val="26"/>
          </w:rPr>
        </w:r>
        <w:r w:rsidR="0041110C" w:rsidRPr="00E45D07">
          <w:rPr>
            <w:rFonts w:ascii="Times New Roman" w:hAnsi="Times New Roman"/>
            <w:webHidden/>
            <w:sz w:val="26"/>
            <w:szCs w:val="26"/>
          </w:rPr>
          <w:fldChar w:fldCharType="separate"/>
        </w:r>
        <w:r w:rsidR="00EA209D">
          <w:rPr>
            <w:rFonts w:ascii="Times New Roman" w:hAnsi="Times New Roman"/>
            <w:webHidden/>
            <w:sz w:val="26"/>
            <w:szCs w:val="26"/>
          </w:rPr>
          <w:t>4</w:t>
        </w:r>
        <w:r w:rsidR="0041110C" w:rsidRPr="00E45D07">
          <w:rPr>
            <w:rFonts w:ascii="Times New Roman" w:hAnsi="Times New Roman"/>
            <w:webHidden/>
            <w:sz w:val="26"/>
            <w:szCs w:val="26"/>
          </w:rPr>
          <w:fldChar w:fldCharType="end"/>
        </w:r>
      </w:hyperlink>
    </w:p>
    <w:p w:rsidR="0041110C" w:rsidRPr="00E45D07" w:rsidRDefault="00D620F0" w:rsidP="00E45D07">
      <w:pPr>
        <w:pStyle w:val="TOC1"/>
        <w:spacing w:afterLines="40" w:after="96" w:line="240" w:lineRule="auto"/>
        <w:jc w:val="right"/>
        <w:rPr>
          <w:rFonts w:ascii="Times New Roman" w:eastAsia="Times New Roman" w:hAnsi="Times New Roman"/>
          <w:sz w:val="26"/>
          <w:szCs w:val="26"/>
          <w:lang w:eastAsia="lv-LV"/>
        </w:rPr>
      </w:pPr>
      <w:hyperlink w:anchor="_Toc388627029" w:history="1">
        <w:r w:rsidR="0041110C" w:rsidRPr="00E45D07">
          <w:rPr>
            <w:rStyle w:val="Hyperlink"/>
            <w:rFonts w:ascii="Times New Roman" w:hAnsi="Times New Roman"/>
            <w:sz w:val="26"/>
            <w:szCs w:val="26"/>
          </w:rPr>
          <w:t>Ievads</w:t>
        </w:r>
        <w:r w:rsidR="0041110C" w:rsidRPr="00E45D07">
          <w:rPr>
            <w:rFonts w:ascii="Times New Roman" w:hAnsi="Times New Roman"/>
            <w:webHidden/>
            <w:sz w:val="26"/>
            <w:szCs w:val="26"/>
          </w:rPr>
          <w:tab/>
        </w:r>
        <w:r w:rsidR="0041110C" w:rsidRPr="00E45D07">
          <w:rPr>
            <w:rFonts w:ascii="Times New Roman" w:hAnsi="Times New Roman"/>
            <w:webHidden/>
            <w:sz w:val="26"/>
            <w:szCs w:val="26"/>
          </w:rPr>
          <w:fldChar w:fldCharType="begin"/>
        </w:r>
        <w:r w:rsidR="0041110C" w:rsidRPr="00E45D07">
          <w:rPr>
            <w:rFonts w:ascii="Times New Roman" w:hAnsi="Times New Roman"/>
            <w:webHidden/>
            <w:sz w:val="26"/>
            <w:szCs w:val="26"/>
          </w:rPr>
          <w:instrText xml:space="preserve"> PAGEREF _Toc388627029 \h </w:instrText>
        </w:r>
        <w:r w:rsidR="0041110C" w:rsidRPr="00E45D07">
          <w:rPr>
            <w:rFonts w:ascii="Times New Roman" w:hAnsi="Times New Roman"/>
            <w:webHidden/>
            <w:sz w:val="26"/>
            <w:szCs w:val="26"/>
          </w:rPr>
        </w:r>
        <w:r w:rsidR="0041110C" w:rsidRPr="00E45D07">
          <w:rPr>
            <w:rFonts w:ascii="Times New Roman" w:hAnsi="Times New Roman"/>
            <w:webHidden/>
            <w:sz w:val="26"/>
            <w:szCs w:val="26"/>
          </w:rPr>
          <w:fldChar w:fldCharType="separate"/>
        </w:r>
        <w:r w:rsidR="00EA209D">
          <w:rPr>
            <w:rFonts w:ascii="Times New Roman" w:hAnsi="Times New Roman"/>
            <w:webHidden/>
            <w:sz w:val="26"/>
            <w:szCs w:val="26"/>
          </w:rPr>
          <w:t>5</w:t>
        </w:r>
        <w:r w:rsidR="0041110C" w:rsidRPr="00E45D07">
          <w:rPr>
            <w:rFonts w:ascii="Times New Roman" w:hAnsi="Times New Roman"/>
            <w:webHidden/>
            <w:sz w:val="26"/>
            <w:szCs w:val="26"/>
          </w:rPr>
          <w:fldChar w:fldCharType="end"/>
        </w:r>
      </w:hyperlink>
    </w:p>
    <w:p w:rsidR="0041110C" w:rsidRPr="00E45D07" w:rsidRDefault="00D620F0" w:rsidP="00E45D07">
      <w:pPr>
        <w:pStyle w:val="TOC1"/>
        <w:spacing w:afterLines="40" w:after="96" w:line="240" w:lineRule="auto"/>
        <w:jc w:val="right"/>
        <w:rPr>
          <w:rFonts w:ascii="Times New Roman" w:eastAsia="Times New Roman" w:hAnsi="Times New Roman"/>
          <w:sz w:val="26"/>
          <w:szCs w:val="26"/>
          <w:lang w:eastAsia="lv-LV"/>
        </w:rPr>
      </w:pPr>
      <w:hyperlink w:anchor="_Toc388627030" w:history="1">
        <w:r w:rsidR="0041110C" w:rsidRPr="00E45D07">
          <w:rPr>
            <w:rStyle w:val="Hyperlink"/>
            <w:rFonts w:ascii="Times New Roman" w:hAnsi="Times New Roman"/>
            <w:sz w:val="26"/>
            <w:szCs w:val="26"/>
          </w:rPr>
          <w:t>1. Tirgus raksturojums</w:t>
        </w:r>
        <w:r w:rsidR="0041110C" w:rsidRPr="00E45D07">
          <w:rPr>
            <w:rFonts w:ascii="Times New Roman" w:hAnsi="Times New Roman"/>
            <w:webHidden/>
            <w:sz w:val="26"/>
            <w:szCs w:val="26"/>
          </w:rPr>
          <w:tab/>
        </w:r>
        <w:r w:rsidR="0041110C" w:rsidRPr="00E45D07">
          <w:rPr>
            <w:rFonts w:ascii="Times New Roman" w:hAnsi="Times New Roman"/>
            <w:webHidden/>
            <w:sz w:val="26"/>
            <w:szCs w:val="26"/>
          </w:rPr>
          <w:fldChar w:fldCharType="begin"/>
        </w:r>
        <w:r w:rsidR="0041110C" w:rsidRPr="00E45D07">
          <w:rPr>
            <w:rFonts w:ascii="Times New Roman" w:hAnsi="Times New Roman"/>
            <w:webHidden/>
            <w:sz w:val="26"/>
            <w:szCs w:val="26"/>
          </w:rPr>
          <w:instrText xml:space="preserve"> PAGEREF _Toc388627030 \h </w:instrText>
        </w:r>
        <w:r w:rsidR="0041110C" w:rsidRPr="00E45D07">
          <w:rPr>
            <w:rFonts w:ascii="Times New Roman" w:hAnsi="Times New Roman"/>
            <w:webHidden/>
            <w:sz w:val="26"/>
            <w:szCs w:val="26"/>
          </w:rPr>
        </w:r>
        <w:r w:rsidR="0041110C" w:rsidRPr="00E45D07">
          <w:rPr>
            <w:rFonts w:ascii="Times New Roman" w:hAnsi="Times New Roman"/>
            <w:webHidden/>
            <w:sz w:val="26"/>
            <w:szCs w:val="26"/>
          </w:rPr>
          <w:fldChar w:fldCharType="separate"/>
        </w:r>
        <w:r w:rsidR="00EA209D">
          <w:rPr>
            <w:rFonts w:ascii="Times New Roman" w:hAnsi="Times New Roman"/>
            <w:webHidden/>
            <w:sz w:val="26"/>
            <w:szCs w:val="26"/>
          </w:rPr>
          <w:t>7</w:t>
        </w:r>
        <w:r w:rsidR="0041110C" w:rsidRPr="00E45D07">
          <w:rPr>
            <w:rFonts w:ascii="Times New Roman" w:hAnsi="Times New Roman"/>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31" w:history="1">
        <w:r w:rsidR="0041110C" w:rsidRPr="00E45D07">
          <w:rPr>
            <w:rStyle w:val="Hyperlink"/>
            <w:rFonts w:ascii="Times New Roman" w:hAnsi="Times New Roman"/>
            <w:noProof/>
            <w:sz w:val="26"/>
            <w:szCs w:val="26"/>
          </w:rPr>
          <w:t>1.1. Esošā LGA eksporta kredīta garantiju programma</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_Toc388627031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7</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32" w:history="1">
        <w:r w:rsidR="0041110C" w:rsidRPr="00E45D07">
          <w:rPr>
            <w:rStyle w:val="Hyperlink"/>
            <w:rFonts w:ascii="Times New Roman" w:hAnsi="Times New Roman"/>
            <w:noProof/>
            <w:sz w:val="26"/>
            <w:szCs w:val="26"/>
          </w:rPr>
          <w:t>1.2. Privāto apdrošinātāju funkcijas un pozīcijas tirgū</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_Toc388627032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8</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1"/>
        <w:spacing w:afterLines="40" w:after="96" w:line="240" w:lineRule="auto"/>
        <w:jc w:val="right"/>
        <w:rPr>
          <w:rFonts w:ascii="Times New Roman" w:eastAsia="Times New Roman" w:hAnsi="Times New Roman"/>
          <w:sz w:val="26"/>
          <w:szCs w:val="26"/>
          <w:lang w:eastAsia="lv-LV"/>
        </w:rPr>
      </w:pPr>
      <w:hyperlink w:anchor="_Toc388627033" w:history="1">
        <w:r w:rsidR="0041110C" w:rsidRPr="00E45D07">
          <w:rPr>
            <w:rStyle w:val="Hyperlink"/>
            <w:rFonts w:ascii="Times New Roman" w:hAnsi="Times New Roman"/>
            <w:sz w:val="26"/>
            <w:szCs w:val="26"/>
          </w:rPr>
          <w:t>2. Vidēja un ilgtermiņa eksporta kredīta garantijas</w:t>
        </w:r>
        <w:r w:rsidR="0041110C" w:rsidRPr="00E45D07">
          <w:rPr>
            <w:rFonts w:ascii="Times New Roman" w:hAnsi="Times New Roman"/>
            <w:webHidden/>
            <w:sz w:val="26"/>
            <w:szCs w:val="26"/>
          </w:rPr>
          <w:tab/>
        </w:r>
        <w:r w:rsidR="0041110C" w:rsidRPr="00E45D07">
          <w:rPr>
            <w:rFonts w:ascii="Times New Roman" w:hAnsi="Times New Roman"/>
            <w:webHidden/>
            <w:sz w:val="26"/>
            <w:szCs w:val="26"/>
          </w:rPr>
          <w:fldChar w:fldCharType="begin"/>
        </w:r>
        <w:r w:rsidR="0041110C" w:rsidRPr="00E45D07">
          <w:rPr>
            <w:rFonts w:ascii="Times New Roman" w:hAnsi="Times New Roman"/>
            <w:webHidden/>
            <w:sz w:val="26"/>
            <w:szCs w:val="26"/>
          </w:rPr>
          <w:instrText xml:space="preserve"> PAGEREF _Toc388627033 \h </w:instrText>
        </w:r>
        <w:r w:rsidR="0041110C" w:rsidRPr="00E45D07">
          <w:rPr>
            <w:rFonts w:ascii="Times New Roman" w:hAnsi="Times New Roman"/>
            <w:webHidden/>
            <w:sz w:val="26"/>
            <w:szCs w:val="26"/>
          </w:rPr>
        </w:r>
        <w:r w:rsidR="0041110C" w:rsidRPr="00E45D07">
          <w:rPr>
            <w:rFonts w:ascii="Times New Roman" w:hAnsi="Times New Roman"/>
            <w:webHidden/>
            <w:sz w:val="26"/>
            <w:szCs w:val="26"/>
          </w:rPr>
          <w:fldChar w:fldCharType="separate"/>
        </w:r>
        <w:r w:rsidR="00EA209D">
          <w:rPr>
            <w:rFonts w:ascii="Times New Roman" w:hAnsi="Times New Roman"/>
            <w:webHidden/>
            <w:sz w:val="26"/>
            <w:szCs w:val="26"/>
          </w:rPr>
          <w:t>9</w:t>
        </w:r>
        <w:r w:rsidR="0041110C" w:rsidRPr="00E45D07">
          <w:rPr>
            <w:rFonts w:ascii="Times New Roman" w:hAnsi="Times New Roman"/>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34" w:history="1">
        <w:r w:rsidR="0041110C" w:rsidRPr="00E45D07">
          <w:rPr>
            <w:rStyle w:val="Hyperlink"/>
            <w:rFonts w:ascii="Times New Roman" w:hAnsi="Times New Roman"/>
            <w:noProof/>
            <w:sz w:val="26"/>
            <w:szCs w:val="26"/>
          </w:rPr>
          <w:t>2.1. Instrumenta raksturojums</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_Toc388627034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9</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35" w:history="1">
        <w:r w:rsidR="0041110C" w:rsidRPr="00E45D07">
          <w:rPr>
            <w:rStyle w:val="Hyperlink"/>
            <w:rFonts w:ascii="Times New Roman" w:hAnsi="Times New Roman"/>
            <w:noProof/>
            <w:sz w:val="26"/>
            <w:szCs w:val="26"/>
          </w:rPr>
          <w:t>2.2. Pozīcijas/piedāvājums tirgū</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_Toc388627035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10</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36" w:history="1">
        <w:r w:rsidR="0041110C" w:rsidRPr="00E45D07">
          <w:rPr>
            <w:rStyle w:val="Hyperlink"/>
            <w:rFonts w:ascii="Times New Roman" w:hAnsi="Times New Roman"/>
            <w:noProof/>
            <w:sz w:val="26"/>
            <w:szCs w:val="26"/>
          </w:rPr>
          <w:t>2.3. Mērķa nozares</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_Toc388627036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11</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37" w:history="1">
        <w:r w:rsidR="0041110C" w:rsidRPr="00E45D07">
          <w:rPr>
            <w:rStyle w:val="Hyperlink"/>
            <w:rFonts w:ascii="Times New Roman" w:hAnsi="Times New Roman"/>
            <w:noProof/>
            <w:sz w:val="26"/>
            <w:szCs w:val="26"/>
          </w:rPr>
          <w:t>2.4. Ietekme uz eksporta pieaugumu</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_Toc388627037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12</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3"/>
        <w:tabs>
          <w:tab w:val="right" w:leader="dot" w:pos="9061"/>
        </w:tabs>
        <w:spacing w:afterLines="40" w:after="96" w:line="240" w:lineRule="auto"/>
        <w:jc w:val="right"/>
        <w:rPr>
          <w:rFonts w:ascii="Times New Roman" w:eastAsia="Times New Roman" w:hAnsi="Times New Roman"/>
          <w:noProof/>
          <w:sz w:val="26"/>
          <w:szCs w:val="26"/>
          <w:lang w:eastAsia="lv-LV"/>
        </w:rPr>
      </w:pPr>
      <w:hyperlink w:anchor="_Toc388627038" w:history="1">
        <w:r w:rsidR="0041110C" w:rsidRPr="00E45D07">
          <w:rPr>
            <w:rStyle w:val="Hyperlink"/>
            <w:rFonts w:ascii="Times New Roman" w:hAnsi="Times New Roman"/>
            <w:noProof/>
            <w:sz w:val="26"/>
            <w:szCs w:val="26"/>
          </w:rPr>
          <w:t>2.4.1. Tieša ietekme uz eksportējamajiem daudzumiem</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_Toc388627038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12</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3"/>
        <w:tabs>
          <w:tab w:val="right" w:leader="dot" w:pos="9061"/>
        </w:tabs>
        <w:spacing w:afterLines="40" w:after="96" w:line="240" w:lineRule="auto"/>
        <w:jc w:val="right"/>
        <w:rPr>
          <w:rFonts w:ascii="Times New Roman" w:eastAsia="Times New Roman" w:hAnsi="Times New Roman"/>
          <w:noProof/>
          <w:sz w:val="26"/>
          <w:szCs w:val="26"/>
          <w:lang w:eastAsia="lv-LV"/>
        </w:rPr>
      </w:pPr>
      <w:hyperlink w:anchor="_Toc388627039" w:history="1">
        <w:r w:rsidR="0041110C" w:rsidRPr="00E45D07">
          <w:rPr>
            <w:rStyle w:val="Hyperlink"/>
            <w:rFonts w:ascii="Times New Roman" w:hAnsi="Times New Roman"/>
            <w:noProof/>
            <w:sz w:val="26"/>
            <w:szCs w:val="26"/>
          </w:rPr>
          <w:t>2.4.2. Netieša ietekme uz eksporta apjomiem</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_Toc388627039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13</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40" w:history="1">
        <w:r w:rsidR="0041110C" w:rsidRPr="00E45D07">
          <w:rPr>
            <w:rStyle w:val="Hyperlink"/>
            <w:rFonts w:ascii="Times New Roman" w:hAnsi="Times New Roman"/>
            <w:noProof/>
            <w:sz w:val="26"/>
            <w:szCs w:val="26"/>
          </w:rPr>
          <w:t>2.5. Ietekme uz darba tirgu</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_Toc388627040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15</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1"/>
        <w:spacing w:afterLines="40" w:after="96" w:line="240" w:lineRule="auto"/>
        <w:jc w:val="right"/>
        <w:rPr>
          <w:rFonts w:ascii="Times New Roman" w:eastAsia="Times New Roman" w:hAnsi="Times New Roman"/>
          <w:sz w:val="26"/>
          <w:szCs w:val="26"/>
          <w:lang w:eastAsia="lv-LV"/>
        </w:rPr>
      </w:pPr>
      <w:hyperlink w:anchor="_Toc388627041" w:history="1">
        <w:r w:rsidR="0041110C" w:rsidRPr="00E45D07">
          <w:rPr>
            <w:rStyle w:val="Hyperlink"/>
            <w:rFonts w:ascii="Times New Roman" w:hAnsi="Times New Roman"/>
            <w:sz w:val="26"/>
            <w:szCs w:val="26"/>
          </w:rPr>
          <w:t>3. LGA vidēja un ilgtermiņa eksporta kredīta garantiju programmas kritēriji</w:t>
        </w:r>
        <w:r w:rsidR="0041110C" w:rsidRPr="00E45D07">
          <w:rPr>
            <w:rFonts w:ascii="Times New Roman" w:hAnsi="Times New Roman"/>
            <w:webHidden/>
            <w:sz w:val="26"/>
            <w:szCs w:val="26"/>
          </w:rPr>
          <w:tab/>
        </w:r>
        <w:r w:rsidR="0041110C" w:rsidRPr="00E45D07">
          <w:rPr>
            <w:rFonts w:ascii="Times New Roman" w:hAnsi="Times New Roman"/>
            <w:webHidden/>
            <w:sz w:val="26"/>
            <w:szCs w:val="26"/>
          </w:rPr>
          <w:fldChar w:fldCharType="begin"/>
        </w:r>
        <w:r w:rsidR="0041110C" w:rsidRPr="00E45D07">
          <w:rPr>
            <w:rFonts w:ascii="Times New Roman" w:hAnsi="Times New Roman"/>
            <w:webHidden/>
            <w:sz w:val="26"/>
            <w:szCs w:val="26"/>
          </w:rPr>
          <w:instrText xml:space="preserve"> PAGEREF _Toc388627041 \h </w:instrText>
        </w:r>
        <w:r w:rsidR="0041110C" w:rsidRPr="00E45D07">
          <w:rPr>
            <w:rFonts w:ascii="Times New Roman" w:hAnsi="Times New Roman"/>
            <w:webHidden/>
            <w:sz w:val="26"/>
            <w:szCs w:val="26"/>
          </w:rPr>
        </w:r>
        <w:r w:rsidR="0041110C" w:rsidRPr="00E45D07">
          <w:rPr>
            <w:rFonts w:ascii="Times New Roman" w:hAnsi="Times New Roman"/>
            <w:webHidden/>
            <w:sz w:val="26"/>
            <w:szCs w:val="26"/>
          </w:rPr>
          <w:fldChar w:fldCharType="separate"/>
        </w:r>
        <w:r w:rsidR="00EA209D">
          <w:rPr>
            <w:rFonts w:ascii="Times New Roman" w:hAnsi="Times New Roman"/>
            <w:webHidden/>
            <w:sz w:val="26"/>
            <w:szCs w:val="26"/>
          </w:rPr>
          <w:t>17</w:t>
        </w:r>
        <w:r w:rsidR="0041110C" w:rsidRPr="00E45D07">
          <w:rPr>
            <w:rFonts w:ascii="Times New Roman" w:hAnsi="Times New Roman"/>
            <w:webHidden/>
            <w:sz w:val="26"/>
            <w:szCs w:val="26"/>
          </w:rPr>
          <w:fldChar w:fldCharType="end"/>
        </w:r>
      </w:hyperlink>
    </w:p>
    <w:p w:rsidR="0041110C" w:rsidRPr="00E45D07" w:rsidRDefault="00D620F0" w:rsidP="00E45D07">
      <w:pPr>
        <w:pStyle w:val="TOC1"/>
        <w:spacing w:afterLines="40" w:after="96" w:line="240" w:lineRule="auto"/>
        <w:jc w:val="right"/>
        <w:rPr>
          <w:rFonts w:ascii="Times New Roman" w:eastAsia="Times New Roman" w:hAnsi="Times New Roman"/>
          <w:sz w:val="26"/>
          <w:szCs w:val="26"/>
          <w:lang w:eastAsia="lv-LV"/>
        </w:rPr>
      </w:pPr>
      <w:hyperlink w:anchor="_Toc388627042" w:history="1">
        <w:r w:rsidR="0041110C" w:rsidRPr="00E45D07">
          <w:rPr>
            <w:rStyle w:val="Hyperlink"/>
            <w:rFonts w:ascii="Times New Roman" w:hAnsi="Times New Roman"/>
            <w:sz w:val="26"/>
            <w:szCs w:val="26"/>
          </w:rPr>
          <w:t>4. Ieviešanas modelis</w:t>
        </w:r>
        <w:r w:rsidR="0041110C" w:rsidRPr="00E45D07">
          <w:rPr>
            <w:rFonts w:ascii="Times New Roman" w:hAnsi="Times New Roman"/>
            <w:webHidden/>
            <w:sz w:val="26"/>
            <w:szCs w:val="26"/>
          </w:rPr>
          <w:tab/>
        </w:r>
        <w:r w:rsidR="0041110C" w:rsidRPr="00E45D07">
          <w:rPr>
            <w:rFonts w:ascii="Times New Roman" w:hAnsi="Times New Roman"/>
            <w:webHidden/>
            <w:sz w:val="26"/>
            <w:szCs w:val="26"/>
          </w:rPr>
          <w:fldChar w:fldCharType="begin"/>
        </w:r>
        <w:r w:rsidR="0041110C" w:rsidRPr="00E45D07">
          <w:rPr>
            <w:rFonts w:ascii="Times New Roman" w:hAnsi="Times New Roman"/>
            <w:webHidden/>
            <w:sz w:val="26"/>
            <w:szCs w:val="26"/>
          </w:rPr>
          <w:instrText xml:space="preserve"> PAGEREF _Toc388627042 \h </w:instrText>
        </w:r>
        <w:r w:rsidR="0041110C" w:rsidRPr="00E45D07">
          <w:rPr>
            <w:rFonts w:ascii="Times New Roman" w:hAnsi="Times New Roman"/>
            <w:webHidden/>
            <w:sz w:val="26"/>
            <w:szCs w:val="26"/>
          </w:rPr>
        </w:r>
        <w:r w:rsidR="0041110C" w:rsidRPr="00E45D07">
          <w:rPr>
            <w:rFonts w:ascii="Times New Roman" w:hAnsi="Times New Roman"/>
            <w:webHidden/>
            <w:sz w:val="26"/>
            <w:szCs w:val="26"/>
          </w:rPr>
          <w:fldChar w:fldCharType="separate"/>
        </w:r>
        <w:r w:rsidR="00EA209D">
          <w:rPr>
            <w:rFonts w:ascii="Times New Roman" w:hAnsi="Times New Roman"/>
            <w:webHidden/>
            <w:sz w:val="26"/>
            <w:szCs w:val="26"/>
          </w:rPr>
          <w:t>20</w:t>
        </w:r>
        <w:r w:rsidR="0041110C" w:rsidRPr="00E45D07">
          <w:rPr>
            <w:rFonts w:ascii="Times New Roman" w:hAnsi="Times New Roman"/>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43" w:history="1">
        <w:r w:rsidR="0041110C" w:rsidRPr="00E45D07">
          <w:rPr>
            <w:rStyle w:val="Hyperlink"/>
            <w:rFonts w:ascii="Times New Roman" w:hAnsi="Times New Roman"/>
            <w:noProof/>
            <w:sz w:val="26"/>
            <w:szCs w:val="26"/>
          </w:rPr>
          <w:t>4.1. Izplatītāko Eksporta kredīta aģentūru modeļu raksturojums</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_Toc388627043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20</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2"/>
        <w:spacing w:afterLines="40" w:after="96" w:line="240" w:lineRule="auto"/>
        <w:jc w:val="right"/>
        <w:rPr>
          <w:rFonts w:ascii="Times New Roman" w:eastAsia="Times New Roman" w:hAnsi="Times New Roman"/>
          <w:noProof/>
          <w:sz w:val="26"/>
          <w:szCs w:val="26"/>
          <w:lang w:eastAsia="lv-LV"/>
        </w:rPr>
      </w:pPr>
      <w:hyperlink w:anchor="_Toc388627044" w:history="1">
        <w:r w:rsidR="0041110C" w:rsidRPr="00E45D07">
          <w:rPr>
            <w:rStyle w:val="Hyperlink"/>
            <w:rFonts w:ascii="Times New Roman" w:hAnsi="Times New Roman"/>
            <w:noProof/>
            <w:sz w:val="26"/>
            <w:szCs w:val="26"/>
          </w:rPr>
          <w:t>4.1. Pilna spektra valsts Eksporta kredīta aģentūras izveide</w:t>
        </w:r>
        <w:r w:rsidR="0041110C" w:rsidRPr="00E45D07">
          <w:rPr>
            <w:rFonts w:ascii="Times New Roman" w:hAnsi="Times New Roman"/>
            <w:noProof/>
            <w:webHidden/>
            <w:sz w:val="26"/>
            <w:szCs w:val="26"/>
          </w:rPr>
          <w:tab/>
        </w:r>
        <w:r w:rsidR="0041110C" w:rsidRPr="00E45D07">
          <w:rPr>
            <w:rFonts w:ascii="Times New Roman" w:hAnsi="Times New Roman"/>
            <w:noProof/>
            <w:webHidden/>
            <w:sz w:val="26"/>
            <w:szCs w:val="26"/>
          </w:rPr>
          <w:fldChar w:fldCharType="begin"/>
        </w:r>
        <w:r w:rsidR="0041110C" w:rsidRPr="00E45D07">
          <w:rPr>
            <w:rFonts w:ascii="Times New Roman" w:hAnsi="Times New Roman"/>
            <w:noProof/>
            <w:webHidden/>
            <w:sz w:val="26"/>
            <w:szCs w:val="26"/>
          </w:rPr>
          <w:instrText xml:space="preserve"> PAGEREF _Toc388627044 \h </w:instrText>
        </w:r>
        <w:r w:rsidR="0041110C" w:rsidRPr="00E45D07">
          <w:rPr>
            <w:rFonts w:ascii="Times New Roman" w:hAnsi="Times New Roman"/>
            <w:noProof/>
            <w:webHidden/>
            <w:sz w:val="26"/>
            <w:szCs w:val="26"/>
          </w:rPr>
        </w:r>
        <w:r w:rsidR="0041110C" w:rsidRPr="00E45D07">
          <w:rPr>
            <w:rFonts w:ascii="Times New Roman" w:hAnsi="Times New Roman"/>
            <w:noProof/>
            <w:webHidden/>
            <w:sz w:val="26"/>
            <w:szCs w:val="26"/>
          </w:rPr>
          <w:fldChar w:fldCharType="separate"/>
        </w:r>
        <w:r w:rsidR="00EA209D">
          <w:rPr>
            <w:rFonts w:ascii="Times New Roman" w:hAnsi="Times New Roman"/>
            <w:noProof/>
            <w:webHidden/>
            <w:sz w:val="26"/>
            <w:szCs w:val="26"/>
          </w:rPr>
          <w:t>22</w:t>
        </w:r>
        <w:r w:rsidR="0041110C" w:rsidRPr="00E45D07">
          <w:rPr>
            <w:rFonts w:ascii="Times New Roman" w:hAnsi="Times New Roman"/>
            <w:noProof/>
            <w:webHidden/>
            <w:sz w:val="26"/>
            <w:szCs w:val="26"/>
          </w:rPr>
          <w:fldChar w:fldCharType="end"/>
        </w:r>
      </w:hyperlink>
    </w:p>
    <w:p w:rsidR="0041110C" w:rsidRPr="00E45D07" w:rsidRDefault="00D620F0" w:rsidP="00E45D07">
      <w:pPr>
        <w:pStyle w:val="TOC1"/>
        <w:spacing w:afterLines="40" w:after="96" w:line="240" w:lineRule="auto"/>
        <w:jc w:val="right"/>
        <w:rPr>
          <w:rFonts w:ascii="Times New Roman" w:eastAsia="Times New Roman" w:hAnsi="Times New Roman"/>
          <w:sz w:val="26"/>
          <w:szCs w:val="26"/>
          <w:lang w:eastAsia="lv-LV"/>
        </w:rPr>
      </w:pPr>
      <w:hyperlink w:anchor="_Toc388627045" w:history="1">
        <w:r w:rsidR="0041110C" w:rsidRPr="00E45D07">
          <w:rPr>
            <w:rStyle w:val="Hyperlink"/>
            <w:rFonts w:ascii="Times New Roman" w:hAnsi="Times New Roman"/>
            <w:sz w:val="26"/>
            <w:szCs w:val="26"/>
          </w:rPr>
          <w:t>5. Secinājumi un priekšlikumi</w:t>
        </w:r>
        <w:r w:rsidR="0041110C" w:rsidRPr="00E45D07">
          <w:rPr>
            <w:rFonts w:ascii="Times New Roman" w:hAnsi="Times New Roman"/>
            <w:webHidden/>
            <w:sz w:val="26"/>
            <w:szCs w:val="26"/>
          </w:rPr>
          <w:tab/>
        </w:r>
        <w:r w:rsidR="0041110C" w:rsidRPr="00E45D07">
          <w:rPr>
            <w:rFonts w:ascii="Times New Roman" w:hAnsi="Times New Roman"/>
            <w:webHidden/>
            <w:sz w:val="26"/>
            <w:szCs w:val="26"/>
          </w:rPr>
          <w:fldChar w:fldCharType="begin"/>
        </w:r>
        <w:r w:rsidR="0041110C" w:rsidRPr="00E45D07">
          <w:rPr>
            <w:rFonts w:ascii="Times New Roman" w:hAnsi="Times New Roman"/>
            <w:webHidden/>
            <w:sz w:val="26"/>
            <w:szCs w:val="26"/>
          </w:rPr>
          <w:instrText xml:space="preserve"> PAGEREF _Toc388627045 \h </w:instrText>
        </w:r>
        <w:r w:rsidR="0041110C" w:rsidRPr="00E45D07">
          <w:rPr>
            <w:rFonts w:ascii="Times New Roman" w:hAnsi="Times New Roman"/>
            <w:webHidden/>
            <w:sz w:val="26"/>
            <w:szCs w:val="26"/>
          </w:rPr>
        </w:r>
        <w:r w:rsidR="0041110C" w:rsidRPr="00E45D07">
          <w:rPr>
            <w:rFonts w:ascii="Times New Roman" w:hAnsi="Times New Roman"/>
            <w:webHidden/>
            <w:sz w:val="26"/>
            <w:szCs w:val="26"/>
          </w:rPr>
          <w:fldChar w:fldCharType="separate"/>
        </w:r>
        <w:r w:rsidR="00EA209D">
          <w:rPr>
            <w:rFonts w:ascii="Times New Roman" w:hAnsi="Times New Roman"/>
            <w:webHidden/>
            <w:sz w:val="26"/>
            <w:szCs w:val="26"/>
          </w:rPr>
          <w:t>25</w:t>
        </w:r>
        <w:r w:rsidR="0041110C" w:rsidRPr="00E45D07">
          <w:rPr>
            <w:rFonts w:ascii="Times New Roman" w:hAnsi="Times New Roman"/>
            <w:webHidden/>
            <w:sz w:val="26"/>
            <w:szCs w:val="26"/>
          </w:rPr>
          <w:fldChar w:fldCharType="end"/>
        </w:r>
      </w:hyperlink>
    </w:p>
    <w:p w:rsidR="0041110C" w:rsidRPr="00E45D07" w:rsidRDefault="0041110C" w:rsidP="00E45D07">
      <w:pPr>
        <w:spacing w:afterLines="40" w:after="96" w:line="240" w:lineRule="auto"/>
        <w:jc w:val="right"/>
        <w:rPr>
          <w:rFonts w:ascii="Times New Roman" w:hAnsi="Times New Roman"/>
          <w:color w:val="000000"/>
          <w:sz w:val="26"/>
          <w:szCs w:val="26"/>
        </w:rPr>
      </w:pPr>
      <w:r w:rsidRPr="00E45D07">
        <w:rPr>
          <w:rFonts w:ascii="Times New Roman" w:hAnsi="Times New Roman"/>
          <w:color w:val="000000"/>
          <w:sz w:val="26"/>
          <w:szCs w:val="26"/>
        </w:rPr>
        <w:fldChar w:fldCharType="end"/>
      </w:r>
    </w:p>
    <w:p w:rsidR="0041110C" w:rsidRPr="00E45D07" w:rsidRDefault="0041110C" w:rsidP="00E45D07">
      <w:pPr>
        <w:spacing w:afterLines="40" w:after="96" w:line="240" w:lineRule="auto"/>
        <w:jc w:val="both"/>
        <w:rPr>
          <w:rFonts w:ascii="Times New Roman" w:hAnsi="Times New Roman"/>
          <w:color w:val="000000"/>
          <w:sz w:val="26"/>
          <w:szCs w:val="26"/>
        </w:rPr>
      </w:pPr>
    </w:p>
    <w:p w:rsidR="0041110C" w:rsidRPr="00E45D07" w:rsidRDefault="0041110C" w:rsidP="00E45D07">
      <w:pPr>
        <w:spacing w:afterLines="40" w:after="96" w:line="240" w:lineRule="auto"/>
        <w:rPr>
          <w:rFonts w:ascii="Times New Roman" w:hAnsi="Times New Roman"/>
          <w:sz w:val="26"/>
          <w:szCs w:val="26"/>
        </w:rPr>
      </w:pPr>
      <w:r w:rsidRPr="00E45D07">
        <w:rPr>
          <w:rFonts w:ascii="Times New Roman" w:hAnsi="Times New Roman"/>
          <w:sz w:val="26"/>
          <w:szCs w:val="26"/>
        </w:rPr>
        <w:br w:type="page"/>
      </w:r>
    </w:p>
    <w:p w:rsidR="0041110C" w:rsidRPr="00E45D07" w:rsidRDefault="0041110C" w:rsidP="00E45D07">
      <w:pPr>
        <w:pStyle w:val="Heading1"/>
        <w:spacing w:before="0" w:afterLines="40" w:after="96" w:line="240" w:lineRule="auto"/>
        <w:rPr>
          <w:rFonts w:ascii="Times New Roman" w:hAnsi="Times New Roman"/>
          <w:color w:val="000000"/>
          <w:sz w:val="26"/>
          <w:szCs w:val="26"/>
        </w:rPr>
      </w:pPr>
    </w:p>
    <w:p w:rsidR="0041110C" w:rsidRPr="00E45D07" w:rsidRDefault="0041110C" w:rsidP="00E45D07">
      <w:pPr>
        <w:pStyle w:val="Heading1"/>
        <w:spacing w:before="0" w:afterLines="40" w:after="96" w:line="240" w:lineRule="auto"/>
        <w:rPr>
          <w:rFonts w:ascii="Times New Roman" w:hAnsi="Times New Roman"/>
          <w:b w:val="0"/>
          <w:color w:val="000000"/>
          <w:sz w:val="26"/>
          <w:szCs w:val="26"/>
        </w:rPr>
      </w:pPr>
      <w:bookmarkStart w:id="1" w:name="_Toc388627027"/>
      <w:r w:rsidRPr="00E45D07">
        <w:rPr>
          <w:rFonts w:ascii="Times New Roman" w:hAnsi="Times New Roman"/>
          <w:color w:val="000000"/>
          <w:sz w:val="26"/>
          <w:szCs w:val="26"/>
        </w:rPr>
        <w:t>Saīsinājumi</w:t>
      </w:r>
      <w:bookmarkEnd w:id="1"/>
    </w:p>
    <w:p w:rsidR="0041110C" w:rsidRPr="00E45D07" w:rsidRDefault="0041110C" w:rsidP="00E45D07">
      <w:pPr>
        <w:spacing w:afterLines="40" w:after="96" w:line="240" w:lineRule="auto"/>
        <w:jc w:val="both"/>
        <w:rPr>
          <w:rFonts w:ascii="Times New Roman" w:hAnsi="Times New Roman"/>
          <w:sz w:val="26"/>
          <w:szCs w:val="26"/>
        </w:rPr>
      </w:pPr>
    </w:p>
    <w:p w:rsidR="0041110C"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AFI – Attīstības finanšu institūcija</w:t>
      </w:r>
    </w:p>
    <w:p w:rsidR="00BF740A" w:rsidRPr="00E45D07" w:rsidRDefault="00BF740A" w:rsidP="00E45D07">
      <w:pPr>
        <w:spacing w:afterLines="40" w:after="96" w:line="240" w:lineRule="auto"/>
        <w:jc w:val="both"/>
        <w:rPr>
          <w:rFonts w:ascii="Times New Roman" w:hAnsi="Times New Roman"/>
          <w:color w:val="000000"/>
          <w:sz w:val="26"/>
          <w:szCs w:val="26"/>
        </w:rPr>
      </w:pPr>
      <w:r>
        <w:rPr>
          <w:rFonts w:ascii="Times New Roman" w:hAnsi="Times New Roman"/>
          <w:color w:val="000000"/>
          <w:sz w:val="26"/>
          <w:szCs w:val="26"/>
        </w:rPr>
        <w:t>ALTUM – Latvijas Attīstības finanšu institūcija ALTUM</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ES – Eiropas Savienība</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EK – Eiropas Komisija</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EKA – Eksporta kredīta aģentūra</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EKG – eksporta kredīta garantija</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EUR – euro</w:t>
      </w:r>
    </w:p>
    <w:p w:rsidR="0041110C" w:rsidRDefault="0041110C" w:rsidP="00E45D07">
      <w:pPr>
        <w:spacing w:afterLines="40" w:after="96" w:line="240" w:lineRule="auto"/>
        <w:jc w:val="both"/>
        <w:rPr>
          <w:rStyle w:val="st"/>
          <w:rFonts w:ascii="Times New Roman" w:hAnsi="Times New Roman"/>
          <w:color w:val="000000"/>
          <w:sz w:val="26"/>
          <w:szCs w:val="26"/>
        </w:rPr>
      </w:pPr>
      <w:r w:rsidRPr="00E45D07">
        <w:rPr>
          <w:rFonts w:ascii="Times New Roman" w:hAnsi="Times New Roman"/>
          <w:color w:val="000000"/>
          <w:sz w:val="26"/>
          <w:szCs w:val="26"/>
        </w:rPr>
        <w:t xml:space="preserve">FKTK - </w:t>
      </w:r>
      <w:r w:rsidRPr="00E45D07">
        <w:rPr>
          <w:rStyle w:val="st"/>
          <w:rFonts w:ascii="Times New Roman" w:hAnsi="Times New Roman"/>
          <w:color w:val="000000"/>
          <w:sz w:val="26"/>
          <w:szCs w:val="26"/>
        </w:rPr>
        <w:t>Finanšu un kapitāla tirgus komisija</w:t>
      </w:r>
    </w:p>
    <w:p w:rsidR="00BF740A" w:rsidRPr="00E45D07" w:rsidRDefault="00BF740A" w:rsidP="00E45D07">
      <w:pPr>
        <w:spacing w:afterLines="40" w:after="96" w:line="240" w:lineRule="auto"/>
        <w:jc w:val="both"/>
        <w:rPr>
          <w:rFonts w:ascii="Times New Roman" w:hAnsi="Times New Roman"/>
          <w:color w:val="000000"/>
          <w:sz w:val="26"/>
          <w:szCs w:val="26"/>
        </w:rPr>
      </w:pPr>
      <w:r>
        <w:rPr>
          <w:rStyle w:val="st"/>
          <w:rFonts w:ascii="Times New Roman" w:hAnsi="Times New Roman"/>
          <w:color w:val="000000"/>
          <w:sz w:val="26"/>
          <w:szCs w:val="26"/>
        </w:rPr>
        <w:t>LAF – Lauku attīstības fonds</w:t>
      </w:r>
    </w:p>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LDDK – Latvijas Darba devēju konfederācija</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LGA – Latvijas Garantiju aģentūra</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LKA – Latvijas Komercbanku asociācija</w:t>
      </w:r>
    </w:p>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LTRK – Latvijas Tirdzniecības un rūpniecības kamera</w:t>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color w:val="000000"/>
          <w:sz w:val="26"/>
          <w:szCs w:val="26"/>
        </w:rPr>
        <w:t>NIP – Nacionālā industriālā politika</w:t>
      </w:r>
    </w:p>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NVS – Neatkarīgo Valstu Sadraudzība</w:t>
      </w:r>
    </w:p>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MASOC – Mašīnbūves un metālapstrādes uzņēmumu asociācija</w:t>
      </w:r>
    </w:p>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MK – Ministru kabinets</w:t>
      </w:r>
    </w:p>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OECD – Ekonomiskās sadarbības un attīstības organizācija</w:t>
      </w:r>
    </w:p>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USD – ASV dolārs</w:t>
      </w:r>
    </w:p>
    <w:p w:rsidR="0041110C" w:rsidRPr="00E45D07" w:rsidRDefault="0041110C" w:rsidP="00D620F0">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br w:type="page"/>
      </w:r>
    </w:p>
    <w:p w:rsidR="0041110C" w:rsidRPr="00E45D07" w:rsidRDefault="0041110C" w:rsidP="00E45D07">
      <w:pPr>
        <w:pStyle w:val="Heading1"/>
        <w:spacing w:before="0" w:afterLines="40" w:after="96" w:line="240" w:lineRule="auto"/>
        <w:rPr>
          <w:rFonts w:ascii="Times New Roman" w:hAnsi="Times New Roman"/>
          <w:color w:val="000000"/>
          <w:sz w:val="26"/>
          <w:szCs w:val="26"/>
        </w:rPr>
      </w:pPr>
      <w:bookmarkStart w:id="2" w:name="_Toc388627028"/>
      <w:r w:rsidRPr="00E45D07">
        <w:rPr>
          <w:rFonts w:ascii="Times New Roman" w:hAnsi="Times New Roman"/>
          <w:color w:val="000000"/>
          <w:sz w:val="26"/>
          <w:szCs w:val="26"/>
        </w:rPr>
        <w:lastRenderedPageBreak/>
        <w:t>Kopsavilkums</w:t>
      </w:r>
      <w:bookmarkEnd w:id="2"/>
    </w:p>
    <w:p w:rsidR="0041110C" w:rsidRPr="00E45D07" w:rsidRDefault="00E45D07" w:rsidP="00E45D07">
      <w:pPr>
        <w:pStyle w:val="ListParagraph"/>
        <w:numPr>
          <w:ilvl w:val="0"/>
          <w:numId w:val="33"/>
        </w:numPr>
        <w:spacing w:afterLines="40" w:after="96"/>
        <w:jc w:val="both"/>
        <w:rPr>
          <w:rFonts w:ascii="Times New Roman" w:hAnsi="Times New Roman"/>
          <w:color w:val="000000"/>
          <w:sz w:val="26"/>
          <w:szCs w:val="26"/>
        </w:rPr>
      </w:pPr>
      <w:r>
        <w:rPr>
          <w:rFonts w:ascii="Times New Roman" w:hAnsi="Times New Roman"/>
          <w:color w:val="000000"/>
          <w:sz w:val="26"/>
          <w:szCs w:val="26"/>
        </w:rPr>
        <w:t>2013.</w:t>
      </w:r>
      <w:r w:rsidR="0041110C" w:rsidRPr="00E45D07">
        <w:rPr>
          <w:rFonts w:ascii="Times New Roman" w:hAnsi="Times New Roman"/>
          <w:color w:val="000000"/>
          <w:sz w:val="26"/>
          <w:szCs w:val="26"/>
        </w:rPr>
        <w:t xml:space="preserve">gada pirmajā pusē Latvijas Garantiju aģentūra uzsāka darbu pie eksporta </w:t>
      </w:r>
      <w:r w:rsidR="00A66201">
        <w:rPr>
          <w:rFonts w:ascii="Times New Roman" w:hAnsi="Times New Roman"/>
          <w:color w:val="000000"/>
          <w:sz w:val="26"/>
          <w:szCs w:val="26"/>
        </w:rPr>
        <w:t>kredīta programmas paplašināšanas</w:t>
      </w:r>
      <w:r w:rsidR="0041110C" w:rsidRPr="00E45D07">
        <w:rPr>
          <w:rFonts w:ascii="Times New Roman" w:hAnsi="Times New Roman"/>
          <w:color w:val="000000"/>
          <w:sz w:val="26"/>
          <w:szCs w:val="26"/>
        </w:rPr>
        <w:t>, ar mērķi papildināt šobrīd pieejamos atbalsta instrumentus ar vidēja un ilgtermiņa eksporta kredīta garantijām.</w:t>
      </w:r>
    </w:p>
    <w:p w:rsidR="0041110C" w:rsidRPr="00D620F0" w:rsidRDefault="0041110C" w:rsidP="00E45D07">
      <w:pPr>
        <w:pStyle w:val="ListParagraph"/>
        <w:numPr>
          <w:ilvl w:val="0"/>
          <w:numId w:val="33"/>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 xml:space="preserve">Vidēja un ilgtermiņa eksporta kredīta garantiju mērķis ir nodrošināt komerciālo un politisko risku segumu eksporta darījumiem ar maksājumu atlikto periodu </w:t>
      </w:r>
      <w:r w:rsidRPr="00D620F0">
        <w:rPr>
          <w:rFonts w:ascii="Times New Roman" w:hAnsi="Times New Roman"/>
          <w:color w:val="000000"/>
          <w:sz w:val="26"/>
          <w:szCs w:val="26"/>
        </w:rPr>
        <w:t>līdz 10 gadiem un darījumu limitu līdz 5 miljoniem EUR.</w:t>
      </w:r>
    </w:p>
    <w:p w:rsidR="0041110C" w:rsidRPr="00D620F0" w:rsidRDefault="0041110C" w:rsidP="00E45D07">
      <w:pPr>
        <w:pStyle w:val="ListParagraph"/>
        <w:numPr>
          <w:ilvl w:val="0"/>
          <w:numId w:val="33"/>
        </w:numPr>
        <w:spacing w:afterLines="40" w:after="96"/>
        <w:jc w:val="both"/>
        <w:rPr>
          <w:rFonts w:ascii="Times New Roman" w:hAnsi="Times New Roman"/>
          <w:color w:val="000000"/>
          <w:sz w:val="26"/>
          <w:szCs w:val="26"/>
        </w:rPr>
      </w:pPr>
      <w:r w:rsidRPr="00D620F0">
        <w:rPr>
          <w:rFonts w:ascii="Times New Roman" w:hAnsi="Times New Roman"/>
          <w:color w:val="000000"/>
          <w:sz w:val="26"/>
          <w:szCs w:val="26"/>
        </w:rPr>
        <w:t xml:space="preserve">Vidēja un ilgtermiņa eksporta kredīta garantijas instrumenta ieviešanai </w:t>
      </w:r>
      <w:r w:rsidR="00297E39" w:rsidRPr="00D620F0">
        <w:rPr>
          <w:rFonts w:ascii="Times New Roman" w:hAnsi="Times New Roman"/>
          <w:color w:val="000000"/>
          <w:sz w:val="26"/>
          <w:szCs w:val="26"/>
        </w:rPr>
        <w:t xml:space="preserve">ir </w:t>
      </w:r>
      <w:r w:rsidRPr="00D620F0">
        <w:rPr>
          <w:rFonts w:ascii="Times New Roman" w:hAnsi="Times New Roman"/>
          <w:color w:val="000000"/>
          <w:sz w:val="26"/>
          <w:szCs w:val="26"/>
        </w:rPr>
        <w:t>nepieciešams finansējums 20 miljonu EUR apmērā</w:t>
      </w:r>
      <w:r w:rsidR="00297E39" w:rsidRPr="00D620F0">
        <w:rPr>
          <w:rFonts w:ascii="Times New Roman" w:hAnsi="Times New Roman"/>
          <w:color w:val="000000"/>
          <w:sz w:val="26"/>
          <w:szCs w:val="26"/>
        </w:rPr>
        <w:t>. Finansējumu paredzēts nodrošināt no Attīstības finanšu institūcijas brīvajiem līdzekļiem, 2015.gadā vidēja un ilgtermiņa eksporta kredīta garantiju instrumentam novirzot finansējumu 7 miljonu EUR apmērā un katru nākamo gadu nodrošinot papildus finansējuma piešķīrumu vismaz 2,6 milj. EUR apmērā.</w:t>
      </w:r>
      <w:r w:rsidR="00981223" w:rsidRPr="00D620F0">
        <w:rPr>
          <w:rFonts w:ascii="Times New Roman" w:hAnsi="Times New Roman"/>
          <w:color w:val="000000"/>
          <w:sz w:val="26"/>
          <w:szCs w:val="26"/>
        </w:rPr>
        <w:t xml:space="preserve"> </w:t>
      </w:r>
    </w:p>
    <w:p w:rsidR="0041110C" w:rsidRPr="00D620F0" w:rsidRDefault="0041110C" w:rsidP="00E45D07">
      <w:pPr>
        <w:pStyle w:val="ListParagraph"/>
        <w:numPr>
          <w:ilvl w:val="0"/>
          <w:numId w:val="33"/>
        </w:numPr>
        <w:spacing w:afterLines="40" w:after="96"/>
        <w:jc w:val="both"/>
        <w:rPr>
          <w:rFonts w:ascii="Times New Roman" w:hAnsi="Times New Roman"/>
          <w:color w:val="000000"/>
          <w:sz w:val="26"/>
          <w:szCs w:val="26"/>
        </w:rPr>
      </w:pPr>
      <w:r w:rsidRPr="00D620F0">
        <w:rPr>
          <w:rFonts w:ascii="Times New Roman" w:hAnsi="Times New Roman"/>
          <w:color w:val="000000"/>
          <w:sz w:val="26"/>
          <w:szCs w:val="26"/>
        </w:rPr>
        <w:t xml:space="preserve">Programmas ietvaros plānotais saistību apjoms līdz 2020.gadam pret programmas finansējumu ir ~ 3:1. Līdz ar to papildus Eksporta kredīta garantēšanas likumā ir jānosaka valsts </w:t>
      </w:r>
      <w:r w:rsidR="00981223" w:rsidRPr="00D620F0">
        <w:rPr>
          <w:rFonts w:ascii="Times New Roman" w:hAnsi="Times New Roman"/>
          <w:color w:val="000000"/>
          <w:sz w:val="26"/>
          <w:szCs w:val="26"/>
        </w:rPr>
        <w:t>galvojumu</w:t>
      </w:r>
      <w:r w:rsidRPr="00D620F0">
        <w:rPr>
          <w:rFonts w:ascii="Times New Roman" w:hAnsi="Times New Roman"/>
          <w:color w:val="000000"/>
          <w:sz w:val="26"/>
          <w:szCs w:val="26"/>
        </w:rPr>
        <w:t xml:space="preserve"> apmērs 60 miljoni EUR par instrumenta ietvaros izsniedzamo garantiju maksimālo apjomu.</w:t>
      </w:r>
    </w:p>
    <w:p w:rsidR="0041110C" w:rsidRPr="00E45D07" w:rsidRDefault="0041110C" w:rsidP="00E45D07">
      <w:pPr>
        <w:pStyle w:val="ListParagraph"/>
        <w:numPr>
          <w:ilvl w:val="0"/>
          <w:numId w:val="33"/>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Šobrīd Latvijas tirgū ir pieejami apdrošināšanas un banku tirdzniecības finansēšanas pakalpojumi, kas galvenokārt ir orientēti uz darījumiem ar kredīta periodiem līdz 120 dienām. Lai arī Latvijas Garantiju aģentūra jau šobrīd nosedz darījumu segmentu no 120 līdz 720 dienām, tomēr darījumus ar ilgākiem kredīta periodiem šobrīd nenodrošina neviens no tirgus spēlētājiem. Tā rezultātā komercbankas reti iesaistās vidēja un ilgtermiņa eksporta kreditēšanas darījumos, jo tam nav pieejams apdrošināšanas segums.</w:t>
      </w:r>
    </w:p>
    <w:p w:rsidR="0041110C" w:rsidRPr="00E45D07" w:rsidRDefault="0041110C" w:rsidP="00E45D07">
      <w:pPr>
        <w:pStyle w:val="ListParagraph"/>
        <w:numPr>
          <w:ilvl w:val="0"/>
          <w:numId w:val="33"/>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Ieviešot vidēja un ilgtermiņa darījumu garantēšanas instrumentu, ietekmi izjustu ne tikai mašīnbūves uzņēmumi, kas ir uzskatāma par galveno mērķa grupu, bet arī to izejvielu piegādātāji, starp kuriem ir arī Latvijas uzņēmumi. Pieaugot Latvijas eksportētāju konkurētspējai un eksporta apjomiem kopumā, pozitīva ietekme būtu arī uz vispārējo nodarbinātību.</w:t>
      </w:r>
    </w:p>
    <w:p w:rsidR="0041110C" w:rsidRPr="00E45D07" w:rsidRDefault="0041110C" w:rsidP="00E45D07">
      <w:pPr>
        <w:pStyle w:val="ListParagraph"/>
        <w:numPr>
          <w:ilvl w:val="0"/>
          <w:numId w:val="33"/>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Vidēja un ilgtermiņa eksporta kredīta garantiju instrumenta ieviešanai būs nepieciešams veikt likumdošanas izmaiņas, kā arī būtiskas instrumenta ieviesēja strukturālās pārmaiņas, jaunus riska vadības risinājumus un projektu pārvaldības modeļus, kas  būtu pietiekams pamatojums vienotas eksporta kredīta aģentūras izveidei, kura spētu Latvijas eksportētājiem piedāvāt plaša spektra tirdzniecības darījumu risku mazinošus instrumentus.</w:t>
      </w:r>
    </w:p>
    <w:p w:rsidR="0041110C" w:rsidRPr="00E45D07" w:rsidRDefault="0041110C" w:rsidP="00E45D07">
      <w:pPr>
        <w:spacing w:afterLines="40" w:after="96" w:line="240" w:lineRule="auto"/>
        <w:rPr>
          <w:rFonts w:ascii="Times New Roman" w:eastAsia="Times New Roman" w:hAnsi="Times New Roman"/>
          <w:b/>
          <w:bCs/>
          <w:color w:val="000000"/>
          <w:sz w:val="26"/>
          <w:szCs w:val="26"/>
        </w:rPr>
      </w:pPr>
      <w:r w:rsidRPr="00E45D07">
        <w:rPr>
          <w:rFonts w:ascii="Times New Roman" w:hAnsi="Times New Roman"/>
          <w:color w:val="000000"/>
          <w:sz w:val="26"/>
          <w:szCs w:val="26"/>
        </w:rPr>
        <w:br w:type="page"/>
      </w:r>
    </w:p>
    <w:p w:rsidR="0041110C" w:rsidRPr="00E45D07" w:rsidRDefault="0041110C" w:rsidP="00E45D07">
      <w:pPr>
        <w:pStyle w:val="Heading1"/>
        <w:spacing w:before="0" w:afterLines="40" w:after="96" w:line="240" w:lineRule="auto"/>
        <w:rPr>
          <w:rFonts w:ascii="Times New Roman" w:hAnsi="Times New Roman"/>
          <w:color w:val="000000"/>
          <w:sz w:val="26"/>
          <w:szCs w:val="26"/>
        </w:rPr>
      </w:pPr>
      <w:bookmarkStart w:id="3" w:name="_Toc388627029"/>
      <w:r w:rsidRPr="00E45D07">
        <w:rPr>
          <w:rFonts w:ascii="Times New Roman" w:hAnsi="Times New Roman"/>
          <w:color w:val="000000"/>
          <w:sz w:val="26"/>
          <w:szCs w:val="26"/>
        </w:rPr>
        <w:lastRenderedPageBreak/>
        <w:t>Ievads</w:t>
      </w:r>
      <w:bookmarkEnd w:id="3"/>
    </w:p>
    <w:p w:rsidR="0041110C" w:rsidRPr="00E45D07" w:rsidRDefault="0041110C" w:rsidP="003D4D04">
      <w:pPr>
        <w:spacing w:afterLines="40" w:after="96" w:line="240" w:lineRule="auto"/>
        <w:ind w:firstLine="709"/>
        <w:jc w:val="both"/>
        <w:rPr>
          <w:rFonts w:ascii="Times New Roman" w:hAnsi="Times New Roman"/>
          <w:sz w:val="26"/>
          <w:szCs w:val="26"/>
        </w:rPr>
      </w:pPr>
      <w:r w:rsidRPr="00E45D07">
        <w:rPr>
          <w:rFonts w:ascii="Times New Roman" w:hAnsi="Times New Roman"/>
          <w:sz w:val="26"/>
          <w:szCs w:val="26"/>
        </w:rPr>
        <w:t>Saskaņā ar Nacionālās industriālās politikas pamatnostādnēm 2014.-2020.gadam (turpmāk – NIP) Latvijas ekonomika pārkārtojas uz ilgtspējīgu attīstības modeli, kurā galvenais attīstības dzinējspēks ir eksports. Attiecīgi NIP paredz uz eksportu vērstu nozaru attīstību un tautsaimniecības struktūras maiņu par labu eksporta nozarēm ar mērķi nodrošināt  uz ārējo pieprasījumu orientētu nozaru konkurētspējas un eksporta ienesīguma palielināšanu, rezultātā veicinot valsts kopējo ienākumu pieaugumu</w:t>
      </w:r>
      <w:r w:rsidRPr="00E45D07">
        <w:rPr>
          <w:rStyle w:val="FootnoteReference"/>
          <w:rFonts w:ascii="Times New Roman" w:hAnsi="Times New Roman"/>
          <w:sz w:val="26"/>
          <w:szCs w:val="26"/>
        </w:rPr>
        <w:footnoteReference w:id="1"/>
      </w:r>
      <w:r w:rsidRPr="00E45D07">
        <w:rPr>
          <w:rFonts w:ascii="Times New Roman" w:hAnsi="Times New Roman"/>
          <w:sz w:val="26"/>
          <w:szCs w:val="26"/>
        </w:rPr>
        <w:t>.</w:t>
      </w:r>
    </w:p>
    <w:p w:rsidR="0041110C" w:rsidRPr="00E45D07" w:rsidRDefault="0041110C" w:rsidP="003D4D04">
      <w:pPr>
        <w:spacing w:afterLines="40" w:after="96" w:line="240" w:lineRule="auto"/>
        <w:ind w:firstLine="709"/>
        <w:jc w:val="both"/>
        <w:rPr>
          <w:rFonts w:ascii="Times New Roman" w:hAnsi="Times New Roman"/>
          <w:color w:val="000000"/>
          <w:sz w:val="26"/>
          <w:szCs w:val="26"/>
        </w:rPr>
      </w:pPr>
      <w:r w:rsidRPr="00E45D07">
        <w:rPr>
          <w:rFonts w:ascii="Times New Roman" w:hAnsi="Times New Roman"/>
          <w:color w:val="000000"/>
          <w:sz w:val="26"/>
          <w:szCs w:val="26"/>
        </w:rPr>
        <w:t>Pieaugot Latvijas eksporta apjomiem, eksporta darījumu daudzveidībai, kā arī ārējam pieprasījumam tirgū, paralēli pieaug pieprasījums pēc plašāka finanšu instrumentu klāsta, kas nodrošinātu piekļuvi finansējumam un pasargātu eksportētājus no starptautiskās tirdzniecības riskiem. Tādēļ vairāki Latvijas vadošie mašīnbūves uzņēmumi 2013.gada 15.augusta Mašīnbūves un metālapstrādes rūpniecības asociācijas vēstulē</w:t>
      </w:r>
      <w:r w:rsidRPr="00E45D07">
        <w:rPr>
          <w:rStyle w:val="FootnoteReference"/>
          <w:rFonts w:ascii="Times New Roman" w:hAnsi="Times New Roman"/>
          <w:color w:val="000000"/>
          <w:sz w:val="26"/>
          <w:szCs w:val="26"/>
        </w:rPr>
        <w:footnoteReference w:id="2"/>
      </w:r>
      <w:r w:rsidRPr="00E45D07">
        <w:rPr>
          <w:rFonts w:ascii="Times New Roman" w:hAnsi="Times New Roman"/>
          <w:color w:val="000000"/>
          <w:sz w:val="26"/>
          <w:szCs w:val="26"/>
        </w:rPr>
        <w:t xml:space="preserve"> izteica vienotu viedokli nepieciešamībai pēc esošās eksporta kredīta</w:t>
      </w:r>
      <w:r w:rsidRPr="00E45D07">
        <w:rPr>
          <w:rStyle w:val="FootnoteReference"/>
          <w:rFonts w:ascii="Times New Roman" w:hAnsi="Times New Roman"/>
          <w:color w:val="000000"/>
          <w:sz w:val="26"/>
          <w:szCs w:val="26"/>
        </w:rPr>
        <w:footnoteReference w:id="3"/>
      </w:r>
      <w:r w:rsidRPr="00E45D07">
        <w:rPr>
          <w:rFonts w:ascii="Times New Roman" w:hAnsi="Times New Roman"/>
          <w:color w:val="000000"/>
          <w:sz w:val="26"/>
          <w:szCs w:val="26"/>
        </w:rPr>
        <w:t xml:space="preserve"> garantiju (turpmāk – EKG) programmas izvēršanas, ietverot tajā arī vidēja un ilgtermiņa darījumus, kuru kredīta periods būtu ilgāks par diviem gadiem un ar lielāku seguma apjomu. Kā pamatojums EKG aktivitātes izvēršanas nepieciešamībai tiek minēts (i) pastāvošais pieprasījums ārējos tirgos kā, piemēram, Krievijā, Kazahstānā, Gruzijā, Azerbaidžānā un citviet, (ii) darījumu partneru prasība pēc valsts sniegtām eksporta kredīta garantijām un (iii) Latvijas eksportētāju ierobežotā iespēja konkurēt ārvalstu tirgos ar uzņēmumiem, kuriem ir pieejams plašs spektrs riskus mazinošu finanšu instrumentu, t.sk. darījumiem ar ilgiem kredīta periodiem. Tādejādi bez atbilstoša EKG instrumenta ar pietiekamu risku segumu un atliktā maksājuma termiņu Latvijas eksportētājiem ir ierobežotas iespējas iesaistīties lielos projektos.</w:t>
      </w:r>
    </w:p>
    <w:p w:rsidR="0041110C" w:rsidRPr="00E45D07" w:rsidRDefault="0041110C" w:rsidP="003D4D04">
      <w:pPr>
        <w:spacing w:afterLines="40" w:after="96" w:line="240" w:lineRule="auto"/>
        <w:ind w:firstLine="709"/>
        <w:jc w:val="both"/>
        <w:rPr>
          <w:rFonts w:ascii="Times New Roman" w:hAnsi="Times New Roman"/>
          <w:color w:val="000000"/>
          <w:sz w:val="26"/>
          <w:szCs w:val="26"/>
        </w:rPr>
      </w:pPr>
      <w:r w:rsidRPr="00E45D07">
        <w:rPr>
          <w:rFonts w:ascii="Times New Roman" w:hAnsi="Times New Roman"/>
          <w:color w:val="000000"/>
          <w:sz w:val="26"/>
          <w:szCs w:val="26"/>
        </w:rPr>
        <w:t>Papildus, 2014.gada 17.aprīlī Latvijas Tirdzniecības un rūpniecības kameras vēstulē</w:t>
      </w:r>
      <w:r w:rsidRPr="00E45D07">
        <w:rPr>
          <w:rStyle w:val="FootnoteReference"/>
          <w:rFonts w:ascii="Times New Roman" w:hAnsi="Times New Roman"/>
          <w:color w:val="000000"/>
          <w:sz w:val="26"/>
          <w:szCs w:val="26"/>
        </w:rPr>
        <w:footnoteReference w:id="4"/>
      </w:r>
      <w:r w:rsidRPr="00E45D07">
        <w:rPr>
          <w:rFonts w:ascii="Times New Roman" w:hAnsi="Times New Roman"/>
          <w:color w:val="000000"/>
          <w:sz w:val="26"/>
          <w:szCs w:val="26"/>
        </w:rPr>
        <w:t xml:space="preserve"> ministru prezidentei, finanšu ministram, Ekonomikas ministram un LGA valdes priekšsēdētājam tika izteikta nepieciešamību pēc vidēja un ilgtermiņa EKG instrumenta, kā arī norādīts uz nepieciešamību pēc specializētas valsts eksporta kredīta aģentūras (turpmāk – EKA)</w:t>
      </w:r>
      <w:r w:rsidRPr="00E45D07">
        <w:rPr>
          <w:rStyle w:val="FootnoteReference"/>
          <w:rFonts w:ascii="Times New Roman" w:hAnsi="Times New Roman"/>
          <w:color w:val="000000"/>
          <w:sz w:val="26"/>
          <w:szCs w:val="26"/>
        </w:rPr>
        <w:footnoteReference w:id="5"/>
      </w:r>
      <w:r w:rsidRPr="00E45D07">
        <w:rPr>
          <w:rFonts w:ascii="Times New Roman" w:hAnsi="Times New Roman"/>
          <w:color w:val="000000"/>
          <w:sz w:val="26"/>
          <w:szCs w:val="26"/>
        </w:rPr>
        <w:t>, kuras pamata mērķis būtu plaša spektra tirdzniecības darījumu risku seguma nodrošināšana.</w:t>
      </w:r>
    </w:p>
    <w:p w:rsidR="0041110C" w:rsidRPr="00E45D07" w:rsidRDefault="0041110C" w:rsidP="003D4D04">
      <w:pPr>
        <w:spacing w:afterLines="40" w:after="96" w:line="240" w:lineRule="auto"/>
        <w:ind w:firstLine="709"/>
        <w:jc w:val="both"/>
        <w:rPr>
          <w:rFonts w:ascii="Times New Roman" w:hAnsi="Times New Roman"/>
          <w:color w:val="000000"/>
          <w:sz w:val="26"/>
          <w:szCs w:val="26"/>
          <w:u w:val="single"/>
        </w:rPr>
      </w:pPr>
      <w:r w:rsidRPr="00E45D07">
        <w:rPr>
          <w:rFonts w:ascii="Times New Roman" w:hAnsi="Times New Roman"/>
          <w:color w:val="000000"/>
          <w:sz w:val="26"/>
          <w:szCs w:val="26"/>
          <w:u w:val="single"/>
        </w:rPr>
        <w:t>Šī Informatīvā ziņojuma mērķis ir identificēt iespējamo pieprasījumu pēc valsts vidēja un ilgtermiņa EKG, to ietekmi uz Latvijas tautsaimniecību un piemērotāko modeli šī instrumenta ieviešanai.</w:t>
      </w:r>
    </w:p>
    <w:p w:rsidR="0041110C" w:rsidRPr="00E45D07" w:rsidRDefault="0041110C" w:rsidP="00E45D07">
      <w:pPr>
        <w:spacing w:afterLines="40" w:after="96" w:line="240" w:lineRule="auto"/>
        <w:jc w:val="both"/>
        <w:rPr>
          <w:rFonts w:ascii="Times New Roman" w:hAnsi="Times New Roman"/>
          <w:color w:val="000000"/>
          <w:sz w:val="26"/>
          <w:szCs w:val="26"/>
        </w:rPr>
      </w:pPr>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Priekšstatam par kredītrisku apdrošināšanas tirgu informatīvais ziņojums ietver arī pārskatu par pašreizējo privātā apdrošināšanas tirgus piedāvājumu un izvērtējumu par iespējamo pieprasījumu pēc tirdzniecības risku seguma darījumiem ar ilgiem kredīta periodiem.</w:t>
      </w:r>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Lai risinātu problēmas, kas saistītas ar  eksportētāju konkurētspēju, ziņojumā ir aprakstīti jautājumi, kas ir jāatrisina pirms esošās īstermiņa EKG aktivitātes izvēršanas:</w:t>
      </w:r>
    </w:p>
    <w:p w:rsidR="0041110C" w:rsidRPr="00E45D07" w:rsidRDefault="0041110C" w:rsidP="003D4D04">
      <w:pPr>
        <w:pStyle w:val="ListParagraph"/>
        <w:numPr>
          <w:ilvl w:val="0"/>
          <w:numId w:val="22"/>
        </w:numPr>
        <w:spacing w:afterLines="40" w:after="96"/>
        <w:ind w:left="993" w:hanging="426"/>
        <w:jc w:val="both"/>
        <w:rPr>
          <w:rFonts w:ascii="Times New Roman" w:hAnsi="Times New Roman"/>
          <w:color w:val="000000"/>
          <w:sz w:val="26"/>
          <w:szCs w:val="26"/>
        </w:rPr>
      </w:pPr>
      <w:r w:rsidRPr="00E45D07">
        <w:rPr>
          <w:rFonts w:ascii="Times New Roman" w:hAnsi="Times New Roman"/>
          <w:color w:val="000000"/>
          <w:sz w:val="26"/>
          <w:szCs w:val="26"/>
        </w:rPr>
        <w:t>EKG kā nišas produkts attīstības finanšu institūcijas (turpmāk – AFI) struktūrā vai pilna spektra EKA (kā AFI meitas sabiedrības) izveide plaša spektra tirdzniecības risku seguma nodrošināšanai;</w:t>
      </w:r>
    </w:p>
    <w:p w:rsidR="0041110C" w:rsidRPr="00E45D07" w:rsidRDefault="0041110C" w:rsidP="003D4D04">
      <w:pPr>
        <w:pStyle w:val="ListParagraph"/>
        <w:numPr>
          <w:ilvl w:val="0"/>
          <w:numId w:val="22"/>
        </w:numPr>
        <w:spacing w:afterLines="40" w:after="96"/>
        <w:ind w:left="993" w:hanging="426"/>
        <w:jc w:val="both"/>
        <w:rPr>
          <w:rFonts w:ascii="Times New Roman" w:hAnsi="Times New Roman"/>
          <w:color w:val="000000"/>
          <w:sz w:val="26"/>
          <w:szCs w:val="26"/>
        </w:rPr>
      </w:pPr>
      <w:r w:rsidRPr="00E45D07">
        <w:rPr>
          <w:rFonts w:ascii="Times New Roman" w:hAnsi="Times New Roman"/>
          <w:color w:val="000000"/>
          <w:sz w:val="26"/>
          <w:szCs w:val="26"/>
        </w:rPr>
        <w:t>Latvijas EKA izsniegto EKG kredīta reitings;</w:t>
      </w:r>
    </w:p>
    <w:p w:rsidR="0041110C" w:rsidRPr="00E45D07" w:rsidRDefault="0041110C" w:rsidP="003D4D04">
      <w:pPr>
        <w:pStyle w:val="ListParagraph"/>
        <w:numPr>
          <w:ilvl w:val="0"/>
          <w:numId w:val="22"/>
        </w:numPr>
        <w:spacing w:afterLines="40" w:after="96"/>
        <w:ind w:left="993" w:hanging="426"/>
        <w:jc w:val="both"/>
        <w:rPr>
          <w:rFonts w:ascii="Times New Roman" w:hAnsi="Times New Roman"/>
          <w:color w:val="000000"/>
          <w:sz w:val="26"/>
          <w:szCs w:val="26"/>
        </w:rPr>
      </w:pPr>
      <w:r w:rsidRPr="00E45D07">
        <w:rPr>
          <w:rFonts w:ascii="Times New Roman" w:hAnsi="Times New Roman"/>
          <w:color w:val="000000"/>
          <w:sz w:val="26"/>
          <w:szCs w:val="26"/>
        </w:rPr>
        <w:t>EKA kapitalizācijas pakāpe ar pietiekamiem finanšu resursiem, vienlaikus neriskējot ar likviditātes problēmām.</w:t>
      </w:r>
    </w:p>
    <w:p w:rsidR="0041110C" w:rsidRPr="00E45D07" w:rsidRDefault="0041110C" w:rsidP="00E45D07">
      <w:pPr>
        <w:spacing w:afterLines="40" w:after="96" w:line="240" w:lineRule="auto"/>
        <w:jc w:val="both"/>
        <w:rPr>
          <w:rFonts w:ascii="Times New Roman" w:hAnsi="Times New Roman"/>
          <w:color w:val="000000"/>
          <w:sz w:val="26"/>
          <w:szCs w:val="26"/>
        </w:rPr>
      </w:pPr>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 xml:space="preserve">Sagatavojot informatīvo ziņojumu, tika ņemts vērā sociālo partneru – Mašīnbūves un metālapstrādes rūpniecības asociācijas (turpmāk – MASOC), Latvijas Komercbanku asociācijas (turpmāk – LKA) un Latvijas Tirdzniecības un rūpniecības kameras (turpmāk – LTRK) </w:t>
      </w:r>
      <w:r w:rsidR="003D4D04">
        <w:rPr>
          <w:rFonts w:ascii="Times New Roman" w:hAnsi="Times New Roman"/>
          <w:color w:val="000000"/>
          <w:sz w:val="26"/>
          <w:szCs w:val="26"/>
        </w:rPr>
        <w:t>–</w:t>
      </w:r>
      <w:r w:rsidRPr="00E45D07">
        <w:rPr>
          <w:rFonts w:ascii="Times New Roman" w:hAnsi="Times New Roman"/>
          <w:color w:val="000000"/>
          <w:sz w:val="26"/>
          <w:szCs w:val="26"/>
        </w:rPr>
        <w:t xml:space="preserve"> viedoklis, lai atbilstoši izvērtētu vidēja un ilgtermiņa EKG programmas ietvaros nepieciešamos nosacījumus un apzinātu iespējamo pieprasījumu.</w:t>
      </w:r>
    </w:p>
    <w:p w:rsidR="0041110C" w:rsidRPr="00E45D07" w:rsidRDefault="0041110C" w:rsidP="00E45D07">
      <w:pPr>
        <w:spacing w:afterLines="40" w:after="96" w:line="240" w:lineRule="auto"/>
        <w:rPr>
          <w:rFonts w:ascii="Times New Roman" w:eastAsia="Times New Roman" w:hAnsi="Times New Roman"/>
          <w:b/>
          <w:bCs/>
          <w:color w:val="000000"/>
          <w:sz w:val="26"/>
          <w:szCs w:val="26"/>
        </w:rPr>
      </w:pPr>
      <w:r w:rsidRPr="00E45D07">
        <w:rPr>
          <w:rFonts w:ascii="Times New Roman" w:hAnsi="Times New Roman"/>
          <w:color w:val="000000"/>
          <w:sz w:val="26"/>
          <w:szCs w:val="26"/>
        </w:rPr>
        <w:br w:type="page"/>
      </w:r>
    </w:p>
    <w:p w:rsidR="0041110C" w:rsidRPr="00E45D07" w:rsidRDefault="0041110C" w:rsidP="00E45D07">
      <w:pPr>
        <w:pStyle w:val="Heading1"/>
        <w:spacing w:before="0" w:afterLines="40" w:after="96" w:line="240" w:lineRule="auto"/>
        <w:rPr>
          <w:rFonts w:ascii="Times New Roman" w:hAnsi="Times New Roman"/>
          <w:color w:val="000000"/>
          <w:sz w:val="26"/>
          <w:szCs w:val="26"/>
        </w:rPr>
      </w:pPr>
      <w:bookmarkStart w:id="4" w:name="_Toc388627030"/>
      <w:r w:rsidRPr="00E45D07">
        <w:rPr>
          <w:rFonts w:ascii="Times New Roman" w:hAnsi="Times New Roman"/>
          <w:color w:val="000000"/>
          <w:sz w:val="26"/>
          <w:szCs w:val="26"/>
        </w:rPr>
        <w:lastRenderedPageBreak/>
        <w:t>1. Tirgus raksturojums</w:t>
      </w:r>
      <w:bookmarkEnd w:id="4"/>
    </w:p>
    <w:p w:rsidR="0041110C" w:rsidRPr="00E45D07" w:rsidRDefault="0041110C" w:rsidP="00E45D07">
      <w:pPr>
        <w:pStyle w:val="Heading2"/>
        <w:spacing w:before="0" w:afterLines="40" w:after="96" w:line="240" w:lineRule="auto"/>
        <w:rPr>
          <w:rFonts w:ascii="Times New Roman" w:hAnsi="Times New Roman"/>
          <w:color w:val="000000"/>
        </w:rPr>
      </w:pPr>
      <w:bookmarkStart w:id="5" w:name="_Toc388627031"/>
      <w:r w:rsidRPr="00E45D07">
        <w:rPr>
          <w:rFonts w:ascii="Times New Roman" w:hAnsi="Times New Roman"/>
          <w:color w:val="000000"/>
        </w:rPr>
        <w:t>1.1. Esošā LGA eksporta kredīta garantiju programma</w:t>
      </w:r>
      <w:bookmarkEnd w:id="5"/>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Šobrīd Latvijas Garantiju aģentūra (turpmāk – LGA) ārvalstu pircēju risku segšanai sniedz īstermiņa EKG ar maksimālo kredītriska termiņu līdz 2 gadiem. LGA uzņemas individuālu pircēju risku, nenosakot par prasību visa pircēja portfeļa apdrošināšanu. Maksimālais garantijas limits uz vienu pircēju ir līdz 1 miljonam EUR. LGA garantijas sedz komerciālos un politiskos riskus, kas rodas pēc tam, kad prece un/vai pakalpojums ir piegādāti pircējam.</w:t>
      </w:r>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LGA sniedz garantijas, ievērojot Eiropas Komisijas (turpmāk – EK) noteiktās prasības attiecībā uz valsts institūcijām vai kapitālsabiedrībām, kas sniedz īstermiņa eksporta kredīta garantijas</w:t>
      </w:r>
      <w:r w:rsidRPr="00E45D07">
        <w:rPr>
          <w:rStyle w:val="FootnoteReference"/>
          <w:rFonts w:ascii="Times New Roman" w:hAnsi="Times New Roman"/>
          <w:color w:val="000000"/>
          <w:sz w:val="26"/>
          <w:szCs w:val="26"/>
        </w:rPr>
        <w:footnoteReference w:id="6"/>
      </w:r>
      <w:r w:rsidRPr="00E45D07">
        <w:rPr>
          <w:rFonts w:ascii="Times New Roman" w:hAnsi="Times New Roman"/>
          <w:color w:val="000000"/>
          <w:sz w:val="26"/>
          <w:szCs w:val="26"/>
        </w:rPr>
        <w:t>. Minētās prasības paredz konkurences ierobežojumus ar privātiem tirgus apdrošinātājiem tajos segmentos, kuros darbojas privātie apdrošinātāji, un liedz apdrošināt riskus uz tā sauktajām “tirgus risku” valstīm, kas ir Eiropas Savienības (turpmāk – ES) un atsevišķas Ekonomiskās sadarbības un attīstības organizācijas (turpmāk – OECD) dalībvalstis.</w:t>
      </w:r>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Paralēli LGA īstermiņa segmentā aktīvi darbojas ne tikai privātie apdrošinātāji, bet arī bankas. Atkarībā no eksportētāja vajadzībām un pircēja un darījuma specifikas, lai saņemtu finansējumu vai nodrošinātos pret riskiem, ir pieejami vairāki apdrošināšanas un banku finanšu pakalpojumi, kas lielākoties ir piemēroti darījumiem ar īsiem apmaksas termiņiem.</w:t>
      </w:r>
    </w:p>
    <w:p w:rsidR="0041110C" w:rsidRPr="00E45D07" w:rsidRDefault="003D4D04" w:rsidP="003D4D04">
      <w:pPr>
        <w:spacing w:afterLines="40" w:after="96" w:line="240" w:lineRule="auto"/>
        <w:jc w:val="right"/>
        <w:rPr>
          <w:rFonts w:ascii="Times New Roman" w:hAnsi="Times New Roman"/>
          <w:color w:val="000000"/>
          <w:sz w:val="26"/>
          <w:szCs w:val="26"/>
        </w:rPr>
      </w:pPr>
      <w:r>
        <w:rPr>
          <w:rFonts w:ascii="Times New Roman" w:hAnsi="Times New Roman"/>
          <w:color w:val="000000"/>
          <w:sz w:val="26"/>
          <w:szCs w:val="26"/>
        </w:rPr>
        <w:t>1.1.attēls</w:t>
      </w:r>
    </w:p>
    <w:p w:rsidR="0041110C" w:rsidRPr="00E45D07" w:rsidRDefault="0041110C" w:rsidP="00E45D07">
      <w:pPr>
        <w:keepNext/>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Tirgū pieejamie risku seguma instrumenti un maksimālais riska periods</w:t>
      </w:r>
    </w:p>
    <w:p w:rsidR="0041110C" w:rsidRPr="00E45D07" w:rsidRDefault="005E2950" w:rsidP="00E45D07">
      <w:pPr>
        <w:spacing w:afterLines="40" w:after="96" w:line="240" w:lineRule="auto"/>
        <w:jc w:val="right"/>
        <w:rPr>
          <w:rFonts w:ascii="Times New Roman" w:hAnsi="Times New Roman"/>
          <w:noProof/>
          <w:sz w:val="26"/>
          <w:szCs w:val="26"/>
          <w:lang w:eastAsia="lv-LV"/>
        </w:rPr>
      </w:pPr>
      <w:r w:rsidRPr="00E45D07">
        <w:rPr>
          <w:noProof/>
          <w:sz w:val="26"/>
          <w:szCs w:val="26"/>
          <w:lang w:eastAsia="lv-LV"/>
        </w:rPr>
        <mc:AlternateContent>
          <mc:Choice Requires="wps">
            <w:drawing>
              <wp:anchor distT="0" distB="0" distL="114300" distR="114300" simplePos="0" relativeHeight="251659264" behindDoc="0" locked="0" layoutInCell="1" allowOverlap="1" wp14:anchorId="3AC6370F" wp14:editId="613B0E24">
                <wp:simplePos x="0" y="0"/>
                <wp:positionH relativeFrom="column">
                  <wp:posOffset>701040</wp:posOffset>
                </wp:positionH>
                <wp:positionV relativeFrom="paragraph">
                  <wp:posOffset>79375</wp:posOffset>
                </wp:positionV>
                <wp:extent cx="809625" cy="180975"/>
                <wp:effectExtent l="0" t="0" r="9525" b="952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5E2950" w:rsidRDefault="00D620F0" w:rsidP="0041110C">
                            <w:pPr>
                              <w:spacing w:after="0"/>
                              <w:rPr>
                                <w:rFonts w:ascii="Franklin Gothic Book" w:hAnsi="Franklin Gothic Book"/>
                                <w:b/>
                                <w:sz w:val="24"/>
                                <w:szCs w:val="24"/>
                              </w:rPr>
                            </w:pPr>
                            <w:r w:rsidRPr="005E2950">
                              <w:rPr>
                                <w:rFonts w:ascii="Times New Roman" w:hAnsi="Times New Roman"/>
                                <w:b/>
                                <w:sz w:val="24"/>
                                <w:szCs w:val="24"/>
                              </w:rPr>
                              <w:t>180</w:t>
                            </w:r>
                            <w:r w:rsidRPr="005E2950">
                              <w:rPr>
                                <w:rFonts w:ascii="Franklin Gothic Book" w:hAnsi="Franklin Gothic Book"/>
                                <w:b/>
                                <w:sz w:val="24"/>
                                <w:szCs w:val="24"/>
                              </w:rPr>
                              <w:t xml:space="preserve"> </w:t>
                            </w:r>
                            <w:r w:rsidRPr="005E2950">
                              <w:rPr>
                                <w:rFonts w:ascii="Times New Roman" w:hAnsi="Times New Roman"/>
                                <w:b/>
                                <w:sz w:val="24"/>
                                <w:szCs w:val="24"/>
                              </w:rPr>
                              <w:t>dienas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5.2pt;margin-top:6.25pt;width:63.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" stroked="f">
                <v:textbox inset="0,0,0,0">
                  <w:txbxContent>
                    <w:p w:rsidR="00D620F0" w:rsidRPr="005E2950" w:rsidRDefault="00D620F0" w:rsidP="0041110C">
                      <w:pPr>
                        <w:spacing w:after="0"/>
                        <w:rPr>
                          <w:rFonts w:ascii="Franklin Gothic Book" w:hAnsi="Franklin Gothic Book"/>
                          <w:b/>
                          <w:sz w:val="24"/>
                          <w:szCs w:val="24"/>
                        </w:rPr>
                      </w:pPr>
                      <w:r w:rsidRPr="005E2950">
                        <w:rPr>
                          <w:rFonts w:ascii="Times New Roman" w:hAnsi="Times New Roman"/>
                          <w:b/>
                          <w:sz w:val="24"/>
                          <w:szCs w:val="24"/>
                        </w:rPr>
                        <w:t>180</w:t>
                      </w:r>
                      <w:r w:rsidRPr="005E2950">
                        <w:rPr>
                          <w:rFonts w:ascii="Franklin Gothic Book" w:hAnsi="Franklin Gothic Book"/>
                          <w:b/>
                          <w:sz w:val="24"/>
                          <w:szCs w:val="24"/>
                        </w:rPr>
                        <w:t xml:space="preserve"> </w:t>
                      </w:r>
                      <w:r w:rsidRPr="005E2950">
                        <w:rPr>
                          <w:rFonts w:ascii="Times New Roman" w:hAnsi="Times New Roman"/>
                          <w:b/>
                          <w:sz w:val="24"/>
                          <w:szCs w:val="24"/>
                        </w:rPr>
                        <w:t>dienas</w:t>
                      </w:r>
                    </w:p>
                  </w:txbxContent>
                </v:textbox>
              </v:shape>
            </w:pict>
          </mc:Fallback>
        </mc:AlternateContent>
      </w:r>
      <w:r w:rsidR="0041110C" w:rsidRPr="00E45D07">
        <w:rPr>
          <w:noProof/>
          <w:sz w:val="26"/>
          <w:szCs w:val="26"/>
          <w:lang w:eastAsia="lv-LV"/>
        </w:rPr>
        <mc:AlternateContent>
          <mc:Choice Requires="wps">
            <w:drawing>
              <wp:anchor distT="0" distB="0" distL="114300" distR="114300" simplePos="0" relativeHeight="251660288" behindDoc="0" locked="0" layoutInCell="1" allowOverlap="1" wp14:anchorId="319A7729" wp14:editId="0DDA31F2">
                <wp:simplePos x="0" y="0"/>
                <wp:positionH relativeFrom="column">
                  <wp:posOffset>3910965</wp:posOffset>
                </wp:positionH>
                <wp:positionV relativeFrom="paragraph">
                  <wp:posOffset>3498850</wp:posOffset>
                </wp:positionV>
                <wp:extent cx="1438275" cy="180975"/>
                <wp:effectExtent l="0" t="0" r="9525" b="952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C656E7" w:rsidRDefault="00D620F0" w:rsidP="0041110C">
                            <w:pPr>
                              <w:spacing w:after="0"/>
                              <w:rPr>
                                <w:rFonts w:ascii="Times New Roman" w:hAnsi="Times New Roman"/>
                                <w:b/>
                                <w:sz w:val="24"/>
                                <w:szCs w:val="24"/>
                              </w:rPr>
                            </w:pPr>
                            <w:r w:rsidRPr="00C656E7">
                              <w:rPr>
                                <w:rFonts w:ascii="Times New Roman" w:hAnsi="Times New Roman"/>
                                <w:b/>
                                <w:sz w:val="24"/>
                                <w:szCs w:val="24"/>
                              </w:rPr>
                              <w:t>Šobrīd nav pieejams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07.95pt;margin-top:275.5pt;width:113.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qfQIAAAg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" stroked="f">
                <v:textbox inset="0,0,0,0">
                  <w:txbxContent>
                    <w:p w:rsidR="00D620F0" w:rsidRPr="00C656E7" w:rsidRDefault="00D620F0" w:rsidP="0041110C">
                      <w:pPr>
                        <w:spacing w:after="0"/>
                        <w:rPr>
                          <w:rFonts w:ascii="Times New Roman" w:hAnsi="Times New Roman"/>
                          <w:b/>
                          <w:sz w:val="24"/>
                          <w:szCs w:val="24"/>
                        </w:rPr>
                      </w:pPr>
                      <w:r w:rsidRPr="00C656E7">
                        <w:rPr>
                          <w:rFonts w:ascii="Times New Roman" w:hAnsi="Times New Roman"/>
                          <w:b/>
                          <w:sz w:val="24"/>
                          <w:szCs w:val="24"/>
                        </w:rPr>
                        <w:t>Šobrīd nav pieejams</w:t>
                      </w:r>
                    </w:p>
                  </w:txbxContent>
                </v:textbox>
              </v:shape>
            </w:pict>
          </mc:Fallback>
        </mc:AlternateContent>
      </w:r>
      <w:r w:rsidR="0041110C" w:rsidRPr="00E45D07">
        <w:rPr>
          <w:noProof/>
          <w:sz w:val="26"/>
          <w:szCs w:val="26"/>
          <w:lang w:eastAsia="lv-LV"/>
        </w:rPr>
        <mc:AlternateContent>
          <mc:Choice Requires="wps">
            <w:drawing>
              <wp:anchor distT="0" distB="0" distL="114300" distR="114300" simplePos="0" relativeHeight="251663360" behindDoc="0" locked="0" layoutInCell="1" allowOverlap="1" wp14:anchorId="06BAC06C" wp14:editId="4574A8DB">
                <wp:simplePos x="0" y="0"/>
                <wp:positionH relativeFrom="column">
                  <wp:posOffset>953135</wp:posOffset>
                </wp:positionH>
                <wp:positionV relativeFrom="paragraph">
                  <wp:posOffset>3502025</wp:posOffset>
                </wp:positionV>
                <wp:extent cx="2247265" cy="228600"/>
                <wp:effectExtent l="0" t="0" r="635" b="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C656E7" w:rsidRDefault="00D620F0" w:rsidP="0041110C">
                            <w:pPr>
                              <w:spacing w:after="0"/>
                              <w:rPr>
                                <w:rFonts w:ascii="Times New Roman" w:hAnsi="Times New Roman"/>
                                <w:b/>
                                <w:sz w:val="24"/>
                                <w:szCs w:val="24"/>
                              </w:rPr>
                            </w:pPr>
                            <w:r w:rsidRPr="00C656E7">
                              <w:rPr>
                                <w:rFonts w:ascii="Times New Roman" w:hAnsi="Times New Roman"/>
                                <w:b/>
                                <w:sz w:val="24"/>
                                <w:szCs w:val="24"/>
                              </w:rPr>
                              <w:t>Izņēmuma gadījumos virs 180 dienām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75.05pt;margin-top:275.75pt;width:176.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Flfw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" stroked="f">
                <v:textbox inset="0,0,0,0">
                  <w:txbxContent>
                    <w:p w:rsidR="00D620F0" w:rsidRPr="00C656E7" w:rsidRDefault="00D620F0" w:rsidP="0041110C">
                      <w:pPr>
                        <w:spacing w:after="0"/>
                        <w:rPr>
                          <w:rFonts w:ascii="Times New Roman" w:hAnsi="Times New Roman"/>
                          <w:b/>
                          <w:sz w:val="24"/>
                          <w:szCs w:val="24"/>
                        </w:rPr>
                      </w:pPr>
                      <w:r w:rsidRPr="00C656E7">
                        <w:rPr>
                          <w:rFonts w:ascii="Times New Roman" w:hAnsi="Times New Roman"/>
                          <w:b/>
                          <w:sz w:val="24"/>
                          <w:szCs w:val="24"/>
                        </w:rPr>
                        <w:t>Izņēmuma gadījumos virs 180 dienām</w:t>
                      </w:r>
                    </w:p>
                  </w:txbxContent>
                </v:textbox>
              </v:shape>
            </w:pict>
          </mc:Fallback>
        </mc:AlternateContent>
      </w:r>
      <w:r w:rsidR="0041110C" w:rsidRPr="00E45D07">
        <w:rPr>
          <w:noProof/>
          <w:sz w:val="26"/>
          <w:szCs w:val="26"/>
          <w:lang w:eastAsia="lv-LV"/>
        </w:rPr>
        <mc:AlternateContent>
          <mc:Choice Requires="wps">
            <w:drawing>
              <wp:anchor distT="4294967293" distB="4294967293" distL="114300" distR="114300" simplePos="0" relativeHeight="251661312" behindDoc="0" locked="0" layoutInCell="1" allowOverlap="1" wp14:anchorId="277EA730" wp14:editId="40E096CF">
                <wp:simplePos x="0" y="0"/>
                <wp:positionH relativeFrom="column">
                  <wp:posOffset>3354070</wp:posOffset>
                </wp:positionH>
                <wp:positionV relativeFrom="paragraph">
                  <wp:posOffset>3587749</wp:posOffset>
                </wp:positionV>
                <wp:extent cx="466725" cy="0"/>
                <wp:effectExtent l="0" t="0" r="9525" b="19050"/>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19050">
                          <a:solidFill>
                            <a:srgbClr val="97470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64.1pt;margin-top:282.5pt;width:36.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" strokecolor="#974706" strokeweight="1.5pt">
                <v:stroke dashstyle="dash"/>
              </v:shape>
            </w:pict>
          </mc:Fallback>
        </mc:AlternateContent>
      </w:r>
      <w:r w:rsidR="0041110C" w:rsidRPr="00E45D07">
        <w:rPr>
          <w:noProof/>
          <w:sz w:val="26"/>
          <w:szCs w:val="26"/>
          <w:lang w:eastAsia="lv-LV"/>
        </w:rPr>
        <mc:AlternateContent>
          <mc:Choice Requires="wps">
            <w:drawing>
              <wp:anchor distT="4294967293" distB="4294967293" distL="114300" distR="114300" simplePos="0" relativeHeight="251662336" behindDoc="0" locked="0" layoutInCell="1" allowOverlap="1" wp14:anchorId="030649C9" wp14:editId="23495B8B">
                <wp:simplePos x="0" y="0"/>
                <wp:positionH relativeFrom="column">
                  <wp:posOffset>417830</wp:posOffset>
                </wp:positionH>
                <wp:positionV relativeFrom="paragraph">
                  <wp:posOffset>3587749</wp:posOffset>
                </wp:positionV>
                <wp:extent cx="466725" cy="0"/>
                <wp:effectExtent l="0" t="0" r="9525" b="19050"/>
                <wp:wrapNone/>
                <wp:docPr id="5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19050">
                          <a:solidFill>
                            <a:srgbClr val="5F497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2.9pt;margin-top:282.5pt;width:36.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" strokecolor="#5f497a" strokeweight="1.5pt">
                <v:stroke dashstyle="1 1"/>
              </v:shape>
            </w:pict>
          </mc:Fallback>
        </mc:AlternateContent>
      </w:r>
      <w:r w:rsidR="0041110C" w:rsidRPr="00E45D07">
        <w:rPr>
          <w:noProof/>
          <w:sz w:val="26"/>
          <w:szCs w:val="26"/>
          <w:lang w:eastAsia="lv-LV"/>
        </w:rPr>
        <mc:AlternateContent>
          <mc:Choice Requires="wpg">
            <w:drawing>
              <wp:inline distT="0" distB="0" distL="0" distR="0" wp14:anchorId="5049ADD4" wp14:editId="359E6FB0">
                <wp:extent cx="5731510" cy="3439160"/>
                <wp:effectExtent l="0" t="0" r="0" b="8890"/>
                <wp:docPr id="3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3439160"/>
                          <a:chOff x="2362" y="2752"/>
                          <a:chExt cx="7200" cy="4320"/>
                        </a:xfrm>
                      </wpg:grpSpPr>
                      <wps:wsp>
                        <wps:cNvPr id="31" name="AutoShape 3"/>
                        <wps:cNvSpPr>
                          <a:spLocks noChangeAspect="1" noChangeArrowheads="1" noTextEdit="1"/>
                        </wps:cNvSpPr>
                        <wps:spPr bwMode="auto">
                          <a:xfrm>
                            <a:off x="2362" y="2752"/>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
                        <wps:cNvCnPr>
                          <a:cxnSpLocks noChangeShapeType="1"/>
                        </wps:cNvCnPr>
                        <wps:spPr bwMode="auto">
                          <a:xfrm>
                            <a:off x="2493" y="3207"/>
                            <a:ext cx="6916"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5"/>
                        <wps:cNvCnPr>
                          <a:cxnSpLocks noChangeShapeType="1"/>
                        </wps:cNvCnPr>
                        <wps:spPr bwMode="auto">
                          <a:xfrm>
                            <a:off x="2493" y="3207"/>
                            <a:ext cx="1" cy="3649"/>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
                        <wps:cNvCnPr>
                          <a:cxnSpLocks noChangeShapeType="1"/>
                        </wps:cNvCnPr>
                        <wps:spPr bwMode="auto">
                          <a:xfrm flipV="1">
                            <a:off x="2493" y="3208"/>
                            <a:ext cx="1137" cy="824"/>
                          </a:xfrm>
                          <a:prstGeom prst="bentConnector3">
                            <a:avLst>
                              <a:gd name="adj1" fmla="val 100347"/>
                            </a:avLst>
                          </a:prstGeom>
                          <a:noFill/>
                          <a:ln w="19050">
                            <a:solidFill>
                              <a:srgbClr val="548DD4"/>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7"/>
                        <wps:cNvCnPr>
                          <a:cxnSpLocks noChangeShapeType="1"/>
                        </wps:cNvCnPr>
                        <wps:spPr bwMode="auto">
                          <a:xfrm flipV="1">
                            <a:off x="2493" y="4032"/>
                            <a:ext cx="1137" cy="824"/>
                          </a:xfrm>
                          <a:prstGeom prst="bentConnector3">
                            <a:avLst>
                              <a:gd name="adj1" fmla="val 100417"/>
                            </a:avLst>
                          </a:prstGeom>
                          <a:noFill/>
                          <a:ln w="19050">
                            <a:solidFill>
                              <a:srgbClr val="5F497A"/>
                            </a:solidFill>
                            <a:miter lim="800000"/>
                            <a:headEnd/>
                            <a:tailEnd type="triangle" w="med" len="med"/>
                          </a:ln>
                          <a:extLst>
                            <a:ext uri="{909E8E84-426E-40DD-AFC4-6F175D3DCCD1}">
                              <a14:hiddenFill xmlns:a14="http://schemas.microsoft.com/office/drawing/2010/main">
                                <a:noFill/>
                              </a14:hiddenFill>
                            </a:ext>
                          </a:extLst>
                        </wps:spPr>
                        <wps:bodyPr/>
                      </wps:wsp>
                      <wps:wsp>
                        <wps:cNvPr id="36" name="AutoShape 8"/>
                        <wps:cNvCnPr>
                          <a:cxnSpLocks noChangeShapeType="1"/>
                        </wps:cNvCnPr>
                        <wps:spPr bwMode="auto">
                          <a:xfrm flipV="1">
                            <a:off x="2493" y="3208"/>
                            <a:ext cx="3195" cy="2472"/>
                          </a:xfrm>
                          <a:prstGeom prst="bentConnector3">
                            <a:avLst>
                              <a:gd name="adj1" fmla="val 100074"/>
                            </a:avLst>
                          </a:prstGeom>
                          <a:noFill/>
                          <a:ln w="19050">
                            <a:solidFill>
                              <a:srgbClr val="4E6128"/>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9"/>
                        <wps:cNvCnPr>
                          <a:cxnSpLocks noChangeShapeType="1"/>
                        </wps:cNvCnPr>
                        <wps:spPr bwMode="auto">
                          <a:xfrm flipV="1">
                            <a:off x="2493" y="3208"/>
                            <a:ext cx="6414" cy="3296"/>
                          </a:xfrm>
                          <a:prstGeom prst="bentConnector3">
                            <a:avLst>
                              <a:gd name="adj1" fmla="val 99898"/>
                            </a:avLst>
                          </a:prstGeom>
                          <a:noFill/>
                          <a:ln w="19050">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38" name="Text Box 10"/>
                        <wps:cNvSpPr txBox="1">
                          <a:spLocks noChangeArrowheads="1"/>
                        </wps:cNvSpPr>
                        <wps:spPr bwMode="auto">
                          <a:xfrm>
                            <a:off x="2565" y="4104"/>
                            <a:ext cx="994"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EA2446" w:rsidRDefault="00D620F0" w:rsidP="0041110C">
                              <w:pPr>
                                <w:spacing w:after="0"/>
                                <w:rPr>
                                  <w:rFonts w:ascii="Times New Roman" w:hAnsi="Times New Roman"/>
                                  <w:b/>
                                  <w:color w:val="365F91"/>
                                  <w:sz w:val="24"/>
                                  <w:szCs w:val="24"/>
                                </w:rPr>
                              </w:pPr>
                              <w:r w:rsidRPr="00EA2446">
                                <w:rPr>
                                  <w:rFonts w:ascii="Times New Roman" w:hAnsi="Times New Roman"/>
                                  <w:b/>
                                  <w:color w:val="365F91"/>
                                  <w:sz w:val="24"/>
                                  <w:szCs w:val="24"/>
                                </w:rPr>
                                <w:t>Apdrošinā</w:t>
                              </w:r>
                              <w:r>
                                <w:rPr>
                                  <w:rFonts w:ascii="Times New Roman" w:hAnsi="Times New Roman"/>
                                  <w:b/>
                                  <w:color w:val="365F91"/>
                                  <w:sz w:val="24"/>
                                  <w:szCs w:val="24"/>
                                </w:rPr>
                                <w:t>-</w:t>
                              </w:r>
                              <w:r w:rsidRPr="00EA2446">
                                <w:rPr>
                                  <w:rFonts w:ascii="Times New Roman" w:hAnsi="Times New Roman"/>
                                  <w:b/>
                                  <w:color w:val="365F91"/>
                                  <w:sz w:val="24"/>
                                  <w:szCs w:val="24"/>
                                </w:rPr>
                                <w:t>šana</w:t>
                              </w:r>
                            </w:p>
                          </w:txbxContent>
                        </wps:txbx>
                        <wps:bodyPr rot="0" vert="horz" wrap="square" lIns="0" tIns="0" rIns="0" bIns="0" anchor="t" anchorCtr="0" upright="1">
                          <a:noAutofit/>
                        </wps:bodyPr>
                      </wps:wsp>
                      <wps:wsp>
                        <wps:cNvPr id="39" name="Text Box 11"/>
                        <wps:cNvSpPr txBox="1">
                          <a:spLocks noChangeArrowheads="1"/>
                        </wps:cNvSpPr>
                        <wps:spPr bwMode="auto">
                          <a:xfrm>
                            <a:off x="5377" y="2848"/>
                            <a:ext cx="548"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5E2950" w:rsidRDefault="00D620F0" w:rsidP="0041110C">
                              <w:pPr>
                                <w:spacing w:after="0"/>
                                <w:rPr>
                                  <w:rFonts w:ascii="Times New Roman" w:hAnsi="Times New Roman"/>
                                  <w:b/>
                                  <w:sz w:val="24"/>
                                  <w:szCs w:val="24"/>
                                </w:rPr>
                              </w:pPr>
                              <w:r w:rsidRPr="005E2950">
                                <w:rPr>
                                  <w:rFonts w:ascii="Times New Roman" w:hAnsi="Times New Roman"/>
                                  <w:b/>
                                  <w:sz w:val="24"/>
                                  <w:szCs w:val="24"/>
                                </w:rPr>
                                <w:t>2 gadi</w:t>
                              </w:r>
                            </w:p>
                          </w:txbxContent>
                        </wps:txbx>
                        <wps:bodyPr rot="0" vert="horz" wrap="square" lIns="0" tIns="0" rIns="0" bIns="0" anchor="t" anchorCtr="0" upright="1">
                          <a:noAutofit/>
                        </wps:bodyPr>
                      </wps:wsp>
                      <wps:wsp>
                        <wps:cNvPr id="40" name="Text Box 12"/>
                        <wps:cNvSpPr txBox="1">
                          <a:spLocks noChangeArrowheads="1"/>
                        </wps:cNvSpPr>
                        <wps:spPr bwMode="auto">
                          <a:xfrm>
                            <a:off x="8535" y="2848"/>
                            <a:ext cx="621"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5E2950" w:rsidRDefault="00D620F0" w:rsidP="0041110C">
                              <w:pPr>
                                <w:spacing w:after="0"/>
                                <w:rPr>
                                  <w:rFonts w:ascii="Times New Roman" w:hAnsi="Times New Roman"/>
                                  <w:b/>
                                  <w:sz w:val="24"/>
                                  <w:szCs w:val="24"/>
                                </w:rPr>
                              </w:pPr>
                              <w:r w:rsidRPr="005E2950">
                                <w:rPr>
                                  <w:rFonts w:ascii="Times New Roman" w:hAnsi="Times New Roman"/>
                                  <w:b/>
                                  <w:sz w:val="24"/>
                                  <w:szCs w:val="24"/>
                                </w:rPr>
                                <w:t>10 gadi</w:t>
                              </w:r>
                            </w:p>
                          </w:txbxContent>
                        </wps:txbx>
                        <wps:bodyPr rot="0" vert="horz" wrap="square" lIns="0" tIns="0" rIns="0" bIns="0" anchor="t" anchorCtr="0" upright="1">
                          <a:noAutofit/>
                        </wps:bodyPr>
                      </wps:wsp>
                      <wps:wsp>
                        <wps:cNvPr id="41" name="Text Box 13"/>
                        <wps:cNvSpPr txBox="1">
                          <a:spLocks noChangeArrowheads="1"/>
                        </wps:cNvSpPr>
                        <wps:spPr bwMode="auto">
                          <a:xfrm>
                            <a:off x="2792" y="4930"/>
                            <a:ext cx="2777"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EA2446" w:rsidRDefault="00D620F0" w:rsidP="0041110C">
                              <w:pPr>
                                <w:spacing w:after="0"/>
                                <w:rPr>
                                  <w:rFonts w:ascii="Times New Roman" w:hAnsi="Times New Roman"/>
                                  <w:b/>
                                  <w:color w:val="5F497A"/>
                                  <w:sz w:val="24"/>
                                  <w:szCs w:val="24"/>
                                </w:rPr>
                              </w:pPr>
                              <w:r w:rsidRPr="00EA2446">
                                <w:rPr>
                                  <w:rFonts w:ascii="Times New Roman" w:hAnsi="Times New Roman"/>
                                  <w:b/>
                                  <w:color w:val="5F497A"/>
                                  <w:sz w:val="24"/>
                                  <w:szCs w:val="24"/>
                                </w:rPr>
                                <w:t>Banku tirdzniecības finansēšana</w:t>
                              </w:r>
                            </w:p>
                          </w:txbxContent>
                        </wps:txbx>
                        <wps:bodyPr rot="0" vert="horz" wrap="square" lIns="0" tIns="0" rIns="0" bIns="0" anchor="t" anchorCtr="0" upright="1">
                          <a:noAutofit/>
                        </wps:bodyPr>
                      </wps:wsp>
                      <wps:wsp>
                        <wps:cNvPr id="42" name="Text Box 14"/>
                        <wps:cNvSpPr txBox="1">
                          <a:spLocks noChangeArrowheads="1"/>
                        </wps:cNvSpPr>
                        <wps:spPr bwMode="auto">
                          <a:xfrm>
                            <a:off x="3247" y="2848"/>
                            <a:ext cx="838"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C656E7" w:rsidRDefault="00D620F0" w:rsidP="0041110C">
                              <w:pPr>
                                <w:spacing w:after="0"/>
                                <w:rPr>
                                  <w:rFonts w:ascii="Times New Roman" w:hAnsi="Times New Roman"/>
                                  <w:b/>
                                  <w:sz w:val="20"/>
                                  <w:szCs w:val="20"/>
                                </w:rPr>
                              </w:pPr>
                              <w:r w:rsidRPr="00C656E7">
                                <w:rPr>
                                  <w:rFonts w:ascii="Times New Roman" w:hAnsi="Times New Roman"/>
                                  <w:b/>
                                  <w:sz w:val="20"/>
                                  <w:szCs w:val="20"/>
                                </w:rPr>
                                <w:t>180 dienas</w:t>
                              </w:r>
                            </w:p>
                          </w:txbxContent>
                        </wps:txbx>
                        <wps:bodyPr rot="0" vert="horz" wrap="square" lIns="0" tIns="0" rIns="0" bIns="0" anchor="t" anchorCtr="0" upright="1">
                          <a:noAutofit/>
                        </wps:bodyPr>
                      </wps:wsp>
                      <wps:wsp>
                        <wps:cNvPr id="43" name="Text Box 15"/>
                        <wps:cNvSpPr txBox="1">
                          <a:spLocks noChangeArrowheads="1"/>
                        </wps:cNvSpPr>
                        <wps:spPr bwMode="auto">
                          <a:xfrm>
                            <a:off x="2660" y="5743"/>
                            <a:ext cx="3686"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EA2446" w:rsidRDefault="00D620F0" w:rsidP="0041110C">
                              <w:pPr>
                                <w:spacing w:after="0"/>
                                <w:rPr>
                                  <w:rFonts w:ascii="Times New Roman" w:hAnsi="Times New Roman"/>
                                  <w:b/>
                                  <w:color w:val="4F6228" w:themeColor="accent3" w:themeShade="80"/>
                                  <w:sz w:val="24"/>
                                  <w:szCs w:val="24"/>
                                </w:rPr>
                              </w:pPr>
                              <w:r w:rsidRPr="00EA2446">
                                <w:rPr>
                                  <w:rFonts w:ascii="Times New Roman" w:hAnsi="Times New Roman"/>
                                  <w:b/>
                                  <w:color w:val="4F6228" w:themeColor="accent3" w:themeShade="80"/>
                                  <w:sz w:val="24"/>
                                  <w:szCs w:val="24"/>
                                </w:rPr>
                                <w:t>LGA īstermiņa eksporta kredīta garantijas</w:t>
                              </w:r>
                            </w:p>
                          </w:txbxContent>
                        </wps:txbx>
                        <wps:bodyPr rot="0" vert="horz" wrap="square" lIns="0" tIns="0" rIns="0" bIns="0" anchor="t" anchorCtr="0" upright="1">
                          <a:noAutofit/>
                        </wps:bodyPr>
                      </wps:wsp>
                      <wps:wsp>
                        <wps:cNvPr id="44" name="AutoShape 16"/>
                        <wps:cNvCnPr>
                          <a:cxnSpLocks noChangeShapeType="1"/>
                        </wps:cNvCnPr>
                        <wps:spPr bwMode="auto">
                          <a:xfrm>
                            <a:off x="3630" y="4856"/>
                            <a:ext cx="2058" cy="0"/>
                          </a:xfrm>
                          <a:prstGeom prst="straightConnector1">
                            <a:avLst/>
                          </a:prstGeom>
                          <a:noFill/>
                          <a:ln w="19050">
                            <a:solidFill>
                              <a:srgbClr val="5F497A"/>
                            </a:solidFill>
                            <a:prstDash val="sysDot"/>
                            <a:round/>
                            <a:headEnd/>
                            <a:tailEnd/>
                          </a:ln>
                          <a:extLst>
                            <a:ext uri="{909E8E84-426E-40DD-AFC4-6F175D3DCCD1}">
                              <a14:hiddenFill xmlns:a14="http://schemas.microsoft.com/office/drawing/2010/main">
                                <a:noFill/>
                              </a14:hiddenFill>
                            </a:ext>
                          </a:extLst>
                        </wps:spPr>
                        <wps:bodyPr/>
                      </wps:wsp>
                      <wps:wsp>
                        <wps:cNvPr id="45" name="Text Box 17"/>
                        <wps:cNvSpPr txBox="1">
                          <a:spLocks noChangeArrowheads="1"/>
                        </wps:cNvSpPr>
                        <wps:spPr bwMode="auto">
                          <a:xfrm>
                            <a:off x="3774" y="6569"/>
                            <a:ext cx="461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F0" w:rsidRPr="00EA2446" w:rsidRDefault="00D620F0" w:rsidP="0041110C">
                              <w:pPr>
                                <w:spacing w:after="0"/>
                                <w:rPr>
                                  <w:rFonts w:ascii="Times New Roman" w:hAnsi="Times New Roman"/>
                                  <w:b/>
                                  <w:color w:val="984806"/>
                                  <w:sz w:val="24"/>
                                  <w:szCs w:val="24"/>
                                </w:rPr>
                              </w:pPr>
                              <w:r w:rsidRPr="00EA2446">
                                <w:rPr>
                                  <w:rFonts w:ascii="Times New Roman" w:hAnsi="Times New Roman"/>
                                  <w:b/>
                                  <w:color w:val="984806"/>
                                  <w:sz w:val="24"/>
                                  <w:szCs w:val="24"/>
                                </w:rPr>
                                <w:t>LGA vidēja un ilgtermiņa eksporta kredīta garantijas</w:t>
                              </w:r>
                            </w:p>
                          </w:txbxContent>
                        </wps:txbx>
                        <wps:bodyPr rot="0" vert="horz" wrap="square" lIns="0" tIns="0" rIns="0" bIns="0" anchor="t" anchorCtr="0" upright="1">
                          <a:noAutofit/>
                        </wps:bodyPr>
                      </wps:wsp>
                    </wpg:wgp>
                  </a:graphicData>
                </a:graphic>
              </wp:inline>
            </w:drawing>
          </mc:Choice>
          <mc:Fallback>
            <w:pict>
              <v:group id="Group 2" o:spid="_x0000_s1029" style="width:451.3pt;height:270.8pt;mso-position-horizontal-relative:char;mso-position-vertical-relative:line" coordorigin="2362,2752"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">
                <o:lock v:ext="edit" aspectratio="t"/>
                <v:rect id="AutoShape 3" o:spid="_x0000_s1030" style="position:absolute;left:2362;top:2752;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o:lock v:ext="edit" aspectratio="t" text="t"/>
                </v:rect>
                <v:shapetype id="_x0000_t32" coordsize="21600,21600" o:spt="32" o:oned="t" path="m,l21600,21600e" filled="f">
                  <v:path arrowok="t" fillok="f" o:connecttype="none"/>
                  <o:lock v:ext="edit" shapetype="t"/>
                </v:shapetype>
                <v:shape id="AutoShape 4" o:spid="_x0000_s1031" type="#_x0000_t32" style="position:absolute;left:2493;top:3207;width:691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tI8QAAADbAAAADwAAAGRycy9kb3ducmV2LnhtbESPwWrDMBBE74X8g9hAb42cFExxI5sQ&#10;SOmhNDTJoce1tbFNpJWRVMf9+yhQ6HGYmTfMupqsESP50DtWsFxkIIgbp3tuFZyOu6cXECEiazSO&#10;ScEvBajK2cMaC+2u/EXjIbYiQTgUqKCLcSikDE1HFsPCDcTJOztvMSbpW6k9XhPcGrnKslxa7Dkt&#10;dDjQtqPmcvixCvLme2/qj4nqt+3e1y43o/7cKfU4nzavICJN8T/8137XCp5XcP+Sfo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C0jxAAAANsAAAAPAAAAAAAAAAAA&#10;AAAAAKECAABkcnMvZG93bnJldi54bWxQSwUGAAAAAAQABAD5AAAAkgMAAAAA&#10;" strokeweight="3pt">
                  <v:stroke endarrow="block"/>
                </v:shape>
                <v:shape id="AutoShape 5" o:spid="_x0000_s1032" type="#_x0000_t32" style="position:absolute;left:2493;top:3207;width:1;height:3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GBlsQAAADbAAAADwAAAGRycy9kb3ducmV2LnhtbESPT2vCQBTE74LfYXmCN7OxQpE0m6Bi&#10;wUMPrZaeH9nX/N23aXZr0n76bkHwOMzMb5g0n0wnrjS42rKCdRSDIC6srrlU8H55Xm1BOI+ssbNM&#10;Cn7IQZ7NZykm2o78RtezL0WAsEtQQeV9n0jpiooMusj2xMH7tINBH+RQSj3gGOCmkw9x/CgN1hwW&#10;KuzpUFHRnr+NgmaSth+/jseXsvlo91t07euvU2q5mHZPIDxN/h6+tU9awWYD/1/C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YGWxAAAANsAAAAPAAAAAAAAAAAA&#10;AAAAAKECAABkcnMvZG93bnJldi54bWxQSwUGAAAAAAQABAD5AAAAkgM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3" type="#_x0000_t34" style="position:absolute;left:2493;top:3208;width:1137;height:8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6z8IAAADbAAAADwAAAGRycy9kb3ducmV2LnhtbESP3WoCMRSE7wu+QziCdzWrK0VWo6hQ&#10;kPbGqg9w3Bz3x83Jsknd9O0bQfBymJlvmOU6mEbcqXOVZQWTcQKCOLe64kLB+fT5PgfhPLLGxjIp&#10;+CMH69XgbYmZtj3/0P3oCxEh7DJUUHrfZlK6vCSDbmxb4uhdbWfQR9kVUnfYR7hp5DRJPqTBiuNC&#10;iS3tSspvx1+jgC8hrerW9bP6EL7CNE223/VZqdEwbBYgPAX/Cj/be60gncH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O6z8IAAADbAAAADwAAAAAAAAAAAAAA&#10;AAChAgAAZHJzL2Rvd25yZXYueG1sUEsFBgAAAAAEAAQA+QAAAJADAAAAAA==&#10;" adj="21675" strokecolor="#548dd4" strokeweight="1.5pt">
                  <v:stroke endarrow="block"/>
                </v:shape>
                <v:shape id="AutoShape 7" o:spid="_x0000_s1034" type="#_x0000_t34" style="position:absolute;left:2493;top:4032;width:1137;height:8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7bR8QAAADbAAAADwAAAGRycy9kb3ducmV2LnhtbESPQWsCMRSE7wX/Q3iF3jS7loqsRqnC&#10;FqkHcS0Ub4/N62bp5iVsUl3/fVMQehxm5htmuR5sJy7Uh9axgnySgSCunW65UfBxKsdzECEia+wc&#10;k4IbBVivRg9LLLS78pEuVWxEgnAoUIGJ0RdShtqQxTBxnjh5X663GJPsG6l7vCa47eQ0y2bSYstp&#10;waCnraH6u/qxCtw5P9S5t9Xnxuzd/u299EMslXp6HF4XICIN8T98b++0gucX+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ttHxAAAANsAAAAPAAAAAAAAAAAA&#10;AAAAAKECAABkcnMvZG93bnJldi54bWxQSwUGAAAAAAQABAD5AAAAkgMAAAAA&#10;" adj="21690" strokecolor="#5f497a" strokeweight="1.5pt">
                  <v:stroke endarrow="block"/>
                </v:shape>
                <v:shape id="AutoShape 8" o:spid="_x0000_s1035" type="#_x0000_t34" style="position:absolute;left:2493;top:3208;width:3195;height:24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orJcQAAADbAAAADwAAAGRycy9kb3ducmV2LnhtbESPQWsCMRSE7wX/Q3hCL1KzKohsjSKK&#10;ttKDaLXnx+a5u7h5WZPUXf+9KQg9DjPzDTOdt6YSN3K+tKxg0E9AEGdWl5wrOH6v3yYgfEDWWFkm&#10;BXfyMJ91XqaYatvwnm6HkIsIYZ+igiKEOpXSZwUZ9H1bE0fvbJ3BEKXLpXbYRLip5DBJxtJgyXGh&#10;wJqWBWWXw69RsOpV8sM2y59rvdkOpR98XU47p9Rrt128gwjUhv/ws/2pFYzG8Pcl/g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islxAAAANsAAAAPAAAAAAAAAAAA&#10;AAAAAKECAABkcnMvZG93bnJldi54bWxQSwUGAAAAAAQABAD5AAAAkgMAAAAA&#10;" adj="21616" strokecolor="#4e6128" strokeweight="1.5pt">
                  <v:stroke endarrow="block"/>
                </v:shape>
                <v:shape id="AutoShape 9" o:spid="_x0000_s1036" type="#_x0000_t34" style="position:absolute;left:2493;top:3208;width:6414;height:329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PxsYAAADbAAAADwAAAGRycy9kb3ducmV2LnhtbESPQWvCQBSE70L/w/IKXqRuotJK6iaU&#10;gigUD9r24O2Rfc0Gs29Ddo2xv75bEDwOM/MNsyoG24ieOl87VpBOExDEpdM1Vwq+PtdPSxA+IGts&#10;HJOCK3ko8ofRCjPtLryn/hAqESHsM1RgQmgzKX1pyKKfupY4ej+usxii7CqpO7xEuG3kLEmepcWa&#10;44LBlt4NlafD2SqY8WZx0h+7Sd+mZz/pf1NzXHwrNX4c3l5BBBrCPXxrb7WC+Qv8f4k/QO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QD8bGAAAA2wAAAA8AAAAAAAAA&#10;AAAAAAAAoQIAAGRycy9kb3ducmV2LnhtbFBLBQYAAAAABAAEAPkAAACUAwAAAAA=&#10;" adj="21578" strokecolor="#974706" strokeweight="1.5pt">
                  <v:stroke dashstyle="dash" endarrow="block"/>
                </v:shape>
                <v:shape id="Text Box 10" o:spid="_x0000_s1037" type="#_x0000_t202" style="position:absolute;left:2565;top:4104;width:994;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D620F0" w:rsidRPr="00EA2446" w:rsidRDefault="00D620F0" w:rsidP="0041110C">
                        <w:pPr>
                          <w:spacing w:after="0"/>
                          <w:rPr>
                            <w:rFonts w:ascii="Times New Roman" w:hAnsi="Times New Roman"/>
                            <w:b/>
                            <w:color w:val="365F91"/>
                            <w:sz w:val="24"/>
                            <w:szCs w:val="24"/>
                          </w:rPr>
                        </w:pPr>
                        <w:r w:rsidRPr="00EA2446">
                          <w:rPr>
                            <w:rFonts w:ascii="Times New Roman" w:hAnsi="Times New Roman"/>
                            <w:b/>
                            <w:color w:val="365F91"/>
                            <w:sz w:val="24"/>
                            <w:szCs w:val="24"/>
                          </w:rPr>
                          <w:t>Apdrošinā</w:t>
                        </w:r>
                        <w:r>
                          <w:rPr>
                            <w:rFonts w:ascii="Times New Roman" w:hAnsi="Times New Roman"/>
                            <w:b/>
                            <w:color w:val="365F91"/>
                            <w:sz w:val="24"/>
                            <w:szCs w:val="24"/>
                          </w:rPr>
                          <w:t>-</w:t>
                        </w:r>
                        <w:r w:rsidRPr="00EA2446">
                          <w:rPr>
                            <w:rFonts w:ascii="Times New Roman" w:hAnsi="Times New Roman"/>
                            <w:b/>
                            <w:color w:val="365F91"/>
                            <w:sz w:val="24"/>
                            <w:szCs w:val="24"/>
                          </w:rPr>
                          <w:t>šana</w:t>
                        </w:r>
                      </w:p>
                    </w:txbxContent>
                  </v:textbox>
                </v:shape>
                <v:shape id="Text Box 11" o:spid="_x0000_s1038" type="#_x0000_t202" style="position:absolute;left:5377;top:2848;width:54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rsidR="00D620F0" w:rsidRPr="005E2950" w:rsidRDefault="00D620F0" w:rsidP="0041110C">
                        <w:pPr>
                          <w:spacing w:after="0"/>
                          <w:rPr>
                            <w:rFonts w:ascii="Times New Roman" w:hAnsi="Times New Roman"/>
                            <w:b/>
                            <w:sz w:val="24"/>
                            <w:szCs w:val="24"/>
                          </w:rPr>
                        </w:pPr>
                        <w:r w:rsidRPr="005E2950">
                          <w:rPr>
                            <w:rFonts w:ascii="Times New Roman" w:hAnsi="Times New Roman"/>
                            <w:b/>
                            <w:sz w:val="24"/>
                            <w:szCs w:val="24"/>
                          </w:rPr>
                          <w:t>2 gadi</w:t>
                        </w:r>
                      </w:p>
                    </w:txbxContent>
                  </v:textbox>
                </v:shape>
                <v:shape id="Text Box 12" o:spid="_x0000_s1039" type="#_x0000_t202" style="position:absolute;left:8535;top:2848;width:621;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D620F0" w:rsidRPr="005E2950" w:rsidRDefault="00D620F0" w:rsidP="0041110C">
                        <w:pPr>
                          <w:spacing w:after="0"/>
                          <w:rPr>
                            <w:rFonts w:ascii="Times New Roman" w:hAnsi="Times New Roman"/>
                            <w:b/>
                            <w:sz w:val="24"/>
                            <w:szCs w:val="24"/>
                          </w:rPr>
                        </w:pPr>
                        <w:r w:rsidRPr="005E2950">
                          <w:rPr>
                            <w:rFonts w:ascii="Times New Roman" w:hAnsi="Times New Roman"/>
                            <w:b/>
                            <w:sz w:val="24"/>
                            <w:szCs w:val="24"/>
                          </w:rPr>
                          <w:t>10 gadi</w:t>
                        </w:r>
                      </w:p>
                    </w:txbxContent>
                  </v:textbox>
                </v:shape>
                <v:shape id="Text Box 13" o:spid="_x0000_s1040" type="#_x0000_t202" style="position:absolute;left:2792;top:4930;width:277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e2MQA&#10;AADbAAAADwAAAGRycy9kb3ducmV2LnhtbESPT2sCMRTE70K/Q3gFL1KzLiK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XtjEAAAA2wAAAA8AAAAAAAAAAAAAAAAAmAIAAGRycy9k&#10;b3ducmV2LnhtbFBLBQYAAAAABAAEAPUAAACJAwAAAAA=&#10;" stroked="f">
                  <v:textbox inset="0,0,0,0">
                    <w:txbxContent>
                      <w:p w:rsidR="00D620F0" w:rsidRPr="00EA2446" w:rsidRDefault="00D620F0" w:rsidP="0041110C">
                        <w:pPr>
                          <w:spacing w:after="0"/>
                          <w:rPr>
                            <w:rFonts w:ascii="Times New Roman" w:hAnsi="Times New Roman"/>
                            <w:b/>
                            <w:color w:val="5F497A"/>
                            <w:sz w:val="24"/>
                            <w:szCs w:val="24"/>
                          </w:rPr>
                        </w:pPr>
                        <w:r w:rsidRPr="00EA2446">
                          <w:rPr>
                            <w:rFonts w:ascii="Times New Roman" w:hAnsi="Times New Roman"/>
                            <w:b/>
                            <w:color w:val="5F497A"/>
                            <w:sz w:val="24"/>
                            <w:szCs w:val="24"/>
                          </w:rPr>
                          <w:t>Banku tirdzniecības finansēšana</w:t>
                        </w:r>
                      </w:p>
                    </w:txbxContent>
                  </v:textbox>
                </v:shape>
                <v:shape id="Text Box 14" o:spid="_x0000_s1041" type="#_x0000_t202" style="position:absolute;left:3247;top:2848;width:83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D620F0" w:rsidRPr="00C656E7" w:rsidRDefault="00D620F0" w:rsidP="0041110C">
                        <w:pPr>
                          <w:spacing w:after="0"/>
                          <w:rPr>
                            <w:rFonts w:ascii="Times New Roman" w:hAnsi="Times New Roman"/>
                            <w:b/>
                            <w:sz w:val="20"/>
                            <w:szCs w:val="20"/>
                          </w:rPr>
                        </w:pPr>
                        <w:r w:rsidRPr="00C656E7">
                          <w:rPr>
                            <w:rFonts w:ascii="Times New Roman" w:hAnsi="Times New Roman"/>
                            <w:b/>
                            <w:sz w:val="20"/>
                            <w:szCs w:val="20"/>
                          </w:rPr>
                          <w:t>180 dienas</w:t>
                        </w:r>
                      </w:p>
                    </w:txbxContent>
                  </v:textbox>
                </v:shape>
                <v:shape id="Text Box 15" o:spid="_x0000_s1042" type="#_x0000_t202" style="position:absolute;left:2660;top:5743;width:368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NMUA&#10;AADbAAAADwAAAGRycy9kb3ducmV2LnhtbESPT2vCQBTE7wW/w/KEXopumha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2U0xQAAANsAAAAPAAAAAAAAAAAAAAAAAJgCAABkcnMv&#10;ZG93bnJldi54bWxQSwUGAAAAAAQABAD1AAAAigMAAAAA&#10;" stroked="f">
                  <v:textbox inset="0,0,0,0">
                    <w:txbxContent>
                      <w:p w:rsidR="00D620F0" w:rsidRPr="00EA2446" w:rsidRDefault="00D620F0" w:rsidP="0041110C">
                        <w:pPr>
                          <w:spacing w:after="0"/>
                          <w:rPr>
                            <w:rFonts w:ascii="Times New Roman" w:hAnsi="Times New Roman"/>
                            <w:b/>
                            <w:color w:val="4F6228" w:themeColor="accent3" w:themeShade="80"/>
                            <w:sz w:val="24"/>
                            <w:szCs w:val="24"/>
                          </w:rPr>
                        </w:pPr>
                        <w:r w:rsidRPr="00EA2446">
                          <w:rPr>
                            <w:rFonts w:ascii="Times New Roman" w:hAnsi="Times New Roman"/>
                            <w:b/>
                            <w:color w:val="4F6228" w:themeColor="accent3" w:themeShade="80"/>
                            <w:sz w:val="24"/>
                            <w:szCs w:val="24"/>
                          </w:rPr>
                          <w:t>LGA īstermiņa eksporta kredīta garantijas</w:t>
                        </w:r>
                      </w:p>
                    </w:txbxContent>
                  </v:textbox>
                </v:shape>
                <v:shape id="AutoShape 16" o:spid="_x0000_s1043" type="#_x0000_t32" style="position:absolute;left:3630;top:4856;width:2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hZcQAAADbAAAADwAAAGRycy9kb3ducmV2LnhtbESPzWrDMBCE74W+g9hCb7XcYkriRg4l&#10;IdCQU37c82JtZLfWylhq7OTpq0Agx2FmvmFm89G24kS9bxwreE1SEMSV0w0bBYf96mUCwgdkja1j&#10;UnAmD/Pi8WGGuXYDb+m0C0ZECPscFdQhdLmUvqrJok9cRxy9o+sthih7I3WPQ4TbVr6l6bu02HBc&#10;qLGjRU3V7+7PKvD2bNZTV5XH1Wa9LDPzU16+90o9P42fHyACjeEevrW/tIIsg+uX+ANk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2FlxAAAANsAAAAPAAAAAAAAAAAA&#10;AAAAAKECAABkcnMvZG93bnJldi54bWxQSwUGAAAAAAQABAD5AAAAkgMAAAAA&#10;" strokecolor="#5f497a" strokeweight="1.5pt">
                  <v:stroke dashstyle="1 1"/>
                </v:shape>
                <v:shape id="Text Box 17" o:spid="_x0000_s1044" type="#_x0000_t202" style="position:absolute;left:3774;top:6569;width:461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28UA&#10;AADbAAAADwAAAGRycy9kb3ducmV2LnhtbESPT2vCQBTE7wW/w/KEXopuGlq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ljbxQAAANsAAAAPAAAAAAAAAAAAAAAAAJgCAABkcnMv&#10;ZG93bnJldi54bWxQSwUGAAAAAAQABAD1AAAAigMAAAAA&#10;" stroked="f">
                  <v:textbox inset="0,0,0,0">
                    <w:txbxContent>
                      <w:p w:rsidR="00D620F0" w:rsidRPr="00EA2446" w:rsidRDefault="00D620F0" w:rsidP="0041110C">
                        <w:pPr>
                          <w:spacing w:after="0"/>
                          <w:rPr>
                            <w:rFonts w:ascii="Times New Roman" w:hAnsi="Times New Roman"/>
                            <w:b/>
                            <w:color w:val="984806"/>
                            <w:sz w:val="24"/>
                            <w:szCs w:val="24"/>
                          </w:rPr>
                        </w:pPr>
                        <w:r w:rsidRPr="00EA2446">
                          <w:rPr>
                            <w:rFonts w:ascii="Times New Roman" w:hAnsi="Times New Roman"/>
                            <w:b/>
                            <w:color w:val="984806"/>
                            <w:sz w:val="24"/>
                            <w:szCs w:val="24"/>
                          </w:rPr>
                          <w:t>LGA vidēja un ilgtermiņa eksporta kredīta garantijas</w:t>
                        </w:r>
                      </w:p>
                    </w:txbxContent>
                  </v:textbox>
                </v:shape>
                <w10:anchorlock/>
              </v:group>
            </w:pict>
          </mc:Fallback>
        </mc:AlternateContent>
      </w:r>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lastRenderedPageBreak/>
        <w:t>1.1.attēlā redzams, ka šobrīd Latvijas tirgū ir salīdzinoši plašs instrumentu klāsts risku segumam un tirdzniecības finansēšanai tirdzniecības darījumiem ar riska periodu līdz 180 dienām. Atsevišķos gadījumos bankas ir gatavas piedāvāt tirdzniecības finansēšanas instrumentus darījumiem ar atliktajiem maksājumiem virs 180 dienām pie nosacījuma, ja šāds risks tirgū tiek apdrošināts vai garantēts. Darījumiem ar kredīta periodiem virs 180 dienām, kur privātā tirgus spēlētāji segumu nepiedāvā, ir tikai LGA segums.</w:t>
      </w:r>
    </w:p>
    <w:p w:rsidR="0041110C" w:rsidRPr="00357745" w:rsidRDefault="0041110C" w:rsidP="00E45D07">
      <w:pPr>
        <w:spacing w:afterLines="40" w:after="96" w:line="240" w:lineRule="auto"/>
        <w:jc w:val="both"/>
        <w:rPr>
          <w:rFonts w:ascii="Times New Roman" w:hAnsi="Times New Roman"/>
          <w:color w:val="000000"/>
          <w:sz w:val="10"/>
          <w:szCs w:val="10"/>
        </w:rPr>
      </w:pPr>
    </w:p>
    <w:p w:rsidR="0041110C" w:rsidRPr="00E45D07" w:rsidRDefault="0041110C" w:rsidP="00E45D07">
      <w:pPr>
        <w:pStyle w:val="Heading2"/>
        <w:spacing w:before="0" w:afterLines="40" w:after="96" w:line="240" w:lineRule="auto"/>
        <w:rPr>
          <w:rFonts w:ascii="Times New Roman" w:hAnsi="Times New Roman"/>
          <w:color w:val="000000"/>
        </w:rPr>
      </w:pPr>
      <w:bookmarkStart w:id="6" w:name="_Toc388627032"/>
      <w:r w:rsidRPr="00E45D07">
        <w:rPr>
          <w:rFonts w:ascii="Times New Roman" w:hAnsi="Times New Roman"/>
          <w:color w:val="000000"/>
        </w:rPr>
        <w:t>1.2. Privāto apdrošinātāju funkcijas un pozīcijas tirgū</w:t>
      </w:r>
      <w:bookmarkEnd w:id="6"/>
    </w:p>
    <w:p w:rsidR="0041110C" w:rsidRPr="00E45D07" w:rsidRDefault="0041110C" w:rsidP="003D4D0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sz w:val="26"/>
          <w:szCs w:val="26"/>
        </w:rPr>
        <w:t>Privātie kredītrisku apdrošinātāji ir finanšu tirgus spēlētāji, kuru galvenais mērķis kā ikvienai privātai kapitālsabiedrībai ir gūt peļņu. Apdrošinātāju loma kopējā tirdzniecības darījumu apdrošināšanas apjomā ir nesalīdzināmi lielāka par valsts EKA. Kopš 90-to gadu sākuma privātā tirdzniecības kredītrisku apdrošināšana ir izrādījusi ļoti lielu izaugsmi un tagad pilnībā dominē īstermiņa eksporta apdrošināšanas tirgū</w:t>
      </w:r>
      <w:r w:rsidRPr="00E45D07">
        <w:rPr>
          <w:rStyle w:val="FootnoteReference"/>
          <w:rFonts w:ascii="Times New Roman" w:hAnsi="Times New Roman"/>
          <w:sz w:val="26"/>
          <w:szCs w:val="26"/>
        </w:rPr>
        <w:footnoteReference w:id="7"/>
      </w:r>
      <w:r w:rsidRPr="00E45D07">
        <w:rPr>
          <w:rFonts w:ascii="Times New Roman" w:hAnsi="Times New Roman"/>
          <w:sz w:val="26"/>
          <w:szCs w:val="26"/>
        </w:rPr>
        <w:t>. Jau 1999.gadā vairāk kā 95 % no īstermiņa tirdzniecības kredīta darījumiem bija ar privāto apdrošinātāju segumu</w:t>
      </w:r>
      <w:r w:rsidRPr="00E45D07">
        <w:rPr>
          <w:rStyle w:val="FootnoteReference"/>
          <w:rFonts w:ascii="Times New Roman" w:hAnsi="Times New Roman"/>
          <w:sz w:val="26"/>
          <w:szCs w:val="26"/>
        </w:rPr>
        <w:footnoteReference w:id="8"/>
      </w:r>
      <w:r w:rsidRPr="00E45D07">
        <w:rPr>
          <w:rFonts w:ascii="Times New Roman" w:hAnsi="Times New Roman"/>
          <w:sz w:val="26"/>
          <w:szCs w:val="26"/>
        </w:rPr>
        <w:t>. Privātie apdrošinātāji sedz riskus gan iekšējās tirdzniecības darījumiem, gan eksportam. Tā kā privātajiem apdrošinātājiem būtiskākais ir peļņas faktors, tad šie tirgus spēlētāji apdrošina eksporta darījumus atbilstoši risku vadības politikai – galvenokārt darījumus uz industriāli attīstītajām valstīm. To atspoguļo Latvijā lielākais privātais kredītrisku apdrošinātājs Coface Austria grupā ietilpstošais Coface Latvia.</w:t>
      </w:r>
    </w:p>
    <w:p w:rsidR="0041110C" w:rsidRPr="00B01C32" w:rsidRDefault="00B01C32" w:rsidP="00B01C32">
      <w:pPr>
        <w:spacing w:afterLines="40" w:after="96" w:line="240" w:lineRule="auto"/>
        <w:jc w:val="right"/>
        <w:rPr>
          <w:rFonts w:ascii="Times New Roman" w:hAnsi="Times New Roman"/>
          <w:color w:val="000000"/>
          <w:sz w:val="26"/>
          <w:szCs w:val="26"/>
        </w:rPr>
      </w:pPr>
      <w:r w:rsidRPr="00B01C32">
        <w:rPr>
          <w:rFonts w:ascii="Times New Roman" w:hAnsi="Times New Roman"/>
          <w:color w:val="000000"/>
          <w:sz w:val="26"/>
          <w:szCs w:val="26"/>
        </w:rPr>
        <w:t>1.2.attēls</w:t>
      </w:r>
    </w:p>
    <w:p w:rsidR="0041110C" w:rsidRPr="00E45D07" w:rsidRDefault="0041110C" w:rsidP="00E45D07">
      <w:p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COFACE Latvija portfeļa ekspozīcija pēc pircēja valsts (uz 30.06.2013.)</w:t>
      </w:r>
      <w:r w:rsidRPr="00E45D07">
        <w:rPr>
          <w:rStyle w:val="FootnoteReference"/>
          <w:rFonts w:ascii="Times New Roman" w:hAnsi="Times New Roman"/>
          <w:color w:val="000000"/>
          <w:sz w:val="26"/>
          <w:szCs w:val="26"/>
        </w:rPr>
        <w:footnoteReference w:id="9"/>
      </w:r>
    </w:p>
    <w:p w:rsidR="0041110C" w:rsidRPr="00E45D07" w:rsidRDefault="0041110C" w:rsidP="00E45D07">
      <w:pPr>
        <w:spacing w:afterLines="40" w:after="96" w:line="240" w:lineRule="auto"/>
        <w:jc w:val="both"/>
        <w:rPr>
          <w:rFonts w:ascii="Times New Roman" w:hAnsi="Times New Roman"/>
          <w:color w:val="000000"/>
          <w:sz w:val="26"/>
          <w:szCs w:val="26"/>
        </w:rPr>
      </w:pPr>
      <w:r w:rsidRPr="00E45D07">
        <w:rPr>
          <w:rFonts w:ascii="Times New Roman" w:hAnsi="Times New Roman"/>
          <w:noProof/>
          <w:color w:val="000000"/>
          <w:sz w:val="26"/>
          <w:szCs w:val="26"/>
          <w:lang w:eastAsia="lv-LV"/>
        </w:rPr>
        <w:drawing>
          <wp:inline distT="0" distB="0" distL="0" distR="0" wp14:anchorId="1A2F8C54" wp14:editId="2D2740BE">
            <wp:extent cx="5914390" cy="287591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390" cy="2875915"/>
                    </a:xfrm>
                    <a:prstGeom prst="rect">
                      <a:avLst/>
                    </a:prstGeom>
                    <a:noFill/>
                  </pic:spPr>
                </pic:pic>
              </a:graphicData>
            </a:graphic>
          </wp:inline>
        </w:drawing>
      </w:r>
    </w:p>
    <w:p w:rsidR="0041110C" w:rsidRPr="00E45D07" w:rsidRDefault="0041110C" w:rsidP="00FD671F">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 xml:space="preserve">Kā redzams 1.2.attēlā, tirgu sadalījumā pa valstīm dominē iekšzemes un ES dalībvalstu tirgi – Igaunija, Lietuva, Vācija, Somija, Polija un Lielbritānija. Šāda </w:t>
      </w:r>
      <w:r w:rsidRPr="00E45D07">
        <w:rPr>
          <w:rFonts w:ascii="Times New Roman" w:hAnsi="Times New Roman"/>
          <w:sz w:val="26"/>
          <w:szCs w:val="26"/>
        </w:rPr>
        <w:lastRenderedPageBreak/>
        <w:t>tendence ir skaidrojama ar to, ka privātie apdrošinātāji uzņemas riskus galvenokārt zema riska tirgus segmentos, kur par pircēju publiski ir pieejama daudz plašāka informācija. No valstīm, kas tradicionāli būtu uzskatāmas par paaugstināta riska tirgiem, Coface Latvija portfelī vērā ņemama ekspozīcija ir tikai darījumiem uz Krieviju (2%). Šobrīd Coface Latvia neapdrošina darījumus uz Baltkrieviju un ir būtiski samazinājusi apdrošināšanas apjomus darījumiem uz Ukrainu.</w:t>
      </w:r>
    </w:p>
    <w:p w:rsidR="0041110C" w:rsidRPr="00E45D07" w:rsidRDefault="0041110C" w:rsidP="00FD671F">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2010.gadā trīs privātie kredītrisku apdrošinātāji jeb „Lielais Trijnieks” sedza 87% no pasaules tirdzniecības apdrošināšanas darījumu tirgus – Euler Hermes (36%), Atradius (31%), Coface (20%)</w:t>
      </w:r>
      <w:r w:rsidRPr="00E45D07">
        <w:rPr>
          <w:rStyle w:val="FootnoteReference"/>
          <w:rFonts w:ascii="Times New Roman" w:hAnsi="Times New Roman"/>
          <w:sz w:val="26"/>
          <w:szCs w:val="26"/>
        </w:rPr>
        <w:footnoteReference w:id="10"/>
      </w:r>
      <w:r w:rsidRPr="00E45D07">
        <w:rPr>
          <w:rFonts w:ascii="Times New Roman" w:hAnsi="Times New Roman"/>
          <w:sz w:val="26"/>
          <w:szCs w:val="26"/>
        </w:rPr>
        <w:t>.</w:t>
      </w:r>
    </w:p>
    <w:p w:rsidR="0041110C" w:rsidRPr="00E45D07" w:rsidRDefault="0041110C" w:rsidP="00FD671F">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Privātie kredītrisku apdrošinātāji nesedz vidēja un ilgtermiņa eksporta kredīta darījumus un galvenokārt sedz tikai īstermiņa komerciālos riskus, kur atliktā maksājuma periods nepārsniedz 120 dienas. Lai arī „Lielais Trijnieks” pēdējā laikā sedz arī darījumus ar ilgāku atlikto maksājumu (līdz 180 dienām), tomēr valstu EKAs ir dominējošais spēlētājs šajā segmentā</w:t>
      </w:r>
      <w:r w:rsidRPr="00E45D07">
        <w:rPr>
          <w:rStyle w:val="FootnoteReference"/>
          <w:rFonts w:ascii="Times New Roman" w:hAnsi="Times New Roman"/>
          <w:sz w:val="26"/>
          <w:szCs w:val="26"/>
        </w:rPr>
        <w:footnoteReference w:id="11"/>
      </w:r>
      <w:r w:rsidRPr="00E45D07">
        <w:rPr>
          <w:rFonts w:ascii="Times New Roman" w:hAnsi="Times New Roman"/>
          <w:sz w:val="26"/>
          <w:szCs w:val="26"/>
        </w:rPr>
        <w:t>, kā arī vairums privāto kredītrisku apdrošinātāju nesedz politiskos riskus</w:t>
      </w:r>
      <w:r w:rsidRPr="00E45D07">
        <w:rPr>
          <w:rStyle w:val="FootnoteReference"/>
          <w:rFonts w:ascii="Times New Roman" w:hAnsi="Times New Roman"/>
          <w:sz w:val="26"/>
          <w:szCs w:val="26"/>
        </w:rPr>
        <w:footnoteReference w:id="12"/>
      </w:r>
      <w:r w:rsidRPr="00E45D07">
        <w:rPr>
          <w:rFonts w:ascii="Times New Roman" w:hAnsi="Times New Roman"/>
          <w:sz w:val="26"/>
          <w:szCs w:val="26"/>
        </w:rPr>
        <w:t>.</w:t>
      </w:r>
    </w:p>
    <w:p w:rsidR="0041110C" w:rsidRPr="00357745" w:rsidRDefault="0041110C" w:rsidP="00E45D07">
      <w:pPr>
        <w:pStyle w:val="Heading1"/>
        <w:spacing w:before="0" w:afterLines="40" w:after="96" w:line="240" w:lineRule="auto"/>
        <w:rPr>
          <w:rFonts w:ascii="Times New Roman" w:hAnsi="Times New Roman"/>
          <w:color w:val="000000"/>
          <w:sz w:val="10"/>
          <w:szCs w:val="10"/>
        </w:rPr>
      </w:pPr>
    </w:p>
    <w:p w:rsidR="0041110C" w:rsidRPr="00E45D07" w:rsidRDefault="0041110C" w:rsidP="00E45D07">
      <w:pPr>
        <w:pStyle w:val="Heading1"/>
        <w:spacing w:before="0" w:afterLines="40" w:after="96" w:line="240" w:lineRule="auto"/>
        <w:rPr>
          <w:rFonts w:ascii="Times New Roman" w:hAnsi="Times New Roman"/>
          <w:color w:val="000000"/>
          <w:sz w:val="26"/>
          <w:szCs w:val="26"/>
        </w:rPr>
      </w:pPr>
      <w:bookmarkStart w:id="7" w:name="_Toc388627033"/>
      <w:r w:rsidRPr="00E45D07">
        <w:rPr>
          <w:rFonts w:ascii="Times New Roman" w:hAnsi="Times New Roman"/>
          <w:color w:val="000000"/>
          <w:sz w:val="26"/>
          <w:szCs w:val="26"/>
        </w:rPr>
        <w:t>2. Vidēja un ilgtermiņa eksporta kredīta garantijas</w:t>
      </w:r>
      <w:bookmarkEnd w:id="7"/>
    </w:p>
    <w:p w:rsidR="0041110C" w:rsidRPr="00E45D07" w:rsidRDefault="0041110C" w:rsidP="00E45D07">
      <w:pPr>
        <w:pStyle w:val="Heading2"/>
        <w:spacing w:before="0" w:afterLines="40" w:after="96" w:line="240" w:lineRule="auto"/>
        <w:rPr>
          <w:rFonts w:ascii="Times New Roman" w:hAnsi="Times New Roman"/>
          <w:color w:val="000000"/>
        </w:rPr>
      </w:pPr>
      <w:bookmarkStart w:id="8" w:name="_Toc388627034"/>
      <w:r w:rsidRPr="00E45D07">
        <w:rPr>
          <w:rFonts w:ascii="Times New Roman" w:hAnsi="Times New Roman"/>
          <w:color w:val="000000"/>
        </w:rPr>
        <w:t>2.1. Instrumenta raksturojums</w:t>
      </w:r>
      <w:bookmarkEnd w:id="8"/>
    </w:p>
    <w:p w:rsidR="0041110C" w:rsidRPr="00E45D07" w:rsidRDefault="0041110C" w:rsidP="00FD671F">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Vidēja termiņa eksporta kredīta apdrošināšana ir tādu darījumu risku segšana vai finansēšana, kuru apmaksas periods ir līdz 5 gadiem, savukārt ilgtermiņa darījumu riska periods ir no 5 līdz 10 gadiem.</w:t>
      </w:r>
      <w:r w:rsidRPr="00E45D07">
        <w:rPr>
          <w:rStyle w:val="FootnoteReference"/>
          <w:rFonts w:ascii="Times New Roman" w:hAnsi="Times New Roman"/>
          <w:color w:val="000000"/>
          <w:sz w:val="26"/>
          <w:szCs w:val="26"/>
        </w:rPr>
        <w:footnoteReference w:id="13"/>
      </w:r>
      <w:r w:rsidRPr="00E45D07">
        <w:rPr>
          <w:rFonts w:ascii="Times New Roman" w:hAnsi="Times New Roman"/>
          <w:color w:val="000000"/>
          <w:sz w:val="26"/>
          <w:szCs w:val="26"/>
        </w:rPr>
        <w:t xml:space="preserve"> Šādi eksporta darījumi tradicionāli ietver kapitāla preču (piemēram, kuģu un lidaparātu būve, kapitālietilpīgas mašīnas un iekārtas) vai celtniecības projektu (telekomunikāciju tīklu izstrāde, ostu attīstība, lielceļu vai citu infrastruktūras celtniecības projektu) eksportu.</w:t>
      </w:r>
    </w:p>
    <w:p w:rsidR="0041110C" w:rsidRPr="00E45D07" w:rsidRDefault="0041110C" w:rsidP="00FD671F">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Vidēja un ilgtermiņa EKG ir viens no galvenajiem valsts eksporta atbalsta pasākumiem starp OECD dalībvalstīm. Šo atbalsta veidu ES līmenī regulē Regula Nr.1233/2011 par vispārēju vadlīniju piemērošanu oficiāli atbalstītu eksporta kredītu jomā</w:t>
      </w:r>
      <w:r w:rsidRPr="00E45D07">
        <w:rPr>
          <w:rStyle w:val="FootnoteReference"/>
          <w:rFonts w:ascii="Times New Roman" w:hAnsi="Times New Roman"/>
          <w:color w:val="000000"/>
          <w:sz w:val="26"/>
          <w:szCs w:val="26"/>
        </w:rPr>
        <w:footnoteReference w:id="14"/>
      </w:r>
      <w:r w:rsidRPr="00E45D07">
        <w:rPr>
          <w:rFonts w:ascii="Times New Roman" w:hAnsi="Times New Roman"/>
          <w:color w:val="000000"/>
          <w:sz w:val="26"/>
          <w:szCs w:val="26"/>
        </w:rPr>
        <w:t>, kas ir pārņemta no OECD Vienošanās</w:t>
      </w:r>
      <w:r w:rsidRPr="00E45D07">
        <w:rPr>
          <w:rStyle w:val="FootnoteReference"/>
          <w:rFonts w:ascii="Times New Roman" w:hAnsi="Times New Roman"/>
          <w:color w:val="000000"/>
          <w:sz w:val="26"/>
          <w:szCs w:val="26"/>
        </w:rPr>
        <w:footnoteReference w:id="15"/>
      </w:r>
      <w:r w:rsidRPr="00E45D07">
        <w:rPr>
          <w:rFonts w:ascii="Times New Roman" w:hAnsi="Times New Roman"/>
          <w:color w:val="000000"/>
          <w:sz w:val="26"/>
          <w:szCs w:val="26"/>
        </w:rPr>
        <w:t>, kura nosaka ietvaru korektai un godīgai valsts atbalstītu vidēja un ilgtermiņa EKG instrumenta piemērošanai.</w:t>
      </w:r>
    </w:p>
    <w:p w:rsidR="0041110C" w:rsidRPr="00E45D07" w:rsidRDefault="0041110C" w:rsidP="00FD671F">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Šis oficiālais eksporta atbalsta mehānisms nav raksturīgs tikai starp lielākajām ES dalībvalstīm un citām industriāli attīstītām valstīm, bet arī jaunajām un attīstības ES ekonomikām, kurām pagaidām ir neliela, tomēr augoša industriālā bāze</w:t>
      </w:r>
      <w:r w:rsidRPr="00E45D07">
        <w:rPr>
          <w:rStyle w:val="FootnoteReference"/>
          <w:rFonts w:ascii="Times New Roman" w:hAnsi="Times New Roman"/>
          <w:color w:val="000000"/>
          <w:sz w:val="26"/>
          <w:szCs w:val="26"/>
        </w:rPr>
        <w:footnoteReference w:id="16"/>
      </w:r>
      <w:r w:rsidRPr="00E45D07">
        <w:rPr>
          <w:rFonts w:ascii="Times New Roman" w:hAnsi="Times New Roman"/>
          <w:color w:val="000000"/>
          <w:sz w:val="26"/>
          <w:szCs w:val="26"/>
        </w:rPr>
        <w:t>. Šobrīd Latvija ir tikai starp dažām ES dalībvalstīm, kuras nepiedāvā vidēja un ilgtermiņa EKG saviem eksportētājiem (skat. Informatīvā ziņojuma 4.1.tabulu).</w:t>
      </w:r>
    </w:p>
    <w:p w:rsidR="0041110C" w:rsidRPr="00E45D07" w:rsidRDefault="0041110C" w:rsidP="00FD671F">
      <w:pPr>
        <w:autoSpaceDE w:val="0"/>
        <w:autoSpaceDN w:val="0"/>
        <w:adjustRightInd w:val="0"/>
        <w:spacing w:afterLines="40" w:after="96" w:line="240" w:lineRule="auto"/>
        <w:ind w:firstLine="567"/>
        <w:jc w:val="both"/>
        <w:rPr>
          <w:rFonts w:ascii="Times New Roman" w:hAnsi="Times New Roman"/>
          <w:bCs/>
          <w:color w:val="000000"/>
          <w:sz w:val="26"/>
          <w:szCs w:val="26"/>
        </w:rPr>
      </w:pPr>
      <w:r w:rsidRPr="00E45D07">
        <w:rPr>
          <w:rFonts w:ascii="Times New Roman" w:hAnsi="Times New Roman"/>
          <w:bCs/>
          <w:color w:val="000000"/>
          <w:sz w:val="26"/>
          <w:szCs w:val="26"/>
        </w:rPr>
        <w:lastRenderedPageBreak/>
        <w:t>Vidēja un ilgtermiņa EKG instruments samazina pircēja nemaksāšanas risku, ļauj pircējiem piedāvāt izdevīgākus apmaksas nosacījumus, veicina eksportu uz jauniem tirgiem un palielina eksportētāju konkurenci ārējos tirgos. Vidēja un ilgtermiņa EKG nodrošina segumu gan darījumu politiskajiem (valsts risku), gan arī komerciālajiem (pircēja maksātspējas) riskiem.</w:t>
      </w:r>
    </w:p>
    <w:p w:rsidR="0041110C" w:rsidRPr="00E45D07" w:rsidRDefault="0041110C" w:rsidP="00FD671F">
      <w:pPr>
        <w:autoSpaceDE w:val="0"/>
        <w:autoSpaceDN w:val="0"/>
        <w:adjustRightInd w:val="0"/>
        <w:spacing w:afterLines="40" w:after="96" w:line="240" w:lineRule="auto"/>
        <w:ind w:firstLine="567"/>
        <w:jc w:val="both"/>
        <w:rPr>
          <w:rFonts w:ascii="Times New Roman" w:hAnsi="Times New Roman"/>
          <w:bCs/>
          <w:color w:val="000000"/>
          <w:sz w:val="26"/>
          <w:szCs w:val="26"/>
        </w:rPr>
      </w:pPr>
      <w:r w:rsidRPr="00E45D07">
        <w:rPr>
          <w:rFonts w:ascii="Times New Roman" w:hAnsi="Times New Roman"/>
          <w:bCs/>
          <w:color w:val="000000"/>
          <w:sz w:val="26"/>
          <w:szCs w:val="26"/>
        </w:rPr>
        <w:t>Pamatā ir divas galvenās vidēja un ilgtermiņa EKG formas – pircēja kredīts un pārdevēja kredīts.</w:t>
      </w:r>
    </w:p>
    <w:p w:rsidR="0041110C" w:rsidRPr="00E45D07" w:rsidRDefault="0041110C" w:rsidP="00376550">
      <w:pPr>
        <w:pStyle w:val="ListParagraph"/>
        <w:numPr>
          <w:ilvl w:val="0"/>
          <w:numId w:val="13"/>
        </w:numPr>
        <w:autoSpaceDE w:val="0"/>
        <w:autoSpaceDN w:val="0"/>
        <w:adjustRightInd w:val="0"/>
        <w:spacing w:afterLines="40" w:after="96"/>
        <w:ind w:left="993" w:hanging="426"/>
        <w:contextualSpacing/>
        <w:jc w:val="both"/>
        <w:rPr>
          <w:rFonts w:ascii="Times New Roman" w:hAnsi="Times New Roman"/>
          <w:b/>
          <w:color w:val="000000"/>
          <w:sz w:val="26"/>
          <w:szCs w:val="26"/>
        </w:rPr>
      </w:pPr>
      <w:r w:rsidRPr="00E45D07">
        <w:rPr>
          <w:rFonts w:ascii="Times New Roman" w:hAnsi="Times New Roman"/>
          <w:b/>
          <w:color w:val="000000"/>
          <w:sz w:val="26"/>
          <w:szCs w:val="26"/>
        </w:rPr>
        <w:t>Pircēja kredīta segums</w:t>
      </w:r>
    </w:p>
    <w:p w:rsidR="0041110C" w:rsidRPr="00E45D07" w:rsidRDefault="0041110C" w:rsidP="00437940">
      <w:pPr>
        <w:autoSpaceDE w:val="0"/>
        <w:autoSpaceDN w:val="0"/>
        <w:adjustRightInd w:val="0"/>
        <w:spacing w:afterLines="40" w:after="96" w:line="240" w:lineRule="auto"/>
        <w:ind w:firstLine="567"/>
        <w:jc w:val="both"/>
        <w:rPr>
          <w:rFonts w:ascii="Times New Roman" w:eastAsia="SimSun" w:hAnsi="Times New Roman"/>
          <w:color w:val="000000"/>
          <w:sz w:val="26"/>
          <w:szCs w:val="26"/>
        </w:rPr>
      </w:pPr>
      <w:r w:rsidRPr="00E45D07">
        <w:rPr>
          <w:rFonts w:ascii="Times New Roman" w:eastAsia="SimSun" w:hAnsi="Times New Roman"/>
          <w:color w:val="000000"/>
          <w:sz w:val="26"/>
          <w:szCs w:val="26"/>
        </w:rPr>
        <w:t>Eksporta pircēja kredīta garantija segums attiecas uz vidēja vai ilgtermiņa kredītu, kuru sniedz ārvalstu vai vietējā banka ārvalstu pircējam, lai finansētu (Latvijas) kapitāla preču importu. Garantija ir paredzēta, lai nosegtu darījumu finansējošās bankas risku un nodrošinātu tūlītēju maksājumu (Latvijas) eksporta uzņēmumam.</w:t>
      </w:r>
    </w:p>
    <w:p w:rsidR="0041110C" w:rsidRPr="00376550" w:rsidRDefault="0041110C" w:rsidP="00376550">
      <w:pPr>
        <w:pStyle w:val="ListParagraph"/>
        <w:numPr>
          <w:ilvl w:val="0"/>
          <w:numId w:val="13"/>
        </w:numPr>
        <w:autoSpaceDE w:val="0"/>
        <w:autoSpaceDN w:val="0"/>
        <w:adjustRightInd w:val="0"/>
        <w:spacing w:afterLines="40" w:after="96"/>
        <w:ind w:left="993" w:hanging="426"/>
        <w:contextualSpacing/>
        <w:jc w:val="both"/>
        <w:rPr>
          <w:rFonts w:ascii="Times New Roman" w:hAnsi="Times New Roman"/>
          <w:b/>
          <w:color w:val="000000"/>
          <w:sz w:val="26"/>
          <w:szCs w:val="26"/>
        </w:rPr>
      </w:pPr>
      <w:r w:rsidRPr="00376550">
        <w:rPr>
          <w:rFonts w:ascii="Times New Roman" w:hAnsi="Times New Roman"/>
          <w:b/>
          <w:color w:val="000000"/>
          <w:sz w:val="26"/>
          <w:szCs w:val="26"/>
        </w:rPr>
        <w:t>Pārdevēja kredīta segums</w:t>
      </w:r>
    </w:p>
    <w:p w:rsidR="0041110C" w:rsidRPr="00E45D07" w:rsidRDefault="0041110C" w:rsidP="00437940">
      <w:pPr>
        <w:autoSpaceDE w:val="0"/>
        <w:autoSpaceDN w:val="0"/>
        <w:adjustRightInd w:val="0"/>
        <w:spacing w:afterLines="40" w:after="96" w:line="240" w:lineRule="auto"/>
        <w:ind w:firstLine="567"/>
        <w:jc w:val="both"/>
        <w:rPr>
          <w:rFonts w:ascii="Times New Roman" w:eastAsia="SimSun" w:hAnsi="Times New Roman"/>
          <w:color w:val="000000"/>
          <w:sz w:val="26"/>
          <w:szCs w:val="26"/>
        </w:rPr>
      </w:pPr>
      <w:r w:rsidRPr="00E45D07">
        <w:rPr>
          <w:rFonts w:ascii="Times New Roman" w:eastAsia="SimSun" w:hAnsi="Times New Roman"/>
          <w:color w:val="000000"/>
          <w:sz w:val="26"/>
          <w:szCs w:val="26"/>
        </w:rPr>
        <w:t xml:space="preserve">Pārdevēja jeb eksportētāja kredīta garantija nosedz eksportētāja risku situācijās, kad nepieciešams nodrošināties pret darījuma komerciālajiem un politiskajiem riskiem, un eksporta darījums tiek finansēts no pašu līdzekļiem. </w:t>
      </w:r>
    </w:p>
    <w:p w:rsidR="0041110C" w:rsidRPr="00357745" w:rsidRDefault="0041110C" w:rsidP="00E45D07">
      <w:pPr>
        <w:spacing w:afterLines="40" w:after="96" w:line="240" w:lineRule="auto"/>
        <w:rPr>
          <w:rFonts w:ascii="Times New Roman" w:hAnsi="Times New Roman"/>
          <w:color w:val="000000"/>
          <w:sz w:val="10"/>
          <w:szCs w:val="10"/>
        </w:rPr>
      </w:pPr>
    </w:p>
    <w:p w:rsidR="0041110C" w:rsidRPr="00E45D07" w:rsidRDefault="0041110C" w:rsidP="00E45D07">
      <w:pPr>
        <w:pStyle w:val="Heading2"/>
        <w:spacing w:before="0" w:afterLines="40" w:after="96" w:line="240" w:lineRule="auto"/>
        <w:rPr>
          <w:rFonts w:ascii="Times New Roman" w:hAnsi="Times New Roman"/>
          <w:color w:val="000000"/>
        </w:rPr>
      </w:pPr>
      <w:bookmarkStart w:id="9" w:name="_Toc388627035"/>
      <w:r w:rsidRPr="00E45D07">
        <w:rPr>
          <w:rFonts w:ascii="Times New Roman" w:hAnsi="Times New Roman"/>
          <w:color w:val="000000"/>
        </w:rPr>
        <w:t>2.2. Pozīcijas/piedāvājums tirgū</w:t>
      </w:r>
      <w:bookmarkEnd w:id="9"/>
      <w:r w:rsidRPr="00E45D07">
        <w:rPr>
          <w:rFonts w:ascii="Times New Roman" w:hAnsi="Times New Roman"/>
          <w:color w:val="000000"/>
        </w:rPr>
        <w:t xml:space="preserve"> </w:t>
      </w:r>
    </w:p>
    <w:p w:rsidR="0041110C" w:rsidRPr="00E45D07" w:rsidRDefault="0041110C" w:rsidP="00437940">
      <w:pPr>
        <w:autoSpaceDE w:val="0"/>
        <w:autoSpaceDN w:val="0"/>
        <w:adjustRightInd w:val="0"/>
        <w:spacing w:afterLines="40" w:after="96" w:line="240" w:lineRule="auto"/>
        <w:ind w:firstLine="567"/>
        <w:jc w:val="both"/>
        <w:rPr>
          <w:rFonts w:ascii="Times New Roman" w:eastAsia="SimSun" w:hAnsi="Times New Roman"/>
          <w:color w:val="000000"/>
          <w:sz w:val="26"/>
          <w:szCs w:val="26"/>
        </w:rPr>
      </w:pPr>
      <w:r w:rsidRPr="00E45D07">
        <w:rPr>
          <w:rFonts w:ascii="Times New Roman" w:eastAsia="SimSun" w:hAnsi="Times New Roman"/>
          <w:color w:val="000000"/>
          <w:sz w:val="26"/>
          <w:szCs w:val="26"/>
        </w:rPr>
        <w:t>Atšķirībā no īstermiņa eksporta kredīta apdrošināšanas, kas tiek uzskatītas par privātā sektora apdrošināšanas biznesu (skat. 1.2.sadaļu), īpaši, tā sauktajā, “tirgus riska” segmentā, vidēja un ilgtermiņa EKG apdrošināšana joprojām pilnībā tiek uzskatīta par “ne-tirgus risku”</w:t>
      </w:r>
      <w:r w:rsidRPr="00E45D07">
        <w:rPr>
          <w:rStyle w:val="FootnoteReference"/>
          <w:rFonts w:ascii="Times New Roman" w:eastAsia="SimSun" w:hAnsi="Times New Roman"/>
          <w:color w:val="000000"/>
          <w:sz w:val="26"/>
          <w:szCs w:val="26"/>
        </w:rPr>
        <w:footnoteReference w:id="17"/>
      </w:r>
      <w:r w:rsidRPr="00E45D07">
        <w:rPr>
          <w:rFonts w:ascii="Times New Roman" w:eastAsia="SimSun" w:hAnsi="Times New Roman"/>
          <w:color w:val="000000"/>
          <w:sz w:val="26"/>
          <w:szCs w:val="26"/>
        </w:rPr>
        <w:t>, līdz ar to tas ir tipisks valsts EKA piedāvātais produkts.</w:t>
      </w:r>
    </w:p>
    <w:p w:rsidR="0041110C" w:rsidRPr="00E45D07" w:rsidRDefault="0041110C" w:rsidP="00437940">
      <w:pPr>
        <w:autoSpaceDE w:val="0"/>
        <w:autoSpaceDN w:val="0"/>
        <w:adjustRightInd w:val="0"/>
        <w:spacing w:afterLines="40" w:after="96" w:line="240" w:lineRule="auto"/>
        <w:ind w:firstLine="567"/>
        <w:jc w:val="both"/>
        <w:rPr>
          <w:rFonts w:ascii="Times New Roman" w:eastAsia="SimSun" w:hAnsi="Times New Roman"/>
          <w:color w:val="000000"/>
          <w:sz w:val="26"/>
          <w:szCs w:val="26"/>
        </w:rPr>
      </w:pPr>
      <w:r w:rsidRPr="00E45D07">
        <w:rPr>
          <w:rFonts w:ascii="Times New Roman" w:eastAsia="SimSun" w:hAnsi="Times New Roman"/>
          <w:color w:val="000000"/>
          <w:sz w:val="26"/>
          <w:szCs w:val="26"/>
        </w:rPr>
        <w:t>Iemesls minētajam tirgu sadalījumam ir apstāklī, ka lielākā daļa infrastruktūras projektu un kapitāla preču eksporta darījumi tiek veikti uz attīstības valstu tirgiem – piemēram, Krieviju, Ķīnu, Indiju</w:t>
      </w:r>
      <w:r w:rsidRPr="00E45D07">
        <w:rPr>
          <w:rStyle w:val="FootnoteReference"/>
          <w:rFonts w:ascii="Times New Roman" w:eastAsia="SimSun" w:hAnsi="Times New Roman"/>
          <w:color w:val="000000"/>
          <w:sz w:val="26"/>
          <w:szCs w:val="26"/>
        </w:rPr>
        <w:footnoteReference w:id="18"/>
      </w:r>
      <w:r w:rsidRPr="00E45D07">
        <w:rPr>
          <w:rFonts w:ascii="Times New Roman" w:eastAsia="SimSun" w:hAnsi="Times New Roman"/>
          <w:color w:val="000000"/>
          <w:sz w:val="26"/>
          <w:szCs w:val="26"/>
        </w:rPr>
        <w:t xml:space="preserve">, kuros apdrošinātāji un līdz ar to arī komercbankas saskata pārāk augstus komerciālos un politiskos riskus. Apzinot vairākus potenciālos Latvijas eksportētājus, kuri varētu izmantot vidēja un ilgtermiņa EKG, eksporta darījumi galvenokārt tiek plānoti ar partneriem no </w:t>
      </w:r>
      <w:r w:rsidRPr="00E45D07">
        <w:rPr>
          <w:rFonts w:ascii="Times New Roman" w:hAnsi="Times New Roman"/>
          <w:color w:val="000000"/>
          <w:sz w:val="26"/>
          <w:szCs w:val="26"/>
        </w:rPr>
        <w:t>Neatkarīgo Valstu Sadraudzības (turpmāk –</w:t>
      </w:r>
      <w:r w:rsidRPr="00E45D07">
        <w:rPr>
          <w:rFonts w:ascii="Times New Roman" w:eastAsia="SimSun" w:hAnsi="Times New Roman"/>
          <w:color w:val="000000"/>
          <w:sz w:val="26"/>
          <w:szCs w:val="26"/>
        </w:rPr>
        <w:t xml:space="preserve"> NVS) dalībvalstīm, kas, ņemot vērā šo valstu specifiku, tiek uzskatīti par paaugstināta riska darījumiem.</w:t>
      </w:r>
    </w:p>
    <w:p w:rsidR="0041110C" w:rsidRPr="00E45D07" w:rsidRDefault="0041110C" w:rsidP="007724E4">
      <w:pPr>
        <w:autoSpaceDE w:val="0"/>
        <w:autoSpaceDN w:val="0"/>
        <w:adjustRightInd w:val="0"/>
        <w:spacing w:afterLines="40" w:after="96" w:line="240" w:lineRule="auto"/>
        <w:ind w:firstLine="567"/>
        <w:jc w:val="both"/>
        <w:rPr>
          <w:rFonts w:ascii="Times New Roman" w:eastAsia="SimSun" w:hAnsi="Times New Roman"/>
          <w:color w:val="000000"/>
          <w:sz w:val="26"/>
          <w:szCs w:val="26"/>
        </w:rPr>
      </w:pPr>
      <w:r w:rsidRPr="00E45D07">
        <w:rPr>
          <w:rFonts w:ascii="Times New Roman" w:eastAsia="SimSun" w:hAnsi="Times New Roman"/>
          <w:color w:val="000000"/>
          <w:sz w:val="26"/>
          <w:szCs w:val="26"/>
        </w:rPr>
        <w:t>Vienlaikus kopš finanšu krīzes sākuma Latvijas komercbankas ir kļuvušas daudz piesardzīgākas, retāk finansējot liela apjoma ilgtermiņa projektus un vadoties pēc daudz konservatīvākas risku vadības un kreditēšanas politikas</w:t>
      </w:r>
      <w:r w:rsidRPr="00E45D07">
        <w:rPr>
          <w:rStyle w:val="FootnoteReference"/>
          <w:rFonts w:ascii="Times New Roman" w:eastAsia="SimSun" w:hAnsi="Times New Roman"/>
          <w:color w:val="000000"/>
          <w:sz w:val="26"/>
          <w:szCs w:val="26"/>
        </w:rPr>
        <w:footnoteReference w:id="19"/>
      </w:r>
      <w:r w:rsidRPr="00E45D07">
        <w:rPr>
          <w:rFonts w:ascii="Times New Roman" w:eastAsia="SimSun" w:hAnsi="Times New Roman"/>
          <w:color w:val="000000"/>
          <w:sz w:val="26"/>
          <w:szCs w:val="26"/>
        </w:rPr>
        <w:t xml:space="preserve">. Tāpat arī </w:t>
      </w:r>
      <w:r w:rsidRPr="00E45D07">
        <w:rPr>
          <w:rFonts w:ascii="Times New Roman" w:eastAsia="SimSun" w:hAnsi="Times New Roman"/>
          <w:color w:val="000000"/>
          <w:sz w:val="26"/>
          <w:szCs w:val="26"/>
        </w:rPr>
        <w:lastRenderedPageBreak/>
        <w:t>komercbankas, iesaistoties vidēja un ilgtermiņa eksporta darījumu finansēšanā, bieži vien ir gatavas finansēt tikai daļu no pircēja kredīta. Papildus ir jāņem vērā tas, ka šāds instruments ir jauns Latvijas finanšu instrumentu tirgū, līdz ar to komercbankām ir salīdzinoši maza pieredze vidēja un ilgtermiņa eksporta darījumu finansēšanā, kā rezultātā komercbankas var būt īpaši piesardzīgas.</w:t>
      </w:r>
    </w:p>
    <w:p w:rsidR="0041110C" w:rsidRPr="00357745" w:rsidRDefault="0041110C" w:rsidP="00E45D07">
      <w:pPr>
        <w:pStyle w:val="Heading2"/>
        <w:spacing w:before="0" w:afterLines="40" w:after="96" w:line="240" w:lineRule="auto"/>
        <w:rPr>
          <w:rFonts w:ascii="Times New Roman" w:eastAsia="SimSun" w:hAnsi="Times New Roman"/>
          <w:color w:val="000000"/>
          <w:sz w:val="10"/>
          <w:szCs w:val="10"/>
        </w:rPr>
      </w:pPr>
    </w:p>
    <w:p w:rsidR="0041110C" w:rsidRPr="00E45D07" w:rsidRDefault="0041110C" w:rsidP="00E45D07">
      <w:pPr>
        <w:pStyle w:val="Heading2"/>
        <w:spacing w:before="0" w:afterLines="40" w:after="96" w:line="240" w:lineRule="auto"/>
        <w:rPr>
          <w:rFonts w:ascii="Times New Roman" w:hAnsi="Times New Roman"/>
          <w:color w:val="000000"/>
        </w:rPr>
      </w:pPr>
      <w:bookmarkStart w:id="10" w:name="_Toc388627036"/>
      <w:r w:rsidRPr="00E45D07">
        <w:rPr>
          <w:rFonts w:ascii="Times New Roman" w:hAnsi="Times New Roman"/>
          <w:color w:val="000000"/>
        </w:rPr>
        <w:t>2.3. Mērķa nozares</w:t>
      </w:r>
      <w:bookmarkEnd w:id="10"/>
    </w:p>
    <w:p w:rsidR="007724E4" w:rsidRDefault="0041110C" w:rsidP="007724E4">
      <w:pPr>
        <w:autoSpaceDE w:val="0"/>
        <w:autoSpaceDN w:val="0"/>
        <w:adjustRightInd w:val="0"/>
        <w:spacing w:afterLines="40" w:after="96" w:line="240" w:lineRule="auto"/>
        <w:ind w:firstLine="567"/>
        <w:jc w:val="both"/>
        <w:rPr>
          <w:rFonts w:ascii="Times New Roman" w:eastAsia="SimSun" w:hAnsi="Times New Roman"/>
          <w:color w:val="000000"/>
          <w:sz w:val="26"/>
          <w:szCs w:val="26"/>
        </w:rPr>
      </w:pPr>
      <w:r w:rsidRPr="00E45D07">
        <w:rPr>
          <w:rFonts w:ascii="Times New Roman" w:eastAsia="SimSun" w:hAnsi="Times New Roman"/>
          <w:color w:val="000000"/>
          <w:sz w:val="26"/>
          <w:szCs w:val="26"/>
        </w:rPr>
        <w:t>Latvija kā ES dalībvalsts kļūst arvien vairāk integrēta ES vienotajā tirgū un investīciju tīklā – vairāki Latvijas uzņēmumi darbojas kā viens no posmiem globālajā piegāžu tīklā; īpaši tādās nozarēs kā mašīnbūve un metālapstrāde, kas būtu uzskatāmas par vidēja un ilgtermiņa EKG mērķa grupu, kas arī šobrīd demonstrē pakāpenisku eksporta apjomu pieaugumu pēc-krīzes periodā.</w:t>
      </w:r>
    </w:p>
    <w:p w:rsidR="007724E4" w:rsidRPr="007724E4" w:rsidRDefault="007724E4" w:rsidP="007724E4">
      <w:pPr>
        <w:autoSpaceDE w:val="0"/>
        <w:autoSpaceDN w:val="0"/>
        <w:adjustRightInd w:val="0"/>
        <w:spacing w:afterLines="40" w:after="96" w:line="240" w:lineRule="auto"/>
        <w:ind w:firstLine="567"/>
        <w:jc w:val="right"/>
        <w:rPr>
          <w:rFonts w:ascii="Times New Roman" w:eastAsia="SimSun" w:hAnsi="Times New Roman"/>
          <w:color w:val="000000"/>
          <w:sz w:val="26"/>
          <w:szCs w:val="26"/>
        </w:rPr>
      </w:pPr>
      <w:r w:rsidRPr="007724E4">
        <w:rPr>
          <w:rFonts w:ascii="Times New Roman" w:eastAsia="SimSun" w:hAnsi="Times New Roman"/>
          <w:color w:val="000000"/>
          <w:sz w:val="26"/>
          <w:szCs w:val="26"/>
        </w:rPr>
        <w:t>2.1.attēls</w:t>
      </w:r>
    </w:p>
    <w:p w:rsidR="0041110C" w:rsidRPr="00E45D07" w:rsidRDefault="0041110C" w:rsidP="00E45D07">
      <w:pPr>
        <w:keepNext/>
        <w:autoSpaceDE w:val="0"/>
        <w:autoSpaceDN w:val="0"/>
        <w:adjustRightInd w:val="0"/>
        <w:spacing w:afterLines="40" w:after="96" w:line="240" w:lineRule="auto"/>
        <w:jc w:val="center"/>
        <w:rPr>
          <w:rFonts w:ascii="Times New Roman" w:eastAsia="SimSun" w:hAnsi="Times New Roman"/>
          <w:b/>
          <w:color w:val="000000"/>
          <w:sz w:val="26"/>
          <w:szCs w:val="26"/>
        </w:rPr>
      </w:pPr>
      <w:r w:rsidRPr="00E45D07">
        <w:rPr>
          <w:rFonts w:ascii="Times New Roman" w:eastAsia="SimSun" w:hAnsi="Times New Roman"/>
          <w:b/>
          <w:color w:val="000000"/>
          <w:sz w:val="26"/>
          <w:szCs w:val="26"/>
        </w:rPr>
        <w:t>Eksporta pieaugums mašīnbūves un metālapstrādes nozarē</w:t>
      </w:r>
      <w:r w:rsidRPr="00E45D07">
        <w:rPr>
          <w:rStyle w:val="FootnoteReference"/>
          <w:rFonts w:ascii="Times New Roman" w:eastAsia="SimSun" w:hAnsi="Times New Roman"/>
          <w:color w:val="000000"/>
          <w:sz w:val="26"/>
          <w:szCs w:val="26"/>
        </w:rPr>
        <w:footnoteReference w:id="20"/>
      </w:r>
    </w:p>
    <w:p w:rsidR="0041110C" w:rsidRPr="00E45D07" w:rsidRDefault="0041110C" w:rsidP="00E45D07">
      <w:pPr>
        <w:autoSpaceDE w:val="0"/>
        <w:autoSpaceDN w:val="0"/>
        <w:adjustRightInd w:val="0"/>
        <w:spacing w:afterLines="40" w:after="96" w:line="240" w:lineRule="auto"/>
        <w:jc w:val="center"/>
        <w:rPr>
          <w:rFonts w:ascii="Times New Roman" w:hAnsi="Times New Roman"/>
          <w:b/>
          <w:color w:val="000000"/>
          <w:sz w:val="26"/>
          <w:szCs w:val="26"/>
        </w:rPr>
      </w:pPr>
      <w:r w:rsidRPr="00E45D07">
        <w:rPr>
          <w:rFonts w:ascii="Times New Roman" w:hAnsi="Times New Roman"/>
          <w:noProof/>
          <w:color w:val="000000"/>
          <w:sz w:val="26"/>
          <w:szCs w:val="26"/>
          <w:lang w:eastAsia="lv-LV"/>
        </w:rPr>
        <w:drawing>
          <wp:inline distT="0" distB="0" distL="0" distR="0" wp14:anchorId="55EB84C6" wp14:editId="47519245">
            <wp:extent cx="4739009" cy="3311479"/>
            <wp:effectExtent l="0" t="0" r="0" b="0"/>
            <wp:docPr id="21" name="Picture 1" descr="LAT-nozaresapj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nozaresapjo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6210" cy="3309523"/>
                    </a:xfrm>
                    <a:prstGeom prst="rect">
                      <a:avLst/>
                    </a:prstGeom>
                    <a:noFill/>
                    <a:ln>
                      <a:noFill/>
                    </a:ln>
                  </pic:spPr>
                </pic:pic>
              </a:graphicData>
            </a:graphic>
          </wp:inline>
        </w:drawing>
      </w:r>
    </w:p>
    <w:p w:rsidR="0041110C" w:rsidRPr="00E45D07" w:rsidRDefault="0041110C" w:rsidP="00C33E99">
      <w:pPr>
        <w:autoSpaceDE w:val="0"/>
        <w:autoSpaceDN w:val="0"/>
        <w:adjustRightInd w:val="0"/>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Ņemot vērā to, ka (i) globālā ekonomika kopš ekonomiskās un finanšu krīzes pakāpeniski atveseļojas, kā rezultātā starptautiskajos tirgos pieaug infrastruktūras projektu skaits un pieprasījums pēc kapitālietilpīgām precēm un (ii) Latvijas ekonomiskās attīstības tempus un tendences – mašīnbūves un metālapstrādes nozares uzņēmumu preču un pakalpojumu eksporta īpatsvara pieaugumu īpaši 2010. - 2011.gadā – vidēja un ilgtermiņa EKG instrumenta savlaicīga ieviešana sniegtu iespējas uzlabot Latvijas eksportējošo uzņēmumu pozīcijas ārējā tirgū. Attiecīgi tas uzlabotu Latvijas ārējo maksājumu bilanci, palielinot nodokļu ieņēmumus, un veicinātu jaunu darba vietu radīšanu.</w:t>
      </w:r>
    </w:p>
    <w:p w:rsidR="0041110C" w:rsidRPr="00357745" w:rsidRDefault="0041110C" w:rsidP="00E45D07">
      <w:pPr>
        <w:autoSpaceDE w:val="0"/>
        <w:autoSpaceDN w:val="0"/>
        <w:adjustRightInd w:val="0"/>
        <w:spacing w:afterLines="40" w:after="96" w:line="240" w:lineRule="auto"/>
        <w:jc w:val="both"/>
        <w:rPr>
          <w:rFonts w:ascii="Times New Roman" w:hAnsi="Times New Roman"/>
          <w:color w:val="000000"/>
          <w:sz w:val="10"/>
          <w:szCs w:val="10"/>
        </w:rPr>
      </w:pPr>
    </w:p>
    <w:p w:rsidR="0041110C" w:rsidRPr="00E45D07" w:rsidRDefault="0041110C" w:rsidP="00E45D07">
      <w:pPr>
        <w:pStyle w:val="Heading2"/>
        <w:spacing w:before="0" w:afterLines="40" w:after="96" w:line="240" w:lineRule="auto"/>
        <w:rPr>
          <w:rFonts w:ascii="Times New Roman" w:hAnsi="Times New Roman"/>
          <w:color w:val="000000"/>
        </w:rPr>
      </w:pPr>
      <w:bookmarkStart w:id="11" w:name="_Toc388627037"/>
      <w:r w:rsidRPr="00E45D07">
        <w:rPr>
          <w:rFonts w:ascii="Times New Roman" w:hAnsi="Times New Roman"/>
          <w:color w:val="000000"/>
        </w:rPr>
        <w:t>2.4. Ietekme uz eksporta pieaugumu</w:t>
      </w:r>
      <w:bookmarkEnd w:id="11"/>
    </w:p>
    <w:p w:rsidR="0041110C" w:rsidRPr="00E45D07" w:rsidRDefault="0041110C" w:rsidP="00C33E99">
      <w:pPr>
        <w:autoSpaceDE w:val="0"/>
        <w:autoSpaceDN w:val="0"/>
        <w:adjustRightInd w:val="0"/>
        <w:spacing w:afterLines="40" w:after="96" w:line="240" w:lineRule="auto"/>
        <w:ind w:firstLine="567"/>
        <w:jc w:val="both"/>
        <w:rPr>
          <w:rFonts w:ascii="Times New Roman" w:hAnsi="Times New Roman"/>
          <w:bCs/>
          <w:color w:val="000000"/>
          <w:sz w:val="26"/>
          <w:szCs w:val="26"/>
        </w:rPr>
      </w:pPr>
      <w:r w:rsidRPr="00E45D07">
        <w:rPr>
          <w:rFonts w:ascii="Times New Roman" w:hAnsi="Times New Roman"/>
          <w:bCs/>
          <w:color w:val="000000"/>
          <w:sz w:val="26"/>
          <w:szCs w:val="26"/>
        </w:rPr>
        <w:t>Vidēja un ilgtermiņa EKG ieviešanas definētais mērķis ir palielināt eksporta apjomus, samazinot starptautiskās tirdzniecības riskus, un nodrošināt Latvijas eksportētājiem pieeju apgrozāmo līdzekļu finansējumam.</w:t>
      </w:r>
    </w:p>
    <w:p w:rsidR="0041110C" w:rsidRPr="00E45D07" w:rsidRDefault="0041110C" w:rsidP="00C33E99">
      <w:pPr>
        <w:autoSpaceDE w:val="0"/>
        <w:autoSpaceDN w:val="0"/>
        <w:adjustRightInd w:val="0"/>
        <w:spacing w:afterLines="40" w:after="96" w:line="240" w:lineRule="auto"/>
        <w:ind w:firstLine="567"/>
        <w:jc w:val="both"/>
        <w:rPr>
          <w:rFonts w:ascii="Times New Roman" w:hAnsi="Times New Roman"/>
          <w:bCs/>
          <w:color w:val="000000"/>
          <w:sz w:val="26"/>
          <w:szCs w:val="26"/>
        </w:rPr>
      </w:pPr>
      <w:r w:rsidRPr="00E45D07">
        <w:rPr>
          <w:rFonts w:ascii="Times New Roman" w:hAnsi="Times New Roman"/>
          <w:color w:val="000000"/>
          <w:sz w:val="26"/>
          <w:szCs w:val="26"/>
        </w:rPr>
        <w:t xml:space="preserve">Novērtēt vidēja un ilgtermiņa EKG ietekmi uz eksporta pieaugumu var divējādi: </w:t>
      </w:r>
    </w:p>
    <w:p w:rsidR="0041110C" w:rsidRPr="00E45D07" w:rsidRDefault="0041110C" w:rsidP="00C33E99">
      <w:pPr>
        <w:pStyle w:val="ListParagraph"/>
        <w:numPr>
          <w:ilvl w:val="0"/>
          <w:numId w:val="23"/>
        </w:numPr>
        <w:spacing w:afterLines="40" w:after="96"/>
        <w:ind w:left="1134" w:hanging="425"/>
        <w:jc w:val="both"/>
        <w:rPr>
          <w:rFonts w:ascii="Times New Roman" w:hAnsi="Times New Roman"/>
          <w:color w:val="000000"/>
          <w:sz w:val="26"/>
          <w:szCs w:val="26"/>
        </w:rPr>
      </w:pPr>
      <w:r w:rsidRPr="00E45D07">
        <w:rPr>
          <w:rFonts w:ascii="Times New Roman" w:hAnsi="Times New Roman"/>
          <w:color w:val="000000"/>
          <w:sz w:val="26"/>
          <w:szCs w:val="26"/>
        </w:rPr>
        <w:t>tieša ietekme uz eksporta apjomu (situācijās, kad garantija ir kā priekšnosacījums, lai eksporta darījums notiktu);</w:t>
      </w:r>
    </w:p>
    <w:p w:rsidR="0041110C" w:rsidRPr="00E45D07" w:rsidRDefault="0041110C" w:rsidP="00C33E99">
      <w:pPr>
        <w:pStyle w:val="ListParagraph"/>
        <w:numPr>
          <w:ilvl w:val="0"/>
          <w:numId w:val="23"/>
        </w:numPr>
        <w:spacing w:afterLines="40" w:after="96"/>
        <w:ind w:left="1134" w:hanging="425"/>
        <w:jc w:val="both"/>
        <w:rPr>
          <w:rFonts w:ascii="Times New Roman" w:hAnsi="Times New Roman"/>
          <w:color w:val="000000"/>
          <w:sz w:val="26"/>
          <w:szCs w:val="26"/>
        </w:rPr>
      </w:pPr>
      <w:r w:rsidRPr="00E45D07">
        <w:rPr>
          <w:rFonts w:ascii="Times New Roman" w:hAnsi="Times New Roman"/>
          <w:color w:val="000000"/>
          <w:sz w:val="26"/>
          <w:szCs w:val="26"/>
        </w:rPr>
        <w:t>netieša ietekme (eksporta apjomu saglabāšana situācijās, kad ekonomiskās attīstības tempi samazinās).</w:t>
      </w:r>
    </w:p>
    <w:p w:rsidR="0041110C" w:rsidRPr="00357745" w:rsidRDefault="0041110C" w:rsidP="00E45D07">
      <w:pPr>
        <w:pStyle w:val="Heading3"/>
        <w:spacing w:before="0" w:beforeAutospacing="0" w:afterLines="40" w:after="96" w:afterAutospacing="0"/>
        <w:rPr>
          <w:color w:val="000000"/>
          <w:sz w:val="10"/>
          <w:szCs w:val="10"/>
        </w:rPr>
      </w:pPr>
    </w:p>
    <w:p w:rsidR="0041110C" w:rsidRPr="00E45D07" w:rsidRDefault="0041110C" w:rsidP="00E45D07">
      <w:pPr>
        <w:pStyle w:val="Heading3"/>
        <w:spacing w:before="0" w:beforeAutospacing="0" w:afterLines="40" w:after="96" w:afterAutospacing="0"/>
        <w:rPr>
          <w:color w:val="000000"/>
          <w:sz w:val="26"/>
          <w:szCs w:val="26"/>
        </w:rPr>
      </w:pPr>
      <w:bookmarkStart w:id="12" w:name="_Toc388627038"/>
      <w:r w:rsidRPr="00E45D07">
        <w:rPr>
          <w:color w:val="000000"/>
          <w:sz w:val="26"/>
          <w:szCs w:val="26"/>
        </w:rPr>
        <w:t>2.4.1. Tieša ietekme uz eksportējamajiem daudzumiem</w:t>
      </w:r>
      <w:bookmarkEnd w:id="12"/>
    </w:p>
    <w:p w:rsidR="0041110C" w:rsidRDefault="0041110C" w:rsidP="00B1433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Lai novērtētu tiešo eksporta kredīta garantiju ietekmi uz eksporta darījumiem, LGA veica vadošo eksportētāju anketēšanu (anketas skatīt pielikumā). Aptaujāti tika pieci uzņēmumi – SIA “L-Ekspresis”, AS “VRC Zasulauks”, AS “Komforts”, AS “SAF Tehnika” un AS “RVR” –, kuru ražotās preces var tikt klasificētas kā kapitālietilpīgas preces un darījumu struktūru ar pircēj</w:t>
      </w:r>
      <w:r w:rsidR="00B14334">
        <w:rPr>
          <w:rFonts w:ascii="Times New Roman" w:hAnsi="Times New Roman"/>
          <w:color w:val="000000"/>
          <w:sz w:val="26"/>
          <w:szCs w:val="26"/>
        </w:rPr>
        <w:t>iem veido ilgi kredīta periodi.</w:t>
      </w:r>
    </w:p>
    <w:p w:rsidR="003C0722" w:rsidRPr="00E45D07" w:rsidRDefault="003C0722" w:rsidP="003C0722">
      <w:pPr>
        <w:spacing w:afterLines="40" w:after="96" w:line="240" w:lineRule="auto"/>
        <w:jc w:val="right"/>
        <w:rPr>
          <w:rFonts w:ascii="Times New Roman" w:hAnsi="Times New Roman"/>
          <w:color w:val="000000"/>
          <w:sz w:val="26"/>
          <w:szCs w:val="26"/>
        </w:rPr>
      </w:pPr>
      <w:r>
        <w:rPr>
          <w:rFonts w:ascii="Times New Roman" w:hAnsi="Times New Roman"/>
          <w:color w:val="000000"/>
          <w:sz w:val="26"/>
          <w:szCs w:val="26"/>
        </w:rPr>
        <w:t>2.1.tabula</w:t>
      </w:r>
    </w:p>
    <w:p w:rsidR="0041110C" w:rsidRPr="00E45D07" w:rsidRDefault="0041110C" w:rsidP="00E45D07">
      <w:p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Atbildes uz anketā sniegtajiem jautājumiem par eksportējošo uzņēmumu iespējamo darījumu profilu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1891"/>
        <w:gridCol w:w="1936"/>
        <w:gridCol w:w="1666"/>
      </w:tblGrid>
      <w:tr w:rsidR="0041110C" w:rsidRPr="00E45D07" w:rsidTr="00357745">
        <w:trPr>
          <w:trHeight w:val="20"/>
        </w:trPr>
        <w:tc>
          <w:tcPr>
            <w:tcW w:w="1668" w:type="dxa"/>
            <w:shd w:val="clear" w:color="auto" w:fill="BFBFBF"/>
            <w:vAlign w:val="center"/>
          </w:tcPr>
          <w:p w:rsidR="0041110C" w:rsidRPr="00E45D07" w:rsidRDefault="0041110C" w:rsidP="00E45D07">
            <w:p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Eksportētājs</w:t>
            </w:r>
          </w:p>
        </w:tc>
        <w:tc>
          <w:tcPr>
            <w:tcW w:w="2126" w:type="dxa"/>
            <w:shd w:val="clear" w:color="auto" w:fill="BFBFBF"/>
            <w:vAlign w:val="center"/>
          </w:tcPr>
          <w:p w:rsidR="0041110C" w:rsidRPr="00E45D07" w:rsidRDefault="0041110C" w:rsidP="00E45D07">
            <w:p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Pircējs</w:t>
            </w:r>
          </w:p>
        </w:tc>
        <w:tc>
          <w:tcPr>
            <w:tcW w:w="1891" w:type="dxa"/>
            <w:shd w:val="clear" w:color="auto" w:fill="BFBFBF"/>
            <w:vAlign w:val="center"/>
          </w:tcPr>
          <w:p w:rsidR="0041110C" w:rsidRPr="00E45D07" w:rsidRDefault="0041110C" w:rsidP="00E45D07">
            <w:p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Pircēja valsts</w:t>
            </w:r>
          </w:p>
        </w:tc>
        <w:tc>
          <w:tcPr>
            <w:tcW w:w="1936" w:type="dxa"/>
            <w:shd w:val="clear" w:color="auto" w:fill="BFBFBF"/>
            <w:vAlign w:val="center"/>
          </w:tcPr>
          <w:p w:rsidR="0041110C" w:rsidRPr="00E45D07" w:rsidRDefault="0041110C" w:rsidP="00E45D07">
            <w:p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Darījums</w:t>
            </w:r>
          </w:p>
        </w:tc>
        <w:tc>
          <w:tcPr>
            <w:tcW w:w="1666" w:type="dxa"/>
            <w:shd w:val="clear" w:color="auto" w:fill="BFBFBF"/>
            <w:vAlign w:val="center"/>
          </w:tcPr>
          <w:p w:rsidR="0041110C" w:rsidRPr="00E45D07" w:rsidRDefault="00357745" w:rsidP="00E45D07">
            <w:pPr>
              <w:spacing w:afterLines="40" w:after="96"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Darījuma </w:t>
            </w:r>
            <w:r w:rsidR="0041110C" w:rsidRPr="00E45D07">
              <w:rPr>
                <w:rFonts w:ascii="Times New Roman" w:hAnsi="Times New Roman"/>
                <w:b/>
                <w:color w:val="000000"/>
                <w:sz w:val="26"/>
                <w:szCs w:val="26"/>
              </w:rPr>
              <w:t xml:space="preserve"> summa</w:t>
            </w:r>
          </w:p>
        </w:tc>
      </w:tr>
      <w:tr w:rsidR="0041110C" w:rsidRPr="00E45D07" w:rsidTr="00357745">
        <w:trPr>
          <w:trHeight w:val="20"/>
        </w:trPr>
        <w:tc>
          <w:tcPr>
            <w:tcW w:w="1668" w:type="dxa"/>
            <w:vAlign w:val="center"/>
          </w:tcPr>
          <w:p w:rsidR="0041110C" w:rsidRPr="00E45D07" w:rsidRDefault="0041110C" w:rsidP="00E45D07">
            <w:pPr>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L-Ekspresis</w:t>
            </w:r>
          </w:p>
        </w:tc>
        <w:tc>
          <w:tcPr>
            <w:tcW w:w="212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Privātie dzelzceļa operatori</w:t>
            </w:r>
          </w:p>
        </w:tc>
        <w:tc>
          <w:tcPr>
            <w:tcW w:w="1891"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Krievija, Kazahstāna</w:t>
            </w:r>
          </w:p>
        </w:tc>
        <w:tc>
          <w:tcPr>
            <w:tcW w:w="193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Vagonu modernizēšana</w:t>
            </w:r>
          </w:p>
        </w:tc>
        <w:tc>
          <w:tcPr>
            <w:tcW w:w="166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~20 milj. USD</w:t>
            </w:r>
          </w:p>
        </w:tc>
      </w:tr>
      <w:tr w:rsidR="0041110C" w:rsidRPr="00E45D07" w:rsidTr="00357745">
        <w:trPr>
          <w:trHeight w:val="20"/>
        </w:trPr>
        <w:tc>
          <w:tcPr>
            <w:tcW w:w="1668" w:type="dxa"/>
            <w:vAlign w:val="center"/>
          </w:tcPr>
          <w:p w:rsidR="0041110C" w:rsidRPr="00E45D07" w:rsidRDefault="0041110C" w:rsidP="00E45D07">
            <w:pPr>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VRC Zasulauks</w:t>
            </w:r>
          </w:p>
        </w:tc>
        <w:tc>
          <w:tcPr>
            <w:tcW w:w="212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Azerbaidžānas dzelzceļš</w:t>
            </w:r>
          </w:p>
        </w:tc>
        <w:tc>
          <w:tcPr>
            <w:tcW w:w="1891"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Azerbaidžāna</w:t>
            </w:r>
          </w:p>
        </w:tc>
        <w:tc>
          <w:tcPr>
            <w:tcW w:w="193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Vagonu modernizēšana</w:t>
            </w:r>
          </w:p>
        </w:tc>
        <w:tc>
          <w:tcPr>
            <w:tcW w:w="166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~10 milj. EUR</w:t>
            </w:r>
          </w:p>
        </w:tc>
      </w:tr>
      <w:tr w:rsidR="0041110C" w:rsidRPr="00E45D07" w:rsidTr="00357745">
        <w:trPr>
          <w:trHeight w:val="20"/>
        </w:trPr>
        <w:tc>
          <w:tcPr>
            <w:tcW w:w="1668" w:type="dxa"/>
            <w:vAlign w:val="center"/>
          </w:tcPr>
          <w:p w:rsidR="0041110C" w:rsidRPr="00E45D07" w:rsidRDefault="0041110C" w:rsidP="00E45D07">
            <w:pPr>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Komforts</w:t>
            </w:r>
          </w:p>
        </w:tc>
        <w:tc>
          <w:tcPr>
            <w:tcW w:w="212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Siltumapgādes uzņēmumi</w:t>
            </w:r>
          </w:p>
        </w:tc>
        <w:tc>
          <w:tcPr>
            <w:tcW w:w="1891"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Krievija, Ukraina, Baltkrievija</w:t>
            </w:r>
          </w:p>
        </w:tc>
        <w:tc>
          <w:tcPr>
            <w:tcW w:w="193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Apkures katlu ražošana un uzstādīšana</w:t>
            </w:r>
          </w:p>
        </w:tc>
        <w:tc>
          <w:tcPr>
            <w:tcW w:w="166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1-3 milj. EUR</w:t>
            </w:r>
          </w:p>
        </w:tc>
      </w:tr>
      <w:tr w:rsidR="0041110C" w:rsidRPr="00E45D07" w:rsidTr="00357745">
        <w:trPr>
          <w:trHeight w:val="20"/>
        </w:trPr>
        <w:tc>
          <w:tcPr>
            <w:tcW w:w="1668" w:type="dxa"/>
            <w:vAlign w:val="center"/>
          </w:tcPr>
          <w:p w:rsidR="0041110C" w:rsidRPr="00E45D07" w:rsidRDefault="0041110C" w:rsidP="00E45D07">
            <w:pPr>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SAF Tehnika</w:t>
            </w:r>
          </w:p>
        </w:tc>
        <w:tc>
          <w:tcPr>
            <w:tcW w:w="212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Telekomunikāciju uzņēmumi</w:t>
            </w:r>
          </w:p>
        </w:tc>
        <w:tc>
          <w:tcPr>
            <w:tcW w:w="1891"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 xml:space="preserve">Āfrikas </w:t>
            </w:r>
            <w:r w:rsidR="00357745">
              <w:rPr>
                <w:rFonts w:ascii="Times New Roman" w:hAnsi="Times New Roman"/>
                <w:color w:val="000000"/>
                <w:sz w:val="26"/>
                <w:szCs w:val="26"/>
              </w:rPr>
              <w:t xml:space="preserve">valstis, Ziemeļamerika, </w:t>
            </w:r>
            <w:r w:rsidRPr="00E45D07">
              <w:rPr>
                <w:rFonts w:ascii="Times New Roman" w:hAnsi="Times New Roman"/>
                <w:color w:val="000000"/>
                <w:sz w:val="26"/>
                <w:szCs w:val="26"/>
              </w:rPr>
              <w:t>Dienvidamerika</w:t>
            </w:r>
          </w:p>
        </w:tc>
        <w:tc>
          <w:tcPr>
            <w:tcW w:w="193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Bezvadu datu pārraides iekārtu izstrāde</w:t>
            </w:r>
          </w:p>
        </w:tc>
        <w:tc>
          <w:tcPr>
            <w:tcW w:w="166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~5 milj. EUR (gadā)</w:t>
            </w:r>
          </w:p>
        </w:tc>
      </w:tr>
      <w:tr w:rsidR="0041110C" w:rsidRPr="00E45D07" w:rsidTr="00357745">
        <w:trPr>
          <w:trHeight w:val="20"/>
        </w:trPr>
        <w:tc>
          <w:tcPr>
            <w:tcW w:w="1668" w:type="dxa"/>
            <w:vAlign w:val="center"/>
          </w:tcPr>
          <w:p w:rsidR="0041110C" w:rsidRPr="00E45D07" w:rsidRDefault="0041110C" w:rsidP="00E45D07">
            <w:pPr>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RVR</w:t>
            </w:r>
          </w:p>
        </w:tc>
        <w:tc>
          <w:tcPr>
            <w:tcW w:w="212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Valsts un privāti uzņēmumi</w:t>
            </w:r>
          </w:p>
        </w:tc>
        <w:tc>
          <w:tcPr>
            <w:tcW w:w="1891"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NVS, Kaukāza republikas, plānots ES un 3.valstis</w:t>
            </w:r>
          </w:p>
        </w:tc>
        <w:tc>
          <w:tcPr>
            <w:tcW w:w="193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Dzelzceļu ritošā sastāva modernizācija un būvēšana</w:t>
            </w:r>
          </w:p>
        </w:tc>
        <w:tc>
          <w:tcPr>
            <w:tcW w:w="1666" w:type="dxa"/>
            <w:vAlign w:val="center"/>
          </w:tcPr>
          <w:p w:rsidR="0041110C" w:rsidRPr="00E45D07" w:rsidRDefault="0041110C" w:rsidP="00E45D07">
            <w:pPr>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6 līdz 30 milj. EUR</w:t>
            </w:r>
          </w:p>
        </w:tc>
      </w:tr>
    </w:tbl>
    <w:p w:rsidR="0041110C" w:rsidRPr="00E45D07" w:rsidRDefault="00DD29A4" w:rsidP="00DD29A4">
      <w:pPr>
        <w:spacing w:afterLines="40" w:after="96" w:line="240" w:lineRule="auto"/>
        <w:ind w:firstLine="567"/>
        <w:jc w:val="both"/>
        <w:rPr>
          <w:rFonts w:ascii="Times New Roman" w:hAnsi="Times New Roman"/>
          <w:color w:val="000000"/>
          <w:sz w:val="26"/>
          <w:szCs w:val="26"/>
        </w:rPr>
      </w:pPr>
      <w:r>
        <w:rPr>
          <w:rFonts w:ascii="Times New Roman" w:hAnsi="Times New Roman"/>
          <w:color w:val="000000"/>
          <w:sz w:val="26"/>
          <w:szCs w:val="26"/>
        </w:rPr>
        <w:t>2.1.t</w:t>
      </w:r>
      <w:r w:rsidR="0041110C" w:rsidRPr="00E45D07">
        <w:rPr>
          <w:rFonts w:ascii="Times New Roman" w:hAnsi="Times New Roman"/>
          <w:color w:val="000000"/>
          <w:sz w:val="26"/>
          <w:szCs w:val="26"/>
        </w:rPr>
        <w:t>abulā ir redzams, ka eksporta darījumi, kurus veicinātu vidēja un ilgtermiņa EKG instrumenta ieviešana galvenokārt ir darījumi ar partneriem no trešo valstu tirgiem (NVS valstis, Āfrika, Dienvidamerika). Eksportētāju uzrādītās kopējās darījumu summas svārstās diapazonā no 1 līdz 30 miljoniem EUR.</w:t>
      </w:r>
    </w:p>
    <w:p w:rsidR="0041110C" w:rsidRPr="00E45D07" w:rsidRDefault="0041110C" w:rsidP="00DD29A4">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lastRenderedPageBreak/>
        <w:t>Lai arī vidēja un ilgtermiņa EKG negarantē minēto darījumu norisi, šo garantiju pieejamība ievērojami palielinātu eksporta uzņēmumu konkurētspēju ārējā tirgū, attiecīgi darījumu norises iespējas.</w:t>
      </w:r>
    </w:p>
    <w:p w:rsidR="0041110C" w:rsidRPr="00357745" w:rsidRDefault="0041110C" w:rsidP="00E45D07">
      <w:pPr>
        <w:pStyle w:val="Heading3"/>
        <w:spacing w:before="0" w:beforeAutospacing="0" w:afterLines="40" w:after="96" w:afterAutospacing="0"/>
        <w:rPr>
          <w:sz w:val="10"/>
          <w:szCs w:val="10"/>
        </w:rPr>
      </w:pPr>
    </w:p>
    <w:p w:rsidR="0041110C" w:rsidRPr="00E45D07" w:rsidRDefault="0041110C" w:rsidP="00E45D07">
      <w:pPr>
        <w:pStyle w:val="Heading3"/>
        <w:spacing w:before="0" w:beforeAutospacing="0" w:afterLines="40" w:after="96" w:afterAutospacing="0"/>
        <w:rPr>
          <w:sz w:val="26"/>
          <w:szCs w:val="26"/>
        </w:rPr>
      </w:pPr>
      <w:bookmarkStart w:id="13" w:name="_Toc388627039"/>
      <w:r w:rsidRPr="00E45D07">
        <w:rPr>
          <w:sz w:val="26"/>
          <w:szCs w:val="26"/>
        </w:rPr>
        <w:t>2.4.2. Netieša ietekme uz eksporta apjomiem</w:t>
      </w:r>
      <w:bookmarkEnd w:id="13"/>
    </w:p>
    <w:p w:rsidR="0041110C" w:rsidRPr="00E45D07" w:rsidRDefault="0041110C" w:rsidP="0081503F">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 xml:space="preserve">Vienlaikus būtiski ir izvērtēt vidēja un ilgtermiņa EKG pozitīvo ietekmi ne tikai uz eksporta apjomu pieaugumu, bet arī eksportu nestabilas finanšu un ekonomiskās situācijas apstākļos. </w:t>
      </w:r>
    </w:p>
    <w:p w:rsidR="0041110C" w:rsidRPr="00E45D07" w:rsidRDefault="0041110C" w:rsidP="0081503F">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Izvērtējot Bernes Savienības statistiku (skatīt 2.2.att</w:t>
      </w:r>
      <w:r w:rsidR="0081503F">
        <w:rPr>
          <w:rFonts w:ascii="Times New Roman" w:hAnsi="Times New Roman"/>
          <w:color w:val="000000"/>
          <w:sz w:val="26"/>
          <w:szCs w:val="26"/>
        </w:rPr>
        <w:t>ēlu</w:t>
      </w:r>
      <w:r w:rsidRPr="00E45D07">
        <w:rPr>
          <w:rFonts w:ascii="Times New Roman" w:hAnsi="Times New Roman"/>
          <w:color w:val="000000"/>
          <w:sz w:val="26"/>
          <w:szCs w:val="26"/>
        </w:rPr>
        <w:t>), ir redzams, ka EKA atbalsts eksportētājiem un bankām ir izrādījies izšķirošs, ļaujot piesaistīt nepieciešamo finansējumu vidēja un ilgtermiņa eksporta kredīta darījumiem, tādejādi uzturot relatīvu stabilitāti starptautiskās tirdzniecības darījumu apjomos.</w:t>
      </w:r>
    </w:p>
    <w:p w:rsidR="0041110C" w:rsidRPr="00E45D07" w:rsidRDefault="0041110C" w:rsidP="00357745">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Neviena EKA nav skaidri atrunājusi kā savu pamatuzdevumu būt peļņu nesošai vai pat sasniegt šādu stāvokli ilgtermiņā</w:t>
      </w:r>
      <w:r w:rsidRPr="00E45D07">
        <w:rPr>
          <w:rStyle w:val="FootnoteReference"/>
          <w:rFonts w:ascii="Times New Roman" w:hAnsi="Times New Roman"/>
          <w:sz w:val="26"/>
          <w:szCs w:val="26"/>
        </w:rPr>
        <w:footnoteReference w:id="21"/>
      </w:r>
      <w:r w:rsidRPr="00E45D07">
        <w:rPr>
          <w:rFonts w:ascii="Times New Roman" w:hAnsi="Times New Roman"/>
          <w:sz w:val="26"/>
          <w:szCs w:val="26"/>
        </w:rPr>
        <w:t>. EKA ienesīgums ir sekundārs mērķis, primārais mērķis ir lielāks savas valsts eksporta apjomu pieaugums</w:t>
      </w:r>
      <w:r w:rsidRPr="00E45D07">
        <w:rPr>
          <w:rStyle w:val="FootnoteReference"/>
          <w:rFonts w:ascii="Times New Roman" w:hAnsi="Times New Roman"/>
          <w:sz w:val="26"/>
          <w:szCs w:val="26"/>
        </w:rPr>
        <w:footnoteReference w:id="22"/>
      </w:r>
      <w:r w:rsidRPr="00E45D07">
        <w:rPr>
          <w:rFonts w:ascii="Times New Roman" w:hAnsi="Times New Roman"/>
          <w:sz w:val="26"/>
          <w:szCs w:val="26"/>
        </w:rPr>
        <w:t>. Šādu uzstādījumu apstiprina EKA apstiprinātie limiti nestabilas</w:t>
      </w:r>
      <w:r w:rsidR="00357745">
        <w:rPr>
          <w:rFonts w:ascii="Times New Roman" w:hAnsi="Times New Roman"/>
          <w:sz w:val="26"/>
          <w:szCs w:val="26"/>
        </w:rPr>
        <w:t xml:space="preserve"> globālās ekonomikas apstākļos.</w:t>
      </w:r>
    </w:p>
    <w:p w:rsidR="0081503F" w:rsidRPr="0081503F" w:rsidRDefault="0081503F" w:rsidP="0081503F">
      <w:pPr>
        <w:keepNext/>
        <w:spacing w:afterLines="40" w:after="96" w:line="240" w:lineRule="auto"/>
        <w:jc w:val="right"/>
        <w:rPr>
          <w:rFonts w:ascii="Times New Roman" w:hAnsi="Times New Roman"/>
          <w:sz w:val="26"/>
          <w:szCs w:val="26"/>
        </w:rPr>
      </w:pPr>
      <w:r w:rsidRPr="0081503F">
        <w:rPr>
          <w:rFonts w:ascii="Times New Roman" w:hAnsi="Times New Roman"/>
          <w:sz w:val="26"/>
          <w:szCs w:val="26"/>
        </w:rPr>
        <w:t>2.2.attēls</w:t>
      </w:r>
    </w:p>
    <w:p w:rsidR="0041110C" w:rsidRPr="00E45D07" w:rsidRDefault="0041110C" w:rsidP="00E45D07">
      <w:pPr>
        <w:keepNext/>
        <w:spacing w:afterLines="40" w:after="96" w:line="240" w:lineRule="auto"/>
        <w:jc w:val="center"/>
        <w:rPr>
          <w:rFonts w:ascii="Times New Roman" w:hAnsi="Times New Roman"/>
          <w:b/>
          <w:sz w:val="26"/>
          <w:szCs w:val="26"/>
        </w:rPr>
      </w:pPr>
      <w:r w:rsidRPr="00E45D07">
        <w:rPr>
          <w:rFonts w:ascii="Times New Roman" w:hAnsi="Times New Roman"/>
          <w:b/>
          <w:sz w:val="26"/>
          <w:szCs w:val="26"/>
        </w:rPr>
        <w:t>Bernes Savienības Prāgas kluba biedru apstiprinātie VIT EKG limiti, milj. USD</w:t>
      </w:r>
      <w:r w:rsidRPr="00E45D07">
        <w:rPr>
          <w:rStyle w:val="FootnoteReference"/>
          <w:rFonts w:ascii="Times New Roman" w:hAnsi="Times New Roman"/>
          <w:b/>
          <w:sz w:val="26"/>
          <w:szCs w:val="26"/>
        </w:rPr>
        <w:footnoteReference w:id="23"/>
      </w:r>
    </w:p>
    <w:p w:rsidR="0041110C" w:rsidRPr="00B14334" w:rsidRDefault="0041110C" w:rsidP="00B14334">
      <w:pPr>
        <w:spacing w:afterLines="40" w:after="96" w:line="240" w:lineRule="auto"/>
        <w:ind w:firstLine="720"/>
        <w:jc w:val="center"/>
        <w:rPr>
          <w:rFonts w:ascii="Times New Roman" w:hAnsi="Times New Roman"/>
          <w:sz w:val="26"/>
          <w:szCs w:val="26"/>
        </w:rPr>
      </w:pPr>
      <w:r w:rsidRPr="00E45D07">
        <w:rPr>
          <w:rFonts w:ascii="Times New Roman" w:hAnsi="Times New Roman"/>
          <w:noProof/>
          <w:sz w:val="26"/>
          <w:szCs w:val="26"/>
          <w:lang w:eastAsia="lv-LV"/>
        </w:rPr>
        <w:drawing>
          <wp:inline distT="0" distB="0" distL="0" distR="0" wp14:anchorId="1F6541F3" wp14:editId="0A9FDBCD">
            <wp:extent cx="4666615" cy="20097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6615" cy="2009775"/>
                    </a:xfrm>
                    <a:prstGeom prst="rect">
                      <a:avLst/>
                    </a:prstGeom>
                    <a:noFill/>
                  </pic:spPr>
                </pic:pic>
              </a:graphicData>
            </a:graphic>
          </wp:inline>
        </w:drawing>
      </w:r>
    </w:p>
    <w:p w:rsidR="0041110C" w:rsidRPr="00E45D07" w:rsidRDefault="0041110C" w:rsidP="0081503F">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2.2.attēls parāda EKA iesaisti liela mēroga projektu realizēšanā 2007.-2012.gada periodā. EKA stabilizējošajai lomai par labu runā tas, ka finanšu un ekonomiskās stagnācijas sākumā apstiprināto limitu apjoms ievērojami nesaruka (2009.gadā tikai par 8% pret 2008.gadu), savukārt 2010.gadā pieaugums pret 2009.gadu bija 53.5%, kas liecina par EKA lomu eksporta apjomu stabilizēšanā situācijā, kad finanšu un ekonomiskā situācija pasliktinās.</w:t>
      </w:r>
    </w:p>
    <w:p w:rsidR="0041110C" w:rsidRPr="00E45D07" w:rsidRDefault="0041110C" w:rsidP="0081503F">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lastRenderedPageBreak/>
        <w:t>Krīzes periodā virkne EKA strādāja ar zaudējumiem, uzņemoties riskus globālas tirgus nestabilitātes apstākļos.</w:t>
      </w:r>
      <w:r w:rsidRPr="00E45D07">
        <w:rPr>
          <w:rStyle w:val="FootnoteReference"/>
          <w:rFonts w:ascii="Times New Roman" w:hAnsi="Times New Roman"/>
          <w:sz w:val="26"/>
          <w:szCs w:val="26"/>
        </w:rPr>
        <w:footnoteReference w:id="24"/>
      </w:r>
      <w:r w:rsidRPr="00E45D07">
        <w:rPr>
          <w:rFonts w:ascii="Times New Roman" w:hAnsi="Times New Roman"/>
          <w:sz w:val="26"/>
          <w:szCs w:val="26"/>
        </w:rPr>
        <w:t xml:space="preserve"> Tomēr ir jānorāda, ka instruments nav subsidējoša rakstura, un EKA lomu nevar uzskatīt par tiešu eksporta subsīdiju aizstājēju. To apliecina arī šo institūciju prēmiju ieņēmumu attiecība pret izmaksāto atlīdzību apjomu ne-krīzes periodā.</w:t>
      </w:r>
    </w:p>
    <w:p w:rsidR="0041110C" w:rsidRPr="00E45D07" w:rsidRDefault="0041110C" w:rsidP="00357745">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Lielākajai daļa EKA vidēja un ilgtermiņa EKG aktivitāte ir ren</w:t>
      </w:r>
      <w:r w:rsidR="0081503F">
        <w:rPr>
          <w:rFonts w:ascii="Times New Roman" w:hAnsi="Times New Roman"/>
          <w:sz w:val="26"/>
          <w:szCs w:val="26"/>
        </w:rPr>
        <w:t>tabla un peļņu ģenerējoša. 2.3.</w:t>
      </w:r>
      <w:r w:rsidRPr="00E45D07">
        <w:rPr>
          <w:rFonts w:ascii="Times New Roman" w:hAnsi="Times New Roman"/>
          <w:sz w:val="26"/>
          <w:szCs w:val="26"/>
        </w:rPr>
        <w:t>attēlā ir redzams, ka EKA izmaksāto kompensāciju apjoms pārsniedza prēmiju ieņ</w:t>
      </w:r>
      <w:r w:rsidR="00357745">
        <w:rPr>
          <w:rFonts w:ascii="Times New Roman" w:hAnsi="Times New Roman"/>
          <w:sz w:val="26"/>
          <w:szCs w:val="26"/>
        </w:rPr>
        <w:t>ēmumus tikai 2009.gada periodā.</w:t>
      </w:r>
    </w:p>
    <w:p w:rsidR="0081503F" w:rsidRPr="0081503F" w:rsidRDefault="0081503F" w:rsidP="0081503F">
      <w:pPr>
        <w:keepNext/>
        <w:spacing w:afterLines="40" w:after="96" w:line="240" w:lineRule="auto"/>
        <w:ind w:firstLine="720"/>
        <w:jc w:val="right"/>
        <w:rPr>
          <w:rFonts w:ascii="Times New Roman" w:hAnsi="Times New Roman"/>
          <w:sz w:val="26"/>
          <w:szCs w:val="26"/>
        </w:rPr>
      </w:pPr>
      <w:r w:rsidRPr="0081503F">
        <w:rPr>
          <w:rFonts w:ascii="Times New Roman" w:hAnsi="Times New Roman"/>
          <w:sz w:val="26"/>
          <w:szCs w:val="26"/>
        </w:rPr>
        <w:t>2.3.attēls</w:t>
      </w:r>
    </w:p>
    <w:p w:rsidR="0041110C" w:rsidRPr="00E45D07" w:rsidRDefault="0041110C" w:rsidP="00E45D07">
      <w:pPr>
        <w:keepNext/>
        <w:spacing w:afterLines="40" w:after="96" w:line="240" w:lineRule="auto"/>
        <w:ind w:firstLine="720"/>
        <w:jc w:val="center"/>
        <w:rPr>
          <w:rFonts w:ascii="Times New Roman" w:hAnsi="Times New Roman"/>
          <w:sz w:val="26"/>
          <w:szCs w:val="26"/>
        </w:rPr>
      </w:pPr>
      <w:r w:rsidRPr="00E45D07">
        <w:rPr>
          <w:rFonts w:ascii="Times New Roman" w:hAnsi="Times New Roman"/>
          <w:b/>
          <w:sz w:val="26"/>
          <w:szCs w:val="26"/>
        </w:rPr>
        <w:t>EKA prēmiju ieņēmumu un izmaksāto kompensāciju apjoms, milj. USD</w:t>
      </w:r>
      <w:r w:rsidRPr="00E45D07">
        <w:rPr>
          <w:rStyle w:val="FootnoteReference"/>
          <w:rFonts w:ascii="Times New Roman" w:hAnsi="Times New Roman"/>
          <w:sz w:val="26"/>
          <w:szCs w:val="26"/>
        </w:rPr>
        <w:footnoteReference w:id="25"/>
      </w:r>
    </w:p>
    <w:p w:rsidR="0041110C" w:rsidRPr="00B14334" w:rsidRDefault="0041110C" w:rsidP="00B14334">
      <w:pPr>
        <w:spacing w:afterLines="40" w:after="96" w:line="240" w:lineRule="auto"/>
        <w:jc w:val="center"/>
        <w:rPr>
          <w:rFonts w:ascii="Times New Roman" w:hAnsi="Times New Roman"/>
          <w:sz w:val="26"/>
          <w:szCs w:val="26"/>
        </w:rPr>
      </w:pPr>
      <w:r w:rsidRPr="00E45D07">
        <w:rPr>
          <w:rFonts w:ascii="Times New Roman" w:hAnsi="Times New Roman"/>
          <w:noProof/>
          <w:sz w:val="26"/>
          <w:szCs w:val="26"/>
          <w:lang w:eastAsia="lv-LV"/>
        </w:rPr>
        <w:drawing>
          <wp:inline distT="0" distB="0" distL="0" distR="0" wp14:anchorId="31BFF6C1" wp14:editId="2C6A1531">
            <wp:extent cx="5209540" cy="204787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9540" cy="2047875"/>
                    </a:xfrm>
                    <a:prstGeom prst="rect">
                      <a:avLst/>
                    </a:prstGeom>
                    <a:noFill/>
                  </pic:spPr>
                </pic:pic>
              </a:graphicData>
            </a:graphic>
          </wp:inline>
        </w:drawing>
      </w:r>
    </w:p>
    <w:p w:rsidR="0041110C" w:rsidRPr="00E45D07" w:rsidRDefault="0041110C" w:rsidP="0081503F">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Papildus ir jāņem vērā tas, ka daļa izmaksāto kompensāciju tiek atgūtas parādu piedziņas periodā un realizējot kreditoru aktīvus (skat.2.4.attēlu).</w:t>
      </w:r>
    </w:p>
    <w:p w:rsidR="0041110C" w:rsidRPr="00E45D07" w:rsidRDefault="009852E7" w:rsidP="009852E7">
      <w:pPr>
        <w:spacing w:afterLines="40" w:after="96" w:line="240" w:lineRule="auto"/>
        <w:jc w:val="right"/>
        <w:rPr>
          <w:rFonts w:ascii="Times New Roman" w:hAnsi="Times New Roman"/>
          <w:sz w:val="26"/>
          <w:szCs w:val="26"/>
        </w:rPr>
      </w:pPr>
      <w:r>
        <w:rPr>
          <w:rFonts w:ascii="Times New Roman" w:hAnsi="Times New Roman"/>
          <w:sz w:val="26"/>
          <w:szCs w:val="26"/>
        </w:rPr>
        <w:t>2.4.attēls</w:t>
      </w:r>
    </w:p>
    <w:p w:rsidR="0041110C" w:rsidRPr="00E45D07" w:rsidRDefault="0041110C" w:rsidP="00E45D07">
      <w:pPr>
        <w:spacing w:afterLines="40" w:after="96" w:line="240" w:lineRule="auto"/>
        <w:jc w:val="center"/>
        <w:rPr>
          <w:rFonts w:ascii="Times New Roman" w:hAnsi="Times New Roman"/>
          <w:b/>
          <w:sz w:val="26"/>
          <w:szCs w:val="26"/>
        </w:rPr>
      </w:pPr>
      <w:r w:rsidRPr="00E45D07">
        <w:rPr>
          <w:rFonts w:ascii="Times New Roman" w:hAnsi="Times New Roman"/>
          <w:b/>
          <w:sz w:val="26"/>
          <w:szCs w:val="26"/>
        </w:rPr>
        <w:t>Izmaksātās kompensācijas pret atgūtajiem līdzekļiem, milj. USD</w:t>
      </w:r>
      <w:r w:rsidRPr="00E45D07">
        <w:rPr>
          <w:rStyle w:val="FootnoteReference"/>
          <w:rFonts w:ascii="Times New Roman" w:hAnsi="Times New Roman"/>
          <w:b/>
          <w:sz w:val="26"/>
          <w:szCs w:val="26"/>
        </w:rPr>
        <w:footnoteReference w:id="26"/>
      </w:r>
    </w:p>
    <w:p w:rsidR="0041110C" w:rsidRDefault="0041110C" w:rsidP="00357745">
      <w:pPr>
        <w:spacing w:afterLines="40" w:after="96" w:line="240" w:lineRule="auto"/>
        <w:jc w:val="center"/>
        <w:rPr>
          <w:rFonts w:ascii="Times New Roman" w:hAnsi="Times New Roman"/>
          <w:sz w:val="26"/>
          <w:szCs w:val="26"/>
        </w:rPr>
      </w:pPr>
      <w:r w:rsidRPr="00E45D07">
        <w:rPr>
          <w:rFonts w:ascii="Times New Roman" w:hAnsi="Times New Roman"/>
          <w:noProof/>
          <w:sz w:val="26"/>
          <w:szCs w:val="26"/>
          <w:lang w:eastAsia="lv-LV"/>
        </w:rPr>
        <w:drawing>
          <wp:inline distT="0" distB="0" distL="0" distR="0" wp14:anchorId="36509AF2" wp14:editId="4D550962">
            <wp:extent cx="5190490" cy="19716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0490" cy="1971675"/>
                    </a:xfrm>
                    <a:prstGeom prst="rect">
                      <a:avLst/>
                    </a:prstGeom>
                    <a:noFill/>
                  </pic:spPr>
                </pic:pic>
              </a:graphicData>
            </a:graphic>
          </wp:inline>
        </w:drawing>
      </w:r>
    </w:p>
    <w:p w:rsidR="00357745" w:rsidRPr="00357745" w:rsidRDefault="00357745" w:rsidP="00357745">
      <w:pPr>
        <w:spacing w:afterLines="40" w:after="96" w:line="240" w:lineRule="auto"/>
        <w:jc w:val="center"/>
        <w:rPr>
          <w:rFonts w:ascii="Times New Roman" w:hAnsi="Times New Roman"/>
          <w:sz w:val="26"/>
          <w:szCs w:val="26"/>
        </w:rPr>
      </w:pPr>
    </w:p>
    <w:p w:rsidR="0041110C" w:rsidRPr="00E45D07" w:rsidRDefault="0041110C" w:rsidP="00E45D07">
      <w:pPr>
        <w:pStyle w:val="Heading2"/>
        <w:spacing w:before="0" w:afterLines="40" w:after="96" w:line="240" w:lineRule="auto"/>
        <w:rPr>
          <w:rFonts w:ascii="Times New Roman" w:hAnsi="Times New Roman"/>
          <w:color w:val="000000"/>
        </w:rPr>
      </w:pPr>
      <w:bookmarkStart w:id="14" w:name="_Toc388627040"/>
      <w:r w:rsidRPr="00E45D07">
        <w:rPr>
          <w:rFonts w:ascii="Times New Roman" w:hAnsi="Times New Roman"/>
          <w:color w:val="000000"/>
        </w:rPr>
        <w:lastRenderedPageBreak/>
        <w:t>2.5. Ietekme uz darba tirgu</w:t>
      </w:r>
      <w:bookmarkEnd w:id="14"/>
    </w:p>
    <w:p w:rsidR="0041110C" w:rsidRPr="00E45D07" w:rsidRDefault="0041110C" w:rsidP="009727CD">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 xml:space="preserve">Novērtējot vidēja un ilgtermiņa EKG aktivitātes iespējamo ietekmi uz darba tirgu, būtu jānošķir: </w:t>
      </w:r>
    </w:p>
    <w:p w:rsidR="0041110C" w:rsidRPr="00E45D07" w:rsidRDefault="0041110C" w:rsidP="009727CD">
      <w:pPr>
        <w:pStyle w:val="ListParagraph"/>
        <w:numPr>
          <w:ilvl w:val="0"/>
          <w:numId w:val="24"/>
        </w:numPr>
        <w:spacing w:afterLines="40" w:after="96"/>
        <w:ind w:left="993" w:hanging="426"/>
        <w:jc w:val="both"/>
        <w:rPr>
          <w:rFonts w:ascii="Times New Roman" w:hAnsi="Times New Roman"/>
          <w:color w:val="000000"/>
          <w:sz w:val="26"/>
          <w:szCs w:val="26"/>
        </w:rPr>
      </w:pPr>
      <w:r w:rsidRPr="00E45D07">
        <w:rPr>
          <w:rFonts w:ascii="Times New Roman" w:hAnsi="Times New Roman"/>
          <w:color w:val="000000"/>
          <w:sz w:val="26"/>
          <w:szCs w:val="26"/>
        </w:rPr>
        <w:t>tiešo korelāciju starp eksporta apjomu pieaugumu un nodarbinātības pieaugumu – pieaugot eksporta apjomiem, pieaug arī nodarbinātība; jo ātrāk pieaug nodarbinātība, jo lielāka ir uzņēmuma kapacitāte eksporta veicināšanai;</w:t>
      </w:r>
    </w:p>
    <w:p w:rsidR="0041110C" w:rsidRPr="00E45D07" w:rsidRDefault="0041110C" w:rsidP="009727CD">
      <w:pPr>
        <w:pStyle w:val="ListParagraph"/>
        <w:numPr>
          <w:ilvl w:val="0"/>
          <w:numId w:val="24"/>
        </w:numPr>
        <w:spacing w:afterLines="40" w:after="96"/>
        <w:ind w:left="993" w:hanging="426"/>
        <w:jc w:val="both"/>
        <w:rPr>
          <w:rFonts w:ascii="Times New Roman" w:hAnsi="Times New Roman"/>
          <w:color w:val="000000"/>
          <w:sz w:val="26"/>
          <w:szCs w:val="26"/>
        </w:rPr>
      </w:pPr>
      <w:r w:rsidRPr="00E45D07">
        <w:rPr>
          <w:rFonts w:ascii="Times New Roman" w:hAnsi="Times New Roman"/>
          <w:color w:val="000000"/>
          <w:sz w:val="26"/>
          <w:szCs w:val="26"/>
        </w:rPr>
        <w:t xml:space="preserve">kauzalitāti – eksporta apjomu pieaugums ietekmē nodarbinātības pieaugumu, bet apgrieztā veidā tas var nedarboties, radot kļūdainus pieņēmumus. </w:t>
      </w:r>
    </w:p>
    <w:p w:rsidR="0041110C" w:rsidRPr="00E45D07" w:rsidRDefault="0041110C" w:rsidP="009727CD">
      <w:pPr>
        <w:pStyle w:val="Default"/>
        <w:spacing w:afterLines="40" w:after="96"/>
        <w:ind w:firstLine="567"/>
        <w:jc w:val="both"/>
        <w:rPr>
          <w:sz w:val="26"/>
          <w:szCs w:val="26"/>
        </w:rPr>
      </w:pPr>
      <w:r w:rsidRPr="00E45D07">
        <w:rPr>
          <w:sz w:val="26"/>
          <w:szCs w:val="26"/>
        </w:rPr>
        <w:t>Atbilstoši Ekonomikas ministrijas prognozēm arī turpmāk ekonomikas galvenais dzinulis būs eksports un eksportspējīgo nozaru izaugsme. Šajās nozarēs produktivitātes kāpums pārsniegs tautsaimniecības vidējo rādītāju, jo tirgojamās nozares (galvenokārt, apstrādes rūpniecība) darbojas atvērtos preču un pakalpojumu tirgos, kur izšķiroša nozīme ir konkurētspējai</w:t>
      </w:r>
      <w:r w:rsidRPr="00E45D07">
        <w:rPr>
          <w:rStyle w:val="FootnoteReference"/>
          <w:sz w:val="26"/>
          <w:szCs w:val="26"/>
        </w:rPr>
        <w:footnoteReference w:id="27"/>
      </w:r>
      <w:r w:rsidRPr="00E45D07">
        <w:rPr>
          <w:sz w:val="26"/>
          <w:szCs w:val="26"/>
        </w:rPr>
        <w:t>. Jau šobrīd vidēja un ilgtermiņa EKG mērķa nozares uzrāda vienus no visstraujākajiem eksporta izaugsmes rādītājiem.</w:t>
      </w:r>
    </w:p>
    <w:p w:rsidR="0041110C" w:rsidRPr="005F6835" w:rsidRDefault="005F6835" w:rsidP="00E45D07">
      <w:pPr>
        <w:pStyle w:val="BodyText2"/>
        <w:spacing w:afterLines="40" w:after="96" w:line="240" w:lineRule="auto"/>
        <w:jc w:val="right"/>
        <w:rPr>
          <w:rFonts w:ascii="Times New Roman" w:hAnsi="Times New Roman"/>
          <w:bCs/>
          <w:color w:val="000000"/>
          <w:sz w:val="26"/>
          <w:szCs w:val="26"/>
        </w:rPr>
      </w:pPr>
      <w:r w:rsidRPr="005F6835">
        <w:rPr>
          <w:rFonts w:ascii="Times New Roman" w:hAnsi="Times New Roman"/>
          <w:bCs/>
          <w:color w:val="000000"/>
          <w:sz w:val="26"/>
          <w:szCs w:val="26"/>
        </w:rPr>
        <w:t>2.2.tabula</w:t>
      </w:r>
    </w:p>
    <w:p w:rsidR="0041110C" w:rsidRPr="00E45D07" w:rsidRDefault="0041110C" w:rsidP="00E45D07">
      <w:pPr>
        <w:pStyle w:val="BodyText2"/>
        <w:spacing w:afterLines="40" w:after="96" w:line="240" w:lineRule="auto"/>
        <w:jc w:val="center"/>
        <w:rPr>
          <w:rFonts w:ascii="Times New Roman" w:hAnsi="Times New Roman"/>
          <w:b/>
          <w:bCs/>
          <w:color w:val="000000"/>
          <w:sz w:val="26"/>
          <w:szCs w:val="26"/>
        </w:rPr>
      </w:pPr>
      <w:r w:rsidRPr="00E45D07">
        <w:rPr>
          <w:rFonts w:ascii="Times New Roman" w:hAnsi="Times New Roman"/>
          <w:b/>
          <w:bCs/>
          <w:color w:val="000000"/>
          <w:sz w:val="26"/>
          <w:szCs w:val="26"/>
        </w:rPr>
        <w:t>Latvijas preču eksports pa galvenajām preču grupām</w:t>
      </w:r>
      <w:r w:rsidRPr="00E45D07">
        <w:rPr>
          <w:rStyle w:val="FootnoteReference"/>
          <w:rFonts w:ascii="Times New Roman" w:hAnsi="Times New Roman"/>
          <w:b/>
          <w:bCs/>
          <w:color w:val="000000"/>
          <w:sz w:val="26"/>
          <w:szCs w:val="26"/>
        </w:rPr>
        <w:footnoteReference w:id="28"/>
      </w:r>
    </w:p>
    <w:p w:rsidR="0041110C" w:rsidRPr="00E45D07" w:rsidRDefault="0041110C" w:rsidP="00E45D07">
      <w:pPr>
        <w:numPr>
          <w:ilvl w:val="12"/>
          <w:numId w:val="0"/>
        </w:numPr>
        <w:spacing w:afterLines="40" w:after="96" w:line="240" w:lineRule="auto"/>
        <w:jc w:val="center"/>
        <w:rPr>
          <w:rFonts w:ascii="Times New Roman" w:hAnsi="Times New Roman"/>
          <w:color w:val="000000"/>
          <w:sz w:val="26"/>
          <w:szCs w:val="26"/>
        </w:rPr>
      </w:pPr>
      <w:r w:rsidRPr="00E45D07">
        <w:rPr>
          <w:rFonts w:ascii="Times New Roman" w:hAnsi="Times New Roman"/>
          <w:color w:val="000000"/>
          <w:sz w:val="26"/>
          <w:szCs w:val="26"/>
        </w:rPr>
        <w:t>(%, faktiskajās FOB cenās)</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02"/>
        <w:gridCol w:w="1037"/>
        <w:gridCol w:w="1475"/>
        <w:gridCol w:w="1557"/>
        <w:gridCol w:w="1198"/>
      </w:tblGrid>
      <w:tr w:rsidR="0041110C" w:rsidRPr="00E45D07" w:rsidTr="0041110C">
        <w:trPr>
          <w:jc w:val="center"/>
        </w:trPr>
        <w:tc>
          <w:tcPr>
            <w:tcW w:w="3402" w:type="dxa"/>
            <w:vMerge w:val="restart"/>
            <w:shd w:val="clear" w:color="auto" w:fill="auto"/>
          </w:tcPr>
          <w:p w:rsidR="0041110C" w:rsidRPr="00E45D07" w:rsidRDefault="0041110C" w:rsidP="00E45D07">
            <w:pPr>
              <w:numPr>
                <w:ilvl w:val="12"/>
                <w:numId w:val="0"/>
              </w:numPr>
              <w:spacing w:afterLines="40" w:after="96" w:line="240" w:lineRule="auto"/>
              <w:jc w:val="center"/>
              <w:rPr>
                <w:rFonts w:ascii="Times New Roman" w:hAnsi="Times New Roman"/>
                <w:b/>
                <w:color w:val="000000"/>
                <w:sz w:val="26"/>
                <w:szCs w:val="26"/>
              </w:rPr>
            </w:pPr>
          </w:p>
        </w:tc>
        <w:tc>
          <w:tcPr>
            <w:tcW w:w="2512" w:type="dxa"/>
            <w:gridSpan w:val="2"/>
            <w:shd w:val="clear" w:color="auto" w:fill="D9D9D9"/>
          </w:tcPr>
          <w:p w:rsidR="0041110C" w:rsidRPr="00E45D07" w:rsidRDefault="0041110C" w:rsidP="00E45D07">
            <w:pPr>
              <w:keepLines/>
              <w:numPr>
                <w:ilvl w:val="12"/>
                <w:numId w:val="0"/>
              </w:num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2012</w:t>
            </w:r>
          </w:p>
        </w:tc>
        <w:tc>
          <w:tcPr>
            <w:tcW w:w="2755" w:type="dxa"/>
            <w:gridSpan w:val="2"/>
            <w:shd w:val="clear" w:color="auto" w:fill="D9D9D9"/>
          </w:tcPr>
          <w:p w:rsidR="0041110C" w:rsidRPr="00E45D07" w:rsidRDefault="0041110C" w:rsidP="00E45D07">
            <w:pPr>
              <w:keepLines/>
              <w:numPr>
                <w:ilvl w:val="12"/>
                <w:numId w:val="0"/>
              </w:num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2013 I-IV</w:t>
            </w:r>
          </w:p>
        </w:tc>
      </w:tr>
      <w:tr w:rsidR="0041110C" w:rsidRPr="00E45D07" w:rsidTr="0041110C">
        <w:trPr>
          <w:jc w:val="center"/>
        </w:trPr>
        <w:tc>
          <w:tcPr>
            <w:tcW w:w="3402" w:type="dxa"/>
            <w:vMerge/>
            <w:shd w:val="clear" w:color="auto" w:fill="auto"/>
            <w:vAlign w:val="center"/>
          </w:tcPr>
          <w:p w:rsidR="0041110C" w:rsidRPr="00E45D07" w:rsidRDefault="0041110C" w:rsidP="00E45D07">
            <w:pPr>
              <w:numPr>
                <w:ilvl w:val="12"/>
                <w:numId w:val="0"/>
              </w:numPr>
              <w:spacing w:afterLines="40" w:after="96" w:line="240" w:lineRule="auto"/>
              <w:jc w:val="center"/>
              <w:rPr>
                <w:rFonts w:ascii="Times New Roman" w:hAnsi="Times New Roman"/>
                <w:b/>
                <w:color w:val="000000"/>
                <w:sz w:val="26"/>
                <w:szCs w:val="26"/>
              </w:rPr>
            </w:pPr>
          </w:p>
        </w:tc>
        <w:tc>
          <w:tcPr>
            <w:tcW w:w="1037" w:type="dxa"/>
            <w:shd w:val="clear" w:color="auto" w:fill="D9D9D9"/>
            <w:vAlign w:val="center"/>
          </w:tcPr>
          <w:p w:rsidR="0041110C" w:rsidRPr="00E45D07" w:rsidRDefault="0041110C" w:rsidP="00E45D07">
            <w:pPr>
              <w:keepLines/>
              <w:numPr>
                <w:ilvl w:val="12"/>
                <w:numId w:val="0"/>
              </w:numPr>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struktūra</w:t>
            </w:r>
          </w:p>
        </w:tc>
        <w:tc>
          <w:tcPr>
            <w:tcW w:w="1475" w:type="dxa"/>
            <w:shd w:val="clear" w:color="auto" w:fill="D9D9D9"/>
            <w:vAlign w:val="center"/>
          </w:tcPr>
          <w:p w:rsidR="0041110C" w:rsidRPr="00E45D07" w:rsidRDefault="0041110C" w:rsidP="00E45D07">
            <w:pPr>
              <w:keepLines/>
              <w:numPr>
                <w:ilvl w:val="12"/>
                <w:numId w:val="0"/>
              </w:numPr>
              <w:spacing w:afterLines="40" w:after="96" w:line="240" w:lineRule="auto"/>
              <w:ind w:left="-106" w:right="-127"/>
              <w:jc w:val="center"/>
              <w:rPr>
                <w:rFonts w:ascii="Times New Roman" w:hAnsi="Times New Roman"/>
                <w:b/>
                <w:color w:val="000000"/>
                <w:sz w:val="26"/>
                <w:szCs w:val="26"/>
              </w:rPr>
            </w:pPr>
            <w:r w:rsidRPr="00E45D07">
              <w:rPr>
                <w:rFonts w:ascii="Times New Roman" w:hAnsi="Times New Roman"/>
                <w:b/>
                <w:color w:val="000000"/>
                <w:sz w:val="26"/>
                <w:szCs w:val="26"/>
              </w:rPr>
              <w:t>pieaugums pret iepriekšējo gadu</w:t>
            </w:r>
          </w:p>
        </w:tc>
        <w:tc>
          <w:tcPr>
            <w:tcW w:w="1557" w:type="dxa"/>
            <w:shd w:val="clear" w:color="auto" w:fill="D9D9D9"/>
            <w:vAlign w:val="center"/>
          </w:tcPr>
          <w:p w:rsidR="0041110C" w:rsidRPr="00E45D07" w:rsidRDefault="0041110C" w:rsidP="00E45D07">
            <w:pPr>
              <w:keepLines/>
              <w:numPr>
                <w:ilvl w:val="12"/>
                <w:numId w:val="0"/>
              </w:numPr>
              <w:spacing w:afterLines="40" w:after="96" w:line="240" w:lineRule="auto"/>
              <w:ind w:left="-79" w:right="-56"/>
              <w:jc w:val="center"/>
              <w:rPr>
                <w:rFonts w:ascii="Times New Roman" w:hAnsi="Times New Roman"/>
                <w:b/>
                <w:color w:val="000000"/>
                <w:sz w:val="26"/>
                <w:szCs w:val="26"/>
              </w:rPr>
            </w:pPr>
            <w:r w:rsidRPr="00E45D07">
              <w:rPr>
                <w:rFonts w:ascii="Times New Roman" w:hAnsi="Times New Roman"/>
                <w:b/>
                <w:color w:val="000000"/>
                <w:sz w:val="26"/>
                <w:szCs w:val="26"/>
              </w:rPr>
              <w:t>pieaugums pret iepriekšējā gada attiecīgo periodu</w:t>
            </w:r>
          </w:p>
        </w:tc>
        <w:tc>
          <w:tcPr>
            <w:tcW w:w="1198" w:type="dxa"/>
            <w:shd w:val="clear" w:color="auto" w:fill="D9D9D9"/>
            <w:vAlign w:val="center"/>
          </w:tcPr>
          <w:p w:rsidR="0041110C" w:rsidRPr="00E45D07" w:rsidRDefault="0041110C" w:rsidP="00E45D07">
            <w:pPr>
              <w:keepLines/>
              <w:numPr>
                <w:ilvl w:val="12"/>
                <w:numId w:val="0"/>
              </w:numPr>
              <w:spacing w:afterLines="40" w:after="96" w:line="240" w:lineRule="auto"/>
              <w:ind w:left="-79" w:right="-56"/>
              <w:jc w:val="center"/>
              <w:rPr>
                <w:rFonts w:ascii="Times New Roman" w:hAnsi="Times New Roman"/>
                <w:b/>
                <w:color w:val="000000"/>
                <w:sz w:val="26"/>
                <w:szCs w:val="26"/>
              </w:rPr>
            </w:pPr>
            <w:r w:rsidRPr="00E45D07">
              <w:rPr>
                <w:rFonts w:ascii="Times New Roman" w:hAnsi="Times New Roman"/>
                <w:b/>
                <w:color w:val="000000"/>
                <w:sz w:val="26"/>
                <w:szCs w:val="26"/>
              </w:rPr>
              <w:t>ieguldījums apjomu izmaiņās</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Kopā</w:t>
            </w:r>
            <w:r w:rsidRPr="00E45D07">
              <w:rPr>
                <w:rFonts w:ascii="Times New Roman" w:hAnsi="Times New Roman"/>
                <w:b/>
                <w:color w:val="000000"/>
                <w:sz w:val="26"/>
                <w:szCs w:val="26"/>
              </w:rPr>
              <w:br/>
            </w:r>
            <w:r w:rsidRPr="00E45D07">
              <w:rPr>
                <w:rFonts w:ascii="Times New Roman" w:hAnsi="Times New Roman"/>
                <w:color w:val="000000"/>
                <w:sz w:val="26"/>
                <w:szCs w:val="26"/>
              </w:rPr>
              <w:t xml:space="preserve"> tai skaitā:</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100</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15,7</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10,3</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10,3</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firstLine="142"/>
              <w:rPr>
                <w:rFonts w:ascii="Times New Roman" w:hAnsi="Times New Roman"/>
                <w:color w:val="000000"/>
                <w:sz w:val="26"/>
                <w:szCs w:val="26"/>
              </w:rPr>
            </w:pPr>
            <w:r w:rsidRPr="00E45D07">
              <w:rPr>
                <w:rFonts w:ascii="Times New Roman" w:hAnsi="Times New Roman"/>
                <w:color w:val="000000"/>
                <w:sz w:val="26"/>
                <w:szCs w:val="26"/>
              </w:rPr>
              <w:t>lauksaimniecības un pārtikas produkti</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20,5</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44,9</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23,3</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3,9</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firstLine="142"/>
              <w:rPr>
                <w:rFonts w:ascii="Times New Roman" w:hAnsi="Times New Roman"/>
                <w:color w:val="000000"/>
                <w:sz w:val="26"/>
                <w:szCs w:val="26"/>
              </w:rPr>
            </w:pPr>
            <w:r w:rsidRPr="00E45D07">
              <w:rPr>
                <w:rFonts w:ascii="Times New Roman" w:hAnsi="Times New Roman"/>
                <w:color w:val="000000"/>
                <w:sz w:val="26"/>
                <w:szCs w:val="26"/>
              </w:rPr>
              <w:t>koksne un tās izstrādājumi</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14,9</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2,1</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9,1</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1,6</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left="142"/>
              <w:rPr>
                <w:rFonts w:ascii="Times New Roman" w:hAnsi="Times New Roman"/>
                <w:color w:val="000000"/>
                <w:sz w:val="26"/>
                <w:szCs w:val="26"/>
              </w:rPr>
            </w:pPr>
            <w:r w:rsidRPr="00E45D07">
              <w:rPr>
                <w:rFonts w:ascii="Times New Roman" w:hAnsi="Times New Roman"/>
                <w:color w:val="000000"/>
                <w:sz w:val="26"/>
                <w:szCs w:val="26"/>
              </w:rPr>
              <w:t>metāli un to izstrādājumi</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14,0</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11,8</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-7,5</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-1,2</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left="142"/>
              <w:rPr>
                <w:rFonts w:ascii="Times New Roman" w:hAnsi="Times New Roman"/>
                <w:b/>
                <w:color w:val="000000"/>
                <w:sz w:val="26"/>
                <w:szCs w:val="26"/>
              </w:rPr>
            </w:pPr>
            <w:r w:rsidRPr="00E45D07">
              <w:rPr>
                <w:rFonts w:ascii="Times New Roman" w:hAnsi="Times New Roman"/>
                <w:b/>
                <w:color w:val="000000"/>
                <w:sz w:val="26"/>
                <w:szCs w:val="26"/>
              </w:rPr>
              <w:t>mašīnbūves produkcija</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13,7</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24,6</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36,5</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4,7</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left="142" w:right="-95"/>
              <w:rPr>
                <w:rFonts w:ascii="Times New Roman" w:hAnsi="Times New Roman"/>
                <w:color w:val="000000"/>
                <w:sz w:val="26"/>
                <w:szCs w:val="26"/>
              </w:rPr>
            </w:pPr>
            <w:r w:rsidRPr="00E45D07">
              <w:rPr>
                <w:rFonts w:ascii="Times New Roman" w:hAnsi="Times New Roman"/>
                <w:color w:val="000000"/>
                <w:sz w:val="26"/>
                <w:szCs w:val="26"/>
              </w:rPr>
              <w:t xml:space="preserve">ķīmiskās rūpniecības, tās saskarnozaru </w:t>
            </w:r>
            <w:r w:rsidRPr="00E45D07">
              <w:rPr>
                <w:rFonts w:ascii="Times New Roman" w:hAnsi="Times New Roman"/>
                <w:color w:val="000000"/>
                <w:sz w:val="26"/>
                <w:szCs w:val="26"/>
              </w:rPr>
              <w:br/>
              <w:t>produkcija un plastmasas</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9,5</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4,5</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11,5</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1,1</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left="142"/>
              <w:rPr>
                <w:rFonts w:ascii="Times New Roman" w:hAnsi="Times New Roman"/>
                <w:color w:val="000000"/>
                <w:sz w:val="26"/>
                <w:szCs w:val="26"/>
              </w:rPr>
            </w:pPr>
            <w:r w:rsidRPr="00E45D07">
              <w:rPr>
                <w:rFonts w:ascii="Times New Roman" w:hAnsi="Times New Roman"/>
                <w:color w:val="000000"/>
                <w:sz w:val="26"/>
                <w:szCs w:val="26"/>
              </w:rPr>
              <w:t>minerālie produkti</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8,8</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10,7</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-0,1</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0,0</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left="142"/>
              <w:rPr>
                <w:rFonts w:ascii="Times New Roman" w:hAnsi="Times New Roman"/>
                <w:color w:val="000000"/>
                <w:sz w:val="26"/>
                <w:szCs w:val="26"/>
              </w:rPr>
            </w:pPr>
            <w:r w:rsidRPr="00E45D07">
              <w:rPr>
                <w:rFonts w:ascii="Times New Roman" w:hAnsi="Times New Roman"/>
                <w:color w:val="000000"/>
                <w:sz w:val="26"/>
                <w:szCs w:val="26"/>
              </w:rPr>
              <w:lastRenderedPageBreak/>
              <w:t>transporta līdzekļi</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5,4</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-7,1</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-25,5</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-1,5</w:t>
            </w:r>
          </w:p>
        </w:tc>
      </w:tr>
      <w:tr w:rsidR="0041110C" w:rsidRPr="00E45D07" w:rsidTr="0041110C">
        <w:trPr>
          <w:trHeight w:val="162"/>
          <w:jc w:val="center"/>
        </w:trPr>
        <w:tc>
          <w:tcPr>
            <w:tcW w:w="3402" w:type="dxa"/>
            <w:shd w:val="clear" w:color="auto" w:fill="auto"/>
          </w:tcPr>
          <w:p w:rsidR="0041110C" w:rsidRPr="00E45D07" w:rsidRDefault="0041110C" w:rsidP="00E45D07">
            <w:pPr>
              <w:numPr>
                <w:ilvl w:val="12"/>
                <w:numId w:val="0"/>
              </w:numPr>
              <w:spacing w:afterLines="40" w:after="96" w:line="240" w:lineRule="auto"/>
              <w:ind w:firstLine="142"/>
              <w:rPr>
                <w:rFonts w:ascii="Times New Roman" w:hAnsi="Times New Roman"/>
                <w:color w:val="000000"/>
                <w:sz w:val="26"/>
                <w:szCs w:val="26"/>
              </w:rPr>
            </w:pPr>
            <w:r w:rsidRPr="00E45D07">
              <w:rPr>
                <w:rFonts w:ascii="Times New Roman" w:hAnsi="Times New Roman"/>
                <w:color w:val="000000"/>
                <w:sz w:val="26"/>
                <w:szCs w:val="26"/>
              </w:rPr>
              <w:t>vieglās rūpniecības preces</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4,7</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16,5</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8,0</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0,4</w:t>
            </w:r>
          </w:p>
        </w:tc>
      </w:tr>
      <w:tr w:rsidR="0041110C" w:rsidRPr="00E45D07" w:rsidTr="0041110C">
        <w:trPr>
          <w:jc w:val="center"/>
        </w:trPr>
        <w:tc>
          <w:tcPr>
            <w:tcW w:w="3402" w:type="dxa"/>
            <w:shd w:val="clear" w:color="auto" w:fill="auto"/>
          </w:tcPr>
          <w:p w:rsidR="0041110C" w:rsidRPr="00E45D07" w:rsidRDefault="0041110C" w:rsidP="00E45D07">
            <w:pPr>
              <w:numPr>
                <w:ilvl w:val="12"/>
                <w:numId w:val="0"/>
              </w:numPr>
              <w:spacing w:afterLines="40" w:after="96" w:line="240" w:lineRule="auto"/>
              <w:ind w:firstLine="142"/>
              <w:rPr>
                <w:rFonts w:ascii="Times New Roman" w:hAnsi="Times New Roman"/>
                <w:color w:val="000000"/>
                <w:sz w:val="26"/>
                <w:szCs w:val="26"/>
              </w:rPr>
            </w:pPr>
            <w:r w:rsidRPr="00E45D07">
              <w:rPr>
                <w:rFonts w:ascii="Times New Roman" w:hAnsi="Times New Roman"/>
                <w:color w:val="000000"/>
                <w:sz w:val="26"/>
                <w:szCs w:val="26"/>
              </w:rPr>
              <w:t>pārējās preces</w:t>
            </w:r>
          </w:p>
        </w:tc>
        <w:tc>
          <w:tcPr>
            <w:tcW w:w="1037" w:type="dxa"/>
            <w:shd w:val="clear" w:color="auto" w:fill="auto"/>
          </w:tcPr>
          <w:p w:rsidR="0041110C" w:rsidRPr="00E45D07" w:rsidRDefault="0041110C" w:rsidP="00E45D07">
            <w:pPr>
              <w:tabs>
                <w:tab w:val="decimal" w:pos="457"/>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8,6</w:t>
            </w:r>
          </w:p>
        </w:tc>
        <w:tc>
          <w:tcPr>
            <w:tcW w:w="1475" w:type="dxa"/>
            <w:shd w:val="clear" w:color="auto" w:fill="auto"/>
          </w:tcPr>
          <w:p w:rsidR="0041110C" w:rsidRPr="00E45D07" w:rsidRDefault="0041110C" w:rsidP="00E45D07">
            <w:pPr>
              <w:tabs>
                <w:tab w:val="decimal" w:pos="696"/>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16,4</w:t>
            </w:r>
          </w:p>
        </w:tc>
        <w:tc>
          <w:tcPr>
            <w:tcW w:w="1557" w:type="dxa"/>
            <w:shd w:val="clear" w:color="auto" w:fill="auto"/>
          </w:tcPr>
          <w:p w:rsidR="0041110C" w:rsidRPr="00E45D07" w:rsidRDefault="0041110C" w:rsidP="00E45D07">
            <w:pPr>
              <w:tabs>
                <w:tab w:val="decimal" w:pos="638"/>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14,8</w:t>
            </w:r>
          </w:p>
        </w:tc>
        <w:tc>
          <w:tcPr>
            <w:tcW w:w="1198" w:type="dxa"/>
            <w:shd w:val="clear" w:color="auto" w:fill="auto"/>
          </w:tcPr>
          <w:p w:rsidR="0041110C" w:rsidRPr="00E45D07" w:rsidRDefault="0041110C" w:rsidP="00E45D07">
            <w:pPr>
              <w:tabs>
                <w:tab w:val="decimal" w:pos="431"/>
              </w:tabs>
              <w:spacing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1,3</w:t>
            </w:r>
          </w:p>
        </w:tc>
      </w:tr>
    </w:tbl>
    <w:p w:rsidR="0041110C" w:rsidRPr="00E45D07" w:rsidRDefault="0041110C" w:rsidP="00E45D07">
      <w:pPr>
        <w:spacing w:afterLines="40" w:after="96" w:line="240" w:lineRule="auto"/>
        <w:jc w:val="both"/>
        <w:rPr>
          <w:rFonts w:ascii="Times New Roman" w:hAnsi="Times New Roman"/>
          <w:color w:val="000000"/>
          <w:sz w:val="26"/>
          <w:szCs w:val="26"/>
        </w:rPr>
      </w:pPr>
    </w:p>
    <w:p w:rsidR="0041110C" w:rsidRPr="00E45D07" w:rsidRDefault="0041110C" w:rsidP="005F683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Lai arī tradicionāli Latvijas darba tirgū lielākā nodarbinātība ir bijusi pakalpojumu sfērā, tomēr apstrādes rūpniecība joprojām ir viena no tām nozarēm, kurai ir visaugstākais attīstības potenciāls. Ņemot vērā straujo eksporta apjomu pieaugumu, var prognozēt, ka nozarēs ar visstraujāko eksporta izaugsmi būs sagaidāms arī visstraujākais nodarbinātības pieaugums.</w:t>
      </w:r>
    </w:p>
    <w:p w:rsidR="0041110C" w:rsidRPr="00357745" w:rsidRDefault="0041110C" w:rsidP="00E45D07">
      <w:pPr>
        <w:spacing w:afterLines="40" w:after="96" w:line="240" w:lineRule="auto"/>
        <w:jc w:val="both"/>
        <w:rPr>
          <w:rFonts w:ascii="Times New Roman" w:hAnsi="Times New Roman"/>
          <w:color w:val="000000"/>
          <w:sz w:val="10"/>
          <w:szCs w:val="10"/>
        </w:rPr>
      </w:pPr>
    </w:p>
    <w:p w:rsidR="0041110C" w:rsidRPr="00E45D07" w:rsidRDefault="0041110C" w:rsidP="005F6835">
      <w:pPr>
        <w:pStyle w:val="BodyTextIndent3"/>
        <w:suppressAutoHyphens/>
        <w:spacing w:afterLines="40" w:after="96" w:line="240" w:lineRule="auto"/>
        <w:ind w:left="0" w:firstLine="567"/>
        <w:jc w:val="both"/>
        <w:rPr>
          <w:rFonts w:ascii="Times New Roman" w:hAnsi="Times New Roman"/>
          <w:sz w:val="26"/>
          <w:szCs w:val="26"/>
        </w:rPr>
      </w:pPr>
      <w:r w:rsidRPr="00E45D07">
        <w:rPr>
          <w:rFonts w:ascii="Times New Roman" w:hAnsi="Times New Roman"/>
          <w:color w:val="000000"/>
          <w:sz w:val="26"/>
          <w:szCs w:val="26"/>
        </w:rPr>
        <w:t>Atbilstoši Ekonomikas ministrijas prognozēm</w:t>
      </w:r>
      <w:r w:rsidR="005F6835">
        <w:rPr>
          <w:rFonts w:ascii="Times New Roman" w:hAnsi="Times New Roman"/>
          <w:color w:val="000000"/>
          <w:sz w:val="26"/>
          <w:szCs w:val="26"/>
        </w:rPr>
        <w:t>,</w:t>
      </w:r>
      <w:r w:rsidRPr="00E45D07">
        <w:rPr>
          <w:rFonts w:ascii="Times New Roman" w:hAnsi="Times New Roman"/>
          <w:color w:val="000000"/>
          <w:sz w:val="26"/>
          <w:szCs w:val="26"/>
        </w:rPr>
        <w:t xml:space="preserve"> </w:t>
      </w:r>
      <w:r w:rsidRPr="00E45D07">
        <w:rPr>
          <w:rFonts w:ascii="Times New Roman" w:hAnsi="Times New Roman"/>
          <w:sz w:val="26"/>
          <w:szCs w:val="26"/>
        </w:rPr>
        <w:t xml:space="preserve">nozīmīgākais nodarbināto skaita pieaugums 2013.gadā salīdzinoši ar 2012.gadu sagaidāms pakalpojumu nozarēs – komercpakalpojumu nozarēs (par 8,3 tūkst. jeb 5%) un sabiedrisko pakalpojumu nozarēs (par 7,1 tūkst. jeb 3,5%), kā arī apstrādes rūpniecībā (par 4 tūkst. jeb 3,2%), kurā ietilpst arī mašīnbūve. Būtisks nodarbinātības pieaugums būs arī būvniecībā – sektors, kura eksporta uzņēmumi arī varētu būt ieinteresēti vidēja un ilgtermiņa EKG izmantošanā. </w:t>
      </w:r>
    </w:p>
    <w:p w:rsidR="0041110C" w:rsidRPr="005F6835" w:rsidRDefault="005F6835" w:rsidP="005F6835">
      <w:pPr>
        <w:spacing w:afterLines="40" w:after="96" w:line="240" w:lineRule="auto"/>
        <w:jc w:val="right"/>
        <w:rPr>
          <w:rFonts w:ascii="Times New Roman" w:hAnsi="Times New Roman"/>
          <w:sz w:val="26"/>
          <w:szCs w:val="26"/>
        </w:rPr>
      </w:pPr>
      <w:r w:rsidRPr="005F6835">
        <w:rPr>
          <w:rFonts w:ascii="Times New Roman" w:hAnsi="Times New Roman"/>
          <w:sz w:val="26"/>
          <w:szCs w:val="26"/>
        </w:rPr>
        <w:t>2.5.attēls</w:t>
      </w:r>
    </w:p>
    <w:p w:rsidR="005E0930" w:rsidRPr="00E45D07" w:rsidRDefault="0041110C" w:rsidP="005E0930">
      <w:pPr>
        <w:spacing w:afterLines="100" w:after="240" w:line="240" w:lineRule="auto"/>
        <w:jc w:val="center"/>
        <w:rPr>
          <w:rFonts w:ascii="Times New Roman" w:hAnsi="Times New Roman"/>
          <w:color w:val="000000"/>
          <w:sz w:val="26"/>
          <w:szCs w:val="26"/>
        </w:rPr>
      </w:pPr>
      <w:r w:rsidRPr="00E45D07">
        <w:rPr>
          <w:rFonts w:ascii="Times New Roman" w:hAnsi="Times New Roman"/>
          <w:b/>
          <w:sz w:val="26"/>
          <w:szCs w:val="26"/>
        </w:rPr>
        <w:t xml:space="preserve">Nodarbinātības pieaugums vidēji gadā tautsaimniecības nozarēs </w:t>
      </w:r>
      <w:r w:rsidRPr="00E45D07">
        <w:rPr>
          <w:rFonts w:ascii="Times New Roman" w:hAnsi="Times New Roman"/>
          <w:sz w:val="26"/>
          <w:szCs w:val="26"/>
        </w:rPr>
        <w:t>(%)</w:t>
      </w:r>
      <w:r w:rsidRPr="00E45D07">
        <w:rPr>
          <w:rStyle w:val="FootnoteReference"/>
          <w:rFonts w:ascii="Times New Roman" w:hAnsi="Times New Roman"/>
          <w:sz w:val="26"/>
          <w:szCs w:val="26"/>
        </w:rPr>
        <w:footnoteReference w:id="29"/>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07"/>
        <w:gridCol w:w="5570"/>
      </w:tblGrid>
      <w:tr w:rsidR="0041110C" w:rsidRPr="00E45D07" w:rsidTr="0041110C">
        <w:trPr>
          <w:trHeight w:val="2818"/>
          <w:jc w:val="center"/>
        </w:trPr>
        <w:tc>
          <w:tcPr>
            <w:tcW w:w="3807" w:type="dxa"/>
            <w:shd w:val="clear" w:color="auto" w:fill="auto"/>
          </w:tcPr>
          <w:p w:rsidR="0041110C" w:rsidRPr="00E45D07" w:rsidRDefault="0041110C" w:rsidP="00E45D07">
            <w:pPr>
              <w:spacing w:afterLines="40" w:after="96" w:line="240" w:lineRule="auto"/>
              <w:ind w:left="-227" w:right="-57"/>
              <w:jc w:val="right"/>
              <w:rPr>
                <w:rFonts w:ascii="Times New Roman" w:hAnsi="Times New Roman"/>
                <w:b/>
                <w:sz w:val="26"/>
                <w:szCs w:val="26"/>
              </w:rPr>
            </w:pPr>
            <w:r w:rsidRPr="00E45D07">
              <w:rPr>
                <w:rFonts w:ascii="Times New Roman" w:hAnsi="Times New Roman"/>
                <w:b/>
                <w:sz w:val="26"/>
                <w:szCs w:val="26"/>
              </w:rPr>
              <w:t>Kopā</w:t>
            </w:r>
          </w:p>
          <w:p w:rsidR="0041110C" w:rsidRPr="00E45D07" w:rsidRDefault="0041110C" w:rsidP="00E45D07">
            <w:pPr>
              <w:spacing w:afterLines="40" w:after="96" w:line="240" w:lineRule="auto"/>
              <w:ind w:left="-227" w:right="-57"/>
              <w:jc w:val="right"/>
              <w:rPr>
                <w:rFonts w:ascii="Times New Roman" w:hAnsi="Times New Roman"/>
                <w:sz w:val="26"/>
                <w:szCs w:val="26"/>
              </w:rPr>
            </w:pPr>
            <w:r w:rsidRPr="00E45D07">
              <w:rPr>
                <w:rFonts w:ascii="Times New Roman" w:hAnsi="Times New Roman"/>
                <w:sz w:val="26"/>
                <w:szCs w:val="26"/>
              </w:rPr>
              <w:t>Lauksaimniecība</w:t>
            </w:r>
          </w:p>
          <w:p w:rsidR="0041110C" w:rsidRPr="00E45D07" w:rsidRDefault="0041110C" w:rsidP="00E45D07">
            <w:pPr>
              <w:spacing w:afterLines="40" w:after="96" w:line="240" w:lineRule="auto"/>
              <w:ind w:left="-227" w:right="-57"/>
              <w:jc w:val="right"/>
              <w:rPr>
                <w:rFonts w:ascii="Times New Roman" w:hAnsi="Times New Roman"/>
                <w:b/>
                <w:sz w:val="26"/>
                <w:szCs w:val="26"/>
              </w:rPr>
            </w:pPr>
            <w:r w:rsidRPr="00E45D07">
              <w:rPr>
                <w:rFonts w:ascii="Times New Roman" w:hAnsi="Times New Roman"/>
                <w:b/>
                <w:sz w:val="26"/>
                <w:szCs w:val="26"/>
              </w:rPr>
              <w:t>Apstrādes rūpniecība</w:t>
            </w:r>
          </w:p>
          <w:p w:rsidR="0041110C" w:rsidRPr="00E45D07" w:rsidRDefault="0041110C" w:rsidP="00E45D07">
            <w:pPr>
              <w:spacing w:afterLines="40" w:after="96" w:line="240" w:lineRule="auto"/>
              <w:ind w:left="-227" w:right="-57"/>
              <w:jc w:val="right"/>
              <w:rPr>
                <w:rFonts w:ascii="Times New Roman" w:hAnsi="Times New Roman"/>
                <w:b/>
                <w:sz w:val="26"/>
                <w:szCs w:val="26"/>
              </w:rPr>
            </w:pPr>
            <w:r w:rsidRPr="00E45D07">
              <w:rPr>
                <w:rFonts w:ascii="Times New Roman" w:hAnsi="Times New Roman"/>
                <w:b/>
                <w:sz w:val="26"/>
                <w:szCs w:val="26"/>
              </w:rPr>
              <w:t>Pārējā rūpniecība</w:t>
            </w:r>
          </w:p>
          <w:p w:rsidR="0041110C" w:rsidRPr="00E45D07" w:rsidRDefault="0041110C" w:rsidP="00E45D07">
            <w:pPr>
              <w:spacing w:afterLines="40" w:after="96" w:line="240" w:lineRule="auto"/>
              <w:ind w:left="-227" w:right="-57"/>
              <w:jc w:val="right"/>
              <w:rPr>
                <w:rFonts w:ascii="Times New Roman" w:hAnsi="Times New Roman"/>
                <w:sz w:val="26"/>
                <w:szCs w:val="26"/>
              </w:rPr>
            </w:pPr>
            <w:r w:rsidRPr="00E45D07">
              <w:rPr>
                <w:rFonts w:ascii="Times New Roman" w:hAnsi="Times New Roman"/>
                <w:color w:val="000000"/>
                <w:sz w:val="26"/>
                <w:szCs w:val="26"/>
              </w:rPr>
              <w:t>Būvniecība</w:t>
            </w:r>
          </w:p>
          <w:p w:rsidR="0041110C" w:rsidRPr="00E45D07" w:rsidRDefault="0041110C" w:rsidP="00E45D07">
            <w:pPr>
              <w:spacing w:afterLines="40" w:after="96" w:line="240" w:lineRule="auto"/>
              <w:ind w:left="-227" w:right="-57"/>
              <w:jc w:val="right"/>
              <w:rPr>
                <w:rFonts w:ascii="Times New Roman" w:hAnsi="Times New Roman"/>
                <w:sz w:val="26"/>
                <w:szCs w:val="26"/>
              </w:rPr>
            </w:pPr>
            <w:r w:rsidRPr="00E45D07">
              <w:rPr>
                <w:rFonts w:ascii="Times New Roman" w:hAnsi="Times New Roman"/>
                <w:sz w:val="26"/>
                <w:szCs w:val="26"/>
              </w:rPr>
              <w:t>Tirdzniecība</w:t>
            </w:r>
          </w:p>
          <w:p w:rsidR="0041110C" w:rsidRPr="00E45D07" w:rsidRDefault="0041110C" w:rsidP="00E45D07">
            <w:pPr>
              <w:spacing w:afterLines="40" w:after="96" w:line="240" w:lineRule="auto"/>
              <w:ind w:left="-227" w:right="-57"/>
              <w:jc w:val="right"/>
              <w:rPr>
                <w:rFonts w:ascii="Times New Roman" w:hAnsi="Times New Roman"/>
                <w:sz w:val="26"/>
                <w:szCs w:val="26"/>
              </w:rPr>
            </w:pPr>
            <w:r w:rsidRPr="00E45D07">
              <w:rPr>
                <w:rFonts w:ascii="Times New Roman" w:hAnsi="Times New Roman"/>
                <w:sz w:val="26"/>
                <w:szCs w:val="26"/>
              </w:rPr>
              <w:t>Transports</w:t>
            </w:r>
          </w:p>
          <w:p w:rsidR="0041110C" w:rsidRPr="00E45D07" w:rsidRDefault="0041110C" w:rsidP="00E45D07">
            <w:pPr>
              <w:spacing w:afterLines="40" w:after="96" w:line="240" w:lineRule="auto"/>
              <w:ind w:left="-227" w:right="-57"/>
              <w:jc w:val="right"/>
              <w:rPr>
                <w:rFonts w:ascii="Times New Roman" w:hAnsi="Times New Roman"/>
                <w:sz w:val="26"/>
                <w:szCs w:val="26"/>
              </w:rPr>
            </w:pPr>
            <w:r w:rsidRPr="00E45D07">
              <w:rPr>
                <w:rFonts w:ascii="Times New Roman" w:hAnsi="Times New Roman"/>
                <w:sz w:val="26"/>
                <w:szCs w:val="26"/>
              </w:rPr>
              <w:t>Komercpakalpojumi</w:t>
            </w:r>
          </w:p>
          <w:p w:rsidR="0041110C" w:rsidRPr="00E45D07" w:rsidRDefault="0041110C" w:rsidP="00E45D07">
            <w:pPr>
              <w:spacing w:afterLines="40" w:after="96" w:line="240" w:lineRule="auto"/>
              <w:ind w:left="-227" w:right="-57"/>
              <w:jc w:val="right"/>
              <w:rPr>
                <w:rFonts w:ascii="Times New Roman" w:hAnsi="Times New Roman"/>
                <w:sz w:val="26"/>
                <w:szCs w:val="26"/>
              </w:rPr>
            </w:pPr>
            <w:r w:rsidRPr="00E45D07">
              <w:rPr>
                <w:rFonts w:ascii="Times New Roman" w:hAnsi="Times New Roman"/>
                <w:sz w:val="26"/>
                <w:szCs w:val="26"/>
              </w:rPr>
              <w:t>Sabiedriskie pakalpojumi</w:t>
            </w:r>
          </w:p>
        </w:tc>
        <w:tc>
          <w:tcPr>
            <w:tcW w:w="5570" w:type="dxa"/>
            <w:shd w:val="clear" w:color="auto" w:fill="auto"/>
          </w:tcPr>
          <w:p w:rsidR="0041110C" w:rsidRPr="00E45D07" w:rsidRDefault="0041110C" w:rsidP="00E45D07">
            <w:pPr>
              <w:spacing w:afterLines="40" w:after="96" w:line="240" w:lineRule="auto"/>
              <w:ind w:left="-227"/>
              <w:jc w:val="right"/>
              <w:rPr>
                <w:rFonts w:ascii="Times New Roman" w:hAnsi="Times New Roman"/>
                <w:color w:val="000000"/>
                <w:sz w:val="26"/>
                <w:szCs w:val="26"/>
              </w:rPr>
            </w:pPr>
            <w:r w:rsidRPr="00E45D07">
              <w:rPr>
                <w:rFonts w:ascii="Times New Roman" w:hAnsi="Times New Roman"/>
                <w:noProof/>
                <w:color w:val="000000"/>
                <w:sz w:val="26"/>
                <w:szCs w:val="26"/>
                <w:lang w:eastAsia="lv-LV"/>
              </w:rPr>
              <w:drawing>
                <wp:inline distT="0" distB="0" distL="0" distR="0" wp14:anchorId="28B8D76C" wp14:editId="562D1935">
                  <wp:extent cx="3409950" cy="2514600"/>
                  <wp:effectExtent l="0" t="0" r="0" b="0"/>
                  <wp:docPr id="2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41110C" w:rsidRPr="00E45D07" w:rsidRDefault="0041110C" w:rsidP="00E45D07">
      <w:pPr>
        <w:spacing w:afterLines="40" w:after="96" w:line="240" w:lineRule="auto"/>
        <w:jc w:val="both"/>
        <w:rPr>
          <w:rFonts w:ascii="Times New Roman" w:hAnsi="Times New Roman"/>
          <w:color w:val="000000"/>
          <w:sz w:val="26"/>
          <w:szCs w:val="26"/>
        </w:rPr>
      </w:pPr>
    </w:p>
    <w:p w:rsidR="0041110C" w:rsidRPr="00E45D07" w:rsidRDefault="0041110C" w:rsidP="005F683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 xml:space="preserve">Turklāt par vidēja un ilgtermiņa EKG pozitīvo ietekmi uz darba tirgu (nodarbinātību) ļauj secināt citu valstu prakse vidēja un ilgtermiņa EKG sniegšanā. Piemēram, saskaņā ar Vācijas Federālās valdības Ekonomikas un tehnoloģiju ministrijas pasūtījuma IFO Institūta veikto pētījumu 2011.gadā „Par EKA vidēja un ilgtermiņa EKG ietekmi uz nodarbinātību” konstatēts, ka valsts eksporta kredīta aktivitāte sekmē nodarbinātības pieaugumu. Vienlaikus pētījums arī parāda, ka, lai arī vidēja un ilgtermiņa EKG aktivitāte galvenokārt ir orientēta uz lielajiem </w:t>
      </w:r>
      <w:r w:rsidRPr="00E45D07">
        <w:rPr>
          <w:rFonts w:ascii="Times New Roman" w:hAnsi="Times New Roman"/>
          <w:color w:val="000000"/>
          <w:sz w:val="26"/>
          <w:szCs w:val="26"/>
        </w:rPr>
        <w:lastRenderedPageBreak/>
        <w:t>uzņēmumiem</w:t>
      </w:r>
      <w:r w:rsidRPr="00E45D07">
        <w:rPr>
          <w:rStyle w:val="FootnoteReference"/>
          <w:rFonts w:ascii="Times New Roman" w:hAnsi="Times New Roman"/>
          <w:color w:val="000000"/>
          <w:sz w:val="26"/>
          <w:szCs w:val="26"/>
        </w:rPr>
        <w:footnoteReference w:id="30"/>
      </w:r>
      <w:r w:rsidRPr="00E45D07">
        <w:rPr>
          <w:rFonts w:ascii="Times New Roman" w:hAnsi="Times New Roman"/>
          <w:color w:val="000000"/>
          <w:sz w:val="26"/>
          <w:szCs w:val="26"/>
        </w:rPr>
        <w:t>, tai ir netieša pozitīva ietekme uz maziem un vidējiem uzņēmumiem. Tas skaidrojams ar to, ka mazie un vidējie uzņēmumi kā atsevišķu izejvielu pozīciju piegādātāji, lielā mērā ir tieši atkarīgi no lielo uzņēmumu eksportējamajiem daudzumiem.</w:t>
      </w:r>
    </w:p>
    <w:p w:rsidR="0041110C" w:rsidRPr="00357745" w:rsidRDefault="0041110C" w:rsidP="00E45D07">
      <w:pPr>
        <w:pStyle w:val="Heading1"/>
        <w:spacing w:before="0" w:afterLines="40" w:after="96" w:line="240" w:lineRule="auto"/>
        <w:rPr>
          <w:rFonts w:ascii="Times New Roman" w:hAnsi="Times New Roman"/>
          <w:color w:val="000000"/>
          <w:sz w:val="10"/>
          <w:szCs w:val="10"/>
        </w:rPr>
      </w:pPr>
    </w:p>
    <w:p w:rsidR="0041110C" w:rsidRPr="00E45D07" w:rsidRDefault="0041110C" w:rsidP="00E45D07">
      <w:pPr>
        <w:pStyle w:val="Heading1"/>
        <w:spacing w:before="0" w:afterLines="40" w:after="96" w:line="240" w:lineRule="auto"/>
        <w:rPr>
          <w:rFonts w:ascii="Times New Roman" w:hAnsi="Times New Roman"/>
          <w:color w:val="000000"/>
          <w:sz w:val="26"/>
          <w:szCs w:val="26"/>
        </w:rPr>
      </w:pPr>
      <w:bookmarkStart w:id="15" w:name="_Toc388627041"/>
      <w:r w:rsidRPr="00E45D07">
        <w:rPr>
          <w:rFonts w:ascii="Times New Roman" w:hAnsi="Times New Roman"/>
          <w:color w:val="000000"/>
          <w:sz w:val="26"/>
          <w:szCs w:val="26"/>
        </w:rPr>
        <w:t>3. LGA vidēja un ilgtermiņa eksporta kredīta garantiju programmas kritēriji</w:t>
      </w:r>
      <w:bookmarkEnd w:id="15"/>
      <w:r w:rsidRPr="00E45D07">
        <w:rPr>
          <w:rFonts w:ascii="Times New Roman" w:hAnsi="Times New Roman"/>
          <w:color w:val="000000"/>
          <w:sz w:val="26"/>
          <w:szCs w:val="26"/>
        </w:rPr>
        <w:t xml:space="preserve"> </w:t>
      </w:r>
    </w:p>
    <w:p w:rsidR="0041110C" w:rsidRPr="00E45D07" w:rsidRDefault="0041110C" w:rsidP="005E0930">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LGA ieviesīs vidēja un ilgtermiņa EKG saskaņā ar Regulas Nr.1233/2011 “Par vispārēju vadlīniju piemērošanu oficiāli atbalstītu eksporta kredītu jomā” nosacījumiem. Papildus tiks ņemts vērā arī “nacionālās intereses faktors” jeb preču izcelsme atbalstāmajos eksporta darījumos. Galvenie saistošie nosacījumi, kas šobrīd ir noteikti, izstrādājot instrumentu:</w:t>
      </w:r>
    </w:p>
    <w:p w:rsidR="0041110C" w:rsidRPr="00E45D07" w:rsidRDefault="0041110C" w:rsidP="00E45D07">
      <w:pPr>
        <w:pStyle w:val="tv2131"/>
        <w:numPr>
          <w:ilvl w:val="0"/>
          <w:numId w:val="25"/>
        </w:numPr>
        <w:spacing w:before="0"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Garantijas tiks sniegtas par eksporta darījumiem, kuros eksportam paredzētā prece ir pilnībā iegūta Latvijā vai, ja ražošanā ir iesaistīta vairāk nekā viena valsts, Latvija ir valsts, kurā šim nolūkam apgādātā ražotnē notikusi pēdējā būtiskā ekonomiski pamatotā apstrāde vai pārstrāde, kā rezultātā ir saražots jauns produkts vai ir būtisks tā ražošanas stadijā.</w:t>
      </w:r>
    </w:p>
    <w:p w:rsidR="0041110C" w:rsidRPr="00E45D07" w:rsidRDefault="0041110C" w:rsidP="00E45D07">
      <w:pPr>
        <w:pStyle w:val="tv2131"/>
        <w:numPr>
          <w:ilvl w:val="0"/>
          <w:numId w:val="25"/>
        </w:numPr>
        <w:spacing w:before="0"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Pakalpojumu eksporta gadījumā garantijas tiks sniegtas par eksporta darījumiem, kuros pakalpojuma sniedzējs ir Latvijas Republikā reģistrēts komersants.</w:t>
      </w:r>
    </w:p>
    <w:p w:rsidR="0041110C" w:rsidRPr="00E45D07" w:rsidRDefault="0041110C" w:rsidP="00E45D07">
      <w:pPr>
        <w:pStyle w:val="tv2131"/>
        <w:numPr>
          <w:ilvl w:val="0"/>
          <w:numId w:val="25"/>
        </w:numPr>
        <w:spacing w:before="0" w:afterLines="40" w:after="96" w:line="240" w:lineRule="auto"/>
        <w:rPr>
          <w:rFonts w:ascii="Times New Roman" w:hAnsi="Times New Roman"/>
          <w:sz w:val="26"/>
          <w:szCs w:val="26"/>
        </w:rPr>
      </w:pPr>
      <w:bookmarkStart w:id="16" w:name="p5"/>
      <w:bookmarkEnd w:id="16"/>
      <w:r w:rsidRPr="00E45D07">
        <w:rPr>
          <w:rFonts w:ascii="Times New Roman" w:hAnsi="Times New Roman"/>
          <w:color w:val="000000"/>
          <w:sz w:val="26"/>
          <w:szCs w:val="26"/>
        </w:rPr>
        <w:t xml:space="preserve">Garantija segs līdz </w:t>
      </w:r>
      <w:r w:rsidRPr="00E45D07">
        <w:rPr>
          <w:rFonts w:ascii="Times New Roman" w:hAnsi="Times New Roman"/>
          <w:b/>
          <w:color w:val="000000"/>
          <w:sz w:val="26"/>
          <w:szCs w:val="26"/>
        </w:rPr>
        <w:t>90%</w:t>
      </w:r>
      <w:r w:rsidRPr="00E45D07">
        <w:rPr>
          <w:rFonts w:ascii="Times New Roman" w:hAnsi="Times New Roman"/>
          <w:color w:val="000000"/>
          <w:sz w:val="26"/>
          <w:szCs w:val="26"/>
        </w:rPr>
        <w:t xml:space="preserve"> no eksporta kredīta summas, bet ne vairāk kā </w:t>
      </w:r>
      <w:r w:rsidRPr="00E45D07">
        <w:rPr>
          <w:rFonts w:ascii="Times New Roman" w:hAnsi="Times New Roman"/>
          <w:b/>
          <w:color w:val="000000"/>
          <w:sz w:val="26"/>
          <w:szCs w:val="26"/>
        </w:rPr>
        <w:t>85%</w:t>
      </w:r>
      <w:r w:rsidRPr="00E45D07">
        <w:rPr>
          <w:rFonts w:ascii="Times New Roman" w:hAnsi="Times New Roman"/>
          <w:color w:val="000000"/>
          <w:sz w:val="26"/>
          <w:szCs w:val="26"/>
        </w:rPr>
        <w:t xml:space="preserve"> no eksporta līguma summas.</w:t>
      </w:r>
      <w:bookmarkStart w:id="17" w:name="p6"/>
      <w:bookmarkStart w:id="18" w:name="p7"/>
      <w:bookmarkEnd w:id="17"/>
      <w:bookmarkEnd w:id="18"/>
    </w:p>
    <w:p w:rsidR="0041110C" w:rsidRPr="00E45D07" w:rsidRDefault="0041110C" w:rsidP="00E45D07">
      <w:pPr>
        <w:pStyle w:val="tv2131"/>
        <w:numPr>
          <w:ilvl w:val="0"/>
          <w:numId w:val="25"/>
        </w:numPr>
        <w:spacing w:before="0"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 xml:space="preserve">Pircējam būs jāveic vismaz </w:t>
      </w:r>
      <w:r w:rsidRPr="00E45D07">
        <w:rPr>
          <w:rFonts w:ascii="Times New Roman" w:hAnsi="Times New Roman"/>
          <w:b/>
          <w:color w:val="000000"/>
          <w:sz w:val="26"/>
          <w:szCs w:val="26"/>
        </w:rPr>
        <w:t>15%</w:t>
      </w:r>
      <w:r w:rsidRPr="00E45D07">
        <w:rPr>
          <w:rFonts w:ascii="Times New Roman" w:hAnsi="Times New Roman"/>
          <w:color w:val="000000"/>
          <w:sz w:val="26"/>
          <w:szCs w:val="26"/>
        </w:rPr>
        <w:t xml:space="preserve"> priekšapmaksa no kopējās eksporta līguma summas, kāda tā ir noteikta kredīta izsniegšanas brīdī. Priekšapmaksas apmēru būs iespējams proporcionāli samazināt par to darījuma daļu, kuru veido trešo valstu izcelsmes preces vai šo valstu rezidentu sniegtie pakalpojumi.</w:t>
      </w:r>
    </w:p>
    <w:p w:rsidR="0041110C" w:rsidRPr="00E45D07" w:rsidRDefault="0041110C" w:rsidP="00E45D07">
      <w:pPr>
        <w:pStyle w:val="tv2131"/>
        <w:numPr>
          <w:ilvl w:val="0"/>
          <w:numId w:val="25"/>
        </w:numPr>
        <w:spacing w:before="0"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Pircējam eksporta kredīta pamatsummas maksājumi būs jāveic ne retāk kā reizi sešos mēnešos, un pirmais maksājums par pamatsummu būs izdarāms ne vēlāk kā sešus mēnešus pēc kreditēšanas termiņa sākuma atbilstoši eksporta vai aizdevuma līgumam.</w:t>
      </w:r>
    </w:p>
    <w:p w:rsidR="0041110C" w:rsidRPr="00E45D07" w:rsidRDefault="0041110C" w:rsidP="00E45D07">
      <w:pPr>
        <w:pStyle w:val="tv2131"/>
        <w:numPr>
          <w:ilvl w:val="0"/>
          <w:numId w:val="25"/>
        </w:numPr>
        <w:spacing w:before="0"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Maksimālā garantijas summa darījumā ar vienu pircēju nepārsniegs 5 miljonus EUR.</w:t>
      </w:r>
    </w:p>
    <w:p w:rsidR="0041110C" w:rsidRPr="00E45D07" w:rsidRDefault="0041110C" w:rsidP="00E45D07">
      <w:pPr>
        <w:pStyle w:val="tv2131"/>
        <w:numPr>
          <w:ilvl w:val="0"/>
          <w:numId w:val="25"/>
        </w:numPr>
        <w:spacing w:before="0" w:afterLines="40" w:after="96" w:line="240" w:lineRule="auto"/>
        <w:rPr>
          <w:rFonts w:ascii="Times New Roman" w:hAnsi="Times New Roman"/>
          <w:color w:val="000000"/>
          <w:sz w:val="26"/>
          <w:szCs w:val="26"/>
        </w:rPr>
      </w:pPr>
      <w:r w:rsidRPr="00E45D07">
        <w:rPr>
          <w:rFonts w:ascii="Times New Roman" w:hAnsi="Times New Roman"/>
          <w:color w:val="000000"/>
          <w:sz w:val="26"/>
          <w:szCs w:val="26"/>
        </w:rPr>
        <w:t>Garantiju prēmiju apmēra un cenošanas politika tiks noteikta saskaņā ar OECD vadlīnijām un neietvers subsīdijas elementu.</w:t>
      </w:r>
    </w:p>
    <w:p w:rsidR="0041110C" w:rsidRPr="00357745" w:rsidRDefault="0041110C" w:rsidP="00E45D07">
      <w:pPr>
        <w:pStyle w:val="ListParagraph"/>
        <w:spacing w:afterLines="40" w:after="96"/>
        <w:rPr>
          <w:rFonts w:ascii="Times New Roman" w:hAnsi="Times New Roman"/>
          <w:color w:val="000000"/>
          <w:sz w:val="10"/>
          <w:szCs w:val="10"/>
        </w:rPr>
      </w:pPr>
    </w:p>
    <w:p w:rsidR="0041110C" w:rsidRDefault="0041110C" w:rsidP="005E0930">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Lai arī programmas primārais mērķis nav peļņas gūšana, bet gan Latvijas kapitāla preču eksporta veicināšana, balstoties uz citu valstu līdzšinējo pieredzi (skat. 2.4.2.sadaļu), provizoriskais programmas finanšu budžets ir sastādīts, pieņemot, ka tā būs pašfinansējoša.</w:t>
      </w:r>
    </w:p>
    <w:p w:rsidR="00357745" w:rsidRDefault="00357745" w:rsidP="005E0930">
      <w:pPr>
        <w:spacing w:afterLines="40" w:after="96" w:line="240" w:lineRule="auto"/>
        <w:ind w:firstLine="567"/>
        <w:jc w:val="both"/>
        <w:rPr>
          <w:rFonts w:ascii="Times New Roman" w:hAnsi="Times New Roman"/>
          <w:color w:val="000000"/>
          <w:sz w:val="26"/>
          <w:szCs w:val="26"/>
        </w:rPr>
      </w:pPr>
    </w:p>
    <w:p w:rsidR="00357745" w:rsidRPr="00E45D07" w:rsidRDefault="00357745" w:rsidP="005E0930">
      <w:pPr>
        <w:spacing w:afterLines="40" w:after="96" w:line="240" w:lineRule="auto"/>
        <w:ind w:firstLine="567"/>
        <w:jc w:val="both"/>
        <w:rPr>
          <w:rFonts w:ascii="Times New Roman" w:hAnsi="Times New Roman"/>
          <w:color w:val="000000"/>
          <w:sz w:val="26"/>
          <w:szCs w:val="26"/>
        </w:rPr>
      </w:pPr>
    </w:p>
    <w:p w:rsidR="0041110C" w:rsidRPr="00E45D07" w:rsidRDefault="00AE510D" w:rsidP="00AE510D">
      <w:pPr>
        <w:pStyle w:val="ListParagraph"/>
        <w:spacing w:afterLines="40" w:after="96"/>
        <w:jc w:val="right"/>
        <w:rPr>
          <w:rFonts w:ascii="Times New Roman" w:hAnsi="Times New Roman"/>
          <w:color w:val="000000"/>
          <w:sz w:val="26"/>
          <w:szCs w:val="26"/>
        </w:rPr>
      </w:pPr>
      <w:r>
        <w:rPr>
          <w:rFonts w:ascii="Times New Roman" w:hAnsi="Times New Roman"/>
          <w:color w:val="000000"/>
          <w:sz w:val="26"/>
          <w:szCs w:val="26"/>
        </w:rPr>
        <w:lastRenderedPageBreak/>
        <w:t>3.1.tabula</w:t>
      </w:r>
    </w:p>
    <w:p w:rsidR="0041110C" w:rsidRPr="00E45D07" w:rsidRDefault="0041110C" w:rsidP="00AE510D">
      <w:pPr>
        <w:spacing w:afterLines="100" w:after="240"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Plānotais finanšu budžets, EUR</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017"/>
        <w:gridCol w:w="1196"/>
        <w:gridCol w:w="1196"/>
        <w:gridCol w:w="1196"/>
        <w:gridCol w:w="1196"/>
        <w:gridCol w:w="1196"/>
        <w:gridCol w:w="1196"/>
      </w:tblGrid>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p>
        </w:tc>
        <w:tc>
          <w:tcPr>
            <w:tcW w:w="1196" w:type="dxa"/>
            <w:shd w:val="clear" w:color="auto" w:fill="FFFFFF" w:themeFill="background1"/>
            <w:tcMar>
              <w:top w:w="13" w:type="dxa"/>
              <w:left w:w="13" w:type="dxa"/>
              <w:bottom w:w="0" w:type="dxa"/>
              <w:right w:w="13" w:type="dxa"/>
            </w:tcMar>
            <w:vAlign w:val="center"/>
            <w:hideMark/>
          </w:tcPr>
          <w:p w:rsidR="0041110C" w:rsidRPr="004C7506" w:rsidRDefault="0041110C" w:rsidP="004C7506">
            <w:pPr>
              <w:spacing w:afterLines="40" w:after="96" w:line="240" w:lineRule="auto"/>
              <w:jc w:val="center"/>
              <w:rPr>
                <w:rFonts w:ascii="Times New Roman" w:hAnsi="Times New Roman"/>
                <w:color w:val="000000"/>
                <w:sz w:val="24"/>
                <w:szCs w:val="24"/>
              </w:rPr>
            </w:pPr>
            <w:r w:rsidRPr="004C7506">
              <w:rPr>
                <w:rFonts w:ascii="Times New Roman" w:hAnsi="Times New Roman"/>
                <w:b/>
                <w:bCs/>
                <w:color w:val="000000"/>
                <w:sz w:val="24"/>
                <w:szCs w:val="24"/>
              </w:rPr>
              <w:t>2015</w:t>
            </w:r>
          </w:p>
        </w:tc>
        <w:tc>
          <w:tcPr>
            <w:tcW w:w="1196" w:type="dxa"/>
            <w:shd w:val="clear" w:color="auto" w:fill="FFFFFF" w:themeFill="background1"/>
            <w:tcMar>
              <w:top w:w="13" w:type="dxa"/>
              <w:left w:w="13" w:type="dxa"/>
              <w:bottom w:w="0" w:type="dxa"/>
              <w:right w:w="13" w:type="dxa"/>
            </w:tcMar>
            <w:vAlign w:val="center"/>
            <w:hideMark/>
          </w:tcPr>
          <w:p w:rsidR="0041110C" w:rsidRPr="004C7506" w:rsidRDefault="0041110C" w:rsidP="004C7506">
            <w:pPr>
              <w:spacing w:afterLines="40" w:after="96" w:line="240" w:lineRule="auto"/>
              <w:jc w:val="center"/>
              <w:rPr>
                <w:rFonts w:ascii="Times New Roman" w:hAnsi="Times New Roman"/>
                <w:color w:val="000000"/>
                <w:sz w:val="24"/>
                <w:szCs w:val="24"/>
              </w:rPr>
            </w:pPr>
            <w:r w:rsidRPr="004C7506">
              <w:rPr>
                <w:rFonts w:ascii="Times New Roman" w:hAnsi="Times New Roman"/>
                <w:b/>
                <w:bCs/>
                <w:color w:val="000000"/>
                <w:sz w:val="24"/>
                <w:szCs w:val="24"/>
              </w:rPr>
              <w:t>2016</w:t>
            </w:r>
          </w:p>
        </w:tc>
        <w:tc>
          <w:tcPr>
            <w:tcW w:w="1196" w:type="dxa"/>
            <w:shd w:val="clear" w:color="auto" w:fill="FFFFFF" w:themeFill="background1"/>
            <w:tcMar>
              <w:top w:w="13" w:type="dxa"/>
              <w:left w:w="13" w:type="dxa"/>
              <w:bottom w:w="0" w:type="dxa"/>
              <w:right w:w="13" w:type="dxa"/>
            </w:tcMar>
            <w:vAlign w:val="center"/>
            <w:hideMark/>
          </w:tcPr>
          <w:p w:rsidR="0041110C" w:rsidRPr="004C7506" w:rsidRDefault="0041110C" w:rsidP="004C7506">
            <w:pPr>
              <w:spacing w:afterLines="40" w:after="96" w:line="240" w:lineRule="auto"/>
              <w:jc w:val="center"/>
              <w:rPr>
                <w:rFonts w:ascii="Times New Roman" w:hAnsi="Times New Roman"/>
                <w:color w:val="000000"/>
                <w:sz w:val="24"/>
                <w:szCs w:val="24"/>
              </w:rPr>
            </w:pPr>
            <w:r w:rsidRPr="004C7506">
              <w:rPr>
                <w:rFonts w:ascii="Times New Roman" w:hAnsi="Times New Roman"/>
                <w:b/>
                <w:bCs/>
                <w:color w:val="000000"/>
                <w:sz w:val="24"/>
                <w:szCs w:val="24"/>
              </w:rPr>
              <w:t>2017</w:t>
            </w:r>
          </w:p>
        </w:tc>
        <w:tc>
          <w:tcPr>
            <w:tcW w:w="1196" w:type="dxa"/>
            <w:shd w:val="clear" w:color="auto" w:fill="FFFFFF" w:themeFill="background1"/>
            <w:tcMar>
              <w:top w:w="13" w:type="dxa"/>
              <w:left w:w="13" w:type="dxa"/>
              <w:bottom w:w="0" w:type="dxa"/>
              <w:right w:w="13" w:type="dxa"/>
            </w:tcMar>
            <w:vAlign w:val="center"/>
            <w:hideMark/>
          </w:tcPr>
          <w:p w:rsidR="0041110C" w:rsidRPr="004C7506" w:rsidRDefault="0041110C" w:rsidP="004C7506">
            <w:pPr>
              <w:spacing w:afterLines="40" w:after="96" w:line="240" w:lineRule="auto"/>
              <w:jc w:val="center"/>
              <w:rPr>
                <w:rFonts w:ascii="Times New Roman" w:hAnsi="Times New Roman"/>
                <w:color w:val="000000"/>
                <w:sz w:val="24"/>
                <w:szCs w:val="24"/>
              </w:rPr>
            </w:pPr>
            <w:r w:rsidRPr="004C7506">
              <w:rPr>
                <w:rFonts w:ascii="Times New Roman" w:hAnsi="Times New Roman"/>
                <w:b/>
                <w:bCs/>
                <w:color w:val="000000"/>
                <w:sz w:val="24"/>
                <w:szCs w:val="24"/>
              </w:rPr>
              <w:t>2018</w:t>
            </w:r>
          </w:p>
        </w:tc>
        <w:tc>
          <w:tcPr>
            <w:tcW w:w="1196" w:type="dxa"/>
            <w:shd w:val="clear" w:color="auto" w:fill="FFFFFF" w:themeFill="background1"/>
            <w:tcMar>
              <w:top w:w="13" w:type="dxa"/>
              <w:left w:w="13" w:type="dxa"/>
              <w:bottom w:w="0" w:type="dxa"/>
              <w:right w:w="13" w:type="dxa"/>
            </w:tcMar>
            <w:vAlign w:val="center"/>
            <w:hideMark/>
          </w:tcPr>
          <w:p w:rsidR="0041110C" w:rsidRPr="004C7506" w:rsidRDefault="0041110C" w:rsidP="004C7506">
            <w:pPr>
              <w:spacing w:afterLines="40" w:after="96" w:line="240" w:lineRule="auto"/>
              <w:jc w:val="center"/>
              <w:rPr>
                <w:rFonts w:ascii="Times New Roman" w:hAnsi="Times New Roman"/>
                <w:color w:val="000000"/>
                <w:sz w:val="24"/>
                <w:szCs w:val="24"/>
              </w:rPr>
            </w:pPr>
            <w:r w:rsidRPr="004C7506">
              <w:rPr>
                <w:rFonts w:ascii="Times New Roman" w:hAnsi="Times New Roman"/>
                <w:b/>
                <w:bCs/>
                <w:color w:val="000000"/>
                <w:sz w:val="24"/>
                <w:szCs w:val="24"/>
              </w:rPr>
              <w:t>2019</w:t>
            </w:r>
          </w:p>
        </w:tc>
        <w:tc>
          <w:tcPr>
            <w:tcW w:w="1196" w:type="dxa"/>
            <w:shd w:val="clear" w:color="auto" w:fill="FFFFFF" w:themeFill="background1"/>
            <w:tcMar>
              <w:top w:w="13" w:type="dxa"/>
              <w:left w:w="13" w:type="dxa"/>
              <w:bottom w:w="0" w:type="dxa"/>
              <w:right w:w="13" w:type="dxa"/>
            </w:tcMar>
            <w:vAlign w:val="center"/>
            <w:hideMark/>
          </w:tcPr>
          <w:p w:rsidR="0041110C" w:rsidRPr="004C7506" w:rsidRDefault="0041110C" w:rsidP="004C7506">
            <w:pPr>
              <w:spacing w:afterLines="40" w:after="96" w:line="240" w:lineRule="auto"/>
              <w:jc w:val="center"/>
              <w:rPr>
                <w:rFonts w:ascii="Times New Roman" w:hAnsi="Times New Roman"/>
                <w:color w:val="000000"/>
                <w:sz w:val="24"/>
                <w:szCs w:val="24"/>
              </w:rPr>
            </w:pPr>
            <w:r w:rsidRPr="004C7506">
              <w:rPr>
                <w:rFonts w:ascii="Times New Roman" w:hAnsi="Times New Roman"/>
                <w:b/>
                <w:bCs/>
                <w:color w:val="000000"/>
                <w:sz w:val="24"/>
                <w:szCs w:val="24"/>
              </w:rPr>
              <w:t>2020</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Periodā izsniegtās garantijas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5 </w:t>
            </w:r>
            <w:r w:rsidR="0041110C" w:rsidRPr="004C7506">
              <w:rPr>
                <w:rFonts w:ascii="Times New Roman" w:hAnsi="Times New Roman"/>
                <w:color w:val="000000"/>
                <w:sz w:val="24"/>
                <w:szCs w:val="24"/>
              </w:rPr>
              <w:t>000</w:t>
            </w:r>
            <w:r>
              <w:rPr>
                <w:rFonts w:ascii="Times New Roman" w:hAnsi="Times New Roman"/>
                <w:color w:val="000000"/>
                <w:sz w:val="24"/>
                <w:szCs w:val="24"/>
              </w:rPr>
              <w:t>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10 </w:t>
            </w:r>
            <w:r w:rsidR="0041110C" w:rsidRPr="004C7506">
              <w:rPr>
                <w:rFonts w:ascii="Times New Roman" w:hAnsi="Times New Roman"/>
                <w:color w:val="000000"/>
                <w:sz w:val="24"/>
                <w:szCs w:val="24"/>
              </w:rPr>
              <w:t>000</w:t>
            </w:r>
            <w:r>
              <w:rPr>
                <w:rFonts w:ascii="Times New Roman" w:hAnsi="Times New Roman"/>
                <w:color w:val="000000"/>
                <w:sz w:val="24"/>
                <w:szCs w:val="24"/>
              </w:rPr>
              <w:t>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12</w:t>
            </w:r>
            <w:r w:rsidR="006E2244">
              <w:rPr>
                <w:rFonts w:ascii="Times New Roman" w:hAnsi="Times New Roman"/>
                <w:color w:val="000000"/>
                <w:sz w:val="24"/>
                <w:szCs w:val="24"/>
              </w:rPr>
              <w:t> </w:t>
            </w:r>
            <w:r w:rsidRPr="004C7506">
              <w:rPr>
                <w:rFonts w:ascii="Times New Roman" w:hAnsi="Times New Roman"/>
                <w:color w:val="000000"/>
                <w:sz w:val="24"/>
                <w:szCs w:val="24"/>
              </w:rPr>
              <w:t>000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14</w:t>
            </w:r>
            <w:r w:rsidR="006E2244">
              <w:rPr>
                <w:rFonts w:ascii="Times New Roman" w:hAnsi="Times New Roman"/>
                <w:color w:val="000000"/>
                <w:sz w:val="24"/>
                <w:szCs w:val="24"/>
              </w:rPr>
              <w:t> </w:t>
            </w:r>
            <w:r w:rsidRPr="004C7506">
              <w:rPr>
                <w:rFonts w:ascii="Times New Roman" w:hAnsi="Times New Roman"/>
                <w:color w:val="000000"/>
                <w:sz w:val="24"/>
                <w:szCs w:val="24"/>
              </w:rPr>
              <w:t>400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17</w:t>
            </w:r>
            <w:r w:rsidR="006E2244">
              <w:rPr>
                <w:rFonts w:ascii="Times New Roman" w:hAnsi="Times New Roman"/>
                <w:color w:val="000000"/>
                <w:sz w:val="24"/>
                <w:szCs w:val="24"/>
              </w:rPr>
              <w:t> </w:t>
            </w:r>
            <w:r w:rsidRPr="004C7506">
              <w:rPr>
                <w:rFonts w:ascii="Times New Roman" w:hAnsi="Times New Roman"/>
                <w:color w:val="000000"/>
                <w:sz w:val="24"/>
                <w:szCs w:val="24"/>
              </w:rPr>
              <w:t>280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20</w:t>
            </w:r>
            <w:r w:rsidR="006E2244">
              <w:rPr>
                <w:rFonts w:ascii="Times New Roman" w:hAnsi="Times New Roman"/>
                <w:color w:val="000000"/>
                <w:sz w:val="24"/>
                <w:szCs w:val="24"/>
              </w:rPr>
              <w:t> </w:t>
            </w:r>
            <w:r w:rsidRPr="004C7506">
              <w:rPr>
                <w:rFonts w:ascii="Times New Roman" w:hAnsi="Times New Roman"/>
                <w:color w:val="000000"/>
                <w:sz w:val="24"/>
                <w:szCs w:val="24"/>
              </w:rPr>
              <w:t>740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Iepriekšējo periodu garantijas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center"/>
              <w:rPr>
                <w:rFonts w:ascii="Times New Roman" w:hAnsi="Times New Roman"/>
                <w:color w:val="000000"/>
                <w:sz w:val="24"/>
                <w:szCs w:val="24"/>
              </w:rPr>
            </w:pPr>
            <w:r w:rsidRPr="004C7506">
              <w:rPr>
                <w:rFonts w:ascii="Times New Roman" w:hAnsi="Times New Roman"/>
                <w:color w:val="000000"/>
                <w:sz w:val="24"/>
                <w:szCs w:val="24"/>
              </w:rPr>
              <w:t>0</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5</w:t>
            </w:r>
            <w:r w:rsidR="006E2244">
              <w:rPr>
                <w:rFonts w:ascii="Times New Roman" w:hAnsi="Times New Roman"/>
                <w:color w:val="000000"/>
                <w:sz w:val="24"/>
                <w:szCs w:val="24"/>
              </w:rPr>
              <w:t> </w:t>
            </w:r>
            <w:r w:rsidRPr="004C7506">
              <w:rPr>
                <w:rFonts w:ascii="Times New Roman" w:hAnsi="Times New Roman"/>
                <w:color w:val="000000"/>
                <w:sz w:val="24"/>
                <w:szCs w:val="24"/>
              </w:rPr>
              <w:t>000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15</w:t>
            </w:r>
            <w:r w:rsidR="006E2244">
              <w:rPr>
                <w:rFonts w:ascii="Times New Roman" w:hAnsi="Times New Roman"/>
                <w:color w:val="000000"/>
                <w:sz w:val="24"/>
                <w:szCs w:val="24"/>
              </w:rPr>
              <w:t> </w:t>
            </w:r>
            <w:r w:rsidRPr="004C7506">
              <w:rPr>
                <w:rFonts w:ascii="Times New Roman" w:hAnsi="Times New Roman"/>
                <w:color w:val="000000"/>
                <w:sz w:val="24"/>
                <w:szCs w:val="24"/>
              </w:rPr>
              <w:t>000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27</w:t>
            </w:r>
            <w:r w:rsidR="006E2244">
              <w:rPr>
                <w:rFonts w:ascii="Times New Roman" w:hAnsi="Times New Roman"/>
                <w:color w:val="000000"/>
                <w:sz w:val="24"/>
                <w:szCs w:val="24"/>
              </w:rPr>
              <w:t> </w:t>
            </w:r>
            <w:r w:rsidRPr="004C7506">
              <w:rPr>
                <w:rFonts w:ascii="Times New Roman" w:hAnsi="Times New Roman"/>
                <w:color w:val="000000"/>
                <w:sz w:val="24"/>
                <w:szCs w:val="24"/>
              </w:rPr>
              <w:t>000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36</w:t>
            </w:r>
            <w:r w:rsidR="006E2244">
              <w:rPr>
                <w:rFonts w:ascii="Times New Roman" w:hAnsi="Times New Roman"/>
                <w:color w:val="000000"/>
                <w:sz w:val="24"/>
                <w:szCs w:val="24"/>
              </w:rPr>
              <w:t> </w:t>
            </w:r>
            <w:r w:rsidRPr="004C7506">
              <w:rPr>
                <w:rFonts w:ascii="Times New Roman" w:hAnsi="Times New Roman"/>
                <w:color w:val="000000"/>
                <w:sz w:val="24"/>
                <w:szCs w:val="24"/>
              </w:rPr>
              <w:t>000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46</w:t>
            </w:r>
            <w:r w:rsidR="006E2244">
              <w:rPr>
                <w:rFonts w:ascii="Times New Roman" w:hAnsi="Times New Roman"/>
                <w:color w:val="000000"/>
                <w:sz w:val="24"/>
                <w:szCs w:val="24"/>
              </w:rPr>
              <w:t> 080 </w:t>
            </w:r>
            <w:r w:rsidRPr="004C7506">
              <w:rPr>
                <w:rFonts w:ascii="Times New Roman" w:hAnsi="Times New Roman"/>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Izbeigušās garantiju saistības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center"/>
              <w:rPr>
                <w:rFonts w:ascii="Times New Roman" w:hAnsi="Times New Roman"/>
                <w:color w:val="000000"/>
                <w:sz w:val="24"/>
                <w:szCs w:val="24"/>
              </w:rPr>
            </w:pPr>
            <w:r w:rsidRPr="004C7506">
              <w:rPr>
                <w:rFonts w:ascii="Times New Roman" w:hAnsi="Times New Roman"/>
                <w:color w:val="000000"/>
                <w:sz w:val="24"/>
                <w:szCs w:val="24"/>
              </w:rPr>
              <w:t>0</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center"/>
              <w:rPr>
                <w:rFonts w:ascii="Times New Roman" w:hAnsi="Times New Roman"/>
                <w:color w:val="000000"/>
                <w:sz w:val="24"/>
                <w:szCs w:val="24"/>
              </w:rPr>
            </w:pPr>
            <w:r w:rsidRPr="004C7506">
              <w:rPr>
                <w:rFonts w:ascii="Times New Roman" w:hAnsi="Times New Roman"/>
                <w:color w:val="000000"/>
                <w:sz w:val="24"/>
                <w:szCs w:val="24"/>
              </w:rPr>
              <w:t>0</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center"/>
              <w:rPr>
                <w:rFonts w:ascii="Times New Roman" w:hAnsi="Times New Roman"/>
                <w:color w:val="000000"/>
                <w:sz w:val="24"/>
                <w:szCs w:val="24"/>
              </w:rPr>
            </w:pPr>
            <w:r w:rsidRPr="004C7506">
              <w:rPr>
                <w:rFonts w:ascii="Times New Roman" w:hAnsi="Times New Roman"/>
                <w:color w:val="000000"/>
                <w:sz w:val="24"/>
                <w:szCs w:val="24"/>
              </w:rPr>
              <w:t>0</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-5 </w:t>
            </w:r>
            <w:r w:rsidR="0041110C" w:rsidRPr="004C7506">
              <w:rPr>
                <w:rFonts w:ascii="Times New Roman" w:hAnsi="Times New Roman"/>
                <w:color w:val="000000"/>
                <w:sz w:val="24"/>
                <w:szCs w:val="24"/>
              </w:rPr>
              <w:t>400</w:t>
            </w:r>
            <w:r>
              <w:rPr>
                <w:rFonts w:ascii="Times New Roman" w:hAnsi="Times New Roman"/>
                <w:color w:val="000000"/>
                <w:sz w:val="24"/>
                <w:szCs w:val="24"/>
              </w:rPr>
              <w:t>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-7</w:t>
            </w:r>
            <w:r w:rsidR="006E2244">
              <w:rPr>
                <w:rFonts w:ascii="Times New Roman" w:hAnsi="Times New Roman"/>
                <w:color w:val="000000"/>
                <w:sz w:val="24"/>
                <w:szCs w:val="24"/>
              </w:rPr>
              <w:t> </w:t>
            </w:r>
            <w:r w:rsidRPr="004C7506">
              <w:rPr>
                <w:rFonts w:ascii="Times New Roman" w:hAnsi="Times New Roman"/>
                <w:color w:val="000000"/>
                <w:sz w:val="24"/>
                <w:szCs w:val="24"/>
              </w:rPr>
              <w:t>200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-9</w:t>
            </w:r>
            <w:r w:rsidR="006E2244">
              <w:rPr>
                <w:rFonts w:ascii="Times New Roman" w:hAnsi="Times New Roman"/>
                <w:color w:val="000000"/>
                <w:sz w:val="24"/>
                <w:szCs w:val="24"/>
              </w:rPr>
              <w:t> 220 </w:t>
            </w:r>
            <w:r w:rsidRPr="004C7506">
              <w:rPr>
                <w:rFonts w:ascii="Times New Roman" w:hAnsi="Times New Roman"/>
                <w:color w:val="000000"/>
                <w:sz w:val="24"/>
                <w:szCs w:val="24"/>
              </w:rPr>
              <w:t xml:space="preserve">000 </w:t>
            </w:r>
          </w:p>
        </w:tc>
      </w:tr>
      <w:tr w:rsidR="0041110C" w:rsidRPr="00E45D07" w:rsidTr="004C7506">
        <w:trPr>
          <w:trHeight w:val="219"/>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b/>
                <w:bCs/>
                <w:color w:val="000000"/>
                <w:sz w:val="24"/>
                <w:szCs w:val="24"/>
              </w:rPr>
              <w:t xml:space="preserve">Kopējās garantiju saistības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b/>
                <w:bCs/>
                <w:color w:val="000000"/>
                <w:sz w:val="24"/>
                <w:szCs w:val="24"/>
              </w:rPr>
              <w:t>5</w:t>
            </w:r>
            <w:r w:rsidR="006E2244">
              <w:rPr>
                <w:rFonts w:ascii="Times New Roman" w:hAnsi="Times New Roman"/>
                <w:b/>
                <w:bCs/>
                <w:color w:val="000000"/>
                <w:sz w:val="24"/>
                <w:szCs w:val="24"/>
              </w:rPr>
              <w:t> 000 </w:t>
            </w:r>
            <w:r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b/>
                <w:bCs/>
                <w:color w:val="000000"/>
                <w:sz w:val="24"/>
                <w:szCs w:val="24"/>
              </w:rPr>
              <w:t>15</w:t>
            </w:r>
            <w:r w:rsidR="006E2244">
              <w:rPr>
                <w:rFonts w:ascii="Times New Roman" w:hAnsi="Times New Roman"/>
                <w:b/>
                <w:bCs/>
                <w:color w:val="000000"/>
                <w:sz w:val="24"/>
                <w:szCs w:val="24"/>
              </w:rPr>
              <w:t> </w:t>
            </w:r>
            <w:r w:rsidRPr="004C7506">
              <w:rPr>
                <w:rFonts w:ascii="Times New Roman" w:hAnsi="Times New Roman"/>
                <w:b/>
                <w:bCs/>
                <w:color w:val="000000"/>
                <w:sz w:val="24"/>
                <w:szCs w:val="24"/>
              </w:rPr>
              <w:t>000</w:t>
            </w:r>
            <w:r w:rsidR="006E2244">
              <w:rPr>
                <w:rFonts w:ascii="Times New Roman" w:hAnsi="Times New Roman"/>
                <w:b/>
                <w:bCs/>
                <w:color w:val="000000"/>
                <w:sz w:val="24"/>
                <w:szCs w:val="24"/>
              </w:rPr>
              <w:t> </w:t>
            </w:r>
            <w:r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b/>
                <w:bCs/>
                <w:color w:val="000000"/>
                <w:sz w:val="24"/>
                <w:szCs w:val="24"/>
              </w:rPr>
              <w:t>27</w:t>
            </w:r>
            <w:r w:rsidR="006E2244">
              <w:rPr>
                <w:rFonts w:ascii="Times New Roman" w:hAnsi="Times New Roman"/>
                <w:b/>
                <w:bCs/>
                <w:color w:val="000000"/>
                <w:sz w:val="24"/>
                <w:szCs w:val="24"/>
              </w:rPr>
              <w:t> </w:t>
            </w:r>
            <w:r w:rsidRPr="004C7506">
              <w:rPr>
                <w:rFonts w:ascii="Times New Roman" w:hAnsi="Times New Roman"/>
                <w:b/>
                <w:bCs/>
                <w:color w:val="000000"/>
                <w:sz w:val="24"/>
                <w:szCs w:val="24"/>
              </w:rPr>
              <w:t>000</w:t>
            </w:r>
            <w:r w:rsidR="006E2244">
              <w:rPr>
                <w:rFonts w:ascii="Times New Roman" w:hAnsi="Times New Roman"/>
                <w:b/>
                <w:bCs/>
                <w:color w:val="000000"/>
                <w:sz w:val="24"/>
                <w:szCs w:val="24"/>
              </w:rPr>
              <w:t> </w:t>
            </w:r>
            <w:r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b/>
                <w:bCs/>
                <w:color w:val="000000"/>
                <w:sz w:val="24"/>
                <w:szCs w:val="24"/>
              </w:rPr>
              <w:t>36</w:t>
            </w:r>
            <w:r w:rsidR="006E2244">
              <w:rPr>
                <w:rFonts w:ascii="Times New Roman" w:hAnsi="Times New Roman"/>
                <w:b/>
                <w:bCs/>
                <w:color w:val="000000"/>
                <w:sz w:val="24"/>
                <w:szCs w:val="24"/>
              </w:rPr>
              <w:t> </w:t>
            </w:r>
            <w:r w:rsidRPr="004C7506">
              <w:rPr>
                <w:rFonts w:ascii="Times New Roman" w:hAnsi="Times New Roman"/>
                <w:b/>
                <w:bCs/>
                <w:color w:val="000000"/>
                <w:sz w:val="24"/>
                <w:szCs w:val="24"/>
              </w:rPr>
              <w:t>000</w:t>
            </w:r>
            <w:r w:rsidR="006E2244">
              <w:rPr>
                <w:rFonts w:ascii="Times New Roman" w:hAnsi="Times New Roman"/>
                <w:b/>
                <w:bCs/>
                <w:color w:val="000000"/>
                <w:sz w:val="24"/>
                <w:szCs w:val="24"/>
              </w:rPr>
              <w:t xml:space="preserve"> </w:t>
            </w:r>
            <w:r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b/>
                <w:bCs/>
                <w:color w:val="000000"/>
                <w:sz w:val="24"/>
                <w:szCs w:val="24"/>
              </w:rPr>
              <w:t>46</w:t>
            </w:r>
            <w:r w:rsidR="006E2244">
              <w:rPr>
                <w:rFonts w:ascii="Times New Roman" w:hAnsi="Times New Roman"/>
                <w:b/>
                <w:bCs/>
                <w:color w:val="000000"/>
                <w:sz w:val="24"/>
                <w:szCs w:val="24"/>
              </w:rPr>
              <w:t> 080 </w:t>
            </w:r>
            <w:r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b/>
                <w:bCs/>
                <w:color w:val="000000"/>
                <w:sz w:val="24"/>
                <w:szCs w:val="24"/>
              </w:rPr>
              <w:t>57</w:t>
            </w:r>
            <w:r w:rsidR="006E2244">
              <w:rPr>
                <w:rFonts w:ascii="Times New Roman" w:hAnsi="Times New Roman"/>
                <w:b/>
                <w:bCs/>
                <w:color w:val="000000"/>
                <w:sz w:val="24"/>
                <w:szCs w:val="24"/>
              </w:rPr>
              <w:t> </w:t>
            </w:r>
            <w:r w:rsidRPr="004C7506">
              <w:rPr>
                <w:rFonts w:ascii="Times New Roman" w:hAnsi="Times New Roman"/>
                <w:b/>
                <w:bCs/>
                <w:color w:val="000000"/>
                <w:sz w:val="24"/>
                <w:szCs w:val="24"/>
              </w:rPr>
              <w:t>600</w:t>
            </w:r>
            <w:r w:rsidR="006E2244">
              <w:rPr>
                <w:rFonts w:ascii="Times New Roman" w:hAnsi="Times New Roman"/>
                <w:b/>
                <w:bCs/>
                <w:color w:val="000000"/>
                <w:sz w:val="24"/>
                <w:szCs w:val="24"/>
              </w:rPr>
              <w:t> </w:t>
            </w:r>
            <w:r w:rsidRPr="004C7506">
              <w:rPr>
                <w:rFonts w:ascii="Times New Roman" w:hAnsi="Times New Roman"/>
                <w:b/>
                <w:bCs/>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Prēmiju ieņēmumi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40 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150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320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520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670 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850</w:t>
            </w:r>
            <w:r w:rsidR="006E2244">
              <w:rPr>
                <w:rFonts w:ascii="Times New Roman" w:hAnsi="Times New Roman"/>
                <w:color w:val="000000"/>
                <w:sz w:val="24"/>
                <w:szCs w:val="24"/>
              </w:rPr>
              <w:t> </w:t>
            </w:r>
            <w:r w:rsidRPr="004C7506">
              <w:rPr>
                <w:rFonts w:ascii="Times New Roman" w:hAnsi="Times New Roman"/>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Ienākumi no līdzekļu pārvaldīšanas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250 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510 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520 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520 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530 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530 </w:t>
            </w:r>
            <w:r w:rsidR="0041110C" w:rsidRPr="004C7506">
              <w:rPr>
                <w:rFonts w:ascii="Times New Roman" w:hAnsi="Times New Roman"/>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b/>
                <w:bCs/>
                <w:color w:val="000000"/>
                <w:sz w:val="24"/>
                <w:szCs w:val="24"/>
              </w:rPr>
              <w:t xml:space="preserve">Kopējie ienākumi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290 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660 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840 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1 040 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1 </w:t>
            </w:r>
            <w:r w:rsidR="0041110C" w:rsidRPr="004C7506">
              <w:rPr>
                <w:rFonts w:ascii="Times New Roman" w:hAnsi="Times New Roman"/>
                <w:b/>
                <w:bCs/>
                <w:color w:val="000000"/>
                <w:sz w:val="24"/>
                <w:szCs w:val="24"/>
              </w:rPr>
              <w:t>200</w:t>
            </w:r>
            <w:r>
              <w:rPr>
                <w:rFonts w:ascii="Times New Roman" w:hAnsi="Times New Roman"/>
                <w:b/>
                <w:bCs/>
                <w:color w:val="000000"/>
                <w:sz w:val="24"/>
                <w:szCs w:val="24"/>
              </w:rPr>
              <w:t xml:space="preserve">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6E2244"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1 </w:t>
            </w:r>
            <w:r w:rsidR="0041110C" w:rsidRPr="004C7506">
              <w:rPr>
                <w:rFonts w:ascii="Times New Roman" w:hAnsi="Times New Roman"/>
                <w:b/>
                <w:bCs/>
                <w:color w:val="000000"/>
                <w:sz w:val="24"/>
                <w:szCs w:val="24"/>
              </w:rPr>
              <w:t>380</w:t>
            </w:r>
            <w:r>
              <w:rPr>
                <w:rFonts w:ascii="Times New Roman" w:hAnsi="Times New Roman"/>
                <w:b/>
                <w:bCs/>
                <w:color w:val="000000"/>
                <w:sz w:val="24"/>
                <w:szCs w:val="24"/>
              </w:rPr>
              <w:t> </w:t>
            </w:r>
            <w:r w:rsidR="0041110C" w:rsidRPr="004C7506">
              <w:rPr>
                <w:rFonts w:ascii="Times New Roman" w:hAnsi="Times New Roman"/>
                <w:b/>
                <w:bCs/>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Zaudējumu atlīdzības izmaksas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center"/>
              <w:rPr>
                <w:rFonts w:ascii="Times New Roman" w:hAnsi="Times New Roman"/>
                <w:color w:val="000000"/>
                <w:sz w:val="24"/>
                <w:szCs w:val="24"/>
              </w:rPr>
            </w:pPr>
            <w:r w:rsidRPr="004C7506">
              <w:rPr>
                <w:rFonts w:ascii="Times New Roman" w:hAnsi="Times New Roman"/>
                <w:color w:val="000000"/>
                <w:sz w:val="24"/>
                <w:szCs w:val="24"/>
              </w:rPr>
              <w:t>0</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center"/>
              <w:rPr>
                <w:rFonts w:ascii="Times New Roman" w:hAnsi="Times New Roman"/>
                <w:color w:val="000000"/>
                <w:sz w:val="24"/>
                <w:szCs w:val="24"/>
              </w:rPr>
            </w:pPr>
            <w:r w:rsidRPr="004C7506">
              <w:rPr>
                <w:rFonts w:ascii="Times New Roman" w:hAnsi="Times New Roman"/>
                <w:color w:val="000000"/>
                <w:sz w:val="24"/>
                <w:szCs w:val="24"/>
              </w:rPr>
              <w:t>0</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-300 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-540 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-720 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-930</w:t>
            </w:r>
            <w:r w:rsidR="007125B8">
              <w:rPr>
                <w:rFonts w:ascii="Times New Roman" w:hAnsi="Times New Roman"/>
                <w:color w:val="000000"/>
                <w:sz w:val="24"/>
                <w:szCs w:val="24"/>
              </w:rPr>
              <w:t> </w:t>
            </w:r>
            <w:r w:rsidRPr="004C7506">
              <w:rPr>
                <w:rFonts w:ascii="Times New Roman" w:hAnsi="Times New Roman"/>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Vadības izmaksas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116A7C"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-150 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116A7C"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-300 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-300 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-300 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-300 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-300 </w:t>
            </w:r>
            <w:r w:rsidR="0041110C" w:rsidRPr="004C7506">
              <w:rPr>
                <w:rFonts w:ascii="Times New Roman" w:hAnsi="Times New Roman"/>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b/>
                <w:bCs/>
                <w:color w:val="000000"/>
                <w:sz w:val="24"/>
                <w:szCs w:val="24"/>
              </w:rPr>
              <w:t xml:space="preserve">Kopējie izdevumi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116A7C"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-150 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-300 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-600 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-840 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-1 020 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-1 230 </w:t>
            </w:r>
            <w:r w:rsidR="0041110C" w:rsidRPr="004C7506">
              <w:rPr>
                <w:rFonts w:ascii="Times New Roman" w:hAnsi="Times New Roman"/>
                <w:b/>
                <w:bCs/>
                <w:color w:val="000000"/>
                <w:sz w:val="24"/>
                <w:szCs w:val="24"/>
              </w:rPr>
              <w:t xml:space="preserve">000 </w:t>
            </w:r>
          </w:p>
        </w:tc>
      </w:tr>
      <w:tr w:rsidR="0041110C" w:rsidRPr="00E45D07" w:rsidTr="004C7506">
        <w:trPr>
          <w:trHeight w:val="219"/>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b/>
                <w:bCs/>
                <w:color w:val="000000"/>
                <w:sz w:val="24"/>
                <w:szCs w:val="24"/>
              </w:rPr>
              <w:t xml:space="preserve">Neto peļņa/zaudējumi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140 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360 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240 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200 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180 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150 </w:t>
            </w:r>
            <w:r w:rsidR="0041110C" w:rsidRPr="004C7506">
              <w:rPr>
                <w:rFonts w:ascii="Times New Roman" w:hAnsi="Times New Roman"/>
                <w:b/>
                <w:bCs/>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Uzkrātā peļņa/zaudējumi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140 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500 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740 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940 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1 </w:t>
            </w:r>
            <w:r w:rsidR="0041110C" w:rsidRPr="004C7506">
              <w:rPr>
                <w:rFonts w:ascii="Times New Roman" w:hAnsi="Times New Roman"/>
                <w:color w:val="000000"/>
                <w:sz w:val="24"/>
                <w:szCs w:val="24"/>
              </w:rPr>
              <w:t>120</w:t>
            </w:r>
            <w:r>
              <w:rPr>
                <w:rFonts w:ascii="Times New Roman" w:hAnsi="Times New Roman"/>
                <w:color w:val="000000"/>
                <w:sz w:val="24"/>
                <w:szCs w:val="24"/>
              </w:rPr>
              <w:t>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1</w:t>
            </w:r>
            <w:r w:rsidR="007125B8">
              <w:rPr>
                <w:rFonts w:ascii="Times New Roman" w:hAnsi="Times New Roman"/>
                <w:color w:val="000000"/>
                <w:sz w:val="24"/>
                <w:szCs w:val="24"/>
              </w:rPr>
              <w:t> </w:t>
            </w:r>
            <w:r w:rsidRPr="004C7506">
              <w:rPr>
                <w:rFonts w:ascii="Times New Roman" w:hAnsi="Times New Roman"/>
                <w:color w:val="000000"/>
                <w:sz w:val="24"/>
                <w:szCs w:val="24"/>
              </w:rPr>
              <w:t>270</w:t>
            </w:r>
            <w:r w:rsidR="007125B8">
              <w:rPr>
                <w:rFonts w:ascii="Times New Roman" w:hAnsi="Times New Roman"/>
                <w:color w:val="000000"/>
                <w:sz w:val="24"/>
                <w:szCs w:val="24"/>
              </w:rPr>
              <w:t xml:space="preserve"> </w:t>
            </w:r>
            <w:r w:rsidRPr="004C7506">
              <w:rPr>
                <w:rFonts w:ascii="Times New Roman" w:hAnsi="Times New Roman"/>
                <w:color w:val="000000"/>
                <w:sz w:val="24"/>
                <w:szCs w:val="24"/>
              </w:rPr>
              <w:t xml:space="preserve">000 </w:t>
            </w:r>
          </w:p>
        </w:tc>
      </w:tr>
      <w:tr w:rsidR="0041110C" w:rsidRPr="00E45D07" w:rsidTr="004C7506">
        <w:trPr>
          <w:trHeight w:val="207"/>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color w:val="000000"/>
                <w:sz w:val="24"/>
                <w:szCs w:val="24"/>
              </w:rPr>
              <w:t xml:space="preserve">Sākotnējais finansējums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20 </w:t>
            </w:r>
            <w:r w:rsidR="0041110C" w:rsidRPr="004C7506">
              <w:rPr>
                <w:rFonts w:ascii="Times New Roman" w:hAnsi="Times New Roman"/>
                <w:color w:val="000000"/>
                <w:sz w:val="24"/>
                <w:szCs w:val="24"/>
              </w:rPr>
              <w:t>000</w:t>
            </w:r>
            <w:r>
              <w:rPr>
                <w:rFonts w:ascii="Times New Roman" w:hAnsi="Times New Roman"/>
                <w:color w:val="000000"/>
                <w:sz w:val="24"/>
                <w:szCs w:val="24"/>
              </w:rPr>
              <w:t>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20 000 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20</w:t>
            </w:r>
            <w:r w:rsidR="007125B8">
              <w:rPr>
                <w:rFonts w:ascii="Times New Roman" w:hAnsi="Times New Roman"/>
                <w:color w:val="000000"/>
                <w:sz w:val="24"/>
                <w:szCs w:val="24"/>
              </w:rPr>
              <w:t> </w:t>
            </w:r>
            <w:r w:rsidRPr="004C7506">
              <w:rPr>
                <w:rFonts w:ascii="Times New Roman" w:hAnsi="Times New Roman"/>
                <w:color w:val="000000"/>
                <w:sz w:val="24"/>
                <w:szCs w:val="24"/>
              </w:rPr>
              <w:t>000</w:t>
            </w:r>
            <w:r w:rsidR="007125B8">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color w:val="000000"/>
                <w:sz w:val="24"/>
                <w:szCs w:val="24"/>
              </w:rPr>
              <w:t>20</w:t>
            </w:r>
            <w:r w:rsidR="007125B8">
              <w:rPr>
                <w:rFonts w:ascii="Times New Roman" w:hAnsi="Times New Roman"/>
                <w:color w:val="000000"/>
                <w:sz w:val="24"/>
                <w:szCs w:val="24"/>
              </w:rPr>
              <w:t> </w:t>
            </w:r>
            <w:r w:rsidRPr="004C7506">
              <w:rPr>
                <w:rFonts w:ascii="Times New Roman" w:hAnsi="Times New Roman"/>
                <w:color w:val="000000"/>
                <w:sz w:val="24"/>
                <w:szCs w:val="24"/>
              </w:rPr>
              <w:t>000</w:t>
            </w:r>
            <w:r w:rsidR="007125B8">
              <w:rPr>
                <w:rFonts w:ascii="Times New Roman" w:hAnsi="Times New Roman"/>
                <w:color w:val="000000"/>
                <w:sz w:val="24"/>
                <w:szCs w:val="24"/>
              </w:rPr>
              <w:t> </w:t>
            </w:r>
            <w:r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 xml:space="preserve">20 000 </w:t>
            </w:r>
            <w:r w:rsidR="0041110C" w:rsidRPr="004C7506">
              <w:rPr>
                <w:rFonts w:ascii="Times New Roman" w:hAnsi="Times New Roman"/>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color w:val="000000"/>
                <w:sz w:val="24"/>
                <w:szCs w:val="24"/>
              </w:rPr>
              <w:t>20 </w:t>
            </w:r>
            <w:r w:rsidR="0041110C" w:rsidRPr="004C7506">
              <w:rPr>
                <w:rFonts w:ascii="Times New Roman" w:hAnsi="Times New Roman"/>
                <w:color w:val="000000"/>
                <w:sz w:val="24"/>
                <w:szCs w:val="24"/>
              </w:rPr>
              <w:t>000</w:t>
            </w:r>
            <w:r>
              <w:rPr>
                <w:rFonts w:ascii="Times New Roman" w:hAnsi="Times New Roman"/>
                <w:color w:val="000000"/>
                <w:sz w:val="24"/>
                <w:szCs w:val="24"/>
              </w:rPr>
              <w:t> </w:t>
            </w:r>
            <w:r w:rsidR="0041110C" w:rsidRPr="004C7506">
              <w:rPr>
                <w:rFonts w:ascii="Times New Roman" w:hAnsi="Times New Roman"/>
                <w:color w:val="000000"/>
                <w:sz w:val="24"/>
                <w:szCs w:val="24"/>
              </w:rPr>
              <w:t xml:space="preserve">000 </w:t>
            </w:r>
          </w:p>
        </w:tc>
      </w:tr>
      <w:tr w:rsidR="0041110C" w:rsidRPr="00E45D07" w:rsidTr="004C7506">
        <w:trPr>
          <w:trHeight w:val="219"/>
        </w:trPr>
        <w:tc>
          <w:tcPr>
            <w:tcW w:w="2017" w:type="dxa"/>
            <w:shd w:val="clear" w:color="auto" w:fill="FFFFFF" w:themeFill="background1"/>
            <w:tcMar>
              <w:top w:w="13" w:type="dxa"/>
              <w:left w:w="13" w:type="dxa"/>
              <w:bottom w:w="0" w:type="dxa"/>
              <w:right w:w="13" w:type="dxa"/>
            </w:tcMar>
            <w:vAlign w:val="bottom"/>
            <w:hideMark/>
          </w:tcPr>
          <w:p w:rsidR="0041110C" w:rsidRPr="004C7506" w:rsidRDefault="0041110C" w:rsidP="00E45D07">
            <w:pPr>
              <w:spacing w:afterLines="40" w:after="96" w:line="240" w:lineRule="auto"/>
              <w:rPr>
                <w:rFonts w:ascii="Times New Roman" w:hAnsi="Times New Roman"/>
                <w:color w:val="000000"/>
                <w:sz w:val="24"/>
                <w:szCs w:val="24"/>
              </w:rPr>
            </w:pPr>
            <w:r w:rsidRPr="004C7506">
              <w:rPr>
                <w:rFonts w:ascii="Times New Roman" w:hAnsi="Times New Roman"/>
                <w:b/>
                <w:bCs/>
                <w:color w:val="000000"/>
                <w:sz w:val="24"/>
                <w:szCs w:val="24"/>
              </w:rPr>
              <w:t xml:space="preserve">Finansējuma atlikums </w:t>
            </w:r>
          </w:p>
        </w:tc>
        <w:tc>
          <w:tcPr>
            <w:tcW w:w="1196" w:type="dxa"/>
            <w:shd w:val="clear" w:color="auto" w:fill="FFFFFF" w:themeFill="background1"/>
            <w:tcMar>
              <w:top w:w="13" w:type="dxa"/>
              <w:left w:w="13" w:type="dxa"/>
              <w:bottom w:w="0" w:type="dxa"/>
              <w:right w:w="13" w:type="dxa"/>
            </w:tcMar>
            <w:vAlign w:val="bottom"/>
            <w:hideMark/>
          </w:tcPr>
          <w:p w:rsidR="0041110C" w:rsidRPr="007705D9" w:rsidRDefault="007705D9" w:rsidP="007705D9">
            <w:pPr>
              <w:spacing w:afterLines="40" w:after="96" w:line="240" w:lineRule="auto"/>
              <w:jc w:val="right"/>
              <w:rPr>
                <w:rFonts w:ascii="Times New Roman" w:hAnsi="Times New Roman"/>
                <w:b/>
                <w:bCs/>
                <w:color w:val="000000"/>
                <w:sz w:val="24"/>
                <w:szCs w:val="24"/>
              </w:rPr>
            </w:pPr>
            <w:r>
              <w:rPr>
                <w:rFonts w:ascii="Times New Roman" w:hAnsi="Times New Roman"/>
                <w:b/>
                <w:bCs/>
                <w:color w:val="000000"/>
                <w:sz w:val="24"/>
                <w:szCs w:val="24"/>
              </w:rPr>
              <w:t>20 140 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7705D9" w:rsidRDefault="007125B8" w:rsidP="007705D9">
            <w:pPr>
              <w:spacing w:afterLines="40" w:after="96" w:line="240" w:lineRule="auto"/>
              <w:jc w:val="right"/>
              <w:rPr>
                <w:rFonts w:ascii="Times New Roman" w:hAnsi="Times New Roman"/>
                <w:b/>
                <w:bCs/>
                <w:color w:val="000000"/>
                <w:sz w:val="24"/>
                <w:szCs w:val="24"/>
              </w:rPr>
            </w:pPr>
            <w:r w:rsidRPr="007705D9">
              <w:rPr>
                <w:rFonts w:ascii="Times New Roman" w:hAnsi="Times New Roman"/>
                <w:b/>
                <w:bCs/>
                <w:color w:val="000000"/>
                <w:sz w:val="24"/>
                <w:szCs w:val="24"/>
              </w:rPr>
              <w:t>20</w:t>
            </w:r>
            <w:r w:rsidR="007705D9">
              <w:rPr>
                <w:rFonts w:ascii="Times New Roman" w:hAnsi="Times New Roman"/>
                <w:b/>
                <w:bCs/>
                <w:color w:val="000000"/>
                <w:sz w:val="24"/>
                <w:szCs w:val="24"/>
              </w:rPr>
              <w:t> </w:t>
            </w:r>
            <w:r w:rsidRPr="007705D9">
              <w:rPr>
                <w:rFonts w:ascii="Times New Roman" w:hAnsi="Times New Roman"/>
                <w:b/>
                <w:bCs/>
                <w:color w:val="000000"/>
                <w:sz w:val="24"/>
                <w:szCs w:val="24"/>
              </w:rPr>
              <w:t>500</w:t>
            </w:r>
            <w:r>
              <w:rPr>
                <w:rFonts w:ascii="Times New Roman" w:hAnsi="Times New Roman"/>
                <w:b/>
                <w:bCs/>
                <w:color w:val="000000"/>
                <w:sz w:val="24"/>
                <w:szCs w:val="24"/>
              </w:rPr>
              <w:t>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20 </w:t>
            </w:r>
            <w:r w:rsidR="0041110C" w:rsidRPr="004C7506">
              <w:rPr>
                <w:rFonts w:ascii="Times New Roman" w:hAnsi="Times New Roman"/>
                <w:b/>
                <w:bCs/>
                <w:color w:val="000000"/>
                <w:sz w:val="24"/>
                <w:szCs w:val="24"/>
              </w:rPr>
              <w:t>740</w:t>
            </w:r>
            <w:r>
              <w:rPr>
                <w:rFonts w:ascii="Times New Roman" w:hAnsi="Times New Roman"/>
                <w:b/>
                <w:bCs/>
                <w:color w:val="000000"/>
                <w:sz w:val="24"/>
                <w:szCs w:val="24"/>
              </w:rPr>
              <w:t>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20 940 </w:t>
            </w:r>
            <w:r w:rsidR="0041110C"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41110C" w:rsidP="007705D9">
            <w:pPr>
              <w:spacing w:afterLines="40" w:after="96" w:line="240" w:lineRule="auto"/>
              <w:jc w:val="right"/>
              <w:rPr>
                <w:rFonts w:ascii="Times New Roman" w:hAnsi="Times New Roman"/>
                <w:color w:val="000000"/>
                <w:sz w:val="24"/>
                <w:szCs w:val="24"/>
              </w:rPr>
            </w:pPr>
            <w:r w:rsidRPr="004C7506">
              <w:rPr>
                <w:rFonts w:ascii="Times New Roman" w:hAnsi="Times New Roman"/>
                <w:b/>
                <w:bCs/>
                <w:color w:val="000000"/>
                <w:sz w:val="24"/>
                <w:szCs w:val="24"/>
              </w:rPr>
              <w:t>21</w:t>
            </w:r>
            <w:r w:rsidR="007125B8">
              <w:rPr>
                <w:rFonts w:ascii="Times New Roman" w:hAnsi="Times New Roman"/>
                <w:b/>
                <w:bCs/>
                <w:color w:val="000000"/>
                <w:sz w:val="24"/>
                <w:szCs w:val="24"/>
              </w:rPr>
              <w:t> </w:t>
            </w:r>
            <w:r w:rsidRPr="004C7506">
              <w:rPr>
                <w:rFonts w:ascii="Times New Roman" w:hAnsi="Times New Roman"/>
                <w:b/>
                <w:bCs/>
                <w:color w:val="000000"/>
                <w:sz w:val="24"/>
                <w:szCs w:val="24"/>
              </w:rPr>
              <w:t>120</w:t>
            </w:r>
            <w:r w:rsidR="007125B8">
              <w:rPr>
                <w:rFonts w:ascii="Times New Roman" w:hAnsi="Times New Roman"/>
                <w:b/>
                <w:bCs/>
                <w:color w:val="000000"/>
                <w:sz w:val="24"/>
                <w:szCs w:val="24"/>
              </w:rPr>
              <w:t> </w:t>
            </w:r>
            <w:r w:rsidRPr="004C7506">
              <w:rPr>
                <w:rFonts w:ascii="Times New Roman" w:hAnsi="Times New Roman"/>
                <w:b/>
                <w:bCs/>
                <w:color w:val="000000"/>
                <w:sz w:val="24"/>
                <w:szCs w:val="24"/>
              </w:rPr>
              <w:t xml:space="preserve">000 </w:t>
            </w:r>
          </w:p>
        </w:tc>
        <w:tc>
          <w:tcPr>
            <w:tcW w:w="1196" w:type="dxa"/>
            <w:shd w:val="clear" w:color="auto" w:fill="FFFFFF" w:themeFill="background1"/>
            <w:tcMar>
              <w:top w:w="13" w:type="dxa"/>
              <w:left w:w="13" w:type="dxa"/>
              <w:bottom w:w="0" w:type="dxa"/>
              <w:right w:w="13" w:type="dxa"/>
            </w:tcMar>
            <w:vAlign w:val="bottom"/>
            <w:hideMark/>
          </w:tcPr>
          <w:p w:rsidR="0041110C" w:rsidRPr="004C7506" w:rsidRDefault="007125B8" w:rsidP="007705D9">
            <w:pPr>
              <w:spacing w:afterLines="40" w:after="96" w:line="240" w:lineRule="auto"/>
              <w:jc w:val="right"/>
              <w:rPr>
                <w:rFonts w:ascii="Times New Roman" w:hAnsi="Times New Roman"/>
                <w:color w:val="000000"/>
                <w:sz w:val="24"/>
                <w:szCs w:val="24"/>
              </w:rPr>
            </w:pPr>
            <w:r>
              <w:rPr>
                <w:rFonts w:ascii="Times New Roman" w:hAnsi="Times New Roman"/>
                <w:b/>
                <w:bCs/>
                <w:color w:val="000000"/>
                <w:sz w:val="24"/>
                <w:szCs w:val="24"/>
              </w:rPr>
              <w:t>21 </w:t>
            </w:r>
            <w:r w:rsidR="0041110C" w:rsidRPr="004C7506">
              <w:rPr>
                <w:rFonts w:ascii="Times New Roman" w:hAnsi="Times New Roman"/>
                <w:b/>
                <w:bCs/>
                <w:color w:val="000000"/>
                <w:sz w:val="24"/>
                <w:szCs w:val="24"/>
              </w:rPr>
              <w:t xml:space="preserve">270000 </w:t>
            </w:r>
          </w:p>
        </w:tc>
      </w:tr>
    </w:tbl>
    <w:p w:rsidR="0041110C" w:rsidRPr="00E45D07" w:rsidRDefault="0041110C" w:rsidP="00D96EF9">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Finanšu budžets ir sastādīts, balstoties uz eksportētāju anketēšanu par iespējamo pieprasījumu pēc šāda finanšu instrumenta, un paredz laika periodā no 2015.gada, kad programmu būtu nepieciešams ievies</w:t>
      </w:r>
      <w:r w:rsidR="00A66201">
        <w:rPr>
          <w:rFonts w:ascii="Times New Roman" w:hAnsi="Times New Roman"/>
          <w:color w:val="000000"/>
          <w:sz w:val="26"/>
          <w:szCs w:val="26"/>
        </w:rPr>
        <w:t>t</w:t>
      </w:r>
      <w:r w:rsidRPr="00E45D07">
        <w:rPr>
          <w:rFonts w:ascii="Times New Roman" w:hAnsi="Times New Roman"/>
          <w:color w:val="000000"/>
          <w:sz w:val="26"/>
          <w:szCs w:val="26"/>
        </w:rPr>
        <w:t>, līdz 2020.gadam izsniegt garantijas par kopējo summu 57,6 miljoni EUR apmērā.</w:t>
      </w:r>
    </w:p>
    <w:p w:rsidR="0041110C" w:rsidRPr="00E45D07" w:rsidRDefault="0041110C" w:rsidP="00D96EF9">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Pieprasījuma prognoze paredz maksimālo uzņemto saistību ekspozīciju līdz 2020.gadam 46,08 miljoni EUR apmērā pret 21,27 miljoni EUR finansējuma atlikumu. Lai arī, balstoties uz Bernes Savienības statistiku, vidēja un ilgtermiņa garantijas var uzskatīt par zema riska finanšu instrumentu, tomēr, lai tās varētu uzskatīt par likvīdu nodrošinājumu, piemēram, pircēja kredīta gadījum</w:t>
      </w:r>
      <w:r w:rsidRPr="00B14334">
        <w:rPr>
          <w:rFonts w:ascii="Times New Roman" w:hAnsi="Times New Roman"/>
          <w:color w:val="000000"/>
          <w:sz w:val="26"/>
          <w:szCs w:val="26"/>
        </w:rPr>
        <w:t xml:space="preserve">ā, tām ir nepieciešams valsts </w:t>
      </w:r>
      <w:r w:rsidR="004D565A" w:rsidRPr="00B14334">
        <w:rPr>
          <w:rFonts w:ascii="Times New Roman" w:hAnsi="Times New Roman"/>
          <w:color w:val="000000"/>
          <w:sz w:val="26"/>
          <w:szCs w:val="26"/>
        </w:rPr>
        <w:t xml:space="preserve">sniegts </w:t>
      </w:r>
      <w:r w:rsidR="00B33978" w:rsidRPr="00B14334">
        <w:rPr>
          <w:rFonts w:ascii="Times New Roman" w:hAnsi="Times New Roman"/>
          <w:color w:val="000000"/>
          <w:sz w:val="26"/>
          <w:szCs w:val="26"/>
        </w:rPr>
        <w:t>galvojums.</w:t>
      </w:r>
      <w:r w:rsidRPr="00E45D07">
        <w:rPr>
          <w:rFonts w:ascii="Times New Roman" w:hAnsi="Times New Roman"/>
          <w:color w:val="000000"/>
          <w:sz w:val="26"/>
          <w:szCs w:val="26"/>
        </w:rPr>
        <w:t xml:space="preserve"> </w:t>
      </w:r>
    </w:p>
    <w:p w:rsidR="0041110C" w:rsidRPr="00E45D07" w:rsidRDefault="00D96EF9" w:rsidP="00D96EF9">
      <w:pPr>
        <w:keepNext/>
        <w:spacing w:afterLines="40" w:after="96" w:line="240" w:lineRule="auto"/>
        <w:jc w:val="right"/>
        <w:rPr>
          <w:rFonts w:ascii="Times New Roman" w:hAnsi="Times New Roman"/>
          <w:color w:val="000000"/>
          <w:sz w:val="26"/>
          <w:szCs w:val="26"/>
        </w:rPr>
      </w:pPr>
      <w:r>
        <w:rPr>
          <w:rFonts w:ascii="Times New Roman" w:hAnsi="Times New Roman"/>
          <w:color w:val="000000"/>
          <w:sz w:val="26"/>
          <w:szCs w:val="26"/>
        </w:rPr>
        <w:lastRenderedPageBreak/>
        <w:t>3.1.attēls</w:t>
      </w:r>
    </w:p>
    <w:p w:rsidR="0041110C" w:rsidRPr="00E45D07" w:rsidRDefault="0041110C" w:rsidP="00D96EF9">
      <w:pPr>
        <w:keepNext/>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Programmas finansēšanas modelis</w:t>
      </w:r>
    </w:p>
    <w:p w:rsidR="0041110C" w:rsidRPr="00E45D07" w:rsidRDefault="0041110C" w:rsidP="00D96EF9">
      <w:pPr>
        <w:keepNext/>
        <w:spacing w:afterLines="40" w:after="96" w:line="240" w:lineRule="auto"/>
        <w:jc w:val="center"/>
        <w:rPr>
          <w:rFonts w:ascii="Times New Roman" w:hAnsi="Times New Roman"/>
          <w:b/>
          <w:color w:val="000000"/>
          <w:sz w:val="26"/>
          <w:szCs w:val="26"/>
        </w:rPr>
      </w:pPr>
    </w:p>
    <w:p w:rsidR="0041110C" w:rsidRPr="00357745" w:rsidRDefault="0041110C" w:rsidP="00357745">
      <w:pPr>
        <w:keepNext/>
        <w:spacing w:afterLines="40" w:after="96" w:line="240" w:lineRule="auto"/>
        <w:jc w:val="right"/>
        <w:rPr>
          <w:rFonts w:ascii="Times New Roman" w:hAnsi="Times New Roman"/>
          <w:b/>
          <w:color w:val="000000"/>
          <w:sz w:val="26"/>
          <w:szCs w:val="26"/>
        </w:rPr>
      </w:pPr>
      <w:r w:rsidRPr="00E45D07">
        <w:rPr>
          <w:noProof/>
          <w:sz w:val="26"/>
          <w:szCs w:val="26"/>
          <w:lang w:eastAsia="lv-LV"/>
        </w:rPr>
        <w:drawing>
          <wp:inline distT="0" distB="0" distL="0" distR="0" wp14:anchorId="28E14F72" wp14:editId="66B17EBC">
            <wp:extent cx="6142990" cy="370459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2990" cy="3704590"/>
                    </a:xfrm>
                    <a:prstGeom prst="rect">
                      <a:avLst/>
                    </a:prstGeom>
                    <a:noFill/>
                  </pic:spPr>
                </pic:pic>
              </a:graphicData>
            </a:graphic>
          </wp:inline>
        </w:drawing>
      </w:r>
    </w:p>
    <w:p w:rsidR="0041110C" w:rsidRPr="00E45D07" w:rsidRDefault="0041110C" w:rsidP="00E45D07">
      <w:pPr>
        <w:spacing w:afterLines="40" w:after="96" w:line="240" w:lineRule="auto"/>
        <w:jc w:val="both"/>
        <w:rPr>
          <w:rFonts w:ascii="Times New Roman" w:hAnsi="Times New Roman"/>
          <w:sz w:val="26"/>
          <w:szCs w:val="26"/>
        </w:rPr>
      </w:pPr>
      <w:r w:rsidRPr="00E45D07">
        <w:rPr>
          <w:rFonts w:ascii="Times New Roman" w:hAnsi="Times New Roman"/>
          <w:sz w:val="26"/>
          <w:szCs w:val="26"/>
        </w:rPr>
        <w:t>Programmas veiksmīgai un laicīgai ieviešanai ir jāveic sekojoši tālākie soļi:</w:t>
      </w:r>
    </w:p>
    <w:p w:rsidR="0041110C" w:rsidRPr="00B14334" w:rsidRDefault="00981223" w:rsidP="00E45D07">
      <w:pPr>
        <w:numPr>
          <w:ilvl w:val="0"/>
          <w:numId w:val="30"/>
        </w:numPr>
        <w:spacing w:afterLines="40" w:after="96" w:line="240" w:lineRule="auto"/>
        <w:ind w:left="714" w:hanging="357"/>
        <w:jc w:val="both"/>
        <w:rPr>
          <w:rFonts w:ascii="Times New Roman" w:hAnsi="Times New Roman"/>
          <w:color w:val="000000"/>
          <w:sz w:val="26"/>
          <w:szCs w:val="26"/>
        </w:rPr>
      </w:pPr>
      <w:r w:rsidRPr="00B14334">
        <w:rPr>
          <w:rFonts w:ascii="Times New Roman" w:hAnsi="Times New Roman"/>
          <w:sz w:val="26"/>
          <w:szCs w:val="26"/>
        </w:rPr>
        <w:t>Uzņemto saistību ekspozīcijas apmērs, par kuru v</w:t>
      </w:r>
      <w:r w:rsidR="0041110C" w:rsidRPr="00B14334">
        <w:rPr>
          <w:rFonts w:ascii="Times New Roman" w:hAnsi="Times New Roman"/>
          <w:sz w:val="26"/>
          <w:szCs w:val="26"/>
        </w:rPr>
        <w:t xml:space="preserve">alsts </w:t>
      </w:r>
      <w:r w:rsidR="004D565A" w:rsidRPr="00B14334">
        <w:rPr>
          <w:rFonts w:ascii="Times New Roman" w:hAnsi="Times New Roman"/>
          <w:sz w:val="26"/>
          <w:szCs w:val="26"/>
        </w:rPr>
        <w:t xml:space="preserve">sniedz </w:t>
      </w:r>
      <w:r w:rsidRPr="00B14334">
        <w:rPr>
          <w:rFonts w:ascii="Times New Roman" w:hAnsi="Times New Roman"/>
          <w:sz w:val="26"/>
          <w:szCs w:val="26"/>
        </w:rPr>
        <w:t>galvojum</w:t>
      </w:r>
      <w:r w:rsidR="004D565A" w:rsidRPr="00B14334">
        <w:rPr>
          <w:rFonts w:ascii="Times New Roman" w:hAnsi="Times New Roman"/>
          <w:sz w:val="26"/>
          <w:szCs w:val="26"/>
        </w:rPr>
        <w:t>u</w:t>
      </w:r>
      <w:r w:rsidRPr="00B14334">
        <w:rPr>
          <w:rFonts w:ascii="Times New Roman" w:hAnsi="Times New Roman"/>
          <w:sz w:val="26"/>
          <w:szCs w:val="26"/>
        </w:rPr>
        <w:t xml:space="preserve">, </w:t>
      </w:r>
      <w:r w:rsidR="0041110C" w:rsidRPr="00B14334">
        <w:rPr>
          <w:rFonts w:ascii="Times New Roman" w:hAnsi="Times New Roman"/>
          <w:sz w:val="26"/>
          <w:szCs w:val="26"/>
        </w:rPr>
        <w:t xml:space="preserve">ir jāatrunā Eksporta kredīta garantēšanas likumā, līdz ar to ir nepieciešamas izmaiņas </w:t>
      </w:r>
      <w:r w:rsidR="0041110C" w:rsidRPr="00B14334">
        <w:rPr>
          <w:rFonts w:ascii="Times New Roman" w:hAnsi="Times New Roman"/>
          <w:bCs/>
          <w:color w:val="000000"/>
          <w:sz w:val="26"/>
          <w:szCs w:val="26"/>
        </w:rPr>
        <w:t>Eksporta kredītu garantēšanas likumā (</w:t>
      </w:r>
      <w:r w:rsidR="0041110C" w:rsidRPr="00B14334">
        <w:rPr>
          <w:rFonts w:ascii="Times New Roman" w:hAnsi="Times New Roman"/>
          <w:color w:val="000000"/>
          <w:sz w:val="26"/>
          <w:szCs w:val="26"/>
        </w:rPr>
        <w:t xml:space="preserve">Publicēts: </w:t>
      </w:r>
      <w:r w:rsidR="00D96EF9" w:rsidRPr="00B14334">
        <w:rPr>
          <w:rFonts w:ascii="Times New Roman" w:hAnsi="Times New Roman"/>
          <w:color w:val="000000"/>
          <w:sz w:val="26"/>
          <w:szCs w:val="26"/>
        </w:rPr>
        <w:t>„Latvijas Vēstnesis”, 107 (3475), 07.07.2006., „</w:t>
      </w:r>
      <w:r w:rsidR="0041110C" w:rsidRPr="00B14334">
        <w:rPr>
          <w:rFonts w:ascii="Times New Roman" w:hAnsi="Times New Roman"/>
          <w:color w:val="000000"/>
          <w:sz w:val="26"/>
          <w:szCs w:val="26"/>
        </w:rPr>
        <w:t>Ziņotājs</w:t>
      </w:r>
      <w:r w:rsidR="00D96EF9" w:rsidRPr="00B14334">
        <w:rPr>
          <w:rFonts w:ascii="Times New Roman" w:hAnsi="Times New Roman"/>
          <w:color w:val="000000"/>
          <w:sz w:val="26"/>
          <w:szCs w:val="26"/>
        </w:rPr>
        <w:t>”</w:t>
      </w:r>
      <w:r w:rsidR="0041110C" w:rsidRPr="00B14334">
        <w:rPr>
          <w:rFonts w:ascii="Times New Roman" w:hAnsi="Times New Roman"/>
          <w:color w:val="000000"/>
          <w:sz w:val="26"/>
          <w:szCs w:val="26"/>
        </w:rPr>
        <w:t xml:space="preserve">, 15, 10.08.2006.) </w:t>
      </w:r>
      <w:r w:rsidR="0041110C" w:rsidRPr="00B14334">
        <w:rPr>
          <w:rFonts w:ascii="Times New Roman" w:hAnsi="Times New Roman"/>
          <w:sz w:val="26"/>
          <w:szCs w:val="26"/>
        </w:rPr>
        <w:t>esošajā redakcijā.</w:t>
      </w:r>
    </w:p>
    <w:p w:rsidR="0041110C" w:rsidRPr="00B14334" w:rsidRDefault="0041110C" w:rsidP="00E45D07">
      <w:pPr>
        <w:numPr>
          <w:ilvl w:val="0"/>
          <w:numId w:val="30"/>
        </w:numPr>
        <w:spacing w:afterLines="40" w:after="96" w:line="240" w:lineRule="auto"/>
        <w:ind w:left="714" w:hanging="357"/>
        <w:jc w:val="both"/>
        <w:rPr>
          <w:rFonts w:ascii="Times New Roman" w:hAnsi="Times New Roman"/>
          <w:sz w:val="26"/>
          <w:szCs w:val="26"/>
        </w:rPr>
      </w:pPr>
      <w:r w:rsidRPr="00B14334">
        <w:rPr>
          <w:rFonts w:ascii="Times New Roman" w:hAnsi="Times New Roman"/>
          <w:sz w:val="26"/>
          <w:szCs w:val="26"/>
        </w:rPr>
        <w:t xml:space="preserve">Atbilstoši plānotajam budžetam EKG programmas īstenošanai </w:t>
      </w:r>
      <w:r w:rsidR="004D565A" w:rsidRPr="00B14334">
        <w:rPr>
          <w:rFonts w:ascii="Times New Roman" w:hAnsi="Times New Roman"/>
          <w:sz w:val="26"/>
          <w:szCs w:val="26"/>
        </w:rPr>
        <w:t xml:space="preserve">ir </w:t>
      </w:r>
      <w:r w:rsidRPr="00B14334">
        <w:rPr>
          <w:rFonts w:ascii="Times New Roman" w:hAnsi="Times New Roman"/>
          <w:sz w:val="26"/>
          <w:szCs w:val="26"/>
        </w:rPr>
        <w:t>nepieciešams finans</w:t>
      </w:r>
      <w:r w:rsidR="00BF740A" w:rsidRPr="00B14334">
        <w:rPr>
          <w:rFonts w:ascii="Times New Roman" w:hAnsi="Times New Roman"/>
          <w:sz w:val="26"/>
          <w:szCs w:val="26"/>
        </w:rPr>
        <w:t>ējums 20 miljon</w:t>
      </w:r>
      <w:r w:rsidR="00957AE8" w:rsidRPr="00B14334">
        <w:rPr>
          <w:rFonts w:ascii="Times New Roman" w:hAnsi="Times New Roman"/>
          <w:sz w:val="26"/>
          <w:szCs w:val="26"/>
        </w:rPr>
        <w:t>u</w:t>
      </w:r>
      <w:r w:rsidR="00BF740A" w:rsidRPr="00B14334">
        <w:rPr>
          <w:rFonts w:ascii="Times New Roman" w:hAnsi="Times New Roman"/>
          <w:sz w:val="26"/>
          <w:szCs w:val="26"/>
        </w:rPr>
        <w:t xml:space="preserve"> EUR apmērā</w:t>
      </w:r>
      <w:r w:rsidR="00957AE8" w:rsidRPr="00B14334">
        <w:rPr>
          <w:rFonts w:ascii="Times New Roman" w:hAnsi="Times New Roman"/>
          <w:sz w:val="26"/>
          <w:szCs w:val="26"/>
        </w:rPr>
        <w:t>. Ir paredzēts, ka EKG programma tiks finansēta no</w:t>
      </w:r>
      <w:r w:rsidR="00BF740A" w:rsidRPr="00B14334">
        <w:rPr>
          <w:rFonts w:ascii="Times New Roman" w:hAnsi="Times New Roman"/>
          <w:sz w:val="26"/>
          <w:szCs w:val="26"/>
        </w:rPr>
        <w:t xml:space="preserve"> </w:t>
      </w:r>
      <w:r w:rsidR="004D565A" w:rsidRPr="00B14334">
        <w:rPr>
          <w:rFonts w:ascii="Times New Roman" w:hAnsi="Times New Roman"/>
          <w:sz w:val="26"/>
          <w:szCs w:val="26"/>
        </w:rPr>
        <w:t>AFI</w:t>
      </w:r>
      <w:r w:rsidR="00957AE8" w:rsidRPr="00B14334">
        <w:rPr>
          <w:rFonts w:ascii="Times New Roman" w:hAnsi="Times New Roman"/>
          <w:sz w:val="26"/>
          <w:szCs w:val="26"/>
        </w:rPr>
        <w:t xml:space="preserve"> </w:t>
      </w:r>
      <w:r w:rsidR="00BF740A" w:rsidRPr="00B14334">
        <w:rPr>
          <w:rFonts w:ascii="Times New Roman" w:hAnsi="Times New Roman"/>
          <w:sz w:val="26"/>
          <w:szCs w:val="26"/>
        </w:rPr>
        <w:t>brīvajiem līdzekļiem</w:t>
      </w:r>
      <w:r w:rsidR="004D565A" w:rsidRPr="00B14334">
        <w:rPr>
          <w:rFonts w:ascii="Times New Roman" w:hAnsi="Times New Roman"/>
          <w:sz w:val="26"/>
          <w:szCs w:val="26"/>
        </w:rPr>
        <w:t xml:space="preserve"> - atbrīvotā struktūrfondu finansējuma</w:t>
      </w:r>
      <w:r w:rsidR="00BF740A" w:rsidRPr="00B14334">
        <w:rPr>
          <w:rFonts w:ascii="Times New Roman" w:hAnsi="Times New Roman"/>
          <w:sz w:val="26"/>
          <w:szCs w:val="26"/>
        </w:rPr>
        <w:t xml:space="preserve"> </w:t>
      </w:r>
      <w:r w:rsidR="004D565A" w:rsidRPr="00B14334">
        <w:rPr>
          <w:rFonts w:ascii="Times New Roman" w:hAnsi="Times New Roman"/>
          <w:sz w:val="26"/>
          <w:szCs w:val="26"/>
        </w:rPr>
        <w:t>LAF, ALTUM un LGA īstenoto finanšu instrumentu valsts atbalsta programmu ietvaros.</w:t>
      </w:r>
      <w:r w:rsidR="00BF740A" w:rsidRPr="00B14334">
        <w:rPr>
          <w:rFonts w:ascii="Times New Roman" w:hAnsi="Times New Roman"/>
          <w:sz w:val="26"/>
          <w:szCs w:val="26"/>
        </w:rPr>
        <w:t xml:space="preserve"> </w:t>
      </w:r>
      <w:r w:rsidR="00957AE8" w:rsidRPr="00B14334">
        <w:rPr>
          <w:rFonts w:ascii="Times New Roman" w:hAnsi="Times New Roman"/>
          <w:sz w:val="26"/>
          <w:szCs w:val="26"/>
        </w:rPr>
        <w:t xml:space="preserve">2015.gadā EKG programmas īstenošanai plānots finansējuma piešķīrums 7 miljonu EUR apmērā, paredzot ar katru nākamo gadu nodrošināt papildus finansējuma piešķīrumu vismaz 2,6 miljonu EUR apmērā, līdz ir sasniegts EKG programmas īstenošanai nepieciešamais kopējais finansējums – 20 miljoni EUR. </w:t>
      </w:r>
      <w:r w:rsidR="00D620F0" w:rsidRPr="00B14334">
        <w:rPr>
          <w:rFonts w:ascii="Times New Roman" w:hAnsi="Times New Roman"/>
          <w:sz w:val="26"/>
          <w:szCs w:val="26"/>
        </w:rPr>
        <w:t>Eksporta kredītu garantēšanas likumā</w:t>
      </w:r>
      <w:r w:rsidRPr="00B14334">
        <w:rPr>
          <w:rFonts w:ascii="Times New Roman" w:hAnsi="Times New Roman"/>
          <w:sz w:val="26"/>
          <w:szCs w:val="26"/>
        </w:rPr>
        <w:t xml:space="preserve"> tiks noteikts valsts </w:t>
      </w:r>
      <w:r w:rsidR="004D565A" w:rsidRPr="00B14334">
        <w:rPr>
          <w:rFonts w:ascii="Times New Roman" w:hAnsi="Times New Roman"/>
          <w:sz w:val="26"/>
          <w:szCs w:val="26"/>
        </w:rPr>
        <w:t>galvojumu</w:t>
      </w:r>
      <w:r w:rsidRPr="00B14334">
        <w:rPr>
          <w:rFonts w:ascii="Times New Roman" w:hAnsi="Times New Roman"/>
          <w:sz w:val="26"/>
          <w:szCs w:val="26"/>
        </w:rPr>
        <w:t xml:space="preserve"> apmērs, kas noteik</w:t>
      </w:r>
      <w:r w:rsidR="004D565A" w:rsidRPr="00B14334">
        <w:rPr>
          <w:rFonts w:ascii="Times New Roman" w:hAnsi="Times New Roman"/>
          <w:sz w:val="26"/>
          <w:szCs w:val="26"/>
        </w:rPr>
        <w:t>s</w:t>
      </w:r>
      <w:r w:rsidRPr="00B14334">
        <w:rPr>
          <w:rFonts w:ascii="Times New Roman" w:hAnsi="Times New Roman"/>
          <w:sz w:val="26"/>
          <w:szCs w:val="26"/>
        </w:rPr>
        <w:t xml:space="preserve"> instrumenta ietvaros izsniedzamo EKG ekspozīcijas maksimālo apmēru.</w:t>
      </w:r>
    </w:p>
    <w:p w:rsidR="0041110C" w:rsidRPr="00E45D07" w:rsidRDefault="0041110C" w:rsidP="00E45D07">
      <w:pPr>
        <w:numPr>
          <w:ilvl w:val="0"/>
          <w:numId w:val="30"/>
        </w:numPr>
        <w:spacing w:afterLines="40" w:after="96" w:line="240" w:lineRule="auto"/>
        <w:ind w:left="714" w:hanging="357"/>
        <w:jc w:val="both"/>
        <w:rPr>
          <w:rFonts w:ascii="Times New Roman" w:hAnsi="Times New Roman"/>
          <w:color w:val="000000"/>
          <w:sz w:val="26"/>
          <w:szCs w:val="26"/>
        </w:rPr>
      </w:pPr>
      <w:r w:rsidRPr="00B14334">
        <w:rPr>
          <w:rFonts w:ascii="Times New Roman" w:hAnsi="Times New Roman"/>
          <w:color w:val="000000"/>
          <w:sz w:val="26"/>
          <w:szCs w:val="26"/>
        </w:rPr>
        <w:t>Nosacījumus garantiju izsniegšanai</w:t>
      </w:r>
      <w:r w:rsidRPr="00E45D07">
        <w:rPr>
          <w:rFonts w:ascii="Times New Roman" w:hAnsi="Times New Roman"/>
          <w:color w:val="000000"/>
          <w:sz w:val="26"/>
          <w:szCs w:val="26"/>
        </w:rPr>
        <w:t xml:space="preserve"> ir jānosaka Ministru kabineta līmeņa normatīvajos aktos. Ņemot vērā nepieciešamo tehnisko un redakcionālo precizējumu apjomu, šobrīd spēkā esošos MK noteikumus Nr.39 „</w:t>
      </w:r>
      <w:r w:rsidRPr="00E45D07">
        <w:rPr>
          <w:rFonts w:ascii="Times New Roman" w:hAnsi="Times New Roman"/>
          <w:bCs/>
          <w:color w:val="000000"/>
          <w:sz w:val="26"/>
          <w:szCs w:val="26"/>
        </w:rPr>
        <w:t>Eksporta kredītu garantiju izsniegšanas noteikumi</w:t>
      </w:r>
      <w:r w:rsidRPr="00E45D07">
        <w:rPr>
          <w:rFonts w:ascii="Times New Roman" w:hAnsi="Times New Roman"/>
          <w:color w:val="000000"/>
          <w:sz w:val="26"/>
          <w:szCs w:val="26"/>
        </w:rPr>
        <w:t>” (Rīgā 2007.gada 9.janvārī (prot. Nr.3 4.§) ir nepieciešams pārstrādāt, tos izsakot jaunā redakcijā.</w:t>
      </w:r>
    </w:p>
    <w:p w:rsidR="0041110C" w:rsidRPr="00E45D07" w:rsidRDefault="00FF2DC5" w:rsidP="00FF2DC5">
      <w:pPr>
        <w:keepNext/>
        <w:spacing w:afterLines="40" w:after="96" w:line="240" w:lineRule="auto"/>
        <w:jc w:val="right"/>
        <w:rPr>
          <w:rFonts w:ascii="Times New Roman" w:hAnsi="Times New Roman"/>
          <w:sz w:val="26"/>
          <w:szCs w:val="26"/>
        </w:rPr>
      </w:pPr>
      <w:r>
        <w:rPr>
          <w:rFonts w:ascii="Times New Roman" w:hAnsi="Times New Roman"/>
          <w:sz w:val="26"/>
          <w:szCs w:val="26"/>
        </w:rPr>
        <w:lastRenderedPageBreak/>
        <w:t>3.2.tabula</w:t>
      </w:r>
    </w:p>
    <w:p w:rsidR="0041110C" w:rsidRPr="00B14334" w:rsidRDefault="0041110C" w:rsidP="00FF2DC5">
      <w:pPr>
        <w:keepNext/>
        <w:spacing w:afterLines="100" w:after="240" w:line="240" w:lineRule="auto"/>
        <w:jc w:val="center"/>
        <w:rPr>
          <w:rFonts w:ascii="Times New Roman" w:hAnsi="Times New Roman"/>
          <w:b/>
          <w:sz w:val="26"/>
          <w:szCs w:val="26"/>
        </w:rPr>
      </w:pPr>
      <w:r w:rsidRPr="00B14334">
        <w:rPr>
          <w:rFonts w:ascii="Times New Roman" w:hAnsi="Times New Roman"/>
          <w:b/>
          <w:sz w:val="26"/>
          <w:szCs w:val="26"/>
        </w:rPr>
        <w:t>Plānotais programmas izstrādes un uzsākšanas laika grafiks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5"/>
        <w:gridCol w:w="2177"/>
      </w:tblGrid>
      <w:tr w:rsidR="0041110C" w:rsidRPr="00B14334" w:rsidTr="0041110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FF2DC5">
            <w:pPr>
              <w:keepNext/>
              <w:spacing w:afterLines="40" w:after="96" w:line="240" w:lineRule="auto"/>
              <w:jc w:val="both"/>
              <w:rPr>
                <w:rFonts w:ascii="Times New Roman" w:hAnsi="Times New Roman"/>
                <w:sz w:val="26"/>
                <w:szCs w:val="26"/>
              </w:rPr>
            </w:pPr>
            <w:r w:rsidRPr="00B14334">
              <w:rPr>
                <w:rFonts w:ascii="Times New Roman" w:hAnsi="Times New Roman"/>
                <w:sz w:val="26"/>
                <w:szCs w:val="26"/>
              </w:rPr>
              <w:t>Izstrādāti un MK apstiprināti vidēja un ilgtermiņa eksporta kredīta garantiju Ministru kabineta noteikumi</w:t>
            </w:r>
          </w:p>
        </w:tc>
        <w:tc>
          <w:tcPr>
            <w:tcW w:w="2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FF2DC5">
            <w:pPr>
              <w:keepNext/>
              <w:spacing w:afterLines="40" w:after="96" w:line="240" w:lineRule="auto"/>
              <w:rPr>
                <w:rFonts w:ascii="Times New Roman" w:hAnsi="Times New Roman"/>
                <w:sz w:val="26"/>
                <w:szCs w:val="26"/>
              </w:rPr>
            </w:pPr>
            <w:r w:rsidRPr="00B14334">
              <w:rPr>
                <w:rFonts w:ascii="Times New Roman" w:hAnsi="Times New Roman"/>
                <w:sz w:val="26"/>
                <w:szCs w:val="26"/>
              </w:rPr>
              <w:t>30.12.2014.</w:t>
            </w:r>
          </w:p>
        </w:tc>
      </w:tr>
      <w:tr w:rsidR="0041110C" w:rsidRPr="00B14334" w:rsidTr="0041110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FF2DC5">
            <w:pPr>
              <w:keepNext/>
              <w:spacing w:afterLines="40" w:after="96" w:line="240" w:lineRule="auto"/>
              <w:jc w:val="both"/>
              <w:rPr>
                <w:rFonts w:ascii="Times New Roman" w:hAnsi="Times New Roman"/>
                <w:sz w:val="26"/>
                <w:szCs w:val="26"/>
              </w:rPr>
            </w:pPr>
            <w:r w:rsidRPr="00B14334">
              <w:rPr>
                <w:rFonts w:ascii="Times New Roman" w:hAnsi="Times New Roman"/>
                <w:sz w:val="26"/>
                <w:szCs w:val="26"/>
              </w:rPr>
              <w:t>Izstrādāti un apstiprināti eksporta kredītu garantēšanas likuma grozījumi</w:t>
            </w:r>
          </w:p>
        </w:tc>
        <w:tc>
          <w:tcPr>
            <w:tcW w:w="2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FF2DC5">
            <w:pPr>
              <w:keepNext/>
              <w:spacing w:afterLines="40" w:after="96" w:line="240" w:lineRule="auto"/>
              <w:rPr>
                <w:rFonts w:ascii="Times New Roman" w:hAnsi="Times New Roman"/>
                <w:sz w:val="26"/>
                <w:szCs w:val="26"/>
              </w:rPr>
            </w:pPr>
            <w:r w:rsidRPr="00B14334">
              <w:rPr>
                <w:rFonts w:ascii="Times New Roman" w:hAnsi="Times New Roman"/>
                <w:sz w:val="26"/>
                <w:szCs w:val="26"/>
              </w:rPr>
              <w:t>30.12.2014.</w:t>
            </w:r>
          </w:p>
        </w:tc>
      </w:tr>
      <w:tr w:rsidR="0041110C" w:rsidRPr="00B14334" w:rsidTr="0041110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FF2DC5">
            <w:pPr>
              <w:keepNext/>
              <w:spacing w:afterLines="40" w:after="96" w:line="240" w:lineRule="auto"/>
              <w:jc w:val="both"/>
              <w:rPr>
                <w:rFonts w:ascii="Times New Roman" w:hAnsi="Times New Roman"/>
                <w:sz w:val="26"/>
                <w:szCs w:val="26"/>
              </w:rPr>
            </w:pPr>
            <w:r w:rsidRPr="00B14334">
              <w:rPr>
                <w:rFonts w:ascii="Times New Roman" w:hAnsi="Times New Roman"/>
                <w:sz w:val="26"/>
                <w:szCs w:val="26"/>
              </w:rPr>
              <w:t xml:space="preserve">Uzsākta garantiju pieteikumu pieņemšana </w:t>
            </w:r>
          </w:p>
        </w:tc>
        <w:tc>
          <w:tcPr>
            <w:tcW w:w="2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FF2DC5">
            <w:pPr>
              <w:keepNext/>
              <w:spacing w:afterLines="40" w:after="96" w:line="240" w:lineRule="auto"/>
              <w:rPr>
                <w:rFonts w:ascii="Times New Roman" w:hAnsi="Times New Roman"/>
                <w:sz w:val="26"/>
                <w:szCs w:val="26"/>
              </w:rPr>
            </w:pPr>
            <w:r w:rsidRPr="00B14334">
              <w:rPr>
                <w:rFonts w:ascii="Times New Roman" w:hAnsi="Times New Roman"/>
                <w:sz w:val="26"/>
                <w:szCs w:val="26"/>
              </w:rPr>
              <w:t>01.02.2015.</w:t>
            </w:r>
          </w:p>
        </w:tc>
      </w:tr>
      <w:tr w:rsidR="0041110C" w:rsidRPr="00B14334" w:rsidTr="0041110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E45D07">
            <w:pPr>
              <w:spacing w:afterLines="40" w:after="96" w:line="240" w:lineRule="auto"/>
              <w:jc w:val="both"/>
              <w:rPr>
                <w:rFonts w:ascii="Times New Roman" w:hAnsi="Times New Roman"/>
                <w:sz w:val="26"/>
                <w:szCs w:val="26"/>
              </w:rPr>
            </w:pPr>
          </w:p>
        </w:tc>
        <w:tc>
          <w:tcPr>
            <w:tcW w:w="2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110C" w:rsidRPr="00B14334" w:rsidRDefault="0041110C" w:rsidP="00E45D07">
            <w:pPr>
              <w:spacing w:afterLines="40" w:after="96" w:line="240" w:lineRule="auto"/>
              <w:rPr>
                <w:rFonts w:ascii="Times New Roman" w:hAnsi="Times New Roman"/>
                <w:sz w:val="26"/>
                <w:szCs w:val="26"/>
              </w:rPr>
            </w:pPr>
          </w:p>
        </w:tc>
      </w:tr>
    </w:tbl>
    <w:p w:rsidR="0041110C" w:rsidRPr="00357745" w:rsidRDefault="0041110C" w:rsidP="00E45D07">
      <w:pPr>
        <w:spacing w:afterLines="40" w:after="96" w:line="240" w:lineRule="auto"/>
        <w:jc w:val="both"/>
        <w:rPr>
          <w:rFonts w:ascii="Times New Roman" w:hAnsi="Times New Roman"/>
          <w:sz w:val="10"/>
          <w:szCs w:val="10"/>
        </w:rPr>
      </w:pPr>
    </w:p>
    <w:p w:rsidR="0041110C" w:rsidRPr="00E45D07" w:rsidRDefault="0041110C" w:rsidP="00E45D07">
      <w:pPr>
        <w:pStyle w:val="Heading1"/>
        <w:spacing w:before="0" w:afterLines="40" w:after="96" w:line="240" w:lineRule="auto"/>
        <w:rPr>
          <w:rFonts w:ascii="Times New Roman" w:hAnsi="Times New Roman"/>
          <w:color w:val="000000"/>
          <w:sz w:val="26"/>
          <w:szCs w:val="26"/>
        </w:rPr>
      </w:pPr>
      <w:bookmarkStart w:id="19" w:name="_Toc388627042"/>
      <w:r w:rsidRPr="00B14334">
        <w:rPr>
          <w:rFonts w:ascii="Times New Roman" w:hAnsi="Times New Roman"/>
          <w:color w:val="000000"/>
          <w:sz w:val="26"/>
          <w:szCs w:val="26"/>
        </w:rPr>
        <w:t>4. Ieviešanas modelis</w:t>
      </w:r>
      <w:bookmarkEnd w:id="19"/>
    </w:p>
    <w:p w:rsidR="0041110C" w:rsidRDefault="0041110C" w:rsidP="00FF2DC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Ņemot vērā kredītrisku apdrošināšanas/garantēšanas instrumenta specifiku, pasaulē vispārpieņemta prakse ir veidot valsts EKA vidēja un ilgtermiņa EKG instrumentu sniegšanai. EKA loma ir atbalstīt un veicināt eksportu, sedzot eksportētāju komerciālos un politiskos riskus. Ierobežotā apjomā šobrīd šādu funkciju Latvijā veic LGA, kura pagaidām piedāvā salīdzinoši ar vairumu citu ES dalībvalstu EKA relatīvi šauru eksporta darījumu riska seguma klāstu – īstermiņa (līdz 2 gadiem) un ierobežota apjoma (līdz 1 miljonam EUR) eksporta kredīta garantijas.</w:t>
      </w:r>
    </w:p>
    <w:p w:rsidR="0041110C" w:rsidRPr="00E45D07" w:rsidRDefault="0041110C" w:rsidP="004731BA">
      <w:pPr>
        <w:pStyle w:val="Heading2"/>
        <w:spacing w:before="240" w:afterLines="40" w:after="96" w:line="240" w:lineRule="auto"/>
        <w:rPr>
          <w:rFonts w:ascii="Times New Roman" w:hAnsi="Times New Roman"/>
          <w:color w:val="000000"/>
        </w:rPr>
      </w:pPr>
      <w:bookmarkStart w:id="20" w:name="_Toc388627043"/>
      <w:r w:rsidRPr="00E45D07">
        <w:rPr>
          <w:rFonts w:ascii="Times New Roman" w:hAnsi="Times New Roman"/>
          <w:color w:val="000000"/>
        </w:rPr>
        <w:t>4.1. Izplatītāko Eksporta kredīta aģentūru modeļu raksturojums</w:t>
      </w:r>
      <w:bookmarkEnd w:id="20"/>
    </w:p>
    <w:p w:rsidR="0041110C" w:rsidRPr="00E45D07" w:rsidRDefault="0041110C" w:rsidP="00FF2DC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Lai arī nav vienādu, vispārpieņemtu oficiālu valsts atbalstītu eksporta kredīta sistēmu, tomēr var identificēt četrus izplatītākos modeļus, ar kuru palīdzību valstis sniedz eksporta kredītu finansējumu un/vai garantijas:</w:t>
      </w:r>
    </w:p>
    <w:p w:rsidR="0041110C" w:rsidRPr="00E45D07" w:rsidRDefault="0041110C" w:rsidP="004731BA">
      <w:pPr>
        <w:spacing w:before="240"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1.modelis. Privāts uzņēmums darbojas kā valsts interešu aģents</w:t>
      </w:r>
      <w:r w:rsidRPr="00E45D07">
        <w:rPr>
          <w:rStyle w:val="FootnoteReference"/>
          <w:rFonts w:ascii="Times New Roman" w:hAnsi="Times New Roman"/>
          <w:color w:val="000000"/>
          <w:sz w:val="26"/>
          <w:szCs w:val="26"/>
        </w:rPr>
        <w:footnoteReference w:id="31"/>
      </w:r>
    </w:p>
    <w:p w:rsidR="0041110C" w:rsidRPr="00E45D07" w:rsidRDefault="0041110C" w:rsidP="00FF2DC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Šāds modelis pastāv Francijā, Vācijā un Nīderlandē. Tā ietvaros valdība ir noslēgusi sadarbības līgumu ar privātu apdrošinātāju, kas izsniedz vidēja un ilgtermiņa eksporta kredītus ar valsts finansējumu. Šajā gadījumā apdrošinātājs nodrošina tikai kompetenci un kapacitāti, savukārt saistības uzņemas valsts.</w:t>
      </w:r>
    </w:p>
    <w:p w:rsidR="0041110C" w:rsidRPr="00E45D07" w:rsidRDefault="0041110C" w:rsidP="004731BA">
      <w:pPr>
        <w:spacing w:before="240"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2.modelis. Valsts institūcijas departaments</w:t>
      </w:r>
      <w:r w:rsidRPr="00E45D07">
        <w:rPr>
          <w:rStyle w:val="FootnoteReference"/>
          <w:rFonts w:ascii="Times New Roman" w:hAnsi="Times New Roman"/>
          <w:color w:val="000000"/>
          <w:sz w:val="26"/>
          <w:szCs w:val="26"/>
        </w:rPr>
        <w:footnoteReference w:id="32"/>
      </w:r>
    </w:p>
    <w:p w:rsidR="0041110C" w:rsidRPr="00E45D07" w:rsidRDefault="0041110C" w:rsidP="00FF2DC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Starp OECD dalībvalstīm šāds modelis ir Lielbritānijai un Šveicei, kuru EKAs funkcionē kā valsts budžeta iestāžu departamenti. Šajā gadījumā automātiski ir atrisināts jautājums par garantiju reitingu, jo tas pēc definīcijas ir pielīdzināms valsts maksātspējas reitingam.</w:t>
      </w:r>
    </w:p>
    <w:p w:rsidR="0041110C" w:rsidRPr="00E45D07" w:rsidRDefault="0041110C" w:rsidP="004731BA">
      <w:pPr>
        <w:keepNext/>
        <w:spacing w:before="240"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3.modelis. Valsts īpašumā esoša neatkarīga kapitālsabiedrība</w:t>
      </w:r>
      <w:r w:rsidRPr="00E45D07">
        <w:rPr>
          <w:rStyle w:val="FootnoteReference"/>
          <w:rFonts w:ascii="Times New Roman" w:hAnsi="Times New Roman"/>
          <w:color w:val="000000"/>
          <w:sz w:val="26"/>
          <w:szCs w:val="26"/>
        </w:rPr>
        <w:footnoteReference w:id="33"/>
      </w:r>
    </w:p>
    <w:p w:rsidR="0041110C" w:rsidRPr="00E45D07" w:rsidRDefault="0041110C" w:rsidP="006715B5">
      <w:pPr>
        <w:keepNext/>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 xml:space="preserve">Šis ir visizplatītākais EKA modelis, kura ietvaros eksporta kredītus sniedz neatkarīga institūcija, kuras kapitāla daļu turētājs ir valsts. Šāda modeļa EKA ir īpaši piemērota valstīm ar vidēju vai zemu industrializācijas pakāpi, jo nelielais vidēja un </w:t>
      </w:r>
      <w:r w:rsidRPr="00E45D07">
        <w:rPr>
          <w:rFonts w:ascii="Times New Roman" w:hAnsi="Times New Roman"/>
          <w:color w:val="000000"/>
          <w:sz w:val="26"/>
          <w:szCs w:val="26"/>
        </w:rPr>
        <w:lastRenderedPageBreak/>
        <w:t>ilgtermiņa projektu skaits nespēj nodrošināt diversificēta portfeļa izveidi. Līdz ar to EKA ietvaros tiek papildus piedāvāti arī īstermiņa risku apdrošināšanas instrumenti, kas ļauj nodrošināt EKA finansiālo patstāvību.</w:t>
      </w:r>
    </w:p>
    <w:p w:rsidR="0041110C" w:rsidRPr="00E45D07" w:rsidRDefault="0041110C" w:rsidP="004731BA">
      <w:pPr>
        <w:spacing w:before="240" w:afterLines="40" w:after="96" w:line="240" w:lineRule="auto"/>
        <w:rPr>
          <w:rFonts w:ascii="Times New Roman" w:hAnsi="Times New Roman"/>
          <w:b/>
          <w:color w:val="000000"/>
          <w:sz w:val="26"/>
          <w:szCs w:val="26"/>
        </w:rPr>
      </w:pPr>
      <w:r w:rsidRPr="00E45D07">
        <w:rPr>
          <w:rFonts w:ascii="Times New Roman" w:hAnsi="Times New Roman"/>
          <w:b/>
          <w:color w:val="000000"/>
          <w:sz w:val="26"/>
          <w:szCs w:val="26"/>
        </w:rPr>
        <w:t>4.modelis. Virtuāla EKA</w:t>
      </w:r>
      <w:r w:rsidRPr="00E45D07">
        <w:rPr>
          <w:rStyle w:val="FootnoteReference"/>
          <w:rFonts w:ascii="Times New Roman" w:hAnsi="Times New Roman"/>
          <w:color w:val="000000"/>
          <w:sz w:val="26"/>
          <w:szCs w:val="26"/>
        </w:rPr>
        <w:footnoteReference w:id="34"/>
      </w:r>
    </w:p>
    <w:p w:rsidR="0041110C" w:rsidRPr="00E45D07" w:rsidRDefault="0041110C" w:rsidP="006715B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Salīdzinoši jauns modelis, kas ir attīstīts Jaunzēlandē, kura atgriezās valsts atbalstītu eksporta kredītu tirgū pēc tam, kad bija privatizējusi savu nacionālo EKA 1980.gadā, ir virtuālā EKA. Ieviešot šādu EKA, valdība ir atzinusi, ka tai vairs nav pieredzes risku parakstīšanā, un līdz ar to valdība iepērk to kā ārpakalpojumu no ārvalstu aģenta. Jaunzēlandes gadījumā tā ir Zviedrijas eksporta kredīta aģentūra, kura veic risku parakstīšanu un sniedz rekomendācijas Jaunzēlandes valdībai, kuras loma ir nodrošināt kapitālu un uzņemties risku.</w:t>
      </w:r>
    </w:p>
    <w:p w:rsidR="0041110C" w:rsidRPr="00357745" w:rsidRDefault="0041110C" w:rsidP="00E45D07">
      <w:pPr>
        <w:spacing w:afterLines="40" w:after="96" w:line="240" w:lineRule="auto"/>
        <w:jc w:val="both"/>
        <w:rPr>
          <w:rFonts w:ascii="Times New Roman" w:hAnsi="Times New Roman"/>
          <w:color w:val="000000"/>
          <w:sz w:val="10"/>
          <w:szCs w:val="10"/>
        </w:rPr>
      </w:pPr>
    </w:p>
    <w:p w:rsidR="0041110C" w:rsidRPr="00E45D07" w:rsidRDefault="0041110C" w:rsidP="004731BA">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Kā minēts Informatīvā ziņojuma 1.2.sadaļā, tirgū ir arī privātie spēlētāji, kas nodrošina risku segumu, tomēr atsevišķos segmentos tos nevar uzskatīt par tieši konkurējošiem ar valsts EKA.</w:t>
      </w:r>
    </w:p>
    <w:p w:rsidR="0041110C" w:rsidRPr="00E45D07" w:rsidRDefault="0041110C" w:rsidP="006715B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Ņemot vērā privāto tirgus apdrošinātāju piedāvājuma neprognozējamību nestabilas ekonomiskas apstākļos un zemo riska apetīti darījumiem ar atliktajiem maksājumiem virs 120 dienām, lielākā daļa ES dalībvalstu, apzinoties EKA nepieciešamību eksporta veicināšanā, šādas institūcijas ir izveidojušas.</w:t>
      </w:r>
    </w:p>
    <w:p w:rsidR="0041110C" w:rsidRPr="00E45D07" w:rsidRDefault="006715B5" w:rsidP="006715B5">
      <w:pPr>
        <w:spacing w:afterLines="40" w:after="96" w:line="240" w:lineRule="auto"/>
        <w:jc w:val="right"/>
        <w:rPr>
          <w:rFonts w:ascii="Times New Roman" w:hAnsi="Times New Roman"/>
          <w:color w:val="000000"/>
          <w:sz w:val="26"/>
          <w:szCs w:val="26"/>
        </w:rPr>
      </w:pPr>
      <w:r>
        <w:rPr>
          <w:rFonts w:ascii="Times New Roman" w:hAnsi="Times New Roman"/>
          <w:color w:val="000000"/>
          <w:sz w:val="26"/>
          <w:szCs w:val="26"/>
        </w:rPr>
        <w:t>4.1.tabula</w:t>
      </w:r>
    </w:p>
    <w:p w:rsidR="0041110C" w:rsidRPr="00E45D07" w:rsidRDefault="0041110C" w:rsidP="006715B5">
      <w:pPr>
        <w:spacing w:beforeLines="100" w:before="240"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Eksporta kredīta aģentūras Eiropas Savienībā</w:t>
      </w:r>
    </w:p>
    <w:tbl>
      <w:tblPr>
        <w:tblW w:w="7949" w:type="dxa"/>
        <w:jc w:val="center"/>
        <w:tblCellMar>
          <w:left w:w="0" w:type="dxa"/>
          <w:right w:w="0" w:type="dxa"/>
        </w:tblCellMar>
        <w:tblLook w:val="04A0" w:firstRow="1" w:lastRow="0" w:firstColumn="1" w:lastColumn="0" w:noHBand="0" w:noVBand="1"/>
      </w:tblPr>
      <w:tblGrid>
        <w:gridCol w:w="2351"/>
        <w:gridCol w:w="2835"/>
        <w:gridCol w:w="2763"/>
      </w:tblGrid>
      <w:tr w:rsidR="0041110C" w:rsidRPr="00E45D07" w:rsidTr="0041110C">
        <w:trPr>
          <w:trHeight w:val="207"/>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eastAsia="Times New Roman" w:hAnsi="Times New Roman"/>
                <w:b/>
                <w:bCs/>
                <w:color w:val="000000"/>
                <w:kern w:val="24"/>
                <w:sz w:val="26"/>
                <w:szCs w:val="26"/>
                <w:lang w:eastAsia="lv-LV"/>
              </w:rPr>
              <w:t>Valsts</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color w:val="000000"/>
                <w:kern w:val="24"/>
                <w:sz w:val="26"/>
                <w:szCs w:val="26"/>
                <w:lang w:eastAsia="lv-LV"/>
              </w:rPr>
              <w:t>Pilna spektra EKA</w:t>
            </w:r>
            <w:r w:rsidRPr="00E45D07">
              <w:rPr>
                <w:rFonts w:ascii="Times New Roman" w:hAnsi="Times New Roman"/>
                <w:color w:val="000000"/>
                <w:kern w:val="24"/>
                <w:sz w:val="26"/>
                <w:szCs w:val="26"/>
                <w:lang w:eastAsia="lv-LV"/>
              </w:rPr>
              <w:t xml:space="preserve"> </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color w:val="000000"/>
                <w:kern w:val="24"/>
                <w:sz w:val="26"/>
                <w:szCs w:val="26"/>
                <w:lang w:eastAsia="lv-LV"/>
              </w:rPr>
              <w:t>Valstī nav EKA</w:t>
            </w:r>
            <w:r w:rsidRPr="00E45D07">
              <w:rPr>
                <w:rFonts w:ascii="Times New Roman" w:hAnsi="Times New Roman"/>
                <w:color w:val="000000"/>
                <w:kern w:val="24"/>
                <w:sz w:val="26"/>
                <w:szCs w:val="26"/>
                <w:lang w:eastAsia="lv-LV"/>
              </w:rPr>
              <w:t xml:space="preserve"> </w:t>
            </w: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Austrija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b/>
                <w:bCs/>
                <w:color w:val="000000"/>
                <w:kern w:val="24"/>
                <w:sz w:val="26"/>
                <w:szCs w:val="26"/>
                <w:lang w:eastAsia="lv-LV"/>
              </w:rPr>
              <w:t>Īrija</w:t>
            </w:r>
            <w:r w:rsidRPr="00E45D07">
              <w:rPr>
                <w:rFonts w:ascii="Times New Roman" w:hAnsi="Times New Roman"/>
                <w:b/>
                <w:bCs/>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c>
          <w:tcPr>
            <w:tcW w:w="2763"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Portugāle</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Apvienotā Karaliste</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Itālija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Rumānija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Beļģija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b/>
                <w:bCs/>
                <w:color w:val="000000"/>
                <w:kern w:val="24"/>
                <w:sz w:val="26"/>
                <w:szCs w:val="26"/>
                <w:lang w:eastAsia="lv-LV"/>
              </w:rPr>
              <w:t>Kipra</w:t>
            </w:r>
            <w:r w:rsidRPr="00E45D07">
              <w:rPr>
                <w:rFonts w:ascii="Times New Roman" w:hAnsi="Times New Roman"/>
                <w:b/>
                <w:bCs/>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c>
          <w:tcPr>
            <w:tcW w:w="2763"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Slovākija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Bulgārija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b/>
                <w:bCs/>
                <w:color w:val="000000"/>
                <w:kern w:val="24"/>
                <w:sz w:val="26"/>
                <w:szCs w:val="26"/>
                <w:lang w:eastAsia="lv-LV"/>
              </w:rPr>
              <w:t>Latvija</w:t>
            </w:r>
            <w:r w:rsidRPr="00E45D07">
              <w:rPr>
                <w:rFonts w:ascii="Times New Roman" w:hAnsi="Times New Roman"/>
                <w:b/>
                <w:bCs/>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c>
          <w:tcPr>
            <w:tcW w:w="2763"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Slovēnija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lastRenderedPageBreak/>
              <w:t>Čehija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b/>
                <w:bCs/>
                <w:color w:val="000000"/>
                <w:kern w:val="24"/>
                <w:sz w:val="26"/>
                <w:szCs w:val="26"/>
                <w:lang w:eastAsia="lv-LV"/>
              </w:rPr>
              <w:t>Lietuva</w:t>
            </w:r>
            <w:r w:rsidRPr="00E45D07">
              <w:rPr>
                <w:rFonts w:ascii="Times New Roman" w:hAnsi="Times New Roman"/>
                <w:b/>
                <w:bCs/>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c>
          <w:tcPr>
            <w:tcW w:w="2763"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 xml:space="preserve">Dānija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Luksemburga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Spānija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Francija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b/>
                <w:bCs/>
                <w:color w:val="000000"/>
                <w:kern w:val="24"/>
                <w:sz w:val="26"/>
                <w:szCs w:val="26"/>
                <w:lang w:eastAsia="lv-LV"/>
              </w:rPr>
              <w:t>Malta</w:t>
            </w:r>
            <w:r w:rsidRPr="00E45D07">
              <w:rPr>
                <w:rFonts w:ascii="Times New Roman" w:hAnsi="Times New Roman"/>
                <w:b/>
                <w:bCs/>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c>
          <w:tcPr>
            <w:tcW w:w="2763" w:type="dxa"/>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Ungārija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 xml:space="preserve">Grieķija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Nīderlande</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Vācija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 xml:space="preserve">Horvātija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Igaunija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Polija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Zviedrija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r w:rsidR="0041110C" w:rsidRPr="00E45D07" w:rsidTr="0041110C">
        <w:trPr>
          <w:trHeight w:val="256"/>
          <w:jc w:val="center"/>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textAlignment w:val="baseline"/>
              <w:rPr>
                <w:rFonts w:ascii="Times New Roman" w:eastAsia="Times New Roman" w:hAnsi="Times New Roman"/>
                <w:sz w:val="26"/>
                <w:szCs w:val="26"/>
                <w:lang w:eastAsia="lv-LV"/>
              </w:rPr>
            </w:pPr>
            <w:r w:rsidRPr="00E45D07">
              <w:rPr>
                <w:rFonts w:ascii="Times New Roman" w:eastAsia="Times New Roman" w:hAnsi="Times New Roman"/>
                <w:color w:val="000000"/>
                <w:kern w:val="24"/>
                <w:sz w:val="26"/>
                <w:szCs w:val="26"/>
                <w:lang w:eastAsia="lv-LV"/>
              </w:rPr>
              <w:t>Somija</w:t>
            </w:r>
            <w:r w:rsidRPr="00E45D07">
              <w:rPr>
                <w:rFonts w:ascii="Times New Roman" w:hAnsi="Times New Roman"/>
                <w:color w:val="000000"/>
                <w:kern w:val="24"/>
                <w:sz w:val="26"/>
                <w:szCs w:val="26"/>
                <w:lang w:eastAsia="lv-LV"/>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textAlignment w:val="baseline"/>
              <w:rPr>
                <w:rFonts w:ascii="Times New Roman" w:eastAsia="Times New Roman" w:hAnsi="Times New Roman"/>
                <w:sz w:val="26"/>
                <w:szCs w:val="26"/>
                <w:lang w:eastAsia="lv-LV"/>
              </w:rPr>
            </w:pPr>
            <w:r w:rsidRPr="00E45D07">
              <w:rPr>
                <w:rFonts w:ascii="Times New Roman" w:hAnsi="Times New Roman"/>
                <w:b/>
                <w:bCs/>
                <w:kern w:val="24"/>
                <w:sz w:val="26"/>
                <w:szCs w:val="26"/>
                <w:lang w:eastAsia="lv-LV"/>
              </w:rPr>
              <w:t>■</w:t>
            </w:r>
          </w:p>
        </w:tc>
        <w:tc>
          <w:tcPr>
            <w:tcW w:w="2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1110C" w:rsidRPr="00E45D07" w:rsidRDefault="0041110C" w:rsidP="00E45D07">
            <w:pPr>
              <w:spacing w:afterLines="40" w:after="96" w:line="240" w:lineRule="auto"/>
              <w:jc w:val="center"/>
              <w:rPr>
                <w:rFonts w:ascii="Times New Roman" w:eastAsia="Times New Roman" w:hAnsi="Times New Roman"/>
                <w:sz w:val="26"/>
                <w:szCs w:val="26"/>
                <w:lang w:eastAsia="lv-LV"/>
              </w:rPr>
            </w:pPr>
          </w:p>
        </w:tc>
      </w:tr>
    </w:tbl>
    <w:p w:rsidR="0041110C" w:rsidRPr="00E45D07" w:rsidRDefault="0041110C" w:rsidP="006715B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Šobrīd starp ES dalībvalstīm Īrijai, Maltai, Kiprai, Lietuvai un Latvijai nav savas specializētas EKA. Tomēr, tā kā Maltas un Kipras tautsaimniecības nozīmīgākie sektori ir tūrisms un finanšu pakalpojumi, faktiski tikai Latvija, Lietuva un Īrija ir ES dalībvalstis ar relatīvi attīstītu industrializācijas pakāpi, kurām nav savas EKA. Plašākā, Eiropas mērogā, arī Albānijai un Kosovai nav šādas institūcijas.</w:t>
      </w:r>
    </w:p>
    <w:p w:rsidR="0041110C" w:rsidRPr="00357745" w:rsidRDefault="0041110C" w:rsidP="00E45D07">
      <w:pPr>
        <w:spacing w:afterLines="40" w:after="96" w:line="240" w:lineRule="auto"/>
        <w:jc w:val="both"/>
        <w:rPr>
          <w:rFonts w:ascii="Times New Roman" w:hAnsi="Times New Roman"/>
          <w:color w:val="000000"/>
          <w:sz w:val="10"/>
          <w:szCs w:val="10"/>
        </w:rPr>
      </w:pPr>
    </w:p>
    <w:p w:rsidR="0041110C" w:rsidRPr="00E45D07" w:rsidRDefault="0041110C" w:rsidP="00E45D07">
      <w:pPr>
        <w:pStyle w:val="Heading2"/>
        <w:spacing w:before="0" w:afterLines="40" w:after="96" w:line="240" w:lineRule="auto"/>
        <w:rPr>
          <w:rFonts w:ascii="Times New Roman" w:hAnsi="Times New Roman"/>
          <w:color w:val="000000"/>
        </w:rPr>
      </w:pPr>
      <w:bookmarkStart w:id="21" w:name="_Toc388627044"/>
      <w:r w:rsidRPr="00E45D07">
        <w:rPr>
          <w:rFonts w:ascii="Times New Roman" w:hAnsi="Times New Roman"/>
          <w:color w:val="000000"/>
        </w:rPr>
        <w:t>4.2. Pilna spektra valsts Eksporta kredīta aģentūras izveide</w:t>
      </w:r>
      <w:bookmarkEnd w:id="21"/>
    </w:p>
    <w:p w:rsidR="0041110C" w:rsidRPr="00E45D07" w:rsidRDefault="0041110C" w:rsidP="006715B5">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 xml:space="preserve">Līdzīgi kā šobrīd to nodrošina LGA, arī jaunizveidojamā AFI var sniegt eksporta kredīta garantijas. Tomēr tas neatrisinātu pieprasījuma un efektīvas risku vadības problēmjautājumus, ar kuriem šobrīd saskaras LGA, ieviešot īstermiņa eksporta kredīta garantiju programmu: </w:t>
      </w:r>
    </w:p>
    <w:p w:rsidR="0041110C" w:rsidRPr="00E45D07" w:rsidRDefault="00D519CF" w:rsidP="00E45D07">
      <w:pPr>
        <w:pStyle w:val="ListParagraph"/>
        <w:numPr>
          <w:ilvl w:val="0"/>
          <w:numId w:val="25"/>
        </w:numPr>
        <w:spacing w:afterLines="40" w:after="96"/>
        <w:jc w:val="both"/>
        <w:rPr>
          <w:rFonts w:ascii="Times New Roman" w:hAnsi="Times New Roman"/>
          <w:color w:val="000000"/>
          <w:sz w:val="26"/>
          <w:szCs w:val="26"/>
        </w:rPr>
      </w:pPr>
      <w:r>
        <w:rPr>
          <w:rFonts w:ascii="Times New Roman" w:hAnsi="Times New Roman"/>
          <w:color w:val="000000"/>
          <w:sz w:val="26"/>
          <w:szCs w:val="26"/>
        </w:rPr>
        <w:t>s</w:t>
      </w:r>
      <w:r w:rsidR="0041110C" w:rsidRPr="00E45D07">
        <w:rPr>
          <w:rFonts w:ascii="Times New Roman" w:hAnsi="Times New Roman"/>
          <w:color w:val="000000"/>
          <w:sz w:val="26"/>
          <w:szCs w:val="26"/>
        </w:rPr>
        <w:t>egums garantijām var tikt nodrošināts tikai uz “netirgus riska” valstīm, kā rezultātā ir limitētas iespējas diversificēt garantiju portfeli ar darījumiem ar mazāka riska pircējiem;</w:t>
      </w:r>
    </w:p>
    <w:p w:rsidR="0041110C" w:rsidRPr="00E45D07" w:rsidRDefault="00D519CF" w:rsidP="00E45D07">
      <w:pPr>
        <w:pStyle w:val="ListParagraph"/>
        <w:numPr>
          <w:ilvl w:val="0"/>
          <w:numId w:val="25"/>
        </w:numPr>
        <w:spacing w:afterLines="40" w:after="96"/>
        <w:jc w:val="both"/>
        <w:rPr>
          <w:rFonts w:ascii="Times New Roman" w:hAnsi="Times New Roman"/>
          <w:color w:val="000000"/>
          <w:sz w:val="26"/>
          <w:szCs w:val="26"/>
        </w:rPr>
      </w:pPr>
      <w:r>
        <w:rPr>
          <w:rFonts w:ascii="Times New Roman" w:hAnsi="Times New Roman"/>
          <w:color w:val="000000"/>
          <w:sz w:val="26"/>
          <w:szCs w:val="26"/>
        </w:rPr>
        <w:t>a</w:t>
      </w:r>
      <w:r w:rsidR="0041110C" w:rsidRPr="00E45D07">
        <w:rPr>
          <w:rFonts w:ascii="Times New Roman" w:hAnsi="Times New Roman"/>
          <w:color w:val="000000"/>
          <w:sz w:val="26"/>
          <w:szCs w:val="26"/>
        </w:rPr>
        <w:t>ugstāki riski nozīmē augstāku garantijas prēmijas cenu, kas šo programmu var radīt nepievilcīgu eksportētājiem, kuru ražotās preces ir ar zemu neto peļņas maržu;</w:t>
      </w:r>
    </w:p>
    <w:p w:rsidR="0041110C" w:rsidRPr="00E45D07" w:rsidRDefault="00D519CF" w:rsidP="00E45D07">
      <w:pPr>
        <w:pStyle w:val="ListParagraph"/>
        <w:numPr>
          <w:ilvl w:val="0"/>
          <w:numId w:val="25"/>
        </w:numPr>
        <w:spacing w:afterLines="40" w:after="96"/>
        <w:jc w:val="both"/>
        <w:rPr>
          <w:rFonts w:ascii="Times New Roman" w:hAnsi="Times New Roman"/>
          <w:color w:val="000000"/>
          <w:sz w:val="26"/>
          <w:szCs w:val="26"/>
        </w:rPr>
      </w:pPr>
      <w:r>
        <w:rPr>
          <w:rFonts w:ascii="Times New Roman" w:hAnsi="Times New Roman"/>
          <w:color w:val="000000"/>
          <w:sz w:val="26"/>
          <w:szCs w:val="26"/>
        </w:rPr>
        <w:t>n</w:t>
      </w:r>
      <w:r w:rsidR="0041110C" w:rsidRPr="00E45D07">
        <w:rPr>
          <w:rFonts w:ascii="Times New Roman" w:hAnsi="Times New Roman"/>
          <w:color w:val="000000"/>
          <w:sz w:val="26"/>
          <w:szCs w:val="26"/>
        </w:rPr>
        <w:t>etiek nodrošināts risku segums Latvijas eksportam uz ES un atsevišķām OECD dalībvalstīm situācijās, kad privāto apdrošinātāju pakalpojumu piedāvājums samazinātos, piemēram, ekonomisku satricinājumu rezultātā.</w:t>
      </w:r>
    </w:p>
    <w:p w:rsidR="0041110C" w:rsidRPr="00E45D07" w:rsidRDefault="0041110C" w:rsidP="00E45D07">
      <w:pPr>
        <w:pStyle w:val="ListParagraph"/>
        <w:spacing w:afterLines="40" w:after="96"/>
        <w:ind w:left="0"/>
        <w:jc w:val="both"/>
        <w:rPr>
          <w:rFonts w:ascii="Times New Roman" w:hAnsi="Times New Roman"/>
          <w:color w:val="000000"/>
          <w:sz w:val="26"/>
          <w:szCs w:val="26"/>
          <w:lang w:eastAsia="en-US"/>
        </w:rPr>
      </w:pPr>
    </w:p>
    <w:p w:rsidR="0041110C" w:rsidRPr="00E45D07" w:rsidRDefault="0041110C" w:rsidP="00D519CF">
      <w:pPr>
        <w:pStyle w:val="ListParagraph"/>
        <w:spacing w:afterLines="40" w:after="96"/>
        <w:ind w:left="0" w:firstLine="567"/>
        <w:jc w:val="both"/>
        <w:rPr>
          <w:rFonts w:ascii="Times New Roman" w:hAnsi="Times New Roman"/>
          <w:color w:val="000000"/>
          <w:sz w:val="26"/>
          <w:szCs w:val="26"/>
          <w:lang w:eastAsia="en-US"/>
        </w:rPr>
      </w:pPr>
      <w:r w:rsidRPr="00E45D07">
        <w:rPr>
          <w:rFonts w:ascii="Times New Roman" w:hAnsi="Times New Roman"/>
          <w:color w:val="000000"/>
          <w:sz w:val="26"/>
          <w:szCs w:val="26"/>
          <w:lang w:eastAsia="en-US"/>
        </w:rPr>
        <w:lastRenderedPageBreak/>
        <w:t>Minētie iemesli lielā mērā ir par pamatu salīdzinoši nelielajam pieprasījumam pēc esošā LGA īstermiņa eksporta kredīta garantiju risku seguma.</w:t>
      </w:r>
    </w:p>
    <w:p w:rsidR="0041110C" w:rsidRPr="00E45D07" w:rsidRDefault="00462847" w:rsidP="00462847">
      <w:pPr>
        <w:spacing w:afterLines="40" w:after="96" w:line="240" w:lineRule="auto"/>
        <w:jc w:val="right"/>
        <w:rPr>
          <w:rFonts w:ascii="Times New Roman" w:hAnsi="Times New Roman"/>
          <w:color w:val="000000"/>
          <w:sz w:val="26"/>
          <w:szCs w:val="26"/>
        </w:rPr>
      </w:pPr>
      <w:r>
        <w:rPr>
          <w:rFonts w:ascii="Times New Roman" w:hAnsi="Times New Roman"/>
          <w:color w:val="000000"/>
          <w:sz w:val="26"/>
          <w:szCs w:val="26"/>
        </w:rPr>
        <w:t>4.1.attēls</w:t>
      </w:r>
    </w:p>
    <w:p w:rsidR="0041110C" w:rsidRPr="00A763D9" w:rsidRDefault="0041110C" w:rsidP="00E45D07">
      <w:pPr>
        <w:spacing w:afterLines="40" w:after="96" w:line="240" w:lineRule="auto"/>
        <w:jc w:val="center"/>
        <w:rPr>
          <w:rFonts w:ascii="Times New Roman" w:hAnsi="Times New Roman"/>
          <w:b/>
          <w:color w:val="000000"/>
          <w:sz w:val="26"/>
          <w:szCs w:val="26"/>
        </w:rPr>
      </w:pPr>
      <w:r w:rsidRPr="00A763D9">
        <w:rPr>
          <w:rFonts w:ascii="Times New Roman" w:hAnsi="Times New Roman"/>
          <w:b/>
          <w:color w:val="000000"/>
          <w:sz w:val="26"/>
          <w:szCs w:val="26"/>
        </w:rPr>
        <w:t>LGA īstermiņa eksporta kredīta garantiju rezultatīvie rādītāji, miljoni EUR</w:t>
      </w:r>
    </w:p>
    <w:p w:rsidR="0041110C" w:rsidRPr="00A763D9" w:rsidRDefault="0041110C" w:rsidP="00E45D07">
      <w:pPr>
        <w:pStyle w:val="Heading2"/>
        <w:spacing w:before="0" w:afterLines="40" w:after="96" w:line="240" w:lineRule="auto"/>
        <w:rPr>
          <w:rFonts w:ascii="Times New Roman" w:eastAsia="Calibri" w:hAnsi="Times New Roman"/>
          <w:b w:val="0"/>
          <w:bCs w:val="0"/>
          <w:color w:val="000000"/>
        </w:rPr>
      </w:pPr>
      <w:r w:rsidRPr="00A763D9">
        <w:rPr>
          <w:rFonts w:ascii="Times New Roman" w:eastAsia="Calibri" w:hAnsi="Times New Roman"/>
          <w:b w:val="0"/>
          <w:bCs w:val="0"/>
          <w:noProof/>
          <w:color w:val="000000"/>
          <w:lang w:eastAsia="lv-LV"/>
        </w:rPr>
        <w:drawing>
          <wp:inline distT="0" distB="0" distL="0" distR="0" wp14:anchorId="0AAD5A93" wp14:editId="37786AB5">
            <wp:extent cx="5085715" cy="22193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5715" cy="2219325"/>
                    </a:xfrm>
                    <a:prstGeom prst="rect">
                      <a:avLst/>
                    </a:prstGeom>
                    <a:noFill/>
                  </pic:spPr>
                </pic:pic>
              </a:graphicData>
            </a:graphic>
          </wp:inline>
        </w:drawing>
      </w:r>
    </w:p>
    <w:p w:rsidR="0041110C" w:rsidRPr="00E45D07" w:rsidRDefault="0041110C" w:rsidP="00462847">
      <w:pPr>
        <w:spacing w:afterLines="40" w:after="96" w:line="240" w:lineRule="auto"/>
        <w:ind w:firstLine="567"/>
        <w:jc w:val="both"/>
        <w:rPr>
          <w:rFonts w:ascii="Times New Roman" w:hAnsi="Times New Roman"/>
          <w:sz w:val="26"/>
          <w:szCs w:val="26"/>
        </w:rPr>
      </w:pPr>
      <w:r w:rsidRPr="00E45D07">
        <w:rPr>
          <w:rFonts w:ascii="Times New Roman" w:hAnsi="Times New Roman"/>
          <w:color w:val="000000"/>
          <w:sz w:val="26"/>
          <w:szCs w:val="26"/>
        </w:rPr>
        <w:t>Salīdzinājumam, līdz 2009.gada vidum Igaunijas KREDEX piedāvāja līdzīgu instrumentu, kādu šobrīd sniedz LGA – individuālu risku seguma garantijas bez iespējas diversificēt savu portfeli ar eksporta darījumiem uz ES un atsevišķām OECD dalībvalstīm. Sākoties ekonomiskajai un finanšu krīzei 2008.gadā, Igaunijas tirgu pameta vai būtiski limitus samazināja gandrīz visi privātie apdrošinātāji, kā rezultātā tika pieņemts lēmums par EKA apdrošināšanas sabiedrības izveidi.</w:t>
      </w:r>
    </w:p>
    <w:p w:rsidR="005B4C0C" w:rsidRPr="005B4C0C" w:rsidRDefault="005B4C0C" w:rsidP="005B4C0C">
      <w:pPr>
        <w:keepNext/>
        <w:spacing w:afterLines="40" w:after="96" w:line="240" w:lineRule="auto"/>
        <w:jc w:val="right"/>
        <w:rPr>
          <w:rFonts w:ascii="Times New Roman" w:hAnsi="Times New Roman"/>
          <w:color w:val="000000"/>
          <w:sz w:val="26"/>
          <w:szCs w:val="26"/>
        </w:rPr>
      </w:pPr>
      <w:r>
        <w:rPr>
          <w:rFonts w:ascii="Times New Roman" w:hAnsi="Times New Roman"/>
          <w:color w:val="000000"/>
          <w:sz w:val="26"/>
          <w:szCs w:val="26"/>
        </w:rPr>
        <w:t>4.2.attēls</w:t>
      </w:r>
    </w:p>
    <w:p w:rsidR="0041110C" w:rsidRPr="00E45D07" w:rsidRDefault="0041110C" w:rsidP="005B4C0C">
      <w:pPr>
        <w:keepNext/>
        <w:spacing w:afterLines="40" w:after="96" w:line="240" w:lineRule="auto"/>
        <w:jc w:val="center"/>
        <w:rPr>
          <w:rFonts w:ascii="Times New Roman" w:hAnsi="Times New Roman"/>
          <w:b/>
          <w:sz w:val="26"/>
          <w:szCs w:val="26"/>
        </w:rPr>
      </w:pPr>
      <w:r w:rsidRPr="00E45D07">
        <w:rPr>
          <w:rFonts w:ascii="Times New Roman" w:hAnsi="Times New Roman"/>
          <w:b/>
          <w:sz w:val="26"/>
          <w:szCs w:val="26"/>
        </w:rPr>
        <w:t>KREDEX Credit Insurance rezultatīvie rādītāji pēc EKA kā apdrošināšanas sabiedrības izveides, miljoni EUR</w:t>
      </w:r>
    </w:p>
    <w:p w:rsidR="0041110C" w:rsidRPr="00E45D07" w:rsidRDefault="0041110C" w:rsidP="00E45D07">
      <w:pPr>
        <w:spacing w:afterLines="40" w:after="96" w:line="240" w:lineRule="auto"/>
        <w:rPr>
          <w:rFonts w:ascii="Times New Roman" w:hAnsi="Times New Roman"/>
          <w:color w:val="000000"/>
          <w:sz w:val="26"/>
          <w:szCs w:val="26"/>
        </w:rPr>
      </w:pPr>
      <w:r w:rsidRPr="00E45D07">
        <w:rPr>
          <w:noProof/>
          <w:sz w:val="26"/>
          <w:szCs w:val="26"/>
          <w:lang w:eastAsia="lv-LV"/>
        </w:rPr>
        <w:drawing>
          <wp:inline distT="0" distB="0" distL="0" distR="0" wp14:anchorId="21A2692A" wp14:editId="6EA927B4">
            <wp:extent cx="5495290" cy="306641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290" cy="3066415"/>
                    </a:xfrm>
                    <a:prstGeom prst="rect">
                      <a:avLst/>
                    </a:prstGeom>
                    <a:noFill/>
                  </pic:spPr>
                </pic:pic>
              </a:graphicData>
            </a:graphic>
          </wp:inline>
        </w:drawing>
      </w:r>
    </w:p>
    <w:p w:rsidR="0041110C" w:rsidRPr="00E45D07" w:rsidRDefault="0041110C" w:rsidP="00E45D07">
      <w:pPr>
        <w:spacing w:afterLines="40" w:after="96" w:line="240" w:lineRule="auto"/>
        <w:jc w:val="both"/>
        <w:rPr>
          <w:rFonts w:ascii="Times New Roman" w:hAnsi="Times New Roman"/>
          <w:color w:val="000000"/>
          <w:sz w:val="26"/>
          <w:szCs w:val="26"/>
        </w:rPr>
      </w:pPr>
    </w:p>
    <w:p w:rsidR="0041110C" w:rsidRPr="00E45D07" w:rsidRDefault="0041110C" w:rsidP="005B4C0C">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lastRenderedPageBreak/>
        <w:t>4.2.attēlā ir redzami Igaunijas ieguvumi no pilna spektra EKA izveides gan pēc apstiprinātajiem limitiem, kas laikā no 2010. līdz 2011.gadam pieauga par vairāk kā 100%, gan pēc apdrošinātā tirdzniecības darījumu apgrozījuma, četru gadu periodā sasniedzot 1,06 miljardus EUR.</w:t>
      </w:r>
    </w:p>
    <w:p w:rsidR="0041110C" w:rsidRPr="00E45D07" w:rsidRDefault="0041110C" w:rsidP="005B4C0C">
      <w:pPr>
        <w:spacing w:afterLines="40" w:after="96" w:line="240" w:lineRule="auto"/>
        <w:ind w:firstLine="567"/>
        <w:jc w:val="both"/>
        <w:rPr>
          <w:sz w:val="26"/>
          <w:szCs w:val="26"/>
        </w:rPr>
      </w:pPr>
      <w:r w:rsidRPr="00E45D07">
        <w:rPr>
          <w:rFonts w:ascii="Times New Roman" w:hAnsi="Times New Roman"/>
          <w:color w:val="000000"/>
          <w:sz w:val="26"/>
          <w:szCs w:val="26"/>
        </w:rPr>
        <w:t>KREDEX kā pilna spektra apdrošināšanas sabiedrība piedāvā plašu apdrošināšanas produktu klāstu – īstermiņa, vidēja un ilgtermiņa, investīciju, ražošanas perioda apdrošināšanu.</w:t>
      </w:r>
    </w:p>
    <w:p w:rsidR="0041110C" w:rsidRPr="00E45D07" w:rsidRDefault="0041110C" w:rsidP="005B4C0C">
      <w:pPr>
        <w:pStyle w:val="ListParagraph"/>
        <w:spacing w:afterLines="40" w:after="96"/>
        <w:ind w:left="0" w:firstLine="567"/>
        <w:jc w:val="both"/>
        <w:rPr>
          <w:rFonts w:ascii="Times New Roman" w:hAnsi="Times New Roman"/>
          <w:sz w:val="26"/>
          <w:szCs w:val="26"/>
        </w:rPr>
      </w:pPr>
      <w:r w:rsidRPr="00E45D07">
        <w:rPr>
          <w:rFonts w:ascii="Times New Roman" w:hAnsi="Times New Roman"/>
          <w:sz w:val="26"/>
          <w:szCs w:val="26"/>
        </w:rPr>
        <w:t>Ņemot vērā Igaunijas un citu ES dalībvalstu pozitīvo piemēru no valsts eksporta kredīta aģentūras izveides, kā alternatīva eksporta kredīta garantiju piedāvāšanai AFI struktūrā ir specializētas eksporta kredīta aģentūras izveide, kura tirgū strādātu ar apdrošināšanas licenci ar AFI kā tās kapitāldaļu turētāju (tādejādi ļaujot nodrošinot kopējo atbalsta funkciju veikšanu – grāmatvedis, sabiedriskās attiecības, juristi u.c.).</w:t>
      </w:r>
    </w:p>
    <w:p w:rsidR="00237517" w:rsidRPr="005B4C0C" w:rsidRDefault="00237517" w:rsidP="00237517">
      <w:pPr>
        <w:keepNext/>
        <w:spacing w:afterLines="40" w:after="96" w:line="240" w:lineRule="auto"/>
        <w:jc w:val="right"/>
        <w:rPr>
          <w:rFonts w:ascii="Times New Roman" w:hAnsi="Times New Roman"/>
          <w:color w:val="000000"/>
          <w:sz w:val="26"/>
          <w:szCs w:val="26"/>
        </w:rPr>
      </w:pPr>
      <w:r>
        <w:rPr>
          <w:rFonts w:ascii="Times New Roman" w:hAnsi="Times New Roman"/>
          <w:color w:val="000000"/>
          <w:sz w:val="26"/>
          <w:szCs w:val="26"/>
        </w:rPr>
        <w:t>4.3.attēls</w:t>
      </w:r>
    </w:p>
    <w:p w:rsidR="0041110C" w:rsidRPr="00E45D07" w:rsidRDefault="0041110C" w:rsidP="00237517">
      <w:pPr>
        <w:keepNext/>
        <w:spacing w:afterLines="40" w:after="96" w:line="240" w:lineRule="auto"/>
        <w:jc w:val="center"/>
        <w:rPr>
          <w:rFonts w:ascii="Times New Roman" w:hAnsi="Times New Roman"/>
          <w:b/>
          <w:color w:val="000000"/>
          <w:sz w:val="26"/>
          <w:szCs w:val="26"/>
        </w:rPr>
      </w:pPr>
      <w:r w:rsidRPr="00E45D07">
        <w:rPr>
          <w:rFonts w:ascii="Times New Roman" w:hAnsi="Times New Roman"/>
          <w:b/>
          <w:color w:val="000000"/>
          <w:sz w:val="26"/>
          <w:szCs w:val="26"/>
        </w:rPr>
        <w:t>Pilna spektra Eksporta kredīta aģentūras struktūra un risku dalīšana</w:t>
      </w:r>
    </w:p>
    <w:p w:rsidR="0041110C" w:rsidRPr="00E45D07" w:rsidRDefault="0041110C" w:rsidP="00237517">
      <w:pPr>
        <w:keepNext/>
        <w:spacing w:afterLines="40" w:after="96" w:line="240" w:lineRule="auto"/>
        <w:jc w:val="center"/>
        <w:rPr>
          <w:sz w:val="26"/>
          <w:szCs w:val="26"/>
        </w:rPr>
      </w:pPr>
      <w:r w:rsidRPr="00E45D07">
        <w:rPr>
          <w:noProof/>
          <w:sz w:val="26"/>
          <w:szCs w:val="26"/>
          <w:lang w:eastAsia="lv-LV"/>
        </w:rPr>
        <mc:AlternateContent>
          <mc:Choice Requires="wpc">
            <w:drawing>
              <wp:inline distT="0" distB="0" distL="0" distR="0" wp14:anchorId="6A650E1D" wp14:editId="41DB53C3">
                <wp:extent cx="3962400" cy="5105400"/>
                <wp:effectExtent l="0" t="0" r="0" b="0"/>
                <wp:docPr id="79"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50"/>
                        <wps:cNvSpPr txBox="1">
                          <a:spLocks noChangeArrowheads="1"/>
                        </wps:cNvSpPr>
                        <wps:spPr bwMode="auto">
                          <a:xfrm>
                            <a:off x="1033388" y="0"/>
                            <a:ext cx="1856419" cy="355207"/>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spacing w:after="0" w:line="240" w:lineRule="auto"/>
                                <w:jc w:val="center"/>
                                <w:rPr>
                                  <w:rFonts w:ascii="Times New Roman" w:hAnsi="Times New Roman"/>
                                  <w:b/>
                                </w:rPr>
                              </w:pPr>
                              <w:r w:rsidRPr="00C91C7B">
                                <w:rPr>
                                  <w:rFonts w:ascii="Times New Roman" w:hAnsi="Times New Roman"/>
                                  <w:b/>
                                </w:rPr>
                                <w:t>AFI</w:t>
                              </w:r>
                            </w:p>
                          </w:txbxContent>
                        </wps:txbx>
                        <wps:bodyPr rot="0" vert="horz" wrap="square" lIns="91440" tIns="45720" rIns="91440" bIns="45720" anchor="t" anchorCtr="0" upright="1">
                          <a:noAutofit/>
                        </wps:bodyPr>
                      </wps:wsp>
                      <wps:wsp>
                        <wps:cNvPr id="2" name="Text Box 51"/>
                        <wps:cNvSpPr txBox="1">
                          <a:spLocks noChangeArrowheads="1"/>
                        </wps:cNvSpPr>
                        <wps:spPr bwMode="auto">
                          <a:xfrm>
                            <a:off x="1033388" y="1288825"/>
                            <a:ext cx="1856419" cy="816816"/>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spacing w:after="0" w:line="240" w:lineRule="auto"/>
                                <w:jc w:val="center"/>
                                <w:rPr>
                                  <w:rFonts w:ascii="Times New Roman" w:hAnsi="Times New Roman"/>
                                  <w:b/>
                                  <w:sz w:val="20"/>
                                  <w:szCs w:val="20"/>
                                </w:rPr>
                              </w:pPr>
                              <w:r w:rsidRPr="00C91C7B">
                                <w:rPr>
                                  <w:rFonts w:ascii="Times New Roman" w:hAnsi="Times New Roman"/>
                                  <w:b/>
                                  <w:sz w:val="20"/>
                                  <w:szCs w:val="20"/>
                                </w:rPr>
                                <w:t>Eksporta kredīta aģentūra (apdrošināšanas sabiedrība)</w:t>
                              </w:r>
                            </w:p>
                            <w:p w:rsidR="00D620F0" w:rsidRPr="00F27FFB" w:rsidRDefault="00D620F0" w:rsidP="0041110C">
                              <w:pPr>
                                <w:spacing w:after="0" w:line="240" w:lineRule="auto"/>
                                <w:jc w:val="center"/>
                                <w:rPr>
                                  <w:rFonts w:ascii="Times New Roman" w:hAnsi="Times New Roman"/>
                                  <w:b/>
                                  <w:sz w:val="20"/>
                                  <w:szCs w:val="20"/>
                                </w:rPr>
                              </w:pPr>
                            </w:p>
                            <w:p w:rsidR="00D620F0" w:rsidRPr="00C91C7B" w:rsidRDefault="00D620F0" w:rsidP="0041110C">
                              <w:pPr>
                                <w:spacing w:after="0" w:line="240" w:lineRule="auto"/>
                                <w:jc w:val="center"/>
                                <w:rPr>
                                  <w:rFonts w:ascii="Times New Roman" w:hAnsi="Times New Roman"/>
                                  <w:b/>
                                  <w:sz w:val="20"/>
                                  <w:szCs w:val="20"/>
                                </w:rPr>
                              </w:pPr>
                              <w:r w:rsidRPr="00C91C7B">
                                <w:rPr>
                                  <w:rFonts w:ascii="Times New Roman" w:hAnsi="Times New Roman"/>
                                  <w:b/>
                                  <w:sz w:val="20"/>
                                  <w:szCs w:val="20"/>
                                </w:rPr>
                                <w:t>Pamatkapitāls</w:t>
                              </w:r>
                              <w:r w:rsidRPr="00F27FFB">
                                <w:rPr>
                                  <w:rFonts w:ascii="Times New Roman" w:hAnsi="Times New Roman"/>
                                  <w:b/>
                                  <w:sz w:val="20"/>
                                  <w:szCs w:val="20"/>
                                </w:rPr>
                                <w:t>:</w:t>
                              </w:r>
                              <w:r w:rsidRPr="00C91C7B">
                                <w:rPr>
                                  <w:rFonts w:ascii="Times New Roman" w:hAnsi="Times New Roman"/>
                                  <w:b/>
                                  <w:sz w:val="20"/>
                                  <w:szCs w:val="20"/>
                                </w:rPr>
                                <w:t xml:space="preserve"> 20 milj.EUR</w:t>
                              </w:r>
                            </w:p>
                          </w:txbxContent>
                        </wps:txbx>
                        <wps:bodyPr rot="0" vert="horz" wrap="square" lIns="91440" tIns="45720" rIns="91440" bIns="45720" anchor="t" anchorCtr="0" upright="1">
                          <a:noAutofit/>
                        </wps:bodyPr>
                      </wps:wsp>
                      <wps:wsp>
                        <wps:cNvPr id="17" name="Text Box 52"/>
                        <wps:cNvSpPr txBox="1">
                          <a:spLocks noChangeArrowheads="1"/>
                        </wps:cNvSpPr>
                        <wps:spPr bwMode="auto">
                          <a:xfrm>
                            <a:off x="0" y="2105642"/>
                            <a:ext cx="3922395" cy="261605"/>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jc w:val="center"/>
                                <w:rPr>
                                  <w:rFonts w:ascii="Times New Roman" w:hAnsi="Times New Roman"/>
                                  <w:sz w:val="20"/>
                                  <w:szCs w:val="20"/>
                                </w:rPr>
                              </w:pPr>
                              <w:r>
                                <w:rPr>
                                  <w:rFonts w:ascii="Times New Roman" w:hAnsi="Times New Roman"/>
                                  <w:sz w:val="20"/>
                                  <w:szCs w:val="20"/>
                                </w:rPr>
                                <w:t>Saistību</w:t>
                              </w:r>
                              <w:r w:rsidRPr="00C91C7B">
                                <w:rPr>
                                  <w:rFonts w:ascii="Times New Roman" w:hAnsi="Times New Roman"/>
                                  <w:sz w:val="20"/>
                                  <w:szCs w:val="20"/>
                                </w:rPr>
                                <w:t xml:space="preserve"> portfelis</w:t>
                              </w:r>
                            </w:p>
                          </w:txbxContent>
                        </wps:txbx>
                        <wps:bodyPr rot="0" vert="horz" wrap="square" lIns="91440" tIns="45720" rIns="91440" bIns="45720" anchor="t" anchorCtr="0" upright="1">
                          <a:noAutofit/>
                        </wps:bodyPr>
                      </wps:wsp>
                      <wps:wsp>
                        <wps:cNvPr id="18" name="Text Box 53"/>
                        <wps:cNvSpPr txBox="1">
                          <a:spLocks noChangeArrowheads="1"/>
                        </wps:cNvSpPr>
                        <wps:spPr bwMode="auto">
                          <a:xfrm>
                            <a:off x="0" y="2628852"/>
                            <a:ext cx="1961198" cy="808016"/>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Īstermiņa risku apdrošināšana uz „netirgus risku” valstīm</w:t>
                              </w:r>
                            </w:p>
                            <w:p w:rsidR="00D620F0" w:rsidRPr="00C91C7B" w:rsidRDefault="00D620F0" w:rsidP="0041110C">
                              <w:pPr>
                                <w:spacing w:after="0" w:line="240" w:lineRule="auto"/>
                                <w:jc w:val="both"/>
                                <w:rPr>
                                  <w:rFonts w:ascii="Times New Roman" w:hAnsi="Times New Roman"/>
                                  <w:sz w:val="20"/>
                                  <w:szCs w:val="20"/>
                                </w:rPr>
                              </w:pPr>
                            </w:p>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Vidēja un ilgtermiņa eksporta kredīta risku apdrošināšana</w:t>
                              </w:r>
                            </w:p>
                          </w:txbxContent>
                        </wps:txbx>
                        <wps:bodyPr rot="0" vert="horz" wrap="square" lIns="91440" tIns="45720" rIns="91440" bIns="45720" anchor="t" anchorCtr="0" upright="1">
                          <a:noAutofit/>
                        </wps:bodyPr>
                      </wps:wsp>
                      <wps:wsp>
                        <wps:cNvPr id="19" name="Text Box 59"/>
                        <wps:cNvSpPr txBox="1">
                          <a:spLocks noChangeArrowheads="1"/>
                        </wps:cNvSpPr>
                        <wps:spPr bwMode="auto">
                          <a:xfrm>
                            <a:off x="0" y="4592091"/>
                            <a:ext cx="1746042" cy="475209"/>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spacing w:after="0" w:line="240" w:lineRule="auto"/>
                                <w:jc w:val="center"/>
                                <w:rPr>
                                  <w:rFonts w:ascii="Times New Roman" w:hAnsi="Times New Roman"/>
                                </w:rPr>
                              </w:pPr>
                              <w:r w:rsidRPr="00C91C7B">
                                <w:rPr>
                                  <w:rFonts w:ascii="Times New Roman" w:hAnsi="Times New Roman"/>
                                </w:rPr>
                                <w:t>Valsts</w:t>
                              </w:r>
                            </w:p>
                          </w:txbxContent>
                        </wps:txbx>
                        <wps:bodyPr rot="0" vert="horz" wrap="square" lIns="91440" tIns="45720" rIns="91440" bIns="45720" anchor="t" anchorCtr="0" upright="1">
                          <a:noAutofit/>
                        </wps:bodyPr>
                      </wps:wsp>
                      <wps:wsp>
                        <wps:cNvPr id="20" name="Text Box 60"/>
                        <wps:cNvSpPr txBox="1">
                          <a:spLocks noChangeArrowheads="1"/>
                        </wps:cNvSpPr>
                        <wps:spPr bwMode="auto">
                          <a:xfrm>
                            <a:off x="1961198" y="2628852"/>
                            <a:ext cx="1961198" cy="808016"/>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Īstermiņa risku apdrošināšana uz „tirgus risku” valstīm</w:t>
                              </w:r>
                            </w:p>
                            <w:p w:rsidR="00D620F0" w:rsidRPr="00C91C7B" w:rsidRDefault="00D620F0" w:rsidP="0041110C">
                              <w:pPr>
                                <w:spacing w:after="0" w:line="240" w:lineRule="auto"/>
                                <w:jc w:val="both"/>
                                <w:rPr>
                                  <w:rFonts w:ascii="Times New Roman" w:hAnsi="Times New Roman"/>
                                  <w:sz w:val="20"/>
                                  <w:szCs w:val="20"/>
                                </w:rPr>
                              </w:pPr>
                            </w:p>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Iekšzemes tirdzniecības darījumu apdrošināšana</w:t>
                              </w:r>
                            </w:p>
                            <w:p w:rsidR="00D620F0" w:rsidRPr="00C91C7B" w:rsidRDefault="00D620F0" w:rsidP="0041110C">
                              <w:pPr>
                                <w:rPr>
                                  <w:rFonts w:ascii="Times New Roman" w:hAnsi="Times New Roman"/>
                                  <w:sz w:val="20"/>
                                  <w:szCs w:val="20"/>
                                </w:rPr>
                              </w:pPr>
                            </w:p>
                            <w:p w:rsidR="00D620F0" w:rsidRPr="00C91C7B" w:rsidRDefault="00D620F0" w:rsidP="0041110C">
                              <w:pPr>
                                <w:rPr>
                                  <w:rFonts w:ascii="Times New Roman" w:hAnsi="Times New Roman"/>
                                  <w:sz w:val="20"/>
                                  <w:szCs w:val="20"/>
                                </w:rPr>
                              </w:pPr>
                            </w:p>
                          </w:txbxContent>
                        </wps:txbx>
                        <wps:bodyPr rot="0" vert="horz" wrap="square" lIns="91440" tIns="45720" rIns="91440" bIns="45720" anchor="t" anchorCtr="0" upright="1">
                          <a:noAutofit/>
                        </wps:bodyPr>
                      </wps:wsp>
                      <wps:wsp>
                        <wps:cNvPr id="3" name="AutoShape 62"/>
                        <wps:cNvCnPr>
                          <a:cxnSpLocks noChangeShapeType="1"/>
                          <a:stCxn id="1" idx="2"/>
                          <a:endCxn id="2" idx="0"/>
                        </wps:cNvCnPr>
                        <wps:spPr bwMode="auto">
                          <a:xfrm>
                            <a:off x="1961198" y="355207"/>
                            <a:ext cx="800" cy="9336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7"/>
                        <wps:cNvCnPr>
                          <a:cxnSpLocks noChangeShapeType="1"/>
                        </wps:cNvCnPr>
                        <wps:spPr bwMode="auto">
                          <a:xfrm flipH="1">
                            <a:off x="967801" y="3436868"/>
                            <a:ext cx="7199" cy="1155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9"/>
                        <wps:cNvSpPr txBox="1">
                          <a:spLocks noChangeArrowheads="1"/>
                        </wps:cNvSpPr>
                        <wps:spPr bwMode="auto">
                          <a:xfrm>
                            <a:off x="1647662" y="355207"/>
                            <a:ext cx="314335" cy="933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0F0" w:rsidRPr="00C91C7B" w:rsidRDefault="00D620F0" w:rsidP="0041110C">
                              <w:pPr>
                                <w:jc w:val="center"/>
                                <w:rPr>
                                  <w:rFonts w:ascii="Times New Roman" w:hAnsi="Times New Roman"/>
                                  <w:sz w:val="18"/>
                                  <w:szCs w:val="18"/>
                                </w:rPr>
                              </w:pPr>
                              <w:r w:rsidRPr="00C91C7B">
                                <w:rPr>
                                  <w:rFonts w:ascii="Times New Roman" w:hAnsi="Times New Roman"/>
                                  <w:sz w:val="18"/>
                                  <w:szCs w:val="18"/>
                                </w:rPr>
                                <w:t>100% kapitāldaļas</w:t>
                              </w:r>
                            </w:p>
                          </w:txbxContent>
                        </wps:txbx>
                        <wps:bodyPr rot="0" vert="vert270" wrap="square" lIns="91440" tIns="45720" rIns="91440" bIns="45720" anchor="t" anchorCtr="0" upright="1">
                          <a:noAutofit/>
                        </wps:bodyPr>
                      </wps:wsp>
                      <wps:wsp>
                        <wps:cNvPr id="6" name="Text Box 71"/>
                        <wps:cNvSpPr txBox="1">
                          <a:spLocks noChangeArrowheads="1"/>
                        </wps:cNvSpPr>
                        <wps:spPr bwMode="auto">
                          <a:xfrm>
                            <a:off x="2617063" y="3363266"/>
                            <a:ext cx="324733" cy="1314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0F0" w:rsidRPr="00C91C7B" w:rsidRDefault="00D620F0" w:rsidP="0041110C">
                              <w:pPr>
                                <w:jc w:val="center"/>
                                <w:rPr>
                                  <w:rFonts w:ascii="Times New Roman" w:hAnsi="Times New Roman"/>
                                  <w:sz w:val="20"/>
                                  <w:szCs w:val="20"/>
                                </w:rPr>
                              </w:pPr>
                              <w:r w:rsidRPr="00C91C7B">
                                <w:rPr>
                                  <w:rFonts w:ascii="Times New Roman" w:hAnsi="Times New Roman"/>
                                  <w:sz w:val="20"/>
                                  <w:szCs w:val="20"/>
                                </w:rPr>
                                <w:t>Pārapdrošināšana</w:t>
                              </w:r>
                            </w:p>
                          </w:txbxContent>
                        </wps:txbx>
                        <wps:bodyPr rot="0" vert="vert270" wrap="square" lIns="91440" tIns="45720" rIns="91440" bIns="45720" anchor="t" anchorCtr="0" upright="1">
                          <a:noAutofit/>
                        </wps:bodyPr>
                      </wps:wsp>
                      <wps:wsp>
                        <wps:cNvPr id="7" name="Text Box 72"/>
                        <wps:cNvSpPr txBox="1">
                          <a:spLocks noChangeArrowheads="1"/>
                        </wps:cNvSpPr>
                        <wps:spPr bwMode="auto">
                          <a:xfrm>
                            <a:off x="649467" y="3363266"/>
                            <a:ext cx="325533" cy="1314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0F0" w:rsidRPr="00C91C7B" w:rsidRDefault="00D620F0" w:rsidP="0041110C">
                              <w:pPr>
                                <w:jc w:val="center"/>
                                <w:rPr>
                                  <w:rFonts w:ascii="Times New Roman" w:hAnsi="Times New Roman"/>
                                  <w:color w:val="000000"/>
                                  <w:sz w:val="20"/>
                                  <w:szCs w:val="20"/>
                                </w:rPr>
                              </w:pPr>
                              <w:r w:rsidRPr="00C91C7B">
                                <w:rPr>
                                  <w:rFonts w:ascii="Times New Roman" w:hAnsi="Times New Roman"/>
                                  <w:color w:val="000000"/>
                                  <w:sz w:val="20"/>
                                  <w:szCs w:val="20"/>
                                </w:rPr>
                                <w:t>Pārapdrošināšana</w:t>
                              </w:r>
                            </w:p>
                          </w:txbxContent>
                        </wps:txbx>
                        <wps:bodyPr rot="0" vert="vert270" wrap="square" lIns="91440" tIns="45720" rIns="91440" bIns="45720" anchor="t" anchorCtr="0" upright="1">
                          <a:noAutofit/>
                        </wps:bodyPr>
                      </wps:wsp>
                      <wps:wsp>
                        <wps:cNvPr id="26" name="Text Box 73"/>
                        <wps:cNvSpPr txBox="1">
                          <a:spLocks noChangeArrowheads="1"/>
                        </wps:cNvSpPr>
                        <wps:spPr bwMode="auto">
                          <a:xfrm>
                            <a:off x="0" y="2367247"/>
                            <a:ext cx="1961198" cy="261605"/>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jc w:val="center"/>
                                <w:rPr>
                                  <w:rFonts w:ascii="Times New Roman" w:hAnsi="Times New Roman"/>
                                  <w:sz w:val="20"/>
                                  <w:szCs w:val="20"/>
                                </w:rPr>
                              </w:pPr>
                              <w:r>
                                <w:rPr>
                                  <w:rFonts w:ascii="Times New Roman" w:hAnsi="Times New Roman"/>
                                  <w:sz w:val="20"/>
                                  <w:szCs w:val="20"/>
                                </w:rPr>
                                <w:t>Netirgus riski</w:t>
                              </w:r>
                            </w:p>
                          </w:txbxContent>
                        </wps:txbx>
                        <wps:bodyPr rot="0" vert="horz" wrap="square" lIns="91440" tIns="45720" rIns="91440" bIns="45720" anchor="t" anchorCtr="0" upright="1">
                          <a:noAutofit/>
                        </wps:bodyPr>
                      </wps:wsp>
                      <wps:wsp>
                        <wps:cNvPr id="27" name="Text Box 74"/>
                        <wps:cNvSpPr txBox="1">
                          <a:spLocks noChangeArrowheads="1"/>
                        </wps:cNvSpPr>
                        <wps:spPr bwMode="auto">
                          <a:xfrm>
                            <a:off x="1961198" y="2367247"/>
                            <a:ext cx="1961198" cy="261605"/>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jc w:val="center"/>
                                <w:rPr>
                                  <w:rFonts w:ascii="Times New Roman" w:hAnsi="Times New Roman"/>
                                  <w:sz w:val="20"/>
                                  <w:szCs w:val="20"/>
                                </w:rPr>
                              </w:pPr>
                              <w:r>
                                <w:rPr>
                                  <w:rFonts w:ascii="Times New Roman" w:hAnsi="Times New Roman"/>
                                  <w:sz w:val="20"/>
                                  <w:szCs w:val="20"/>
                                </w:rPr>
                                <w:t>Tirgus riski</w:t>
                              </w:r>
                            </w:p>
                          </w:txbxContent>
                        </wps:txbx>
                        <wps:bodyPr rot="0" vert="horz" wrap="square" lIns="91440" tIns="45720" rIns="91440" bIns="45720" anchor="t" anchorCtr="0" upright="1">
                          <a:noAutofit/>
                        </wps:bodyPr>
                      </wps:wsp>
                      <wps:wsp>
                        <wps:cNvPr id="28" name="AutoShape 75"/>
                        <wps:cNvCnPr>
                          <a:cxnSpLocks noChangeShapeType="1"/>
                        </wps:cNvCnPr>
                        <wps:spPr bwMode="auto">
                          <a:xfrm flipH="1">
                            <a:off x="2934598" y="3436868"/>
                            <a:ext cx="7199" cy="1155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76"/>
                        <wps:cNvSpPr txBox="1">
                          <a:spLocks noChangeArrowheads="1"/>
                        </wps:cNvSpPr>
                        <wps:spPr bwMode="auto">
                          <a:xfrm>
                            <a:off x="2039581" y="4592091"/>
                            <a:ext cx="1882814" cy="475209"/>
                          </a:xfrm>
                          <a:prstGeom prst="rect">
                            <a:avLst/>
                          </a:prstGeom>
                          <a:solidFill>
                            <a:srgbClr val="FFFFFF"/>
                          </a:solidFill>
                          <a:ln w="9525">
                            <a:solidFill>
                              <a:srgbClr val="000000"/>
                            </a:solidFill>
                            <a:miter lim="800000"/>
                            <a:headEnd/>
                            <a:tailEnd/>
                          </a:ln>
                        </wps:spPr>
                        <wps:txbx>
                          <w:txbxContent>
                            <w:p w:rsidR="00D620F0" w:rsidRPr="00C91C7B" w:rsidRDefault="00D620F0" w:rsidP="0041110C">
                              <w:pPr>
                                <w:spacing w:after="0" w:line="240" w:lineRule="auto"/>
                                <w:jc w:val="center"/>
                                <w:rPr>
                                  <w:rFonts w:ascii="Times New Roman" w:hAnsi="Times New Roman"/>
                                  <w:sz w:val="20"/>
                                  <w:szCs w:val="20"/>
                                </w:rPr>
                              </w:pPr>
                              <w:r w:rsidRPr="00C91C7B">
                                <w:rPr>
                                  <w:rFonts w:ascii="Times New Roman" w:hAnsi="Times New Roman"/>
                                  <w:sz w:val="20"/>
                                  <w:szCs w:val="20"/>
                                </w:rPr>
                                <w:t>Starptautiskie tirgi (privātie pārapdrošinātāji)</w:t>
                              </w:r>
                            </w:p>
                          </w:txbxContent>
                        </wps:txbx>
                        <wps:bodyPr rot="0" vert="horz" wrap="square" lIns="91440" tIns="45720" rIns="91440" bIns="45720" anchor="t" anchorCtr="0" upright="1">
                          <a:noAutofit/>
                        </wps:bodyPr>
                      </wps:wsp>
                    </wpc:wpc>
                  </a:graphicData>
                </a:graphic>
              </wp:inline>
            </w:drawing>
          </mc:Choice>
          <mc:Fallback>
            <w:pict>
              <v:group id="Canvas 49" o:spid="_x0000_s1045" editas="canvas" style="width:312pt;height:402pt;mso-position-horizontal-relative:char;mso-position-vertical-relative:line" coordsize="39624,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39624;height:51054;visibility:visible;mso-wrap-style:square">
                  <v:fill o:detectmouseclick="t"/>
                  <v:path o:connecttype="none"/>
                </v:shape>
                <v:shape id="Text Box 50" o:spid="_x0000_s1047" type="#_x0000_t202" style="position:absolute;left:10333;width:18565;height:3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620F0" w:rsidRPr="00C91C7B" w:rsidRDefault="00D620F0" w:rsidP="0041110C">
                        <w:pPr>
                          <w:spacing w:after="0" w:line="240" w:lineRule="auto"/>
                          <w:jc w:val="center"/>
                          <w:rPr>
                            <w:rFonts w:ascii="Times New Roman" w:hAnsi="Times New Roman"/>
                            <w:b/>
                          </w:rPr>
                        </w:pPr>
                        <w:r w:rsidRPr="00C91C7B">
                          <w:rPr>
                            <w:rFonts w:ascii="Times New Roman" w:hAnsi="Times New Roman"/>
                            <w:b/>
                          </w:rPr>
                          <w:t>AFI</w:t>
                        </w:r>
                      </w:p>
                    </w:txbxContent>
                  </v:textbox>
                </v:shape>
                <v:shape id="Text Box 51" o:spid="_x0000_s1048" type="#_x0000_t202" style="position:absolute;left:10333;top:12888;width:18565;height:8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620F0" w:rsidRPr="00C91C7B" w:rsidRDefault="00D620F0" w:rsidP="0041110C">
                        <w:pPr>
                          <w:spacing w:after="0" w:line="240" w:lineRule="auto"/>
                          <w:jc w:val="center"/>
                          <w:rPr>
                            <w:rFonts w:ascii="Times New Roman" w:hAnsi="Times New Roman"/>
                            <w:b/>
                            <w:sz w:val="20"/>
                            <w:szCs w:val="20"/>
                          </w:rPr>
                        </w:pPr>
                        <w:r w:rsidRPr="00C91C7B">
                          <w:rPr>
                            <w:rFonts w:ascii="Times New Roman" w:hAnsi="Times New Roman"/>
                            <w:b/>
                            <w:sz w:val="20"/>
                            <w:szCs w:val="20"/>
                          </w:rPr>
                          <w:t>Eksporta kredīta aģentūra (apdrošināšanas sabiedrība)</w:t>
                        </w:r>
                      </w:p>
                      <w:p w:rsidR="00D620F0" w:rsidRPr="00F27FFB" w:rsidRDefault="00D620F0" w:rsidP="0041110C">
                        <w:pPr>
                          <w:spacing w:after="0" w:line="240" w:lineRule="auto"/>
                          <w:jc w:val="center"/>
                          <w:rPr>
                            <w:rFonts w:ascii="Times New Roman" w:hAnsi="Times New Roman"/>
                            <w:b/>
                            <w:sz w:val="20"/>
                            <w:szCs w:val="20"/>
                          </w:rPr>
                        </w:pPr>
                      </w:p>
                      <w:p w:rsidR="00D620F0" w:rsidRPr="00C91C7B" w:rsidRDefault="00D620F0" w:rsidP="0041110C">
                        <w:pPr>
                          <w:spacing w:after="0" w:line="240" w:lineRule="auto"/>
                          <w:jc w:val="center"/>
                          <w:rPr>
                            <w:rFonts w:ascii="Times New Roman" w:hAnsi="Times New Roman"/>
                            <w:b/>
                            <w:sz w:val="20"/>
                            <w:szCs w:val="20"/>
                          </w:rPr>
                        </w:pPr>
                        <w:r w:rsidRPr="00C91C7B">
                          <w:rPr>
                            <w:rFonts w:ascii="Times New Roman" w:hAnsi="Times New Roman"/>
                            <w:b/>
                            <w:sz w:val="20"/>
                            <w:szCs w:val="20"/>
                          </w:rPr>
                          <w:t>Pamatkapitāls</w:t>
                        </w:r>
                        <w:r w:rsidRPr="00F27FFB">
                          <w:rPr>
                            <w:rFonts w:ascii="Times New Roman" w:hAnsi="Times New Roman"/>
                            <w:b/>
                            <w:sz w:val="20"/>
                            <w:szCs w:val="20"/>
                          </w:rPr>
                          <w:t>:</w:t>
                        </w:r>
                        <w:r w:rsidRPr="00C91C7B">
                          <w:rPr>
                            <w:rFonts w:ascii="Times New Roman" w:hAnsi="Times New Roman"/>
                            <w:b/>
                            <w:sz w:val="20"/>
                            <w:szCs w:val="20"/>
                          </w:rPr>
                          <w:t xml:space="preserve"> 20 milj.EUR</w:t>
                        </w:r>
                      </w:p>
                    </w:txbxContent>
                  </v:textbox>
                </v:shape>
                <v:shape id="Text Box 52" o:spid="_x0000_s1049" type="#_x0000_t202" style="position:absolute;top:21056;width:3922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620F0" w:rsidRPr="00C91C7B" w:rsidRDefault="00D620F0" w:rsidP="0041110C">
                        <w:pPr>
                          <w:jc w:val="center"/>
                          <w:rPr>
                            <w:rFonts w:ascii="Times New Roman" w:hAnsi="Times New Roman"/>
                            <w:sz w:val="20"/>
                            <w:szCs w:val="20"/>
                          </w:rPr>
                        </w:pPr>
                        <w:r>
                          <w:rPr>
                            <w:rFonts w:ascii="Times New Roman" w:hAnsi="Times New Roman"/>
                            <w:sz w:val="20"/>
                            <w:szCs w:val="20"/>
                          </w:rPr>
                          <w:t>Saistību</w:t>
                        </w:r>
                        <w:r w:rsidRPr="00C91C7B">
                          <w:rPr>
                            <w:rFonts w:ascii="Times New Roman" w:hAnsi="Times New Roman"/>
                            <w:sz w:val="20"/>
                            <w:szCs w:val="20"/>
                          </w:rPr>
                          <w:t xml:space="preserve"> portfelis</w:t>
                        </w:r>
                      </w:p>
                    </w:txbxContent>
                  </v:textbox>
                </v:shape>
                <v:shape id="Text Box 53" o:spid="_x0000_s1050" type="#_x0000_t202" style="position:absolute;top:26288;width:19611;height: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Īstermiņa risku apdrošināšana uz „netirgus risku” valstīm</w:t>
                        </w:r>
                      </w:p>
                      <w:p w:rsidR="00D620F0" w:rsidRPr="00C91C7B" w:rsidRDefault="00D620F0" w:rsidP="0041110C">
                        <w:pPr>
                          <w:spacing w:after="0" w:line="240" w:lineRule="auto"/>
                          <w:jc w:val="both"/>
                          <w:rPr>
                            <w:rFonts w:ascii="Times New Roman" w:hAnsi="Times New Roman"/>
                            <w:sz w:val="20"/>
                            <w:szCs w:val="20"/>
                          </w:rPr>
                        </w:pPr>
                      </w:p>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Vidēja un ilgtermiņa eksporta kredīta risku apdrošināšana</w:t>
                        </w:r>
                      </w:p>
                    </w:txbxContent>
                  </v:textbox>
                </v:shape>
                <v:shape id="Text Box 59" o:spid="_x0000_s1051" type="#_x0000_t202" style="position:absolute;top:45920;width:17460;height: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620F0" w:rsidRPr="00C91C7B" w:rsidRDefault="00D620F0" w:rsidP="0041110C">
                        <w:pPr>
                          <w:spacing w:after="0" w:line="240" w:lineRule="auto"/>
                          <w:jc w:val="center"/>
                          <w:rPr>
                            <w:rFonts w:ascii="Times New Roman" w:hAnsi="Times New Roman"/>
                          </w:rPr>
                        </w:pPr>
                        <w:r w:rsidRPr="00C91C7B">
                          <w:rPr>
                            <w:rFonts w:ascii="Times New Roman" w:hAnsi="Times New Roman"/>
                          </w:rPr>
                          <w:t>Valsts</w:t>
                        </w:r>
                      </w:p>
                    </w:txbxContent>
                  </v:textbox>
                </v:shape>
                <v:shape id="Text Box 60" o:spid="_x0000_s1052" type="#_x0000_t202" style="position:absolute;left:19611;top:26288;width:19612;height: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Īstermiņa risku apdrošināšana uz „tirgus risku” valstīm</w:t>
                        </w:r>
                      </w:p>
                      <w:p w:rsidR="00D620F0" w:rsidRPr="00C91C7B" w:rsidRDefault="00D620F0" w:rsidP="0041110C">
                        <w:pPr>
                          <w:spacing w:after="0" w:line="240" w:lineRule="auto"/>
                          <w:jc w:val="both"/>
                          <w:rPr>
                            <w:rFonts w:ascii="Times New Roman" w:hAnsi="Times New Roman"/>
                            <w:sz w:val="20"/>
                            <w:szCs w:val="20"/>
                          </w:rPr>
                        </w:pPr>
                      </w:p>
                      <w:p w:rsidR="00D620F0" w:rsidRPr="00C91C7B" w:rsidRDefault="00D620F0" w:rsidP="0041110C">
                        <w:pPr>
                          <w:spacing w:after="0" w:line="240" w:lineRule="auto"/>
                          <w:jc w:val="both"/>
                          <w:rPr>
                            <w:rFonts w:ascii="Times New Roman" w:hAnsi="Times New Roman"/>
                            <w:sz w:val="20"/>
                            <w:szCs w:val="20"/>
                          </w:rPr>
                        </w:pPr>
                        <w:r w:rsidRPr="00C91C7B">
                          <w:rPr>
                            <w:rFonts w:ascii="Times New Roman" w:hAnsi="Times New Roman"/>
                            <w:sz w:val="20"/>
                            <w:szCs w:val="20"/>
                          </w:rPr>
                          <w:t>- Iekšzemes tirdzniecības darījumu apdrošināšana</w:t>
                        </w:r>
                      </w:p>
                      <w:p w:rsidR="00D620F0" w:rsidRPr="00C91C7B" w:rsidRDefault="00D620F0" w:rsidP="0041110C">
                        <w:pPr>
                          <w:rPr>
                            <w:rFonts w:ascii="Times New Roman" w:hAnsi="Times New Roman"/>
                            <w:sz w:val="20"/>
                            <w:szCs w:val="20"/>
                          </w:rPr>
                        </w:pPr>
                      </w:p>
                      <w:p w:rsidR="00D620F0" w:rsidRPr="00C91C7B" w:rsidRDefault="00D620F0" w:rsidP="0041110C">
                        <w:pPr>
                          <w:rPr>
                            <w:rFonts w:ascii="Times New Roman" w:hAnsi="Times New Roman"/>
                            <w:sz w:val="20"/>
                            <w:szCs w:val="20"/>
                          </w:rPr>
                        </w:pPr>
                      </w:p>
                    </w:txbxContent>
                  </v:textbox>
                </v:shape>
                <v:shape id="AutoShape 62" o:spid="_x0000_s1053" type="#_x0000_t32" style="position:absolute;left:19611;top:3552;width:8;height:9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67" o:spid="_x0000_s1054" type="#_x0000_t32" style="position:absolute;left:9678;top:34368;width:72;height:11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Text Box 69" o:spid="_x0000_s1055" type="#_x0000_t202" style="position:absolute;left:16476;top:3552;width:3143;height:9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TTrsA&#10;AADaAAAADwAAAGRycy9kb3ducmV2LnhtbESPzQrCMBCE74LvEFbwpqmKItUoIghe/cHz0qxNsdmU&#10;JNb69kYQPA4z8w2z3na2Fi35UDlWMBlnIIgLpysuFVwvh9ESRIjIGmvHpOBNAbabfm+NuXYvPlF7&#10;jqVIEA45KjAxNrmUoTBkMYxdQ5y8u/MWY5K+lNrjK8FtLadZtpAWK04LBhvaGyoe56dV4He8LwuT&#10;RbxNq3p2bXVLF63UcNDtViAidfEf/rWPWsEcvlfSDZCb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3k067AAAA2gAAAA8AAAAAAAAAAAAAAAAAmAIAAGRycy9kb3ducmV2Lnht&#10;bFBLBQYAAAAABAAEAPUAAACAAwAAAAA=&#10;" filled="f" stroked="f" strokeweight="0">
                  <v:textbox style="layout-flow:vertical;mso-layout-flow-alt:bottom-to-top">
                    <w:txbxContent>
                      <w:p w:rsidR="00D620F0" w:rsidRPr="00C91C7B" w:rsidRDefault="00D620F0" w:rsidP="0041110C">
                        <w:pPr>
                          <w:jc w:val="center"/>
                          <w:rPr>
                            <w:rFonts w:ascii="Times New Roman" w:hAnsi="Times New Roman"/>
                            <w:sz w:val="18"/>
                            <w:szCs w:val="18"/>
                          </w:rPr>
                        </w:pPr>
                        <w:r w:rsidRPr="00C91C7B">
                          <w:rPr>
                            <w:rFonts w:ascii="Times New Roman" w:hAnsi="Times New Roman"/>
                            <w:sz w:val="18"/>
                            <w:szCs w:val="18"/>
                          </w:rPr>
                          <w:t>100% kapitāldaļas</w:t>
                        </w:r>
                      </w:p>
                    </w:txbxContent>
                  </v:textbox>
                </v:shape>
                <v:shape id="Text Box 71" o:spid="_x0000_s1056" type="#_x0000_t202" style="position:absolute;left:26170;top:33632;width:3247;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NOboA&#10;AADaAAAADwAAAGRycy9kb3ducmV2LnhtbESPzQrCMBCE74LvEFbwZlMVRKpRRBC8+oPnpVmbYrMp&#10;Saz17Y0geBxm5htmve1tIzryoXasYJrlIIhLp2uuFFwvh8kSRIjIGhvHpOBNAbab4WCNhXYvPlF3&#10;jpVIEA4FKjAxtoWUoTRkMWSuJU7e3XmLMUlfSe3xleC2kbM8X0iLNacFgy3tDZWP89Mq8DveV6XJ&#10;I95mdTO/drqji1ZqPOp3KxCR+vgP/9pHrWAB3yvpBsjN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2UNOboAAADaAAAADwAAAAAAAAAAAAAAAACYAgAAZHJzL2Rvd25yZXYueG1s&#10;UEsFBgAAAAAEAAQA9QAAAH8DAAAAAA==&#10;" filled="f" stroked="f" strokeweight="0">
                  <v:textbox style="layout-flow:vertical;mso-layout-flow-alt:bottom-to-top">
                    <w:txbxContent>
                      <w:p w:rsidR="00D620F0" w:rsidRPr="00C91C7B" w:rsidRDefault="00D620F0" w:rsidP="0041110C">
                        <w:pPr>
                          <w:jc w:val="center"/>
                          <w:rPr>
                            <w:rFonts w:ascii="Times New Roman" w:hAnsi="Times New Roman"/>
                            <w:sz w:val="20"/>
                            <w:szCs w:val="20"/>
                          </w:rPr>
                        </w:pPr>
                        <w:r w:rsidRPr="00C91C7B">
                          <w:rPr>
                            <w:rFonts w:ascii="Times New Roman" w:hAnsi="Times New Roman"/>
                            <w:sz w:val="20"/>
                            <w:szCs w:val="20"/>
                          </w:rPr>
                          <w:t>Pārapdrošināšana</w:t>
                        </w:r>
                      </w:p>
                    </w:txbxContent>
                  </v:textbox>
                </v:shape>
                <v:shape id="Text Box 72" o:spid="_x0000_s1057" type="#_x0000_t202" style="position:absolute;left:6494;top:33632;width:3256;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oorsA&#10;AADaAAAADwAAAGRycy9kb3ducmV2LnhtbESPzQrCMBCE74LvEFbwpqkKKtUoIghe/cHz0qxNsdmU&#10;JNb69kYQPA4z8w2z3na2Fi35UDlWMBlnIIgLpysuFVwvh9ESRIjIGmvHpOBNAbabfm+NuXYvPlF7&#10;jqVIEA45KjAxNrmUoTBkMYxdQ5y8u/MWY5K+lNrjK8FtLadZNpcWK04LBhvaGyoe56dV4He8LwuT&#10;RbxNq3p2bXVLF63UcNDtViAidfEf/rWPWsECvlfSDZCb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pqKK7AAAA2gAAAA8AAAAAAAAAAAAAAAAAmAIAAGRycy9kb3ducmV2Lnht&#10;bFBLBQYAAAAABAAEAPUAAACAAwAAAAA=&#10;" filled="f" stroked="f" strokeweight="0">
                  <v:textbox style="layout-flow:vertical;mso-layout-flow-alt:bottom-to-top">
                    <w:txbxContent>
                      <w:p w:rsidR="00D620F0" w:rsidRPr="00C91C7B" w:rsidRDefault="00D620F0" w:rsidP="0041110C">
                        <w:pPr>
                          <w:jc w:val="center"/>
                          <w:rPr>
                            <w:rFonts w:ascii="Times New Roman" w:hAnsi="Times New Roman"/>
                            <w:color w:val="000000"/>
                            <w:sz w:val="20"/>
                            <w:szCs w:val="20"/>
                          </w:rPr>
                        </w:pPr>
                        <w:r w:rsidRPr="00C91C7B">
                          <w:rPr>
                            <w:rFonts w:ascii="Times New Roman" w:hAnsi="Times New Roman"/>
                            <w:color w:val="000000"/>
                            <w:sz w:val="20"/>
                            <w:szCs w:val="20"/>
                          </w:rPr>
                          <w:t>Pārapdrošināšana</w:t>
                        </w:r>
                      </w:p>
                    </w:txbxContent>
                  </v:textbox>
                </v:shape>
                <v:shape id="Text Box 73" o:spid="_x0000_s1058" type="#_x0000_t202" style="position:absolute;top:23672;width:1961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620F0" w:rsidRPr="00C91C7B" w:rsidRDefault="00D620F0" w:rsidP="0041110C">
                        <w:pPr>
                          <w:jc w:val="center"/>
                          <w:rPr>
                            <w:rFonts w:ascii="Times New Roman" w:hAnsi="Times New Roman"/>
                            <w:sz w:val="20"/>
                            <w:szCs w:val="20"/>
                          </w:rPr>
                        </w:pPr>
                        <w:r>
                          <w:rPr>
                            <w:rFonts w:ascii="Times New Roman" w:hAnsi="Times New Roman"/>
                            <w:sz w:val="20"/>
                            <w:szCs w:val="20"/>
                          </w:rPr>
                          <w:t>Netirgus riski</w:t>
                        </w:r>
                      </w:p>
                    </w:txbxContent>
                  </v:textbox>
                </v:shape>
                <v:shape id="Text Box 74" o:spid="_x0000_s1059" type="#_x0000_t202" style="position:absolute;left:19611;top:23672;width:1961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620F0" w:rsidRPr="00C91C7B" w:rsidRDefault="00D620F0" w:rsidP="0041110C">
                        <w:pPr>
                          <w:jc w:val="center"/>
                          <w:rPr>
                            <w:rFonts w:ascii="Times New Roman" w:hAnsi="Times New Roman"/>
                            <w:sz w:val="20"/>
                            <w:szCs w:val="20"/>
                          </w:rPr>
                        </w:pPr>
                        <w:r>
                          <w:rPr>
                            <w:rFonts w:ascii="Times New Roman" w:hAnsi="Times New Roman"/>
                            <w:sz w:val="20"/>
                            <w:szCs w:val="20"/>
                          </w:rPr>
                          <w:t>Tirgus riski</w:t>
                        </w:r>
                      </w:p>
                    </w:txbxContent>
                  </v:textbox>
                </v:shape>
                <v:shape id="AutoShape 75" o:spid="_x0000_s1060" type="#_x0000_t32" style="position:absolute;left:29345;top:34368;width:72;height:11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Text Box 76" o:spid="_x0000_s1061" type="#_x0000_t202" style="position:absolute;left:20395;top:45920;width:18828;height:4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620F0" w:rsidRPr="00C91C7B" w:rsidRDefault="00D620F0" w:rsidP="0041110C">
                        <w:pPr>
                          <w:spacing w:after="0" w:line="240" w:lineRule="auto"/>
                          <w:jc w:val="center"/>
                          <w:rPr>
                            <w:rFonts w:ascii="Times New Roman" w:hAnsi="Times New Roman"/>
                            <w:sz w:val="20"/>
                            <w:szCs w:val="20"/>
                          </w:rPr>
                        </w:pPr>
                        <w:r w:rsidRPr="00C91C7B">
                          <w:rPr>
                            <w:rFonts w:ascii="Times New Roman" w:hAnsi="Times New Roman"/>
                            <w:sz w:val="20"/>
                            <w:szCs w:val="20"/>
                          </w:rPr>
                          <w:t>Starptautiskie tirgi (privātie pārapdrošinātāji)</w:t>
                        </w:r>
                      </w:p>
                    </w:txbxContent>
                  </v:textbox>
                </v:shape>
                <w10:anchorlock/>
              </v:group>
            </w:pict>
          </mc:Fallback>
        </mc:AlternateContent>
      </w:r>
    </w:p>
    <w:p w:rsidR="0041110C" w:rsidRPr="00E45D07" w:rsidRDefault="0041110C" w:rsidP="00237517">
      <w:pPr>
        <w:keepNext/>
        <w:spacing w:afterLines="40" w:after="96" w:line="240" w:lineRule="auto"/>
        <w:jc w:val="both"/>
        <w:rPr>
          <w:rFonts w:ascii="Times New Roman" w:hAnsi="Times New Roman"/>
          <w:sz w:val="26"/>
          <w:szCs w:val="26"/>
        </w:rPr>
      </w:pPr>
    </w:p>
    <w:p w:rsidR="00EA209D" w:rsidRDefault="00EA209D" w:rsidP="00307EC2">
      <w:pPr>
        <w:spacing w:afterLines="40" w:after="96" w:line="240" w:lineRule="auto"/>
        <w:ind w:firstLine="567"/>
        <w:jc w:val="both"/>
        <w:rPr>
          <w:rFonts w:ascii="Times New Roman" w:hAnsi="Times New Roman"/>
          <w:sz w:val="26"/>
          <w:szCs w:val="26"/>
        </w:rPr>
      </w:pPr>
    </w:p>
    <w:p w:rsidR="0041110C" w:rsidRPr="00E45D07" w:rsidRDefault="0041110C" w:rsidP="00307EC2">
      <w:pPr>
        <w:spacing w:afterLines="40" w:after="96" w:line="240" w:lineRule="auto"/>
        <w:ind w:firstLine="567"/>
        <w:jc w:val="both"/>
        <w:rPr>
          <w:rFonts w:ascii="Times New Roman" w:hAnsi="Times New Roman"/>
          <w:sz w:val="26"/>
          <w:szCs w:val="26"/>
        </w:rPr>
      </w:pPr>
      <w:r w:rsidRPr="00E45D07">
        <w:rPr>
          <w:rFonts w:ascii="Times New Roman" w:hAnsi="Times New Roman"/>
          <w:sz w:val="26"/>
          <w:szCs w:val="26"/>
        </w:rPr>
        <w:t xml:space="preserve">Apdrošināšanas sabiedrības viens no būtiskiem ieguvumiem būtu iespēja pārapdrošināt „tirgu riskus” starptautiskajos tirgos (4.3.attēla parādītā saistību portfeļa </w:t>
      </w:r>
      <w:r w:rsidRPr="00E45D07">
        <w:rPr>
          <w:rFonts w:ascii="Times New Roman" w:hAnsi="Times New Roman"/>
          <w:sz w:val="26"/>
          <w:szCs w:val="26"/>
        </w:rPr>
        <w:lastRenderedPageBreak/>
        <w:t>nodalīšana) pie vadošajiem tirdzniecības kredītu pārapdrošinātājiem. Ņemot vērā citu valstu pieredzi, daļu vidēja un ilgtermiņa eksporta kredītu apdrošināšanas saistību būtu iespējams pārapdrošināt pie privātiem pārapdrošinātājiem.</w:t>
      </w:r>
    </w:p>
    <w:p w:rsidR="0041110C" w:rsidRDefault="0041110C" w:rsidP="00E45D07">
      <w:pPr>
        <w:spacing w:afterLines="40" w:after="96" w:line="240" w:lineRule="auto"/>
        <w:rPr>
          <w:rFonts w:ascii="Times New Roman" w:hAnsi="Times New Roman"/>
          <w:color w:val="000000"/>
          <w:sz w:val="26"/>
          <w:szCs w:val="26"/>
        </w:rPr>
      </w:pPr>
    </w:p>
    <w:p w:rsidR="00EA209D" w:rsidRPr="00E45D07" w:rsidRDefault="00EA209D" w:rsidP="00E45D07">
      <w:pPr>
        <w:spacing w:afterLines="40" w:after="96" w:line="240" w:lineRule="auto"/>
        <w:rPr>
          <w:rFonts w:ascii="Times New Roman" w:hAnsi="Times New Roman"/>
          <w:color w:val="000000"/>
          <w:sz w:val="26"/>
          <w:szCs w:val="26"/>
        </w:rPr>
      </w:pPr>
    </w:p>
    <w:p w:rsidR="0041110C" w:rsidRPr="00E45D07" w:rsidRDefault="0041110C" w:rsidP="00E45D07">
      <w:pPr>
        <w:pStyle w:val="Heading1"/>
        <w:spacing w:before="0" w:afterLines="40" w:after="96" w:line="240" w:lineRule="auto"/>
        <w:rPr>
          <w:rFonts w:ascii="Times New Roman" w:hAnsi="Times New Roman"/>
          <w:color w:val="000000"/>
          <w:sz w:val="26"/>
          <w:szCs w:val="26"/>
        </w:rPr>
      </w:pPr>
      <w:bookmarkStart w:id="22" w:name="_Toc388627045"/>
      <w:r w:rsidRPr="00E45D07">
        <w:rPr>
          <w:rFonts w:ascii="Times New Roman" w:hAnsi="Times New Roman"/>
          <w:color w:val="000000"/>
          <w:sz w:val="26"/>
          <w:szCs w:val="26"/>
        </w:rPr>
        <w:t>5. Secinājumi un priekšlikumi</w:t>
      </w:r>
      <w:bookmarkEnd w:id="22"/>
    </w:p>
    <w:p w:rsidR="0041110C" w:rsidRPr="00E45D07" w:rsidRDefault="0041110C" w:rsidP="00514917">
      <w:pPr>
        <w:spacing w:afterLines="40" w:after="96" w:line="240" w:lineRule="auto"/>
        <w:ind w:firstLine="567"/>
        <w:jc w:val="both"/>
        <w:rPr>
          <w:rFonts w:ascii="Times New Roman" w:hAnsi="Times New Roman"/>
          <w:color w:val="000000"/>
          <w:sz w:val="26"/>
          <w:szCs w:val="26"/>
        </w:rPr>
      </w:pPr>
      <w:r w:rsidRPr="00E45D07">
        <w:rPr>
          <w:rFonts w:ascii="Times New Roman" w:hAnsi="Times New Roman"/>
          <w:color w:val="000000"/>
          <w:sz w:val="26"/>
          <w:szCs w:val="26"/>
        </w:rPr>
        <w:t>Izvērtējot esošo situāciju tirgū un iespējamo pieprasījumu pēc valsts vidēja un ilgtermiņa EKG, to ietekmi uz Latvijas tautsaimniecību un piemērotāko modeli šīs programmas ieviešanai, Informatīvais ziņojums ietver sekojošus secinājumus un priekšlikumus:</w:t>
      </w:r>
    </w:p>
    <w:p w:rsidR="0041110C" w:rsidRPr="00E45D07" w:rsidRDefault="0041110C" w:rsidP="00514917">
      <w:pPr>
        <w:pStyle w:val="ListParagraph"/>
        <w:numPr>
          <w:ilvl w:val="0"/>
          <w:numId w:val="34"/>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Šobrīd pieejamā īstermiņa EKG programma ir orientēta uz patēriņa preču eksportu ar īsiem kredīta jeb atliktā maksājuma termiņiem, kas neapmierina kapitāla preču eksportētāju vajadzības.</w:t>
      </w:r>
    </w:p>
    <w:p w:rsidR="0041110C" w:rsidRPr="00E45D07" w:rsidRDefault="0041110C" w:rsidP="00514917">
      <w:pPr>
        <w:pStyle w:val="ListParagraph"/>
        <w:numPr>
          <w:ilvl w:val="0"/>
          <w:numId w:val="34"/>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Vidēja un ilgtermiņa EKG ieviešana veicinās valsts eksportu nozarēs, kurās projektu īstenošanas cikls ir ilgāks par diviem gadiem un kuras ražo kapitālietilpīgas preces.</w:t>
      </w:r>
    </w:p>
    <w:p w:rsidR="0041110C" w:rsidRPr="00E45D07" w:rsidRDefault="0041110C" w:rsidP="00514917">
      <w:pPr>
        <w:pStyle w:val="ListParagraph"/>
        <w:numPr>
          <w:ilvl w:val="0"/>
          <w:numId w:val="34"/>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 xml:space="preserve">Vidēja un ilgtermiņa EKG atbalsta pieejamības neesamībai ir negatīva ietekme uz Latvijas eksportētāju izaugsmes perspektīvām ilgtermiņā un Latvijas eksportētāju konkurētspēju ārējos tirgos. </w:t>
      </w:r>
    </w:p>
    <w:p w:rsidR="0041110C" w:rsidRPr="00E45D07" w:rsidRDefault="0041110C" w:rsidP="00514917">
      <w:pPr>
        <w:pStyle w:val="ListParagraph"/>
        <w:numPr>
          <w:ilvl w:val="0"/>
          <w:numId w:val="34"/>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Latvijas komercbankām ir neliela pieredze vidēja un ilgtermiņa eksporta darījumu finansēšanā. Šādu darījumu risku apdrošināšanas instruments līdz šim nav bijis pieejams Latvijas tirgū, kas lielā mērā izskaidro pieprasījuma trūkumu no komercbanku puses pēc šāda instrumenta.</w:t>
      </w:r>
    </w:p>
    <w:p w:rsidR="0041110C" w:rsidRPr="00E45D07" w:rsidRDefault="00A763D9" w:rsidP="00514917">
      <w:pPr>
        <w:pStyle w:val="ListParagraph"/>
        <w:numPr>
          <w:ilvl w:val="0"/>
          <w:numId w:val="34"/>
        </w:numPr>
        <w:spacing w:afterLines="40" w:after="96"/>
        <w:jc w:val="both"/>
        <w:rPr>
          <w:rFonts w:ascii="Times New Roman" w:hAnsi="Times New Roman"/>
          <w:color w:val="000000"/>
          <w:sz w:val="26"/>
          <w:szCs w:val="26"/>
        </w:rPr>
      </w:pPr>
      <w:r>
        <w:rPr>
          <w:rFonts w:ascii="Times New Roman" w:hAnsi="Times New Roman"/>
          <w:sz w:val="26"/>
          <w:szCs w:val="26"/>
        </w:rPr>
        <w:t xml:space="preserve">Lielākajai daļai valstu </w:t>
      </w:r>
      <w:r w:rsidR="0041110C" w:rsidRPr="00E45D07">
        <w:rPr>
          <w:rFonts w:ascii="Times New Roman" w:hAnsi="Times New Roman"/>
          <w:sz w:val="26"/>
          <w:szCs w:val="26"/>
        </w:rPr>
        <w:t>eksporta kredīta aģentūru (EKA) vidēja un ilgtermiņa EKG instrumenti ir pašfinansējoši un stabilas ekonomikas apstākļos nenes zaudējumus.</w:t>
      </w:r>
    </w:p>
    <w:p w:rsidR="005C1704" w:rsidRPr="00B14334" w:rsidRDefault="0041110C" w:rsidP="005C1704">
      <w:pPr>
        <w:pStyle w:val="ListParagraph"/>
        <w:numPr>
          <w:ilvl w:val="0"/>
          <w:numId w:val="34"/>
        </w:numPr>
        <w:spacing w:afterLines="40" w:after="96"/>
        <w:jc w:val="both"/>
        <w:rPr>
          <w:rFonts w:ascii="Times New Roman" w:hAnsi="Times New Roman"/>
          <w:color w:val="000000"/>
          <w:sz w:val="26"/>
          <w:szCs w:val="26"/>
        </w:rPr>
      </w:pPr>
      <w:r w:rsidRPr="00B14334">
        <w:rPr>
          <w:rFonts w:ascii="Times New Roman" w:hAnsi="Times New Roman"/>
          <w:color w:val="000000"/>
          <w:sz w:val="26"/>
          <w:szCs w:val="26"/>
        </w:rPr>
        <w:t>Vidēja un ilgtermiņa EKG aktivitātes ieviešana var veicināt nodarbinātību gan tieši – saistībā ar e</w:t>
      </w:r>
      <w:r w:rsidR="008064EC">
        <w:rPr>
          <w:rFonts w:ascii="Times New Roman" w:hAnsi="Times New Roman"/>
          <w:color w:val="000000"/>
          <w:sz w:val="26"/>
          <w:szCs w:val="26"/>
        </w:rPr>
        <w:t>ksportējamo daudzumu pieaugumu</w:t>
      </w:r>
      <w:bookmarkStart w:id="23" w:name="_GoBack"/>
      <w:bookmarkEnd w:id="23"/>
      <w:r w:rsidRPr="00B14334">
        <w:rPr>
          <w:rFonts w:ascii="Times New Roman" w:hAnsi="Times New Roman"/>
          <w:color w:val="000000"/>
          <w:sz w:val="26"/>
          <w:szCs w:val="26"/>
        </w:rPr>
        <w:t>, gan netieši – veicinot vietējo izejvielu piegādātāju apgrozījumu.</w:t>
      </w:r>
    </w:p>
    <w:p w:rsidR="0041110C" w:rsidRPr="00B14334" w:rsidRDefault="005C1704" w:rsidP="0073474E">
      <w:pPr>
        <w:pStyle w:val="ListParagraph"/>
        <w:numPr>
          <w:ilvl w:val="0"/>
          <w:numId w:val="34"/>
        </w:numPr>
        <w:spacing w:afterLines="40" w:after="96"/>
        <w:jc w:val="both"/>
        <w:rPr>
          <w:rFonts w:ascii="Times New Roman" w:hAnsi="Times New Roman"/>
          <w:color w:val="000000"/>
          <w:sz w:val="26"/>
          <w:szCs w:val="26"/>
        </w:rPr>
      </w:pPr>
      <w:r w:rsidRPr="00B14334">
        <w:rPr>
          <w:rFonts w:ascii="Times New Roman" w:hAnsi="Times New Roman"/>
          <w:color w:val="000000"/>
          <w:sz w:val="26"/>
          <w:szCs w:val="26"/>
        </w:rPr>
        <w:t xml:space="preserve"> </w:t>
      </w:r>
      <w:r w:rsidR="0073474E" w:rsidRPr="00B14334">
        <w:rPr>
          <w:rFonts w:ascii="Times New Roman" w:hAnsi="Times New Roman"/>
          <w:color w:val="000000"/>
          <w:sz w:val="26"/>
          <w:szCs w:val="26"/>
        </w:rPr>
        <w:t>V</w:t>
      </w:r>
      <w:r w:rsidRPr="00B14334">
        <w:rPr>
          <w:rFonts w:ascii="Times New Roman" w:hAnsi="Times New Roman"/>
          <w:color w:val="000000"/>
          <w:sz w:val="26"/>
          <w:szCs w:val="26"/>
        </w:rPr>
        <w:t>idēja un ilgtermiņa E</w:t>
      </w:r>
      <w:r w:rsidR="0073474E" w:rsidRPr="00B14334">
        <w:rPr>
          <w:rFonts w:ascii="Times New Roman" w:hAnsi="Times New Roman"/>
          <w:color w:val="000000"/>
          <w:sz w:val="26"/>
          <w:szCs w:val="26"/>
        </w:rPr>
        <w:t>KG</w:t>
      </w:r>
      <w:r w:rsidRPr="00B14334">
        <w:rPr>
          <w:rFonts w:ascii="Times New Roman" w:hAnsi="Times New Roman"/>
          <w:color w:val="000000"/>
          <w:sz w:val="26"/>
          <w:szCs w:val="26"/>
        </w:rPr>
        <w:t xml:space="preserve"> programm</w:t>
      </w:r>
      <w:r w:rsidR="0073474E" w:rsidRPr="00B14334">
        <w:rPr>
          <w:rFonts w:ascii="Times New Roman" w:hAnsi="Times New Roman"/>
          <w:color w:val="000000"/>
          <w:sz w:val="26"/>
          <w:szCs w:val="26"/>
        </w:rPr>
        <w:t xml:space="preserve">as ieviešanai ir jānodrošina </w:t>
      </w:r>
      <w:r w:rsidRPr="00B14334">
        <w:rPr>
          <w:rFonts w:ascii="Times New Roman" w:hAnsi="Times New Roman"/>
          <w:color w:val="000000"/>
          <w:sz w:val="26"/>
          <w:szCs w:val="26"/>
        </w:rPr>
        <w:t xml:space="preserve"> finansējum</w:t>
      </w:r>
      <w:r w:rsidR="0073474E" w:rsidRPr="00B14334">
        <w:rPr>
          <w:rFonts w:ascii="Times New Roman" w:hAnsi="Times New Roman"/>
          <w:color w:val="000000"/>
          <w:sz w:val="26"/>
          <w:szCs w:val="26"/>
        </w:rPr>
        <w:t>a piešķīrums</w:t>
      </w:r>
      <w:r w:rsidRPr="00B14334">
        <w:rPr>
          <w:rFonts w:ascii="Times New Roman" w:hAnsi="Times New Roman"/>
          <w:color w:val="000000"/>
          <w:sz w:val="26"/>
          <w:szCs w:val="26"/>
        </w:rPr>
        <w:t xml:space="preserve"> 20 miljon</w:t>
      </w:r>
      <w:r w:rsidR="0073474E" w:rsidRPr="00B14334">
        <w:rPr>
          <w:rFonts w:ascii="Times New Roman" w:hAnsi="Times New Roman"/>
          <w:color w:val="000000"/>
          <w:sz w:val="26"/>
          <w:szCs w:val="26"/>
        </w:rPr>
        <w:t xml:space="preserve">u </w:t>
      </w:r>
      <w:r w:rsidRPr="00B14334">
        <w:rPr>
          <w:rFonts w:ascii="Times New Roman" w:hAnsi="Times New Roman"/>
          <w:color w:val="000000"/>
          <w:sz w:val="26"/>
          <w:szCs w:val="26"/>
        </w:rPr>
        <w:t>EUR</w:t>
      </w:r>
      <w:r w:rsidR="0073474E" w:rsidRPr="00B14334">
        <w:rPr>
          <w:rFonts w:ascii="Times New Roman" w:hAnsi="Times New Roman"/>
          <w:color w:val="000000"/>
          <w:sz w:val="26"/>
          <w:szCs w:val="26"/>
        </w:rPr>
        <w:t xml:space="preserve"> apmērā un jānosaka </w:t>
      </w:r>
      <w:r w:rsidR="00C4741B" w:rsidRPr="00B14334">
        <w:rPr>
          <w:rFonts w:ascii="Times New Roman" w:hAnsi="Times New Roman"/>
          <w:color w:val="000000"/>
          <w:sz w:val="26"/>
          <w:szCs w:val="26"/>
        </w:rPr>
        <w:t>valsts galvojum</w:t>
      </w:r>
      <w:r w:rsidR="0073474E" w:rsidRPr="00B14334">
        <w:rPr>
          <w:rFonts w:ascii="Times New Roman" w:hAnsi="Times New Roman"/>
          <w:color w:val="000000"/>
          <w:sz w:val="26"/>
          <w:szCs w:val="26"/>
        </w:rPr>
        <w:t>u apmērs</w:t>
      </w:r>
      <w:r w:rsidR="00C4741B" w:rsidRPr="00B14334">
        <w:rPr>
          <w:rFonts w:ascii="Times New Roman" w:hAnsi="Times New Roman"/>
          <w:color w:val="000000"/>
          <w:sz w:val="26"/>
          <w:szCs w:val="26"/>
        </w:rPr>
        <w:t xml:space="preserve"> par plānoto </w:t>
      </w:r>
      <w:r w:rsidR="0073474E" w:rsidRPr="00B14334">
        <w:rPr>
          <w:rFonts w:ascii="Times New Roman" w:hAnsi="Times New Roman"/>
          <w:color w:val="000000"/>
          <w:sz w:val="26"/>
          <w:szCs w:val="26"/>
        </w:rPr>
        <w:t>saistību apjomu vidēja un ilgtermiņa EKG programmas ietvaros 60 miljonu EUR apmērā līdz 2020.gadam.</w:t>
      </w:r>
    </w:p>
    <w:p w:rsidR="0041110C" w:rsidRDefault="0041110C" w:rsidP="00514917">
      <w:pPr>
        <w:pStyle w:val="ListParagraph"/>
        <w:numPr>
          <w:ilvl w:val="0"/>
          <w:numId w:val="34"/>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Šobrīd Latvija ir viena no piecām ES dalībvalstīm un viena no septiņām Eiropas valstīm, kas nepiedāvā saviem uzņēmumiem vidēja un ilgtermiņa EKG instrumentu un kurai nav pilna spektra EKA.</w:t>
      </w:r>
    </w:p>
    <w:p w:rsidR="00EA209D" w:rsidRPr="00E45D07" w:rsidRDefault="00EA209D" w:rsidP="00EA209D">
      <w:pPr>
        <w:pStyle w:val="ListParagraph"/>
        <w:spacing w:afterLines="40" w:after="96"/>
        <w:ind w:left="1080"/>
        <w:jc w:val="both"/>
        <w:rPr>
          <w:rFonts w:ascii="Times New Roman" w:hAnsi="Times New Roman"/>
          <w:color w:val="000000"/>
          <w:sz w:val="26"/>
          <w:szCs w:val="26"/>
        </w:rPr>
      </w:pPr>
    </w:p>
    <w:p w:rsidR="0041110C" w:rsidRDefault="0041110C" w:rsidP="00514917">
      <w:pPr>
        <w:pStyle w:val="ListParagraph"/>
        <w:numPr>
          <w:ilvl w:val="0"/>
          <w:numId w:val="34"/>
        </w:numPr>
        <w:spacing w:afterLines="40" w:after="96"/>
        <w:jc w:val="both"/>
        <w:rPr>
          <w:rFonts w:ascii="Times New Roman" w:hAnsi="Times New Roman"/>
          <w:color w:val="000000"/>
          <w:sz w:val="26"/>
          <w:szCs w:val="26"/>
        </w:rPr>
      </w:pPr>
      <w:r w:rsidRPr="00E45D07">
        <w:rPr>
          <w:rFonts w:ascii="Times New Roman" w:hAnsi="Times New Roman"/>
          <w:color w:val="000000"/>
          <w:sz w:val="26"/>
          <w:szCs w:val="26"/>
        </w:rPr>
        <w:t>Latvijai atbilstošākais EKA modelis ir valsts īpašumā esoša neatkarīga apdrošināšanas kapitālsabiedrība, kas Latvijas eksportētājiem sniegtu pilna spektra eksporta kredīta apdrošināšanas pakalpojumus.</w:t>
      </w:r>
    </w:p>
    <w:p w:rsidR="00307EC2" w:rsidRDefault="00307EC2"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183C4E" w:rsidRPr="00E45D07" w:rsidRDefault="00183C4E" w:rsidP="00E45D07">
      <w:pPr>
        <w:tabs>
          <w:tab w:val="right" w:pos="9072"/>
          <w:tab w:val="right" w:pos="9923"/>
        </w:tabs>
        <w:spacing w:afterLines="40" w:after="96" w:line="240" w:lineRule="auto"/>
        <w:jc w:val="both"/>
        <w:rPr>
          <w:rFonts w:ascii="Times New Roman" w:hAnsi="Times New Roman"/>
          <w:sz w:val="26"/>
          <w:szCs w:val="26"/>
        </w:rPr>
      </w:pPr>
      <w:r w:rsidRPr="00E45D07">
        <w:rPr>
          <w:rFonts w:ascii="Times New Roman" w:hAnsi="Times New Roman"/>
          <w:sz w:val="26"/>
          <w:szCs w:val="26"/>
        </w:rPr>
        <w:lastRenderedPageBreak/>
        <w:t>Ekonomikas ministrs</w:t>
      </w:r>
      <w:r w:rsidRPr="00E45D07">
        <w:rPr>
          <w:rFonts w:ascii="Times New Roman" w:hAnsi="Times New Roman"/>
          <w:sz w:val="26"/>
          <w:szCs w:val="26"/>
        </w:rPr>
        <w:tab/>
        <w:t>V.Dombrovskis</w:t>
      </w:r>
    </w:p>
    <w:p w:rsidR="00183C4E" w:rsidRDefault="00183C4E" w:rsidP="00E45D07">
      <w:pPr>
        <w:tabs>
          <w:tab w:val="left" w:pos="6804"/>
          <w:tab w:val="right" w:pos="9072"/>
        </w:tabs>
        <w:spacing w:afterLines="40" w:after="96" w:line="240" w:lineRule="auto"/>
        <w:ind w:firstLine="709"/>
        <w:jc w:val="both"/>
        <w:rPr>
          <w:rFonts w:ascii="Times New Roman" w:hAnsi="Times New Roman"/>
          <w:sz w:val="26"/>
          <w:szCs w:val="26"/>
        </w:rPr>
      </w:pPr>
    </w:p>
    <w:p w:rsidR="00EA209D" w:rsidRPr="00E45D07" w:rsidRDefault="00EA209D" w:rsidP="00E45D07">
      <w:pPr>
        <w:tabs>
          <w:tab w:val="left" w:pos="6804"/>
          <w:tab w:val="right" w:pos="9072"/>
        </w:tabs>
        <w:spacing w:afterLines="40" w:after="96" w:line="240" w:lineRule="auto"/>
        <w:ind w:firstLine="709"/>
        <w:jc w:val="both"/>
        <w:rPr>
          <w:rFonts w:ascii="Times New Roman" w:hAnsi="Times New Roman"/>
          <w:sz w:val="26"/>
          <w:szCs w:val="26"/>
        </w:rPr>
      </w:pPr>
    </w:p>
    <w:p w:rsidR="00183C4E" w:rsidRPr="00E45D07" w:rsidRDefault="00183C4E" w:rsidP="00E45D07">
      <w:pPr>
        <w:tabs>
          <w:tab w:val="left" w:pos="6804"/>
          <w:tab w:val="right" w:pos="9072"/>
        </w:tabs>
        <w:spacing w:afterLines="40" w:after="96" w:line="240" w:lineRule="auto"/>
        <w:jc w:val="both"/>
        <w:rPr>
          <w:rFonts w:ascii="Times New Roman" w:hAnsi="Times New Roman"/>
          <w:sz w:val="26"/>
          <w:szCs w:val="26"/>
        </w:rPr>
      </w:pPr>
      <w:r w:rsidRPr="00E45D07">
        <w:rPr>
          <w:rFonts w:ascii="Times New Roman" w:hAnsi="Times New Roman"/>
          <w:sz w:val="26"/>
          <w:szCs w:val="26"/>
        </w:rPr>
        <w:t>Vīza:</w:t>
      </w:r>
    </w:p>
    <w:p w:rsidR="00183C4E" w:rsidRPr="00E45D07" w:rsidRDefault="00183C4E" w:rsidP="00E45D07">
      <w:pPr>
        <w:tabs>
          <w:tab w:val="right" w:pos="9072"/>
          <w:tab w:val="right" w:pos="9923"/>
        </w:tabs>
        <w:spacing w:afterLines="40" w:after="96" w:line="240" w:lineRule="auto"/>
        <w:jc w:val="both"/>
        <w:rPr>
          <w:rFonts w:ascii="Times New Roman" w:hAnsi="Times New Roman"/>
          <w:sz w:val="26"/>
          <w:szCs w:val="26"/>
        </w:rPr>
      </w:pPr>
      <w:r w:rsidRPr="00E45D07">
        <w:rPr>
          <w:rFonts w:ascii="Times New Roman" w:hAnsi="Times New Roman"/>
          <w:sz w:val="26"/>
          <w:szCs w:val="26"/>
        </w:rPr>
        <w:t>Valsts sekretārs</w:t>
      </w:r>
      <w:r w:rsidRPr="00E45D07">
        <w:rPr>
          <w:rFonts w:ascii="Times New Roman" w:hAnsi="Times New Roman"/>
          <w:sz w:val="26"/>
          <w:szCs w:val="26"/>
        </w:rPr>
        <w:tab/>
        <w:t>M.Lazdovskis</w:t>
      </w: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EA209D" w:rsidRDefault="00EA209D" w:rsidP="00E45D07">
      <w:pPr>
        <w:tabs>
          <w:tab w:val="right" w:pos="9072"/>
          <w:tab w:val="right" w:pos="9923"/>
        </w:tabs>
        <w:spacing w:afterLines="40" w:after="96" w:line="240" w:lineRule="auto"/>
        <w:jc w:val="both"/>
        <w:rPr>
          <w:rFonts w:ascii="Times New Roman" w:hAnsi="Times New Roman"/>
          <w:sz w:val="26"/>
          <w:szCs w:val="26"/>
        </w:rPr>
      </w:pPr>
    </w:p>
    <w:p w:rsidR="00183C4E" w:rsidRPr="00E45D07" w:rsidRDefault="00183C4E" w:rsidP="00E45D07">
      <w:pPr>
        <w:tabs>
          <w:tab w:val="right" w:pos="9072"/>
          <w:tab w:val="right" w:pos="9923"/>
        </w:tabs>
        <w:spacing w:afterLines="40" w:after="96" w:line="240" w:lineRule="auto"/>
        <w:jc w:val="both"/>
        <w:rPr>
          <w:rFonts w:ascii="Times New Roman" w:hAnsi="Times New Roman"/>
          <w:sz w:val="26"/>
          <w:szCs w:val="26"/>
        </w:rPr>
      </w:pPr>
      <w:r w:rsidRPr="00E45D07">
        <w:rPr>
          <w:rFonts w:ascii="Times New Roman" w:hAnsi="Times New Roman"/>
          <w:sz w:val="26"/>
          <w:szCs w:val="26"/>
        </w:rPr>
        <w:tab/>
      </w:r>
    </w:p>
    <w:p w:rsidR="009C7CC0" w:rsidRDefault="00EA209D" w:rsidP="009C7CC0">
      <w:pPr>
        <w:pStyle w:val="NormalLatvian"/>
        <w:spacing w:after="0"/>
        <w:rPr>
          <w:sz w:val="20"/>
          <w:szCs w:val="20"/>
        </w:rPr>
      </w:pPr>
      <w:r>
        <w:rPr>
          <w:sz w:val="20"/>
          <w:szCs w:val="20"/>
        </w:rPr>
        <w:t>03.06.2014. 10:04</w:t>
      </w:r>
    </w:p>
    <w:p w:rsidR="009C7CC0" w:rsidRDefault="00EA209D" w:rsidP="009C7CC0">
      <w:pPr>
        <w:pStyle w:val="NormalLatvian"/>
        <w:spacing w:after="0"/>
        <w:rPr>
          <w:sz w:val="20"/>
          <w:szCs w:val="20"/>
        </w:rPr>
      </w:pPr>
      <w:r>
        <w:rPr>
          <w:sz w:val="20"/>
          <w:szCs w:val="20"/>
        </w:rPr>
        <w:t>5874</w:t>
      </w:r>
    </w:p>
    <w:p w:rsidR="009C7CC0" w:rsidRPr="00E93032" w:rsidRDefault="009C7CC0" w:rsidP="009C7CC0">
      <w:pPr>
        <w:pStyle w:val="NormalLatvian"/>
        <w:spacing w:after="0"/>
        <w:rPr>
          <w:sz w:val="20"/>
          <w:szCs w:val="20"/>
        </w:rPr>
      </w:pPr>
      <w:r w:rsidRPr="00E93032">
        <w:rPr>
          <w:sz w:val="20"/>
          <w:szCs w:val="20"/>
        </w:rPr>
        <w:t>J.Volberts, 67013021</w:t>
      </w:r>
    </w:p>
    <w:p w:rsidR="00CA7595" w:rsidRPr="00E45D07" w:rsidRDefault="009C7CC0" w:rsidP="00307EC2">
      <w:pPr>
        <w:pStyle w:val="NormalLatvian"/>
        <w:spacing w:after="0"/>
        <w:rPr>
          <w:sz w:val="26"/>
          <w:szCs w:val="26"/>
        </w:rPr>
      </w:pPr>
      <w:r w:rsidRPr="00E93032">
        <w:rPr>
          <w:sz w:val="20"/>
          <w:szCs w:val="20"/>
        </w:rPr>
        <w:t xml:space="preserve">Janis.Volberts@em.gov.lv </w:t>
      </w:r>
    </w:p>
    <w:sectPr w:rsidR="00CA7595" w:rsidRPr="00E45D07" w:rsidSect="0041110C">
      <w:headerReference w:type="default" r:id="rId18"/>
      <w:footerReference w:type="default" r:id="rId19"/>
      <w:pgSz w:w="11906" w:h="16838" w:code="9"/>
      <w:pgMar w:top="1701" w:right="1134" w:bottom="113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F0" w:rsidRDefault="00D620F0" w:rsidP="003031EB">
      <w:pPr>
        <w:spacing w:after="0" w:line="240" w:lineRule="auto"/>
      </w:pPr>
      <w:r>
        <w:separator/>
      </w:r>
    </w:p>
  </w:endnote>
  <w:endnote w:type="continuationSeparator" w:id="0">
    <w:p w:rsidR="00D620F0" w:rsidRDefault="00D620F0" w:rsidP="0030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F0" w:rsidRPr="0041110C" w:rsidRDefault="00D620F0" w:rsidP="0041110C">
    <w:pPr>
      <w:pStyle w:val="Heading2"/>
      <w:keepNext w:val="0"/>
      <w:keepLines w:val="0"/>
      <w:spacing w:before="0" w:line="240" w:lineRule="auto"/>
      <w:rPr>
        <w:rFonts w:ascii="Times New Roman" w:hAnsi="Times New Roman"/>
        <w:b w:val="0"/>
        <w:color w:val="auto"/>
        <w:sz w:val="20"/>
        <w:szCs w:val="20"/>
      </w:rPr>
    </w:pPr>
    <w:r w:rsidRPr="00B02162">
      <w:rPr>
        <w:rFonts w:ascii="Times New Roman" w:hAnsi="Times New Roman"/>
        <w:b w:val="0"/>
        <w:color w:val="auto"/>
        <w:sz w:val="20"/>
        <w:szCs w:val="20"/>
      </w:rPr>
      <w:t>EM</w:t>
    </w:r>
    <w:r>
      <w:rPr>
        <w:rFonts w:ascii="Times New Roman" w:hAnsi="Times New Roman"/>
        <w:b w:val="0"/>
        <w:color w:val="auto"/>
        <w:sz w:val="20"/>
        <w:szCs w:val="20"/>
      </w:rPr>
      <w:t>Zinop</w:t>
    </w:r>
    <w:r w:rsidRPr="00B02162">
      <w:rPr>
        <w:rFonts w:ascii="Times New Roman" w:hAnsi="Times New Roman"/>
        <w:b w:val="0"/>
        <w:color w:val="auto"/>
        <w:sz w:val="20"/>
        <w:szCs w:val="20"/>
      </w:rPr>
      <w:t>_280514_eksportkred</w:t>
    </w:r>
    <w:r>
      <w:rPr>
        <w:rFonts w:ascii="Times New Roman" w:hAnsi="Times New Roman"/>
        <w:b w:val="0"/>
        <w:color w:val="auto"/>
        <w:sz w:val="20"/>
        <w:szCs w:val="20"/>
      </w:rPr>
      <w:t>; Informatīvais</w:t>
    </w:r>
    <w:r w:rsidRPr="00B02162">
      <w:rPr>
        <w:rFonts w:ascii="Times New Roman" w:hAnsi="Times New Roman"/>
        <w:b w:val="0"/>
        <w:color w:val="auto"/>
        <w:sz w:val="20"/>
        <w:szCs w:val="20"/>
      </w:rPr>
      <w:t xml:space="preserve"> </w:t>
    </w:r>
    <w:r>
      <w:rPr>
        <w:rFonts w:ascii="Times New Roman" w:hAnsi="Times New Roman"/>
        <w:b w:val="0"/>
        <w:color w:val="auto"/>
        <w:sz w:val="20"/>
        <w:szCs w:val="20"/>
      </w:rPr>
      <w:t xml:space="preserve">ziņojums </w:t>
    </w:r>
    <w:r w:rsidRPr="00B02162">
      <w:rPr>
        <w:rFonts w:ascii="Times New Roman" w:hAnsi="Times New Roman"/>
        <w:b w:val="0"/>
        <w:color w:val="auto"/>
        <w:sz w:val="20"/>
        <w:szCs w:val="20"/>
      </w:rPr>
      <w:t xml:space="preserve">„Par priekšlikumiem vidēja un ilgtermiņa eksporta kredīta garantiju ieviešanas modelim”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F0" w:rsidRDefault="00D620F0" w:rsidP="003031EB">
      <w:pPr>
        <w:spacing w:after="0" w:line="240" w:lineRule="auto"/>
      </w:pPr>
      <w:r>
        <w:separator/>
      </w:r>
    </w:p>
  </w:footnote>
  <w:footnote w:type="continuationSeparator" w:id="0">
    <w:p w:rsidR="00D620F0" w:rsidRDefault="00D620F0" w:rsidP="003031EB">
      <w:pPr>
        <w:spacing w:after="0" w:line="240" w:lineRule="auto"/>
      </w:pPr>
      <w:r>
        <w:continuationSeparator/>
      </w:r>
    </w:p>
  </w:footnote>
  <w:footnote w:id="1">
    <w:p w:rsidR="00D620F0" w:rsidRDefault="00D620F0" w:rsidP="0041110C">
      <w:pPr>
        <w:pStyle w:val="FootnoteText"/>
        <w:spacing w:before="40"/>
        <w:jc w:val="both"/>
        <w:rPr>
          <w:rFonts w:ascii="Times New Roman" w:hAnsi="Times New Roman"/>
        </w:rPr>
      </w:pPr>
      <w:r w:rsidRPr="007B6864">
        <w:rPr>
          <w:rStyle w:val="FootnoteReference"/>
          <w:rFonts w:ascii="Times New Roman" w:hAnsi="Times New Roman"/>
        </w:rPr>
        <w:footnoteRef/>
      </w:r>
      <w:r w:rsidRPr="007B6864">
        <w:rPr>
          <w:rFonts w:ascii="Times New Roman" w:hAnsi="Times New Roman"/>
        </w:rPr>
        <w:t xml:space="preserve"> Nacionālās industriālās politikas pamatnostādnes 2014.-2020.gadam.</w:t>
      </w:r>
    </w:p>
  </w:footnote>
  <w:footnote w:id="2">
    <w:p w:rsidR="00D620F0" w:rsidRDefault="00D620F0" w:rsidP="0041110C">
      <w:pPr>
        <w:pStyle w:val="FootnoteText"/>
        <w:spacing w:before="40"/>
        <w:rPr>
          <w:rFonts w:ascii="Times New Roman" w:hAnsi="Times New Roman"/>
        </w:rPr>
      </w:pPr>
      <w:r w:rsidRPr="00B94551">
        <w:rPr>
          <w:rStyle w:val="FootnoteReference"/>
          <w:rFonts w:ascii="Times New Roman" w:hAnsi="Times New Roman"/>
        </w:rPr>
        <w:footnoteRef/>
      </w:r>
      <w:r w:rsidRPr="00B94551">
        <w:rPr>
          <w:rFonts w:ascii="Times New Roman" w:hAnsi="Times New Roman"/>
        </w:rPr>
        <w:t xml:space="preserve"> </w:t>
      </w:r>
      <w:r>
        <w:rPr>
          <w:rFonts w:ascii="Times New Roman" w:hAnsi="Times New Roman"/>
        </w:rPr>
        <w:t>Skat. Informatīvā ziņojuma III.pielikumu</w:t>
      </w:r>
    </w:p>
  </w:footnote>
  <w:footnote w:id="3">
    <w:p w:rsidR="00D620F0" w:rsidRDefault="00D620F0" w:rsidP="0041110C">
      <w:pPr>
        <w:spacing w:before="40" w:after="0" w:line="240" w:lineRule="auto"/>
        <w:jc w:val="both"/>
        <w:rPr>
          <w:rFonts w:ascii="Times New Roman" w:hAnsi="Times New Roman"/>
          <w:color w:val="000000"/>
          <w:sz w:val="20"/>
          <w:szCs w:val="20"/>
        </w:rPr>
      </w:pPr>
      <w:r w:rsidRPr="007B6864">
        <w:rPr>
          <w:rStyle w:val="FootnoteReference"/>
          <w:rFonts w:ascii="Times New Roman" w:hAnsi="Times New Roman"/>
          <w:sz w:val="20"/>
          <w:szCs w:val="20"/>
        </w:rPr>
        <w:footnoteRef/>
      </w:r>
      <w:r w:rsidRPr="007B6864">
        <w:rPr>
          <w:rFonts w:ascii="Times New Roman" w:hAnsi="Times New Roman"/>
          <w:sz w:val="20"/>
          <w:szCs w:val="20"/>
        </w:rPr>
        <w:t xml:space="preserve"> </w:t>
      </w:r>
      <w:r w:rsidRPr="007B6864">
        <w:rPr>
          <w:rFonts w:ascii="Times New Roman" w:hAnsi="Times New Roman"/>
          <w:color w:val="000000"/>
          <w:sz w:val="20"/>
          <w:szCs w:val="20"/>
        </w:rPr>
        <w:t>Termin</w:t>
      </w:r>
      <w:r>
        <w:rPr>
          <w:rFonts w:ascii="Times New Roman" w:hAnsi="Times New Roman"/>
          <w:color w:val="000000"/>
          <w:sz w:val="20"/>
          <w:szCs w:val="20"/>
        </w:rPr>
        <w:t>am</w:t>
      </w:r>
      <w:r w:rsidRPr="007B6864">
        <w:rPr>
          <w:rFonts w:ascii="Times New Roman" w:hAnsi="Times New Roman"/>
          <w:color w:val="000000"/>
          <w:sz w:val="20"/>
          <w:szCs w:val="20"/>
        </w:rPr>
        <w:t xml:space="preserve"> </w:t>
      </w:r>
      <w:r>
        <w:rPr>
          <w:rFonts w:ascii="Times New Roman" w:hAnsi="Times New Roman"/>
          <w:color w:val="000000"/>
          <w:sz w:val="20"/>
          <w:szCs w:val="20"/>
        </w:rPr>
        <w:t>“</w:t>
      </w:r>
      <w:r w:rsidRPr="007B6864">
        <w:rPr>
          <w:rFonts w:ascii="Times New Roman" w:hAnsi="Times New Roman"/>
          <w:color w:val="000000"/>
          <w:sz w:val="20"/>
          <w:szCs w:val="20"/>
        </w:rPr>
        <w:t xml:space="preserve">eksporta kredīts” var </w:t>
      </w:r>
      <w:r>
        <w:rPr>
          <w:rFonts w:ascii="Times New Roman" w:hAnsi="Times New Roman"/>
          <w:color w:val="000000"/>
          <w:sz w:val="20"/>
          <w:szCs w:val="20"/>
        </w:rPr>
        <w:t xml:space="preserve">būt dažāda </w:t>
      </w:r>
      <w:r w:rsidRPr="007B6864">
        <w:rPr>
          <w:rFonts w:ascii="Times New Roman" w:hAnsi="Times New Roman"/>
          <w:color w:val="000000"/>
          <w:sz w:val="20"/>
          <w:szCs w:val="20"/>
        </w:rPr>
        <w:t>nozīm</w:t>
      </w:r>
      <w:r>
        <w:rPr>
          <w:rFonts w:ascii="Times New Roman" w:hAnsi="Times New Roman"/>
          <w:color w:val="000000"/>
          <w:sz w:val="20"/>
          <w:szCs w:val="20"/>
        </w:rPr>
        <w:t>e</w:t>
      </w:r>
      <w:r w:rsidRPr="007B6864">
        <w:rPr>
          <w:rFonts w:ascii="Times New Roman" w:hAnsi="Times New Roman"/>
          <w:color w:val="000000"/>
          <w:sz w:val="20"/>
          <w:szCs w:val="20"/>
        </w:rPr>
        <w:t xml:space="preserve"> </w:t>
      </w:r>
      <w:r>
        <w:rPr>
          <w:rFonts w:ascii="Times New Roman" w:hAnsi="Times New Roman"/>
          <w:color w:val="000000"/>
          <w:sz w:val="20"/>
          <w:szCs w:val="20"/>
        </w:rPr>
        <w:t>atkarībā no tā lietošanas konteksta. Visizplatītākais skaidrojums “eksporta kredītam” būtu: (i) kredīts, kuru eksportētājs piešķirs pircējiem, piegādājot preces uz pēcapmaksas nosacījumiem jeb, tā sauktais, piegādātāja kredīts vai (ii) aizdevums, kuru ir izsniegusi banka jeb, tā sauktais, pircēja kredīts. Vienlaikus termins “eksporta kredīts” var ietvert arī periodu pirms preču nosūtīšanas jeb ražošanas periodu, tomēr šī ziņojuma kontekstā tiek skatīts pēc-piegādes eksporta kredīts, jo no eksportētāju puses nav bijis pieprasījums pēc ražošanas perioda pasūtītāju riska seguma.</w:t>
      </w:r>
    </w:p>
  </w:footnote>
  <w:footnote w:id="4">
    <w:p w:rsidR="00D620F0" w:rsidRDefault="00D620F0" w:rsidP="0041110C">
      <w:pPr>
        <w:pStyle w:val="FootnoteText"/>
        <w:spacing w:before="40"/>
        <w:jc w:val="both"/>
        <w:rPr>
          <w:rFonts w:ascii="Times New Roman" w:hAnsi="Times New Roman"/>
          <w:color w:val="000000"/>
        </w:rPr>
      </w:pPr>
      <w:r w:rsidRPr="00B94551">
        <w:rPr>
          <w:rStyle w:val="FootnoteReference"/>
          <w:rFonts w:ascii="Times New Roman" w:hAnsi="Times New Roman"/>
          <w:color w:val="000000"/>
        </w:rPr>
        <w:footnoteRef/>
      </w:r>
      <w:r w:rsidRPr="00B94551">
        <w:rPr>
          <w:rFonts w:ascii="Times New Roman" w:hAnsi="Times New Roman"/>
          <w:color w:val="000000"/>
        </w:rPr>
        <w:t xml:space="preserve"> </w:t>
      </w:r>
      <w:r>
        <w:rPr>
          <w:rFonts w:ascii="Times New Roman" w:hAnsi="Times New Roman"/>
          <w:color w:val="000000"/>
        </w:rPr>
        <w:t>Skat. Informatīvā ziņojuma IV.pielikumu</w:t>
      </w:r>
    </w:p>
  </w:footnote>
  <w:footnote w:id="5">
    <w:p w:rsidR="00D620F0" w:rsidRDefault="00D620F0" w:rsidP="0041110C">
      <w:pPr>
        <w:pStyle w:val="FootnoteText"/>
        <w:jc w:val="both"/>
        <w:rPr>
          <w:rFonts w:ascii="Times New Roman" w:hAnsi="Times New Roman"/>
        </w:rPr>
      </w:pPr>
      <w:r w:rsidRPr="00B94551">
        <w:rPr>
          <w:rStyle w:val="FootnoteReference"/>
          <w:rFonts w:ascii="Times New Roman" w:hAnsi="Times New Roman"/>
        </w:rPr>
        <w:footnoteRef/>
      </w:r>
      <w:r>
        <w:rPr>
          <w:rFonts w:ascii="Times New Roman" w:hAnsi="Times New Roman"/>
        </w:rPr>
        <w:t> </w:t>
      </w:r>
      <w:r w:rsidRPr="00B94551">
        <w:rPr>
          <w:rFonts w:ascii="Times New Roman" w:hAnsi="Times New Roman"/>
          <w:color w:val="000000"/>
        </w:rPr>
        <w:t>Par EKA uzskata valsts tieši vai netieši finansētu institūciju, kura sniedz eksporta kredītu garant</w:t>
      </w:r>
      <w:r>
        <w:rPr>
          <w:rFonts w:ascii="Times New Roman" w:hAnsi="Times New Roman"/>
          <w:color w:val="000000"/>
        </w:rPr>
        <w:t>ijas</w:t>
      </w:r>
      <w:r w:rsidRPr="00B94551">
        <w:rPr>
          <w:rFonts w:ascii="Times New Roman" w:hAnsi="Times New Roman"/>
          <w:color w:val="000000"/>
        </w:rPr>
        <w:t>/apdrošināšan</w:t>
      </w:r>
      <w:r>
        <w:rPr>
          <w:rFonts w:ascii="Times New Roman" w:hAnsi="Times New Roman"/>
          <w:color w:val="000000"/>
        </w:rPr>
        <w:t>as pakalpojumus</w:t>
      </w:r>
      <w:r w:rsidRPr="00B94551">
        <w:rPr>
          <w:rFonts w:ascii="Times New Roman" w:hAnsi="Times New Roman"/>
          <w:color w:val="000000"/>
        </w:rPr>
        <w:t xml:space="preserve"> vai tiešu finansē</w:t>
      </w:r>
      <w:r>
        <w:rPr>
          <w:rFonts w:ascii="Times New Roman" w:hAnsi="Times New Roman"/>
          <w:color w:val="000000"/>
        </w:rPr>
        <w:t>jumu</w:t>
      </w:r>
      <w:r w:rsidRPr="00B94551">
        <w:rPr>
          <w:rFonts w:ascii="Times New Roman" w:hAnsi="Times New Roman"/>
          <w:color w:val="000000"/>
        </w:rPr>
        <w:t>. Plašāk par EKA un tās izplatītākajiem modeļiem</w:t>
      </w:r>
      <w:r>
        <w:rPr>
          <w:rFonts w:ascii="Times New Roman" w:hAnsi="Times New Roman"/>
          <w:color w:val="000000"/>
        </w:rPr>
        <w:t xml:space="preserve"> skatīt</w:t>
      </w:r>
      <w:r w:rsidRPr="00B94551">
        <w:rPr>
          <w:rFonts w:ascii="Times New Roman" w:hAnsi="Times New Roman"/>
          <w:color w:val="000000"/>
        </w:rPr>
        <w:t xml:space="preserve"> Informatīvā ziņojuma </w:t>
      </w:r>
      <w:r>
        <w:rPr>
          <w:rFonts w:ascii="Times New Roman" w:hAnsi="Times New Roman"/>
          <w:color w:val="000000"/>
        </w:rPr>
        <w:t>4</w:t>
      </w:r>
      <w:r w:rsidRPr="00B94551">
        <w:rPr>
          <w:rFonts w:ascii="Times New Roman" w:hAnsi="Times New Roman"/>
          <w:color w:val="000000"/>
        </w:rPr>
        <w:t>.2.sadaļā</w:t>
      </w:r>
    </w:p>
  </w:footnote>
  <w:footnote w:id="6">
    <w:p w:rsidR="00D620F0" w:rsidRPr="003470E5" w:rsidRDefault="00D620F0" w:rsidP="0041110C">
      <w:pPr>
        <w:pStyle w:val="FootnoteText"/>
        <w:jc w:val="both"/>
        <w:rPr>
          <w:rFonts w:ascii="Times New Roman" w:hAnsi="Times New Roman"/>
          <w:color w:val="000000"/>
        </w:rPr>
      </w:pPr>
      <w:r w:rsidRPr="00EA473F">
        <w:rPr>
          <w:rStyle w:val="FootnoteReference"/>
          <w:rFonts w:ascii="Times New Roman" w:hAnsi="Times New Roman"/>
        </w:rPr>
        <w:footnoteRef/>
      </w:r>
      <w:r>
        <w:rPr>
          <w:rFonts w:ascii="Times New Roman" w:hAnsi="Times New Roman"/>
        </w:rPr>
        <w:t> </w:t>
      </w:r>
      <w:r>
        <w:rPr>
          <w:rFonts w:ascii="Times New Roman" w:hAnsi="Times New Roman"/>
          <w:color w:val="000000"/>
        </w:rPr>
        <w:t xml:space="preserve">Komisijas Paziņojums dalībvalstīm par Līguma par Eiropas Savienības darbību 107. un 108.panta piemērošanu īstermiņa eksporta kredīta apdrošināšanai </w:t>
      </w:r>
    </w:p>
    <w:p w:rsidR="00D620F0" w:rsidRPr="003905F3" w:rsidRDefault="00D620F0" w:rsidP="0041110C">
      <w:pPr>
        <w:pStyle w:val="FootnoteText"/>
        <w:jc w:val="both"/>
        <w:rPr>
          <w:rFonts w:ascii="Times New Roman" w:hAnsi="Times New Roman"/>
        </w:rPr>
      </w:pPr>
      <w:hyperlink r:id="rId1" w:history="1">
        <w:r w:rsidRPr="003905F3">
          <w:rPr>
            <w:rFonts w:ascii="Times New Roman" w:hAnsi="Times New Roman"/>
          </w:rPr>
          <w:t>http://eur-lex.europa.eu/legal-content/LV/TXT/HTML/?uri=CELEX:52012XC1219(01)&amp;from=LV</w:t>
        </w:r>
      </w:hyperlink>
      <w:r>
        <w:rPr>
          <w:rFonts w:ascii="Times New Roman" w:hAnsi="Times New Roman"/>
        </w:rPr>
        <w:t xml:space="preserve"> </w:t>
      </w:r>
    </w:p>
  </w:footnote>
  <w:footnote w:id="7">
    <w:p w:rsidR="00D620F0" w:rsidRDefault="00D620F0" w:rsidP="0041110C">
      <w:pPr>
        <w:autoSpaceDE w:val="0"/>
        <w:autoSpaceDN w:val="0"/>
        <w:adjustRightInd w:val="0"/>
        <w:spacing w:after="0" w:line="240" w:lineRule="auto"/>
        <w:jc w:val="both"/>
        <w:rPr>
          <w:rFonts w:ascii="Times New Roman" w:hAnsi="Times New Roman"/>
          <w:sz w:val="20"/>
          <w:szCs w:val="20"/>
        </w:rPr>
      </w:pPr>
      <w:r w:rsidRPr="00B94551">
        <w:rPr>
          <w:rStyle w:val="FootnoteReference"/>
          <w:rFonts w:ascii="Times New Roman" w:hAnsi="Times New Roman"/>
          <w:sz w:val="20"/>
          <w:szCs w:val="20"/>
        </w:rPr>
        <w:footnoteRef/>
      </w:r>
      <w:r w:rsidRPr="00B94551">
        <w:rPr>
          <w:rFonts w:ascii="Times New Roman" w:hAnsi="Times New Roman"/>
          <w:sz w:val="20"/>
          <w:szCs w:val="20"/>
        </w:rPr>
        <w:t xml:space="preserve"> Van der Ver, Koen. </w:t>
      </w:r>
      <w:r w:rsidRPr="00B94551">
        <w:rPr>
          <w:rFonts w:ascii="Times New Roman" w:hAnsi="Times New Roman"/>
          <w:i/>
          <w:sz w:val="20"/>
          <w:szCs w:val="20"/>
        </w:rPr>
        <w:t>The Private Credit Insurance effect on trade</w:t>
      </w:r>
      <w:r w:rsidRPr="00B94551">
        <w:rPr>
          <w:rFonts w:ascii="Times New Roman" w:hAnsi="Times New Roman"/>
          <w:sz w:val="20"/>
          <w:szCs w:val="20"/>
        </w:rPr>
        <w:t>. DNB Working paper Nr.264, October 2010, 4.lpp</w:t>
      </w:r>
    </w:p>
  </w:footnote>
  <w:footnote w:id="8">
    <w:p w:rsidR="00D620F0" w:rsidRDefault="00D620F0" w:rsidP="0041110C">
      <w:pPr>
        <w:pStyle w:val="FootnoteText"/>
        <w:jc w:val="both"/>
        <w:rPr>
          <w:rFonts w:ascii="Times New Roman" w:hAnsi="Times New Roman"/>
        </w:rPr>
      </w:pPr>
      <w:r w:rsidRPr="00B94551">
        <w:rPr>
          <w:rStyle w:val="FootnoteReference"/>
          <w:rFonts w:ascii="Times New Roman" w:hAnsi="Times New Roman"/>
        </w:rPr>
        <w:footnoteRef/>
      </w:r>
      <w:r w:rsidRPr="00B94551">
        <w:rPr>
          <w:rFonts w:ascii="Times New Roman" w:hAnsi="Times New Roman"/>
        </w:rPr>
        <w:t xml:space="preserve"> </w:t>
      </w:r>
      <w:r w:rsidRPr="00B94551">
        <w:rPr>
          <w:rFonts w:ascii="Times New Roman" w:hAnsi="Times New Roman"/>
          <w:i/>
        </w:rPr>
        <w:t xml:space="preserve">Credit Insurance and Surety: Solodifying Comments </w:t>
      </w:r>
      <w:r w:rsidRPr="00B94551">
        <w:rPr>
          <w:rFonts w:ascii="Times New Roman" w:hAnsi="Times New Roman"/>
        </w:rPr>
        <w:t>[tiešsaiste]. Swiss Re. Sigma 6/2006, Zurich.</w:t>
      </w:r>
    </w:p>
  </w:footnote>
  <w:footnote w:id="9">
    <w:p w:rsidR="00D620F0" w:rsidRDefault="00D620F0" w:rsidP="0041110C">
      <w:pPr>
        <w:pStyle w:val="FootnoteText"/>
        <w:jc w:val="both"/>
      </w:pPr>
      <w:r w:rsidRPr="00B94551">
        <w:rPr>
          <w:rStyle w:val="FootnoteReference"/>
          <w:rFonts w:ascii="Times New Roman" w:hAnsi="Times New Roman"/>
        </w:rPr>
        <w:footnoteRef/>
      </w:r>
      <w:r w:rsidRPr="00B94551">
        <w:rPr>
          <w:rFonts w:ascii="Times New Roman" w:hAnsi="Times New Roman"/>
        </w:rPr>
        <w:t xml:space="preserve"> Informācija no Coface Latvija</w:t>
      </w:r>
    </w:p>
  </w:footnote>
  <w:footnote w:id="10">
    <w:p w:rsidR="00D620F0" w:rsidRPr="00357745" w:rsidRDefault="00D620F0" w:rsidP="0041110C">
      <w:pPr>
        <w:pStyle w:val="FootnoteText"/>
        <w:jc w:val="both"/>
        <w:rPr>
          <w:rFonts w:ascii="Times New Roman" w:hAnsi="Times New Roman"/>
          <w:sz w:val="16"/>
          <w:szCs w:val="16"/>
        </w:rPr>
      </w:pPr>
      <w:r w:rsidRPr="00357745">
        <w:rPr>
          <w:rStyle w:val="FootnoteReference"/>
          <w:rFonts w:ascii="Times New Roman" w:hAnsi="Times New Roman"/>
          <w:sz w:val="16"/>
          <w:szCs w:val="16"/>
        </w:rPr>
        <w:footnoteRef/>
      </w:r>
      <w:r w:rsidRPr="00357745">
        <w:rPr>
          <w:rFonts w:ascii="Times New Roman" w:hAnsi="Times New Roman"/>
          <w:sz w:val="16"/>
          <w:szCs w:val="16"/>
        </w:rPr>
        <w:t xml:space="preserve"> Van der Ver Koen. </w:t>
      </w:r>
      <w:r w:rsidRPr="00357745">
        <w:rPr>
          <w:rFonts w:ascii="Times New Roman" w:hAnsi="Times New Roman"/>
          <w:i/>
          <w:sz w:val="16"/>
          <w:szCs w:val="16"/>
        </w:rPr>
        <w:t>The Private Credit Insurance effect on trade</w:t>
      </w:r>
      <w:r w:rsidRPr="00357745">
        <w:rPr>
          <w:rFonts w:ascii="Times New Roman" w:hAnsi="Times New Roman"/>
          <w:sz w:val="16"/>
          <w:szCs w:val="16"/>
        </w:rPr>
        <w:t xml:space="preserve">. DNB Working paper, Nr.264, October 2010, 4.lpp </w:t>
      </w:r>
    </w:p>
  </w:footnote>
  <w:footnote w:id="11">
    <w:p w:rsidR="00D620F0" w:rsidRPr="00357745" w:rsidRDefault="00D620F0" w:rsidP="0041110C">
      <w:pPr>
        <w:pStyle w:val="FootnoteText"/>
        <w:jc w:val="both"/>
        <w:rPr>
          <w:rFonts w:ascii="Times New Roman" w:hAnsi="Times New Roman"/>
          <w:sz w:val="16"/>
          <w:szCs w:val="16"/>
        </w:rPr>
      </w:pPr>
      <w:r w:rsidRPr="00357745">
        <w:rPr>
          <w:rStyle w:val="FootnoteReference"/>
          <w:rFonts w:ascii="Times New Roman" w:hAnsi="Times New Roman"/>
          <w:sz w:val="16"/>
          <w:szCs w:val="16"/>
        </w:rPr>
        <w:footnoteRef/>
      </w:r>
      <w:r w:rsidRPr="00357745">
        <w:rPr>
          <w:rFonts w:ascii="Times New Roman" w:hAnsi="Times New Roman"/>
          <w:sz w:val="16"/>
          <w:szCs w:val="16"/>
        </w:rPr>
        <w:t xml:space="preserve"> </w:t>
      </w:r>
      <w:r w:rsidRPr="00357745">
        <w:rPr>
          <w:rFonts w:ascii="Times New Roman" w:hAnsi="Times New Roman"/>
          <w:bCs/>
          <w:iCs/>
          <w:sz w:val="16"/>
          <w:szCs w:val="16"/>
        </w:rPr>
        <w:t xml:space="preserve">Van der Ver, Koen. </w:t>
      </w:r>
      <w:r w:rsidRPr="00357745">
        <w:rPr>
          <w:rFonts w:ascii="Times New Roman" w:hAnsi="Times New Roman"/>
          <w:bCs/>
          <w:i/>
          <w:sz w:val="16"/>
          <w:szCs w:val="16"/>
        </w:rPr>
        <w:t>Private Trade Credit Insurers during the Crisis: The Invisible Banks</w:t>
      </w:r>
      <w:r w:rsidRPr="00357745">
        <w:rPr>
          <w:rFonts w:ascii="Times New Roman" w:hAnsi="Times New Roman"/>
          <w:color w:val="000000"/>
          <w:sz w:val="16"/>
          <w:szCs w:val="16"/>
        </w:rPr>
        <w:t xml:space="preserve">. No: </w:t>
      </w:r>
      <w:r w:rsidRPr="00357745">
        <w:rPr>
          <w:rFonts w:ascii="Times New Roman" w:hAnsi="Times New Roman"/>
          <w:i/>
          <w:sz w:val="16"/>
          <w:szCs w:val="16"/>
        </w:rPr>
        <w:t>Trade Finance during the Great Trade Collapse.</w:t>
      </w:r>
      <w:r w:rsidRPr="00357745">
        <w:rPr>
          <w:rFonts w:ascii="Times New Roman" w:hAnsi="Times New Roman"/>
          <w:color w:val="000000"/>
          <w:sz w:val="16"/>
          <w:szCs w:val="16"/>
        </w:rPr>
        <w:t xml:space="preserve"> Washington DC, 2011, World Bank, 201.lpp</w:t>
      </w:r>
    </w:p>
  </w:footnote>
  <w:footnote w:id="12">
    <w:p w:rsidR="00D620F0" w:rsidRPr="00357745" w:rsidRDefault="00D620F0" w:rsidP="0041110C">
      <w:pPr>
        <w:pStyle w:val="FootnoteText"/>
        <w:jc w:val="both"/>
        <w:rPr>
          <w:rFonts w:ascii="Times New Roman" w:hAnsi="Times New Roman"/>
          <w:sz w:val="16"/>
          <w:szCs w:val="16"/>
        </w:rPr>
      </w:pPr>
      <w:r w:rsidRPr="00357745">
        <w:rPr>
          <w:rStyle w:val="FootnoteReference"/>
          <w:rFonts w:ascii="Times New Roman" w:hAnsi="Times New Roman"/>
          <w:sz w:val="16"/>
          <w:szCs w:val="16"/>
        </w:rPr>
        <w:footnoteRef/>
      </w:r>
      <w:r w:rsidRPr="00357745">
        <w:rPr>
          <w:rFonts w:ascii="Times New Roman" w:hAnsi="Times New Roman"/>
          <w:sz w:val="16"/>
          <w:szCs w:val="16"/>
        </w:rPr>
        <w:t xml:space="preserve"> Branch, E. Alan. </w:t>
      </w:r>
      <w:r w:rsidRPr="00357745">
        <w:rPr>
          <w:rFonts w:ascii="Times New Roman" w:hAnsi="Times New Roman"/>
          <w:i/>
          <w:sz w:val="16"/>
          <w:szCs w:val="16"/>
        </w:rPr>
        <w:t>Export practice and Management</w:t>
      </w:r>
      <w:r w:rsidRPr="00357745">
        <w:rPr>
          <w:rFonts w:ascii="Times New Roman" w:hAnsi="Times New Roman"/>
          <w:sz w:val="16"/>
          <w:szCs w:val="16"/>
        </w:rPr>
        <w:t>, 5th edition. London: Thompson Learning, 2006, 279 p.</w:t>
      </w:r>
    </w:p>
  </w:footnote>
  <w:footnote w:id="13">
    <w:p w:rsidR="00D620F0" w:rsidRPr="00357745" w:rsidRDefault="00D620F0" w:rsidP="0041110C">
      <w:pPr>
        <w:pStyle w:val="FootnoteText"/>
        <w:rPr>
          <w:rFonts w:ascii="Times New Roman" w:hAnsi="Times New Roman"/>
          <w:sz w:val="16"/>
          <w:szCs w:val="16"/>
        </w:rPr>
      </w:pPr>
      <w:r w:rsidRPr="00357745">
        <w:rPr>
          <w:rStyle w:val="FootnoteReference"/>
          <w:rFonts w:ascii="Times New Roman" w:hAnsi="Times New Roman"/>
          <w:sz w:val="16"/>
          <w:szCs w:val="16"/>
        </w:rPr>
        <w:footnoteRef/>
      </w:r>
      <w:r w:rsidRPr="00357745">
        <w:rPr>
          <w:rFonts w:ascii="Times New Roman" w:hAnsi="Times New Roman"/>
          <w:sz w:val="16"/>
          <w:szCs w:val="16"/>
        </w:rPr>
        <w:t xml:space="preserve"> OECD Vienošanās specificē maksimālos apmaksas termiņus atkarībā no valsts kategorijas un industrijas sektora.</w:t>
      </w:r>
    </w:p>
  </w:footnote>
  <w:footnote w:id="14">
    <w:p w:rsidR="00D620F0" w:rsidRPr="00357745" w:rsidRDefault="00D620F0" w:rsidP="0041110C">
      <w:pPr>
        <w:pStyle w:val="CM4"/>
        <w:spacing w:before="60" w:after="60"/>
        <w:rPr>
          <w:rFonts w:ascii="Times New Roman" w:hAnsi="Times New Roman"/>
          <w:color w:val="000000"/>
          <w:sz w:val="16"/>
          <w:szCs w:val="16"/>
        </w:rPr>
      </w:pPr>
      <w:r w:rsidRPr="00357745">
        <w:rPr>
          <w:rStyle w:val="FootnoteReference"/>
          <w:rFonts w:ascii="Times New Roman" w:hAnsi="Times New Roman"/>
          <w:sz w:val="16"/>
          <w:szCs w:val="16"/>
        </w:rPr>
        <w:footnoteRef/>
      </w:r>
      <w:r w:rsidRPr="00357745">
        <w:rPr>
          <w:rFonts w:ascii="Times New Roman" w:hAnsi="Times New Roman"/>
          <w:sz w:val="16"/>
          <w:szCs w:val="16"/>
        </w:rPr>
        <w:t xml:space="preserve"> </w:t>
      </w:r>
      <w:r w:rsidRPr="00357745">
        <w:rPr>
          <w:rFonts w:ascii="Times New Roman" w:hAnsi="Times New Roman"/>
          <w:bCs/>
          <w:color w:val="000000"/>
          <w:sz w:val="16"/>
          <w:szCs w:val="16"/>
        </w:rPr>
        <w:t xml:space="preserve">EIROPAS PARLAMENTA UN PADOMES REGULA (ES) Nr. 1233/2011 (2011. gada 16. novembris) par dažu pamatnostādņu piemērošanu oficiāli atbalstītu eksporta kredītu jomā un ar ko atceļ Padomes Lēmumus 2001/76/EK un 2001/77/EK. </w:t>
      </w:r>
      <w:r w:rsidRPr="00357745">
        <w:rPr>
          <w:rFonts w:ascii="Times New Roman" w:hAnsi="Times New Roman"/>
          <w:sz w:val="16"/>
          <w:szCs w:val="16"/>
        </w:rPr>
        <w:t xml:space="preserve">http://eur-lex.europa.eu/LexUriServ/LexUriServ.do?uri=OJ:L:2011:326:0045:0112:LV:PDF </w:t>
      </w:r>
      <w:r w:rsidRPr="00357745">
        <w:rPr>
          <w:rFonts w:ascii="Times New Roman" w:hAnsi="Times New Roman"/>
          <w:bCs/>
          <w:color w:val="000000"/>
          <w:sz w:val="16"/>
          <w:szCs w:val="16"/>
        </w:rPr>
        <w:t xml:space="preserve"> </w:t>
      </w:r>
    </w:p>
  </w:footnote>
  <w:footnote w:id="15">
    <w:p w:rsidR="00D620F0" w:rsidRPr="003470E5" w:rsidRDefault="00D620F0" w:rsidP="0041110C">
      <w:pPr>
        <w:pStyle w:val="FootnoteText"/>
        <w:rPr>
          <w:rFonts w:ascii="Times New Roman" w:hAnsi="Times New Roman"/>
        </w:rPr>
      </w:pPr>
      <w:r w:rsidRPr="00357745">
        <w:rPr>
          <w:rStyle w:val="FootnoteReference"/>
          <w:rFonts w:ascii="Times New Roman" w:hAnsi="Times New Roman"/>
          <w:sz w:val="16"/>
          <w:szCs w:val="16"/>
        </w:rPr>
        <w:footnoteRef/>
      </w:r>
      <w:r w:rsidRPr="00357745">
        <w:rPr>
          <w:rFonts w:ascii="Times New Roman" w:hAnsi="Times New Roman"/>
          <w:sz w:val="16"/>
          <w:szCs w:val="16"/>
        </w:rPr>
        <w:t xml:space="preserve"> OECD Vienošanās. http://search.oecd.org/officialdocuments/displaydocumentpdf/?doclanguage=en&amp;cote=tad/pg(2013)1</w:t>
      </w:r>
      <w:r>
        <w:rPr>
          <w:rFonts w:ascii="Times New Roman" w:hAnsi="Times New Roman"/>
        </w:rPr>
        <w:t xml:space="preserve"> </w:t>
      </w:r>
      <w:r w:rsidRPr="006E48AB">
        <w:rPr>
          <w:rFonts w:ascii="Times New Roman" w:hAnsi="Times New Roman"/>
        </w:rPr>
        <w:t xml:space="preserve"> </w:t>
      </w:r>
    </w:p>
  </w:footnote>
  <w:footnote w:id="16">
    <w:p w:rsidR="00D620F0" w:rsidRPr="00437940" w:rsidRDefault="00D620F0" w:rsidP="0041110C">
      <w:pPr>
        <w:pStyle w:val="FootnoteText"/>
        <w:rPr>
          <w:rFonts w:ascii="Times New Roman" w:hAnsi="Times New Roman"/>
        </w:rPr>
      </w:pPr>
      <w:r w:rsidRPr="00437940">
        <w:rPr>
          <w:rStyle w:val="FootnoteReference"/>
          <w:rFonts w:ascii="Times New Roman" w:hAnsi="Times New Roman"/>
        </w:rPr>
        <w:footnoteRef/>
      </w:r>
      <w:r w:rsidRPr="00437940">
        <w:rPr>
          <w:rFonts w:ascii="Times New Roman" w:hAnsi="Times New Roman"/>
        </w:rPr>
        <w:t xml:space="preserve"> Vidēja un ilgtermiņa EKG piedāvātās programmas ES dalībvalstīs ar līdzīgu IKP un eksporta apjomu ziņā - Igaunija (</w:t>
      </w:r>
      <w:hyperlink r:id="rId2" w:history="1">
        <w:r w:rsidRPr="00437940">
          <w:rPr>
            <w:rStyle w:val="Hyperlink"/>
            <w:rFonts w:ascii="Times New Roman" w:hAnsi="Times New Roman"/>
          </w:rPr>
          <w:t>http://www.kredex.ee/credit-insurance/</w:t>
        </w:r>
      </w:hyperlink>
      <w:r w:rsidRPr="00437940">
        <w:rPr>
          <w:rFonts w:ascii="Times New Roman" w:hAnsi="Times New Roman"/>
        </w:rPr>
        <w:t>), Slovēnija (http://www.sid.si/credit-and-investments-insurance/credit-insurance)</w:t>
      </w:r>
    </w:p>
  </w:footnote>
  <w:footnote w:id="17">
    <w:p w:rsidR="00D620F0" w:rsidRPr="003470E5" w:rsidRDefault="00D620F0" w:rsidP="0041110C">
      <w:pPr>
        <w:pStyle w:val="FootnoteText"/>
        <w:rPr>
          <w:rFonts w:ascii="Times New Roman" w:hAnsi="Times New Roman"/>
        </w:rPr>
      </w:pPr>
      <w:r w:rsidRPr="00437940">
        <w:rPr>
          <w:rStyle w:val="FootnoteReference"/>
          <w:rFonts w:ascii="Times New Roman" w:hAnsi="Times New Roman"/>
        </w:rPr>
        <w:footnoteRef/>
      </w:r>
      <w:r w:rsidRPr="00437940">
        <w:rPr>
          <w:rFonts w:ascii="Times New Roman" w:hAnsi="Times New Roman"/>
        </w:rPr>
        <w:t xml:space="preserve"> </w:t>
      </w:r>
      <w:r w:rsidRPr="00437940">
        <w:rPr>
          <w:rFonts w:ascii="Times New Roman" w:hAnsi="Times New Roman"/>
          <w:bCs/>
          <w:color w:val="000000"/>
        </w:rPr>
        <w:t>Communication from the Commission to the Member States on the application of Articles 107 and 108 TFEU to short-term export-credit insurance. Definition of „Marketable risk”</w:t>
      </w:r>
      <w:r w:rsidRPr="00437940">
        <w:rPr>
          <w:rFonts w:ascii="Times New Roman" w:hAnsi="Times New Roman"/>
          <w:bCs/>
        </w:rPr>
        <w:t xml:space="preserve">: </w:t>
      </w:r>
      <w:r w:rsidRPr="00437940">
        <w:rPr>
          <w:rFonts w:ascii="Times New Roman" w:hAnsi="Times New Roman"/>
        </w:rPr>
        <w:t>http://eur-lex.europa.eu/LexUriServ/LexUriServ.do?uri=OJ:C:2012:392:0001:0007:EN:PDF</w:t>
      </w:r>
    </w:p>
  </w:footnote>
  <w:footnote w:id="18">
    <w:p w:rsidR="00D620F0" w:rsidRPr="007729C0" w:rsidRDefault="00D620F0" w:rsidP="0041110C">
      <w:pPr>
        <w:pStyle w:val="FootnoteText"/>
        <w:rPr>
          <w:rFonts w:ascii="Times New Roman" w:hAnsi="Times New Roman"/>
        </w:rPr>
      </w:pPr>
      <w:r w:rsidRPr="007729C0">
        <w:rPr>
          <w:rStyle w:val="FootnoteReference"/>
          <w:rFonts w:ascii="Times New Roman" w:hAnsi="Times New Roman"/>
        </w:rPr>
        <w:footnoteRef/>
      </w:r>
      <w:r w:rsidRPr="007729C0">
        <w:rPr>
          <w:rFonts w:ascii="Times New Roman" w:hAnsi="Times New Roman"/>
        </w:rPr>
        <w:t xml:space="preserve"> Bernes Savienības statistika par VIT EKG saistībām: http://www.berneunion.org/pdf/Berne%20Union%202013%20-%20Charts%20and%20numbers%20for%20website.pdf </w:t>
      </w:r>
    </w:p>
  </w:footnote>
  <w:footnote w:id="19">
    <w:p w:rsidR="00D620F0" w:rsidRPr="003470E5" w:rsidRDefault="00D620F0" w:rsidP="0041110C">
      <w:pPr>
        <w:pStyle w:val="FootnoteText"/>
        <w:rPr>
          <w:rFonts w:ascii="Times New Roman" w:hAnsi="Times New Roman"/>
        </w:rPr>
      </w:pPr>
      <w:r w:rsidRPr="007729C0">
        <w:rPr>
          <w:rStyle w:val="FootnoteReference"/>
          <w:rFonts w:ascii="Times New Roman" w:hAnsi="Times New Roman"/>
        </w:rPr>
        <w:footnoteRef/>
      </w:r>
      <w:r w:rsidRPr="007729C0">
        <w:rPr>
          <w:rFonts w:ascii="Times New Roman" w:hAnsi="Times New Roman"/>
        </w:rPr>
        <w:t xml:space="preserve"> </w:t>
      </w:r>
      <w:r w:rsidRPr="007729C0">
        <w:rPr>
          <w:rFonts w:ascii="Times New Roman" w:hAnsi="Times New Roman"/>
          <w:bCs/>
        </w:rPr>
        <w:t>The Results of July 2012 Survey of Credit Institution Lending to Non-financial Corporations and Households</w:t>
      </w:r>
      <w:r w:rsidRPr="007729C0">
        <w:rPr>
          <w:rFonts w:ascii="Times New Roman" w:hAnsi="Times New Roman"/>
          <w:iCs/>
        </w:rPr>
        <w:t xml:space="preserve">. Chart 2. </w:t>
      </w:r>
      <w:r w:rsidRPr="007729C0">
        <w:rPr>
          <w:rFonts w:ascii="Times New Roman" w:hAnsi="Times New Roman"/>
          <w:bCs/>
        </w:rPr>
        <w:t xml:space="preserve">Factors contributing to tightening credit standards for a) loans or credit lines to non-financial corporations,, p.3 Bank of Latvia. </w:t>
      </w:r>
      <w:r w:rsidRPr="007729C0">
        <w:rPr>
          <w:rFonts w:ascii="Times New Roman" w:hAnsi="Times New Roman"/>
        </w:rPr>
        <w:t xml:space="preserve">http://www.bank.lv/images/stories/pielikumi/publikacijas/citaspublikacijas/Kreditiestazu_aptauja_2012_jul_ENG.pdf </w:t>
      </w:r>
    </w:p>
  </w:footnote>
  <w:footnote w:id="20">
    <w:p w:rsidR="00D620F0" w:rsidRPr="00C92A89" w:rsidRDefault="00D620F0" w:rsidP="0041110C">
      <w:pPr>
        <w:pStyle w:val="FootnoteText"/>
        <w:rPr>
          <w:rFonts w:ascii="Times New Roman" w:hAnsi="Times New Roman"/>
        </w:rPr>
      </w:pPr>
      <w:r w:rsidRPr="00C92A89">
        <w:rPr>
          <w:rStyle w:val="FootnoteReference"/>
          <w:rFonts w:ascii="Times New Roman" w:hAnsi="Times New Roman"/>
        </w:rPr>
        <w:footnoteRef/>
      </w:r>
      <w:r w:rsidRPr="00C92A89">
        <w:rPr>
          <w:rFonts w:ascii="Times New Roman" w:hAnsi="Times New Roman"/>
        </w:rPr>
        <w:t xml:space="preserve"> MASOC: </w:t>
      </w:r>
      <w:hyperlink r:id="rId3" w:history="1">
        <w:r w:rsidRPr="00C92A89">
          <w:rPr>
            <w:rStyle w:val="Hyperlink"/>
            <w:rFonts w:ascii="Times New Roman" w:hAnsi="Times New Roman"/>
          </w:rPr>
          <w:t>http://www.masoc.lv/masoc/index.php?option=com_content&amp;view=article&amp;id=152&amp;Itemid=21&amp;lang=1</w:t>
        </w:r>
      </w:hyperlink>
      <w:r w:rsidRPr="00C92A89">
        <w:rPr>
          <w:rFonts w:ascii="Times New Roman" w:hAnsi="Times New Roman"/>
        </w:rPr>
        <w:t xml:space="preserve"> </w:t>
      </w:r>
    </w:p>
  </w:footnote>
  <w:footnote w:id="21">
    <w:p w:rsidR="00D620F0" w:rsidRPr="00357745" w:rsidRDefault="00D620F0" w:rsidP="0041110C">
      <w:pPr>
        <w:spacing w:after="0" w:line="240" w:lineRule="auto"/>
        <w:jc w:val="both"/>
        <w:rPr>
          <w:rFonts w:ascii="Times New Roman" w:hAnsi="Times New Roman"/>
          <w:sz w:val="20"/>
          <w:szCs w:val="20"/>
        </w:rPr>
      </w:pPr>
      <w:r w:rsidRPr="00357745">
        <w:rPr>
          <w:rStyle w:val="FootnoteReference"/>
          <w:rFonts w:ascii="Times New Roman" w:hAnsi="Times New Roman"/>
          <w:sz w:val="20"/>
          <w:szCs w:val="20"/>
        </w:rPr>
        <w:footnoteRef/>
      </w:r>
      <w:r w:rsidRPr="00357745">
        <w:rPr>
          <w:rFonts w:ascii="Times New Roman" w:hAnsi="Times New Roman"/>
          <w:sz w:val="20"/>
          <w:szCs w:val="20"/>
        </w:rPr>
        <w:t> EKAs, kas pēdējos divdesmit gados ir izveidotas Austrumeiropas ES dalībvalstīs, ir līdzīgi mērķi un uzdevumi, kas, galvenokārt, attiecas uz vietējā eksporta veicināšanu, izslēdzot re-eksportu, līdz ar to mazinot to peļņas iespējas. Piemēram, Čehijas eksporta kredīta aģentūra EGAP ir izvirzījusi stingrus noteikumus valsts produktu izcelsmes noteikšanai, paredzot kritērijus, pēc kādiem noteikt vai eksportam paredzētais produkts ir apstrādāts vai pārstrādāts Čehijā.</w:t>
      </w:r>
    </w:p>
  </w:footnote>
  <w:footnote w:id="22">
    <w:p w:rsidR="00D620F0" w:rsidRDefault="00D620F0" w:rsidP="0041110C">
      <w:pPr>
        <w:spacing w:after="0" w:line="240" w:lineRule="auto"/>
        <w:rPr>
          <w:rFonts w:ascii="Franklin Gothic Book" w:hAnsi="Franklin Gothic Book"/>
          <w:sz w:val="20"/>
          <w:szCs w:val="20"/>
        </w:rPr>
      </w:pPr>
      <w:r w:rsidRPr="00357745">
        <w:rPr>
          <w:rStyle w:val="FootnoteReference"/>
          <w:rFonts w:ascii="Times New Roman" w:hAnsi="Times New Roman"/>
          <w:sz w:val="20"/>
          <w:szCs w:val="20"/>
        </w:rPr>
        <w:footnoteRef/>
      </w:r>
      <w:r w:rsidRPr="00357745">
        <w:rPr>
          <w:rFonts w:ascii="Times New Roman" w:hAnsi="Times New Roman"/>
          <w:sz w:val="20"/>
          <w:szCs w:val="20"/>
          <w:lang w:val="en-US"/>
        </w:rPr>
        <w:t xml:space="preserve"> </w:t>
      </w:r>
      <w:r w:rsidRPr="00357745">
        <w:rPr>
          <w:rFonts w:ascii="Times New Roman" w:hAnsi="Times New Roman"/>
          <w:sz w:val="20"/>
          <w:szCs w:val="20"/>
        </w:rPr>
        <w:t xml:space="preserve">De Ricolfis, Francois. Implementing Challanges [tiešsaiste]. </w:t>
      </w:r>
      <w:r w:rsidRPr="00357745">
        <w:rPr>
          <w:rFonts w:ascii="Times New Roman" w:hAnsi="Times New Roman"/>
          <w:i/>
          <w:sz w:val="20"/>
          <w:szCs w:val="20"/>
          <w:lang w:val="en-US"/>
        </w:rPr>
        <w:t>Berne Union annual publication: 2011</w:t>
      </w:r>
      <w:r w:rsidRPr="00357745">
        <w:rPr>
          <w:rFonts w:ascii="Times New Roman" w:hAnsi="Times New Roman"/>
          <w:sz w:val="20"/>
          <w:szCs w:val="20"/>
          <w:lang w:val="en-US"/>
        </w:rPr>
        <w:t xml:space="preserve">. London, 2011, Section 1: World overview, 21.p.Pieejams: </w:t>
      </w:r>
      <w:r w:rsidRPr="00357745">
        <w:rPr>
          <w:rFonts w:ascii="Times New Roman" w:hAnsi="Times New Roman"/>
          <w:sz w:val="20"/>
          <w:szCs w:val="20"/>
        </w:rPr>
        <w:t>http://www.berneunion.org.uk/publications.html</w:t>
      </w:r>
      <w:r>
        <w:rPr>
          <w:rFonts w:ascii="Times New Roman" w:hAnsi="Times New Roman"/>
          <w:sz w:val="20"/>
          <w:szCs w:val="20"/>
        </w:rPr>
        <w:t xml:space="preserve"> </w:t>
      </w:r>
      <w:r w:rsidRPr="006E48AB">
        <w:rPr>
          <w:rFonts w:ascii="Times New Roman" w:hAnsi="Times New Roman"/>
          <w:sz w:val="20"/>
          <w:szCs w:val="20"/>
          <w:lang w:val="en-US"/>
        </w:rPr>
        <w:t xml:space="preserve"> </w:t>
      </w:r>
    </w:p>
  </w:footnote>
  <w:footnote w:id="23">
    <w:p w:rsidR="00D620F0" w:rsidRPr="003470E5" w:rsidRDefault="00D620F0" w:rsidP="0041110C">
      <w:pPr>
        <w:pStyle w:val="FootnoteText"/>
        <w:rPr>
          <w:rFonts w:ascii="Times New Roman" w:hAnsi="Times New Roman"/>
        </w:rPr>
      </w:pPr>
      <w:r>
        <w:rPr>
          <w:rStyle w:val="FootnoteReference"/>
          <w:rFonts w:ascii="Times New Roman" w:hAnsi="Times New Roman"/>
        </w:rPr>
        <w:footnoteRef/>
      </w:r>
      <w:r w:rsidRPr="006E48AB">
        <w:rPr>
          <w:rFonts w:ascii="Times New Roman" w:hAnsi="Times New Roman"/>
        </w:rPr>
        <w:t xml:space="preserve"> Skat. </w:t>
      </w:r>
      <w:r>
        <w:rPr>
          <w:rFonts w:ascii="Times New Roman" w:hAnsi="Times New Roman"/>
        </w:rPr>
        <w:t xml:space="preserve">Informatīvā ziņojuma </w:t>
      </w:r>
      <w:r w:rsidRPr="006E48AB">
        <w:rPr>
          <w:rFonts w:ascii="Times New Roman" w:hAnsi="Times New Roman"/>
        </w:rPr>
        <w:t>II.pielikumu</w:t>
      </w:r>
    </w:p>
  </w:footnote>
  <w:footnote w:id="24">
    <w:p w:rsidR="00D620F0" w:rsidRPr="004E3827" w:rsidRDefault="00D620F0" w:rsidP="0041110C">
      <w:pPr>
        <w:pStyle w:val="FootnoteText"/>
        <w:jc w:val="both"/>
        <w:rPr>
          <w:rFonts w:ascii="Times New Roman" w:hAnsi="Times New Roman"/>
        </w:rPr>
      </w:pPr>
      <w:r>
        <w:rPr>
          <w:rStyle w:val="FootnoteReference"/>
          <w:rFonts w:ascii="Times New Roman" w:hAnsi="Times New Roman"/>
        </w:rPr>
        <w:footnoteRef/>
      </w:r>
      <w:r w:rsidRPr="006E48AB">
        <w:rPr>
          <w:rFonts w:ascii="Times New Roman" w:hAnsi="Times New Roman"/>
        </w:rPr>
        <w:t xml:space="preserve"> Autoru kolektīvs, Section 3: Bankers Roundtable [tiešsaiste].</w:t>
      </w:r>
      <w:r w:rsidRPr="006E48AB">
        <w:rPr>
          <w:rFonts w:ascii="Times New Roman" w:hAnsi="Times New Roman"/>
          <w:b/>
        </w:rPr>
        <w:t xml:space="preserve"> </w:t>
      </w:r>
      <w:r w:rsidRPr="006E48AB">
        <w:rPr>
          <w:rFonts w:ascii="Times New Roman" w:hAnsi="Times New Roman"/>
        </w:rPr>
        <w:t>Berne Union annual publication:</w:t>
      </w:r>
      <w:r w:rsidRPr="006E48AB">
        <w:rPr>
          <w:rFonts w:ascii="Times New Roman" w:hAnsi="Times New Roman"/>
          <w:i/>
        </w:rPr>
        <w:t>2011</w:t>
      </w:r>
      <w:r w:rsidRPr="006E48AB">
        <w:rPr>
          <w:rFonts w:ascii="Times New Roman" w:hAnsi="Times New Roman"/>
        </w:rPr>
        <w:t xml:space="preserve">. London, 2011, 52.p Pieejams: </w:t>
      </w:r>
      <w:r w:rsidRPr="006E48AB">
        <w:t>http://www.berneunion.org.uk/publications.html</w:t>
      </w:r>
      <w:r w:rsidRPr="006E48AB">
        <w:rPr>
          <w:rFonts w:ascii="Times New Roman" w:hAnsi="Times New Roman"/>
        </w:rPr>
        <w:t xml:space="preserve"> </w:t>
      </w:r>
    </w:p>
  </w:footnote>
  <w:footnote w:id="25">
    <w:p w:rsidR="00D620F0" w:rsidRPr="006F5B8F" w:rsidRDefault="00D620F0" w:rsidP="0041110C">
      <w:pPr>
        <w:pStyle w:val="FootnoteText"/>
        <w:rPr>
          <w:rFonts w:ascii="Franklin Gothic Book" w:hAnsi="Franklin Gothic Book"/>
          <w:color w:val="000000"/>
        </w:rPr>
      </w:pPr>
      <w:r w:rsidRPr="004E3827">
        <w:rPr>
          <w:rStyle w:val="FootnoteReference"/>
          <w:rFonts w:ascii="Times New Roman" w:hAnsi="Times New Roman"/>
        </w:rPr>
        <w:footnoteRef/>
      </w:r>
      <w:r w:rsidRPr="004E3827">
        <w:rPr>
          <w:rFonts w:ascii="Times New Roman" w:hAnsi="Times New Roman"/>
        </w:rPr>
        <w:t xml:space="preserve"> Skat. </w:t>
      </w:r>
      <w:r>
        <w:rPr>
          <w:rFonts w:ascii="Times New Roman" w:hAnsi="Times New Roman"/>
        </w:rPr>
        <w:t xml:space="preserve">Informatīvā ziņojuma </w:t>
      </w:r>
      <w:r w:rsidRPr="004E3827">
        <w:rPr>
          <w:rFonts w:ascii="Times New Roman" w:hAnsi="Times New Roman"/>
        </w:rPr>
        <w:t>II.pielikumu</w:t>
      </w:r>
    </w:p>
  </w:footnote>
  <w:footnote w:id="26">
    <w:p w:rsidR="00D620F0" w:rsidRPr="004E3827" w:rsidRDefault="00D620F0" w:rsidP="0041110C">
      <w:pPr>
        <w:pStyle w:val="FootnoteText"/>
        <w:rPr>
          <w:rFonts w:ascii="Times New Roman" w:hAnsi="Times New Roman"/>
        </w:rPr>
      </w:pPr>
      <w:r w:rsidRPr="004E3827">
        <w:rPr>
          <w:rStyle w:val="FootnoteReference"/>
          <w:rFonts w:ascii="Times New Roman" w:hAnsi="Times New Roman"/>
        </w:rPr>
        <w:footnoteRef/>
      </w:r>
      <w:r w:rsidRPr="004E3827">
        <w:rPr>
          <w:rFonts w:ascii="Times New Roman" w:hAnsi="Times New Roman"/>
        </w:rPr>
        <w:t xml:space="preserve"> Skat. </w:t>
      </w:r>
      <w:r>
        <w:rPr>
          <w:rFonts w:ascii="Times New Roman" w:hAnsi="Times New Roman"/>
        </w:rPr>
        <w:t xml:space="preserve">Informatīvā ziņojuma </w:t>
      </w:r>
      <w:r w:rsidRPr="004E3827">
        <w:rPr>
          <w:rFonts w:ascii="Times New Roman" w:hAnsi="Times New Roman"/>
        </w:rPr>
        <w:t>II.pielikumu</w:t>
      </w:r>
    </w:p>
  </w:footnote>
  <w:footnote w:id="27">
    <w:p w:rsidR="00D620F0" w:rsidRPr="00C51067" w:rsidRDefault="00D620F0" w:rsidP="0041110C">
      <w:pPr>
        <w:pStyle w:val="FootnoteText"/>
        <w:rPr>
          <w:rFonts w:ascii="Franklin Gothic Book" w:hAnsi="Franklin Gothic Book"/>
        </w:rPr>
      </w:pPr>
      <w:r w:rsidRPr="004E3827">
        <w:rPr>
          <w:rStyle w:val="FootnoteReference"/>
          <w:rFonts w:ascii="Times New Roman" w:hAnsi="Times New Roman"/>
        </w:rPr>
        <w:footnoteRef/>
      </w:r>
      <w:r w:rsidRPr="004E3827">
        <w:rPr>
          <w:rFonts w:ascii="Times New Roman" w:hAnsi="Times New Roman"/>
        </w:rPr>
        <w:t xml:space="preserve"> Ekonomikas ministrijas Informatīvais ziņojums par prognozēm darbaspēka pieprasījuma un piedāvājuma atbilstībai vidējā termiņā, 2011.</w:t>
      </w:r>
    </w:p>
  </w:footnote>
  <w:footnote w:id="28">
    <w:p w:rsidR="00D620F0" w:rsidRPr="004E3827" w:rsidRDefault="00D620F0" w:rsidP="0041110C">
      <w:pPr>
        <w:spacing w:after="0" w:line="240" w:lineRule="auto"/>
        <w:rPr>
          <w:rFonts w:ascii="Times New Roman" w:hAnsi="Times New Roman"/>
          <w:sz w:val="20"/>
          <w:szCs w:val="20"/>
        </w:rPr>
      </w:pPr>
      <w:r w:rsidRPr="004E3827">
        <w:rPr>
          <w:rStyle w:val="FootnoteReference"/>
          <w:rFonts w:ascii="Times New Roman" w:hAnsi="Times New Roman"/>
          <w:sz w:val="20"/>
          <w:szCs w:val="20"/>
        </w:rPr>
        <w:footnoteRef/>
      </w:r>
      <w:r w:rsidRPr="004E3827">
        <w:rPr>
          <w:rFonts w:ascii="Times New Roman" w:hAnsi="Times New Roman"/>
          <w:sz w:val="20"/>
          <w:szCs w:val="20"/>
        </w:rPr>
        <w:t xml:space="preserve"> </w:t>
      </w:r>
      <w:r w:rsidRPr="004E3827">
        <w:rPr>
          <w:rStyle w:val="Strong"/>
          <w:rFonts w:ascii="Times New Roman" w:hAnsi="Times New Roman"/>
          <w:b w:val="0"/>
          <w:sz w:val="20"/>
          <w:szCs w:val="20"/>
        </w:rPr>
        <w:t>Ziņojums par Latvijas tautsaimniecības attīstību</w:t>
      </w:r>
      <w:r w:rsidRPr="004E3827">
        <w:rPr>
          <w:rFonts w:ascii="Times New Roman" w:hAnsi="Times New Roman"/>
          <w:bCs/>
          <w:sz w:val="20"/>
          <w:szCs w:val="20"/>
        </w:rPr>
        <w:t xml:space="preserve">. </w:t>
      </w:r>
      <w:r w:rsidRPr="004E3827">
        <w:rPr>
          <w:rFonts w:ascii="Times New Roman" w:hAnsi="Times New Roman"/>
          <w:sz w:val="20"/>
          <w:szCs w:val="20"/>
        </w:rPr>
        <w:t>2013. gada jūnijs.</w:t>
      </w:r>
    </w:p>
  </w:footnote>
  <w:footnote w:id="29">
    <w:p w:rsidR="00D620F0" w:rsidRPr="003470E5" w:rsidRDefault="00D620F0" w:rsidP="0041110C">
      <w:pPr>
        <w:pStyle w:val="FootnoteText"/>
        <w:rPr>
          <w:rFonts w:ascii="Times New Roman" w:hAnsi="Times New Roman"/>
        </w:rPr>
      </w:pPr>
      <w:r>
        <w:rPr>
          <w:rStyle w:val="FootnoteReference"/>
          <w:rFonts w:ascii="Times New Roman" w:hAnsi="Times New Roman"/>
        </w:rPr>
        <w:footnoteRef/>
      </w:r>
      <w:r w:rsidRPr="006E48AB">
        <w:rPr>
          <w:rFonts w:ascii="Times New Roman" w:hAnsi="Times New Roman"/>
        </w:rPr>
        <w:t xml:space="preserve"> </w:t>
      </w:r>
      <w:r>
        <w:rPr>
          <w:rStyle w:val="Strong"/>
          <w:rFonts w:ascii="Times New Roman" w:hAnsi="Times New Roman"/>
          <w:b w:val="0"/>
        </w:rPr>
        <w:t>Ziņojums par Latvijas tautsaimniecības attīstību</w:t>
      </w:r>
      <w:r w:rsidRPr="006E48AB">
        <w:rPr>
          <w:rFonts w:ascii="Times New Roman" w:hAnsi="Times New Roman"/>
          <w:bCs/>
        </w:rPr>
        <w:t xml:space="preserve">. </w:t>
      </w:r>
      <w:r w:rsidRPr="006E48AB">
        <w:rPr>
          <w:rFonts w:ascii="Times New Roman" w:hAnsi="Times New Roman"/>
        </w:rPr>
        <w:t>2013. gada jūnijs.</w:t>
      </w:r>
    </w:p>
  </w:footnote>
  <w:footnote w:id="30">
    <w:p w:rsidR="00D620F0" w:rsidRDefault="00D620F0" w:rsidP="0041110C">
      <w:pPr>
        <w:pStyle w:val="FootnoteText"/>
        <w:jc w:val="both"/>
      </w:pPr>
      <w:r>
        <w:rPr>
          <w:rStyle w:val="FootnoteReference"/>
          <w:rFonts w:ascii="Times New Roman" w:hAnsi="Times New Roman"/>
        </w:rPr>
        <w:footnoteRef/>
      </w:r>
      <w:r w:rsidRPr="006E48AB">
        <w:rPr>
          <w:rFonts w:ascii="Times New Roman" w:hAnsi="Times New Roman"/>
        </w:rPr>
        <w:t xml:space="preserve"> IFO pētījums: </w:t>
      </w:r>
      <w:r w:rsidRPr="006E48AB">
        <w:rPr>
          <w:rFonts w:ascii="Times New Roman" w:hAnsi="Times New Roman"/>
          <w:i/>
        </w:rPr>
        <w:t>Employment effects of export credit guarantees by Federal Republic of Germany „Hermesdeckungen”</w:t>
      </w:r>
    </w:p>
  </w:footnote>
  <w:footnote w:id="31">
    <w:p w:rsidR="00D620F0" w:rsidRPr="004731BA" w:rsidRDefault="00D620F0" w:rsidP="0041110C">
      <w:pPr>
        <w:pStyle w:val="FootnoteText"/>
        <w:rPr>
          <w:rFonts w:ascii="Times New Roman" w:hAnsi="Times New Roman"/>
        </w:rPr>
      </w:pPr>
      <w:r w:rsidRPr="004731BA">
        <w:rPr>
          <w:rStyle w:val="FootnoteReference"/>
          <w:rFonts w:ascii="Times New Roman" w:hAnsi="Times New Roman"/>
        </w:rPr>
        <w:footnoteRef/>
      </w:r>
      <w:r w:rsidRPr="004731BA">
        <w:rPr>
          <w:rFonts w:ascii="Times New Roman" w:hAnsi="Times New Roman"/>
        </w:rPr>
        <w:t xml:space="preserve"> Vācijas Federatīvās Republikas sadarbība ar privāto apdrošinātāju Euler Hermes. Vairāk informācijas: http://www.agaportal.de/en/index.html </w:t>
      </w:r>
    </w:p>
  </w:footnote>
  <w:footnote w:id="32">
    <w:p w:rsidR="00D620F0" w:rsidRDefault="00D620F0" w:rsidP="0041110C">
      <w:pPr>
        <w:pStyle w:val="FootnoteText"/>
        <w:rPr>
          <w:rFonts w:ascii="Times New Roman" w:hAnsi="Times New Roman"/>
        </w:rPr>
      </w:pPr>
      <w:r w:rsidRPr="004731BA">
        <w:rPr>
          <w:rStyle w:val="FootnoteReference"/>
          <w:rFonts w:ascii="Times New Roman" w:hAnsi="Times New Roman"/>
        </w:rPr>
        <w:footnoteRef/>
      </w:r>
      <w:r w:rsidRPr="004731BA">
        <w:rPr>
          <w:rFonts w:ascii="Times New Roman" w:hAnsi="Times New Roman"/>
        </w:rPr>
        <w:t xml:space="preserve"> Lielbritānijas eksporta kredīta garantiju departaments. Vairāk informācijas  https://www.gov.uk/government/organisations/uk-export-finance/about</w:t>
      </w:r>
      <w:r w:rsidRPr="006E48AB">
        <w:rPr>
          <w:rFonts w:ascii="Times New Roman" w:hAnsi="Times New Roman"/>
        </w:rPr>
        <w:t xml:space="preserve"> </w:t>
      </w:r>
    </w:p>
  </w:footnote>
  <w:footnote w:id="33">
    <w:p w:rsidR="00D620F0" w:rsidRDefault="00D620F0" w:rsidP="0041110C">
      <w:pPr>
        <w:pStyle w:val="FootnoteText"/>
        <w:rPr>
          <w:rFonts w:ascii="Times New Roman" w:hAnsi="Times New Roman"/>
        </w:rPr>
      </w:pPr>
      <w:r>
        <w:rPr>
          <w:rStyle w:val="FootnoteReference"/>
          <w:rFonts w:ascii="Times New Roman" w:hAnsi="Times New Roman"/>
        </w:rPr>
        <w:footnoteRef/>
      </w:r>
      <w:r w:rsidRPr="006E48AB">
        <w:rPr>
          <w:rFonts w:ascii="Times New Roman" w:hAnsi="Times New Roman"/>
        </w:rPr>
        <w:t xml:space="preserve"> Igaunijas eksporta kredīta aģentūra Kredex. Vairāk informācijas: </w:t>
      </w:r>
      <w:hyperlink r:id="rId4" w:history="1">
        <w:r>
          <w:rPr>
            <w:rStyle w:val="Hyperlink"/>
            <w:rFonts w:ascii="Times New Roman" w:hAnsi="Times New Roman"/>
          </w:rPr>
          <w:t>http://www.kredex.ee/credit-insurance/</w:t>
        </w:r>
      </w:hyperlink>
      <w:r w:rsidRPr="006E48AB">
        <w:rPr>
          <w:rFonts w:ascii="Times New Roman" w:hAnsi="Times New Roman"/>
        </w:rPr>
        <w:t xml:space="preserve"> </w:t>
      </w:r>
    </w:p>
  </w:footnote>
  <w:footnote w:id="34">
    <w:p w:rsidR="00D620F0" w:rsidRDefault="00D620F0" w:rsidP="0041110C">
      <w:pPr>
        <w:pStyle w:val="FootnoteText"/>
        <w:rPr>
          <w:rFonts w:ascii="Franklin Gothic Book" w:hAnsi="Franklin Gothic Book"/>
        </w:rPr>
      </w:pPr>
      <w:r>
        <w:rPr>
          <w:rStyle w:val="FootnoteReference"/>
          <w:rFonts w:ascii="Times New Roman" w:hAnsi="Times New Roman"/>
        </w:rPr>
        <w:footnoteRef/>
      </w:r>
      <w:r w:rsidRPr="006E48AB">
        <w:rPr>
          <w:rFonts w:ascii="Times New Roman" w:hAnsi="Times New Roman"/>
        </w:rPr>
        <w:t xml:space="preserve"> Jaunzēlandes </w:t>
      </w:r>
      <w:r w:rsidRPr="00DD7B9D">
        <w:rPr>
          <w:rFonts w:ascii="Times New Roman" w:hAnsi="Times New Roman"/>
        </w:rPr>
        <w:t>eksporta kredīta aģentūra NZECO. Vairāk informācijas: http://www.nzeco.govt.nz/about/governancestructure</w:t>
      </w:r>
      <w:r w:rsidRPr="006E48AB">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55211"/>
      <w:docPartObj>
        <w:docPartGallery w:val="Page Numbers (Top of Page)"/>
        <w:docPartUnique/>
      </w:docPartObj>
    </w:sdtPr>
    <w:sdtEndPr>
      <w:rPr>
        <w:rFonts w:ascii="Times New Roman" w:hAnsi="Times New Roman"/>
        <w:noProof/>
        <w:sz w:val="24"/>
        <w:szCs w:val="24"/>
      </w:rPr>
    </w:sdtEndPr>
    <w:sdtContent>
      <w:p w:rsidR="00D620F0" w:rsidRPr="004A2B90" w:rsidRDefault="00D620F0">
        <w:pPr>
          <w:pStyle w:val="Header"/>
          <w:jc w:val="center"/>
          <w:rPr>
            <w:rFonts w:ascii="Times New Roman" w:hAnsi="Times New Roman"/>
            <w:sz w:val="24"/>
            <w:szCs w:val="24"/>
          </w:rPr>
        </w:pPr>
        <w:r w:rsidRPr="004A2B90">
          <w:rPr>
            <w:rFonts w:ascii="Times New Roman" w:hAnsi="Times New Roman"/>
            <w:sz w:val="24"/>
            <w:szCs w:val="24"/>
          </w:rPr>
          <w:fldChar w:fldCharType="begin"/>
        </w:r>
        <w:r w:rsidRPr="004A2B90">
          <w:rPr>
            <w:rFonts w:ascii="Times New Roman" w:hAnsi="Times New Roman"/>
            <w:sz w:val="24"/>
            <w:szCs w:val="24"/>
          </w:rPr>
          <w:instrText xml:space="preserve"> PAGE   \* MERGEFORMAT </w:instrText>
        </w:r>
        <w:r w:rsidRPr="004A2B90">
          <w:rPr>
            <w:rFonts w:ascii="Times New Roman" w:hAnsi="Times New Roman"/>
            <w:sz w:val="24"/>
            <w:szCs w:val="24"/>
          </w:rPr>
          <w:fldChar w:fldCharType="separate"/>
        </w:r>
        <w:r w:rsidR="008064EC">
          <w:rPr>
            <w:rFonts w:ascii="Times New Roman" w:hAnsi="Times New Roman"/>
            <w:noProof/>
            <w:sz w:val="24"/>
            <w:szCs w:val="24"/>
          </w:rPr>
          <w:t>25</w:t>
        </w:r>
        <w:r w:rsidRPr="004A2B90">
          <w:rPr>
            <w:rFonts w:ascii="Times New Roman" w:hAnsi="Times New Roman"/>
            <w:noProof/>
            <w:sz w:val="24"/>
            <w:szCs w:val="24"/>
          </w:rPr>
          <w:fldChar w:fldCharType="end"/>
        </w:r>
      </w:p>
    </w:sdtContent>
  </w:sdt>
  <w:p w:rsidR="00D620F0" w:rsidRDefault="00D62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568"/>
    <w:multiLevelType w:val="hybridMultilevel"/>
    <w:tmpl w:val="3F26228A"/>
    <w:lvl w:ilvl="0" w:tplc="89E6AFBC">
      <w:start w:val="1"/>
      <w:numFmt w:val="bullet"/>
      <w:lvlText w:val=""/>
      <w:lvlJc w:val="left"/>
      <w:pPr>
        <w:tabs>
          <w:tab w:val="num" w:pos="720"/>
        </w:tabs>
        <w:ind w:left="720" w:hanging="360"/>
      </w:pPr>
      <w:rPr>
        <w:rFonts w:ascii="Wingdings" w:hAnsi="Wingdings" w:hint="default"/>
      </w:rPr>
    </w:lvl>
    <w:lvl w:ilvl="1" w:tplc="667C41AC" w:tentative="1">
      <w:start w:val="1"/>
      <w:numFmt w:val="bullet"/>
      <w:lvlText w:val=""/>
      <w:lvlJc w:val="left"/>
      <w:pPr>
        <w:tabs>
          <w:tab w:val="num" w:pos="1440"/>
        </w:tabs>
        <w:ind w:left="1440" w:hanging="360"/>
      </w:pPr>
      <w:rPr>
        <w:rFonts w:ascii="Wingdings" w:hAnsi="Wingdings" w:hint="default"/>
      </w:rPr>
    </w:lvl>
    <w:lvl w:ilvl="2" w:tplc="D188DBCC" w:tentative="1">
      <w:start w:val="1"/>
      <w:numFmt w:val="bullet"/>
      <w:lvlText w:val=""/>
      <w:lvlJc w:val="left"/>
      <w:pPr>
        <w:tabs>
          <w:tab w:val="num" w:pos="2160"/>
        </w:tabs>
        <w:ind w:left="2160" w:hanging="360"/>
      </w:pPr>
      <w:rPr>
        <w:rFonts w:ascii="Wingdings" w:hAnsi="Wingdings" w:hint="default"/>
      </w:rPr>
    </w:lvl>
    <w:lvl w:ilvl="3" w:tplc="E10AECD4" w:tentative="1">
      <w:start w:val="1"/>
      <w:numFmt w:val="bullet"/>
      <w:lvlText w:val=""/>
      <w:lvlJc w:val="left"/>
      <w:pPr>
        <w:tabs>
          <w:tab w:val="num" w:pos="2880"/>
        </w:tabs>
        <w:ind w:left="2880" w:hanging="360"/>
      </w:pPr>
      <w:rPr>
        <w:rFonts w:ascii="Wingdings" w:hAnsi="Wingdings" w:hint="default"/>
      </w:rPr>
    </w:lvl>
    <w:lvl w:ilvl="4" w:tplc="326A549C" w:tentative="1">
      <w:start w:val="1"/>
      <w:numFmt w:val="bullet"/>
      <w:lvlText w:val=""/>
      <w:lvlJc w:val="left"/>
      <w:pPr>
        <w:tabs>
          <w:tab w:val="num" w:pos="3600"/>
        </w:tabs>
        <w:ind w:left="3600" w:hanging="360"/>
      </w:pPr>
      <w:rPr>
        <w:rFonts w:ascii="Wingdings" w:hAnsi="Wingdings" w:hint="default"/>
      </w:rPr>
    </w:lvl>
    <w:lvl w:ilvl="5" w:tplc="7E82BE5E" w:tentative="1">
      <w:start w:val="1"/>
      <w:numFmt w:val="bullet"/>
      <w:lvlText w:val=""/>
      <w:lvlJc w:val="left"/>
      <w:pPr>
        <w:tabs>
          <w:tab w:val="num" w:pos="4320"/>
        </w:tabs>
        <w:ind w:left="4320" w:hanging="360"/>
      </w:pPr>
      <w:rPr>
        <w:rFonts w:ascii="Wingdings" w:hAnsi="Wingdings" w:hint="default"/>
      </w:rPr>
    </w:lvl>
    <w:lvl w:ilvl="6" w:tplc="9232F3E0" w:tentative="1">
      <w:start w:val="1"/>
      <w:numFmt w:val="bullet"/>
      <w:lvlText w:val=""/>
      <w:lvlJc w:val="left"/>
      <w:pPr>
        <w:tabs>
          <w:tab w:val="num" w:pos="5040"/>
        </w:tabs>
        <w:ind w:left="5040" w:hanging="360"/>
      </w:pPr>
      <w:rPr>
        <w:rFonts w:ascii="Wingdings" w:hAnsi="Wingdings" w:hint="default"/>
      </w:rPr>
    </w:lvl>
    <w:lvl w:ilvl="7" w:tplc="9580FC28" w:tentative="1">
      <w:start w:val="1"/>
      <w:numFmt w:val="bullet"/>
      <w:lvlText w:val=""/>
      <w:lvlJc w:val="left"/>
      <w:pPr>
        <w:tabs>
          <w:tab w:val="num" w:pos="5760"/>
        </w:tabs>
        <w:ind w:left="5760" w:hanging="360"/>
      </w:pPr>
      <w:rPr>
        <w:rFonts w:ascii="Wingdings" w:hAnsi="Wingdings" w:hint="default"/>
      </w:rPr>
    </w:lvl>
    <w:lvl w:ilvl="8" w:tplc="55C018A6" w:tentative="1">
      <w:start w:val="1"/>
      <w:numFmt w:val="bullet"/>
      <w:lvlText w:val=""/>
      <w:lvlJc w:val="left"/>
      <w:pPr>
        <w:tabs>
          <w:tab w:val="num" w:pos="6480"/>
        </w:tabs>
        <w:ind w:left="6480" w:hanging="360"/>
      </w:pPr>
      <w:rPr>
        <w:rFonts w:ascii="Wingdings" w:hAnsi="Wingdings" w:hint="default"/>
      </w:rPr>
    </w:lvl>
  </w:abstractNum>
  <w:abstractNum w:abstractNumId="1">
    <w:nsid w:val="0A482C34"/>
    <w:multiLevelType w:val="hybridMultilevel"/>
    <w:tmpl w:val="9788A9C2"/>
    <w:lvl w:ilvl="0" w:tplc="04260011">
      <w:start w:val="1"/>
      <w:numFmt w:val="decimal"/>
      <w:lvlText w:val="%1)"/>
      <w:lvlJc w:val="left"/>
      <w:pPr>
        <w:tabs>
          <w:tab w:val="num" w:pos="795"/>
        </w:tabs>
        <w:ind w:left="795" w:hanging="360"/>
      </w:pPr>
      <w:rPr>
        <w:rFonts w:hint="default"/>
      </w:rPr>
    </w:lvl>
    <w:lvl w:ilvl="1" w:tplc="064E1E42">
      <w:start w:val="1"/>
      <w:numFmt w:val="bullet"/>
      <w:lvlText w:val="-"/>
      <w:lvlJc w:val="left"/>
      <w:pPr>
        <w:tabs>
          <w:tab w:val="num" w:pos="1515"/>
        </w:tabs>
        <w:ind w:left="1515" w:hanging="360"/>
      </w:pPr>
      <w:rPr>
        <w:rFonts w:ascii="Times New Roman" w:eastAsia="Times New Roman" w:hAnsi="Times New Roman" w:cs="Times New Roman"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2">
    <w:nsid w:val="0C7E754D"/>
    <w:multiLevelType w:val="hybridMultilevel"/>
    <w:tmpl w:val="55983D96"/>
    <w:lvl w:ilvl="0" w:tplc="26AAB05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A6661D"/>
    <w:multiLevelType w:val="hybridMultilevel"/>
    <w:tmpl w:val="469C4946"/>
    <w:lvl w:ilvl="0" w:tplc="ECCA87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1906C2"/>
    <w:multiLevelType w:val="hybridMultilevel"/>
    <w:tmpl w:val="F69E8EBE"/>
    <w:lvl w:ilvl="0" w:tplc="55E477D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77215F"/>
    <w:multiLevelType w:val="hybridMultilevel"/>
    <w:tmpl w:val="482C24B6"/>
    <w:lvl w:ilvl="0" w:tplc="B0DEDA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3C16F9"/>
    <w:multiLevelType w:val="hybridMultilevel"/>
    <w:tmpl w:val="7104FF88"/>
    <w:lvl w:ilvl="0" w:tplc="D88E3E74">
      <w:start w:val="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2CA3461"/>
    <w:multiLevelType w:val="hybridMultilevel"/>
    <w:tmpl w:val="F82A3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622E7D"/>
    <w:multiLevelType w:val="hybridMultilevel"/>
    <w:tmpl w:val="B7608C6E"/>
    <w:lvl w:ilvl="0" w:tplc="76FE77F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E75A9"/>
    <w:multiLevelType w:val="hybridMultilevel"/>
    <w:tmpl w:val="2CECAE66"/>
    <w:lvl w:ilvl="0" w:tplc="04260005">
      <w:start w:val="1"/>
      <w:numFmt w:val="bullet"/>
      <w:lvlText w:val=""/>
      <w:lvlJc w:val="left"/>
      <w:pPr>
        <w:tabs>
          <w:tab w:val="num" w:pos="795"/>
        </w:tabs>
        <w:ind w:left="795" w:hanging="360"/>
      </w:pPr>
      <w:rPr>
        <w:rFonts w:ascii="Wingdings" w:hAnsi="Wingdings"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11">
    <w:nsid w:val="3DD54E7A"/>
    <w:multiLevelType w:val="hybridMultilevel"/>
    <w:tmpl w:val="CEBED828"/>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E616306"/>
    <w:multiLevelType w:val="hybridMultilevel"/>
    <w:tmpl w:val="317E3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01A66F5"/>
    <w:multiLevelType w:val="hybridMultilevel"/>
    <w:tmpl w:val="3B00F772"/>
    <w:lvl w:ilvl="0" w:tplc="04260005">
      <w:start w:val="1"/>
      <w:numFmt w:val="bullet"/>
      <w:lvlText w:val=""/>
      <w:lvlJc w:val="left"/>
      <w:pPr>
        <w:tabs>
          <w:tab w:val="num" w:pos="1326"/>
        </w:tabs>
        <w:ind w:left="1326" w:hanging="360"/>
      </w:pPr>
      <w:rPr>
        <w:rFonts w:ascii="Wingdings" w:hAnsi="Wingdings" w:hint="default"/>
      </w:rPr>
    </w:lvl>
    <w:lvl w:ilvl="1" w:tplc="04260003" w:tentative="1">
      <w:start w:val="1"/>
      <w:numFmt w:val="bullet"/>
      <w:lvlText w:val="o"/>
      <w:lvlJc w:val="left"/>
      <w:pPr>
        <w:tabs>
          <w:tab w:val="num" w:pos="2046"/>
        </w:tabs>
        <w:ind w:left="2046" w:hanging="360"/>
      </w:pPr>
      <w:rPr>
        <w:rFonts w:ascii="Courier New" w:hAnsi="Courier New" w:cs="Courier New" w:hint="default"/>
      </w:rPr>
    </w:lvl>
    <w:lvl w:ilvl="2" w:tplc="04260005" w:tentative="1">
      <w:start w:val="1"/>
      <w:numFmt w:val="bullet"/>
      <w:lvlText w:val=""/>
      <w:lvlJc w:val="left"/>
      <w:pPr>
        <w:tabs>
          <w:tab w:val="num" w:pos="2766"/>
        </w:tabs>
        <w:ind w:left="2766" w:hanging="360"/>
      </w:pPr>
      <w:rPr>
        <w:rFonts w:ascii="Wingdings" w:hAnsi="Wingdings" w:hint="default"/>
      </w:rPr>
    </w:lvl>
    <w:lvl w:ilvl="3" w:tplc="04260001" w:tentative="1">
      <w:start w:val="1"/>
      <w:numFmt w:val="bullet"/>
      <w:lvlText w:val=""/>
      <w:lvlJc w:val="left"/>
      <w:pPr>
        <w:tabs>
          <w:tab w:val="num" w:pos="3486"/>
        </w:tabs>
        <w:ind w:left="3486" w:hanging="360"/>
      </w:pPr>
      <w:rPr>
        <w:rFonts w:ascii="Symbol" w:hAnsi="Symbol" w:hint="default"/>
      </w:rPr>
    </w:lvl>
    <w:lvl w:ilvl="4" w:tplc="04260003" w:tentative="1">
      <w:start w:val="1"/>
      <w:numFmt w:val="bullet"/>
      <w:lvlText w:val="o"/>
      <w:lvlJc w:val="left"/>
      <w:pPr>
        <w:tabs>
          <w:tab w:val="num" w:pos="4206"/>
        </w:tabs>
        <w:ind w:left="4206" w:hanging="360"/>
      </w:pPr>
      <w:rPr>
        <w:rFonts w:ascii="Courier New" w:hAnsi="Courier New" w:cs="Courier New" w:hint="default"/>
      </w:rPr>
    </w:lvl>
    <w:lvl w:ilvl="5" w:tplc="04260005" w:tentative="1">
      <w:start w:val="1"/>
      <w:numFmt w:val="bullet"/>
      <w:lvlText w:val=""/>
      <w:lvlJc w:val="left"/>
      <w:pPr>
        <w:tabs>
          <w:tab w:val="num" w:pos="4926"/>
        </w:tabs>
        <w:ind w:left="4926" w:hanging="360"/>
      </w:pPr>
      <w:rPr>
        <w:rFonts w:ascii="Wingdings" w:hAnsi="Wingdings" w:hint="default"/>
      </w:rPr>
    </w:lvl>
    <w:lvl w:ilvl="6" w:tplc="04260001" w:tentative="1">
      <w:start w:val="1"/>
      <w:numFmt w:val="bullet"/>
      <w:lvlText w:val=""/>
      <w:lvlJc w:val="left"/>
      <w:pPr>
        <w:tabs>
          <w:tab w:val="num" w:pos="5646"/>
        </w:tabs>
        <w:ind w:left="5646" w:hanging="360"/>
      </w:pPr>
      <w:rPr>
        <w:rFonts w:ascii="Symbol" w:hAnsi="Symbol" w:hint="default"/>
      </w:rPr>
    </w:lvl>
    <w:lvl w:ilvl="7" w:tplc="04260003" w:tentative="1">
      <w:start w:val="1"/>
      <w:numFmt w:val="bullet"/>
      <w:lvlText w:val="o"/>
      <w:lvlJc w:val="left"/>
      <w:pPr>
        <w:tabs>
          <w:tab w:val="num" w:pos="6366"/>
        </w:tabs>
        <w:ind w:left="6366" w:hanging="360"/>
      </w:pPr>
      <w:rPr>
        <w:rFonts w:ascii="Courier New" w:hAnsi="Courier New" w:cs="Courier New" w:hint="default"/>
      </w:rPr>
    </w:lvl>
    <w:lvl w:ilvl="8" w:tplc="04260005" w:tentative="1">
      <w:start w:val="1"/>
      <w:numFmt w:val="bullet"/>
      <w:lvlText w:val=""/>
      <w:lvlJc w:val="left"/>
      <w:pPr>
        <w:tabs>
          <w:tab w:val="num" w:pos="7086"/>
        </w:tabs>
        <w:ind w:left="7086" w:hanging="360"/>
      </w:pPr>
      <w:rPr>
        <w:rFonts w:ascii="Wingdings" w:hAnsi="Wingdings" w:hint="default"/>
      </w:rPr>
    </w:lvl>
  </w:abstractNum>
  <w:abstractNum w:abstractNumId="14">
    <w:nsid w:val="46F3200C"/>
    <w:multiLevelType w:val="hybridMultilevel"/>
    <w:tmpl w:val="2ABA8AB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6A3561"/>
    <w:multiLevelType w:val="hybridMultilevel"/>
    <w:tmpl w:val="47E218AE"/>
    <w:lvl w:ilvl="0" w:tplc="0EB0F22E">
      <w:start w:val="1"/>
      <w:numFmt w:val="decimal"/>
      <w:lvlText w:val="%1)"/>
      <w:lvlJc w:val="left"/>
      <w:pPr>
        <w:tabs>
          <w:tab w:val="num" w:pos="900"/>
        </w:tabs>
        <w:ind w:left="900" w:hanging="360"/>
      </w:pPr>
      <w:rPr>
        <w:rFonts w:hint="default"/>
        <w:b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6">
    <w:nsid w:val="4B8B4B2E"/>
    <w:multiLevelType w:val="hybridMultilevel"/>
    <w:tmpl w:val="75805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BCB777C"/>
    <w:multiLevelType w:val="hybridMultilevel"/>
    <w:tmpl w:val="1EB68470"/>
    <w:lvl w:ilvl="0" w:tplc="5956CE6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7231F7A"/>
    <w:multiLevelType w:val="hybridMultilevel"/>
    <w:tmpl w:val="D3AC2776"/>
    <w:lvl w:ilvl="0" w:tplc="E2CEAAFA">
      <w:start w:val="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A606797"/>
    <w:multiLevelType w:val="hybridMultilevel"/>
    <w:tmpl w:val="8F507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B034D40"/>
    <w:multiLevelType w:val="hybridMultilevel"/>
    <w:tmpl w:val="97C85968"/>
    <w:lvl w:ilvl="0" w:tplc="57E68A16">
      <w:start w:val="1"/>
      <w:numFmt w:val="bullet"/>
      <w:lvlText w:val=""/>
      <w:lvlJc w:val="left"/>
      <w:pPr>
        <w:tabs>
          <w:tab w:val="num" w:pos="720"/>
        </w:tabs>
        <w:ind w:left="720" w:hanging="360"/>
      </w:pPr>
      <w:rPr>
        <w:rFonts w:ascii="Wingdings" w:hAnsi="Wingdings" w:hint="default"/>
      </w:rPr>
    </w:lvl>
    <w:lvl w:ilvl="1" w:tplc="085ADF94" w:tentative="1">
      <w:start w:val="1"/>
      <w:numFmt w:val="bullet"/>
      <w:lvlText w:val=""/>
      <w:lvlJc w:val="left"/>
      <w:pPr>
        <w:tabs>
          <w:tab w:val="num" w:pos="1440"/>
        </w:tabs>
        <w:ind w:left="1440" w:hanging="360"/>
      </w:pPr>
      <w:rPr>
        <w:rFonts w:ascii="Wingdings" w:hAnsi="Wingdings" w:hint="default"/>
      </w:rPr>
    </w:lvl>
    <w:lvl w:ilvl="2" w:tplc="EC8C5BA6" w:tentative="1">
      <w:start w:val="1"/>
      <w:numFmt w:val="bullet"/>
      <w:lvlText w:val=""/>
      <w:lvlJc w:val="left"/>
      <w:pPr>
        <w:tabs>
          <w:tab w:val="num" w:pos="2160"/>
        </w:tabs>
        <w:ind w:left="2160" w:hanging="360"/>
      </w:pPr>
      <w:rPr>
        <w:rFonts w:ascii="Wingdings" w:hAnsi="Wingdings" w:hint="default"/>
      </w:rPr>
    </w:lvl>
    <w:lvl w:ilvl="3" w:tplc="5E60DFF4" w:tentative="1">
      <w:start w:val="1"/>
      <w:numFmt w:val="bullet"/>
      <w:lvlText w:val=""/>
      <w:lvlJc w:val="left"/>
      <w:pPr>
        <w:tabs>
          <w:tab w:val="num" w:pos="2880"/>
        </w:tabs>
        <w:ind w:left="2880" w:hanging="360"/>
      </w:pPr>
      <w:rPr>
        <w:rFonts w:ascii="Wingdings" w:hAnsi="Wingdings" w:hint="default"/>
      </w:rPr>
    </w:lvl>
    <w:lvl w:ilvl="4" w:tplc="3626C8DE" w:tentative="1">
      <w:start w:val="1"/>
      <w:numFmt w:val="bullet"/>
      <w:lvlText w:val=""/>
      <w:lvlJc w:val="left"/>
      <w:pPr>
        <w:tabs>
          <w:tab w:val="num" w:pos="3600"/>
        </w:tabs>
        <w:ind w:left="3600" w:hanging="360"/>
      </w:pPr>
      <w:rPr>
        <w:rFonts w:ascii="Wingdings" w:hAnsi="Wingdings" w:hint="default"/>
      </w:rPr>
    </w:lvl>
    <w:lvl w:ilvl="5" w:tplc="91A8789E" w:tentative="1">
      <w:start w:val="1"/>
      <w:numFmt w:val="bullet"/>
      <w:lvlText w:val=""/>
      <w:lvlJc w:val="left"/>
      <w:pPr>
        <w:tabs>
          <w:tab w:val="num" w:pos="4320"/>
        </w:tabs>
        <w:ind w:left="4320" w:hanging="360"/>
      </w:pPr>
      <w:rPr>
        <w:rFonts w:ascii="Wingdings" w:hAnsi="Wingdings" w:hint="default"/>
      </w:rPr>
    </w:lvl>
    <w:lvl w:ilvl="6" w:tplc="E780AD56" w:tentative="1">
      <w:start w:val="1"/>
      <w:numFmt w:val="bullet"/>
      <w:lvlText w:val=""/>
      <w:lvlJc w:val="left"/>
      <w:pPr>
        <w:tabs>
          <w:tab w:val="num" w:pos="5040"/>
        </w:tabs>
        <w:ind w:left="5040" w:hanging="360"/>
      </w:pPr>
      <w:rPr>
        <w:rFonts w:ascii="Wingdings" w:hAnsi="Wingdings" w:hint="default"/>
      </w:rPr>
    </w:lvl>
    <w:lvl w:ilvl="7" w:tplc="631C9F4C" w:tentative="1">
      <w:start w:val="1"/>
      <w:numFmt w:val="bullet"/>
      <w:lvlText w:val=""/>
      <w:lvlJc w:val="left"/>
      <w:pPr>
        <w:tabs>
          <w:tab w:val="num" w:pos="5760"/>
        </w:tabs>
        <w:ind w:left="5760" w:hanging="360"/>
      </w:pPr>
      <w:rPr>
        <w:rFonts w:ascii="Wingdings" w:hAnsi="Wingdings" w:hint="default"/>
      </w:rPr>
    </w:lvl>
    <w:lvl w:ilvl="8" w:tplc="A23A05A2" w:tentative="1">
      <w:start w:val="1"/>
      <w:numFmt w:val="bullet"/>
      <w:lvlText w:val=""/>
      <w:lvlJc w:val="left"/>
      <w:pPr>
        <w:tabs>
          <w:tab w:val="num" w:pos="6480"/>
        </w:tabs>
        <w:ind w:left="6480" w:hanging="360"/>
      </w:pPr>
      <w:rPr>
        <w:rFonts w:ascii="Wingdings" w:hAnsi="Wingdings" w:hint="default"/>
      </w:rPr>
    </w:lvl>
  </w:abstractNum>
  <w:abstractNum w:abstractNumId="21">
    <w:nsid w:val="5CDF1FF9"/>
    <w:multiLevelType w:val="hybridMultilevel"/>
    <w:tmpl w:val="9DDC7C8A"/>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nsid w:val="61D15451"/>
    <w:multiLevelType w:val="hybridMultilevel"/>
    <w:tmpl w:val="E248A6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333646F"/>
    <w:multiLevelType w:val="hybridMultilevel"/>
    <w:tmpl w:val="0E6EF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FA2A74"/>
    <w:multiLevelType w:val="hybridMultilevel"/>
    <w:tmpl w:val="A0903A8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65DE301D"/>
    <w:multiLevelType w:val="hybridMultilevel"/>
    <w:tmpl w:val="0816794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9471146"/>
    <w:multiLevelType w:val="hybridMultilevel"/>
    <w:tmpl w:val="F90E3C5E"/>
    <w:lvl w:ilvl="0" w:tplc="04260005">
      <w:start w:val="1"/>
      <w:numFmt w:val="bullet"/>
      <w:lvlText w:val=""/>
      <w:lvlJc w:val="left"/>
      <w:pPr>
        <w:tabs>
          <w:tab w:val="num" w:pos="1326"/>
        </w:tabs>
        <w:ind w:left="1326" w:hanging="360"/>
      </w:pPr>
      <w:rPr>
        <w:rFonts w:ascii="Wingdings" w:hAnsi="Wingdings" w:hint="default"/>
      </w:rPr>
    </w:lvl>
    <w:lvl w:ilvl="1" w:tplc="04260003" w:tentative="1">
      <w:start w:val="1"/>
      <w:numFmt w:val="bullet"/>
      <w:lvlText w:val="o"/>
      <w:lvlJc w:val="left"/>
      <w:pPr>
        <w:tabs>
          <w:tab w:val="num" w:pos="2046"/>
        </w:tabs>
        <w:ind w:left="2046" w:hanging="360"/>
      </w:pPr>
      <w:rPr>
        <w:rFonts w:ascii="Courier New" w:hAnsi="Courier New" w:cs="Courier New" w:hint="default"/>
      </w:rPr>
    </w:lvl>
    <w:lvl w:ilvl="2" w:tplc="04260005" w:tentative="1">
      <w:start w:val="1"/>
      <w:numFmt w:val="bullet"/>
      <w:lvlText w:val=""/>
      <w:lvlJc w:val="left"/>
      <w:pPr>
        <w:tabs>
          <w:tab w:val="num" w:pos="2766"/>
        </w:tabs>
        <w:ind w:left="2766" w:hanging="360"/>
      </w:pPr>
      <w:rPr>
        <w:rFonts w:ascii="Wingdings" w:hAnsi="Wingdings" w:hint="default"/>
      </w:rPr>
    </w:lvl>
    <w:lvl w:ilvl="3" w:tplc="04260001" w:tentative="1">
      <w:start w:val="1"/>
      <w:numFmt w:val="bullet"/>
      <w:lvlText w:val=""/>
      <w:lvlJc w:val="left"/>
      <w:pPr>
        <w:tabs>
          <w:tab w:val="num" w:pos="3486"/>
        </w:tabs>
        <w:ind w:left="3486" w:hanging="360"/>
      </w:pPr>
      <w:rPr>
        <w:rFonts w:ascii="Symbol" w:hAnsi="Symbol" w:hint="default"/>
      </w:rPr>
    </w:lvl>
    <w:lvl w:ilvl="4" w:tplc="04260003" w:tentative="1">
      <w:start w:val="1"/>
      <w:numFmt w:val="bullet"/>
      <w:lvlText w:val="o"/>
      <w:lvlJc w:val="left"/>
      <w:pPr>
        <w:tabs>
          <w:tab w:val="num" w:pos="4206"/>
        </w:tabs>
        <w:ind w:left="4206" w:hanging="360"/>
      </w:pPr>
      <w:rPr>
        <w:rFonts w:ascii="Courier New" w:hAnsi="Courier New" w:cs="Courier New" w:hint="default"/>
      </w:rPr>
    </w:lvl>
    <w:lvl w:ilvl="5" w:tplc="04260005" w:tentative="1">
      <w:start w:val="1"/>
      <w:numFmt w:val="bullet"/>
      <w:lvlText w:val=""/>
      <w:lvlJc w:val="left"/>
      <w:pPr>
        <w:tabs>
          <w:tab w:val="num" w:pos="4926"/>
        </w:tabs>
        <w:ind w:left="4926" w:hanging="360"/>
      </w:pPr>
      <w:rPr>
        <w:rFonts w:ascii="Wingdings" w:hAnsi="Wingdings" w:hint="default"/>
      </w:rPr>
    </w:lvl>
    <w:lvl w:ilvl="6" w:tplc="04260001" w:tentative="1">
      <w:start w:val="1"/>
      <w:numFmt w:val="bullet"/>
      <w:lvlText w:val=""/>
      <w:lvlJc w:val="left"/>
      <w:pPr>
        <w:tabs>
          <w:tab w:val="num" w:pos="5646"/>
        </w:tabs>
        <w:ind w:left="5646" w:hanging="360"/>
      </w:pPr>
      <w:rPr>
        <w:rFonts w:ascii="Symbol" w:hAnsi="Symbol" w:hint="default"/>
      </w:rPr>
    </w:lvl>
    <w:lvl w:ilvl="7" w:tplc="04260003" w:tentative="1">
      <w:start w:val="1"/>
      <w:numFmt w:val="bullet"/>
      <w:lvlText w:val="o"/>
      <w:lvlJc w:val="left"/>
      <w:pPr>
        <w:tabs>
          <w:tab w:val="num" w:pos="6366"/>
        </w:tabs>
        <w:ind w:left="6366" w:hanging="360"/>
      </w:pPr>
      <w:rPr>
        <w:rFonts w:ascii="Courier New" w:hAnsi="Courier New" w:cs="Courier New" w:hint="default"/>
      </w:rPr>
    </w:lvl>
    <w:lvl w:ilvl="8" w:tplc="04260005" w:tentative="1">
      <w:start w:val="1"/>
      <w:numFmt w:val="bullet"/>
      <w:lvlText w:val=""/>
      <w:lvlJc w:val="left"/>
      <w:pPr>
        <w:tabs>
          <w:tab w:val="num" w:pos="7086"/>
        </w:tabs>
        <w:ind w:left="7086" w:hanging="360"/>
      </w:pPr>
      <w:rPr>
        <w:rFonts w:ascii="Wingdings" w:hAnsi="Wingdings" w:hint="default"/>
      </w:rPr>
    </w:lvl>
  </w:abstractNum>
  <w:abstractNum w:abstractNumId="27">
    <w:nsid w:val="6D7B5DCF"/>
    <w:multiLevelType w:val="hybridMultilevel"/>
    <w:tmpl w:val="19CAB3D6"/>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46312D"/>
    <w:multiLevelType w:val="hybridMultilevel"/>
    <w:tmpl w:val="B5C4A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1613BB"/>
    <w:multiLevelType w:val="hybridMultilevel"/>
    <w:tmpl w:val="3A30AF4C"/>
    <w:lvl w:ilvl="0" w:tplc="1DC42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35712AB"/>
    <w:multiLevelType w:val="hybridMultilevel"/>
    <w:tmpl w:val="9B720132"/>
    <w:lvl w:ilvl="0" w:tplc="3F3C5F92">
      <w:start w:val="1"/>
      <w:numFmt w:val="bullet"/>
      <w:lvlText w:val=""/>
      <w:lvlJc w:val="left"/>
      <w:pPr>
        <w:tabs>
          <w:tab w:val="num" w:pos="720"/>
        </w:tabs>
        <w:ind w:left="720" w:hanging="360"/>
      </w:pPr>
      <w:rPr>
        <w:rFonts w:ascii="Wingdings" w:hAnsi="Wingdings" w:hint="default"/>
      </w:rPr>
    </w:lvl>
    <w:lvl w:ilvl="1" w:tplc="BE50AD0C" w:tentative="1">
      <w:start w:val="1"/>
      <w:numFmt w:val="bullet"/>
      <w:lvlText w:val=""/>
      <w:lvlJc w:val="left"/>
      <w:pPr>
        <w:tabs>
          <w:tab w:val="num" w:pos="1440"/>
        </w:tabs>
        <w:ind w:left="1440" w:hanging="360"/>
      </w:pPr>
      <w:rPr>
        <w:rFonts w:ascii="Wingdings" w:hAnsi="Wingdings" w:hint="default"/>
      </w:rPr>
    </w:lvl>
    <w:lvl w:ilvl="2" w:tplc="251E6F3C" w:tentative="1">
      <w:start w:val="1"/>
      <w:numFmt w:val="bullet"/>
      <w:lvlText w:val=""/>
      <w:lvlJc w:val="left"/>
      <w:pPr>
        <w:tabs>
          <w:tab w:val="num" w:pos="2160"/>
        </w:tabs>
        <w:ind w:left="2160" w:hanging="360"/>
      </w:pPr>
      <w:rPr>
        <w:rFonts w:ascii="Wingdings" w:hAnsi="Wingdings" w:hint="default"/>
      </w:rPr>
    </w:lvl>
    <w:lvl w:ilvl="3" w:tplc="F2CCFB82" w:tentative="1">
      <w:start w:val="1"/>
      <w:numFmt w:val="bullet"/>
      <w:lvlText w:val=""/>
      <w:lvlJc w:val="left"/>
      <w:pPr>
        <w:tabs>
          <w:tab w:val="num" w:pos="2880"/>
        </w:tabs>
        <w:ind w:left="2880" w:hanging="360"/>
      </w:pPr>
      <w:rPr>
        <w:rFonts w:ascii="Wingdings" w:hAnsi="Wingdings" w:hint="default"/>
      </w:rPr>
    </w:lvl>
    <w:lvl w:ilvl="4" w:tplc="3612A508" w:tentative="1">
      <w:start w:val="1"/>
      <w:numFmt w:val="bullet"/>
      <w:lvlText w:val=""/>
      <w:lvlJc w:val="left"/>
      <w:pPr>
        <w:tabs>
          <w:tab w:val="num" w:pos="3600"/>
        </w:tabs>
        <w:ind w:left="3600" w:hanging="360"/>
      </w:pPr>
      <w:rPr>
        <w:rFonts w:ascii="Wingdings" w:hAnsi="Wingdings" w:hint="default"/>
      </w:rPr>
    </w:lvl>
    <w:lvl w:ilvl="5" w:tplc="D71C03E8" w:tentative="1">
      <w:start w:val="1"/>
      <w:numFmt w:val="bullet"/>
      <w:lvlText w:val=""/>
      <w:lvlJc w:val="left"/>
      <w:pPr>
        <w:tabs>
          <w:tab w:val="num" w:pos="4320"/>
        </w:tabs>
        <w:ind w:left="4320" w:hanging="360"/>
      </w:pPr>
      <w:rPr>
        <w:rFonts w:ascii="Wingdings" w:hAnsi="Wingdings" w:hint="default"/>
      </w:rPr>
    </w:lvl>
    <w:lvl w:ilvl="6" w:tplc="5CA6DB2A" w:tentative="1">
      <w:start w:val="1"/>
      <w:numFmt w:val="bullet"/>
      <w:lvlText w:val=""/>
      <w:lvlJc w:val="left"/>
      <w:pPr>
        <w:tabs>
          <w:tab w:val="num" w:pos="5040"/>
        </w:tabs>
        <w:ind w:left="5040" w:hanging="360"/>
      </w:pPr>
      <w:rPr>
        <w:rFonts w:ascii="Wingdings" w:hAnsi="Wingdings" w:hint="default"/>
      </w:rPr>
    </w:lvl>
    <w:lvl w:ilvl="7" w:tplc="8D3225C8" w:tentative="1">
      <w:start w:val="1"/>
      <w:numFmt w:val="bullet"/>
      <w:lvlText w:val=""/>
      <w:lvlJc w:val="left"/>
      <w:pPr>
        <w:tabs>
          <w:tab w:val="num" w:pos="5760"/>
        </w:tabs>
        <w:ind w:left="5760" w:hanging="360"/>
      </w:pPr>
      <w:rPr>
        <w:rFonts w:ascii="Wingdings" w:hAnsi="Wingdings" w:hint="default"/>
      </w:rPr>
    </w:lvl>
    <w:lvl w:ilvl="8" w:tplc="B5D89052" w:tentative="1">
      <w:start w:val="1"/>
      <w:numFmt w:val="bullet"/>
      <w:lvlText w:val=""/>
      <w:lvlJc w:val="left"/>
      <w:pPr>
        <w:tabs>
          <w:tab w:val="num" w:pos="6480"/>
        </w:tabs>
        <w:ind w:left="6480" w:hanging="360"/>
      </w:pPr>
      <w:rPr>
        <w:rFonts w:ascii="Wingdings" w:hAnsi="Wingdings" w:hint="default"/>
      </w:rPr>
    </w:lvl>
  </w:abstractNum>
  <w:abstractNum w:abstractNumId="31">
    <w:nsid w:val="74B81648"/>
    <w:multiLevelType w:val="hybridMultilevel"/>
    <w:tmpl w:val="1AA6D352"/>
    <w:lvl w:ilvl="0" w:tplc="7E66774C">
      <w:start w:val="7"/>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AD33CC2"/>
    <w:multiLevelType w:val="hybridMultilevel"/>
    <w:tmpl w:val="609EF7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1F4A93"/>
    <w:multiLevelType w:val="hybridMultilevel"/>
    <w:tmpl w:val="BB8EEFE4"/>
    <w:lvl w:ilvl="0" w:tplc="95F2C8CC">
      <w:start w:val="1"/>
      <w:numFmt w:val="bullet"/>
      <w:lvlText w:val="-"/>
      <w:lvlJc w:val="left"/>
      <w:pPr>
        <w:ind w:left="720" w:hanging="360"/>
      </w:pPr>
      <w:rPr>
        <w:rFonts w:ascii="Franklin Gothic Book" w:eastAsia="Calibri" w:hAnsi="Franklin Gothic Book"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13"/>
  </w:num>
  <w:num w:numId="5">
    <w:abstractNumId w:val="10"/>
  </w:num>
  <w:num w:numId="6">
    <w:abstractNumId w:val="26"/>
  </w:num>
  <w:num w:numId="7">
    <w:abstractNumId w:val="24"/>
  </w:num>
  <w:num w:numId="8">
    <w:abstractNumId w:val="1"/>
  </w:num>
  <w:num w:numId="9">
    <w:abstractNumId w:val="32"/>
  </w:num>
  <w:num w:numId="10">
    <w:abstractNumId w:val="16"/>
  </w:num>
  <w:num w:numId="11">
    <w:abstractNumId w:val="25"/>
  </w:num>
  <w:num w:numId="12">
    <w:abstractNumId w:val="12"/>
  </w:num>
  <w:num w:numId="13">
    <w:abstractNumId w:val="4"/>
  </w:num>
  <w:num w:numId="14">
    <w:abstractNumId w:val="17"/>
  </w:num>
  <w:num w:numId="15">
    <w:abstractNumId w:val="20"/>
  </w:num>
  <w:num w:numId="16">
    <w:abstractNumId w:val="0"/>
  </w:num>
  <w:num w:numId="17">
    <w:abstractNumId w:val="30"/>
  </w:num>
  <w:num w:numId="18">
    <w:abstractNumId w:val="29"/>
  </w:num>
  <w:num w:numId="19">
    <w:abstractNumId w:val="3"/>
  </w:num>
  <w:num w:numId="20">
    <w:abstractNumId w:val="14"/>
  </w:num>
  <w:num w:numId="21">
    <w:abstractNumId w:val="22"/>
  </w:num>
  <w:num w:numId="22">
    <w:abstractNumId w:val="5"/>
  </w:num>
  <w:num w:numId="23">
    <w:abstractNumId w:val="8"/>
  </w:num>
  <w:num w:numId="24">
    <w:abstractNumId w:val="2"/>
  </w:num>
  <w:num w:numId="25">
    <w:abstractNumId w:val="31"/>
  </w:num>
  <w:num w:numId="26">
    <w:abstractNumId w:val="27"/>
  </w:num>
  <w:num w:numId="27">
    <w:abstractNumId w:val="7"/>
  </w:num>
  <w:num w:numId="28">
    <w:abstractNumId w:val="28"/>
  </w:num>
  <w:num w:numId="29">
    <w:abstractNumId w:val="23"/>
  </w:num>
  <w:num w:numId="30">
    <w:abstractNumId w:val="19"/>
  </w:num>
  <w:num w:numId="31">
    <w:abstractNumId w:val="6"/>
  </w:num>
  <w:num w:numId="32">
    <w:abstractNumId w:val="18"/>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99"/>
    <w:rsid w:val="00000992"/>
    <w:rsid w:val="000015A5"/>
    <w:rsid w:val="0000173A"/>
    <w:rsid w:val="00001B19"/>
    <w:rsid w:val="000046AB"/>
    <w:rsid w:val="00005FD7"/>
    <w:rsid w:val="0000754D"/>
    <w:rsid w:val="00010D70"/>
    <w:rsid w:val="00016673"/>
    <w:rsid w:val="00022EAA"/>
    <w:rsid w:val="00035A4C"/>
    <w:rsid w:val="00042A6A"/>
    <w:rsid w:val="00045744"/>
    <w:rsid w:val="00045B64"/>
    <w:rsid w:val="00050F92"/>
    <w:rsid w:val="000523A2"/>
    <w:rsid w:val="0006717C"/>
    <w:rsid w:val="000702BF"/>
    <w:rsid w:val="000707C8"/>
    <w:rsid w:val="00072B20"/>
    <w:rsid w:val="00074DF6"/>
    <w:rsid w:val="00080ED7"/>
    <w:rsid w:val="00086161"/>
    <w:rsid w:val="00086DFD"/>
    <w:rsid w:val="00095B12"/>
    <w:rsid w:val="000A135B"/>
    <w:rsid w:val="000A2B4F"/>
    <w:rsid w:val="000A500C"/>
    <w:rsid w:val="000A58A1"/>
    <w:rsid w:val="000B0D5F"/>
    <w:rsid w:val="000B1934"/>
    <w:rsid w:val="000B2819"/>
    <w:rsid w:val="000B2BF6"/>
    <w:rsid w:val="000B5374"/>
    <w:rsid w:val="000E20F5"/>
    <w:rsid w:val="000E3D7D"/>
    <w:rsid w:val="000F6BF0"/>
    <w:rsid w:val="001076B2"/>
    <w:rsid w:val="001107BB"/>
    <w:rsid w:val="00111209"/>
    <w:rsid w:val="00111E6D"/>
    <w:rsid w:val="0011237E"/>
    <w:rsid w:val="00115942"/>
    <w:rsid w:val="00116A7C"/>
    <w:rsid w:val="00124FF8"/>
    <w:rsid w:val="00135F1A"/>
    <w:rsid w:val="00136DC0"/>
    <w:rsid w:val="00141134"/>
    <w:rsid w:val="00143DBC"/>
    <w:rsid w:val="00152A2B"/>
    <w:rsid w:val="00155F9F"/>
    <w:rsid w:val="00156A40"/>
    <w:rsid w:val="00156BED"/>
    <w:rsid w:val="00161DB9"/>
    <w:rsid w:val="001709C2"/>
    <w:rsid w:val="00170A26"/>
    <w:rsid w:val="001711A3"/>
    <w:rsid w:val="00171754"/>
    <w:rsid w:val="00171A08"/>
    <w:rsid w:val="00173CF8"/>
    <w:rsid w:val="00175A0A"/>
    <w:rsid w:val="0018323D"/>
    <w:rsid w:val="00183C4E"/>
    <w:rsid w:val="00184820"/>
    <w:rsid w:val="001863F6"/>
    <w:rsid w:val="00190BC7"/>
    <w:rsid w:val="00196323"/>
    <w:rsid w:val="00196DFB"/>
    <w:rsid w:val="001A3E54"/>
    <w:rsid w:val="001A49A8"/>
    <w:rsid w:val="001B3CE0"/>
    <w:rsid w:val="001B618A"/>
    <w:rsid w:val="001B7C9C"/>
    <w:rsid w:val="001B7F1D"/>
    <w:rsid w:val="001B7FE4"/>
    <w:rsid w:val="001C0FC0"/>
    <w:rsid w:val="001C17CD"/>
    <w:rsid w:val="001C1EB8"/>
    <w:rsid w:val="001D3B88"/>
    <w:rsid w:val="001D4094"/>
    <w:rsid w:val="001D7B80"/>
    <w:rsid w:val="001E1365"/>
    <w:rsid w:val="001E2AFA"/>
    <w:rsid w:val="001E466B"/>
    <w:rsid w:val="001F09E6"/>
    <w:rsid w:val="001F676A"/>
    <w:rsid w:val="002011A1"/>
    <w:rsid w:val="00203DDB"/>
    <w:rsid w:val="00206A48"/>
    <w:rsid w:val="00206B5F"/>
    <w:rsid w:val="002158AE"/>
    <w:rsid w:val="00220E75"/>
    <w:rsid w:val="0023252D"/>
    <w:rsid w:val="002348D2"/>
    <w:rsid w:val="00237517"/>
    <w:rsid w:val="00237601"/>
    <w:rsid w:val="00245749"/>
    <w:rsid w:val="002510AE"/>
    <w:rsid w:val="0025459C"/>
    <w:rsid w:val="00261FA1"/>
    <w:rsid w:val="00264A56"/>
    <w:rsid w:val="0027346A"/>
    <w:rsid w:val="00274691"/>
    <w:rsid w:val="00277D45"/>
    <w:rsid w:val="002872BF"/>
    <w:rsid w:val="0028792A"/>
    <w:rsid w:val="00294760"/>
    <w:rsid w:val="00294EC7"/>
    <w:rsid w:val="00297E39"/>
    <w:rsid w:val="002A31FD"/>
    <w:rsid w:val="002B0AB4"/>
    <w:rsid w:val="002B5CE7"/>
    <w:rsid w:val="002C649F"/>
    <w:rsid w:val="002D117E"/>
    <w:rsid w:val="002D7DED"/>
    <w:rsid w:val="002E0690"/>
    <w:rsid w:val="002E0A40"/>
    <w:rsid w:val="002E6CC6"/>
    <w:rsid w:val="002F3BA7"/>
    <w:rsid w:val="002F673D"/>
    <w:rsid w:val="003031EB"/>
    <w:rsid w:val="00307EC2"/>
    <w:rsid w:val="0031118C"/>
    <w:rsid w:val="00317F84"/>
    <w:rsid w:val="00320958"/>
    <w:rsid w:val="00324D73"/>
    <w:rsid w:val="0032657F"/>
    <w:rsid w:val="00336F65"/>
    <w:rsid w:val="0034123D"/>
    <w:rsid w:val="00346474"/>
    <w:rsid w:val="00346996"/>
    <w:rsid w:val="003470E5"/>
    <w:rsid w:val="00351547"/>
    <w:rsid w:val="00357745"/>
    <w:rsid w:val="003600A2"/>
    <w:rsid w:val="00361490"/>
    <w:rsid w:val="00362313"/>
    <w:rsid w:val="00362468"/>
    <w:rsid w:val="00364598"/>
    <w:rsid w:val="003705A1"/>
    <w:rsid w:val="0037389F"/>
    <w:rsid w:val="00376550"/>
    <w:rsid w:val="00381532"/>
    <w:rsid w:val="00382116"/>
    <w:rsid w:val="003905F3"/>
    <w:rsid w:val="00396D38"/>
    <w:rsid w:val="003A3379"/>
    <w:rsid w:val="003A529B"/>
    <w:rsid w:val="003A69CC"/>
    <w:rsid w:val="003A7111"/>
    <w:rsid w:val="003A7F55"/>
    <w:rsid w:val="003B3497"/>
    <w:rsid w:val="003B6F28"/>
    <w:rsid w:val="003B76CA"/>
    <w:rsid w:val="003C0722"/>
    <w:rsid w:val="003C09CD"/>
    <w:rsid w:val="003C0E96"/>
    <w:rsid w:val="003C301B"/>
    <w:rsid w:val="003C34CC"/>
    <w:rsid w:val="003D1011"/>
    <w:rsid w:val="003D1388"/>
    <w:rsid w:val="003D1A72"/>
    <w:rsid w:val="003D22DC"/>
    <w:rsid w:val="003D2936"/>
    <w:rsid w:val="003D4A16"/>
    <w:rsid w:val="003D4D04"/>
    <w:rsid w:val="003D6C32"/>
    <w:rsid w:val="003E3405"/>
    <w:rsid w:val="003E58C9"/>
    <w:rsid w:val="003E6394"/>
    <w:rsid w:val="003E7918"/>
    <w:rsid w:val="003E7B14"/>
    <w:rsid w:val="003F1394"/>
    <w:rsid w:val="003F1A14"/>
    <w:rsid w:val="003F2756"/>
    <w:rsid w:val="003F44DB"/>
    <w:rsid w:val="003F63FD"/>
    <w:rsid w:val="004002F8"/>
    <w:rsid w:val="00411092"/>
    <w:rsid w:val="0041110C"/>
    <w:rsid w:val="00412E8C"/>
    <w:rsid w:val="00416EF0"/>
    <w:rsid w:val="00426537"/>
    <w:rsid w:val="0043015E"/>
    <w:rsid w:val="0043276C"/>
    <w:rsid w:val="00436A46"/>
    <w:rsid w:val="00437940"/>
    <w:rsid w:val="00437DC5"/>
    <w:rsid w:val="00441794"/>
    <w:rsid w:val="004417F5"/>
    <w:rsid w:val="00445EC3"/>
    <w:rsid w:val="00446F68"/>
    <w:rsid w:val="004545C5"/>
    <w:rsid w:val="00454C05"/>
    <w:rsid w:val="00460368"/>
    <w:rsid w:val="00462847"/>
    <w:rsid w:val="00465BA6"/>
    <w:rsid w:val="00467615"/>
    <w:rsid w:val="004705B0"/>
    <w:rsid w:val="00470DB3"/>
    <w:rsid w:val="004731BA"/>
    <w:rsid w:val="004748D2"/>
    <w:rsid w:val="00477937"/>
    <w:rsid w:val="004811ED"/>
    <w:rsid w:val="00484276"/>
    <w:rsid w:val="00493E4A"/>
    <w:rsid w:val="004946FD"/>
    <w:rsid w:val="004964AF"/>
    <w:rsid w:val="004A2262"/>
    <w:rsid w:val="004A2B90"/>
    <w:rsid w:val="004A527B"/>
    <w:rsid w:val="004C06B8"/>
    <w:rsid w:val="004C100D"/>
    <w:rsid w:val="004C1C9B"/>
    <w:rsid w:val="004C7506"/>
    <w:rsid w:val="004D38F1"/>
    <w:rsid w:val="004D3BE6"/>
    <w:rsid w:val="004D49BF"/>
    <w:rsid w:val="004D565A"/>
    <w:rsid w:val="004E3827"/>
    <w:rsid w:val="004E3CBE"/>
    <w:rsid w:val="004F1F2A"/>
    <w:rsid w:val="004F2D41"/>
    <w:rsid w:val="004F38DE"/>
    <w:rsid w:val="004F5729"/>
    <w:rsid w:val="004F61B9"/>
    <w:rsid w:val="005042B7"/>
    <w:rsid w:val="0050700E"/>
    <w:rsid w:val="00510B65"/>
    <w:rsid w:val="00514917"/>
    <w:rsid w:val="00515369"/>
    <w:rsid w:val="0052167F"/>
    <w:rsid w:val="005258D9"/>
    <w:rsid w:val="00543AC1"/>
    <w:rsid w:val="00551A11"/>
    <w:rsid w:val="00557585"/>
    <w:rsid w:val="00565779"/>
    <w:rsid w:val="00576396"/>
    <w:rsid w:val="00581656"/>
    <w:rsid w:val="00581D7B"/>
    <w:rsid w:val="0058251D"/>
    <w:rsid w:val="00583229"/>
    <w:rsid w:val="00586697"/>
    <w:rsid w:val="00592DBF"/>
    <w:rsid w:val="00596BB2"/>
    <w:rsid w:val="005A088C"/>
    <w:rsid w:val="005A4889"/>
    <w:rsid w:val="005B2836"/>
    <w:rsid w:val="005B4C0C"/>
    <w:rsid w:val="005B5A1A"/>
    <w:rsid w:val="005B6133"/>
    <w:rsid w:val="005C1704"/>
    <w:rsid w:val="005D3816"/>
    <w:rsid w:val="005D64D6"/>
    <w:rsid w:val="005E0930"/>
    <w:rsid w:val="005E2950"/>
    <w:rsid w:val="005E2CA7"/>
    <w:rsid w:val="005F01EA"/>
    <w:rsid w:val="005F19E7"/>
    <w:rsid w:val="005F35B3"/>
    <w:rsid w:val="005F6835"/>
    <w:rsid w:val="00604008"/>
    <w:rsid w:val="00606FD5"/>
    <w:rsid w:val="006128B3"/>
    <w:rsid w:val="00617F3D"/>
    <w:rsid w:val="00625812"/>
    <w:rsid w:val="0064163B"/>
    <w:rsid w:val="006430D7"/>
    <w:rsid w:val="00645114"/>
    <w:rsid w:val="00645D0F"/>
    <w:rsid w:val="006520CA"/>
    <w:rsid w:val="0065248A"/>
    <w:rsid w:val="00653071"/>
    <w:rsid w:val="00653C15"/>
    <w:rsid w:val="00654DA5"/>
    <w:rsid w:val="0065546E"/>
    <w:rsid w:val="00655DB6"/>
    <w:rsid w:val="00656C09"/>
    <w:rsid w:val="00657CDF"/>
    <w:rsid w:val="006614B9"/>
    <w:rsid w:val="00661F26"/>
    <w:rsid w:val="006625EB"/>
    <w:rsid w:val="006632B2"/>
    <w:rsid w:val="006641E0"/>
    <w:rsid w:val="006645ED"/>
    <w:rsid w:val="0066629C"/>
    <w:rsid w:val="006715B5"/>
    <w:rsid w:val="006833A9"/>
    <w:rsid w:val="006926BE"/>
    <w:rsid w:val="00695A2A"/>
    <w:rsid w:val="006967A3"/>
    <w:rsid w:val="006A0E38"/>
    <w:rsid w:val="006B1187"/>
    <w:rsid w:val="006B4F99"/>
    <w:rsid w:val="006B5FB5"/>
    <w:rsid w:val="006B7384"/>
    <w:rsid w:val="006C0ABD"/>
    <w:rsid w:val="006C503D"/>
    <w:rsid w:val="006C68CD"/>
    <w:rsid w:val="006D1FDD"/>
    <w:rsid w:val="006D4DC3"/>
    <w:rsid w:val="006E2244"/>
    <w:rsid w:val="006E48AB"/>
    <w:rsid w:val="006E5F1B"/>
    <w:rsid w:val="006E7B2F"/>
    <w:rsid w:val="006F03DC"/>
    <w:rsid w:val="006F18CC"/>
    <w:rsid w:val="006F5B8F"/>
    <w:rsid w:val="006F7289"/>
    <w:rsid w:val="00700F28"/>
    <w:rsid w:val="007046CD"/>
    <w:rsid w:val="0071001D"/>
    <w:rsid w:val="007125B8"/>
    <w:rsid w:val="00716DFC"/>
    <w:rsid w:val="007177CB"/>
    <w:rsid w:val="00720780"/>
    <w:rsid w:val="007207E7"/>
    <w:rsid w:val="0072081A"/>
    <w:rsid w:val="0072294C"/>
    <w:rsid w:val="00727132"/>
    <w:rsid w:val="0073474E"/>
    <w:rsid w:val="00746499"/>
    <w:rsid w:val="00750199"/>
    <w:rsid w:val="00750E2E"/>
    <w:rsid w:val="00754923"/>
    <w:rsid w:val="007552AD"/>
    <w:rsid w:val="00756EF3"/>
    <w:rsid w:val="00761D81"/>
    <w:rsid w:val="0076501C"/>
    <w:rsid w:val="00766478"/>
    <w:rsid w:val="007703BC"/>
    <w:rsid w:val="007705D9"/>
    <w:rsid w:val="00771463"/>
    <w:rsid w:val="007724E4"/>
    <w:rsid w:val="007729C0"/>
    <w:rsid w:val="0078384A"/>
    <w:rsid w:val="00790D47"/>
    <w:rsid w:val="00790F42"/>
    <w:rsid w:val="00794C06"/>
    <w:rsid w:val="007A4A3A"/>
    <w:rsid w:val="007B2250"/>
    <w:rsid w:val="007B300A"/>
    <w:rsid w:val="007B6864"/>
    <w:rsid w:val="007B6D54"/>
    <w:rsid w:val="007C5216"/>
    <w:rsid w:val="007D177B"/>
    <w:rsid w:val="007E19D6"/>
    <w:rsid w:val="007E2AE9"/>
    <w:rsid w:val="007E3FE9"/>
    <w:rsid w:val="007E637A"/>
    <w:rsid w:val="007E64A0"/>
    <w:rsid w:val="007E795E"/>
    <w:rsid w:val="007F169D"/>
    <w:rsid w:val="007F1B41"/>
    <w:rsid w:val="007F45E7"/>
    <w:rsid w:val="007F7B10"/>
    <w:rsid w:val="0080189D"/>
    <w:rsid w:val="00802F80"/>
    <w:rsid w:val="008064EC"/>
    <w:rsid w:val="008124E8"/>
    <w:rsid w:val="0081503F"/>
    <w:rsid w:val="008164F2"/>
    <w:rsid w:val="008176C4"/>
    <w:rsid w:val="00823C16"/>
    <w:rsid w:val="008314AD"/>
    <w:rsid w:val="00831A65"/>
    <w:rsid w:val="008453B2"/>
    <w:rsid w:val="00855358"/>
    <w:rsid w:val="008564B2"/>
    <w:rsid w:val="00857092"/>
    <w:rsid w:val="00860BA2"/>
    <w:rsid w:val="00861C1A"/>
    <w:rsid w:val="00862B4D"/>
    <w:rsid w:val="00864B67"/>
    <w:rsid w:val="008659F9"/>
    <w:rsid w:val="00871CF6"/>
    <w:rsid w:val="00872753"/>
    <w:rsid w:val="00872764"/>
    <w:rsid w:val="008740DF"/>
    <w:rsid w:val="00875384"/>
    <w:rsid w:val="008762A4"/>
    <w:rsid w:val="008765FF"/>
    <w:rsid w:val="008823B4"/>
    <w:rsid w:val="008874DD"/>
    <w:rsid w:val="00890223"/>
    <w:rsid w:val="00891DDD"/>
    <w:rsid w:val="00892C27"/>
    <w:rsid w:val="00893D84"/>
    <w:rsid w:val="008A2598"/>
    <w:rsid w:val="008A5291"/>
    <w:rsid w:val="008A78B0"/>
    <w:rsid w:val="008B0921"/>
    <w:rsid w:val="008B7CE1"/>
    <w:rsid w:val="008C264F"/>
    <w:rsid w:val="008C2AD1"/>
    <w:rsid w:val="008C35CE"/>
    <w:rsid w:val="008C5E02"/>
    <w:rsid w:val="008D6330"/>
    <w:rsid w:val="008E0476"/>
    <w:rsid w:val="008E4C36"/>
    <w:rsid w:val="008F1F07"/>
    <w:rsid w:val="00903E13"/>
    <w:rsid w:val="00905094"/>
    <w:rsid w:val="009059DF"/>
    <w:rsid w:val="009169A3"/>
    <w:rsid w:val="00921990"/>
    <w:rsid w:val="00924C02"/>
    <w:rsid w:val="00927337"/>
    <w:rsid w:val="0093678F"/>
    <w:rsid w:val="00937706"/>
    <w:rsid w:val="009406FF"/>
    <w:rsid w:val="00943DB0"/>
    <w:rsid w:val="00950445"/>
    <w:rsid w:val="0095166E"/>
    <w:rsid w:val="009548DC"/>
    <w:rsid w:val="00954AE4"/>
    <w:rsid w:val="009569C2"/>
    <w:rsid w:val="0095755A"/>
    <w:rsid w:val="00957AE8"/>
    <w:rsid w:val="0096220D"/>
    <w:rsid w:val="00970294"/>
    <w:rsid w:val="009723C4"/>
    <w:rsid w:val="009727CD"/>
    <w:rsid w:val="00980739"/>
    <w:rsid w:val="00981223"/>
    <w:rsid w:val="009836E7"/>
    <w:rsid w:val="009852E7"/>
    <w:rsid w:val="00985DEC"/>
    <w:rsid w:val="00987ED3"/>
    <w:rsid w:val="009925CA"/>
    <w:rsid w:val="0099597C"/>
    <w:rsid w:val="009B4595"/>
    <w:rsid w:val="009B7251"/>
    <w:rsid w:val="009B74DD"/>
    <w:rsid w:val="009B7DB9"/>
    <w:rsid w:val="009C2A28"/>
    <w:rsid w:val="009C5029"/>
    <w:rsid w:val="009C7CC0"/>
    <w:rsid w:val="009F6CCB"/>
    <w:rsid w:val="00A0099B"/>
    <w:rsid w:val="00A0346F"/>
    <w:rsid w:val="00A13FB7"/>
    <w:rsid w:val="00A14C99"/>
    <w:rsid w:val="00A2247E"/>
    <w:rsid w:val="00A2552F"/>
    <w:rsid w:val="00A2580E"/>
    <w:rsid w:val="00A26269"/>
    <w:rsid w:val="00A278FC"/>
    <w:rsid w:val="00A32C33"/>
    <w:rsid w:val="00A4120F"/>
    <w:rsid w:val="00A44CC0"/>
    <w:rsid w:val="00A45A3E"/>
    <w:rsid w:val="00A47FBC"/>
    <w:rsid w:val="00A53C49"/>
    <w:rsid w:val="00A66201"/>
    <w:rsid w:val="00A66F37"/>
    <w:rsid w:val="00A73F92"/>
    <w:rsid w:val="00A763D9"/>
    <w:rsid w:val="00A7658B"/>
    <w:rsid w:val="00A845A8"/>
    <w:rsid w:val="00A85447"/>
    <w:rsid w:val="00A86850"/>
    <w:rsid w:val="00A9222B"/>
    <w:rsid w:val="00A95F7C"/>
    <w:rsid w:val="00A962BF"/>
    <w:rsid w:val="00AB7680"/>
    <w:rsid w:val="00AC0690"/>
    <w:rsid w:val="00AD2FC3"/>
    <w:rsid w:val="00AD3D6F"/>
    <w:rsid w:val="00AD7CE9"/>
    <w:rsid w:val="00AE510D"/>
    <w:rsid w:val="00AF177F"/>
    <w:rsid w:val="00B01C32"/>
    <w:rsid w:val="00B14334"/>
    <w:rsid w:val="00B15273"/>
    <w:rsid w:val="00B209DC"/>
    <w:rsid w:val="00B23C7D"/>
    <w:rsid w:val="00B244D4"/>
    <w:rsid w:val="00B27DCC"/>
    <w:rsid w:val="00B315FD"/>
    <w:rsid w:val="00B33978"/>
    <w:rsid w:val="00B34501"/>
    <w:rsid w:val="00B3755B"/>
    <w:rsid w:val="00B40521"/>
    <w:rsid w:val="00B4105A"/>
    <w:rsid w:val="00B51CDB"/>
    <w:rsid w:val="00B61828"/>
    <w:rsid w:val="00B6547E"/>
    <w:rsid w:val="00B71A30"/>
    <w:rsid w:val="00B71F97"/>
    <w:rsid w:val="00B75301"/>
    <w:rsid w:val="00B76E71"/>
    <w:rsid w:val="00B77AC4"/>
    <w:rsid w:val="00B77E11"/>
    <w:rsid w:val="00B827FB"/>
    <w:rsid w:val="00B8407A"/>
    <w:rsid w:val="00B94551"/>
    <w:rsid w:val="00B94769"/>
    <w:rsid w:val="00B96541"/>
    <w:rsid w:val="00BA21EB"/>
    <w:rsid w:val="00BB1CE7"/>
    <w:rsid w:val="00BB2C06"/>
    <w:rsid w:val="00BB579B"/>
    <w:rsid w:val="00BB65AB"/>
    <w:rsid w:val="00BB7550"/>
    <w:rsid w:val="00BC15A2"/>
    <w:rsid w:val="00BC1A63"/>
    <w:rsid w:val="00BC6CB1"/>
    <w:rsid w:val="00BC73C4"/>
    <w:rsid w:val="00BD10D7"/>
    <w:rsid w:val="00BD1376"/>
    <w:rsid w:val="00BD3A51"/>
    <w:rsid w:val="00BE090A"/>
    <w:rsid w:val="00BE41B3"/>
    <w:rsid w:val="00BE7732"/>
    <w:rsid w:val="00BF25C0"/>
    <w:rsid w:val="00BF5D2E"/>
    <w:rsid w:val="00BF740A"/>
    <w:rsid w:val="00C000CF"/>
    <w:rsid w:val="00C04C2E"/>
    <w:rsid w:val="00C103F7"/>
    <w:rsid w:val="00C1788D"/>
    <w:rsid w:val="00C22160"/>
    <w:rsid w:val="00C2252A"/>
    <w:rsid w:val="00C23EA4"/>
    <w:rsid w:val="00C3074D"/>
    <w:rsid w:val="00C32EC5"/>
    <w:rsid w:val="00C331A5"/>
    <w:rsid w:val="00C33E99"/>
    <w:rsid w:val="00C40EEB"/>
    <w:rsid w:val="00C4394F"/>
    <w:rsid w:val="00C43C6F"/>
    <w:rsid w:val="00C4440E"/>
    <w:rsid w:val="00C4741B"/>
    <w:rsid w:val="00C505F5"/>
    <w:rsid w:val="00C51067"/>
    <w:rsid w:val="00C56B6E"/>
    <w:rsid w:val="00C63A16"/>
    <w:rsid w:val="00C656E7"/>
    <w:rsid w:val="00C65C41"/>
    <w:rsid w:val="00C74B04"/>
    <w:rsid w:val="00C826BC"/>
    <w:rsid w:val="00C856F3"/>
    <w:rsid w:val="00C90FD1"/>
    <w:rsid w:val="00C91C7B"/>
    <w:rsid w:val="00C92A6F"/>
    <w:rsid w:val="00C92A89"/>
    <w:rsid w:val="00CA19B4"/>
    <w:rsid w:val="00CA7595"/>
    <w:rsid w:val="00CB2A0F"/>
    <w:rsid w:val="00CB66C8"/>
    <w:rsid w:val="00CC6D1B"/>
    <w:rsid w:val="00CD1518"/>
    <w:rsid w:val="00CD4175"/>
    <w:rsid w:val="00CE5CD1"/>
    <w:rsid w:val="00CE767D"/>
    <w:rsid w:val="00CF0272"/>
    <w:rsid w:val="00CF7404"/>
    <w:rsid w:val="00D0586B"/>
    <w:rsid w:val="00D05FA1"/>
    <w:rsid w:val="00D1034F"/>
    <w:rsid w:val="00D10D4D"/>
    <w:rsid w:val="00D217DD"/>
    <w:rsid w:val="00D2188E"/>
    <w:rsid w:val="00D25D2D"/>
    <w:rsid w:val="00D35C4C"/>
    <w:rsid w:val="00D433A7"/>
    <w:rsid w:val="00D45099"/>
    <w:rsid w:val="00D45638"/>
    <w:rsid w:val="00D519CF"/>
    <w:rsid w:val="00D563E9"/>
    <w:rsid w:val="00D57E10"/>
    <w:rsid w:val="00D620F0"/>
    <w:rsid w:val="00D63945"/>
    <w:rsid w:val="00D70343"/>
    <w:rsid w:val="00D72ADB"/>
    <w:rsid w:val="00D72F8B"/>
    <w:rsid w:val="00D8026E"/>
    <w:rsid w:val="00D82684"/>
    <w:rsid w:val="00D8565D"/>
    <w:rsid w:val="00D8642C"/>
    <w:rsid w:val="00D9468C"/>
    <w:rsid w:val="00D96EF9"/>
    <w:rsid w:val="00DA0BE9"/>
    <w:rsid w:val="00DA5306"/>
    <w:rsid w:val="00DB038D"/>
    <w:rsid w:val="00DC367B"/>
    <w:rsid w:val="00DC414D"/>
    <w:rsid w:val="00DD29A4"/>
    <w:rsid w:val="00DD40B1"/>
    <w:rsid w:val="00DD4D5E"/>
    <w:rsid w:val="00DD7B9D"/>
    <w:rsid w:val="00DE0A82"/>
    <w:rsid w:val="00DE467B"/>
    <w:rsid w:val="00DF094C"/>
    <w:rsid w:val="00DF64F4"/>
    <w:rsid w:val="00DF6C3B"/>
    <w:rsid w:val="00DF7E15"/>
    <w:rsid w:val="00E046F1"/>
    <w:rsid w:val="00E06569"/>
    <w:rsid w:val="00E07B51"/>
    <w:rsid w:val="00E13A91"/>
    <w:rsid w:val="00E17ACB"/>
    <w:rsid w:val="00E2479F"/>
    <w:rsid w:val="00E25743"/>
    <w:rsid w:val="00E36174"/>
    <w:rsid w:val="00E36E23"/>
    <w:rsid w:val="00E4168E"/>
    <w:rsid w:val="00E45D07"/>
    <w:rsid w:val="00E535A7"/>
    <w:rsid w:val="00E54F69"/>
    <w:rsid w:val="00E61ACA"/>
    <w:rsid w:val="00E72D24"/>
    <w:rsid w:val="00E75E1A"/>
    <w:rsid w:val="00E8461C"/>
    <w:rsid w:val="00E84BAE"/>
    <w:rsid w:val="00E8541C"/>
    <w:rsid w:val="00E95C2F"/>
    <w:rsid w:val="00EA1D63"/>
    <w:rsid w:val="00EA209D"/>
    <w:rsid w:val="00EA20C6"/>
    <w:rsid w:val="00EA2446"/>
    <w:rsid w:val="00EA3C33"/>
    <w:rsid w:val="00EA473F"/>
    <w:rsid w:val="00EA478B"/>
    <w:rsid w:val="00EA7489"/>
    <w:rsid w:val="00EC0105"/>
    <w:rsid w:val="00EC0B49"/>
    <w:rsid w:val="00EC79AB"/>
    <w:rsid w:val="00ED157B"/>
    <w:rsid w:val="00ED6778"/>
    <w:rsid w:val="00EE7651"/>
    <w:rsid w:val="00EF0A71"/>
    <w:rsid w:val="00EF5E4E"/>
    <w:rsid w:val="00EF5E72"/>
    <w:rsid w:val="00F024BD"/>
    <w:rsid w:val="00F14AF8"/>
    <w:rsid w:val="00F16B10"/>
    <w:rsid w:val="00F21638"/>
    <w:rsid w:val="00F26DE4"/>
    <w:rsid w:val="00F26E9B"/>
    <w:rsid w:val="00F27315"/>
    <w:rsid w:val="00F27FFB"/>
    <w:rsid w:val="00F31C30"/>
    <w:rsid w:val="00F3462D"/>
    <w:rsid w:val="00F34929"/>
    <w:rsid w:val="00F3545A"/>
    <w:rsid w:val="00F445DF"/>
    <w:rsid w:val="00F4693B"/>
    <w:rsid w:val="00F46F0B"/>
    <w:rsid w:val="00F54551"/>
    <w:rsid w:val="00F54CB5"/>
    <w:rsid w:val="00F54F08"/>
    <w:rsid w:val="00F54F30"/>
    <w:rsid w:val="00F5790A"/>
    <w:rsid w:val="00F60DB2"/>
    <w:rsid w:val="00F73652"/>
    <w:rsid w:val="00F76EB2"/>
    <w:rsid w:val="00F8028B"/>
    <w:rsid w:val="00F83A3B"/>
    <w:rsid w:val="00F977D5"/>
    <w:rsid w:val="00FA29A9"/>
    <w:rsid w:val="00FA40C4"/>
    <w:rsid w:val="00FA6C09"/>
    <w:rsid w:val="00FB48E6"/>
    <w:rsid w:val="00FC10DF"/>
    <w:rsid w:val="00FC1F7A"/>
    <w:rsid w:val="00FD0736"/>
    <w:rsid w:val="00FD2A7E"/>
    <w:rsid w:val="00FD3713"/>
    <w:rsid w:val="00FD671F"/>
    <w:rsid w:val="00FE1613"/>
    <w:rsid w:val="00FE73BC"/>
    <w:rsid w:val="00FF2DC5"/>
    <w:rsid w:val="00FF35C7"/>
    <w:rsid w:val="00FF42EC"/>
    <w:rsid w:val="00FF4A3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51"/>
    <w:pPr>
      <w:spacing w:after="200" w:line="276" w:lineRule="auto"/>
    </w:pPr>
    <w:rPr>
      <w:sz w:val="22"/>
      <w:szCs w:val="22"/>
      <w:lang w:eastAsia="en-US"/>
    </w:rPr>
  </w:style>
  <w:style w:type="paragraph" w:styleId="Heading1">
    <w:name w:val="heading 1"/>
    <w:basedOn w:val="Normal"/>
    <w:next w:val="Normal"/>
    <w:link w:val="Heading1Char"/>
    <w:uiPriority w:val="9"/>
    <w:qFormat/>
    <w:rsid w:val="003C0E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C0E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qFormat/>
    <w:rsid w:val="003031E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4F99"/>
    <w:pPr>
      <w:spacing w:after="0" w:line="240" w:lineRule="auto"/>
      <w:ind w:left="720"/>
    </w:pPr>
    <w:rPr>
      <w:lang w:eastAsia="lv-LV"/>
    </w:rPr>
  </w:style>
  <w:style w:type="character" w:customStyle="1" w:styleId="Heading3Char">
    <w:name w:val="Heading 3 Char"/>
    <w:link w:val="Heading3"/>
    <w:rsid w:val="003031EB"/>
    <w:rPr>
      <w:rFonts w:ascii="Times New Roman" w:eastAsia="Times New Roman" w:hAnsi="Times New Roman" w:cs="Times New Roman"/>
      <w:b/>
      <w:bCs/>
      <w:sz w:val="27"/>
      <w:szCs w:val="27"/>
      <w:lang w:eastAsia="lv-LV"/>
    </w:rPr>
  </w:style>
  <w:style w:type="paragraph" w:styleId="BodyTextIndent2">
    <w:name w:val="Body Text Indent 2"/>
    <w:basedOn w:val="Normal"/>
    <w:link w:val="BodyTextIndent2Char"/>
    <w:rsid w:val="003031EB"/>
    <w:pPr>
      <w:spacing w:after="0" w:line="240" w:lineRule="auto"/>
      <w:ind w:firstLine="720"/>
      <w:jc w:val="both"/>
    </w:pPr>
    <w:rPr>
      <w:rFonts w:ascii="Times New Roman" w:eastAsia="Times New Roman" w:hAnsi="Times New Roman"/>
      <w:sz w:val="24"/>
      <w:szCs w:val="20"/>
    </w:rPr>
  </w:style>
  <w:style w:type="character" w:customStyle="1" w:styleId="BodyTextIndent2Char">
    <w:name w:val="Body Text Indent 2 Char"/>
    <w:link w:val="BodyTextIndent2"/>
    <w:rsid w:val="003031EB"/>
    <w:rPr>
      <w:rFonts w:ascii="Times New Roman" w:eastAsia="Times New Roman" w:hAnsi="Times New Roman" w:cs="Times New Roman"/>
      <w:sz w:val="24"/>
      <w:szCs w:val="20"/>
    </w:rPr>
  </w:style>
  <w:style w:type="paragraph" w:customStyle="1" w:styleId="naisf">
    <w:name w:val="naisf"/>
    <w:basedOn w:val="Normal"/>
    <w:rsid w:val="003031E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NormalWeb">
    <w:name w:val="Normal (Web)"/>
    <w:basedOn w:val="Normal"/>
    <w:uiPriority w:val="99"/>
    <w:rsid w:val="003031EB"/>
    <w:pPr>
      <w:spacing w:before="100" w:beforeAutospacing="1" w:after="100" w:afterAutospacing="1" w:line="240" w:lineRule="auto"/>
    </w:pPr>
    <w:rPr>
      <w:rFonts w:ascii="Tahoma" w:eastAsia="Times New Roman" w:hAnsi="Tahoma" w:cs="Tahoma"/>
      <w:sz w:val="18"/>
      <w:szCs w:val="18"/>
      <w:lang w:eastAsia="lv-LV"/>
    </w:rPr>
  </w:style>
  <w:style w:type="character" w:styleId="FootnoteReference">
    <w:name w:val="footnote reference"/>
    <w:uiPriority w:val="99"/>
    <w:rsid w:val="003031EB"/>
    <w:rPr>
      <w:vertAlign w:val="superscript"/>
    </w:rPr>
  </w:style>
  <w:style w:type="table" w:styleId="TableGrid">
    <w:name w:val="Table Grid"/>
    <w:basedOn w:val="TableNormal"/>
    <w:uiPriority w:val="59"/>
    <w:rsid w:val="00303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58A1"/>
    <w:pPr>
      <w:spacing w:after="0" w:line="240" w:lineRule="auto"/>
    </w:pPr>
    <w:rPr>
      <w:sz w:val="20"/>
      <w:szCs w:val="20"/>
    </w:rPr>
  </w:style>
  <w:style w:type="character" w:customStyle="1" w:styleId="FootnoteTextChar">
    <w:name w:val="Footnote Text Char"/>
    <w:link w:val="FootnoteText"/>
    <w:uiPriority w:val="99"/>
    <w:rsid w:val="000A58A1"/>
    <w:rPr>
      <w:sz w:val="20"/>
      <w:szCs w:val="20"/>
    </w:rPr>
  </w:style>
  <w:style w:type="character" w:customStyle="1" w:styleId="Heading1Char">
    <w:name w:val="Heading 1 Char"/>
    <w:link w:val="Heading1"/>
    <w:uiPriority w:val="9"/>
    <w:rsid w:val="003C0E96"/>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3C0E96"/>
    <w:pPr>
      <w:outlineLvl w:val="9"/>
    </w:pPr>
    <w:rPr>
      <w:lang w:val="en-US"/>
    </w:rPr>
  </w:style>
  <w:style w:type="paragraph" w:styleId="BalloonText">
    <w:name w:val="Balloon Text"/>
    <w:basedOn w:val="Normal"/>
    <w:link w:val="BalloonTextChar"/>
    <w:uiPriority w:val="99"/>
    <w:semiHidden/>
    <w:unhideWhenUsed/>
    <w:rsid w:val="003C0E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0E96"/>
    <w:rPr>
      <w:rFonts w:ascii="Tahoma" w:hAnsi="Tahoma" w:cs="Tahoma"/>
      <w:sz w:val="16"/>
      <w:szCs w:val="16"/>
    </w:rPr>
  </w:style>
  <w:style w:type="character" w:customStyle="1" w:styleId="Heading2Char">
    <w:name w:val="Heading 2 Char"/>
    <w:link w:val="Heading2"/>
    <w:uiPriority w:val="9"/>
    <w:rsid w:val="003C0E96"/>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8740DF"/>
    <w:pPr>
      <w:tabs>
        <w:tab w:val="right" w:leader="dot" w:pos="9016"/>
      </w:tabs>
      <w:spacing w:after="100"/>
    </w:pPr>
    <w:rPr>
      <w:rFonts w:ascii="Franklin Gothic Book" w:hAnsi="Franklin Gothic Book"/>
      <w:noProof/>
      <w:sz w:val="24"/>
      <w:szCs w:val="24"/>
    </w:rPr>
  </w:style>
  <w:style w:type="paragraph" w:styleId="TOC2">
    <w:name w:val="toc 2"/>
    <w:basedOn w:val="Normal"/>
    <w:next w:val="Normal"/>
    <w:autoRedefine/>
    <w:uiPriority w:val="39"/>
    <w:unhideWhenUsed/>
    <w:rsid w:val="00B15273"/>
    <w:pPr>
      <w:tabs>
        <w:tab w:val="right" w:leader="dot" w:pos="9061"/>
      </w:tabs>
      <w:spacing w:after="100"/>
      <w:ind w:left="220"/>
    </w:pPr>
  </w:style>
  <w:style w:type="character" w:styleId="Hyperlink">
    <w:name w:val="Hyperlink"/>
    <w:uiPriority w:val="99"/>
    <w:unhideWhenUsed/>
    <w:rsid w:val="003C0E96"/>
    <w:rPr>
      <w:color w:val="0000FF"/>
      <w:u w:val="single"/>
    </w:rPr>
  </w:style>
  <w:style w:type="character" w:styleId="Strong">
    <w:name w:val="Strong"/>
    <w:uiPriority w:val="22"/>
    <w:qFormat/>
    <w:rsid w:val="00C2252A"/>
    <w:rPr>
      <w:b/>
      <w:bCs/>
    </w:rPr>
  </w:style>
  <w:style w:type="character" w:customStyle="1" w:styleId="hps">
    <w:name w:val="hps"/>
    <w:basedOn w:val="DefaultParagraphFont"/>
    <w:rsid w:val="00C2252A"/>
  </w:style>
  <w:style w:type="character" w:customStyle="1" w:styleId="shorttext">
    <w:name w:val="short_text"/>
    <w:basedOn w:val="DefaultParagraphFont"/>
    <w:rsid w:val="00C2252A"/>
  </w:style>
  <w:style w:type="paragraph" w:customStyle="1" w:styleId="CM4">
    <w:name w:val="CM4"/>
    <w:basedOn w:val="Normal"/>
    <w:next w:val="Normal"/>
    <w:uiPriority w:val="99"/>
    <w:rsid w:val="00C2252A"/>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171A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1A08"/>
  </w:style>
  <w:style w:type="paragraph" w:styleId="Footer">
    <w:name w:val="footer"/>
    <w:basedOn w:val="Normal"/>
    <w:link w:val="FooterChar"/>
    <w:uiPriority w:val="99"/>
    <w:unhideWhenUsed/>
    <w:rsid w:val="00171A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1A08"/>
  </w:style>
  <w:style w:type="character" w:styleId="PageNumber">
    <w:name w:val="page number"/>
    <w:basedOn w:val="DefaultParagraphFont"/>
    <w:rsid w:val="00171A08"/>
  </w:style>
  <w:style w:type="paragraph" w:customStyle="1" w:styleId="Default">
    <w:name w:val="Default"/>
    <w:rsid w:val="00645114"/>
    <w:pPr>
      <w:autoSpaceDE w:val="0"/>
      <w:autoSpaceDN w:val="0"/>
      <w:adjustRightInd w:val="0"/>
    </w:pPr>
    <w:rPr>
      <w:rFonts w:ascii="Times New Roman" w:hAnsi="Times New Roman"/>
      <w:color w:val="000000"/>
      <w:sz w:val="24"/>
      <w:szCs w:val="24"/>
      <w:lang w:eastAsia="en-US"/>
    </w:rPr>
  </w:style>
  <w:style w:type="paragraph" w:styleId="BodyTextIndent3">
    <w:name w:val="Body Text Indent 3"/>
    <w:basedOn w:val="Normal"/>
    <w:link w:val="BodyTextIndent3Char"/>
    <w:uiPriority w:val="99"/>
    <w:unhideWhenUsed/>
    <w:rsid w:val="000015A5"/>
    <w:pPr>
      <w:spacing w:after="120"/>
      <w:ind w:left="283"/>
    </w:pPr>
    <w:rPr>
      <w:sz w:val="16"/>
      <w:szCs w:val="16"/>
    </w:rPr>
  </w:style>
  <w:style w:type="character" w:customStyle="1" w:styleId="BodyTextIndent3Char">
    <w:name w:val="Body Text Indent 3 Char"/>
    <w:link w:val="BodyTextIndent3"/>
    <w:uiPriority w:val="99"/>
    <w:rsid w:val="000015A5"/>
    <w:rPr>
      <w:sz w:val="16"/>
      <w:szCs w:val="16"/>
    </w:rPr>
  </w:style>
  <w:style w:type="table" w:styleId="MediumList1-Accent3">
    <w:name w:val="Medium List 1 Accent 3"/>
    <w:basedOn w:val="TableNormal"/>
    <w:uiPriority w:val="65"/>
    <w:rsid w:val="000015A5"/>
    <w:rPr>
      <w:rFonts w:ascii="Times New Roman" w:hAnsi="Times New Roman"/>
      <w:color w:val="000000"/>
      <w:sz w:val="28"/>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paraststeksts">
    <w:name w:val="&gt;parasts teksts"/>
    <w:rsid w:val="003D2936"/>
    <w:pPr>
      <w:spacing w:line="400" w:lineRule="exact"/>
      <w:ind w:firstLine="567"/>
      <w:jc w:val="both"/>
    </w:pPr>
    <w:rPr>
      <w:rFonts w:ascii="Times New Roman" w:eastAsia="Times New Roman" w:hAnsi="Times New Roman"/>
      <w:color w:val="000000"/>
      <w:sz w:val="28"/>
    </w:rPr>
  </w:style>
  <w:style w:type="character" w:styleId="FollowedHyperlink">
    <w:name w:val="FollowedHyperlink"/>
    <w:uiPriority w:val="99"/>
    <w:semiHidden/>
    <w:unhideWhenUsed/>
    <w:rsid w:val="00EC79AB"/>
    <w:rPr>
      <w:color w:val="800080"/>
      <w:u w:val="single"/>
    </w:rPr>
  </w:style>
  <w:style w:type="paragraph" w:styleId="BodyText2">
    <w:name w:val="Body Text 2"/>
    <w:basedOn w:val="Normal"/>
    <w:link w:val="BodyText2Char"/>
    <w:uiPriority w:val="99"/>
    <w:semiHidden/>
    <w:unhideWhenUsed/>
    <w:rsid w:val="00C51067"/>
    <w:pPr>
      <w:spacing w:after="120" w:line="480" w:lineRule="auto"/>
    </w:pPr>
  </w:style>
  <w:style w:type="character" w:customStyle="1" w:styleId="BodyText2Char">
    <w:name w:val="Body Text 2 Char"/>
    <w:basedOn w:val="DefaultParagraphFont"/>
    <w:link w:val="BodyText2"/>
    <w:uiPriority w:val="99"/>
    <w:semiHidden/>
    <w:rsid w:val="00C51067"/>
  </w:style>
  <w:style w:type="character" w:styleId="CommentReference">
    <w:name w:val="annotation reference"/>
    <w:uiPriority w:val="99"/>
    <w:semiHidden/>
    <w:unhideWhenUsed/>
    <w:rsid w:val="002A31FD"/>
    <w:rPr>
      <w:sz w:val="18"/>
      <w:szCs w:val="18"/>
    </w:rPr>
  </w:style>
  <w:style w:type="paragraph" w:styleId="CommentText">
    <w:name w:val="annotation text"/>
    <w:basedOn w:val="Normal"/>
    <w:link w:val="CommentTextChar"/>
    <w:uiPriority w:val="99"/>
    <w:unhideWhenUsed/>
    <w:rsid w:val="002A31FD"/>
    <w:pPr>
      <w:spacing w:line="240" w:lineRule="auto"/>
    </w:pPr>
    <w:rPr>
      <w:sz w:val="24"/>
      <w:szCs w:val="24"/>
    </w:rPr>
  </w:style>
  <w:style w:type="character" w:customStyle="1" w:styleId="CommentTextChar">
    <w:name w:val="Comment Text Char"/>
    <w:link w:val="CommentText"/>
    <w:uiPriority w:val="99"/>
    <w:rsid w:val="002A31FD"/>
    <w:rPr>
      <w:sz w:val="24"/>
      <w:szCs w:val="24"/>
    </w:rPr>
  </w:style>
  <w:style w:type="paragraph" w:styleId="CommentSubject">
    <w:name w:val="annotation subject"/>
    <w:basedOn w:val="CommentText"/>
    <w:next w:val="CommentText"/>
    <w:link w:val="CommentSubjectChar"/>
    <w:uiPriority w:val="99"/>
    <w:semiHidden/>
    <w:unhideWhenUsed/>
    <w:rsid w:val="002A31FD"/>
    <w:rPr>
      <w:b/>
      <w:bCs/>
      <w:sz w:val="20"/>
      <w:szCs w:val="20"/>
    </w:rPr>
  </w:style>
  <w:style w:type="character" w:customStyle="1" w:styleId="CommentSubjectChar">
    <w:name w:val="Comment Subject Char"/>
    <w:link w:val="CommentSubject"/>
    <w:uiPriority w:val="99"/>
    <w:semiHidden/>
    <w:rsid w:val="002A31FD"/>
    <w:rPr>
      <w:b/>
      <w:bCs/>
      <w:sz w:val="20"/>
      <w:szCs w:val="20"/>
    </w:rPr>
  </w:style>
  <w:style w:type="paragraph" w:customStyle="1" w:styleId="tv2131">
    <w:name w:val="tv2131"/>
    <w:basedOn w:val="Normal"/>
    <w:rsid w:val="004A2262"/>
    <w:pPr>
      <w:spacing w:before="240" w:after="0" w:line="360" w:lineRule="auto"/>
      <w:ind w:firstLine="230"/>
      <w:jc w:val="both"/>
    </w:pPr>
    <w:rPr>
      <w:rFonts w:ascii="Verdana" w:eastAsia="Times New Roman" w:hAnsi="Verdana"/>
      <w:sz w:val="14"/>
      <w:szCs w:val="14"/>
      <w:lang w:eastAsia="lv-LV"/>
    </w:rPr>
  </w:style>
  <w:style w:type="paragraph" w:styleId="Revision">
    <w:name w:val="Revision"/>
    <w:hidden/>
    <w:uiPriority w:val="99"/>
    <w:semiHidden/>
    <w:rsid w:val="00AD2FC3"/>
    <w:rPr>
      <w:sz w:val="22"/>
      <w:szCs w:val="22"/>
      <w:lang w:eastAsia="en-US"/>
    </w:rPr>
  </w:style>
  <w:style w:type="paragraph" w:styleId="TOC3">
    <w:name w:val="toc 3"/>
    <w:basedOn w:val="Normal"/>
    <w:next w:val="Normal"/>
    <w:autoRedefine/>
    <w:uiPriority w:val="39"/>
    <w:unhideWhenUsed/>
    <w:rsid w:val="004D49BF"/>
    <w:pPr>
      <w:spacing w:after="100"/>
      <w:ind w:left="440"/>
    </w:pPr>
  </w:style>
  <w:style w:type="character" w:styleId="Emphasis">
    <w:name w:val="Emphasis"/>
    <w:uiPriority w:val="20"/>
    <w:qFormat/>
    <w:rsid w:val="006E5F1B"/>
    <w:rPr>
      <w:b/>
      <w:bCs/>
      <w:i w:val="0"/>
      <w:iCs w:val="0"/>
    </w:rPr>
  </w:style>
  <w:style w:type="character" w:customStyle="1" w:styleId="st">
    <w:name w:val="st"/>
    <w:basedOn w:val="DefaultParagraphFont"/>
    <w:rsid w:val="006E7B2F"/>
  </w:style>
  <w:style w:type="paragraph" w:customStyle="1" w:styleId="tabula">
    <w:name w:val="tabula"/>
    <w:basedOn w:val="Normal"/>
    <w:rsid w:val="00183C4E"/>
    <w:pPr>
      <w:tabs>
        <w:tab w:val="left" w:pos="5954"/>
      </w:tabs>
      <w:autoSpaceDN w:val="0"/>
      <w:spacing w:after="0" w:line="240" w:lineRule="auto"/>
    </w:pPr>
    <w:rPr>
      <w:rFonts w:ascii="Arial" w:eastAsia="Times New Roman" w:hAnsi="Arial"/>
      <w:sz w:val="20"/>
      <w:szCs w:val="20"/>
      <w:lang w:eastAsia="lv-LV"/>
    </w:rPr>
  </w:style>
  <w:style w:type="paragraph" w:customStyle="1" w:styleId="NormalLatvian">
    <w:name w:val="Normal – Latvian"/>
    <w:basedOn w:val="Normal"/>
    <w:rsid w:val="009C7CC0"/>
    <w:pPr>
      <w:tabs>
        <w:tab w:val="left" w:pos="1829"/>
      </w:tabs>
      <w:spacing w:after="120" w:line="240" w:lineRule="auto"/>
      <w:jc w:val="both"/>
    </w:pPr>
    <w:rPr>
      <w:rFonts w:ascii="Times New Roman" w:eastAsia="Times New Roman" w:hAnsi="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51"/>
    <w:pPr>
      <w:spacing w:after="200" w:line="276" w:lineRule="auto"/>
    </w:pPr>
    <w:rPr>
      <w:sz w:val="22"/>
      <w:szCs w:val="22"/>
      <w:lang w:eastAsia="en-US"/>
    </w:rPr>
  </w:style>
  <w:style w:type="paragraph" w:styleId="Heading1">
    <w:name w:val="heading 1"/>
    <w:basedOn w:val="Normal"/>
    <w:next w:val="Normal"/>
    <w:link w:val="Heading1Char"/>
    <w:uiPriority w:val="9"/>
    <w:qFormat/>
    <w:rsid w:val="003C0E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C0E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qFormat/>
    <w:rsid w:val="003031E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4F99"/>
    <w:pPr>
      <w:spacing w:after="0" w:line="240" w:lineRule="auto"/>
      <w:ind w:left="720"/>
    </w:pPr>
    <w:rPr>
      <w:lang w:eastAsia="lv-LV"/>
    </w:rPr>
  </w:style>
  <w:style w:type="character" w:customStyle="1" w:styleId="Heading3Char">
    <w:name w:val="Heading 3 Char"/>
    <w:link w:val="Heading3"/>
    <w:rsid w:val="003031EB"/>
    <w:rPr>
      <w:rFonts w:ascii="Times New Roman" w:eastAsia="Times New Roman" w:hAnsi="Times New Roman" w:cs="Times New Roman"/>
      <w:b/>
      <w:bCs/>
      <w:sz w:val="27"/>
      <w:szCs w:val="27"/>
      <w:lang w:eastAsia="lv-LV"/>
    </w:rPr>
  </w:style>
  <w:style w:type="paragraph" w:styleId="BodyTextIndent2">
    <w:name w:val="Body Text Indent 2"/>
    <w:basedOn w:val="Normal"/>
    <w:link w:val="BodyTextIndent2Char"/>
    <w:rsid w:val="003031EB"/>
    <w:pPr>
      <w:spacing w:after="0" w:line="240" w:lineRule="auto"/>
      <w:ind w:firstLine="720"/>
      <w:jc w:val="both"/>
    </w:pPr>
    <w:rPr>
      <w:rFonts w:ascii="Times New Roman" w:eastAsia="Times New Roman" w:hAnsi="Times New Roman"/>
      <w:sz w:val="24"/>
      <w:szCs w:val="20"/>
    </w:rPr>
  </w:style>
  <w:style w:type="character" w:customStyle="1" w:styleId="BodyTextIndent2Char">
    <w:name w:val="Body Text Indent 2 Char"/>
    <w:link w:val="BodyTextIndent2"/>
    <w:rsid w:val="003031EB"/>
    <w:rPr>
      <w:rFonts w:ascii="Times New Roman" w:eastAsia="Times New Roman" w:hAnsi="Times New Roman" w:cs="Times New Roman"/>
      <w:sz w:val="24"/>
      <w:szCs w:val="20"/>
    </w:rPr>
  </w:style>
  <w:style w:type="paragraph" w:customStyle="1" w:styleId="naisf">
    <w:name w:val="naisf"/>
    <w:basedOn w:val="Normal"/>
    <w:rsid w:val="003031E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NormalWeb">
    <w:name w:val="Normal (Web)"/>
    <w:basedOn w:val="Normal"/>
    <w:uiPriority w:val="99"/>
    <w:rsid w:val="003031EB"/>
    <w:pPr>
      <w:spacing w:before="100" w:beforeAutospacing="1" w:after="100" w:afterAutospacing="1" w:line="240" w:lineRule="auto"/>
    </w:pPr>
    <w:rPr>
      <w:rFonts w:ascii="Tahoma" w:eastAsia="Times New Roman" w:hAnsi="Tahoma" w:cs="Tahoma"/>
      <w:sz w:val="18"/>
      <w:szCs w:val="18"/>
      <w:lang w:eastAsia="lv-LV"/>
    </w:rPr>
  </w:style>
  <w:style w:type="character" w:styleId="FootnoteReference">
    <w:name w:val="footnote reference"/>
    <w:uiPriority w:val="99"/>
    <w:rsid w:val="003031EB"/>
    <w:rPr>
      <w:vertAlign w:val="superscript"/>
    </w:rPr>
  </w:style>
  <w:style w:type="table" w:styleId="TableGrid">
    <w:name w:val="Table Grid"/>
    <w:basedOn w:val="TableNormal"/>
    <w:uiPriority w:val="59"/>
    <w:rsid w:val="00303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58A1"/>
    <w:pPr>
      <w:spacing w:after="0" w:line="240" w:lineRule="auto"/>
    </w:pPr>
    <w:rPr>
      <w:sz w:val="20"/>
      <w:szCs w:val="20"/>
    </w:rPr>
  </w:style>
  <w:style w:type="character" w:customStyle="1" w:styleId="FootnoteTextChar">
    <w:name w:val="Footnote Text Char"/>
    <w:link w:val="FootnoteText"/>
    <w:uiPriority w:val="99"/>
    <w:rsid w:val="000A58A1"/>
    <w:rPr>
      <w:sz w:val="20"/>
      <w:szCs w:val="20"/>
    </w:rPr>
  </w:style>
  <w:style w:type="character" w:customStyle="1" w:styleId="Heading1Char">
    <w:name w:val="Heading 1 Char"/>
    <w:link w:val="Heading1"/>
    <w:uiPriority w:val="9"/>
    <w:rsid w:val="003C0E96"/>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3C0E96"/>
    <w:pPr>
      <w:outlineLvl w:val="9"/>
    </w:pPr>
    <w:rPr>
      <w:lang w:val="en-US"/>
    </w:rPr>
  </w:style>
  <w:style w:type="paragraph" w:styleId="BalloonText">
    <w:name w:val="Balloon Text"/>
    <w:basedOn w:val="Normal"/>
    <w:link w:val="BalloonTextChar"/>
    <w:uiPriority w:val="99"/>
    <w:semiHidden/>
    <w:unhideWhenUsed/>
    <w:rsid w:val="003C0E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0E96"/>
    <w:rPr>
      <w:rFonts w:ascii="Tahoma" w:hAnsi="Tahoma" w:cs="Tahoma"/>
      <w:sz w:val="16"/>
      <w:szCs w:val="16"/>
    </w:rPr>
  </w:style>
  <w:style w:type="character" w:customStyle="1" w:styleId="Heading2Char">
    <w:name w:val="Heading 2 Char"/>
    <w:link w:val="Heading2"/>
    <w:uiPriority w:val="9"/>
    <w:rsid w:val="003C0E96"/>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8740DF"/>
    <w:pPr>
      <w:tabs>
        <w:tab w:val="right" w:leader="dot" w:pos="9016"/>
      </w:tabs>
      <w:spacing w:after="100"/>
    </w:pPr>
    <w:rPr>
      <w:rFonts w:ascii="Franklin Gothic Book" w:hAnsi="Franklin Gothic Book"/>
      <w:noProof/>
      <w:sz w:val="24"/>
      <w:szCs w:val="24"/>
    </w:rPr>
  </w:style>
  <w:style w:type="paragraph" w:styleId="TOC2">
    <w:name w:val="toc 2"/>
    <w:basedOn w:val="Normal"/>
    <w:next w:val="Normal"/>
    <w:autoRedefine/>
    <w:uiPriority w:val="39"/>
    <w:unhideWhenUsed/>
    <w:rsid w:val="00B15273"/>
    <w:pPr>
      <w:tabs>
        <w:tab w:val="right" w:leader="dot" w:pos="9061"/>
      </w:tabs>
      <w:spacing w:after="100"/>
      <w:ind w:left="220"/>
    </w:pPr>
  </w:style>
  <w:style w:type="character" w:styleId="Hyperlink">
    <w:name w:val="Hyperlink"/>
    <w:uiPriority w:val="99"/>
    <w:unhideWhenUsed/>
    <w:rsid w:val="003C0E96"/>
    <w:rPr>
      <w:color w:val="0000FF"/>
      <w:u w:val="single"/>
    </w:rPr>
  </w:style>
  <w:style w:type="character" w:styleId="Strong">
    <w:name w:val="Strong"/>
    <w:uiPriority w:val="22"/>
    <w:qFormat/>
    <w:rsid w:val="00C2252A"/>
    <w:rPr>
      <w:b/>
      <w:bCs/>
    </w:rPr>
  </w:style>
  <w:style w:type="character" w:customStyle="1" w:styleId="hps">
    <w:name w:val="hps"/>
    <w:basedOn w:val="DefaultParagraphFont"/>
    <w:rsid w:val="00C2252A"/>
  </w:style>
  <w:style w:type="character" w:customStyle="1" w:styleId="shorttext">
    <w:name w:val="short_text"/>
    <w:basedOn w:val="DefaultParagraphFont"/>
    <w:rsid w:val="00C2252A"/>
  </w:style>
  <w:style w:type="paragraph" w:customStyle="1" w:styleId="CM4">
    <w:name w:val="CM4"/>
    <w:basedOn w:val="Normal"/>
    <w:next w:val="Normal"/>
    <w:uiPriority w:val="99"/>
    <w:rsid w:val="00C2252A"/>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171A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1A08"/>
  </w:style>
  <w:style w:type="paragraph" w:styleId="Footer">
    <w:name w:val="footer"/>
    <w:basedOn w:val="Normal"/>
    <w:link w:val="FooterChar"/>
    <w:uiPriority w:val="99"/>
    <w:unhideWhenUsed/>
    <w:rsid w:val="00171A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1A08"/>
  </w:style>
  <w:style w:type="character" w:styleId="PageNumber">
    <w:name w:val="page number"/>
    <w:basedOn w:val="DefaultParagraphFont"/>
    <w:rsid w:val="00171A08"/>
  </w:style>
  <w:style w:type="paragraph" w:customStyle="1" w:styleId="Default">
    <w:name w:val="Default"/>
    <w:rsid w:val="00645114"/>
    <w:pPr>
      <w:autoSpaceDE w:val="0"/>
      <w:autoSpaceDN w:val="0"/>
      <w:adjustRightInd w:val="0"/>
    </w:pPr>
    <w:rPr>
      <w:rFonts w:ascii="Times New Roman" w:hAnsi="Times New Roman"/>
      <w:color w:val="000000"/>
      <w:sz w:val="24"/>
      <w:szCs w:val="24"/>
      <w:lang w:eastAsia="en-US"/>
    </w:rPr>
  </w:style>
  <w:style w:type="paragraph" w:styleId="BodyTextIndent3">
    <w:name w:val="Body Text Indent 3"/>
    <w:basedOn w:val="Normal"/>
    <w:link w:val="BodyTextIndent3Char"/>
    <w:uiPriority w:val="99"/>
    <w:unhideWhenUsed/>
    <w:rsid w:val="000015A5"/>
    <w:pPr>
      <w:spacing w:after="120"/>
      <w:ind w:left="283"/>
    </w:pPr>
    <w:rPr>
      <w:sz w:val="16"/>
      <w:szCs w:val="16"/>
    </w:rPr>
  </w:style>
  <w:style w:type="character" w:customStyle="1" w:styleId="BodyTextIndent3Char">
    <w:name w:val="Body Text Indent 3 Char"/>
    <w:link w:val="BodyTextIndent3"/>
    <w:uiPriority w:val="99"/>
    <w:rsid w:val="000015A5"/>
    <w:rPr>
      <w:sz w:val="16"/>
      <w:szCs w:val="16"/>
    </w:rPr>
  </w:style>
  <w:style w:type="table" w:styleId="MediumList1-Accent3">
    <w:name w:val="Medium List 1 Accent 3"/>
    <w:basedOn w:val="TableNormal"/>
    <w:uiPriority w:val="65"/>
    <w:rsid w:val="000015A5"/>
    <w:rPr>
      <w:rFonts w:ascii="Times New Roman" w:hAnsi="Times New Roman"/>
      <w:color w:val="000000"/>
      <w:sz w:val="28"/>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paraststeksts">
    <w:name w:val="&gt;parasts teksts"/>
    <w:rsid w:val="003D2936"/>
    <w:pPr>
      <w:spacing w:line="400" w:lineRule="exact"/>
      <w:ind w:firstLine="567"/>
      <w:jc w:val="both"/>
    </w:pPr>
    <w:rPr>
      <w:rFonts w:ascii="Times New Roman" w:eastAsia="Times New Roman" w:hAnsi="Times New Roman"/>
      <w:color w:val="000000"/>
      <w:sz w:val="28"/>
    </w:rPr>
  </w:style>
  <w:style w:type="character" w:styleId="FollowedHyperlink">
    <w:name w:val="FollowedHyperlink"/>
    <w:uiPriority w:val="99"/>
    <w:semiHidden/>
    <w:unhideWhenUsed/>
    <w:rsid w:val="00EC79AB"/>
    <w:rPr>
      <w:color w:val="800080"/>
      <w:u w:val="single"/>
    </w:rPr>
  </w:style>
  <w:style w:type="paragraph" w:styleId="BodyText2">
    <w:name w:val="Body Text 2"/>
    <w:basedOn w:val="Normal"/>
    <w:link w:val="BodyText2Char"/>
    <w:uiPriority w:val="99"/>
    <w:semiHidden/>
    <w:unhideWhenUsed/>
    <w:rsid w:val="00C51067"/>
    <w:pPr>
      <w:spacing w:after="120" w:line="480" w:lineRule="auto"/>
    </w:pPr>
  </w:style>
  <w:style w:type="character" w:customStyle="1" w:styleId="BodyText2Char">
    <w:name w:val="Body Text 2 Char"/>
    <w:basedOn w:val="DefaultParagraphFont"/>
    <w:link w:val="BodyText2"/>
    <w:uiPriority w:val="99"/>
    <w:semiHidden/>
    <w:rsid w:val="00C51067"/>
  </w:style>
  <w:style w:type="character" w:styleId="CommentReference">
    <w:name w:val="annotation reference"/>
    <w:uiPriority w:val="99"/>
    <w:semiHidden/>
    <w:unhideWhenUsed/>
    <w:rsid w:val="002A31FD"/>
    <w:rPr>
      <w:sz w:val="18"/>
      <w:szCs w:val="18"/>
    </w:rPr>
  </w:style>
  <w:style w:type="paragraph" w:styleId="CommentText">
    <w:name w:val="annotation text"/>
    <w:basedOn w:val="Normal"/>
    <w:link w:val="CommentTextChar"/>
    <w:uiPriority w:val="99"/>
    <w:unhideWhenUsed/>
    <w:rsid w:val="002A31FD"/>
    <w:pPr>
      <w:spacing w:line="240" w:lineRule="auto"/>
    </w:pPr>
    <w:rPr>
      <w:sz w:val="24"/>
      <w:szCs w:val="24"/>
    </w:rPr>
  </w:style>
  <w:style w:type="character" w:customStyle="1" w:styleId="CommentTextChar">
    <w:name w:val="Comment Text Char"/>
    <w:link w:val="CommentText"/>
    <w:uiPriority w:val="99"/>
    <w:rsid w:val="002A31FD"/>
    <w:rPr>
      <w:sz w:val="24"/>
      <w:szCs w:val="24"/>
    </w:rPr>
  </w:style>
  <w:style w:type="paragraph" w:styleId="CommentSubject">
    <w:name w:val="annotation subject"/>
    <w:basedOn w:val="CommentText"/>
    <w:next w:val="CommentText"/>
    <w:link w:val="CommentSubjectChar"/>
    <w:uiPriority w:val="99"/>
    <w:semiHidden/>
    <w:unhideWhenUsed/>
    <w:rsid w:val="002A31FD"/>
    <w:rPr>
      <w:b/>
      <w:bCs/>
      <w:sz w:val="20"/>
      <w:szCs w:val="20"/>
    </w:rPr>
  </w:style>
  <w:style w:type="character" w:customStyle="1" w:styleId="CommentSubjectChar">
    <w:name w:val="Comment Subject Char"/>
    <w:link w:val="CommentSubject"/>
    <w:uiPriority w:val="99"/>
    <w:semiHidden/>
    <w:rsid w:val="002A31FD"/>
    <w:rPr>
      <w:b/>
      <w:bCs/>
      <w:sz w:val="20"/>
      <w:szCs w:val="20"/>
    </w:rPr>
  </w:style>
  <w:style w:type="paragraph" w:customStyle="1" w:styleId="tv2131">
    <w:name w:val="tv2131"/>
    <w:basedOn w:val="Normal"/>
    <w:rsid w:val="004A2262"/>
    <w:pPr>
      <w:spacing w:before="240" w:after="0" w:line="360" w:lineRule="auto"/>
      <w:ind w:firstLine="230"/>
      <w:jc w:val="both"/>
    </w:pPr>
    <w:rPr>
      <w:rFonts w:ascii="Verdana" w:eastAsia="Times New Roman" w:hAnsi="Verdana"/>
      <w:sz w:val="14"/>
      <w:szCs w:val="14"/>
      <w:lang w:eastAsia="lv-LV"/>
    </w:rPr>
  </w:style>
  <w:style w:type="paragraph" w:styleId="Revision">
    <w:name w:val="Revision"/>
    <w:hidden/>
    <w:uiPriority w:val="99"/>
    <w:semiHidden/>
    <w:rsid w:val="00AD2FC3"/>
    <w:rPr>
      <w:sz w:val="22"/>
      <w:szCs w:val="22"/>
      <w:lang w:eastAsia="en-US"/>
    </w:rPr>
  </w:style>
  <w:style w:type="paragraph" w:styleId="TOC3">
    <w:name w:val="toc 3"/>
    <w:basedOn w:val="Normal"/>
    <w:next w:val="Normal"/>
    <w:autoRedefine/>
    <w:uiPriority w:val="39"/>
    <w:unhideWhenUsed/>
    <w:rsid w:val="004D49BF"/>
    <w:pPr>
      <w:spacing w:after="100"/>
      <w:ind w:left="440"/>
    </w:pPr>
  </w:style>
  <w:style w:type="character" w:styleId="Emphasis">
    <w:name w:val="Emphasis"/>
    <w:uiPriority w:val="20"/>
    <w:qFormat/>
    <w:rsid w:val="006E5F1B"/>
    <w:rPr>
      <w:b/>
      <w:bCs/>
      <w:i w:val="0"/>
      <w:iCs w:val="0"/>
    </w:rPr>
  </w:style>
  <w:style w:type="character" w:customStyle="1" w:styleId="st">
    <w:name w:val="st"/>
    <w:basedOn w:val="DefaultParagraphFont"/>
    <w:rsid w:val="006E7B2F"/>
  </w:style>
  <w:style w:type="paragraph" w:customStyle="1" w:styleId="tabula">
    <w:name w:val="tabula"/>
    <w:basedOn w:val="Normal"/>
    <w:rsid w:val="00183C4E"/>
    <w:pPr>
      <w:tabs>
        <w:tab w:val="left" w:pos="5954"/>
      </w:tabs>
      <w:autoSpaceDN w:val="0"/>
      <w:spacing w:after="0" w:line="240" w:lineRule="auto"/>
    </w:pPr>
    <w:rPr>
      <w:rFonts w:ascii="Arial" w:eastAsia="Times New Roman" w:hAnsi="Arial"/>
      <w:sz w:val="20"/>
      <w:szCs w:val="20"/>
      <w:lang w:eastAsia="lv-LV"/>
    </w:rPr>
  </w:style>
  <w:style w:type="paragraph" w:customStyle="1" w:styleId="NormalLatvian">
    <w:name w:val="Normal – Latvian"/>
    <w:basedOn w:val="Normal"/>
    <w:rsid w:val="009C7CC0"/>
    <w:pPr>
      <w:tabs>
        <w:tab w:val="left" w:pos="1829"/>
      </w:tabs>
      <w:spacing w:after="120" w:line="240" w:lineRule="auto"/>
      <w:jc w:val="both"/>
    </w:pPr>
    <w:rPr>
      <w:rFonts w:ascii="Times New Roman" w:eastAsia="Times New Roman" w:hAnsi="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0529">
      <w:bodyDiv w:val="1"/>
      <w:marLeft w:val="0"/>
      <w:marRight w:val="0"/>
      <w:marTop w:val="0"/>
      <w:marBottom w:val="0"/>
      <w:divBdr>
        <w:top w:val="none" w:sz="0" w:space="0" w:color="auto"/>
        <w:left w:val="none" w:sz="0" w:space="0" w:color="auto"/>
        <w:bottom w:val="none" w:sz="0" w:space="0" w:color="auto"/>
        <w:right w:val="none" w:sz="0" w:space="0" w:color="auto"/>
      </w:divBdr>
    </w:div>
    <w:div w:id="670793130">
      <w:bodyDiv w:val="1"/>
      <w:marLeft w:val="0"/>
      <w:marRight w:val="0"/>
      <w:marTop w:val="0"/>
      <w:marBottom w:val="0"/>
      <w:divBdr>
        <w:top w:val="none" w:sz="0" w:space="0" w:color="auto"/>
        <w:left w:val="none" w:sz="0" w:space="0" w:color="auto"/>
        <w:bottom w:val="none" w:sz="0" w:space="0" w:color="auto"/>
        <w:right w:val="none" w:sz="0" w:space="0" w:color="auto"/>
      </w:divBdr>
    </w:div>
    <w:div w:id="1082794927">
      <w:bodyDiv w:val="1"/>
      <w:marLeft w:val="0"/>
      <w:marRight w:val="0"/>
      <w:marTop w:val="0"/>
      <w:marBottom w:val="0"/>
      <w:divBdr>
        <w:top w:val="none" w:sz="0" w:space="0" w:color="auto"/>
        <w:left w:val="none" w:sz="0" w:space="0" w:color="auto"/>
        <w:bottom w:val="none" w:sz="0" w:space="0" w:color="auto"/>
        <w:right w:val="none" w:sz="0" w:space="0" w:color="auto"/>
      </w:divBdr>
    </w:div>
    <w:div w:id="1341464694">
      <w:bodyDiv w:val="1"/>
      <w:marLeft w:val="0"/>
      <w:marRight w:val="0"/>
      <w:marTop w:val="0"/>
      <w:marBottom w:val="0"/>
      <w:divBdr>
        <w:top w:val="none" w:sz="0" w:space="0" w:color="auto"/>
        <w:left w:val="none" w:sz="0" w:space="0" w:color="auto"/>
        <w:bottom w:val="none" w:sz="0" w:space="0" w:color="auto"/>
        <w:right w:val="none" w:sz="0" w:space="0" w:color="auto"/>
      </w:divBdr>
    </w:div>
    <w:div w:id="1776048142">
      <w:bodyDiv w:val="1"/>
      <w:marLeft w:val="0"/>
      <w:marRight w:val="0"/>
      <w:marTop w:val="0"/>
      <w:marBottom w:val="0"/>
      <w:divBdr>
        <w:top w:val="none" w:sz="0" w:space="0" w:color="auto"/>
        <w:left w:val="none" w:sz="0" w:space="0" w:color="auto"/>
        <w:bottom w:val="none" w:sz="0" w:space="0" w:color="auto"/>
        <w:right w:val="none" w:sz="0" w:space="0" w:color="auto"/>
      </w:divBdr>
    </w:div>
    <w:div w:id="1830173877">
      <w:bodyDiv w:val="1"/>
      <w:marLeft w:val="0"/>
      <w:marRight w:val="0"/>
      <w:marTop w:val="0"/>
      <w:marBottom w:val="0"/>
      <w:divBdr>
        <w:top w:val="none" w:sz="0" w:space="0" w:color="auto"/>
        <w:left w:val="none" w:sz="0" w:space="0" w:color="auto"/>
        <w:bottom w:val="none" w:sz="0" w:space="0" w:color="auto"/>
        <w:right w:val="none" w:sz="0" w:space="0" w:color="auto"/>
      </w:divBdr>
    </w:div>
    <w:div w:id="1937785367">
      <w:bodyDiv w:val="1"/>
      <w:marLeft w:val="0"/>
      <w:marRight w:val="0"/>
      <w:marTop w:val="0"/>
      <w:marBottom w:val="0"/>
      <w:divBdr>
        <w:top w:val="none" w:sz="0" w:space="0" w:color="auto"/>
        <w:left w:val="none" w:sz="0" w:space="0" w:color="auto"/>
        <w:bottom w:val="none" w:sz="0" w:space="0" w:color="auto"/>
        <w:right w:val="none" w:sz="0" w:space="0" w:color="auto"/>
      </w:divBdr>
    </w:div>
    <w:div w:id="19925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masoc.lv/masoc/index.php?option=com_content&amp;view=article&amp;id=152&amp;Itemid=21&amp;lang=1" TargetMode="External"/><Relationship Id="rId2" Type="http://schemas.openxmlformats.org/officeDocument/2006/relationships/hyperlink" Target="http://www.kredex.ee/credit-insurance/" TargetMode="External"/><Relationship Id="rId1" Type="http://schemas.openxmlformats.org/officeDocument/2006/relationships/hyperlink" Target="http://eur-lex.europa.eu/legal-content/LV/TXT/HTML/?uri=CELEX:52012XC1219(01)&amp;from=LV" TargetMode="External"/><Relationship Id="rId4" Type="http://schemas.openxmlformats.org/officeDocument/2006/relationships/hyperlink" Target="http://www.kredex.ee/credit-insuranc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476612244884013E-2"/>
          <c:y val="0"/>
          <c:w val="0.92127074446198898"/>
          <c:h val="0.91134540255259711"/>
        </c:manualLayout>
      </c:layout>
      <c:barChart>
        <c:barDir val="bar"/>
        <c:grouping val="clustered"/>
        <c:varyColors val="0"/>
        <c:ser>
          <c:idx val="0"/>
          <c:order val="0"/>
          <c:tx>
            <c:strRef>
              <c:f>Sheet1!$B$1</c:f>
              <c:strCache>
                <c:ptCount val="1"/>
                <c:pt idx="0">
                  <c:v>2016-2020</c:v>
                </c:pt>
              </c:strCache>
            </c:strRef>
          </c:tx>
          <c:spPr>
            <a:solidFill>
              <a:srgbClr val="F79646">
                <a:lumMod val="60000"/>
                <a:lumOff val="40000"/>
              </a:srgbClr>
            </a:solidFill>
            <a:ln w="3172">
              <a:solidFill>
                <a:srgbClr val="000000"/>
              </a:solidFill>
              <a:prstDash val="solid"/>
            </a:ln>
          </c:spPr>
          <c:invertIfNegative val="0"/>
          <c:dLbls>
            <c:dLbl>
              <c:idx val="4"/>
              <c:numFmt formatCode="#,##0.0" sourceLinked="0"/>
              <c:spPr/>
              <c:txPr>
                <a:bodyPr/>
                <a:lstStyle/>
                <a:p>
                  <a:pPr>
                    <a:defRPr b="0"/>
                  </a:pPr>
                  <a:endParaRPr lang="lv-LV"/>
                </a:p>
              </c:txPr>
              <c:showLegendKey val="0"/>
              <c:showVal val="1"/>
              <c:showCatName val="0"/>
              <c:showSerName val="0"/>
              <c:showPercent val="0"/>
              <c:showBubbleSize val="0"/>
            </c:dLbl>
            <c:dLbl>
              <c:idx val="5"/>
              <c:numFmt formatCode="#,##0.0" sourceLinked="0"/>
              <c:spPr/>
              <c:txPr>
                <a:bodyPr/>
                <a:lstStyle/>
                <a:p>
                  <a:pPr>
                    <a:defRPr b="1"/>
                  </a:pPr>
                  <a:endParaRPr lang="lv-LV"/>
                </a:p>
              </c:txPr>
              <c:showLegendKey val="0"/>
              <c:showVal val="1"/>
              <c:showCatName val="0"/>
              <c:showSerName val="0"/>
              <c:showPercent val="0"/>
              <c:showBubbleSize val="0"/>
            </c:dLbl>
            <c:dLbl>
              <c:idx val="6"/>
              <c:numFmt formatCode="#,##0.0" sourceLinked="0"/>
              <c:spPr/>
              <c:txPr>
                <a:bodyPr/>
                <a:lstStyle/>
                <a:p>
                  <a:pPr>
                    <a:defRPr b="1"/>
                  </a:pPr>
                  <a:endParaRPr lang="lv-LV"/>
                </a:p>
              </c:txPr>
              <c:showLegendKey val="0"/>
              <c:showVal val="1"/>
              <c:showCatName val="0"/>
              <c:showSerName val="0"/>
              <c:showPercent val="0"/>
              <c:showBubbleSize val="0"/>
            </c:dLbl>
            <c:dLbl>
              <c:idx val="7"/>
              <c:layout>
                <c:manualLayout>
                  <c:x val="-1.4234875444840013E-2"/>
                  <c:y val="0"/>
                </c:manualLayout>
              </c:layout>
              <c:numFmt formatCode="#,##0.0" sourceLinked="0"/>
              <c:spPr>
                <a:noFill/>
                <a:ln w="25374">
                  <a:noFill/>
                </a:ln>
              </c:spPr>
              <c:txPr>
                <a:bodyPr/>
                <a:lstStyle/>
                <a:p>
                  <a:pPr>
                    <a:defRPr/>
                  </a:pPr>
                  <a:endParaRPr lang="lv-LV"/>
                </a:p>
              </c:txPr>
              <c:dLblPos val="outEnd"/>
              <c:showLegendKey val="0"/>
              <c:showVal val="1"/>
              <c:showCatName val="0"/>
              <c:showSerName val="0"/>
              <c:showPercent val="0"/>
              <c:showBubbleSize val="0"/>
            </c:dLbl>
            <c:numFmt formatCode="#,##0.0" sourceLinked="0"/>
            <c:spPr>
              <a:noFill/>
              <a:ln w="25374">
                <a:noFill/>
              </a:ln>
            </c:spPr>
            <c:showLegendKey val="0"/>
            <c:showVal val="1"/>
            <c:showCatName val="0"/>
            <c:showSerName val="0"/>
            <c:showPercent val="0"/>
            <c:showBubbleSize val="0"/>
            <c:showLeaderLines val="0"/>
          </c:dLbls>
          <c:cat>
            <c:numRef>
              <c:f>Sheet1!$A$2:$A$10</c:f>
              <c:numCache>
                <c:formatCode>General</c:formatCode>
                <c:ptCount val="9"/>
              </c:numCache>
            </c:numRef>
          </c:cat>
          <c:val>
            <c:numRef>
              <c:f>Sheet1!$B$2:$B$10</c:f>
              <c:numCache>
                <c:formatCode>0.0</c:formatCode>
                <c:ptCount val="9"/>
                <c:pt idx="0">
                  <c:v>-0.80667495514078025</c:v>
                </c:pt>
                <c:pt idx="1">
                  <c:v>0.54155761906086841</c:v>
                </c:pt>
                <c:pt idx="2">
                  <c:v>0.44725710504169847</c:v>
                </c:pt>
                <c:pt idx="3">
                  <c:v>0.55876745210246437</c:v>
                </c:pt>
                <c:pt idx="4">
                  <c:v>0.8272221339256669</c:v>
                </c:pt>
                <c:pt idx="5">
                  <c:v>1.5550709759051218</c:v>
                </c:pt>
                <c:pt idx="6">
                  <c:v>0.69403779441285618</c:v>
                </c:pt>
                <c:pt idx="7">
                  <c:v>-0.58070619822868208</c:v>
                </c:pt>
                <c:pt idx="8">
                  <c:v>0.21753895618310537</c:v>
                </c:pt>
              </c:numCache>
            </c:numRef>
          </c:val>
        </c:ser>
        <c:ser>
          <c:idx val="1"/>
          <c:order val="1"/>
          <c:tx>
            <c:strRef>
              <c:f>Sheet1!$C$1</c:f>
              <c:strCache>
                <c:ptCount val="1"/>
                <c:pt idx="0">
                  <c:v>2013-2015</c:v>
                </c:pt>
              </c:strCache>
            </c:strRef>
          </c:tx>
          <c:spPr>
            <a:solidFill>
              <a:srgbClr val="9BBB59">
                <a:lumMod val="75000"/>
              </a:srgbClr>
            </a:solidFill>
            <a:ln w="3172">
              <a:solidFill>
                <a:sysClr val="windowText" lastClr="000000"/>
              </a:solidFill>
            </a:ln>
          </c:spPr>
          <c:invertIfNegative val="0"/>
          <c:dLbls>
            <c:dLbl>
              <c:idx val="1"/>
              <c:layout>
                <c:manualLayout>
                  <c:x val="-2.8500258726706206E-2"/>
                  <c:y val="0"/>
                </c:manualLayout>
              </c:layout>
              <c:numFmt formatCode="#,##0.0" sourceLinked="0"/>
              <c:spPr>
                <a:noFill/>
                <a:ln w="25374">
                  <a:noFill/>
                </a:ln>
              </c:spPr>
              <c:txPr>
                <a:bodyPr/>
                <a:lstStyle/>
                <a:p>
                  <a:pPr>
                    <a:defRPr/>
                  </a:pPr>
                  <a:endParaRPr lang="lv-LV"/>
                </a:p>
              </c:txPr>
              <c:dLblPos val="outEnd"/>
              <c:showLegendKey val="0"/>
              <c:showVal val="1"/>
              <c:showCatName val="0"/>
              <c:showSerName val="0"/>
              <c:showPercent val="0"/>
              <c:showBubbleSize val="0"/>
            </c:dLbl>
            <c:dLbl>
              <c:idx val="4"/>
              <c:numFmt formatCode="#,##0.0" sourceLinked="0"/>
              <c:spPr/>
              <c:txPr>
                <a:bodyPr/>
                <a:lstStyle/>
                <a:p>
                  <a:pPr>
                    <a:defRPr b="0"/>
                  </a:pPr>
                  <a:endParaRPr lang="lv-LV"/>
                </a:p>
              </c:txPr>
              <c:showLegendKey val="0"/>
              <c:showVal val="1"/>
              <c:showCatName val="0"/>
              <c:showSerName val="0"/>
              <c:showPercent val="0"/>
              <c:showBubbleSize val="0"/>
            </c:dLbl>
            <c:dLbl>
              <c:idx val="5"/>
              <c:layout>
                <c:manualLayout>
                  <c:x val="-1.4271969929460599E-2"/>
                  <c:y val="0"/>
                </c:manualLayout>
              </c:layout>
              <c:numFmt formatCode="#,##0.0" sourceLinked="0"/>
              <c:spPr/>
              <c:txPr>
                <a:bodyPr/>
                <a:lstStyle/>
                <a:p>
                  <a:pPr>
                    <a:defRPr b="1"/>
                  </a:pPr>
                  <a:endParaRPr lang="lv-LV"/>
                </a:p>
              </c:txPr>
              <c:dLblPos val="outEnd"/>
              <c:showLegendKey val="0"/>
              <c:showVal val="1"/>
              <c:showCatName val="0"/>
              <c:showSerName val="0"/>
              <c:showPercent val="0"/>
              <c:showBubbleSize val="0"/>
            </c:dLbl>
            <c:dLbl>
              <c:idx val="6"/>
              <c:numFmt formatCode="#,##0.0" sourceLinked="0"/>
              <c:spPr/>
              <c:txPr>
                <a:bodyPr/>
                <a:lstStyle/>
                <a:p>
                  <a:pPr>
                    <a:defRPr b="1"/>
                  </a:pPr>
                  <a:endParaRPr lang="lv-LV"/>
                </a:p>
              </c:txPr>
              <c:showLegendKey val="0"/>
              <c:showVal val="1"/>
              <c:showCatName val="0"/>
              <c:showSerName val="0"/>
              <c:showPercent val="0"/>
              <c:showBubbleSize val="0"/>
            </c:dLbl>
            <c:dLbl>
              <c:idx val="7"/>
              <c:layout>
                <c:manualLayout>
                  <c:x val="-2.1391371136359211E-2"/>
                  <c:y val="-1.1583097771058605E-17"/>
                </c:manualLayout>
              </c:layout>
              <c:numFmt formatCode="#,##0.0" sourceLinked="0"/>
              <c:spPr>
                <a:noFill/>
                <a:ln w="25374">
                  <a:noFill/>
                </a:ln>
              </c:spPr>
              <c:txPr>
                <a:bodyPr/>
                <a:lstStyle/>
                <a:p>
                  <a:pPr>
                    <a:defRPr/>
                  </a:pPr>
                  <a:endParaRPr lang="lv-LV"/>
                </a:p>
              </c:txPr>
              <c:dLblPos val="outEnd"/>
              <c:showLegendKey val="0"/>
              <c:showVal val="1"/>
              <c:showCatName val="0"/>
              <c:showSerName val="0"/>
              <c:showPercent val="0"/>
              <c:showBubbleSize val="0"/>
            </c:dLbl>
            <c:numFmt formatCode="#,##0.0" sourceLinked="0"/>
            <c:spPr>
              <a:noFill/>
              <a:ln w="25374">
                <a:noFill/>
              </a:ln>
            </c:spPr>
            <c:showLegendKey val="0"/>
            <c:showVal val="1"/>
            <c:showCatName val="0"/>
            <c:showSerName val="0"/>
            <c:showPercent val="0"/>
            <c:showBubbleSize val="0"/>
            <c:showLeaderLines val="0"/>
          </c:dLbls>
          <c:cat>
            <c:numRef>
              <c:f>Sheet1!$A$2:$A$10</c:f>
              <c:numCache>
                <c:formatCode>General</c:formatCode>
                <c:ptCount val="9"/>
              </c:numCache>
            </c:numRef>
          </c:cat>
          <c:val>
            <c:numRef>
              <c:f>Sheet1!$C$2:$C$10</c:f>
              <c:numCache>
                <c:formatCode>0.0</c:formatCode>
                <c:ptCount val="9"/>
                <c:pt idx="0">
                  <c:v>1.1813744900210921</c:v>
                </c:pt>
                <c:pt idx="1">
                  <c:v>2.2417617526238574</c:v>
                </c:pt>
                <c:pt idx="2">
                  <c:v>0.91391245009217281</c:v>
                </c:pt>
                <c:pt idx="3">
                  <c:v>1.0003524681104992</c:v>
                </c:pt>
                <c:pt idx="4">
                  <c:v>2.4493937150557255</c:v>
                </c:pt>
                <c:pt idx="5">
                  <c:v>2.2109710039687869</c:v>
                </c:pt>
                <c:pt idx="6">
                  <c:v>2.7494024975028766</c:v>
                </c:pt>
                <c:pt idx="7">
                  <c:v>-1.1348339675157988</c:v>
                </c:pt>
                <c:pt idx="8">
                  <c:v>1.4696840683259789</c:v>
                </c:pt>
              </c:numCache>
            </c:numRef>
          </c:val>
        </c:ser>
        <c:dLbls>
          <c:showLegendKey val="0"/>
          <c:showVal val="0"/>
          <c:showCatName val="0"/>
          <c:showSerName val="0"/>
          <c:showPercent val="0"/>
          <c:showBubbleSize val="0"/>
        </c:dLbls>
        <c:gapWidth val="40"/>
        <c:axId val="105688064"/>
        <c:axId val="105693952"/>
      </c:barChart>
      <c:catAx>
        <c:axId val="105688064"/>
        <c:scaling>
          <c:orientation val="minMax"/>
        </c:scaling>
        <c:delete val="0"/>
        <c:axPos val="l"/>
        <c:numFmt formatCode="0.0%" sourceLinked="0"/>
        <c:majorTickMark val="out"/>
        <c:minorTickMark val="none"/>
        <c:tickLblPos val="low"/>
        <c:spPr>
          <a:ln w="3172">
            <a:solidFill>
              <a:sysClr val="window" lastClr="FFFFFF">
                <a:lumMod val="50000"/>
              </a:sysClr>
            </a:solidFill>
            <a:prstDash val="solid"/>
          </a:ln>
        </c:spPr>
        <c:txPr>
          <a:bodyPr rot="0" vert="horz"/>
          <a:lstStyle/>
          <a:p>
            <a:pPr algn="just">
              <a:defRPr/>
            </a:pPr>
            <a:endParaRPr lang="lv-LV"/>
          </a:p>
        </c:txPr>
        <c:crossAx val="105693952"/>
        <c:crosses val="autoZero"/>
        <c:auto val="0"/>
        <c:lblAlgn val="ctr"/>
        <c:lblOffset val="0"/>
        <c:tickLblSkip val="1"/>
        <c:tickMarkSkip val="1"/>
        <c:noMultiLvlLbl val="0"/>
      </c:catAx>
      <c:valAx>
        <c:axId val="105693952"/>
        <c:scaling>
          <c:orientation val="minMax"/>
          <c:max val="3"/>
          <c:min val="-2"/>
        </c:scaling>
        <c:delete val="0"/>
        <c:axPos val="b"/>
        <c:numFmt formatCode="0" sourceLinked="0"/>
        <c:majorTickMark val="out"/>
        <c:minorTickMark val="none"/>
        <c:tickLblPos val="nextTo"/>
        <c:spPr>
          <a:ln w="3172">
            <a:solidFill>
              <a:sysClr val="window" lastClr="FFFFFF">
                <a:lumMod val="50000"/>
              </a:sysClr>
            </a:solidFill>
            <a:prstDash val="solid"/>
          </a:ln>
        </c:spPr>
        <c:txPr>
          <a:bodyPr rot="0" vert="horz"/>
          <a:lstStyle/>
          <a:p>
            <a:pPr>
              <a:defRPr/>
            </a:pPr>
            <a:endParaRPr lang="lv-LV"/>
          </a:p>
        </c:txPr>
        <c:crossAx val="105688064"/>
        <c:crosses val="autoZero"/>
        <c:crossBetween val="between"/>
        <c:majorUnit val="1"/>
      </c:valAx>
      <c:spPr>
        <a:noFill/>
        <a:ln w="25400">
          <a:noFill/>
        </a:ln>
      </c:spPr>
    </c:plotArea>
    <c:legend>
      <c:legendPos val="r"/>
      <c:layout>
        <c:manualLayout>
          <c:xMode val="edge"/>
          <c:yMode val="edge"/>
          <c:x val="0.59895827676712832"/>
          <c:y val="6.6091305515944374E-2"/>
          <c:w val="0.39146649772226749"/>
          <c:h val="0.12312893959121253"/>
        </c:manualLayout>
      </c:layout>
      <c:overlay val="0"/>
    </c:legend>
    <c:plotVisOnly val="1"/>
    <c:dispBlanksAs val="gap"/>
    <c:showDLblsOverMax val="0"/>
  </c:chart>
  <c:spPr>
    <a:noFill/>
    <a:ln>
      <a:noFill/>
    </a:ln>
  </c:spPr>
  <c:txPr>
    <a:bodyPr/>
    <a:lstStyle/>
    <a:p>
      <a:pPr>
        <a:defRPr sz="899" b="0" i="0" u="none" strike="noStrike" baseline="0">
          <a:solidFill>
            <a:srgbClr val="000000"/>
          </a:solidFill>
          <a:latin typeface="Franklin Gothic Book" pitchFamily="34" charset="0"/>
          <a:ea typeface="BaltSouvenirLight"/>
          <a:cs typeface="BaltSouvenirLight"/>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34C36-1716-4D2E-9BA7-9EE97C21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5429</Words>
  <Characters>36431</Characters>
  <Application>Microsoft Office Word</Application>
  <DocSecurity>0</DocSecurity>
  <Lines>1103</Lines>
  <Paragraphs>558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41302</CharactersWithSpaces>
  <SharedDoc>false</SharedDoc>
  <HLinks>
    <vt:vector size="168" baseType="variant">
      <vt:variant>
        <vt:i4>1769529</vt:i4>
      </vt:variant>
      <vt:variant>
        <vt:i4>140</vt:i4>
      </vt:variant>
      <vt:variant>
        <vt:i4>0</vt:i4>
      </vt:variant>
      <vt:variant>
        <vt:i4>5</vt:i4>
      </vt:variant>
      <vt:variant>
        <vt:lpwstr/>
      </vt:variant>
      <vt:variant>
        <vt:lpwstr>_Toc388627050</vt:lpwstr>
      </vt:variant>
      <vt:variant>
        <vt:i4>1703993</vt:i4>
      </vt:variant>
      <vt:variant>
        <vt:i4>134</vt:i4>
      </vt:variant>
      <vt:variant>
        <vt:i4>0</vt:i4>
      </vt:variant>
      <vt:variant>
        <vt:i4>5</vt:i4>
      </vt:variant>
      <vt:variant>
        <vt:lpwstr/>
      </vt:variant>
      <vt:variant>
        <vt:lpwstr>_Toc388627049</vt:lpwstr>
      </vt:variant>
      <vt:variant>
        <vt:i4>1703993</vt:i4>
      </vt:variant>
      <vt:variant>
        <vt:i4>128</vt:i4>
      </vt:variant>
      <vt:variant>
        <vt:i4>0</vt:i4>
      </vt:variant>
      <vt:variant>
        <vt:i4>5</vt:i4>
      </vt:variant>
      <vt:variant>
        <vt:lpwstr/>
      </vt:variant>
      <vt:variant>
        <vt:lpwstr>_Toc388627048</vt:lpwstr>
      </vt:variant>
      <vt:variant>
        <vt:i4>1703993</vt:i4>
      </vt:variant>
      <vt:variant>
        <vt:i4>122</vt:i4>
      </vt:variant>
      <vt:variant>
        <vt:i4>0</vt:i4>
      </vt:variant>
      <vt:variant>
        <vt:i4>5</vt:i4>
      </vt:variant>
      <vt:variant>
        <vt:lpwstr/>
      </vt:variant>
      <vt:variant>
        <vt:lpwstr>_Toc388627047</vt:lpwstr>
      </vt:variant>
      <vt:variant>
        <vt:i4>1703993</vt:i4>
      </vt:variant>
      <vt:variant>
        <vt:i4>116</vt:i4>
      </vt:variant>
      <vt:variant>
        <vt:i4>0</vt:i4>
      </vt:variant>
      <vt:variant>
        <vt:i4>5</vt:i4>
      </vt:variant>
      <vt:variant>
        <vt:lpwstr/>
      </vt:variant>
      <vt:variant>
        <vt:lpwstr>_Toc388627046</vt:lpwstr>
      </vt:variant>
      <vt:variant>
        <vt:i4>1703993</vt:i4>
      </vt:variant>
      <vt:variant>
        <vt:i4>110</vt:i4>
      </vt:variant>
      <vt:variant>
        <vt:i4>0</vt:i4>
      </vt:variant>
      <vt:variant>
        <vt:i4>5</vt:i4>
      </vt:variant>
      <vt:variant>
        <vt:lpwstr/>
      </vt:variant>
      <vt:variant>
        <vt:lpwstr>_Toc388627045</vt:lpwstr>
      </vt:variant>
      <vt:variant>
        <vt:i4>1703993</vt:i4>
      </vt:variant>
      <vt:variant>
        <vt:i4>104</vt:i4>
      </vt:variant>
      <vt:variant>
        <vt:i4>0</vt:i4>
      </vt:variant>
      <vt:variant>
        <vt:i4>5</vt:i4>
      </vt:variant>
      <vt:variant>
        <vt:lpwstr/>
      </vt:variant>
      <vt:variant>
        <vt:lpwstr>_Toc388627044</vt:lpwstr>
      </vt:variant>
      <vt:variant>
        <vt:i4>1703993</vt:i4>
      </vt:variant>
      <vt:variant>
        <vt:i4>98</vt:i4>
      </vt:variant>
      <vt:variant>
        <vt:i4>0</vt:i4>
      </vt:variant>
      <vt:variant>
        <vt:i4>5</vt:i4>
      </vt:variant>
      <vt:variant>
        <vt:lpwstr/>
      </vt:variant>
      <vt:variant>
        <vt:lpwstr>_Toc388627043</vt:lpwstr>
      </vt:variant>
      <vt:variant>
        <vt:i4>1703993</vt:i4>
      </vt:variant>
      <vt:variant>
        <vt:i4>92</vt:i4>
      </vt:variant>
      <vt:variant>
        <vt:i4>0</vt:i4>
      </vt:variant>
      <vt:variant>
        <vt:i4>5</vt:i4>
      </vt:variant>
      <vt:variant>
        <vt:lpwstr/>
      </vt:variant>
      <vt:variant>
        <vt:lpwstr>_Toc388627042</vt:lpwstr>
      </vt:variant>
      <vt:variant>
        <vt:i4>1703993</vt:i4>
      </vt:variant>
      <vt:variant>
        <vt:i4>86</vt:i4>
      </vt:variant>
      <vt:variant>
        <vt:i4>0</vt:i4>
      </vt:variant>
      <vt:variant>
        <vt:i4>5</vt:i4>
      </vt:variant>
      <vt:variant>
        <vt:lpwstr/>
      </vt:variant>
      <vt:variant>
        <vt:lpwstr>_Toc388627041</vt:lpwstr>
      </vt:variant>
      <vt:variant>
        <vt:i4>1703993</vt:i4>
      </vt:variant>
      <vt:variant>
        <vt:i4>80</vt:i4>
      </vt:variant>
      <vt:variant>
        <vt:i4>0</vt:i4>
      </vt:variant>
      <vt:variant>
        <vt:i4>5</vt:i4>
      </vt:variant>
      <vt:variant>
        <vt:lpwstr/>
      </vt:variant>
      <vt:variant>
        <vt:lpwstr>_Toc388627040</vt:lpwstr>
      </vt:variant>
      <vt:variant>
        <vt:i4>1900601</vt:i4>
      </vt:variant>
      <vt:variant>
        <vt:i4>74</vt:i4>
      </vt:variant>
      <vt:variant>
        <vt:i4>0</vt:i4>
      </vt:variant>
      <vt:variant>
        <vt:i4>5</vt:i4>
      </vt:variant>
      <vt:variant>
        <vt:lpwstr/>
      </vt:variant>
      <vt:variant>
        <vt:lpwstr>_Toc388627039</vt:lpwstr>
      </vt:variant>
      <vt:variant>
        <vt:i4>1900601</vt:i4>
      </vt:variant>
      <vt:variant>
        <vt:i4>68</vt:i4>
      </vt:variant>
      <vt:variant>
        <vt:i4>0</vt:i4>
      </vt:variant>
      <vt:variant>
        <vt:i4>5</vt:i4>
      </vt:variant>
      <vt:variant>
        <vt:lpwstr/>
      </vt:variant>
      <vt:variant>
        <vt:lpwstr>_Toc388627038</vt:lpwstr>
      </vt:variant>
      <vt:variant>
        <vt:i4>1900601</vt:i4>
      </vt:variant>
      <vt:variant>
        <vt:i4>62</vt:i4>
      </vt:variant>
      <vt:variant>
        <vt:i4>0</vt:i4>
      </vt:variant>
      <vt:variant>
        <vt:i4>5</vt:i4>
      </vt:variant>
      <vt:variant>
        <vt:lpwstr/>
      </vt:variant>
      <vt:variant>
        <vt:lpwstr>_Toc388627037</vt:lpwstr>
      </vt:variant>
      <vt:variant>
        <vt:i4>1900601</vt:i4>
      </vt:variant>
      <vt:variant>
        <vt:i4>56</vt:i4>
      </vt:variant>
      <vt:variant>
        <vt:i4>0</vt:i4>
      </vt:variant>
      <vt:variant>
        <vt:i4>5</vt:i4>
      </vt:variant>
      <vt:variant>
        <vt:lpwstr/>
      </vt:variant>
      <vt:variant>
        <vt:lpwstr>_Toc388627036</vt:lpwstr>
      </vt:variant>
      <vt:variant>
        <vt:i4>1900601</vt:i4>
      </vt:variant>
      <vt:variant>
        <vt:i4>50</vt:i4>
      </vt:variant>
      <vt:variant>
        <vt:i4>0</vt:i4>
      </vt:variant>
      <vt:variant>
        <vt:i4>5</vt:i4>
      </vt:variant>
      <vt:variant>
        <vt:lpwstr/>
      </vt:variant>
      <vt:variant>
        <vt:lpwstr>_Toc388627035</vt:lpwstr>
      </vt:variant>
      <vt:variant>
        <vt:i4>1900601</vt:i4>
      </vt:variant>
      <vt:variant>
        <vt:i4>44</vt:i4>
      </vt:variant>
      <vt:variant>
        <vt:i4>0</vt:i4>
      </vt:variant>
      <vt:variant>
        <vt:i4>5</vt:i4>
      </vt:variant>
      <vt:variant>
        <vt:lpwstr/>
      </vt:variant>
      <vt:variant>
        <vt:lpwstr>_Toc388627034</vt:lpwstr>
      </vt:variant>
      <vt:variant>
        <vt:i4>1900601</vt:i4>
      </vt:variant>
      <vt:variant>
        <vt:i4>38</vt:i4>
      </vt:variant>
      <vt:variant>
        <vt:i4>0</vt:i4>
      </vt:variant>
      <vt:variant>
        <vt:i4>5</vt:i4>
      </vt:variant>
      <vt:variant>
        <vt:lpwstr/>
      </vt:variant>
      <vt:variant>
        <vt:lpwstr>_Toc388627033</vt:lpwstr>
      </vt:variant>
      <vt:variant>
        <vt:i4>1900601</vt:i4>
      </vt:variant>
      <vt:variant>
        <vt:i4>32</vt:i4>
      </vt:variant>
      <vt:variant>
        <vt:i4>0</vt:i4>
      </vt:variant>
      <vt:variant>
        <vt:i4>5</vt:i4>
      </vt:variant>
      <vt:variant>
        <vt:lpwstr/>
      </vt:variant>
      <vt:variant>
        <vt:lpwstr>_Toc388627032</vt:lpwstr>
      </vt:variant>
      <vt:variant>
        <vt:i4>1900601</vt:i4>
      </vt:variant>
      <vt:variant>
        <vt:i4>26</vt:i4>
      </vt:variant>
      <vt:variant>
        <vt:i4>0</vt:i4>
      </vt:variant>
      <vt:variant>
        <vt:i4>5</vt:i4>
      </vt:variant>
      <vt:variant>
        <vt:lpwstr/>
      </vt:variant>
      <vt:variant>
        <vt:lpwstr>_Toc388627031</vt:lpwstr>
      </vt:variant>
      <vt:variant>
        <vt:i4>1900601</vt:i4>
      </vt:variant>
      <vt:variant>
        <vt:i4>20</vt:i4>
      </vt:variant>
      <vt:variant>
        <vt:i4>0</vt:i4>
      </vt:variant>
      <vt:variant>
        <vt:i4>5</vt:i4>
      </vt:variant>
      <vt:variant>
        <vt:lpwstr/>
      </vt:variant>
      <vt:variant>
        <vt:lpwstr>_Toc388627030</vt:lpwstr>
      </vt:variant>
      <vt:variant>
        <vt:i4>1835065</vt:i4>
      </vt:variant>
      <vt:variant>
        <vt:i4>14</vt:i4>
      </vt:variant>
      <vt:variant>
        <vt:i4>0</vt:i4>
      </vt:variant>
      <vt:variant>
        <vt:i4>5</vt:i4>
      </vt:variant>
      <vt:variant>
        <vt:lpwstr/>
      </vt:variant>
      <vt:variant>
        <vt:lpwstr>_Toc388627029</vt:lpwstr>
      </vt:variant>
      <vt:variant>
        <vt:i4>1835065</vt:i4>
      </vt:variant>
      <vt:variant>
        <vt:i4>8</vt:i4>
      </vt:variant>
      <vt:variant>
        <vt:i4>0</vt:i4>
      </vt:variant>
      <vt:variant>
        <vt:i4>5</vt:i4>
      </vt:variant>
      <vt:variant>
        <vt:lpwstr/>
      </vt:variant>
      <vt:variant>
        <vt:lpwstr>_Toc388627028</vt:lpwstr>
      </vt:variant>
      <vt:variant>
        <vt:i4>1835065</vt:i4>
      </vt:variant>
      <vt:variant>
        <vt:i4>2</vt:i4>
      </vt:variant>
      <vt:variant>
        <vt:i4>0</vt:i4>
      </vt:variant>
      <vt:variant>
        <vt:i4>5</vt:i4>
      </vt:variant>
      <vt:variant>
        <vt:lpwstr/>
      </vt:variant>
      <vt:variant>
        <vt:lpwstr>_Toc388627027</vt:lpwstr>
      </vt:variant>
      <vt:variant>
        <vt:i4>8323189</vt:i4>
      </vt:variant>
      <vt:variant>
        <vt:i4>9</vt:i4>
      </vt:variant>
      <vt:variant>
        <vt:i4>0</vt:i4>
      </vt:variant>
      <vt:variant>
        <vt:i4>5</vt:i4>
      </vt:variant>
      <vt:variant>
        <vt:lpwstr>http://www.kredex.ee/credit-insurance/</vt:lpwstr>
      </vt:variant>
      <vt:variant>
        <vt:lpwstr/>
      </vt:variant>
      <vt:variant>
        <vt:i4>7143425</vt:i4>
      </vt:variant>
      <vt:variant>
        <vt:i4>6</vt:i4>
      </vt:variant>
      <vt:variant>
        <vt:i4>0</vt:i4>
      </vt:variant>
      <vt:variant>
        <vt:i4>5</vt:i4>
      </vt:variant>
      <vt:variant>
        <vt:lpwstr>http://www.masoc.lv/masoc/index.php?option=com_content&amp;view=article&amp;id=152&amp;Itemid=21&amp;lang=1</vt:lpwstr>
      </vt:variant>
      <vt:variant>
        <vt:lpwstr/>
      </vt:variant>
      <vt:variant>
        <vt:i4>8323189</vt:i4>
      </vt:variant>
      <vt:variant>
        <vt:i4>3</vt:i4>
      </vt:variant>
      <vt:variant>
        <vt:i4>0</vt:i4>
      </vt:variant>
      <vt:variant>
        <vt:i4>5</vt:i4>
      </vt:variant>
      <vt:variant>
        <vt:lpwstr>http://www.kredex.ee/credit-insurance/</vt:lpwstr>
      </vt:variant>
      <vt:variant>
        <vt:lpwstr/>
      </vt:variant>
      <vt:variant>
        <vt:i4>1966109</vt:i4>
      </vt:variant>
      <vt:variant>
        <vt:i4>0</vt:i4>
      </vt:variant>
      <vt:variant>
        <vt:i4>0</vt:i4>
      </vt:variant>
      <vt:variant>
        <vt:i4>5</vt:i4>
      </vt:variant>
      <vt:variant>
        <vt:lpwstr>http://eur-lex.europa.eu/legal-content/LV/TXT/HTML/?uri=CELEX:52012XC1219(01)&amp;from=LV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Karlsons</dc:creator>
  <cp:lastModifiedBy>Jānis Volberts</cp:lastModifiedBy>
  <cp:revision>3</cp:revision>
  <cp:lastPrinted>2014-05-28T09:24:00Z</cp:lastPrinted>
  <dcterms:created xsi:type="dcterms:W3CDTF">2014-06-03T07:05:00Z</dcterms:created>
  <dcterms:modified xsi:type="dcterms:W3CDTF">2014-06-03T07:06:00Z</dcterms:modified>
</cp:coreProperties>
</file>