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CEEC9" w14:textId="1A1B7862" w:rsidR="007756FB" w:rsidRPr="00AA56A1" w:rsidRDefault="002913D0" w:rsidP="007756FB">
      <w:pPr>
        <w:pStyle w:val="naislab"/>
        <w:jc w:val="center"/>
        <w:rPr>
          <w:b/>
        </w:rPr>
      </w:pPr>
      <w:bookmarkStart w:id="0" w:name="_GoBack"/>
      <w:bookmarkEnd w:id="0"/>
      <w:r w:rsidRPr="00AA56A1">
        <w:rPr>
          <w:b/>
        </w:rPr>
        <w:t>Likum</w:t>
      </w:r>
      <w:r w:rsidR="007756FB" w:rsidRPr="00AA56A1">
        <w:rPr>
          <w:b/>
        </w:rPr>
        <w:t xml:space="preserve">projekta „Grozījumi </w:t>
      </w:r>
      <w:r w:rsidRPr="00AA56A1">
        <w:rPr>
          <w:b/>
        </w:rPr>
        <w:t xml:space="preserve">likumā „Par </w:t>
      </w:r>
      <w:r w:rsidR="008C6CAD" w:rsidRPr="00AA56A1">
        <w:rPr>
          <w:b/>
        </w:rPr>
        <w:t>Valsts ieņēmumu dienestu</w:t>
      </w:r>
      <w:r w:rsidR="007756FB" w:rsidRPr="00AA56A1">
        <w:rPr>
          <w:b/>
        </w:rPr>
        <w:t>”” sākotnējās ietekmes novērtējuma ziņojums (anotācija)</w:t>
      </w:r>
    </w:p>
    <w:p w14:paraId="59918064" w14:textId="77777777" w:rsidR="008961E6" w:rsidRPr="00AA56A1" w:rsidRDefault="008961E6" w:rsidP="00032C63">
      <w:pPr>
        <w:spacing w:line="270" w:lineRule="atLeast"/>
        <w:jc w:val="both"/>
        <w:rPr>
          <w:rStyle w:val="apple-style-sp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298"/>
        <w:gridCol w:w="5528"/>
      </w:tblGrid>
      <w:tr w:rsidR="000225D5" w:rsidRPr="00AA56A1" w14:paraId="565DCE06" w14:textId="77777777" w:rsidTr="00743410">
        <w:trPr>
          <w:trHeight w:val="427"/>
        </w:trPr>
        <w:tc>
          <w:tcPr>
            <w:tcW w:w="9322" w:type="dxa"/>
            <w:gridSpan w:val="3"/>
            <w:hideMark/>
          </w:tcPr>
          <w:p w14:paraId="3DF76155" w14:textId="77777777" w:rsidR="00032C63" w:rsidRPr="00AA56A1" w:rsidRDefault="00032C63" w:rsidP="00032C63">
            <w:pPr>
              <w:numPr>
                <w:ilvl w:val="0"/>
                <w:numId w:val="1"/>
              </w:numPr>
              <w:jc w:val="center"/>
              <w:rPr>
                <w:b/>
                <w:bCs/>
              </w:rPr>
            </w:pPr>
            <w:r w:rsidRPr="00AA56A1">
              <w:rPr>
                <w:b/>
                <w:bCs/>
              </w:rPr>
              <w:t>Tiesību akta projekta izstrādes nepieciešamība</w:t>
            </w:r>
          </w:p>
        </w:tc>
      </w:tr>
      <w:tr w:rsidR="000225D5" w:rsidRPr="00AA56A1" w14:paraId="5A683988" w14:textId="77777777" w:rsidTr="00880387">
        <w:tc>
          <w:tcPr>
            <w:tcW w:w="496" w:type="dxa"/>
            <w:hideMark/>
          </w:tcPr>
          <w:p w14:paraId="67B59558" w14:textId="77777777" w:rsidR="00032C63" w:rsidRPr="00AA56A1" w:rsidRDefault="00032C63" w:rsidP="00032C63">
            <w:r w:rsidRPr="00AA56A1">
              <w:t>1.</w:t>
            </w:r>
          </w:p>
        </w:tc>
        <w:tc>
          <w:tcPr>
            <w:tcW w:w="3298" w:type="dxa"/>
            <w:hideMark/>
          </w:tcPr>
          <w:p w14:paraId="3C2F30A7" w14:textId="77777777" w:rsidR="00032C63" w:rsidRPr="00AA56A1" w:rsidRDefault="00032C63" w:rsidP="00032C63">
            <w:r w:rsidRPr="00AA56A1">
              <w:t>Pamatojums</w:t>
            </w:r>
          </w:p>
        </w:tc>
        <w:tc>
          <w:tcPr>
            <w:tcW w:w="5528" w:type="dxa"/>
            <w:hideMark/>
          </w:tcPr>
          <w:p w14:paraId="7E5D3FDF" w14:textId="1D9A48CC" w:rsidR="00032C63" w:rsidRPr="00AA56A1" w:rsidRDefault="00350F82" w:rsidP="00774CA6">
            <w:pPr>
              <w:jc w:val="both"/>
            </w:pPr>
            <w:r w:rsidRPr="00AA56A1">
              <w:t>Finanšu ministrijas un Valsts ieņēmumu dienesta iniciatīva.</w:t>
            </w:r>
          </w:p>
        </w:tc>
      </w:tr>
      <w:tr w:rsidR="000225D5" w:rsidRPr="00AA56A1" w14:paraId="3FB80CB6" w14:textId="77777777" w:rsidTr="00880387">
        <w:tc>
          <w:tcPr>
            <w:tcW w:w="496" w:type="dxa"/>
            <w:hideMark/>
          </w:tcPr>
          <w:p w14:paraId="6B74096B" w14:textId="77777777" w:rsidR="00032C63" w:rsidRPr="00AA56A1" w:rsidRDefault="00032C63" w:rsidP="00032C63">
            <w:r w:rsidRPr="00AA56A1">
              <w:t>2.</w:t>
            </w:r>
          </w:p>
        </w:tc>
        <w:tc>
          <w:tcPr>
            <w:tcW w:w="3298" w:type="dxa"/>
            <w:hideMark/>
          </w:tcPr>
          <w:p w14:paraId="5D9A471B" w14:textId="77777777" w:rsidR="00032C63" w:rsidRPr="00AA56A1" w:rsidRDefault="003169F1" w:rsidP="003169F1">
            <w:pPr>
              <w:jc w:val="both"/>
            </w:pPr>
            <w:r w:rsidRPr="00AA56A1">
              <w:t>Pašreizējā situācija un problēmas, kuru risināšanai tiesību akta projekts izstrādāts, tiesiskā regulējuma mērķis un būtība</w:t>
            </w:r>
          </w:p>
        </w:tc>
        <w:tc>
          <w:tcPr>
            <w:tcW w:w="5528" w:type="dxa"/>
            <w:hideMark/>
          </w:tcPr>
          <w:p w14:paraId="2700BB8D" w14:textId="38111BF3" w:rsidR="001935E4" w:rsidRPr="00AA56A1" w:rsidRDefault="004913B1" w:rsidP="004913B1">
            <w:pPr>
              <w:tabs>
                <w:tab w:val="left" w:pos="1134"/>
              </w:tabs>
              <w:jc w:val="both"/>
            </w:pPr>
            <w:r w:rsidRPr="00AA56A1">
              <w:t>Vienlaikus ar</w:t>
            </w:r>
            <w:r w:rsidR="000926E1" w:rsidRPr="00AA56A1">
              <w:t xml:space="preserve"> likumprojektu "Grozījumi likumā "Par Valsts ieņēmumu dienestu"" (turpmāk - </w:t>
            </w:r>
            <w:r w:rsidRPr="00AA56A1">
              <w:t xml:space="preserve"> Likumprojekt</w:t>
            </w:r>
            <w:r w:rsidR="000926E1" w:rsidRPr="00AA56A1">
              <w:t>s)</w:t>
            </w:r>
            <w:r w:rsidRPr="00AA56A1">
              <w:t xml:space="preserve"> tiek virzīts likumprojekts "Grozījumi likumā "Par nodokļiem un nodevām"". </w:t>
            </w:r>
            <w:r w:rsidR="001935E4" w:rsidRPr="00AA56A1">
              <w:t>Likumprojektā "Grozījumi likumā "Par n</w:t>
            </w:r>
            <w:r w:rsidR="00157261" w:rsidRPr="00AA56A1">
              <w:t>odokļiem un nodevām"" paredzēts:</w:t>
            </w:r>
          </w:p>
          <w:p w14:paraId="2E0C535A" w14:textId="7F54F89E" w:rsidR="001935E4" w:rsidRPr="00AA56A1" w:rsidRDefault="007A1287" w:rsidP="001935E4">
            <w:pPr>
              <w:pStyle w:val="ListParagraph"/>
              <w:numPr>
                <w:ilvl w:val="0"/>
                <w:numId w:val="17"/>
              </w:numPr>
              <w:tabs>
                <w:tab w:val="left" w:pos="1134"/>
              </w:tabs>
              <w:jc w:val="both"/>
            </w:pPr>
            <w:r w:rsidRPr="00AA56A1">
              <w:t>p</w:t>
            </w:r>
            <w:r w:rsidR="001935E4" w:rsidRPr="00AA56A1">
              <w:t>iešķirt nodokļu administrācijai tiesības pieņemt lēmumu par nokavēto nodokļu maksājumu atlīdzināšanu, uzliekot noteiktajos gadījumos atbildību par nodokļu maksātāju tā valdes locekļiem;</w:t>
            </w:r>
          </w:p>
          <w:p w14:paraId="29E6694E" w14:textId="228F5DC0" w:rsidR="001935E4" w:rsidRPr="00AA56A1" w:rsidRDefault="007A1287" w:rsidP="00F62AC2">
            <w:pPr>
              <w:pStyle w:val="ListParagraph"/>
              <w:numPr>
                <w:ilvl w:val="0"/>
                <w:numId w:val="17"/>
              </w:numPr>
              <w:tabs>
                <w:tab w:val="left" w:pos="1134"/>
              </w:tabs>
              <w:jc w:val="both"/>
            </w:pPr>
            <w:r w:rsidRPr="00AA56A1">
              <w:t>p</w:t>
            </w:r>
            <w:r w:rsidR="001935E4" w:rsidRPr="00AA56A1">
              <w:t>iešķirt nodokļu administrācijai tiesības pieņemt lēmumu par nokavēto nodokļu maksājumu labprātīgu izpildi</w:t>
            </w:r>
            <w:r w:rsidR="009429E9" w:rsidRPr="00AA56A1">
              <w:t>, atbilstoši kuram nodokļu parāda samaksas termiņu varēs pagarināt pēc lēmuma par bezstrīda piedziņu paziņošanas.</w:t>
            </w:r>
          </w:p>
          <w:p w14:paraId="4DB54F82" w14:textId="67189328" w:rsidR="00AE27B2" w:rsidRPr="00AA56A1" w:rsidRDefault="009429E9" w:rsidP="00487759">
            <w:pPr>
              <w:tabs>
                <w:tab w:val="left" w:pos="1134"/>
              </w:tabs>
              <w:jc w:val="both"/>
            </w:pPr>
            <w:r w:rsidRPr="00AA56A1">
              <w:t>Ievērojot minēto, Likumprojektā nepieciešams noteikt Valsts ieņēmumu dienesta amatpersonas, kurām būs tiesības pieņemt lēmumu par nokavēto nodokļu maksājumu atlīdzināšanu un lēmumu par nokavēto nodokļu maksājumu labprātīgu izpildi.</w:t>
            </w:r>
          </w:p>
        </w:tc>
      </w:tr>
      <w:tr w:rsidR="000225D5" w:rsidRPr="00AA56A1" w14:paraId="6E65E474" w14:textId="77777777" w:rsidTr="00880387">
        <w:tc>
          <w:tcPr>
            <w:tcW w:w="496" w:type="dxa"/>
            <w:hideMark/>
          </w:tcPr>
          <w:p w14:paraId="12CC7DD5" w14:textId="0E7D352C" w:rsidR="00032C63" w:rsidRPr="00AA56A1" w:rsidRDefault="00431C1A" w:rsidP="00032C63">
            <w:r w:rsidRPr="00AA56A1">
              <w:t>3.</w:t>
            </w:r>
          </w:p>
        </w:tc>
        <w:tc>
          <w:tcPr>
            <w:tcW w:w="3298" w:type="dxa"/>
            <w:hideMark/>
          </w:tcPr>
          <w:p w14:paraId="4A041471" w14:textId="77777777" w:rsidR="00032C63" w:rsidRPr="00AA56A1" w:rsidRDefault="00431C1A" w:rsidP="00032C63">
            <w:r w:rsidRPr="00AA56A1">
              <w:t>Projekta izstrādē iesaistītās institūcijas</w:t>
            </w:r>
          </w:p>
        </w:tc>
        <w:tc>
          <w:tcPr>
            <w:tcW w:w="5528" w:type="dxa"/>
            <w:hideMark/>
          </w:tcPr>
          <w:p w14:paraId="19911882" w14:textId="0EBAD581" w:rsidR="00032C63" w:rsidRPr="00AA56A1" w:rsidRDefault="009429E9" w:rsidP="00353D75">
            <w:pPr>
              <w:jc w:val="both"/>
            </w:pPr>
            <w:r w:rsidRPr="00AA56A1">
              <w:t>Nav attiecināms.</w:t>
            </w:r>
          </w:p>
        </w:tc>
      </w:tr>
      <w:tr w:rsidR="000225D5" w:rsidRPr="00AA56A1" w14:paraId="0AFED6BC" w14:textId="77777777" w:rsidTr="00880387">
        <w:tc>
          <w:tcPr>
            <w:tcW w:w="496" w:type="dxa"/>
            <w:hideMark/>
          </w:tcPr>
          <w:p w14:paraId="55FA1CF1" w14:textId="77777777" w:rsidR="00032C63" w:rsidRPr="00AA56A1" w:rsidRDefault="00431C1A" w:rsidP="00032C63">
            <w:r w:rsidRPr="00AA56A1">
              <w:t>4.</w:t>
            </w:r>
          </w:p>
        </w:tc>
        <w:tc>
          <w:tcPr>
            <w:tcW w:w="3298" w:type="dxa"/>
            <w:hideMark/>
          </w:tcPr>
          <w:p w14:paraId="77352B7B" w14:textId="77777777" w:rsidR="00032C63" w:rsidRPr="00AA56A1" w:rsidRDefault="00032C63" w:rsidP="00032C63">
            <w:r w:rsidRPr="00AA56A1">
              <w:t>Cita informācija</w:t>
            </w:r>
          </w:p>
        </w:tc>
        <w:tc>
          <w:tcPr>
            <w:tcW w:w="5528" w:type="dxa"/>
            <w:hideMark/>
          </w:tcPr>
          <w:p w14:paraId="64E49F2F" w14:textId="77777777" w:rsidR="00032C63" w:rsidRDefault="00FF4A22" w:rsidP="0060078A">
            <w:pPr>
              <w:jc w:val="both"/>
            </w:pPr>
            <w:r w:rsidRPr="00AA56A1">
              <w:t xml:space="preserve"> </w:t>
            </w:r>
          </w:p>
          <w:p w14:paraId="4DD1F708" w14:textId="6D52F7EB" w:rsidR="00AA56A1" w:rsidRPr="00AA56A1" w:rsidRDefault="00AA56A1" w:rsidP="0060078A">
            <w:pPr>
              <w:jc w:val="both"/>
            </w:pPr>
          </w:p>
        </w:tc>
      </w:tr>
    </w:tbl>
    <w:p w14:paraId="6D80A231" w14:textId="77777777" w:rsidR="00032C63" w:rsidRPr="00AA56A1" w:rsidRDefault="00032C63" w:rsidP="00032C63">
      <w:pPr>
        <w:spacing w:line="270" w:lineRule="atLeast"/>
        <w:jc w:val="both"/>
        <w:rPr>
          <w:rStyle w:val="apple-style-span"/>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7"/>
        <w:gridCol w:w="3264"/>
        <w:gridCol w:w="5386"/>
      </w:tblGrid>
      <w:tr w:rsidR="000225D5" w:rsidRPr="00AA56A1" w14:paraId="434002F5" w14:textId="77777777" w:rsidTr="00032C63">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7ADB1EF8" w14:textId="77777777" w:rsidR="00032C63" w:rsidRPr="00AA56A1" w:rsidRDefault="00032C63" w:rsidP="00032C63">
            <w:pPr>
              <w:pStyle w:val="NormalWeb"/>
              <w:jc w:val="center"/>
              <w:rPr>
                <w:b/>
                <w:bCs/>
              </w:rPr>
            </w:pPr>
            <w:r w:rsidRPr="00AA56A1">
              <w:rPr>
                <w:b/>
                <w:bCs/>
              </w:rPr>
              <w:t>II. Tiesību akta projekta ietekme uz sabiedrību</w:t>
            </w:r>
            <w:r w:rsidR="00431C1A" w:rsidRPr="00AA56A1">
              <w:rPr>
                <w:b/>
                <w:bCs/>
              </w:rPr>
              <w:t>, tautsaimniecības attīstību un administratīvo slogu</w:t>
            </w:r>
          </w:p>
        </w:tc>
      </w:tr>
      <w:tr w:rsidR="000225D5" w:rsidRPr="00AA56A1" w14:paraId="0526C145" w14:textId="77777777" w:rsidTr="009553B5">
        <w:tc>
          <w:tcPr>
            <w:tcW w:w="378" w:type="pct"/>
            <w:tcBorders>
              <w:top w:val="outset" w:sz="6" w:space="0" w:color="000000"/>
              <w:left w:val="outset" w:sz="6" w:space="0" w:color="000000"/>
              <w:bottom w:val="outset" w:sz="6" w:space="0" w:color="000000"/>
              <w:right w:val="outset" w:sz="6" w:space="0" w:color="000000"/>
            </w:tcBorders>
          </w:tcPr>
          <w:p w14:paraId="09BE5C61" w14:textId="77777777" w:rsidR="00032C63" w:rsidRPr="00AA56A1" w:rsidRDefault="00032C63" w:rsidP="00032C63">
            <w:pPr>
              <w:pStyle w:val="NormalWeb"/>
            </w:pPr>
            <w:r w:rsidRPr="00AA56A1">
              <w:t>1.</w:t>
            </w:r>
          </w:p>
        </w:tc>
        <w:tc>
          <w:tcPr>
            <w:tcW w:w="1744" w:type="pct"/>
            <w:tcBorders>
              <w:top w:val="outset" w:sz="6" w:space="0" w:color="000000"/>
              <w:left w:val="outset" w:sz="6" w:space="0" w:color="000000"/>
              <w:bottom w:val="outset" w:sz="6" w:space="0" w:color="000000"/>
              <w:right w:val="outset" w:sz="6" w:space="0" w:color="000000"/>
            </w:tcBorders>
          </w:tcPr>
          <w:p w14:paraId="66EAB3E0" w14:textId="77777777" w:rsidR="00032C63" w:rsidRPr="00AA56A1" w:rsidRDefault="00032C63" w:rsidP="00431C1A">
            <w:pPr>
              <w:pStyle w:val="NormalWeb"/>
            </w:pPr>
            <w:r w:rsidRPr="00AA56A1">
              <w:t>Sabiedrības mērķgrupa</w:t>
            </w:r>
            <w:r w:rsidR="00431C1A" w:rsidRPr="00AA56A1">
              <w:t>s, kuras tiesiskais regulējums ietekmē vai varētu ietekmēt</w:t>
            </w:r>
          </w:p>
        </w:tc>
        <w:tc>
          <w:tcPr>
            <w:tcW w:w="2879" w:type="pct"/>
            <w:tcBorders>
              <w:top w:val="outset" w:sz="6" w:space="0" w:color="000000"/>
              <w:left w:val="outset" w:sz="6" w:space="0" w:color="000000"/>
              <w:bottom w:val="outset" w:sz="6" w:space="0" w:color="000000"/>
              <w:right w:val="outset" w:sz="6" w:space="0" w:color="000000"/>
            </w:tcBorders>
          </w:tcPr>
          <w:p w14:paraId="1C684046" w14:textId="77777777" w:rsidR="0061508C" w:rsidRPr="00AA56A1" w:rsidRDefault="0061508C" w:rsidP="00253E23">
            <w:pPr>
              <w:pStyle w:val="NormalWeb"/>
              <w:spacing w:before="0" w:beforeAutospacing="0" w:after="0" w:afterAutospacing="0"/>
              <w:jc w:val="both"/>
            </w:pPr>
            <w:r w:rsidRPr="00AA56A1">
              <w:t>Likumprojekts attiecas uz:</w:t>
            </w:r>
          </w:p>
          <w:p w14:paraId="3CD88A97" w14:textId="77777777" w:rsidR="004E4573" w:rsidRPr="00AA56A1" w:rsidRDefault="0061508C" w:rsidP="0061508C">
            <w:pPr>
              <w:pStyle w:val="NormalWeb"/>
              <w:numPr>
                <w:ilvl w:val="0"/>
                <w:numId w:val="19"/>
              </w:numPr>
              <w:spacing w:before="0" w:beforeAutospacing="0" w:after="0" w:afterAutospacing="0"/>
              <w:jc w:val="both"/>
            </w:pPr>
            <w:r w:rsidRPr="00AA56A1">
              <w:t>Nodokļu maksātājiem, kuriem ir nokavētie nodokļu maksājumi, kā arī šo nodokļu maksātāju valdes locekļiem;</w:t>
            </w:r>
          </w:p>
          <w:p w14:paraId="550392E2" w14:textId="5A6859BB" w:rsidR="0061508C" w:rsidRPr="00AA56A1" w:rsidRDefault="0061508C" w:rsidP="0061508C">
            <w:pPr>
              <w:pStyle w:val="NormalWeb"/>
              <w:numPr>
                <w:ilvl w:val="0"/>
                <w:numId w:val="19"/>
              </w:numPr>
              <w:spacing w:before="0" w:beforeAutospacing="0" w:after="0" w:afterAutospacing="0"/>
              <w:jc w:val="both"/>
            </w:pPr>
            <w:r w:rsidRPr="00AA56A1">
              <w:t>Pērējiem nodokļu maksātājiem, jo uzlabosies uzņēmējdarbības vide.</w:t>
            </w:r>
          </w:p>
        </w:tc>
      </w:tr>
      <w:tr w:rsidR="000225D5" w:rsidRPr="00AA56A1" w14:paraId="7FF90921" w14:textId="77777777" w:rsidTr="009553B5">
        <w:tc>
          <w:tcPr>
            <w:tcW w:w="378" w:type="pct"/>
            <w:tcBorders>
              <w:top w:val="outset" w:sz="6" w:space="0" w:color="000000"/>
              <w:left w:val="outset" w:sz="6" w:space="0" w:color="000000"/>
              <w:bottom w:val="outset" w:sz="6" w:space="0" w:color="000000"/>
              <w:right w:val="outset" w:sz="6" w:space="0" w:color="000000"/>
            </w:tcBorders>
          </w:tcPr>
          <w:p w14:paraId="3AD12D63" w14:textId="5A499174" w:rsidR="00032C63" w:rsidRPr="00AA56A1" w:rsidRDefault="00032C63" w:rsidP="00032C63">
            <w:pPr>
              <w:pStyle w:val="NormalWeb"/>
            </w:pPr>
            <w:r w:rsidRPr="00AA56A1">
              <w:t>2.</w:t>
            </w:r>
          </w:p>
        </w:tc>
        <w:tc>
          <w:tcPr>
            <w:tcW w:w="1744" w:type="pct"/>
            <w:tcBorders>
              <w:top w:val="outset" w:sz="6" w:space="0" w:color="000000"/>
              <w:left w:val="outset" w:sz="6" w:space="0" w:color="000000"/>
              <w:bottom w:val="outset" w:sz="6" w:space="0" w:color="000000"/>
              <w:right w:val="outset" w:sz="6" w:space="0" w:color="000000"/>
            </w:tcBorders>
          </w:tcPr>
          <w:p w14:paraId="05C70716" w14:textId="77777777" w:rsidR="00032C63" w:rsidRPr="00AA56A1" w:rsidRDefault="00431C1A" w:rsidP="00431C1A">
            <w:pPr>
              <w:pStyle w:val="NormalWeb"/>
              <w:jc w:val="both"/>
            </w:pPr>
            <w:r w:rsidRPr="00AA56A1">
              <w:t>Tiesiskā regulējuma ietekme uz tautsaimniecību un administratīvo slogu</w:t>
            </w:r>
          </w:p>
        </w:tc>
        <w:tc>
          <w:tcPr>
            <w:tcW w:w="2879" w:type="pct"/>
            <w:tcBorders>
              <w:top w:val="outset" w:sz="6" w:space="0" w:color="000000"/>
              <w:left w:val="outset" w:sz="6" w:space="0" w:color="000000"/>
              <w:bottom w:val="outset" w:sz="6" w:space="0" w:color="000000"/>
              <w:right w:val="outset" w:sz="6" w:space="0" w:color="000000"/>
            </w:tcBorders>
          </w:tcPr>
          <w:p w14:paraId="1F1A0627" w14:textId="77777777" w:rsidR="0017674A" w:rsidRPr="00AA56A1" w:rsidRDefault="0017674A" w:rsidP="0017674A">
            <w:pPr>
              <w:pStyle w:val="NormalWeb"/>
              <w:spacing w:before="0" w:beforeAutospacing="0" w:after="0" w:afterAutospacing="0"/>
              <w:jc w:val="both"/>
            </w:pPr>
            <w:r w:rsidRPr="00AA56A1">
              <w:t>Likumprojekta tiesiskais regulējums uzlabos uzņēmējdarbības vidi, jo ļaus nodokļu maksātājiem, kuri nonākuši finansiālās grūtībās un attiecībā uz kuriem Valsts ieņēmumu dienests ir pieņēmis lēmumu par bezstrīda piedziņu, saņemt nokavēto nodokļu maksājumu samaksas termiņa pagarinājumu.</w:t>
            </w:r>
          </w:p>
          <w:p w14:paraId="35FC0BE9" w14:textId="77777777" w:rsidR="00032C63" w:rsidRPr="00AA56A1" w:rsidRDefault="00C036CF" w:rsidP="00C036CF">
            <w:pPr>
              <w:pStyle w:val="NormalWeb"/>
              <w:spacing w:before="0" w:beforeAutospacing="0" w:after="0" w:afterAutospacing="0"/>
              <w:jc w:val="both"/>
            </w:pPr>
            <w:r w:rsidRPr="00AA56A1">
              <w:t>Uzņēmējdarbības vide uzlabosies arī ņ</w:t>
            </w:r>
            <w:r w:rsidR="0017674A" w:rsidRPr="00AA56A1">
              <w:t>emot vērā, ka tiesiskais regulējums motivēs nodokļu maksāt</w:t>
            </w:r>
            <w:r w:rsidRPr="00AA56A1">
              <w:t>ājus</w:t>
            </w:r>
            <w:r w:rsidR="0017674A" w:rsidRPr="00AA56A1">
              <w:t xml:space="preserve"> </w:t>
            </w:r>
            <w:r w:rsidRPr="00AA56A1">
              <w:t>likumā noteiktajos gadījumos iesniegt juridiskās personas maksātnespējas pieteikumu.</w:t>
            </w:r>
          </w:p>
          <w:p w14:paraId="3F677B7C" w14:textId="4B8571D2" w:rsidR="00C036CF" w:rsidRPr="00AA56A1" w:rsidRDefault="00C036CF" w:rsidP="00C036CF">
            <w:pPr>
              <w:pStyle w:val="NormalWeb"/>
              <w:spacing w:before="0" w:beforeAutospacing="0" w:after="0" w:afterAutospacing="0"/>
              <w:jc w:val="both"/>
            </w:pPr>
            <w:r w:rsidRPr="00AA56A1">
              <w:lastRenderedPageBreak/>
              <w:t>Likumprojekta tiesiskais regulējums neietekmē administratīvo slogu.</w:t>
            </w:r>
          </w:p>
        </w:tc>
      </w:tr>
      <w:tr w:rsidR="000225D5" w:rsidRPr="00AA56A1" w14:paraId="0DD96AB4" w14:textId="77777777" w:rsidTr="009553B5">
        <w:tc>
          <w:tcPr>
            <w:tcW w:w="378" w:type="pct"/>
            <w:tcBorders>
              <w:top w:val="outset" w:sz="6" w:space="0" w:color="000000"/>
              <w:left w:val="outset" w:sz="6" w:space="0" w:color="000000"/>
              <w:bottom w:val="outset" w:sz="6" w:space="0" w:color="000000"/>
              <w:right w:val="outset" w:sz="6" w:space="0" w:color="000000"/>
            </w:tcBorders>
          </w:tcPr>
          <w:p w14:paraId="0FE022F7" w14:textId="77777777" w:rsidR="00032C63" w:rsidRPr="00AA56A1" w:rsidRDefault="00032C63" w:rsidP="00032C63">
            <w:pPr>
              <w:pStyle w:val="NormalWeb"/>
            </w:pPr>
            <w:r w:rsidRPr="00AA56A1">
              <w:lastRenderedPageBreak/>
              <w:t>3.</w:t>
            </w:r>
          </w:p>
        </w:tc>
        <w:tc>
          <w:tcPr>
            <w:tcW w:w="1744" w:type="pct"/>
            <w:tcBorders>
              <w:top w:val="outset" w:sz="6" w:space="0" w:color="000000"/>
              <w:left w:val="outset" w:sz="6" w:space="0" w:color="000000"/>
              <w:bottom w:val="outset" w:sz="6" w:space="0" w:color="000000"/>
              <w:right w:val="outset" w:sz="6" w:space="0" w:color="000000"/>
            </w:tcBorders>
          </w:tcPr>
          <w:p w14:paraId="24AA0778" w14:textId="77777777" w:rsidR="00032C63" w:rsidRPr="00AA56A1" w:rsidRDefault="00431C1A" w:rsidP="00032C63">
            <w:pPr>
              <w:pStyle w:val="NormalWeb"/>
            </w:pPr>
            <w:r w:rsidRPr="00AA56A1">
              <w:t>Administratīvo izmaksu monetārs novērtējums</w:t>
            </w:r>
          </w:p>
        </w:tc>
        <w:tc>
          <w:tcPr>
            <w:tcW w:w="2879" w:type="pct"/>
            <w:tcBorders>
              <w:top w:val="outset" w:sz="6" w:space="0" w:color="000000"/>
              <w:left w:val="outset" w:sz="6" w:space="0" w:color="000000"/>
              <w:bottom w:val="outset" w:sz="6" w:space="0" w:color="000000"/>
              <w:right w:val="outset" w:sz="6" w:space="0" w:color="000000"/>
            </w:tcBorders>
          </w:tcPr>
          <w:p w14:paraId="29ED40BD" w14:textId="40065A6C" w:rsidR="00032C63" w:rsidRPr="00AA56A1" w:rsidRDefault="00C036CF" w:rsidP="007A1287">
            <w:pPr>
              <w:pStyle w:val="NormalWeb"/>
              <w:spacing w:before="0" w:beforeAutospacing="0" w:after="0" w:afterAutospacing="0"/>
              <w:jc w:val="both"/>
            </w:pPr>
            <w:r w:rsidRPr="00AA56A1">
              <w:t>Datus skatīt likumprojekta "Grozījumi likumā "Par nodokļiem un nodevām"", kas tiek virzīts vienlaikus ar Likumprojektu, sākotnējās ietekmes novērtējuma ziņojums (anotācija)</w:t>
            </w:r>
            <w:r w:rsidR="007A033C" w:rsidRPr="00AA56A1">
              <w:t>.</w:t>
            </w:r>
          </w:p>
        </w:tc>
      </w:tr>
      <w:tr w:rsidR="000225D5" w:rsidRPr="00AA56A1" w14:paraId="1A693258" w14:textId="77777777" w:rsidTr="009553B5">
        <w:tc>
          <w:tcPr>
            <w:tcW w:w="378" w:type="pct"/>
            <w:tcBorders>
              <w:top w:val="outset" w:sz="6" w:space="0" w:color="000000"/>
              <w:left w:val="outset" w:sz="6" w:space="0" w:color="000000"/>
              <w:bottom w:val="outset" w:sz="6" w:space="0" w:color="000000"/>
              <w:right w:val="outset" w:sz="6" w:space="0" w:color="000000"/>
            </w:tcBorders>
          </w:tcPr>
          <w:p w14:paraId="68DF3F46" w14:textId="77777777" w:rsidR="00032C63" w:rsidRPr="00AA56A1" w:rsidRDefault="00431C1A" w:rsidP="00032C63">
            <w:pPr>
              <w:pStyle w:val="NormalWeb"/>
            </w:pPr>
            <w:r w:rsidRPr="00AA56A1">
              <w:t>4</w:t>
            </w:r>
            <w:r w:rsidR="00032C63" w:rsidRPr="00AA56A1">
              <w:t>.</w:t>
            </w:r>
          </w:p>
        </w:tc>
        <w:tc>
          <w:tcPr>
            <w:tcW w:w="1744" w:type="pct"/>
            <w:tcBorders>
              <w:top w:val="outset" w:sz="6" w:space="0" w:color="000000"/>
              <w:left w:val="outset" w:sz="6" w:space="0" w:color="000000"/>
              <w:bottom w:val="outset" w:sz="6" w:space="0" w:color="000000"/>
              <w:right w:val="outset" w:sz="6" w:space="0" w:color="000000"/>
            </w:tcBorders>
          </w:tcPr>
          <w:p w14:paraId="578B4FFF" w14:textId="77777777" w:rsidR="00032C63" w:rsidRPr="00AA56A1" w:rsidRDefault="00032C63" w:rsidP="00032C63">
            <w:pPr>
              <w:pStyle w:val="NormalWeb"/>
            </w:pPr>
            <w:r w:rsidRPr="00AA56A1">
              <w:t>Cita informācija</w:t>
            </w:r>
          </w:p>
        </w:tc>
        <w:tc>
          <w:tcPr>
            <w:tcW w:w="2879" w:type="pct"/>
            <w:tcBorders>
              <w:top w:val="outset" w:sz="6" w:space="0" w:color="000000"/>
              <w:left w:val="outset" w:sz="6" w:space="0" w:color="000000"/>
              <w:bottom w:val="outset" w:sz="6" w:space="0" w:color="000000"/>
              <w:right w:val="outset" w:sz="6" w:space="0" w:color="000000"/>
            </w:tcBorders>
          </w:tcPr>
          <w:p w14:paraId="1688D53D" w14:textId="77777777" w:rsidR="00032C63" w:rsidRPr="00AA56A1" w:rsidRDefault="00032C63" w:rsidP="00032C63">
            <w:pPr>
              <w:pStyle w:val="NormalWeb"/>
            </w:pPr>
            <w:r w:rsidRPr="00AA56A1">
              <w:t>Nav</w:t>
            </w:r>
          </w:p>
        </w:tc>
      </w:tr>
    </w:tbl>
    <w:p w14:paraId="50BD21C0" w14:textId="77777777" w:rsidR="00032C63" w:rsidRDefault="00032C63" w:rsidP="00032C63"/>
    <w:p w14:paraId="4C1BE31D" w14:textId="77777777" w:rsidR="00AA56A1" w:rsidRPr="00AA56A1" w:rsidRDefault="00AA56A1" w:rsidP="00032C63"/>
    <w:tbl>
      <w:tblPr>
        <w:tblW w:w="5038" w:type="pct"/>
        <w:tblInd w:w="-3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358"/>
      </w:tblGrid>
      <w:tr w:rsidR="000225D5" w:rsidRPr="00AA56A1" w14:paraId="071E75C8" w14:textId="77777777" w:rsidTr="00FF735C">
        <w:tc>
          <w:tcPr>
            <w:tcW w:w="5000" w:type="pct"/>
            <w:tcBorders>
              <w:top w:val="single" w:sz="4" w:space="0" w:color="auto"/>
              <w:left w:val="single" w:sz="4" w:space="0" w:color="auto"/>
              <w:bottom w:val="single" w:sz="4" w:space="0" w:color="auto"/>
              <w:right w:val="single" w:sz="4" w:space="0" w:color="auto"/>
            </w:tcBorders>
          </w:tcPr>
          <w:p w14:paraId="02C49D0B" w14:textId="77777777" w:rsidR="00A119B1" w:rsidRPr="00AA56A1" w:rsidRDefault="00A119B1" w:rsidP="00A119B1">
            <w:pPr>
              <w:jc w:val="center"/>
            </w:pPr>
            <w:r w:rsidRPr="00AA56A1">
              <w:br w:type="page"/>
            </w:r>
          </w:p>
          <w:p w14:paraId="4BC95DC0" w14:textId="77777777" w:rsidR="00A119B1" w:rsidRPr="00AA56A1" w:rsidRDefault="00A119B1" w:rsidP="00A119B1">
            <w:pPr>
              <w:jc w:val="center"/>
              <w:rPr>
                <w:b/>
                <w:i/>
              </w:rPr>
            </w:pPr>
            <w:r w:rsidRPr="00AA56A1">
              <w:rPr>
                <w:b/>
                <w:bCs/>
              </w:rPr>
              <w:t>III. Tiesību akta projekta ietekme uz valsts budžetu un pašvaldību budžetiem</w:t>
            </w:r>
          </w:p>
        </w:tc>
      </w:tr>
      <w:tr w:rsidR="007A1287" w:rsidRPr="00AA56A1" w14:paraId="06D85EAC" w14:textId="77777777" w:rsidTr="007A1287">
        <w:tc>
          <w:tcPr>
            <w:tcW w:w="5000" w:type="pct"/>
            <w:tcBorders>
              <w:top w:val="single" w:sz="4" w:space="0" w:color="auto"/>
              <w:left w:val="single" w:sz="4" w:space="0" w:color="auto"/>
              <w:bottom w:val="single" w:sz="4" w:space="0" w:color="auto"/>
              <w:right w:val="single" w:sz="4" w:space="0" w:color="auto"/>
            </w:tcBorders>
          </w:tcPr>
          <w:p w14:paraId="2F706B7D" w14:textId="2CE39E20" w:rsidR="007A1287" w:rsidRPr="00AA56A1" w:rsidRDefault="007A1287" w:rsidP="00F52F64">
            <w:pPr>
              <w:jc w:val="center"/>
            </w:pPr>
            <w:r w:rsidRPr="00AA56A1">
              <w:t>Projekts šo jomu neskar</w:t>
            </w:r>
          </w:p>
        </w:tc>
      </w:tr>
    </w:tbl>
    <w:p w14:paraId="49D578C1" w14:textId="77777777" w:rsidR="00032C63" w:rsidRDefault="00032C63" w:rsidP="00032C63"/>
    <w:p w14:paraId="6E54F3DA" w14:textId="77777777" w:rsidR="00AA56A1" w:rsidRPr="00AA56A1" w:rsidRDefault="00AA56A1" w:rsidP="00032C63"/>
    <w:tbl>
      <w:tblPr>
        <w:tblW w:w="5124"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05"/>
        <w:gridCol w:w="2839"/>
        <w:gridCol w:w="5813"/>
      </w:tblGrid>
      <w:tr w:rsidR="000225D5" w:rsidRPr="00AA56A1" w14:paraId="46B26C9B" w14:textId="77777777" w:rsidTr="007A6B20">
        <w:tc>
          <w:tcPr>
            <w:tcW w:w="5000" w:type="pct"/>
            <w:gridSpan w:val="3"/>
            <w:tcBorders>
              <w:top w:val="single" w:sz="6" w:space="0" w:color="auto"/>
              <w:left w:val="single" w:sz="6" w:space="0" w:color="auto"/>
              <w:bottom w:val="single" w:sz="6" w:space="0" w:color="auto"/>
              <w:right w:val="single" w:sz="6" w:space="0" w:color="auto"/>
            </w:tcBorders>
            <w:hideMark/>
          </w:tcPr>
          <w:p w14:paraId="1D865D35" w14:textId="77777777" w:rsidR="00032C63" w:rsidRPr="00AA56A1" w:rsidRDefault="00032C63" w:rsidP="00032C63">
            <w:pPr>
              <w:spacing w:before="100" w:beforeAutospacing="1" w:after="100" w:afterAutospacing="1"/>
              <w:jc w:val="center"/>
              <w:rPr>
                <w:b/>
                <w:bCs/>
              </w:rPr>
            </w:pPr>
            <w:r w:rsidRPr="00AA56A1">
              <w:rPr>
                <w:b/>
                <w:bCs/>
              </w:rPr>
              <w:t>IV. Tiesību akta projekta ietekme uz spēkā esošo tiesību normu sistēmu</w:t>
            </w:r>
          </w:p>
        </w:tc>
      </w:tr>
      <w:tr w:rsidR="000225D5" w:rsidRPr="00AA56A1" w14:paraId="30CCF5DB" w14:textId="77777777" w:rsidTr="00365AF2">
        <w:tc>
          <w:tcPr>
            <w:tcW w:w="377" w:type="pct"/>
            <w:tcBorders>
              <w:top w:val="single" w:sz="6" w:space="0" w:color="auto"/>
              <w:left w:val="single" w:sz="6" w:space="0" w:color="auto"/>
              <w:bottom w:val="single" w:sz="6" w:space="0" w:color="auto"/>
              <w:right w:val="single" w:sz="4" w:space="0" w:color="auto"/>
            </w:tcBorders>
          </w:tcPr>
          <w:p w14:paraId="45FD528C" w14:textId="77777777" w:rsidR="008D06E4" w:rsidRPr="00AA56A1" w:rsidRDefault="008D06E4" w:rsidP="00032C63">
            <w:pPr>
              <w:spacing w:before="100" w:beforeAutospacing="1" w:after="100" w:afterAutospacing="1"/>
              <w:jc w:val="center"/>
              <w:rPr>
                <w:bCs/>
              </w:rPr>
            </w:pPr>
            <w:r w:rsidRPr="00AA56A1">
              <w:rPr>
                <w:bCs/>
              </w:rPr>
              <w:t>1.</w:t>
            </w:r>
          </w:p>
        </w:tc>
        <w:tc>
          <w:tcPr>
            <w:tcW w:w="1517" w:type="pct"/>
            <w:tcBorders>
              <w:top w:val="single" w:sz="6" w:space="0" w:color="auto"/>
              <w:left w:val="single" w:sz="4" w:space="0" w:color="auto"/>
              <w:bottom w:val="single" w:sz="6" w:space="0" w:color="auto"/>
              <w:right w:val="single" w:sz="4" w:space="0" w:color="auto"/>
            </w:tcBorders>
          </w:tcPr>
          <w:p w14:paraId="22548F57" w14:textId="77777777" w:rsidR="008D06E4" w:rsidRPr="00AA56A1" w:rsidRDefault="008D06E4" w:rsidP="008D06E4">
            <w:pPr>
              <w:spacing w:before="100" w:beforeAutospacing="1" w:after="100" w:afterAutospacing="1"/>
              <w:jc w:val="both"/>
              <w:rPr>
                <w:bCs/>
              </w:rPr>
            </w:pPr>
            <w:r w:rsidRPr="00AA56A1">
              <w:rPr>
                <w:bCs/>
              </w:rPr>
              <w:t>Nepieciešamie saistītie tiesību aktu projekti</w:t>
            </w:r>
          </w:p>
        </w:tc>
        <w:tc>
          <w:tcPr>
            <w:tcW w:w="3106" w:type="pct"/>
            <w:tcBorders>
              <w:top w:val="single" w:sz="6" w:space="0" w:color="auto"/>
              <w:left w:val="single" w:sz="4" w:space="0" w:color="auto"/>
              <w:bottom w:val="single" w:sz="6" w:space="0" w:color="auto"/>
              <w:right w:val="single" w:sz="6" w:space="0" w:color="auto"/>
            </w:tcBorders>
          </w:tcPr>
          <w:p w14:paraId="28EB9AC4" w14:textId="4EC123DA" w:rsidR="004D0F9A" w:rsidRPr="00AA56A1" w:rsidRDefault="00045E7D" w:rsidP="00697780">
            <w:pPr>
              <w:pStyle w:val="ListParagraph"/>
              <w:autoSpaceDE w:val="0"/>
              <w:autoSpaceDN w:val="0"/>
              <w:adjustRightInd w:val="0"/>
              <w:ind w:left="34"/>
              <w:contextualSpacing w:val="0"/>
              <w:jc w:val="both"/>
            </w:pPr>
            <w:r w:rsidRPr="00AA56A1">
              <w:t>Likumprojekts Ministru kabinetā un Saeimā ir izskatāms vienlaicīgi ar :</w:t>
            </w:r>
          </w:p>
          <w:p w14:paraId="1300AFC1" w14:textId="7C5F71B8" w:rsidR="007A1287" w:rsidRPr="00AA56A1" w:rsidRDefault="00045E7D" w:rsidP="00697780">
            <w:pPr>
              <w:pStyle w:val="ListParagraph"/>
              <w:autoSpaceDE w:val="0"/>
              <w:autoSpaceDN w:val="0"/>
              <w:adjustRightInd w:val="0"/>
              <w:ind w:left="34"/>
              <w:contextualSpacing w:val="0"/>
              <w:jc w:val="both"/>
            </w:pPr>
            <w:r w:rsidRPr="00AA56A1">
              <w:t>Likumprojekt</w:t>
            </w:r>
            <w:r w:rsidR="00C372FF" w:rsidRPr="00AA56A1">
              <w:t>u</w:t>
            </w:r>
            <w:r w:rsidRPr="00AA56A1">
              <w:t xml:space="preserve"> „Grozījumi likumā „</w:t>
            </w:r>
            <w:r w:rsidR="007A1287" w:rsidRPr="00AA56A1">
              <w:t>Par nodokļiem un nodevām</w:t>
            </w:r>
            <w:r w:rsidRPr="00AA56A1">
              <w:t xml:space="preserve">””, </w:t>
            </w:r>
            <w:r w:rsidR="007A1287" w:rsidRPr="00AA56A1">
              <w:t>kurā paredzēts:</w:t>
            </w:r>
          </w:p>
          <w:p w14:paraId="78903667" w14:textId="77777777" w:rsidR="007A1287" w:rsidRPr="00AA56A1" w:rsidRDefault="007A1287" w:rsidP="007A1287">
            <w:pPr>
              <w:pStyle w:val="ListParagraph"/>
              <w:numPr>
                <w:ilvl w:val="0"/>
                <w:numId w:val="18"/>
              </w:numPr>
              <w:tabs>
                <w:tab w:val="left" w:pos="1134"/>
              </w:tabs>
              <w:jc w:val="both"/>
            </w:pPr>
            <w:r w:rsidRPr="00AA56A1">
              <w:t>piešķirt nodokļu administrācijai tiesības pieņemt lēmumu par nokavēto nodokļu maksājumu atlīdzināšanu, uzliekot noteiktajos gadījumos atbildību par nodokļu maksātāju tā valdes locekļiem;</w:t>
            </w:r>
          </w:p>
          <w:p w14:paraId="4E691810" w14:textId="72805AF9" w:rsidR="002716A4" w:rsidRPr="00AA56A1" w:rsidRDefault="007A1287" w:rsidP="007A1287">
            <w:pPr>
              <w:pStyle w:val="ListParagraph"/>
              <w:numPr>
                <w:ilvl w:val="0"/>
                <w:numId w:val="18"/>
              </w:numPr>
              <w:tabs>
                <w:tab w:val="left" w:pos="1134"/>
              </w:tabs>
              <w:jc w:val="both"/>
            </w:pPr>
            <w:r w:rsidRPr="00AA56A1">
              <w:t>piešķirt nodokļu administrācijai tiesības pieņemt lēmumu par nokavēto nodokļu maksājumu labprātīgu izpildi, atbilstoši kuram nodokļu parāda samaksas termiņu varēs pagarināt pēc lēmuma par bezstrīda piedziņu paziņošanas.</w:t>
            </w:r>
          </w:p>
        </w:tc>
      </w:tr>
      <w:tr w:rsidR="000225D5" w:rsidRPr="00AA56A1" w14:paraId="409A7E2F" w14:textId="77777777" w:rsidTr="00BC24BC">
        <w:tc>
          <w:tcPr>
            <w:tcW w:w="377" w:type="pct"/>
            <w:tcBorders>
              <w:top w:val="single" w:sz="6" w:space="0" w:color="auto"/>
              <w:left w:val="single" w:sz="6" w:space="0" w:color="auto"/>
              <w:bottom w:val="single" w:sz="6" w:space="0" w:color="auto"/>
              <w:right w:val="single" w:sz="4" w:space="0" w:color="auto"/>
            </w:tcBorders>
          </w:tcPr>
          <w:p w14:paraId="42009672" w14:textId="72EB2702" w:rsidR="008D06E4" w:rsidRPr="00AA56A1" w:rsidRDefault="0085794A" w:rsidP="00AA1306">
            <w:pPr>
              <w:spacing w:before="100" w:beforeAutospacing="1" w:after="100" w:afterAutospacing="1"/>
              <w:jc w:val="center"/>
              <w:rPr>
                <w:bCs/>
              </w:rPr>
            </w:pPr>
            <w:r w:rsidRPr="00AA56A1">
              <w:rPr>
                <w:bCs/>
              </w:rPr>
              <w:t>2.</w:t>
            </w:r>
          </w:p>
        </w:tc>
        <w:tc>
          <w:tcPr>
            <w:tcW w:w="1517" w:type="pct"/>
            <w:tcBorders>
              <w:top w:val="single" w:sz="6" w:space="0" w:color="auto"/>
              <w:left w:val="single" w:sz="4" w:space="0" w:color="auto"/>
              <w:bottom w:val="single" w:sz="6" w:space="0" w:color="auto"/>
              <w:right w:val="single" w:sz="4" w:space="0" w:color="auto"/>
            </w:tcBorders>
          </w:tcPr>
          <w:p w14:paraId="2B985C9F" w14:textId="77777777" w:rsidR="008D06E4" w:rsidRPr="00AA56A1" w:rsidRDefault="0085794A" w:rsidP="008D06E4">
            <w:pPr>
              <w:spacing w:before="100" w:beforeAutospacing="1" w:after="100" w:afterAutospacing="1"/>
              <w:jc w:val="center"/>
              <w:rPr>
                <w:bCs/>
              </w:rPr>
            </w:pPr>
            <w:r w:rsidRPr="00AA56A1">
              <w:rPr>
                <w:bCs/>
              </w:rPr>
              <w:t>Atbildīgā institūcija</w:t>
            </w:r>
          </w:p>
        </w:tc>
        <w:tc>
          <w:tcPr>
            <w:tcW w:w="3106" w:type="pct"/>
            <w:tcBorders>
              <w:top w:val="single" w:sz="6" w:space="0" w:color="auto"/>
              <w:left w:val="single" w:sz="4" w:space="0" w:color="auto"/>
              <w:bottom w:val="single" w:sz="6" w:space="0" w:color="auto"/>
              <w:right w:val="single" w:sz="6" w:space="0" w:color="auto"/>
            </w:tcBorders>
          </w:tcPr>
          <w:p w14:paraId="0F260500" w14:textId="77777777" w:rsidR="008D06E4" w:rsidRPr="00AA56A1" w:rsidRDefault="0085794A" w:rsidP="00032C63">
            <w:pPr>
              <w:spacing w:before="100" w:beforeAutospacing="1" w:after="100" w:afterAutospacing="1"/>
              <w:jc w:val="center"/>
              <w:rPr>
                <w:b/>
                <w:bCs/>
              </w:rPr>
            </w:pPr>
            <w:r w:rsidRPr="00AA56A1">
              <w:t>Finanšu ministrija</w:t>
            </w:r>
          </w:p>
        </w:tc>
      </w:tr>
      <w:tr w:rsidR="000225D5" w:rsidRPr="00AA56A1" w14:paraId="6DCB3C92" w14:textId="77777777" w:rsidTr="00365AF2">
        <w:tc>
          <w:tcPr>
            <w:tcW w:w="377" w:type="pct"/>
            <w:tcBorders>
              <w:top w:val="single" w:sz="6" w:space="0" w:color="auto"/>
              <w:left w:val="single" w:sz="6" w:space="0" w:color="auto"/>
              <w:bottom w:val="outset" w:sz="6" w:space="0" w:color="000000"/>
              <w:right w:val="single" w:sz="4" w:space="0" w:color="auto"/>
            </w:tcBorders>
          </w:tcPr>
          <w:p w14:paraId="63C46538" w14:textId="28DF8C46" w:rsidR="00BC24BC" w:rsidRPr="00AA56A1" w:rsidRDefault="00BC24BC" w:rsidP="00AA1306">
            <w:pPr>
              <w:spacing w:before="100" w:beforeAutospacing="1" w:after="100" w:afterAutospacing="1"/>
              <w:jc w:val="center"/>
              <w:rPr>
                <w:bCs/>
              </w:rPr>
            </w:pPr>
            <w:r w:rsidRPr="00AA56A1">
              <w:rPr>
                <w:bCs/>
              </w:rPr>
              <w:t>3.</w:t>
            </w:r>
          </w:p>
        </w:tc>
        <w:tc>
          <w:tcPr>
            <w:tcW w:w="1517" w:type="pct"/>
            <w:tcBorders>
              <w:top w:val="single" w:sz="6" w:space="0" w:color="auto"/>
              <w:left w:val="single" w:sz="4" w:space="0" w:color="auto"/>
              <w:bottom w:val="outset" w:sz="6" w:space="0" w:color="000000"/>
              <w:right w:val="single" w:sz="4" w:space="0" w:color="auto"/>
            </w:tcBorders>
          </w:tcPr>
          <w:p w14:paraId="006C0750" w14:textId="7E993887" w:rsidR="00BC24BC" w:rsidRPr="00AA56A1" w:rsidRDefault="00BC24BC" w:rsidP="008D06E4">
            <w:pPr>
              <w:spacing w:before="100" w:beforeAutospacing="1" w:after="100" w:afterAutospacing="1"/>
              <w:jc w:val="center"/>
              <w:rPr>
                <w:bCs/>
              </w:rPr>
            </w:pPr>
            <w:r w:rsidRPr="00AA56A1">
              <w:rPr>
                <w:bCs/>
              </w:rPr>
              <w:t>Cita informācija</w:t>
            </w:r>
          </w:p>
        </w:tc>
        <w:tc>
          <w:tcPr>
            <w:tcW w:w="3106" w:type="pct"/>
            <w:tcBorders>
              <w:top w:val="single" w:sz="6" w:space="0" w:color="auto"/>
              <w:left w:val="single" w:sz="4" w:space="0" w:color="auto"/>
              <w:bottom w:val="outset" w:sz="6" w:space="0" w:color="000000"/>
              <w:right w:val="single" w:sz="6" w:space="0" w:color="auto"/>
            </w:tcBorders>
          </w:tcPr>
          <w:p w14:paraId="4B61461A" w14:textId="571A9E7C" w:rsidR="00BC24BC" w:rsidRPr="00AA56A1" w:rsidRDefault="00BC24BC" w:rsidP="00032C63">
            <w:pPr>
              <w:spacing w:before="100" w:beforeAutospacing="1" w:after="100" w:afterAutospacing="1"/>
              <w:jc w:val="center"/>
            </w:pPr>
            <w:r w:rsidRPr="00AA56A1">
              <w:t>Nav</w:t>
            </w:r>
          </w:p>
        </w:tc>
      </w:tr>
    </w:tbl>
    <w:p w14:paraId="01E798DC" w14:textId="77777777" w:rsidR="00032C63" w:rsidRDefault="00032C63" w:rsidP="00032C63">
      <w:r w:rsidRPr="00AA56A1">
        <w:t> </w:t>
      </w:r>
    </w:p>
    <w:p w14:paraId="0F69F126" w14:textId="77777777" w:rsidR="00AA56A1" w:rsidRPr="00AA56A1" w:rsidRDefault="00AA56A1" w:rsidP="00032C63"/>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7"/>
      </w:tblGrid>
      <w:tr w:rsidR="000225D5" w:rsidRPr="00AA56A1" w14:paraId="2434D0F4" w14:textId="77777777" w:rsidTr="00032C63">
        <w:tc>
          <w:tcPr>
            <w:tcW w:w="5000" w:type="pct"/>
            <w:tcBorders>
              <w:top w:val="single" w:sz="6" w:space="0" w:color="auto"/>
              <w:left w:val="single" w:sz="6" w:space="0" w:color="auto"/>
              <w:bottom w:val="outset" w:sz="6" w:space="0" w:color="000000"/>
              <w:right w:val="single" w:sz="6" w:space="0" w:color="auto"/>
            </w:tcBorders>
            <w:hideMark/>
          </w:tcPr>
          <w:p w14:paraId="2CDFE3D9" w14:textId="77777777" w:rsidR="00032C63" w:rsidRPr="00AA56A1" w:rsidRDefault="00032C63" w:rsidP="00032C63">
            <w:pPr>
              <w:spacing w:before="100" w:beforeAutospacing="1" w:after="100" w:afterAutospacing="1"/>
              <w:jc w:val="center"/>
              <w:rPr>
                <w:b/>
                <w:bCs/>
              </w:rPr>
            </w:pPr>
            <w:r w:rsidRPr="00AA56A1">
              <w:rPr>
                <w:b/>
                <w:bCs/>
              </w:rPr>
              <w:t>V. Tiesību akta projekta atbilstība Latvijas Republikas starptautiskajām saistībām</w:t>
            </w:r>
          </w:p>
        </w:tc>
      </w:tr>
      <w:tr w:rsidR="000225D5" w:rsidRPr="00AA56A1" w14:paraId="6C82B61A" w14:textId="77777777" w:rsidTr="00032C63">
        <w:tc>
          <w:tcPr>
            <w:tcW w:w="5000" w:type="pct"/>
            <w:tcBorders>
              <w:top w:val="outset" w:sz="6" w:space="0" w:color="000000"/>
              <w:left w:val="outset" w:sz="6" w:space="0" w:color="000000"/>
              <w:bottom w:val="outset" w:sz="6" w:space="0" w:color="000000"/>
              <w:right w:val="outset" w:sz="6" w:space="0" w:color="000000"/>
            </w:tcBorders>
          </w:tcPr>
          <w:p w14:paraId="1940F84F" w14:textId="77777777" w:rsidR="00032C63" w:rsidRPr="00AA56A1" w:rsidRDefault="007756FB" w:rsidP="00032C63">
            <w:pPr>
              <w:spacing w:before="100" w:beforeAutospacing="1" w:after="100" w:afterAutospacing="1"/>
              <w:jc w:val="center"/>
            </w:pPr>
            <w:r w:rsidRPr="00AA56A1">
              <w:t>Projekts šo jomu neskar</w:t>
            </w:r>
          </w:p>
        </w:tc>
      </w:tr>
    </w:tbl>
    <w:p w14:paraId="6D91079E" w14:textId="77777777" w:rsidR="00032C63" w:rsidRDefault="00032C63" w:rsidP="00032C63">
      <w:r w:rsidRPr="00AA56A1">
        <w:t> </w:t>
      </w:r>
    </w:p>
    <w:p w14:paraId="5B0FFD01" w14:textId="77777777" w:rsidR="00AA56A1" w:rsidRPr="00AA56A1" w:rsidRDefault="00AA56A1" w:rsidP="00032C63"/>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7"/>
      </w:tblGrid>
      <w:tr w:rsidR="000225D5" w:rsidRPr="00AA56A1" w14:paraId="37CFE47E" w14:textId="77777777" w:rsidTr="00032C63">
        <w:tc>
          <w:tcPr>
            <w:tcW w:w="5000" w:type="pct"/>
            <w:tcBorders>
              <w:top w:val="outset" w:sz="6" w:space="0" w:color="000000"/>
              <w:left w:val="outset" w:sz="6" w:space="0" w:color="000000"/>
              <w:bottom w:val="outset" w:sz="6" w:space="0" w:color="000000"/>
              <w:right w:val="outset" w:sz="6" w:space="0" w:color="000000"/>
            </w:tcBorders>
            <w:hideMark/>
          </w:tcPr>
          <w:p w14:paraId="6FDE221F" w14:textId="77777777" w:rsidR="00032C63" w:rsidRPr="00AA56A1" w:rsidRDefault="00032C63" w:rsidP="007A6B20">
            <w:pPr>
              <w:spacing w:before="100" w:beforeAutospacing="1" w:after="100" w:afterAutospacing="1"/>
              <w:jc w:val="center"/>
              <w:rPr>
                <w:b/>
                <w:bCs/>
              </w:rPr>
            </w:pPr>
            <w:r w:rsidRPr="00AA56A1">
              <w:rPr>
                <w:b/>
                <w:bCs/>
              </w:rPr>
              <w:t xml:space="preserve">VI. Sabiedrības līdzdalība un </w:t>
            </w:r>
            <w:r w:rsidR="007A6B20" w:rsidRPr="00AA56A1">
              <w:rPr>
                <w:b/>
                <w:bCs/>
              </w:rPr>
              <w:t>komunikācijas aktivitātes</w:t>
            </w:r>
          </w:p>
        </w:tc>
      </w:tr>
      <w:tr w:rsidR="000225D5" w:rsidRPr="00AA56A1" w14:paraId="1185F38B" w14:textId="77777777" w:rsidTr="00032C63">
        <w:tc>
          <w:tcPr>
            <w:tcW w:w="5000" w:type="pct"/>
            <w:tcBorders>
              <w:top w:val="outset" w:sz="6" w:space="0" w:color="000000"/>
              <w:left w:val="outset" w:sz="6" w:space="0" w:color="000000"/>
              <w:bottom w:val="outset" w:sz="6" w:space="0" w:color="000000"/>
              <w:right w:val="outset" w:sz="6" w:space="0" w:color="000000"/>
            </w:tcBorders>
          </w:tcPr>
          <w:p w14:paraId="3D7D7889" w14:textId="632DCDFD" w:rsidR="008E74A8" w:rsidRPr="00AA56A1" w:rsidRDefault="007A1287" w:rsidP="007A1287">
            <w:pPr>
              <w:spacing w:before="100" w:beforeAutospacing="1" w:after="100" w:afterAutospacing="1"/>
              <w:jc w:val="center"/>
              <w:rPr>
                <w:b/>
                <w:bCs/>
              </w:rPr>
            </w:pPr>
            <w:r w:rsidRPr="00AA56A1">
              <w:t>Projekts šo jomu neskar</w:t>
            </w:r>
          </w:p>
        </w:tc>
      </w:tr>
    </w:tbl>
    <w:p w14:paraId="5ADCD1D1" w14:textId="77777777" w:rsidR="00032C63" w:rsidRDefault="00032C63" w:rsidP="00032C63"/>
    <w:p w14:paraId="067F41E7" w14:textId="77777777" w:rsidR="00AA56A1" w:rsidRPr="00AA56A1" w:rsidRDefault="00AA56A1" w:rsidP="00032C63"/>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33"/>
        <w:gridCol w:w="3738"/>
        <w:gridCol w:w="5046"/>
      </w:tblGrid>
      <w:tr w:rsidR="000225D5" w:rsidRPr="00AA56A1" w14:paraId="593B9B39" w14:textId="77777777" w:rsidTr="00032C63">
        <w:tc>
          <w:tcPr>
            <w:tcW w:w="5000" w:type="pct"/>
            <w:gridSpan w:val="3"/>
            <w:tcBorders>
              <w:top w:val="outset" w:sz="6" w:space="0" w:color="000000"/>
              <w:left w:val="outset" w:sz="6" w:space="0" w:color="000000"/>
              <w:bottom w:val="outset" w:sz="6" w:space="0" w:color="000000"/>
              <w:right w:val="outset" w:sz="6" w:space="0" w:color="000000"/>
            </w:tcBorders>
            <w:hideMark/>
          </w:tcPr>
          <w:p w14:paraId="646A3336" w14:textId="77777777" w:rsidR="00032C63" w:rsidRPr="00AA56A1" w:rsidRDefault="00032C63" w:rsidP="00032C63">
            <w:pPr>
              <w:spacing w:before="100" w:beforeAutospacing="1" w:after="100" w:afterAutospacing="1"/>
              <w:jc w:val="center"/>
              <w:rPr>
                <w:b/>
                <w:bCs/>
              </w:rPr>
            </w:pPr>
            <w:r w:rsidRPr="00AA56A1">
              <w:rPr>
                <w:b/>
                <w:bCs/>
              </w:rPr>
              <w:t>VII. Tiesību akta projekta izpildes nodrošināšana un tās ietekme uz institūcijām</w:t>
            </w:r>
          </w:p>
        </w:tc>
      </w:tr>
      <w:tr w:rsidR="000225D5" w:rsidRPr="00AA56A1" w14:paraId="2BFF146F" w14:textId="77777777" w:rsidTr="009553B5">
        <w:tc>
          <w:tcPr>
            <w:tcW w:w="385" w:type="pct"/>
            <w:tcBorders>
              <w:top w:val="outset" w:sz="6" w:space="0" w:color="000000"/>
              <w:left w:val="outset" w:sz="6" w:space="0" w:color="000000"/>
              <w:bottom w:val="outset" w:sz="6" w:space="0" w:color="000000"/>
              <w:right w:val="single" w:sz="4" w:space="0" w:color="auto"/>
            </w:tcBorders>
          </w:tcPr>
          <w:p w14:paraId="5EBEB62B" w14:textId="77777777" w:rsidR="00032C63" w:rsidRPr="00AA56A1" w:rsidRDefault="00032C63" w:rsidP="00032C63">
            <w:pPr>
              <w:spacing w:before="100" w:beforeAutospacing="1" w:after="100" w:afterAutospacing="1"/>
              <w:jc w:val="center"/>
            </w:pPr>
            <w:r w:rsidRPr="00AA56A1">
              <w:t>1.</w:t>
            </w:r>
          </w:p>
        </w:tc>
        <w:tc>
          <w:tcPr>
            <w:tcW w:w="1964" w:type="pct"/>
            <w:tcBorders>
              <w:top w:val="outset" w:sz="6" w:space="0" w:color="000000"/>
              <w:left w:val="single" w:sz="4" w:space="0" w:color="auto"/>
              <w:bottom w:val="outset" w:sz="6" w:space="0" w:color="000000"/>
              <w:right w:val="single" w:sz="4" w:space="0" w:color="auto"/>
            </w:tcBorders>
          </w:tcPr>
          <w:p w14:paraId="555F6F01" w14:textId="77777777" w:rsidR="00032C63" w:rsidRPr="00AA56A1" w:rsidRDefault="00032C63" w:rsidP="00032C63">
            <w:pPr>
              <w:spacing w:before="100" w:beforeAutospacing="1" w:after="100" w:afterAutospacing="1"/>
            </w:pPr>
            <w:r w:rsidRPr="00AA56A1">
              <w:t>Projekta izpildē iesaistītās institūcijas</w:t>
            </w:r>
          </w:p>
        </w:tc>
        <w:tc>
          <w:tcPr>
            <w:tcW w:w="2651" w:type="pct"/>
            <w:tcBorders>
              <w:top w:val="outset" w:sz="6" w:space="0" w:color="000000"/>
              <w:left w:val="single" w:sz="4" w:space="0" w:color="auto"/>
              <w:bottom w:val="outset" w:sz="6" w:space="0" w:color="000000"/>
              <w:right w:val="outset" w:sz="6" w:space="0" w:color="000000"/>
            </w:tcBorders>
          </w:tcPr>
          <w:p w14:paraId="49325BF8" w14:textId="62F2E76D" w:rsidR="00032C63" w:rsidRPr="00AA56A1" w:rsidRDefault="00032C63" w:rsidP="00E6688C">
            <w:pPr>
              <w:spacing w:before="100" w:beforeAutospacing="1" w:after="100" w:afterAutospacing="1"/>
              <w:jc w:val="both"/>
            </w:pPr>
            <w:r w:rsidRPr="00AA56A1">
              <w:t xml:space="preserve">Normatīvā akta izpildi nodrošinās </w:t>
            </w:r>
            <w:r w:rsidR="00E6688C" w:rsidRPr="00AA56A1">
              <w:t>VID</w:t>
            </w:r>
            <w:r w:rsidR="00BF2451" w:rsidRPr="00AA56A1">
              <w:t xml:space="preserve"> savu funkciju ietvaros</w:t>
            </w:r>
          </w:p>
        </w:tc>
      </w:tr>
      <w:tr w:rsidR="000225D5" w:rsidRPr="00AA56A1" w14:paraId="6E24A011" w14:textId="77777777" w:rsidTr="009553B5">
        <w:tc>
          <w:tcPr>
            <w:tcW w:w="385" w:type="pct"/>
            <w:tcBorders>
              <w:top w:val="outset" w:sz="6" w:space="0" w:color="000000"/>
              <w:left w:val="outset" w:sz="6" w:space="0" w:color="000000"/>
              <w:bottom w:val="outset" w:sz="6" w:space="0" w:color="000000"/>
              <w:right w:val="single" w:sz="4" w:space="0" w:color="auto"/>
            </w:tcBorders>
          </w:tcPr>
          <w:p w14:paraId="73BFA9E8" w14:textId="77777777" w:rsidR="00032C63" w:rsidRPr="00AA56A1" w:rsidRDefault="00032C63" w:rsidP="00032C63">
            <w:pPr>
              <w:spacing w:before="100" w:beforeAutospacing="1" w:after="100" w:afterAutospacing="1"/>
              <w:jc w:val="center"/>
            </w:pPr>
            <w:r w:rsidRPr="00AA56A1">
              <w:t>2.</w:t>
            </w:r>
          </w:p>
        </w:tc>
        <w:tc>
          <w:tcPr>
            <w:tcW w:w="1964" w:type="pct"/>
            <w:tcBorders>
              <w:top w:val="outset" w:sz="6" w:space="0" w:color="000000"/>
              <w:left w:val="single" w:sz="4" w:space="0" w:color="auto"/>
              <w:bottom w:val="outset" w:sz="6" w:space="0" w:color="000000"/>
              <w:right w:val="single" w:sz="4" w:space="0" w:color="auto"/>
            </w:tcBorders>
          </w:tcPr>
          <w:p w14:paraId="1AE62358" w14:textId="77777777" w:rsidR="00032C63" w:rsidRPr="00AA56A1" w:rsidRDefault="00FF735C" w:rsidP="000C52A7">
            <w:pPr>
              <w:jc w:val="both"/>
            </w:pPr>
            <w:r w:rsidRPr="00AA56A1">
              <w:t>Projekta izpildes ietekme uz pārvaldes funkcijām un institucionālo struktūru.</w:t>
            </w:r>
            <w:r w:rsidR="000C52A7" w:rsidRPr="00AA56A1">
              <w:t xml:space="preserve"> </w:t>
            </w:r>
            <w:r w:rsidRPr="00AA56A1">
              <w:t xml:space="preserve">Jaunu institūciju izveide, esošo institūciju likvidācija vai reorganizācija, to ietekme uz </w:t>
            </w:r>
            <w:r w:rsidRPr="00AA56A1">
              <w:lastRenderedPageBreak/>
              <w:t>institūcijas cilvēkresursiem</w:t>
            </w:r>
          </w:p>
        </w:tc>
        <w:tc>
          <w:tcPr>
            <w:tcW w:w="2651" w:type="pct"/>
            <w:tcBorders>
              <w:top w:val="outset" w:sz="6" w:space="0" w:color="000000"/>
              <w:left w:val="single" w:sz="4" w:space="0" w:color="auto"/>
              <w:bottom w:val="outset" w:sz="6" w:space="0" w:color="000000"/>
              <w:right w:val="outset" w:sz="6" w:space="0" w:color="000000"/>
            </w:tcBorders>
          </w:tcPr>
          <w:p w14:paraId="09E69667" w14:textId="77777777" w:rsidR="00032C63" w:rsidRPr="00AA56A1" w:rsidRDefault="007756FB" w:rsidP="00093490">
            <w:pPr>
              <w:spacing w:before="100" w:beforeAutospacing="1" w:after="100" w:afterAutospacing="1"/>
              <w:jc w:val="both"/>
            </w:pPr>
            <w:r w:rsidRPr="00AA56A1">
              <w:lastRenderedPageBreak/>
              <w:t>Projekt</w:t>
            </w:r>
            <w:r w:rsidR="00093490" w:rsidRPr="00AA56A1">
              <w:t>a izpilde neietekmēs valsts pārvaldes funkcijas</w:t>
            </w:r>
          </w:p>
        </w:tc>
      </w:tr>
      <w:tr w:rsidR="000225D5" w:rsidRPr="00AA56A1" w14:paraId="7574F57C" w14:textId="77777777" w:rsidTr="009553B5">
        <w:tc>
          <w:tcPr>
            <w:tcW w:w="385" w:type="pct"/>
            <w:tcBorders>
              <w:top w:val="outset" w:sz="6" w:space="0" w:color="000000"/>
              <w:left w:val="outset" w:sz="6" w:space="0" w:color="000000"/>
              <w:bottom w:val="outset" w:sz="6" w:space="0" w:color="000000"/>
              <w:right w:val="single" w:sz="4" w:space="0" w:color="auto"/>
            </w:tcBorders>
          </w:tcPr>
          <w:p w14:paraId="0E1DA44A" w14:textId="77777777" w:rsidR="00032C63" w:rsidRPr="00AA56A1" w:rsidRDefault="00032C63" w:rsidP="00032C63">
            <w:pPr>
              <w:spacing w:before="100" w:beforeAutospacing="1" w:after="100" w:afterAutospacing="1"/>
              <w:jc w:val="center"/>
            </w:pPr>
            <w:r w:rsidRPr="00AA56A1">
              <w:lastRenderedPageBreak/>
              <w:t>3.</w:t>
            </w:r>
          </w:p>
        </w:tc>
        <w:tc>
          <w:tcPr>
            <w:tcW w:w="1964" w:type="pct"/>
            <w:tcBorders>
              <w:top w:val="outset" w:sz="6" w:space="0" w:color="000000"/>
              <w:left w:val="single" w:sz="4" w:space="0" w:color="auto"/>
              <w:bottom w:val="outset" w:sz="6" w:space="0" w:color="000000"/>
              <w:right w:val="single" w:sz="4" w:space="0" w:color="auto"/>
            </w:tcBorders>
          </w:tcPr>
          <w:p w14:paraId="223464F4" w14:textId="77777777" w:rsidR="00032C63" w:rsidRPr="00AA56A1" w:rsidRDefault="00FF735C" w:rsidP="00FF735C">
            <w:pPr>
              <w:jc w:val="both"/>
            </w:pPr>
            <w:r w:rsidRPr="00AA56A1">
              <w:t>Cita informācija</w:t>
            </w:r>
          </w:p>
        </w:tc>
        <w:tc>
          <w:tcPr>
            <w:tcW w:w="2651" w:type="pct"/>
            <w:tcBorders>
              <w:top w:val="outset" w:sz="6" w:space="0" w:color="000000"/>
              <w:left w:val="single" w:sz="4" w:space="0" w:color="auto"/>
              <w:bottom w:val="outset" w:sz="6" w:space="0" w:color="000000"/>
              <w:right w:val="outset" w:sz="6" w:space="0" w:color="000000"/>
            </w:tcBorders>
          </w:tcPr>
          <w:p w14:paraId="4F11B5B6" w14:textId="77777777" w:rsidR="00032C63" w:rsidRPr="00AA56A1" w:rsidRDefault="00FF735C" w:rsidP="00032C63">
            <w:pPr>
              <w:spacing w:before="100" w:beforeAutospacing="1" w:after="100" w:afterAutospacing="1"/>
              <w:jc w:val="both"/>
            </w:pPr>
            <w:r w:rsidRPr="00AA56A1">
              <w:t>Nav</w:t>
            </w:r>
          </w:p>
        </w:tc>
      </w:tr>
      <w:tr w:rsidR="000225D5" w:rsidRPr="00AA56A1" w14:paraId="5ED1DFF1" w14:textId="77777777" w:rsidTr="009553B5">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707"/>
        </w:trPr>
        <w:tc>
          <w:tcPr>
            <w:tcW w:w="2349" w:type="pct"/>
            <w:gridSpan w:val="2"/>
          </w:tcPr>
          <w:p w14:paraId="22FA853E" w14:textId="77777777" w:rsidR="00032C63" w:rsidRPr="00AA56A1" w:rsidRDefault="00032C63" w:rsidP="00032C63">
            <w:pPr>
              <w:jc w:val="both"/>
              <w:rPr>
                <w:lang w:eastAsia="en-US"/>
              </w:rPr>
            </w:pPr>
          </w:p>
        </w:tc>
        <w:tc>
          <w:tcPr>
            <w:tcW w:w="2651" w:type="pct"/>
          </w:tcPr>
          <w:p w14:paraId="7FD66446" w14:textId="77777777" w:rsidR="00032C63" w:rsidRPr="00AA56A1" w:rsidRDefault="00032C63" w:rsidP="00032C63">
            <w:pPr>
              <w:rPr>
                <w:lang w:eastAsia="en-US"/>
              </w:rPr>
            </w:pPr>
          </w:p>
        </w:tc>
      </w:tr>
      <w:tr w:rsidR="000225D5" w:rsidRPr="00AA56A1" w14:paraId="2AC40EF6" w14:textId="77777777" w:rsidTr="009553B5">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134"/>
        </w:trPr>
        <w:tc>
          <w:tcPr>
            <w:tcW w:w="2349" w:type="pct"/>
            <w:gridSpan w:val="2"/>
          </w:tcPr>
          <w:p w14:paraId="34890CF9" w14:textId="77777777" w:rsidR="002268EF" w:rsidRPr="00AA56A1" w:rsidRDefault="00906DD8" w:rsidP="007756FB">
            <w:pPr>
              <w:jc w:val="both"/>
            </w:pPr>
            <w:r w:rsidRPr="00AA56A1">
              <w:t>Finanšu ministrs</w:t>
            </w:r>
          </w:p>
          <w:p w14:paraId="08C37FEE" w14:textId="77777777" w:rsidR="002268EF" w:rsidRPr="00AA56A1" w:rsidRDefault="002268EF" w:rsidP="007756FB">
            <w:pPr>
              <w:jc w:val="both"/>
            </w:pPr>
          </w:p>
          <w:p w14:paraId="4F0F8E46" w14:textId="77777777" w:rsidR="00032C63" w:rsidRPr="00AA56A1" w:rsidRDefault="00032C63" w:rsidP="007756FB">
            <w:pPr>
              <w:jc w:val="both"/>
            </w:pPr>
            <w:r w:rsidRPr="00AA56A1">
              <w:t>Valsts sekretār</w:t>
            </w:r>
            <w:r w:rsidR="007756FB" w:rsidRPr="00AA56A1">
              <w:t>e</w:t>
            </w:r>
          </w:p>
        </w:tc>
        <w:tc>
          <w:tcPr>
            <w:tcW w:w="2651" w:type="pct"/>
          </w:tcPr>
          <w:p w14:paraId="22D1F1D7" w14:textId="77777777" w:rsidR="00906DD8" w:rsidRPr="00AA56A1" w:rsidRDefault="00906DD8" w:rsidP="00906DD8">
            <w:pPr>
              <w:jc w:val="right"/>
            </w:pPr>
            <w:r w:rsidRPr="00AA56A1">
              <w:t>A.Vilks</w:t>
            </w:r>
          </w:p>
          <w:p w14:paraId="6B3799D9" w14:textId="77777777" w:rsidR="002268EF" w:rsidRPr="00AA56A1" w:rsidRDefault="002268EF" w:rsidP="00FF735C"/>
          <w:p w14:paraId="4F160461" w14:textId="77777777" w:rsidR="00906DD8" w:rsidRPr="00AA56A1" w:rsidRDefault="00906DD8" w:rsidP="00906DD8">
            <w:pPr>
              <w:jc w:val="right"/>
            </w:pPr>
            <w:r w:rsidRPr="00AA56A1">
              <w:t>S.Bajāre</w:t>
            </w:r>
          </w:p>
          <w:p w14:paraId="1AB2E278" w14:textId="77777777" w:rsidR="002268EF" w:rsidRPr="00AA56A1" w:rsidRDefault="002268EF" w:rsidP="00032C63">
            <w:pPr>
              <w:jc w:val="right"/>
            </w:pPr>
          </w:p>
          <w:p w14:paraId="5BA6D847" w14:textId="77777777" w:rsidR="00032C63" w:rsidRPr="00AA56A1" w:rsidRDefault="00032C63" w:rsidP="00906DD8">
            <w:pPr>
              <w:jc w:val="right"/>
            </w:pPr>
          </w:p>
        </w:tc>
      </w:tr>
    </w:tbl>
    <w:p w14:paraId="3E7EADD0" w14:textId="77777777" w:rsidR="00880387" w:rsidRPr="00AA56A1" w:rsidRDefault="00880387" w:rsidP="007756FB"/>
    <w:p w14:paraId="6C7769F4" w14:textId="77777777" w:rsidR="00F2425A" w:rsidRPr="00AA56A1" w:rsidRDefault="00F2425A" w:rsidP="007756FB"/>
    <w:p w14:paraId="3C28B6D1" w14:textId="77777777" w:rsidR="00F2425A" w:rsidRPr="00AA56A1" w:rsidRDefault="00F2425A" w:rsidP="007756FB"/>
    <w:p w14:paraId="320D479B" w14:textId="2DB055B8" w:rsidR="00C372FF" w:rsidRPr="00AA56A1" w:rsidRDefault="0061508C" w:rsidP="007756FB">
      <w:r w:rsidRPr="00AA56A1">
        <w:t>27</w:t>
      </w:r>
      <w:r w:rsidR="00C372FF" w:rsidRPr="00AA56A1">
        <w:t>.0</w:t>
      </w:r>
      <w:r w:rsidRPr="00AA56A1">
        <w:t>5</w:t>
      </w:r>
      <w:r w:rsidR="00C372FF" w:rsidRPr="00AA56A1">
        <w:t xml:space="preserve">.2014 </w:t>
      </w:r>
      <w:r w:rsidR="007A033C" w:rsidRPr="00AA56A1">
        <w:t>13</w:t>
      </w:r>
      <w:r w:rsidR="00C372FF" w:rsidRPr="00AA56A1">
        <w:t>:</w:t>
      </w:r>
      <w:r w:rsidR="007A033C" w:rsidRPr="00AA56A1">
        <w:t>17</w:t>
      </w:r>
    </w:p>
    <w:p w14:paraId="1F7E4022" w14:textId="77777777" w:rsidR="00D36C4B" w:rsidRPr="00AA56A1" w:rsidRDefault="00CF2CD9" w:rsidP="00D36C4B">
      <w:r>
        <w:fldChar w:fldCharType="begin"/>
      </w:r>
      <w:r>
        <w:instrText xml:space="preserve"> NUMWORDS  </w:instrText>
      </w:r>
      <w:r>
        <w:fldChar w:fldCharType="separate"/>
      </w:r>
      <w:r w:rsidR="00565204" w:rsidRPr="00AA56A1">
        <w:rPr>
          <w:noProof/>
        </w:rPr>
        <w:t>520</w:t>
      </w:r>
      <w:r>
        <w:rPr>
          <w:noProof/>
        </w:rPr>
        <w:fldChar w:fldCharType="end"/>
      </w:r>
    </w:p>
    <w:p w14:paraId="096142B7" w14:textId="602E208C" w:rsidR="007756FB" w:rsidRPr="00AA56A1" w:rsidRDefault="0061508C" w:rsidP="007756FB">
      <w:pPr>
        <w:pStyle w:val="ListParagraph"/>
        <w:ind w:left="0"/>
        <w:jc w:val="both"/>
      </w:pPr>
      <w:r w:rsidRPr="00AA56A1">
        <w:t>R.Auziņš</w:t>
      </w:r>
    </w:p>
    <w:p w14:paraId="734921D2" w14:textId="77777777" w:rsidR="007756FB" w:rsidRPr="00AA56A1" w:rsidRDefault="007756FB" w:rsidP="007756FB">
      <w:pPr>
        <w:pStyle w:val="ListParagraph"/>
        <w:ind w:left="0"/>
        <w:jc w:val="both"/>
      </w:pPr>
      <w:r w:rsidRPr="00AA56A1">
        <w:t>Finanšu ministrijas</w:t>
      </w:r>
    </w:p>
    <w:p w14:paraId="57A37018" w14:textId="77777777" w:rsidR="007756FB" w:rsidRPr="00AA56A1" w:rsidRDefault="007756FB" w:rsidP="007756FB">
      <w:pPr>
        <w:pStyle w:val="ListParagraph"/>
        <w:ind w:left="0"/>
        <w:jc w:val="both"/>
      </w:pPr>
      <w:r w:rsidRPr="00AA56A1">
        <w:t xml:space="preserve">Nodokļu administrēšanas </w:t>
      </w:r>
      <w:r w:rsidR="00785F87" w:rsidRPr="00AA56A1">
        <w:t xml:space="preserve">un grāmatvedības </w:t>
      </w:r>
      <w:r w:rsidRPr="00AA56A1">
        <w:t>politikas departamenta</w:t>
      </w:r>
    </w:p>
    <w:p w14:paraId="34103DD5" w14:textId="4560D5A0" w:rsidR="007756FB" w:rsidRPr="00AA56A1" w:rsidRDefault="007756FB" w:rsidP="007756FB">
      <w:pPr>
        <w:pStyle w:val="ListParagraph"/>
        <w:ind w:left="0"/>
        <w:jc w:val="both"/>
      </w:pPr>
      <w:r w:rsidRPr="00AA56A1">
        <w:t xml:space="preserve">Nodokļu administrēšanas </w:t>
      </w:r>
      <w:r w:rsidR="00785F87" w:rsidRPr="00AA56A1">
        <w:t>politikas</w:t>
      </w:r>
      <w:r w:rsidRPr="00AA56A1">
        <w:t xml:space="preserve"> nodaļas </w:t>
      </w:r>
      <w:r w:rsidR="0061508C" w:rsidRPr="00AA56A1">
        <w:t>vadītāja vietnieks</w:t>
      </w:r>
    </w:p>
    <w:p w14:paraId="6E20EA8B" w14:textId="6F048108" w:rsidR="007756FB" w:rsidRPr="00AA56A1" w:rsidRDefault="007756FB" w:rsidP="007756FB">
      <w:pPr>
        <w:pStyle w:val="ListParagraph"/>
        <w:ind w:left="0"/>
        <w:jc w:val="both"/>
      </w:pPr>
      <w:r w:rsidRPr="00AA56A1">
        <w:t xml:space="preserve">tālr. </w:t>
      </w:r>
      <w:r w:rsidR="00A866B7" w:rsidRPr="00AA56A1">
        <w:t>670839</w:t>
      </w:r>
      <w:r w:rsidR="0061508C" w:rsidRPr="00AA56A1">
        <w:t>19</w:t>
      </w:r>
      <w:r w:rsidR="00FF735C" w:rsidRPr="00AA56A1">
        <w:t xml:space="preserve">, </w:t>
      </w:r>
      <w:hyperlink r:id="rId8" w:history="1">
        <w:r w:rsidR="0061508C" w:rsidRPr="00AA56A1">
          <w:rPr>
            <w:rStyle w:val="Hyperlink"/>
          </w:rPr>
          <w:t>roberts.</w:t>
        </w:r>
        <w:bookmarkStart w:id="1" w:name="OLE_LINK1"/>
        <w:bookmarkStart w:id="2" w:name="OLE_LINK2"/>
        <w:r w:rsidR="0061508C" w:rsidRPr="00AA56A1">
          <w:rPr>
            <w:rStyle w:val="Hyperlink"/>
          </w:rPr>
          <w:t>auzins@fm.gov.lv</w:t>
        </w:r>
        <w:bookmarkEnd w:id="1"/>
        <w:bookmarkEnd w:id="2"/>
      </w:hyperlink>
    </w:p>
    <w:sectPr w:rsidR="007756FB" w:rsidRPr="00AA56A1" w:rsidSect="00134C95">
      <w:headerReference w:type="even" r:id="rId9"/>
      <w:headerReference w:type="default" r:id="rId10"/>
      <w:footerReference w:type="default" r:id="rId11"/>
      <w:footerReference w:type="first" r:id="rId12"/>
      <w:pgSz w:w="11906" w:h="16838" w:code="9"/>
      <w:pgMar w:top="709" w:right="1134" w:bottom="1134" w:left="1701"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D6B91" w14:textId="77777777" w:rsidR="003C5A60" w:rsidRDefault="003C5A60">
      <w:r>
        <w:separator/>
      </w:r>
    </w:p>
  </w:endnote>
  <w:endnote w:type="continuationSeparator" w:id="0">
    <w:p w14:paraId="62BB3C78" w14:textId="77777777" w:rsidR="003C5A60" w:rsidRDefault="003C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BAA6" w14:textId="36ACCC72" w:rsidR="009D5827" w:rsidRPr="00BF2451" w:rsidRDefault="00BF2451" w:rsidP="00BF2451">
    <w:pPr>
      <w:pStyle w:val="naislab"/>
      <w:jc w:val="both"/>
      <w:rPr>
        <w:sz w:val="20"/>
        <w:szCs w:val="20"/>
      </w:rPr>
    </w:pPr>
    <w:r w:rsidRPr="0091278B">
      <w:rPr>
        <w:sz w:val="18"/>
        <w:szCs w:val="18"/>
      </w:rPr>
      <w:t>FMAnot_</w:t>
    </w:r>
    <w:r w:rsidR="00557266">
      <w:rPr>
        <w:sz w:val="18"/>
        <w:szCs w:val="18"/>
      </w:rPr>
      <w:t>2705</w:t>
    </w:r>
    <w:r>
      <w:rPr>
        <w:sz w:val="18"/>
        <w:szCs w:val="18"/>
      </w:rPr>
      <w:t>14_</w:t>
    </w:r>
    <w:r w:rsidR="00AA56A1">
      <w:rPr>
        <w:sz w:val="18"/>
        <w:szCs w:val="18"/>
      </w:rPr>
      <w:t>VID</w:t>
    </w:r>
    <w:r w:rsidRPr="0091278B">
      <w:rPr>
        <w:sz w:val="18"/>
        <w:szCs w:val="18"/>
      </w:rPr>
      <w:t xml:space="preserve">; </w:t>
    </w:r>
    <w:r>
      <w:rPr>
        <w:sz w:val="20"/>
        <w:szCs w:val="20"/>
      </w:rPr>
      <w:t>Likum</w:t>
    </w:r>
    <w:r w:rsidRPr="007756FB">
      <w:rPr>
        <w:sz w:val="20"/>
        <w:szCs w:val="20"/>
      </w:rPr>
      <w:t xml:space="preserve">projekta „Grozījumi </w:t>
    </w:r>
    <w:r>
      <w:rPr>
        <w:sz w:val="20"/>
        <w:szCs w:val="20"/>
      </w:rPr>
      <w:t xml:space="preserve">likumā „Par </w:t>
    </w:r>
    <w:r w:rsidR="008C6CAD">
      <w:rPr>
        <w:sz w:val="20"/>
        <w:szCs w:val="20"/>
      </w:rPr>
      <w:t>Valsts ieņēmumu dienestu</w:t>
    </w:r>
    <w:r w:rsidRPr="007756FB">
      <w:rPr>
        <w:sz w:val="20"/>
        <w:szCs w:val="20"/>
      </w:rPr>
      <w:t>”” sākotnējās ietekmes n</w:t>
    </w:r>
    <w:r>
      <w:rPr>
        <w:sz w:val="20"/>
        <w:szCs w:val="20"/>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8F88" w14:textId="32EC6463" w:rsidR="003169F1" w:rsidRPr="00657D42" w:rsidRDefault="003169F1" w:rsidP="003169F1">
    <w:pPr>
      <w:pStyle w:val="naislab"/>
      <w:jc w:val="both"/>
      <w:rPr>
        <w:sz w:val="20"/>
        <w:szCs w:val="20"/>
      </w:rPr>
    </w:pPr>
    <w:r w:rsidRPr="0091278B">
      <w:rPr>
        <w:sz w:val="18"/>
        <w:szCs w:val="18"/>
      </w:rPr>
      <w:t>FMAnot_</w:t>
    </w:r>
    <w:r w:rsidR="00557266">
      <w:rPr>
        <w:sz w:val="18"/>
        <w:szCs w:val="18"/>
      </w:rPr>
      <w:t>2705</w:t>
    </w:r>
    <w:r w:rsidR="00350F82">
      <w:rPr>
        <w:sz w:val="18"/>
        <w:szCs w:val="18"/>
      </w:rPr>
      <w:t>14_</w:t>
    </w:r>
    <w:r w:rsidR="00AA56A1">
      <w:rPr>
        <w:sz w:val="18"/>
        <w:szCs w:val="18"/>
      </w:rPr>
      <w:t>VID</w:t>
    </w:r>
    <w:r w:rsidRPr="0091278B">
      <w:rPr>
        <w:sz w:val="18"/>
        <w:szCs w:val="18"/>
      </w:rPr>
      <w:t xml:space="preserve">; </w:t>
    </w:r>
    <w:r>
      <w:rPr>
        <w:sz w:val="20"/>
        <w:szCs w:val="20"/>
      </w:rPr>
      <w:t>Likum</w:t>
    </w:r>
    <w:r w:rsidRPr="007756FB">
      <w:rPr>
        <w:sz w:val="20"/>
        <w:szCs w:val="20"/>
      </w:rPr>
      <w:t xml:space="preserve">projekta „Grozījumi </w:t>
    </w:r>
    <w:r>
      <w:rPr>
        <w:sz w:val="20"/>
        <w:szCs w:val="20"/>
      </w:rPr>
      <w:t xml:space="preserve">likumā „Par </w:t>
    </w:r>
    <w:r w:rsidR="008C6CAD">
      <w:rPr>
        <w:sz w:val="20"/>
        <w:szCs w:val="20"/>
      </w:rPr>
      <w:t>Valsts ieņēmumu dienestu</w:t>
    </w:r>
    <w:r w:rsidRPr="007756FB">
      <w:rPr>
        <w:sz w:val="20"/>
        <w:szCs w:val="20"/>
      </w:rPr>
      <w:t>”” sākotnējās ietekmes n</w:t>
    </w:r>
    <w:r>
      <w:rPr>
        <w:sz w:val="20"/>
        <w:szCs w:val="20"/>
      </w:rPr>
      <w:t>ovērtējuma ziņojums (anotācija)</w:t>
    </w:r>
  </w:p>
  <w:p w14:paraId="04F302B7" w14:textId="77777777" w:rsidR="009D5827" w:rsidRPr="003169F1" w:rsidRDefault="009D5827" w:rsidP="00316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36166" w14:textId="77777777" w:rsidR="003C5A60" w:rsidRDefault="003C5A60">
      <w:r>
        <w:separator/>
      </w:r>
    </w:p>
  </w:footnote>
  <w:footnote w:type="continuationSeparator" w:id="0">
    <w:p w14:paraId="0AFD4AA7" w14:textId="77777777" w:rsidR="003C5A60" w:rsidRDefault="003C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8C668" w14:textId="77777777"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2038AF" w14:textId="77777777" w:rsidR="009D5827" w:rsidRDefault="009D5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9C9F" w14:textId="77777777"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2CD9">
      <w:rPr>
        <w:rStyle w:val="PageNumber"/>
        <w:noProof/>
      </w:rPr>
      <w:t>3</w:t>
    </w:r>
    <w:r>
      <w:rPr>
        <w:rStyle w:val="PageNumber"/>
      </w:rPr>
      <w:fldChar w:fldCharType="end"/>
    </w:r>
  </w:p>
  <w:p w14:paraId="6B7C4C09" w14:textId="77777777" w:rsidR="009D5827" w:rsidRDefault="009D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6509"/>
    <w:multiLevelType w:val="hybridMultilevel"/>
    <w:tmpl w:val="0032D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41000E"/>
    <w:multiLevelType w:val="hybridMultilevel"/>
    <w:tmpl w:val="9558D132"/>
    <w:lvl w:ilvl="0" w:tplc="84FE7D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ADA62CB"/>
    <w:multiLevelType w:val="hybridMultilevel"/>
    <w:tmpl w:val="D31C7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2E61FF"/>
    <w:multiLevelType w:val="hybridMultilevel"/>
    <w:tmpl w:val="F84AB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1B46AC"/>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2CE80E17"/>
    <w:multiLevelType w:val="hybridMultilevel"/>
    <w:tmpl w:val="3B8E18A0"/>
    <w:lvl w:ilvl="0" w:tplc="21506FEA">
      <w:start w:val="1"/>
      <w:numFmt w:val="decimal"/>
      <w:lvlText w:val="%1)"/>
      <w:lvlJc w:val="left"/>
      <w:pPr>
        <w:ind w:left="720" w:hanging="360"/>
      </w:pPr>
      <w:rPr>
        <w:rFonts w:eastAsia="Calibri"/>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2D652B3C"/>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46B1498C"/>
    <w:multiLevelType w:val="hybridMultilevel"/>
    <w:tmpl w:val="F84AB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A61324"/>
    <w:multiLevelType w:val="hybridMultilevel"/>
    <w:tmpl w:val="9DA8DB4E"/>
    <w:lvl w:ilvl="0" w:tplc="FD9A8A38">
      <w:start w:val="1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0157F46"/>
    <w:multiLevelType w:val="hybridMultilevel"/>
    <w:tmpl w:val="7C3203A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CA43F95"/>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C05587C"/>
    <w:multiLevelType w:val="hybridMultilevel"/>
    <w:tmpl w:val="ED2C3DB2"/>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735E3A2D"/>
    <w:multiLevelType w:val="hybridMultilevel"/>
    <w:tmpl w:val="3CB09900"/>
    <w:lvl w:ilvl="0" w:tplc="3C666CB0">
      <w:start w:val="7"/>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8"/>
  </w:num>
  <w:num w:numId="2">
    <w:abstractNumId w:val="7"/>
  </w:num>
  <w:num w:numId="3">
    <w:abstractNumId w:val="12"/>
  </w:num>
  <w:num w:numId="4">
    <w:abstractNumId w:val="16"/>
  </w:num>
  <w:num w:numId="5">
    <w:abstractNumId w:val="9"/>
  </w:num>
  <w:num w:numId="6">
    <w:abstractNumId w:val="18"/>
  </w:num>
  <w:num w:numId="7">
    <w:abstractNumId w:val="4"/>
  </w:num>
  <w:num w:numId="8">
    <w:abstractNumId w:val="1"/>
  </w:num>
  <w:num w:numId="9">
    <w:abstractNumId w:val="17"/>
  </w:num>
  <w:num w:numId="10">
    <w:abstractNumId w:val="14"/>
  </w:num>
  <w:num w:numId="11">
    <w:abstractNumId w:val="6"/>
  </w:num>
  <w:num w:numId="12">
    <w:abstractNumId w:val="13"/>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3"/>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2259A"/>
    <w:rsid w:val="000225D5"/>
    <w:rsid w:val="00024D4A"/>
    <w:rsid w:val="00032C63"/>
    <w:rsid w:val="00045E7D"/>
    <w:rsid w:val="00075879"/>
    <w:rsid w:val="00081DAB"/>
    <w:rsid w:val="000926E1"/>
    <w:rsid w:val="00093490"/>
    <w:rsid w:val="00095671"/>
    <w:rsid w:val="000A3646"/>
    <w:rsid w:val="000B3304"/>
    <w:rsid w:val="000B6BEE"/>
    <w:rsid w:val="000C52A7"/>
    <w:rsid w:val="000D4E09"/>
    <w:rsid w:val="000E06A4"/>
    <w:rsid w:val="000F148C"/>
    <w:rsid w:val="000F7CD5"/>
    <w:rsid w:val="001012AA"/>
    <w:rsid w:val="001166D1"/>
    <w:rsid w:val="00121706"/>
    <w:rsid w:val="0013216F"/>
    <w:rsid w:val="00134C95"/>
    <w:rsid w:val="00142AB7"/>
    <w:rsid w:val="00157261"/>
    <w:rsid w:val="00164AB4"/>
    <w:rsid w:val="00170AC9"/>
    <w:rsid w:val="0017674A"/>
    <w:rsid w:val="0018771A"/>
    <w:rsid w:val="001935E4"/>
    <w:rsid w:val="001A048B"/>
    <w:rsid w:val="001A0D5C"/>
    <w:rsid w:val="001B4146"/>
    <w:rsid w:val="001B6E27"/>
    <w:rsid w:val="001C7060"/>
    <w:rsid w:val="001D73D4"/>
    <w:rsid w:val="001E7B85"/>
    <w:rsid w:val="001F23CC"/>
    <w:rsid w:val="00206F3A"/>
    <w:rsid w:val="0021058A"/>
    <w:rsid w:val="002268EF"/>
    <w:rsid w:val="00231E45"/>
    <w:rsid w:val="00232C65"/>
    <w:rsid w:val="00246D9C"/>
    <w:rsid w:val="00253E23"/>
    <w:rsid w:val="00267711"/>
    <w:rsid w:val="002716A4"/>
    <w:rsid w:val="00271A80"/>
    <w:rsid w:val="0027384B"/>
    <w:rsid w:val="002829BB"/>
    <w:rsid w:val="002913D0"/>
    <w:rsid w:val="00294287"/>
    <w:rsid w:val="00294A3C"/>
    <w:rsid w:val="00295D20"/>
    <w:rsid w:val="00296449"/>
    <w:rsid w:val="002B01EB"/>
    <w:rsid w:val="002B458F"/>
    <w:rsid w:val="002C2088"/>
    <w:rsid w:val="002D7D23"/>
    <w:rsid w:val="002E1C54"/>
    <w:rsid w:val="002F033B"/>
    <w:rsid w:val="002F3CEC"/>
    <w:rsid w:val="002F4C6B"/>
    <w:rsid w:val="0031278B"/>
    <w:rsid w:val="003169F1"/>
    <w:rsid w:val="00324A5D"/>
    <w:rsid w:val="00341D41"/>
    <w:rsid w:val="00343F57"/>
    <w:rsid w:val="00344A45"/>
    <w:rsid w:val="00350F82"/>
    <w:rsid w:val="00352217"/>
    <w:rsid w:val="003537C1"/>
    <w:rsid w:val="00353D75"/>
    <w:rsid w:val="00365AF2"/>
    <w:rsid w:val="0037109E"/>
    <w:rsid w:val="003804CD"/>
    <w:rsid w:val="00387B30"/>
    <w:rsid w:val="003C2949"/>
    <w:rsid w:val="003C5A60"/>
    <w:rsid w:val="003C642A"/>
    <w:rsid w:val="003D35D3"/>
    <w:rsid w:val="003F6A7A"/>
    <w:rsid w:val="004005ED"/>
    <w:rsid w:val="00400BC5"/>
    <w:rsid w:val="00431878"/>
    <w:rsid w:val="00431C1A"/>
    <w:rsid w:val="00435156"/>
    <w:rsid w:val="00436FB2"/>
    <w:rsid w:val="004402AD"/>
    <w:rsid w:val="004800A1"/>
    <w:rsid w:val="00483499"/>
    <w:rsid w:val="00487759"/>
    <w:rsid w:val="004913B1"/>
    <w:rsid w:val="004933D4"/>
    <w:rsid w:val="00493932"/>
    <w:rsid w:val="00495216"/>
    <w:rsid w:val="004969A9"/>
    <w:rsid w:val="004B1783"/>
    <w:rsid w:val="004C4CEE"/>
    <w:rsid w:val="004C7E64"/>
    <w:rsid w:val="004D0F9A"/>
    <w:rsid w:val="004D42EC"/>
    <w:rsid w:val="004E4573"/>
    <w:rsid w:val="004E683A"/>
    <w:rsid w:val="004F1B4F"/>
    <w:rsid w:val="004F56AF"/>
    <w:rsid w:val="004F7B81"/>
    <w:rsid w:val="005103BA"/>
    <w:rsid w:val="00535025"/>
    <w:rsid w:val="005524C9"/>
    <w:rsid w:val="00557266"/>
    <w:rsid w:val="00565204"/>
    <w:rsid w:val="00570629"/>
    <w:rsid w:val="005A020D"/>
    <w:rsid w:val="005A7A3D"/>
    <w:rsid w:val="005B3362"/>
    <w:rsid w:val="005E4124"/>
    <w:rsid w:val="005E4B46"/>
    <w:rsid w:val="0060078A"/>
    <w:rsid w:val="00604115"/>
    <w:rsid w:val="0061508C"/>
    <w:rsid w:val="00621AD7"/>
    <w:rsid w:val="00621E39"/>
    <w:rsid w:val="00643EAB"/>
    <w:rsid w:val="006578B7"/>
    <w:rsid w:val="00657AE9"/>
    <w:rsid w:val="00657D42"/>
    <w:rsid w:val="0067240C"/>
    <w:rsid w:val="00673945"/>
    <w:rsid w:val="00684766"/>
    <w:rsid w:val="006924F7"/>
    <w:rsid w:val="00694740"/>
    <w:rsid w:val="00697780"/>
    <w:rsid w:val="006B1B31"/>
    <w:rsid w:val="006C4C20"/>
    <w:rsid w:val="006E68D1"/>
    <w:rsid w:val="006F02EA"/>
    <w:rsid w:val="006F3FEE"/>
    <w:rsid w:val="00702067"/>
    <w:rsid w:val="00705178"/>
    <w:rsid w:val="007100E7"/>
    <w:rsid w:val="007118F7"/>
    <w:rsid w:val="00713669"/>
    <w:rsid w:val="00733D77"/>
    <w:rsid w:val="00735EF4"/>
    <w:rsid w:val="00743410"/>
    <w:rsid w:val="007444DF"/>
    <w:rsid w:val="0076494E"/>
    <w:rsid w:val="00774CA6"/>
    <w:rsid w:val="007756FB"/>
    <w:rsid w:val="0078381A"/>
    <w:rsid w:val="00785F87"/>
    <w:rsid w:val="007961CD"/>
    <w:rsid w:val="007A033C"/>
    <w:rsid w:val="007A1287"/>
    <w:rsid w:val="007A6B20"/>
    <w:rsid w:val="007B342F"/>
    <w:rsid w:val="007D192A"/>
    <w:rsid w:val="007E7AF1"/>
    <w:rsid w:val="007F599B"/>
    <w:rsid w:val="008017E8"/>
    <w:rsid w:val="0080364A"/>
    <w:rsid w:val="008203B4"/>
    <w:rsid w:val="00822CC1"/>
    <w:rsid w:val="00827512"/>
    <w:rsid w:val="008441C4"/>
    <w:rsid w:val="00855E24"/>
    <w:rsid w:val="0085794A"/>
    <w:rsid w:val="00864BA4"/>
    <w:rsid w:val="00880387"/>
    <w:rsid w:val="008923F1"/>
    <w:rsid w:val="008961E6"/>
    <w:rsid w:val="008B2749"/>
    <w:rsid w:val="008C0969"/>
    <w:rsid w:val="008C6CAD"/>
    <w:rsid w:val="008D06E4"/>
    <w:rsid w:val="008D4CB3"/>
    <w:rsid w:val="008E2D18"/>
    <w:rsid w:val="008E74A8"/>
    <w:rsid w:val="008F7DF2"/>
    <w:rsid w:val="00906DD8"/>
    <w:rsid w:val="00910384"/>
    <w:rsid w:val="0091278B"/>
    <w:rsid w:val="00934026"/>
    <w:rsid w:val="009429E9"/>
    <w:rsid w:val="009525A0"/>
    <w:rsid w:val="00954D03"/>
    <w:rsid w:val="009553B5"/>
    <w:rsid w:val="00956F17"/>
    <w:rsid w:val="00957F74"/>
    <w:rsid w:val="009674B6"/>
    <w:rsid w:val="00973DC5"/>
    <w:rsid w:val="00977DD4"/>
    <w:rsid w:val="00981B9B"/>
    <w:rsid w:val="00990ED9"/>
    <w:rsid w:val="009920E0"/>
    <w:rsid w:val="00994A1A"/>
    <w:rsid w:val="009A0DA3"/>
    <w:rsid w:val="009A1F3D"/>
    <w:rsid w:val="009B6EF5"/>
    <w:rsid w:val="009D5827"/>
    <w:rsid w:val="009F1159"/>
    <w:rsid w:val="009F2EC3"/>
    <w:rsid w:val="009F3101"/>
    <w:rsid w:val="00A00266"/>
    <w:rsid w:val="00A1123B"/>
    <w:rsid w:val="00A119B1"/>
    <w:rsid w:val="00A3208E"/>
    <w:rsid w:val="00A421FA"/>
    <w:rsid w:val="00A44C40"/>
    <w:rsid w:val="00A54408"/>
    <w:rsid w:val="00A57731"/>
    <w:rsid w:val="00A643E2"/>
    <w:rsid w:val="00A70A89"/>
    <w:rsid w:val="00A7372C"/>
    <w:rsid w:val="00A82B33"/>
    <w:rsid w:val="00A866B7"/>
    <w:rsid w:val="00A93837"/>
    <w:rsid w:val="00AA1306"/>
    <w:rsid w:val="00AA56A1"/>
    <w:rsid w:val="00AB01EB"/>
    <w:rsid w:val="00AB25B1"/>
    <w:rsid w:val="00AB4549"/>
    <w:rsid w:val="00AB57C7"/>
    <w:rsid w:val="00AD1C9F"/>
    <w:rsid w:val="00AD1EAE"/>
    <w:rsid w:val="00AD45E2"/>
    <w:rsid w:val="00AE27B2"/>
    <w:rsid w:val="00AE3F15"/>
    <w:rsid w:val="00AE4E30"/>
    <w:rsid w:val="00AF62A0"/>
    <w:rsid w:val="00B10012"/>
    <w:rsid w:val="00B102E6"/>
    <w:rsid w:val="00B32A57"/>
    <w:rsid w:val="00B50153"/>
    <w:rsid w:val="00B52EEC"/>
    <w:rsid w:val="00B6584F"/>
    <w:rsid w:val="00B701BB"/>
    <w:rsid w:val="00B71218"/>
    <w:rsid w:val="00B86095"/>
    <w:rsid w:val="00B94BFC"/>
    <w:rsid w:val="00BA7295"/>
    <w:rsid w:val="00BA79D6"/>
    <w:rsid w:val="00BB060F"/>
    <w:rsid w:val="00BB783A"/>
    <w:rsid w:val="00BC24BC"/>
    <w:rsid w:val="00BF2451"/>
    <w:rsid w:val="00C036CF"/>
    <w:rsid w:val="00C1653F"/>
    <w:rsid w:val="00C21036"/>
    <w:rsid w:val="00C27BDB"/>
    <w:rsid w:val="00C35D53"/>
    <w:rsid w:val="00C372FF"/>
    <w:rsid w:val="00C47067"/>
    <w:rsid w:val="00C53146"/>
    <w:rsid w:val="00C733FB"/>
    <w:rsid w:val="00C74583"/>
    <w:rsid w:val="00C80266"/>
    <w:rsid w:val="00C837B1"/>
    <w:rsid w:val="00C86AC2"/>
    <w:rsid w:val="00C92914"/>
    <w:rsid w:val="00CA23A1"/>
    <w:rsid w:val="00CA3FFA"/>
    <w:rsid w:val="00CB3C74"/>
    <w:rsid w:val="00CC2DFB"/>
    <w:rsid w:val="00CF2CD9"/>
    <w:rsid w:val="00CF7A66"/>
    <w:rsid w:val="00D02168"/>
    <w:rsid w:val="00D26D28"/>
    <w:rsid w:val="00D3032B"/>
    <w:rsid w:val="00D36C4B"/>
    <w:rsid w:val="00D36D69"/>
    <w:rsid w:val="00D47525"/>
    <w:rsid w:val="00D55D45"/>
    <w:rsid w:val="00D62F75"/>
    <w:rsid w:val="00D722A3"/>
    <w:rsid w:val="00D757C2"/>
    <w:rsid w:val="00D874C6"/>
    <w:rsid w:val="00D96652"/>
    <w:rsid w:val="00DA236D"/>
    <w:rsid w:val="00DD6A07"/>
    <w:rsid w:val="00DE0625"/>
    <w:rsid w:val="00DE1D08"/>
    <w:rsid w:val="00DE3D90"/>
    <w:rsid w:val="00DE50A5"/>
    <w:rsid w:val="00E158EC"/>
    <w:rsid w:val="00E20C1A"/>
    <w:rsid w:val="00E316DA"/>
    <w:rsid w:val="00E42B82"/>
    <w:rsid w:val="00E44A3C"/>
    <w:rsid w:val="00E51879"/>
    <w:rsid w:val="00E56650"/>
    <w:rsid w:val="00E602CB"/>
    <w:rsid w:val="00E60D8F"/>
    <w:rsid w:val="00E63872"/>
    <w:rsid w:val="00E6688C"/>
    <w:rsid w:val="00E74D8B"/>
    <w:rsid w:val="00EA1287"/>
    <w:rsid w:val="00EA5FA1"/>
    <w:rsid w:val="00EA7488"/>
    <w:rsid w:val="00EA7F8E"/>
    <w:rsid w:val="00EB1818"/>
    <w:rsid w:val="00EE12D0"/>
    <w:rsid w:val="00EF0B31"/>
    <w:rsid w:val="00F02BE8"/>
    <w:rsid w:val="00F0480D"/>
    <w:rsid w:val="00F06673"/>
    <w:rsid w:val="00F114FB"/>
    <w:rsid w:val="00F12373"/>
    <w:rsid w:val="00F2425A"/>
    <w:rsid w:val="00F41E10"/>
    <w:rsid w:val="00F43911"/>
    <w:rsid w:val="00F50E37"/>
    <w:rsid w:val="00F52F64"/>
    <w:rsid w:val="00F65706"/>
    <w:rsid w:val="00F74B9D"/>
    <w:rsid w:val="00F811A1"/>
    <w:rsid w:val="00F95340"/>
    <w:rsid w:val="00FA6191"/>
    <w:rsid w:val="00FA728C"/>
    <w:rsid w:val="00FB003B"/>
    <w:rsid w:val="00FD0B0A"/>
    <w:rsid w:val="00FD13B6"/>
    <w:rsid w:val="00FD6F89"/>
    <w:rsid w:val="00FE779F"/>
    <w:rsid w:val="00FF2D35"/>
    <w:rsid w:val="00FF4A22"/>
    <w:rsid w:val="00FF593A"/>
    <w:rsid w:val="00FF67C4"/>
    <w:rsid w:val="00FF7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CF9FBF"/>
  <w15:docId w15:val="{A0DC0B12-7493-4E7D-9217-84E72BB5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1271821038">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auzins@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T.Trenko </Vad_x012b_t_x0101_js>
    <Kategorija xmlns="2e5bb04e-596e-45bd-9003-43ca78b1ba16">Anotācija</Kategorija>
    <DKP xmlns="2e5bb04e-596e-45bd-9003-43ca78b1ba16">67</DKP>
  </documentManagement>
</p:properties>
</file>

<file path=customXml/itemProps1.xml><?xml version="1.0" encoding="utf-8"?>
<ds:datastoreItem xmlns:ds="http://schemas.openxmlformats.org/officeDocument/2006/customXml" ds:itemID="{7C8C7EAF-924D-4A92-9916-5BEFBDC5E4B3}"/>
</file>

<file path=customXml/itemProps2.xml><?xml version="1.0" encoding="utf-8"?>
<ds:datastoreItem xmlns:ds="http://schemas.openxmlformats.org/officeDocument/2006/customXml" ds:itemID="{6EAD159C-FCFA-4417-9B31-4ED56208CF82}"/>
</file>

<file path=customXml/itemProps3.xml><?xml version="1.0" encoding="utf-8"?>
<ds:datastoreItem xmlns:ds="http://schemas.openxmlformats.org/officeDocument/2006/customXml" ds:itemID="{D3EEAB4C-AC19-4673-9EB7-4D3424969034}"/>
</file>

<file path=customXml/itemProps4.xml><?xml version="1.0" encoding="utf-8"?>
<ds:datastoreItem xmlns:ds="http://schemas.openxmlformats.org/officeDocument/2006/customXml" ds:itemID="{52A96D25-5CE6-4A82-9CE4-FF63412334C1}"/>
</file>

<file path=docProps/app.xml><?xml version="1.0" encoding="utf-8"?>
<Properties xmlns="http://schemas.openxmlformats.org/officeDocument/2006/extended-properties" xmlns:vt="http://schemas.openxmlformats.org/officeDocument/2006/docPropsVTypes">
  <Template>Normal</Template>
  <TotalTime>1114</TotalTime>
  <Pages>3</Pages>
  <Words>2839</Words>
  <Characters>1619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2002.gada 22.oktobra noteikumos Nr.478 „Kārtība, kādā aizpildāmas, iesniedzamas, reģistrējamas un glabājamas valsts amatpersonu deklarācijas un aizpildāmi un iesniedzami valsts amatpersonu </vt:lpstr>
    </vt:vector>
  </TitlesOfParts>
  <Company>Finanšu ministrija</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Valsts ieņēmumu dienestu"" anotācija</dc:title>
  <dc:subject>anotācija</dc:subject>
  <dc:creator>R.Auziņš</dc:creator>
  <dc:description>Roberts.Auzins@fm.gov.lv, 67083919</dc:description>
  <cp:lastModifiedBy>Trenko Tatjana</cp:lastModifiedBy>
  <cp:revision>54</cp:revision>
  <cp:lastPrinted>2014-05-27T11:59:00Z</cp:lastPrinted>
  <dcterms:created xsi:type="dcterms:W3CDTF">2014-02-12T11:22:00Z</dcterms:created>
  <dcterms:modified xsi:type="dcterms:W3CDTF">2014-05-28T11:52:00Z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