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48" w:rsidRPr="00D45248" w:rsidRDefault="000837FC" w:rsidP="000837FC">
      <w:pPr>
        <w:pStyle w:val="BodyTextIndent"/>
        <w:numPr>
          <w:ilvl w:val="0"/>
          <w:numId w:val="1"/>
        </w:numPr>
        <w:ind w:firstLine="0"/>
        <w:jc w:val="center"/>
        <w:rPr>
          <w:b/>
          <w:bCs/>
        </w:rPr>
      </w:pPr>
      <w:r w:rsidRPr="00D45248">
        <w:rPr>
          <w:b/>
        </w:rPr>
        <w:t xml:space="preserve">Ministru kabineta noteikumu projekta </w:t>
      </w:r>
    </w:p>
    <w:p w:rsidR="00D45248" w:rsidRPr="00D45248" w:rsidRDefault="000837FC" w:rsidP="000837FC">
      <w:pPr>
        <w:pStyle w:val="BodyTextIndent"/>
        <w:numPr>
          <w:ilvl w:val="0"/>
          <w:numId w:val="1"/>
        </w:numPr>
        <w:ind w:firstLine="0"/>
        <w:jc w:val="center"/>
        <w:rPr>
          <w:b/>
          <w:bCs/>
        </w:rPr>
      </w:pPr>
      <w:r w:rsidRPr="00D45248">
        <w:rPr>
          <w:b/>
        </w:rPr>
        <w:t>„</w:t>
      </w:r>
      <w:r w:rsidRPr="00D45248">
        <w:rPr>
          <w:b/>
          <w:bCs/>
        </w:rPr>
        <w:t xml:space="preserve">Grozījumi Ministru kabineta </w:t>
      </w:r>
      <w:r w:rsidRPr="00D45248">
        <w:rPr>
          <w:b/>
        </w:rPr>
        <w:t>2009.gada 7.jūlija noteikumos Nr.733 „</w:t>
      </w:r>
      <w:r w:rsidRPr="00D45248">
        <w:rPr>
          <w:b/>
          <w:bCs/>
          <w:lang w:eastAsia="lv-LV"/>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Pr="00D45248">
        <w:rPr>
          <w:b/>
        </w:rPr>
        <w:t xml:space="preserve">”” </w:t>
      </w:r>
    </w:p>
    <w:p w:rsidR="006430A0" w:rsidRPr="00D45248" w:rsidRDefault="000837FC" w:rsidP="000837FC">
      <w:pPr>
        <w:pStyle w:val="BodyTextIndent"/>
        <w:numPr>
          <w:ilvl w:val="0"/>
          <w:numId w:val="1"/>
        </w:numPr>
        <w:ind w:firstLine="0"/>
        <w:jc w:val="center"/>
        <w:rPr>
          <w:b/>
          <w:bCs/>
        </w:rPr>
      </w:pPr>
      <w:r w:rsidRPr="00D45248">
        <w:rPr>
          <w:b/>
        </w:rPr>
        <w:t xml:space="preserve">sākotnējās ietekmes novērtējuma </w:t>
      </w:r>
      <w:smartTag w:uri="schemas-tilde-lv/tildestengine" w:element="veidnes">
        <w:smartTagPr>
          <w:attr w:name="id" w:val="-1"/>
          <w:attr w:name="baseform" w:val="ziņojums"/>
          <w:attr w:name="text" w:val="ziņojums"/>
        </w:smartTagPr>
        <w:r w:rsidRPr="00D45248">
          <w:rPr>
            <w:b/>
          </w:rPr>
          <w:t>ziņojums</w:t>
        </w:r>
      </w:smartTag>
      <w:r w:rsidRPr="00D45248">
        <w:rPr>
          <w:b/>
        </w:rPr>
        <w:t xml:space="preserve"> (anotācija)</w:t>
      </w:r>
    </w:p>
    <w:p w:rsidR="000837FC" w:rsidRPr="000837FC" w:rsidRDefault="000837FC" w:rsidP="000837FC">
      <w:pPr>
        <w:pStyle w:val="naislab"/>
        <w:spacing w:before="0" w:after="0"/>
        <w:jc w:val="center"/>
        <w:outlineLvl w:val="0"/>
        <w:rPr>
          <w:b/>
        </w:rPr>
      </w:pPr>
    </w:p>
    <w:tbl>
      <w:tblPr>
        <w:tblpPr w:leftFromText="180" w:rightFromText="180" w:vertAnchor="text" w:tblpXSpec="center" w:tblpY="1"/>
        <w:tblOverlap w:val="never"/>
        <w:tblW w:w="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7"/>
        <w:gridCol w:w="90"/>
        <w:gridCol w:w="133"/>
        <w:gridCol w:w="1227"/>
        <w:gridCol w:w="288"/>
        <w:gridCol w:w="61"/>
        <w:gridCol w:w="906"/>
        <w:gridCol w:w="161"/>
        <w:gridCol w:w="1688"/>
        <w:gridCol w:w="1118"/>
        <w:gridCol w:w="1156"/>
        <w:gridCol w:w="1976"/>
      </w:tblGrid>
      <w:tr w:rsidR="004523A8" w:rsidRPr="00D45248" w:rsidTr="00355FEB">
        <w:trPr>
          <w:trHeight w:val="405"/>
          <w:tblCellSpacing w:w="15" w:type="dxa"/>
        </w:trPr>
        <w:tc>
          <w:tcPr>
            <w:tcW w:w="9161" w:type="dxa"/>
            <w:gridSpan w:val="12"/>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pPr>
              <w:pStyle w:val="tvhtml"/>
              <w:jc w:val="center"/>
              <w:rPr>
                <w:b/>
                <w:bCs/>
              </w:rPr>
            </w:pPr>
            <w:r w:rsidRPr="00D45248">
              <w:rPr>
                <w:b/>
                <w:bCs/>
              </w:rPr>
              <w:t>I. Tiesību akta projekta izstrādes nepieciešamība</w:t>
            </w:r>
          </w:p>
        </w:tc>
      </w:tr>
      <w:tr w:rsidR="004523A8" w:rsidRPr="00D45248" w:rsidTr="00355FEB">
        <w:trPr>
          <w:trHeight w:val="405"/>
          <w:tblCellSpacing w:w="15" w:type="dxa"/>
        </w:trPr>
        <w:tc>
          <w:tcPr>
            <w:tcW w:w="595" w:type="dxa"/>
            <w:gridSpan w:val="3"/>
            <w:tcBorders>
              <w:top w:val="outset" w:sz="6" w:space="0" w:color="auto"/>
              <w:left w:val="outset" w:sz="6" w:space="0" w:color="auto"/>
              <w:bottom w:val="outset" w:sz="6" w:space="0" w:color="auto"/>
              <w:right w:val="outset" w:sz="6" w:space="0" w:color="auto"/>
            </w:tcBorders>
            <w:hideMark/>
          </w:tcPr>
          <w:p w:rsidR="004523A8" w:rsidRPr="00D45248" w:rsidRDefault="004523A8" w:rsidP="00355FEB">
            <w:pPr>
              <w:pStyle w:val="tvhtml"/>
              <w:jc w:val="center"/>
            </w:pPr>
            <w:r w:rsidRPr="00D45248">
              <w:t>1.</w:t>
            </w:r>
          </w:p>
        </w:tc>
        <w:tc>
          <w:tcPr>
            <w:tcW w:w="1546" w:type="dxa"/>
            <w:gridSpan w:val="3"/>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Pamatojums</w:t>
            </w:r>
          </w:p>
        </w:tc>
        <w:tc>
          <w:tcPr>
            <w:tcW w:w="6960" w:type="dxa"/>
            <w:gridSpan w:val="6"/>
            <w:tcBorders>
              <w:top w:val="outset" w:sz="6" w:space="0" w:color="auto"/>
              <w:left w:val="outset" w:sz="6" w:space="0" w:color="auto"/>
              <w:bottom w:val="outset" w:sz="6" w:space="0" w:color="auto"/>
              <w:right w:val="outset" w:sz="6" w:space="0" w:color="auto"/>
            </w:tcBorders>
            <w:hideMark/>
          </w:tcPr>
          <w:p w:rsidR="006D5592" w:rsidRDefault="003813BB" w:rsidP="00355FEB">
            <w:pPr>
              <w:widowControl w:val="0"/>
              <w:adjustRightInd w:val="0"/>
              <w:ind w:firstLine="720"/>
              <w:jc w:val="both"/>
              <w:textAlignment w:val="baseline"/>
            </w:pPr>
            <w:bookmarkStart w:id="0" w:name="10"/>
            <w:r w:rsidRPr="00D45248">
              <w:t>M</w:t>
            </w:r>
            <w:r w:rsidR="00093A9C" w:rsidRPr="00D45248">
              <w:t xml:space="preserve">inistru kabineta noteikumu projekts </w:t>
            </w:r>
            <w:r w:rsidR="00BC4BA3">
              <w:t>„</w:t>
            </w:r>
            <w:r w:rsidR="00093A9C" w:rsidRPr="00D45248">
              <w:rPr>
                <w:bCs/>
              </w:rPr>
              <w:t>Grozījumi Ministru kabineta 2009.gada 7.jūlija noteikumos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BC4BA3">
              <w:rPr>
                <w:bCs/>
              </w:rPr>
              <w:t>”</w:t>
            </w:r>
            <w:r w:rsidRPr="00D45248">
              <w:rPr>
                <w:bCs/>
              </w:rPr>
              <w:t xml:space="preserve"> </w:t>
            </w:r>
            <w:r w:rsidR="00093A9C" w:rsidRPr="00D45248">
              <w:t>(turpmāk – noteikumu projekts)</w:t>
            </w:r>
            <w:r w:rsidR="00093A9C" w:rsidRPr="00D45248">
              <w:rPr>
                <w:b/>
              </w:rPr>
              <w:t xml:space="preserve"> </w:t>
            </w:r>
            <w:r w:rsidR="00093A9C" w:rsidRPr="00D45248">
              <w:t xml:space="preserve">ir izstrādāts, pamatojoties uz </w:t>
            </w:r>
            <w:r w:rsidR="006D5592">
              <w:t>Ministru kabineta 2013.gada 19.novembra sēdes protokollēmuma (prot. Nr.61 10.§) „</w:t>
            </w:r>
            <w:r w:rsidR="006D5592" w:rsidRPr="006D5592">
              <w:t xml:space="preserve">Noteikumu projekts </w:t>
            </w:r>
            <w:r w:rsidR="006D5592">
              <w:t>„</w:t>
            </w:r>
            <w:r w:rsidR="006D5592" w:rsidRPr="006D5592">
              <w:t xml:space="preserve">Grozījumi Ministru kabineta 2000.gada 22.augusta noteikumos Nr.289 </w:t>
            </w:r>
            <w:r w:rsidR="006D5592">
              <w:t>„</w:t>
            </w:r>
            <w:r w:rsidR="006D5592" w:rsidRPr="006D5592">
              <w:t>Noteikumi par valsts nodevu par valsts valodas prasmes atestāciju profesionāl</w:t>
            </w:r>
            <w:r w:rsidR="006D5592">
              <w:t>o un amata pienākumu veikšanai”””</w:t>
            </w:r>
            <w:r w:rsidR="006D5592" w:rsidRPr="006D5592">
              <w:t xml:space="preserve"> </w:t>
            </w:r>
            <w:r w:rsidR="006D5592">
              <w:t xml:space="preserve">2.punktā doto uzdevumu </w:t>
            </w:r>
            <w:r w:rsidR="006D5592" w:rsidRPr="006D5592">
              <w:t>Izglītības un zinātnes ministrijai sagatavot un izglītības un zinātnes ministram līdz 2014.gada 25.martam iesniegt noteiktā kārtībā M</w:t>
            </w:r>
            <w:r w:rsidR="001742B5">
              <w:t>inistru kabineta</w:t>
            </w:r>
            <w:r w:rsidR="006D5592" w:rsidRPr="006D5592">
              <w:t xml:space="preserve"> noteikumu projektu par grozījumiem M</w:t>
            </w:r>
            <w:r w:rsidR="001742B5">
              <w:t>inistru kabineta</w:t>
            </w:r>
            <w:r w:rsidR="006D5592" w:rsidRPr="006D5592">
              <w:t xml:space="preserve"> 2009.gada 7.jūlija noteikumos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A815D0">
              <w:t xml:space="preserve"> (turpmāk – MK noteikumi Nr.733)</w:t>
            </w:r>
            <w:r w:rsidR="006D5592" w:rsidRPr="006D5592">
              <w:t>, paredzot, ka noteikum</w:t>
            </w:r>
            <w:r w:rsidR="00BC4BA3">
              <w:t>u projektā</w:t>
            </w:r>
            <w:r w:rsidR="006D5592" w:rsidRPr="006D5592">
              <w:t xml:space="preserve"> tiek iekļautas M</w:t>
            </w:r>
            <w:r w:rsidR="004C0FE1">
              <w:t>inistru kabineta</w:t>
            </w:r>
            <w:r w:rsidR="006D5592" w:rsidRPr="006D5592">
              <w:t xml:space="preserve"> 2000.gada 22.augusta noteikumu Nr.289 "Noteikumi par valsts nodevu par valsts valodas prasmes atestāciju profesionālo un amata pienākumu veikšanai" </w:t>
            </w:r>
            <w:r w:rsidR="00A815D0">
              <w:t xml:space="preserve">(turpmāk – MK noteikumi Nr.289) </w:t>
            </w:r>
            <w:r w:rsidR="006D5592" w:rsidRPr="006D5592">
              <w:t>normas.</w:t>
            </w:r>
            <w:r w:rsidR="00BC4BA3">
              <w:t xml:space="preserve"> Ar M</w:t>
            </w:r>
            <w:r w:rsidR="004C0FE1">
              <w:t>inistru kabineta</w:t>
            </w:r>
            <w:r w:rsidR="00BC4BA3">
              <w:t xml:space="preserve"> 2014.gada 6.maija sēdes protokollēmumu (prot. Nr.26 12.§) minētā uzdevuma izpildes termiņš ir pagarināts līdz 2014.gada 1.jūlijam. </w:t>
            </w:r>
          </w:p>
          <w:p w:rsidR="004523A8" w:rsidRPr="00D45248" w:rsidRDefault="00BC4BA3" w:rsidP="00355FEB">
            <w:pPr>
              <w:widowControl w:val="0"/>
              <w:adjustRightInd w:val="0"/>
              <w:ind w:firstLine="720"/>
              <w:jc w:val="both"/>
              <w:textAlignment w:val="baseline"/>
            </w:pPr>
            <w:r>
              <w:t xml:space="preserve">Noteikumu projekts izstrādāts, pamatojoties uz </w:t>
            </w:r>
            <w:r w:rsidR="00093A9C" w:rsidRPr="00D45248">
              <w:t xml:space="preserve">Valsts valodas likuma 6.panta piekto daļu, Imigrācijas likuma 24.panta piekto daļu un </w:t>
            </w:r>
            <w:r w:rsidR="00093A9C" w:rsidRPr="00D45248">
              <w:rPr>
                <w:iCs/>
              </w:rPr>
              <w:t>5.</w:t>
            </w:r>
            <w:r w:rsidR="00093A9C" w:rsidRPr="00D45248">
              <w:rPr>
                <w:iCs/>
                <w:vertAlign w:val="superscript"/>
              </w:rPr>
              <w:t>1</w:t>
            </w:r>
            <w:r w:rsidR="00093A9C" w:rsidRPr="00D45248">
              <w:rPr>
                <w:iCs/>
              </w:rPr>
              <w:t>daļu,</w:t>
            </w:r>
            <w:r w:rsidR="00093A9C" w:rsidRPr="00D45248">
              <w:t xml:space="preserve"> likuma „Par Eiropas </w:t>
            </w:r>
            <w:r w:rsidR="00865ED5" w:rsidRPr="00D45248">
              <w:t xml:space="preserve">Savienības </w:t>
            </w:r>
            <w:r w:rsidR="00093A9C" w:rsidRPr="00D45248">
              <w:t>pastāvīgā iedzīvotāja statusu Latvijas Republikā” 3.panta ceturto un piekto daļu</w:t>
            </w:r>
            <w:bookmarkEnd w:id="0"/>
            <w:r>
              <w:t>.</w:t>
            </w:r>
          </w:p>
        </w:tc>
      </w:tr>
      <w:tr w:rsidR="004523A8" w:rsidRPr="00D45248" w:rsidTr="00355FEB">
        <w:trPr>
          <w:trHeight w:val="465"/>
          <w:tblCellSpacing w:w="15" w:type="dxa"/>
        </w:trPr>
        <w:tc>
          <w:tcPr>
            <w:tcW w:w="595" w:type="dxa"/>
            <w:gridSpan w:val="3"/>
            <w:tcBorders>
              <w:top w:val="outset" w:sz="6" w:space="0" w:color="auto"/>
              <w:left w:val="outset" w:sz="6" w:space="0" w:color="auto"/>
              <w:bottom w:val="outset" w:sz="6" w:space="0" w:color="auto"/>
              <w:right w:val="outset" w:sz="6" w:space="0" w:color="auto"/>
            </w:tcBorders>
            <w:hideMark/>
          </w:tcPr>
          <w:p w:rsidR="004523A8" w:rsidRPr="00D45248" w:rsidRDefault="004523A8" w:rsidP="00355FEB">
            <w:pPr>
              <w:pStyle w:val="tvhtml"/>
              <w:jc w:val="center"/>
            </w:pPr>
            <w:r w:rsidRPr="00D45248">
              <w:t>2.</w:t>
            </w:r>
          </w:p>
        </w:tc>
        <w:tc>
          <w:tcPr>
            <w:tcW w:w="1546" w:type="dxa"/>
            <w:gridSpan w:val="3"/>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Pašreizējā situācija un problēmas, kuru risināšanai tiesību akta projekts izstrādāts, tiesiskā regulējuma mērķis un būtība</w:t>
            </w:r>
          </w:p>
        </w:tc>
        <w:tc>
          <w:tcPr>
            <w:tcW w:w="6960" w:type="dxa"/>
            <w:gridSpan w:val="6"/>
            <w:tcBorders>
              <w:top w:val="outset" w:sz="6" w:space="0" w:color="auto"/>
              <w:left w:val="outset" w:sz="6" w:space="0" w:color="auto"/>
              <w:bottom w:val="outset" w:sz="6" w:space="0" w:color="auto"/>
              <w:right w:val="outset" w:sz="6" w:space="0" w:color="auto"/>
            </w:tcBorders>
            <w:hideMark/>
          </w:tcPr>
          <w:p w:rsidR="00457110" w:rsidRDefault="00457110" w:rsidP="00355FEB">
            <w:pPr>
              <w:tabs>
                <w:tab w:val="left" w:pos="1134"/>
              </w:tabs>
              <w:ind w:firstLine="720"/>
              <w:jc w:val="both"/>
              <w:rPr>
                <w:rStyle w:val="spelle"/>
              </w:rPr>
            </w:pPr>
            <w:r>
              <w:t xml:space="preserve">Noteikumu </w:t>
            </w:r>
            <w:r w:rsidRPr="00777A0D">
              <w:t xml:space="preserve">projekts ir izstrādāts, jo </w:t>
            </w:r>
            <w:r w:rsidRPr="00D45248">
              <w:t>M</w:t>
            </w:r>
            <w:r w:rsidR="00A815D0">
              <w:t xml:space="preserve">K </w:t>
            </w:r>
            <w:r w:rsidRPr="00D45248">
              <w:t xml:space="preserve">noteikumos Nr.733 </w:t>
            </w:r>
            <w:r>
              <w:t xml:space="preserve">ir iekļauts regulējums par valsts valodas zināšanu apjomu un valsts </w:t>
            </w:r>
            <w:r w:rsidRPr="00777A0D">
              <w:t xml:space="preserve">valodas prasmes pārbaudes kārtību </w:t>
            </w:r>
            <w:r>
              <w:t xml:space="preserve">gan </w:t>
            </w:r>
            <w:r w:rsidRPr="00777A0D">
              <w:t>profesionālo un amata pienākumu veikšanai</w:t>
            </w:r>
            <w:r>
              <w:t xml:space="preserve">, gan </w:t>
            </w:r>
            <w:r w:rsidRPr="00777A0D">
              <w:t>pastāvīgās uzturēšanās atļaujas saņemšanai un Eiropas Savienības pastāvīgā iedzīvotāja statusa iegūšanai</w:t>
            </w:r>
            <w:r>
              <w:t>. Minētajos M</w:t>
            </w:r>
            <w:r w:rsidR="004C0FE1">
              <w:t>inistru kabineta</w:t>
            </w:r>
            <w:r>
              <w:t xml:space="preserve"> noteikumos ir iekļauts regulējums arī </w:t>
            </w:r>
            <w:r w:rsidRPr="00777A0D">
              <w:t xml:space="preserve"> </w:t>
            </w:r>
            <w:r>
              <w:t xml:space="preserve">par </w:t>
            </w:r>
            <w:r w:rsidRPr="00777A0D">
              <w:t>valsts nodevu par valsts valodas prasmes pārbaudi pastāvīgās uzturēšanās atļaujas saņemšanai un Eiropas Savienības pastāvīgā iedzīvotāja statusa iegūšanai</w:t>
            </w:r>
            <w:r>
              <w:t xml:space="preserve">, savukārt regulējums par valsts nodevu par valsts valodas prasmes pārbaudi profesionālo un amata pienākumu veikšanai </w:t>
            </w:r>
            <w:r w:rsidRPr="00777A0D">
              <w:t>ir iekļauts</w:t>
            </w:r>
            <w:r>
              <w:t xml:space="preserve"> M</w:t>
            </w:r>
            <w:r w:rsidR="00FE613B">
              <w:t>K</w:t>
            </w:r>
            <w:r>
              <w:t xml:space="preserve"> noteikumos Nr.289. Tādējādi  </w:t>
            </w:r>
            <w:r w:rsidRPr="008334C5">
              <w:t>regulējums par valsts valodas zināšanu apjomu un valsts valodas prasmes pārbaudes kārtību profesionālo un amata pienākumu veikšanai un regulējums par valsts nodevu par valsts valodas prasmes atestāciju profesionālo un amata pienākumu veikšanai ir iekļauts divos dažādos normatīvajos aktos.</w:t>
            </w:r>
          </w:p>
          <w:p w:rsidR="003813BB" w:rsidRPr="00D45248" w:rsidRDefault="00C03D93" w:rsidP="00355FEB">
            <w:pPr>
              <w:tabs>
                <w:tab w:val="left" w:pos="1134"/>
              </w:tabs>
              <w:ind w:firstLine="720"/>
              <w:jc w:val="both"/>
            </w:pPr>
            <w:r w:rsidRPr="00D45248">
              <w:rPr>
                <w:rStyle w:val="spelle"/>
              </w:rPr>
              <w:t xml:space="preserve">Situācijā, kad normatīvais regulējums par vienu un to pašu administratīvo procesu, ir sadrumstalots, palielinās tiesiskā regulējuma pretrunu risks, kā arī </w:t>
            </w:r>
            <w:r w:rsidRPr="00D45248">
              <w:t>attiecīgo tiesisko attiecību dalībniekiem nereti ir grūti orientēties tiesiskajā regulējumā, kas savukārt noved pie vairākām negatīvām sekām: pirmkārt, savu tiesību un pienākumu nepietiekoša izpratne; otrkārt, palielinās normatīvo aktu pārkāpuma risks; treškārt, pieaug negatīva attieksme pret likumdevēju un valsts pārvaldes institūcijām kopumā.</w:t>
            </w:r>
          </w:p>
          <w:p w:rsidR="00843503" w:rsidRPr="00D45248" w:rsidRDefault="00C03D93" w:rsidP="00355FEB">
            <w:pPr>
              <w:tabs>
                <w:tab w:val="left" w:pos="1134"/>
              </w:tabs>
              <w:ind w:firstLine="720"/>
              <w:jc w:val="both"/>
              <w:rPr>
                <w:rStyle w:val="spelle"/>
              </w:rPr>
            </w:pPr>
            <w:r w:rsidRPr="00D45248">
              <w:t>Ņemot vērā iepriekšminēto, regulējums par valsts nodevu valsts valodas prasmes pārbaudei profesionālo un amata pienākumu veikšanai, par valsts valodas prasmes pārbaudi pastāvīgās uzturēšanās atļaujas un Eiropas Savienības pastāvīgā iedzīvotāja statusa Latvijas Republikā pieprasīšanai būtu iekļaujams vienos Ministru kabineta noteikumos.</w:t>
            </w:r>
            <w:r w:rsidR="00843503">
              <w:t xml:space="preserve"> Savukārt MK noteikumi Nr.289 tiks atzīti par spēku zaudējušiem.</w:t>
            </w:r>
            <w:r w:rsidR="00843503" w:rsidRPr="00D45248">
              <w:rPr>
                <w:rStyle w:val="spelle"/>
              </w:rPr>
              <w:t xml:space="preserve"> </w:t>
            </w:r>
          </w:p>
          <w:p w:rsidR="004523A8" w:rsidRPr="00D45248" w:rsidRDefault="00C03D93" w:rsidP="00355FEB">
            <w:pPr>
              <w:widowControl w:val="0"/>
              <w:adjustRightInd w:val="0"/>
              <w:ind w:firstLine="720"/>
              <w:jc w:val="both"/>
              <w:textAlignment w:val="baseline"/>
              <w:rPr>
                <w:rStyle w:val="spelle"/>
              </w:rPr>
            </w:pPr>
            <w:r w:rsidRPr="00D45248">
              <w:rPr>
                <w:rStyle w:val="spelle"/>
              </w:rPr>
              <w:t>Lai precizētu tiesisko regulējumu attiecībā uz valsts nodevas samaksu par valsts valodas prasmes pārbaudi, tiek veikti grozījumi MK noteikumos Nr.733, paredzot, ka minētajos noteikumos tiek iekļautas līdzšinējo MK noteikumu Nr.289 normas.</w:t>
            </w:r>
            <w:r w:rsidR="009003D6">
              <w:rPr>
                <w:rStyle w:val="spelle"/>
              </w:rPr>
              <w:t xml:space="preserve"> Tādējādi tiek nodrošināts, ka valsts nodevas samaksas regulējums tiks attiecināts gan uz personām, kas kārtos valsts valodas prasmes pārbaudījumu profesionālo un amata pienākumu veikšanai, gan arī uz personām, kas kārtos pārbaudījumu pastāvīgās uzturēšanās atļaujas saņemšanai un Eiropas Savienības pastāvīgā iedzīvotāja statusa iegūšanai.</w:t>
            </w:r>
          </w:p>
          <w:p w:rsidR="00C42C99" w:rsidRPr="00D45248" w:rsidRDefault="00C42C99" w:rsidP="00355FEB">
            <w:pPr>
              <w:widowControl w:val="0"/>
              <w:adjustRightInd w:val="0"/>
              <w:ind w:firstLine="720"/>
              <w:jc w:val="both"/>
              <w:textAlignment w:val="baseline"/>
              <w:rPr>
                <w:rStyle w:val="spelle"/>
              </w:rPr>
            </w:pPr>
            <w:r w:rsidRPr="00D45248">
              <w:rPr>
                <w:rStyle w:val="spelle"/>
              </w:rPr>
              <w:t>Līdztekus jau minētaj</w:t>
            </w:r>
            <w:r w:rsidR="00D45248" w:rsidRPr="00D45248">
              <w:rPr>
                <w:rStyle w:val="spelle"/>
              </w:rPr>
              <w:t>iem</w:t>
            </w:r>
            <w:r w:rsidRPr="00D45248">
              <w:rPr>
                <w:rStyle w:val="spelle"/>
              </w:rPr>
              <w:t xml:space="preserve"> grozījum</w:t>
            </w:r>
            <w:r w:rsidR="00D45248" w:rsidRPr="00D45248">
              <w:rPr>
                <w:rStyle w:val="spelle"/>
              </w:rPr>
              <w:t>iem</w:t>
            </w:r>
            <w:r w:rsidRPr="00D45248">
              <w:rPr>
                <w:rStyle w:val="spelle"/>
              </w:rPr>
              <w:t xml:space="preserve"> MK noteikumos Nr.733 tiek veikti daži grozījumi, lai optimizētu valsts valodas prasmes pārbaudes procedūru un padarītu to labvēlīgāku klientiem:</w:t>
            </w:r>
          </w:p>
          <w:p w:rsidR="00C42C99" w:rsidRPr="00D45248" w:rsidRDefault="00C42C99" w:rsidP="00355FEB">
            <w:pPr>
              <w:widowControl w:val="0"/>
              <w:numPr>
                <w:ilvl w:val="0"/>
                <w:numId w:val="2"/>
              </w:numPr>
              <w:adjustRightInd w:val="0"/>
              <w:jc w:val="both"/>
              <w:textAlignment w:val="baseline"/>
              <w:rPr>
                <w:rStyle w:val="spelle"/>
              </w:rPr>
            </w:pPr>
            <w:r w:rsidRPr="00D45248">
              <w:rPr>
                <w:rStyle w:val="spelle"/>
              </w:rPr>
              <w:t>pamatojoties uz līdzšinējo pieredzi, tiek palielināts valsts valodas prasmes pārbaudes rakstveida daļas izpildes laiks</w:t>
            </w:r>
            <w:r w:rsidR="009372A8" w:rsidRPr="00D45248">
              <w:rPr>
                <w:rStyle w:val="spelle"/>
              </w:rPr>
              <w:t xml:space="preserve"> </w:t>
            </w:r>
            <w:r w:rsidR="009372A8" w:rsidRPr="00D45248">
              <w:rPr>
                <w:rStyle w:val="spelle"/>
              </w:rPr>
              <w:softHyphen/>
              <w:t xml:space="preserve">– līdz šim pamata valodas prasmes līmeņa pārbaudē rakstveida daļa ilga 60 minūtes, bet paredzēts, ka </w:t>
            </w:r>
            <w:r w:rsidR="00AB26E5" w:rsidRPr="00D45248">
              <w:rPr>
                <w:rStyle w:val="spelle"/>
              </w:rPr>
              <w:t xml:space="preserve">turpmāk </w:t>
            </w:r>
            <w:r w:rsidR="009372A8" w:rsidRPr="00D45248">
              <w:rPr>
                <w:rStyle w:val="spelle"/>
              </w:rPr>
              <w:t xml:space="preserve">tā ilgs 90 minūtes; līdz šim vidējā un augstākajā valodas prasmes līmeņa pārbaudē rakstveida daļa ilga 90 minūtes, bet paredzēts, ka </w:t>
            </w:r>
            <w:r w:rsidR="00AB26E5" w:rsidRPr="00D45248">
              <w:rPr>
                <w:rStyle w:val="spelle"/>
              </w:rPr>
              <w:t xml:space="preserve">turpmāk </w:t>
            </w:r>
            <w:r w:rsidR="009372A8" w:rsidRPr="00D45248">
              <w:rPr>
                <w:rStyle w:val="spelle"/>
              </w:rPr>
              <w:t>tā ilgs 120 minūtes</w:t>
            </w:r>
            <w:r w:rsidRPr="00D45248">
              <w:rPr>
                <w:rStyle w:val="spelle"/>
              </w:rPr>
              <w:t>;</w:t>
            </w:r>
            <w:r w:rsidR="00AB26E5" w:rsidRPr="00D45248">
              <w:rPr>
                <w:rStyle w:val="spelle"/>
              </w:rPr>
              <w:t xml:space="preserve"> laikā kopš jaunā pārbaudes modeļa ieviešanas 2009.gadā pārbaudes nodrošinātāji pārliecinājušies, ka daļai pārbaudes kārtotāju nepieciešams ilgāks laiks rakstveida daļas izpildei;</w:t>
            </w:r>
          </w:p>
          <w:p w:rsidR="00C42C99" w:rsidRPr="00D45248" w:rsidRDefault="00C42C99" w:rsidP="00355FEB">
            <w:pPr>
              <w:widowControl w:val="0"/>
              <w:numPr>
                <w:ilvl w:val="0"/>
                <w:numId w:val="2"/>
              </w:numPr>
              <w:adjustRightInd w:val="0"/>
              <w:jc w:val="both"/>
              <w:textAlignment w:val="baseline"/>
            </w:pPr>
            <w:r w:rsidRPr="00D45248">
              <w:rPr>
                <w:rStyle w:val="spelle"/>
              </w:rPr>
              <w:t xml:space="preserve">tiek precizēti valsts valodas prasmes pārbaudes </w:t>
            </w:r>
            <w:r w:rsidR="004B7056" w:rsidRPr="00D45248">
              <w:rPr>
                <w:rStyle w:val="spelle"/>
              </w:rPr>
              <w:t xml:space="preserve">norises </w:t>
            </w:r>
            <w:r w:rsidR="009372A8" w:rsidRPr="00D45248">
              <w:rPr>
                <w:rStyle w:val="spelle"/>
              </w:rPr>
              <w:t>noteikumi</w:t>
            </w:r>
            <w:r w:rsidR="009372A8" w:rsidRPr="00D45248">
              <w:t xml:space="preserve">, papildinot tos ar nosacījumu, ka pārbaudes laikā nedrīkst izmantot </w:t>
            </w:r>
            <w:r w:rsidR="00D45248" w:rsidRPr="00D45248">
              <w:t>elektroniskās sakaru ierīces (</w:t>
            </w:r>
            <w:r w:rsidR="009372A8" w:rsidRPr="00D45248">
              <w:t>mobilos tālruņus</w:t>
            </w:r>
            <w:r w:rsidR="00D45248" w:rsidRPr="00D45248">
              <w:t>)</w:t>
            </w:r>
            <w:r w:rsidR="009372A8" w:rsidRPr="00D45248">
              <w:t>; šāda norma tiek iestrādāta, jo valsts valodas prasmes kārtotāji pārbaudes laikā cenšas sazināties ar citiem, lai lūgtu palīdzību uzdevumu izpildē, kā arī cenšas ar tālruņa palīdzību fotografēt pārbaudes materiālus;</w:t>
            </w:r>
          </w:p>
          <w:p w:rsidR="00D81DBD" w:rsidRPr="00D45248" w:rsidRDefault="00292D93" w:rsidP="00355FEB">
            <w:pPr>
              <w:widowControl w:val="0"/>
              <w:numPr>
                <w:ilvl w:val="0"/>
                <w:numId w:val="2"/>
              </w:numPr>
              <w:adjustRightInd w:val="0"/>
              <w:jc w:val="both"/>
              <w:textAlignment w:val="baseline"/>
              <w:rPr>
                <w:rStyle w:val="spelle"/>
              </w:rPr>
            </w:pPr>
            <w:r>
              <w:rPr>
                <w:rStyle w:val="spelle"/>
              </w:rPr>
              <w:t>MK noteikumu Nr.733 50.punktā</w:t>
            </w:r>
            <w:r w:rsidR="006B1C78" w:rsidRPr="00D45248">
              <w:rPr>
                <w:rStyle w:val="spelle"/>
              </w:rPr>
              <w:t xml:space="preserve"> notei</w:t>
            </w:r>
            <w:r>
              <w:rPr>
                <w:rStyle w:val="spelle"/>
              </w:rPr>
              <w:t>kts</w:t>
            </w:r>
            <w:r w:rsidR="006B1C78" w:rsidRPr="00D45248">
              <w:rPr>
                <w:rStyle w:val="spelle"/>
              </w:rPr>
              <w:t xml:space="preserve">, </w:t>
            </w:r>
            <w:r>
              <w:rPr>
                <w:rStyle w:val="spelle"/>
              </w:rPr>
              <w:t xml:space="preserve">kura </w:t>
            </w:r>
            <w:r w:rsidR="006B1C78" w:rsidRPr="00D45248">
              <w:rPr>
                <w:rStyle w:val="spelle"/>
              </w:rPr>
              <w:t xml:space="preserve">valsts valodas prasmes apliecība ir spēkā, ja persona </w:t>
            </w:r>
            <w:r w:rsidRPr="00D45248">
              <w:rPr>
                <w:rStyle w:val="spelle"/>
              </w:rPr>
              <w:t xml:space="preserve">kārto </w:t>
            </w:r>
            <w:r>
              <w:rPr>
                <w:rStyle w:val="spelle"/>
              </w:rPr>
              <w:t>augstāka</w:t>
            </w:r>
            <w:r w:rsidRPr="00D45248">
              <w:rPr>
                <w:rStyle w:val="spelle"/>
              </w:rPr>
              <w:t xml:space="preserve"> </w:t>
            </w:r>
            <w:r w:rsidR="006B1C78" w:rsidRPr="00D45248">
              <w:rPr>
                <w:rStyle w:val="spelle"/>
              </w:rPr>
              <w:t>valsts valodas prasmes</w:t>
            </w:r>
            <w:r>
              <w:rPr>
                <w:rStyle w:val="spelle"/>
              </w:rPr>
              <w:t xml:space="preserve"> līmeņa</w:t>
            </w:r>
            <w:r w:rsidR="006B1C78" w:rsidRPr="00D45248">
              <w:rPr>
                <w:rStyle w:val="spelle"/>
              </w:rPr>
              <w:t xml:space="preserve"> pārbaudi</w:t>
            </w:r>
            <w:r>
              <w:rPr>
                <w:rStyle w:val="spelle"/>
              </w:rPr>
              <w:t>.</w:t>
            </w:r>
            <w:r w:rsidR="006B1C78" w:rsidRPr="00D45248">
              <w:rPr>
                <w:rStyle w:val="spelle"/>
              </w:rPr>
              <w:t xml:space="preserve"> </w:t>
            </w:r>
            <w:r>
              <w:rPr>
                <w:rStyle w:val="spelle"/>
              </w:rPr>
              <w:t xml:space="preserve"> Noteikumu projektā tiek </w:t>
            </w:r>
            <w:r w:rsidRPr="00D45248">
              <w:rPr>
                <w:rStyle w:val="spelle"/>
              </w:rPr>
              <w:t>precizēt</w:t>
            </w:r>
            <w:r>
              <w:rPr>
                <w:rStyle w:val="spelle"/>
              </w:rPr>
              <w:t xml:space="preserve">s 50.punkts, paredzot, </w:t>
            </w:r>
            <w:r w:rsidR="006B1C78" w:rsidRPr="00D45248">
              <w:rPr>
                <w:rStyle w:val="spelle"/>
              </w:rPr>
              <w:t>ja persona kārto pārbaudi atkāroti</w:t>
            </w:r>
            <w:r>
              <w:rPr>
                <w:rStyle w:val="spelle"/>
              </w:rPr>
              <w:t xml:space="preserve">, neatkarīgi no pārbaudes prasmes līmeņa, </w:t>
            </w:r>
            <w:r w:rsidR="006B1C78" w:rsidRPr="00D45248">
              <w:rPr>
                <w:rStyle w:val="spelle"/>
              </w:rPr>
              <w:t xml:space="preserve">un </w:t>
            </w:r>
            <w:r w:rsidR="00974D5C">
              <w:rPr>
                <w:rStyle w:val="spelle"/>
              </w:rPr>
              <w:t>ne</w:t>
            </w:r>
            <w:r w:rsidR="006B1C78" w:rsidRPr="00D45248">
              <w:rPr>
                <w:rStyle w:val="spelle"/>
              </w:rPr>
              <w:t xml:space="preserve">saņem sekmīgu vērtējumu, spēkā ir </w:t>
            </w:r>
            <w:r w:rsidR="00974D5C">
              <w:rPr>
                <w:rStyle w:val="spelle"/>
              </w:rPr>
              <w:t xml:space="preserve">iepriekšējais </w:t>
            </w:r>
            <w:r w:rsidR="006B1C78" w:rsidRPr="00D45248">
              <w:rPr>
                <w:rStyle w:val="spelle"/>
              </w:rPr>
              <w:t>lēmums par valsts va</w:t>
            </w:r>
            <w:r>
              <w:rPr>
                <w:rStyle w:val="spelle"/>
              </w:rPr>
              <w:t>lodas prasmes līmeni un pakāpi;</w:t>
            </w:r>
          </w:p>
          <w:p w:rsidR="00C11055" w:rsidRDefault="00C42C99" w:rsidP="00355FEB">
            <w:pPr>
              <w:widowControl w:val="0"/>
              <w:numPr>
                <w:ilvl w:val="0"/>
                <w:numId w:val="2"/>
              </w:numPr>
              <w:adjustRightInd w:val="0"/>
              <w:jc w:val="both"/>
              <w:textAlignment w:val="baseline"/>
              <w:rPr>
                <w:rStyle w:val="spelle"/>
              </w:rPr>
            </w:pPr>
            <w:r w:rsidRPr="00D45248">
              <w:rPr>
                <w:rStyle w:val="spelle"/>
              </w:rPr>
              <w:t>tiek paplašin</w:t>
            </w:r>
            <w:r w:rsidR="004B7056" w:rsidRPr="00D45248">
              <w:rPr>
                <w:rStyle w:val="spelle"/>
              </w:rPr>
              <w:t>āts to personu loks, kam</w:t>
            </w:r>
            <w:r w:rsidRPr="00D45248">
              <w:rPr>
                <w:rStyle w:val="spelle"/>
              </w:rPr>
              <w:t xml:space="preserve"> ir notei</w:t>
            </w:r>
            <w:r w:rsidR="004B7056" w:rsidRPr="00D45248">
              <w:rPr>
                <w:rStyle w:val="spelle"/>
              </w:rPr>
              <w:t>kti atvieglojumi valsts nodevas piemērošanā</w:t>
            </w:r>
            <w:r w:rsidR="009003D6">
              <w:rPr>
                <w:rStyle w:val="spelle"/>
              </w:rPr>
              <w:t>, kā arī atvieglojumi valsts nodevas piemērošanā tiek paredzēti</w:t>
            </w:r>
            <w:r w:rsidR="00C11055">
              <w:rPr>
                <w:rStyle w:val="spelle"/>
              </w:rPr>
              <w:t xml:space="preserve"> ne tikai personām, kuras kārto valsts valodas prasmes pārbaudi profesionālo un amata pienākumu veikšanai, bet arī </w:t>
            </w:r>
            <w:r w:rsidR="009003D6">
              <w:rPr>
                <w:rStyle w:val="spelle"/>
              </w:rPr>
              <w:t xml:space="preserve"> </w:t>
            </w:r>
            <w:r w:rsidR="00A5567B">
              <w:rPr>
                <w:rStyle w:val="spelle"/>
              </w:rPr>
              <w:t>personām, kas kārtos valsts valodas prasmes pārbaudi pastāvīgās uzturēšanās atļaujas saņemšanai un Eiropas Savienības pastāvīgā iedzīvotāja statusa iegūšanai.</w:t>
            </w:r>
          </w:p>
          <w:p w:rsidR="00C11055" w:rsidRDefault="00C11055" w:rsidP="00355FEB">
            <w:pPr>
              <w:widowControl w:val="0"/>
              <w:numPr>
                <w:ilvl w:val="0"/>
                <w:numId w:val="2"/>
              </w:numPr>
              <w:adjustRightInd w:val="0"/>
              <w:jc w:val="both"/>
              <w:textAlignment w:val="baseline"/>
            </w:pPr>
            <w:r>
              <w:rPr>
                <w:rStyle w:val="spelle"/>
              </w:rPr>
              <w:t xml:space="preserve">valsts nodeva 7,11 </w:t>
            </w:r>
            <w:r w:rsidRPr="00C11055">
              <w:rPr>
                <w:rStyle w:val="spelle"/>
                <w:i/>
              </w:rPr>
              <w:t>euro</w:t>
            </w:r>
            <w:r>
              <w:rPr>
                <w:rStyle w:val="spelle"/>
              </w:rPr>
              <w:t xml:space="preserve"> apmērā, tas ir samazināta valsts nodeva, tiek paredzēta </w:t>
            </w:r>
            <w:r w:rsidRPr="00C11055">
              <w:t>bezdarbnieki</w:t>
            </w:r>
            <w:r>
              <w:t>em</w:t>
            </w:r>
            <w:r w:rsidRPr="00C11055">
              <w:t>, kas saņem bezdarbnieka pabalstu, augstskolu un koledžu studenti</w:t>
            </w:r>
            <w:r>
              <w:t>em</w:t>
            </w:r>
            <w:r w:rsidRPr="00C11055">
              <w:t>, vispārējās izglītības un profesionālās vidējās izglītības iestāžu izglītojamie</w:t>
            </w:r>
            <w:r>
              <w:t>m</w:t>
            </w:r>
            <w:r w:rsidRPr="00C11055">
              <w:t>, person</w:t>
            </w:r>
            <w:r>
              <w:t>ām</w:t>
            </w:r>
            <w:r w:rsidRPr="00C11055">
              <w:t>, kas saņem vecuma pensiju, kā arī Černobiļas atomelektrostacijas avārijas seku likvidēšanas dalībnieki</w:t>
            </w:r>
            <w:r>
              <w:t>em</w:t>
            </w:r>
            <w:r w:rsidRPr="00C11055">
              <w:t>.</w:t>
            </w:r>
          </w:p>
          <w:p w:rsidR="00D81DBD" w:rsidRPr="00D45248" w:rsidRDefault="00C11055" w:rsidP="00355FEB">
            <w:pPr>
              <w:widowControl w:val="0"/>
              <w:numPr>
                <w:ilvl w:val="0"/>
                <w:numId w:val="2"/>
              </w:numPr>
              <w:adjustRightInd w:val="0"/>
              <w:jc w:val="both"/>
              <w:textAlignment w:val="baseline"/>
              <w:rPr>
                <w:rStyle w:val="spelle"/>
              </w:rPr>
            </w:pPr>
            <w:r>
              <w:t>v</w:t>
            </w:r>
            <w:r w:rsidRPr="00C11055">
              <w:t>alsts nodev</w:t>
            </w:r>
            <w:r>
              <w:t>a</w:t>
            </w:r>
            <w:r w:rsidRPr="00C11055">
              <w:t xml:space="preserve"> 1,42 </w:t>
            </w:r>
            <w:r w:rsidRPr="00C11055">
              <w:rPr>
                <w:i/>
              </w:rPr>
              <w:t>euro</w:t>
            </w:r>
            <w:r w:rsidRPr="00C11055">
              <w:t xml:space="preserve"> apmērā</w:t>
            </w:r>
            <w:r>
              <w:t>, tas ir samazināta valsts nodeva, tiek paredzēta</w:t>
            </w:r>
            <w:r w:rsidRPr="00C11055">
              <w:t xml:space="preserve"> bezdarbnieki</w:t>
            </w:r>
            <w:r>
              <w:t>em</w:t>
            </w:r>
            <w:r w:rsidRPr="00C11055">
              <w:t>, kuri nesaņem bezdarbnieka pabalstu, trūcīgā</w:t>
            </w:r>
            <w:r>
              <w:t>m</w:t>
            </w:r>
            <w:r w:rsidRPr="00C11055">
              <w:t xml:space="preserve"> person</w:t>
            </w:r>
            <w:r>
              <w:t>ām</w:t>
            </w:r>
            <w:r w:rsidRPr="00C11055">
              <w:t>, daudzbērnu ģimeņu vecāki</w:t>
            </w:r>
            <w:r>
              <w:t>em</w:t>
            </w:r>
            <w:r w:rsidRPr="00C11055">
              <w:t xml:space="preserve">, </w:t>
            </w:r>
            <w:r>
              <w:t>personām</w:t>
            </w:r>
            <w:r w:rsidRPr="00C11055">
              <w:t xml:space="preserve"> bērna kopšanas atvaļinājuma laikā, bāreņi</w:t>
            </w:r>
            <w:r>
              <w:t>em</w:t>
            </w:r>
            <w:r w:rsidRPr="00C11055">
              <w:t xml:space="preserve"> līdz 18 gadu vecumam, politiski represētā</w:t>
            </w:r>
            <w:r>
              <w:t>m</w:t>
            </w:r>
            <w:r w:rsidRPr="00C11055">
              <w:t xml:space="preserve"> person</w:t>
            </w:r>
            <w:r>
              <w:t>ām</w:t>
            </w:r>
            <w:r w:rsidRPr="00C11055">
              <w:t>, invalīdi</w:t>
            </w:r>
            <w:r>
              <w:t>em</w:t>
            </w:r>
            <w:r w:rsidRPr="00C11055">
              <w:t>, person</w:t>
            </w:r>
            <w:r>
              <w:t>ām</w:t>
            </w:r>
            <w:r w:rsidRPr="00C11055">
              <w:t>, kuras izcieš sodu brīvības atņemšanas iestādēs vai pēc soda izciešanas (trīs mēnešu laikā</w:t>
            </w:r>
            <w:r>
              <w:t>.</w:t>
            </w:r>
          </w:p>
          <w:p w:rsidR="00D81DBD" w:rsidRPr="00D45248" w:rsidRDefault="00C11055" w:rsidP="00355FEB">
            <w:pPr>
              <w:widowControl w:val="0"/>
              <w:numPr>
                <w:ilvl w:val="0"/>
                <w:numId w:val="2"/>
              </w:numPr>
              <w:adjustRightInd w:val="0"/>
              <w:jc w:val="both"/>
              <w:textAlignment w:val="baseline"/>
              <w:rPr>
                <w:rStyle w:val="spelle"/>
              </w:rPr>
            </w:pPr>
            <w:r>
              <w:rPr>
                <w:rStyle w:val="spelle"/>
              </w:rPr>
              <w:t xml:space="preserve">tiek </w:t>
            </w:r>
            <w:r w:rsidR="00D81DBD" w:rsidRPr="00D45248">
              <w:rPr>
                <w:rStyle w:val="spelle"/>
              </w:rPr>
              <w:t xml:space="preserve">precizēta norma attiecībā uz valsts nodevas atmaksu, nosakot – ja persona neierodas uz pārbaudi un MK noteikumos Nr.733 noteiktajā kārtībā neiesniedz attaisnojošus dokumentus, tad valsts nodeva par pārbaudi netiek atmaksāta; šāds precizējums ir veikts tādēļ, ka ir gadījumi, kad persona prasa atmaksāt valsts nodevu, kaut arī bez attaisnojoša iemesla </w:t>
            </w:r>
            <w:r w:rsidR="006B1C78" w:rsidRPr="00D45248">
              <w:rPr>
                <w:rStyle w:val="spelle"/>
              </w:rPr>
              <w:t xml:space="preserve">neierodas uz pārbaudi; neraugoties uz to, ka persona uz konkrēto pārbaudi neierodas, </w:t>
            </w:r>
            <w:r w:rsidR="00D81DBD" w:rsidRPr="00D45248">
              <w:rPr>
                <w:rStyle w:val="spelle"/>
              </w:rPr>
              <w:t>administratīvais process jebkurā gadījumā ir uzsākts, ir pieņemts personas iesniegums, apstrādāti personas dati, sagatavoti pārbaudes materiāli u.c. darbība</w:t>
            </w:r>
            <w:r w:rsidR="006B1C78" w:rsidRPr="00D45248">
              <w:rPr>
                <w:rStyle w:val="spelle"/>
              </w:rPr>
              <w:t>s, kurās ieguldīti cilvēku un finanšu resursi;</w:t>
            </w:r>
          </w:p>
          <w:p w:rsidR="00C03D93" w:rsidRPr="00ED7BA1" w:rsidRDefault="009372A8" w:rsidP="00355FEB">
            <w:pPr>
              <w:widowControl w:val="0"/>
              <w:numPr>
                <w:ilvl w:val="0"/>
                <w:numId w:val="2"/>
              </w:numPr>
              <w:adjustRightInd w:val="0"/>
              <w:jc w:val="both"/>
              <w:textAlignment w:val="baseline"/>
            </w:pPr>
            <w:r w:rsidRPr="00D45248">
              <w:rPr>
                <w:bCs/>
              </w:rPr>
              <w:t>6.pielikumā nepie</w:t>
            </w:r>
            <w:r w:rsidR="00D81DBD" w:rsidRPr="00D45248">
              <w:rPr>
                <w:bCs/>
              </w:rPr>
              <w:t>ciešams svītrot prasību norādīt pases datus, ņemot vērā, ka šāda informācija administratīvā procesa nodrošinātājiem nav nepieciešama, jo personas tiek identificētas pēc personas koda</w:t>
            </w:r>
            <w:r w:rsidR="00ED7BA1">
              <w:rPr>
                <w:bCs/>
              </w:rPr>
              <w:t>;</w:t>
            </w:r>
          </w:p>
          <w:p w:rsidR="00ED7BA1" w:rsidRPr="00D45248" w:rsidRDefault="00ED7BA1" w:rsidP="00355FEB">
            <w:pPr>
              <w:widowControl w:val="0"/>
              <w:numPr>
                <w:ilvl w:val="0"/>
                <w:numId w:val="2"/>
              </w:numPr>
              <w:adjustRightInd w:val="0"/>
              <w:jc w:val="both"/>
              <w:textAlignment w:val="baseline"/>
            </w:pPr>
            <w:r w:rsidRPr="00D45248">
              <w:rPr>
                <w:bCs/>
              </w:rPr>
              <w:t xml:space="preserve">6.pielikumā </w:t>
            </w:r>
            <w:r>
              <w:rPr>
                <w:bCs/>
              </w:rPr>
              <w:t>p</w:t>
            </w:r>
            <w:r w:rsidR="00843503">
              <w:rPr>
                <w:bCs/>
              </w:rPr>
              <w:t>a</w:t>
            </w:r>
            <w:r>
              <w:rPr>
                <w:bCs/>
              </w:rPr>
              <w:t xml:space="preserve">redzēts personai papildus norādīt valstisko piederību, kas </w:t>
            </w:r>
            <w:r w:rsidR="00843503">
              <w:rPr>
                <w:bCs/>
              </w:rPr>
              <w:t>kalpos statistisko datu apkopošanai integrācijas politikas realizācijas ietvaros.</w:t>
            </w:r>
            <w:r>
              <w:rPr>
                <w:bCs/>
              </w:rPr>
              <w:t xml:space="preserve"> </w:t>
            </w:r>
          </w:p>
        </w:tc>
      </w:tr>
      <w:tr w:rsidR="004523A8" w:rsidRPr="00D45248" w:rsidTr="00355FEB">
        <w:trPr>
          <w:trHeight w:val="465"/>
          <w:tblCellSpacing w:w="15" w:type="dxa"/>
        </w:trPr>
        <w:tc>
          <w:tcPr>
            <w:tcW w:w="595" w:type="dxa"/>
            <w:gridSpan w:val="3"/>
            <w:tcBorders>
              <w:top w:val="outset" w:sz="6" w:space="0" w:color="auto"/>
              <w:left w:val="outset" w:sz="6" w:space="0" w:color="auto"/>
              <w:bottom w:val="outset" w:sz="6" w:space="0" w:color="auto"/>
              <w:right w:val="outset" w:sz="6" w:space="0" w:color="auto"/>
            </w:tcBorders>
            <w:hideMark/>
          </w:tcPr>
          <w:p w:rsidR="004523A8" w:rsidRPr="00D45248" w:rsidRDefault="004523A8" w:rsidP="00355FEB">
            <w:pPr>
              <w:pStyle w:val="tvhtml"/>
              <w:jc w:val="center"/>
            </w:pPr>
            <w:r w:rsidRPr="00D45248">
              <w:t>3.</w:t>
            </w:r>
          </w:p>
        </w:tc>
        <w:tc>
          <w:tcPr>
            <w:tcW w:w="1546" w:type="dxa"/>
            <w:gridSpan w:val="3"/>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Projekta izstrādē iesaistītās institūcijas</w:t>
            </w:r>
          </w:p>
        </w:tc>
        <w:tc>
          <w:tcPr>
            <w:tcW w:w="6960" w:type="dxa"/>
            <w:gridSpan w:val="6"/>
            <w:tcBorders>
              <w:top w:val="outset" w:sz="6" w:space="0" w:color="auto"/>
              <w:left w:val="outset" w:sz="6" w:space="0" w:color="auto"/>
              <w:bottom w:val="outset" w:sz="6" w:space="0" w:color="auto"/>
              <w:right w:val="outset" w:sz="6" w:space="0" w:color="auto"/>
            </w:tcBorders>
            <w:hideMark/>
          </w:tcPr>
          <w:p w:rsidR="004523A8" w:rsidRPr="00D45248" w:rsidRDefault="00C42C99" w:rsidP="00355FEB">
            <w:r w:rsidRPr="00D45248">
              <w:t>Izglītības un zinātnes ministrija, Valsts izglītības satura centrs</w:t>
            </w:r>
          </w:p>
        </w:tc>
      </w:tr>
      <w:tr w:rsidR="004523A8" w:rsidRPr="00D45248" w:rsidTr="00355FEB">
        <w:trPr>
          <w:tblCellSpacing w:w="15" w:type="dxa"/>
        </w:trPr>
        <w:tc>
          <w:tcPr>
            <w:tcW w:w="595" w:type="dxa"/>
            <w:gridSpan w:val="3"/>
            <w:tcBorders>
              <w:top w:val="outset" w:sz="6" w:space="0" w:color="auto"/>
              <w:left w:val="outset" w:sz="6" w:space="0" w:color="auto"/>
              <w:bottom w:val="outset" w:sz="6" w:space="0" w:color="auto"/>
              <w:right w:val="outset" w:sz="6" w:space="0" w:color="auto"/>
            </w:tcBorders>
            <w:hideMark/>
          </w:tcPr>
          <w:p w:rsidR="004523A8" w:rsidRPr="00D45248" w:rsidRDefault="004523A8" w:rsidP="00355FEB">
            <w:pPr>
              <w:pStyle w:val="tvhtml"/>
              <w:jc w:val="center"/>
            </w:pPr>
            <w:r w:rsidRPr="00D45248">
              <w:t>4.</w:t>
            </w:r>
          </w:p>
        </w:tc>
        <w:tc>
          <w:tcPr>
            <w:tcW w:w="1546" w:type="dxa"/>
            <w:gridSpan w:val="3"/>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Cita informācija</w:t>
            </w:r>
          </w:p>
        </w:tc>
        <w:tc>
          <w:tcPr>
            <w:tcW w:w="6960" w:type="dxa"/>
            <w:gridSpan w:val="6"/>
            <w:tcBorders>
              <w:top w:val="outset" w:sz="6" w:space="0" w:color="auto"/>
              <w:left w:val="outset" w:sz="6" w:space="0" w:color="auto"/>
              <w:bottom w:val="outset" w:sz="6" w:space="0" w:color="auto"/>
              <w:right w:val="outset" w:sz="6" w:space="0" w:color="auto"/>
            </w:tcBorders>
            <w:hideMark/>
          </w:tcPr>
          <w:p w:rsidR="004523A8" w:rsidRPr="00D45248" w:rsidRDefault="004523A8" w:rsidP="00355FEB">
            <w:pPr>
              <w:pStyle w:val="tvhtml"/>
            </w:pPr>
            <w:r w:rsidRPr="00D45248">
              <w:t>Nav</w:t>
            </w:r>
            <w:r w:rsidR="00C42C99" w:rsidRPr="00D45248">
              <w:t>.</w:t>
            </w:r>
          </w:p>
        </w:tc>
      </w:tr>
      <w:tr w:rsidR="004523A8" w:rsidRPr="00D45248" w:rsidTr="00355FEB">
        <w:trPr>
          <w:trHeight w:val="555"/>
          <w:tblCellSpacing w:w="15" w:type="dxa"/>
        </w:trPr>
        <w:tc>
          <w:tcPr>
            <w:tcW w:w="9161" w:type="dxa"/>
            <w:gridSpan w:val="12"/>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pPr>
              <w:pStyle w:val="tvhtml"/>
              <w:jc w:val="center"/>
              <w:rPr>
                <w:b/>
                <w:bCs/>
              </w:rPr>
            </w:pPr>
            <w:r w:rsidRPr="00D45248">
              <w:rPr>
                <w:b/>
                <w:bCs/>
              </w:rPr>
              <w:t>II. Tiesību akta projekta ietekme uz sabiedrību, tautsaimniecības attīstību un administratīvo slogu</w:t>
            </w:r>
          </w:p>
        </w:tc>
      </w:tr>
      <w:tr w:rsidR="003B67B7" w:rsidRPr="00D45248" w:rsidTr="00355FEB">
        <w:trPr>
          <w:trHeight w:val="465"/>
          <w:tblCellSpacing w:w="15" w:type="dxa"/>
        </w:trPr>
        <w:tc>
          <w:tcPr>
            <w:tcW w:w="372" w:type="dxa"/>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1.</w:t>
            </w:r>
          </w:p>
        </w:tc>
        <w:tc>
          <w:tcPr>
            <w:tcW w:w="1708" w:type="dxa"/>
            <w:gridSpan w:val="4"/>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Sabiedrības mērķgrupas, kuras tiesiskais regulējums ietekmē vai varētu ietekmēt</w:t>
            </w:r>
          </w:p>
        </w:tc>
        <w:tc>
          <w:tcPr>
            <w:tcW w:w="7021" w:type="dxa"/>
            <w:gridSpan w:val="7"/>
            <w:tcBorders>
              <w:top w:val="outset" w:sz="6" w:space="0" w:color="auto"/>
              <w:left w:val="outset" w:sz="6" w:space="0" w:color="auto"/>
              <w:bottom w:val="outset" w:sz="6" w:space="0" w:color="auto"/>
              <w:right w:val="outset" w:sz="6" w:space="0" w:color="auto"/>
            </w:tcBorders>
            <w:hideMark/>
          </w:tcPr>
          <w:p w:rsidR="00AB26E5" w:rsidRPr="00D45248" w:rsidRDefault="00AB26E5" w:rsidP="00355FEB">
            <w:pPr>
              <w:jc w:val="both"/>
            </w:pPr>
            <w:r w:rsidRPr="00D45248">
              <w:t>Personas, kurām profesionālo un amata pienākumu veikšanai, pastāvīgās uzturēšanās atļaujas saņemšanai vai Eiropas Savienības pastāvīgā iedzīvotāja statusa iegūšanai nepieciešams kārtot valsts valodas prasmes pārbaudi, lai apliecinātu savu valsts valodas prasmes līmeni (īpaši – mazaizsargātās vai maznodrošinātās personas, kurām jākārto valsts valodas prasmes pārbaude).</w:t>
            </w:r>
          </w:p>
        </w:tc>
      </w:tr>
      <w:tr w:rsidR="003B67B7" w:rsidRPr="00D45248" w:rsidTr="00355FEB">
        <w:trPr>
          <w:trHeight w:val="510"/>
          <w:tblCellSpacing w:w="15" w:type="dxa"/>
        </w:trPr>
        <w:tc>
          <w:tcPr>
            <w:tcW w:w="372" w:type="dxa"/>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2.</w:t>
            </w:r>
          </w:p>
        </w:tc>
        <w:tc>
          <w:tcPr>
            <w:tcW w:w="1708" w:type="dxa"/>
            <w:gridSpan w:val="4"/>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Tiesiskā regulējuma ietekme uz tautsaimniecību un administratīvo slogu</w:t>
            </w:r>
          </w:p>
        </w:tc>
        <w:tc>
          <w:tcPr>
            <w:tcW w:w="7021" w:type="dxa"/>
            <w:gridSpan w:val="7"/>
            <w:tcBorders>
              <w:top w:val="outset" w:sz="6" w:space="0" w:color="auto"/>
              <w:left w:val="outset" w:sz="6" w:space="0" w:color="auto"/>
              <w:bottom w:val="outset" w:sz="6" w:space="0" w:color="auto"/>
              <w:right w:val="outset" w:sz="6" w:space="0" w:color="auto"/>
            </w:tcBorders>
            <w:hideMark/>
          </w:tcPr>
          <w:p w:rsidR="004523A8" w:rsidRPr="00D45248" w:rsidRDefault="00065916" w:rsidP="00355FEB">
            <w:r>
              <w:t>Projekts šo jomu neskar.</w:t>
            </w:r>
          </w:p>
        </w:tc>
      </w:tr>
      <w:tr w:rsidR="003B67B7" w:rsidRPr="00D45248" w:rsidTr="00355FEB">
        <w:trPr>
          <w:trHeight w:val="510"/>
          <w:tblCellSpacing w:w="15" w:type="dxa"/>
        </w:trPr>
        <w:tc>
          <w:tcPr>
            <w:tcW w:w="372" w:type="dxa"/>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3.</w:t>
            </w:r>
          </w:p>
        </w:tc>
        <w:tc>
          <w:tcPr>
            <w:tcW w:w="1708" w:type="dxa"/>
            <w:gridSpan w:val="4"/>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Administratīvo izmaksu monetārs novērtējums</w:t>
            </w:r>
          </w:p>
        </w:tc>
        <w:tc>
          <w:tcPr>
            <w:tcW w:w="7021" w:type="dxa"/>
            <w:gridSpan w:val="7"/>
            <w:tcBorders>
              <w:top w:val="outset" w:sz="6" w:space="0" w:color="auto"/>
              <w:left w:val="outset" w:sz="6" w:space="0" w:color="auto"/>
              <w:bottom w:val="outset" w:sz="6" w:space="0" w:color="auto"/>
              <w:right w:val="outset" w:sz="6" w:space="0" w:color="auto"/>
            </w:tcBorders>
            <w:hideMark/>
          </w:tcPr>
          <w:p w:rsidR="004523A8" w:rsidRPr="00D45248" w:rsidRDefault="00065916" w:rsidP="00355FEB">
            <w:r>
              <w:t>Projekts šo jomu neskar.</w:t>
            </w:r>
          </w:p>
        </w:tc>
      </w:tr>
      <w:tr w:rsidR="003B67B7" w:rsidRPr="00D45248" w:rsidTr="00355FEB">
        <w:trPr>
          <w:trHeight w:val="351"/>
          <w:tblCellSpacing w:w="15" w:type="dxa"/>
        </w:trPr>
        <w:tc>
          <w:tcPr>
            <w:tcW w:w="372" w:type="dxa"/>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4.</w:t>
            </w:r>
          </w:p>
        </w:tc>
        <w:tc>
          <w:tcPr>
            <w:tcW w:w="1708" w:type="dxa"/>
            <w:gridSpan w:val="4"/>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Cita informācija</w:t>
            </w:r>
          </w:p>
        </w:tc>
        <w:tc>
          <w:tcPr>
            <w:tcW w:w="7021" w:type="dxa"/>
            <w:gridSpan w:val="7"/>
            <w:tcBorders>
              <w:top w:val="outset" w:sz="6" w:space="0" w:color="auto"/>
              <w:left w:val="outset" w:sz="6" w:space="0" w:color="auto"/>
              <w:bottom w:val="outset" w:sz="6" w:space="0" w:color="auto"/>
              <w:right w:val="outset" w:sz="6" w:space="0" w:color="auto"/>
            </w:tcBorders>
            <w:hideMark/>
          </w:tcPr>
          <w:p w:rsidR="004523A8" w:rsidRPr="00D45248" w:rsidRDefault="009A1B2D" w:rsidP="00355FEB">
            <w:pPr>
              <w:pStyle w:val="tvhtml"/>
            </w:pPr>
            <w:r w:rsidRPr="00D45248">
              <w:t>Nav.</w:t>
            </w:r>
          </w:p>
        </w:tc>
      </w:tr>
      <w:tr w:rsidR="004523A8" w:rsidRPr="00D45248" w:rsidTr="00355FEB">
        <w:trPr>
          <w:trHeight w:val="360"/>
          <w:tblCellSpacing w:w="15" w:type="dxa"/>
        </w:trPr>
        <w:tc>
          <w:tcPr>
            <w:tcW w:w="9161" w:type="dxa"/>
            <w:gridSpan w:val="12"/>
            <w:tcBorders>
              <w:top w:val="outset" w:sz="6" w:space="0" w:color="auto"/>
              <w:left w:val="outset" w:sz="6" w:space="0" w:color="auto"/>
              <w:bottom w:val="outset" w:sz="6" w:space="0" w:color="auto"/>
              <w:right w:val="outset" w:sz="6" w:space="0" w:color="auto"/>
            </w:tcBorders>
            <w:vAlign w:val="center"/>
            <w:hideMark/>
          </w:tcPr>
          <w:p w:rsidR="00AB5615" w:rsidRDefault="00AB5615" w:rsidP="00355FEB">
            <w:pPr>
              <w:pStyle w:val="tvhtml"/>
              <w:jc w:val="center"/>
              <w:rPr>
                <w:b/>
                <w:bCs/>
              </w:rPr>
            </w:pPr>
          </w:p>
          <w:p w:rsidR="00AB5615" w:rsidRDefault="00AB5615" w:rsidP="00355FEB">
            <w:pPr>
              <w:pStyle w:val="tvhtml"/>
              <w:jc w:val="center"/>
              <w:rPr>
                <w:b/>
                <w:bCs/>
              </w:rPr>
            </w:pPr>
          </w:p>
          <w:p w:rsidR="0006161F" w:rsidRDefault="0006161F" w:rsidP="00355FEB">
            <w:pPr>
              <w:pStyle w:val="tvhtml"/>
              <w:jc w:val="center"/>
              <w:rPr>
                <w:b/>
                <w:bCs/>
              </w:rPr>
            </w:pPr>
          </w:p>
          <w:p w:rsidR="0006161F" w:rsidRDefault="0006161F" w:rsidP="00355FEB">
            <w:pPr>
              <w:pStyle w:val="tvhtml"/>
              <w:jc w:val="center"/>
              <w:rPr>
                <w:b/>
                <w:bCs/>
              </w:rPr>
            </w:pPr>
          </w:p>
          <w:p w:rsidR="00AB5615" w:rsidRDefault="00AB5615" w:rsidP="00355FEB">
            <w:pPr>
              <w:pStyle w:val="tvhtml"/>
              <w:jc w:val="center"/>
              <w:rPr>
                <w:b/>
                <w:bCs/>
              </w:rPr>
            </w:pPr>
          </w:p>
          <w:p w:rsidR="00AB5615" w:rsidRDefault="00AB5615" w:rsidP="00355FEB">
            <w:pPr>
              <w:pStyle w:val="tvhtml"/>
              <w:jc w:val="center"/>
              <w:rPr>
                <w:b/>
                <w:bCs/>
              </w:rPr>
            </w:pPr>
          </w:p>
          <w:p w:rsidR="004523A8" w:rsidRPr="00D45248" w:rsidRDefault="004523A8" w:rsidP="00355FEB">
            <w:pPr>
              <w:pStyle w:val="tvhtml"/>
              <w:jc w:val="center"/>
              <w:rPr>
                <w:b/>
                <w:bCs/>
              </w:rPr>
            </w:pPr>
            <w:r w:rsidRPr="00D45248">
              <w:rPr>
                <w:b/>
                <w:bCs/>
              </w:rPr>
              <w:t>III. Tiesību akta projekta ietekme uz valsts budžetu un pašvaldību budžetiem</w:t>
            </w:r>
          </w:p>
        </w:tc>
      </w:tr>
      <w:tr w:rsidR="003B67B7" w:rsidRPr="00D45248" w:rsidTr="00355FEB">
        <w:trPr>
          <w:tblCellSpacing w:w="15" w:type="dxa"/>
        </w:trPr>
        <w:tc>
          <w:tcPr>
            <w:tcW w:w="1822" w:type="dxa"/>
            <w:gridSpan w:val="4"/>
            <w:vMerge w:val="restart"/>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pPr>
              <w:pStyle w:val="tvhtml"/>
              <w:jc w:val="center"/>
              <w:rPr>
                <w:b/>
                <w:bCs/>
              </w:rPr>
            </w:pPr>
            <w:r w:rsidRPr="00D45248">
              <w:rPr>
                <w:b/>
                <w:bCs/>
              </w:rPr>
              <w:t>Rādītāji</w:t>
            </w:r>
          </w:p>
        </w:tc>
        <w:tc>
          <w:tcPr>
            <w:tcW w:w="3074" w:type="dxa"/>
            <w:gridSpan w:val="5"/>
            <w:vMerge w:val="restart"/>
            <w:tcBorders>
              <w:top w:val="outset" w:sz="6" w:space="0" w:color="auto"/>
              <w:left w:val="outset" w:sz="6" w:space="0" w:color="auto"/>
              <w:bottom w:val="outset" w:sz="6" w:space="0" w:color="auto"/>
              <w:right w:val="outset" w:sz="6" w:space="0" w:color="auto"/>
            </w:tcBorders>
            <w:vAlign w:val="center"/>
            <w:hideMark/>
          </w:tcPr>
          <w:p w:rsidR="004523A8" w:rsidRPr="009D0589" w:rsidRDefault="009D0589" w:rsidP="00355FEB">
            <w:pPr>
              <w:pStyle w:val="tvhtml"/>
              <w:jc w:val="center"/>
              <w:rPr>
                <w:bCs/>
              </w:rPr>
            </w:pPr>
            <w:r>
              <w:rPr>
                <w:b/>
                <w:bCs/>
              </w:rPr>
              <w:t>2014</w:t>
            </w:r>
            <w:r w:rsidR="00FE7159">
              <w:rPr>
                <w:b/>
                <w:bCs/>
              </w:rPr>
              <w:t xml:space="preserve"> </w:t>
            </w:r>
            <w:r w:rsidR="00FE7159" w:rsidRPr="00FE7159">
              <w:rPr>
                <w:b/>
                <w:bCs/>
                <w:i/>
              </w:rPr>
              <w:t>(euro)</w:t>
            </w:r>
          </w:p>
        </w:tc>
        <w:tc>
          <w:tcPr>
            <w:tcW w:w="4205" w:type="dxa"/>
            <w:gridSpan w:val="3"/>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pPr>
              <w:pStyle w:val="tvhtml"/>
              <w:jc w:val="center"/>
            </w:pPr>
            <w:r w:rsidRPr="00D45248">
              <w:t>Turpmākie trīs gadi (</w:t>
            </w:r>
            <w:r w:rsidRPr="00D45248">
              <w:rPr>
                <w:i/>
                <w:iCs/>
              </w:rPr>
              <w:t>euro</w:t>
            </w:r>
            <w:r w:rsidRPr="00D45248">
              <w:t>)</w:t>
            </w:r>
          </w:p>
        </w:tc>
      </w:tr>
      <w:tr w:rsidR="003B67B7" w:rsidRPr="00D45248" w:rsidTr="00355FEB">
        <w:trPr>
          <w:tblCellSpacing w:w="15" w:type="dxa"/>
        </w:trPr>
        <w:tc>
          <w:tcPr>
            <w:tcW w:w="1822" w:type="dxa"/>
            <w:gridSpan w:val="4"/>
            <w:vMerge/>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pPr>
              <w:rPr>
                <w:b/>
                <w:bCs/>
              </w:rPr>
            </w:pPr>
          </w:p>
        </w:tc>
        <w:tc>
          <w:tcPr>
            <w:tcW w:w="3074" w:type="dxa"/>
            <w:gridSpan w:val="5"/>
            <w:vMerge/>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pPr>
              <w:rPr>
                <w:b/>
                <w:bCs/>
              </w:rPr>
            </w:pPr>
          </w:p>
        </w:tc>
        <w:tc>
          <w:tcPr>
            <w:tcW w:w="1088" w:type="dxa"/>
            <w:tcBorders>
              <w:top w:val="outset" w:sz="6" w:space="0" w:color="auto"/>
              <w:left w:val="outset" w:sz="6" w:space="0" w:color="auto"/>
              <w:bottom w:val="outset" w:sz="6" w:space="0" w:color="auto"/>
              <w:right w:val="outset" w:sz="6" w:space="0" w:color="auto"/>
            </w:tcBorders>
            <w:vAlign w:val="center"/>
            <w:hideMark/>
          </w:tcPr>
          <w:p w:rsidR="004523A8" w:rsidRPr="00D45248" w:rsidRDefault="00AF3B79" w:rsidP="009D0589">
            <w:pPr>
              <w:pStyle w:val="tvhtml"/>
              <w:jc w:val="center"/>
              <w:rPr>
                <w:b/>
                <w:bCs/>
              </w:rPr>
            </w:pPr>
            <w:r w:rsidRPr="00D45248">
              <w:rPr>
                <w:b/>
                <w:bCs/>
              </w:rPr>
              <w:t>201</w:t>
            </w:r>
            <w:r w:rsidR="009D0589">
              <w:rPr>
                <w:b/>
                <w:bCs/>
              </w:rPr>
              <w:t>5</w:t>
            </w:r>
          </w:p>
        </w:tc>
        <w:tc>
          <w:tcPr>
            <w:tcW w:w="1126" w:type="dxa"/>
            <w:tcBorders>
              <w:top w:val="outset" w:sz="6" w:space="0" w:color="auto"/>
              <w:left w:val="outset" w:sz="6" w:space="0" w:color="auto"/>
              <w:bottom w:val="outset" w:sz="6" w:space="0" w:color="auto"/>
              <w:right w:val="outset" w:sz="6" w:space="0" w:color="auto"/>
            </w:tcBorders>
            <w:vAlign w:val="center"/>
            <w:hideMark/>
          </w:tcPr>
          <w:p w:rsidR="004523A8" w:rsidRPr="00D45248" w:rsidRDefault="00AF3B79" w:rsidP="009D0589">
            <w:pPr>
              <w:pStyle w:val="tvhtml"/>
              <w:jc w:val="center"/>
              <w:rPr>
                <w:b/>
                <w:bCs/>
              </w:rPr>
            </w:pPr>
            <w:r w:rsidRPr="00D45248">
              <w:rPr>
                <w:b/>
                <w:bCs/>
              </w:rPr>
              <w:t>201</w:t>
            </w:r>
            <w:r w:rsidR="009D0589">
              <w:rPr>
                <w:b/>
                <w:bCs/>
              </w:rPr>
              <w:t>6</w:t>
            </w:r>
          </w:p>
        </w:tc>
        <w:tc>
          <w:tcPr>
            <w:tcW w:w="1931" w:type="dxa"/>
            <w:tcBorders>
              <w:top w:val="outset" w:sz="6" w:space="0" w:color="auto"/>
              <w:left w:val="outset" w:sz="6" w:space="0" w:color="auto"/>
              <w:bottom w:val="outset" w:sz="6" w:space="0" w:color="auto"/>
              <w:right w:val="outset" w:sz="6" w:space="0" w:color="auto"/>
            </w:tcBorders>
            <w:vAlign w:val="center"/>
            <w:hideMark/>
          </w:tcPr>
          <w:p w:rsidR="004523A8" w:rsidRPr="00D45248" w:rsidRDefault="00AF3B79" w:rsidP="009D0589">
            <w:pPr>
              <w:pStyle w:val="tvhtml"/>
              <w:jc w:val="center"/>
              <w:rPr>
                <w:b/>
                <w:bCs/>
              </w:rPr>
            </w:pPr>
            <w:r w:rsidRPr="00D45248">
              <w:rPr>
                <w:b/>
                <w:bCs/>
              </w:rPr>
              <w:t>201</w:t>
            </w:r>
            <w:r w:rsidR="009D0589">
              <w:rPr>
                <w:b/>
                <w:bCs/>
              </w:rPr>
              <w:t>7</w:t>
            </w:r>
          </w:p>
        </w:tc>
      </w:tr>
      <w:tr w:rsidR="003B67B7" w:rsidRPr="00D45248" w:rsidTr="00355FEB">
        <w:trPr>
          <w:tblCellSpacing w:w="15" w:type="dxa"/>
        </w:trPr>
        <w:tc>
          <w:tcPr>
            <w:tcW w:w="1822" w:type="dxa"/>
            <w:gridSpan w:val="4"/>
            <w:vMerge/>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pPr>
              <w:rPr>
                <w:b/>
                <w:bCs/>
              </w:rPr>
            </w:pPr>
          </w:p>
        </w:tc>
        <w:tc>
          <w:tcPr>
            <w:tcW w:w="1386" w:type="dxa"/>
            <w:gridSpan w:val="4"/>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pPr>
              <w:pStyle w:val="tvhtml"/>
              <w:jc w:val="center"/>
            </w:pPr>
            <w:r w:rsidRPr="00D45248">
              <w:t>saskaņā ar valsts budžetu kārtējam gadam</w:t>
            </w:r>
          </w:p>
        </w:tc>
        <w:tc>
          <w:tcPr>
            <w:tcW w:w="1658" w:type="dxa"/>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pPr>
              <w:pStyle w:val="tvhtml"/>
              <w:jc w:val="center"/>
            </w:pPr>
            <w:r w:rsidRPr="00D45248">
              <w:t>izmaiņas kārtējā gadā, salīdzinot ar valsts budžetu kārtējam gadam</w:t>
            </w:r>
          </w:p>
        </w:tc>
        <w:tc>
          <w:tcPr>
            <w:tcW w:w="1088" w:type="dxa"/>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pPr>
              <w:pStyle w:val="tvhtml"/>
              <w:jc w:val="center"/>
            </w:pPr>
            <w:r w:rsidRPr="00D45248">
              <w:t>izmaiņas, salīdzinot ar kārtējo (n) gadu</w:t>
            </w:r>
          </w:p>
        </w:tc>
        <w:tc>
          <w:tcPr>
            <w:tcW w:w="1126" w:type="dxa"/>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pPr>
              <w:pStyle w:val="tvhtml"/>
              <w:jc w:val="center"/>
            </w:pPr>
            <w:r w:rsidRPr="00D45248">
              <w:t>izmaiņas, salīdzinot ar kārtējo (n) gadu</w:t>
            </w:r>
          </w:p>
        </w:tc>
        <w:tc>
          <w:tcPr>
            <w:tcW w:w="1931" w:type="dxa"/>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pPr>
              <w:pStyle w:val="tvhtml"/>
              <w:jc w:val="center"/>
            </w:pPr>
            <w:r w:rsidRPr="00D45248">
              <w:t>izmaiņas, salīdzinot ar kārtējo (n) gadu</w:t>
            </w:r>
          </w:p>
        </w:tc>
      </w:tr>
      <w:tr w:rsidR="003B67B7" w:rsidRPr="00D45248" w:rsidTr="00355FEB">
        <w:trPr>
          <w:tblCellSpacing w:w="15" w:type="dxa"/>
        </w:trPr>
        <w:tc>
          <w:tcPr>
            <w:tcW w:w="1822" w:type="dxa"/>
            <w:gridSpan w:val="4"/>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pPr>
              <w:pStyle w:val="tvhtml"/>
              <w:jc w:val="center"/>
            </w:pPr>
            <w:r w:rsidRPr="00D45248">
              <w:t>1</w:t>
            </w:r>
          </w:p>
        </w:tc>
        <w:tc>
          <w:tcPr>
            <w:tcW w:w="1386" w:type="dxa"/>
            <w:gridSpan w:val="4"/>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pPr>
              <w:pStyle w:val="tvhtml"/>
              <w:jc w:val="center"/>
            </w:pPr>
            <w:r w:rsidRPr="00D45248">
              <w:t>2</w:t>
            </w:r>
          </w:p>
        </w:tc>
        <w:tc>
          <w:tcPr>
            <w:tcW w:w="1658" w:type="dxa"/>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pPr>
              <w:pStyle w:val="tvhtml"/>
              <w:jc w:val="center"/>
            </w:pPr>
            <w:r w:rsidRPr="00D45248">
              <w:t>3</w:t>
            </w:r>
          </w:p>
        </w:tc>
        <w:tc>
          <w:tcPr>
            <w:tcW w:w="1088" w:type="dxa"/>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pPr>
              <w:pStyle w:val="tvhtml"/>
              <w:jc w:val="center"/>
            </w:pPr>
            <w:r w:rsidRPr="00D45248">
              <w:t>4</w:t>
            </w:r>
          </w:p>
        </w:tc>
        <w:tc>
          <w:tcPr>
            <w:tcW w:w="1126" w:type="dxa"/>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pPr>
              <w:pStyle w:val="tvhtml"/>
              <w:jc w:val="center"/>
            </w:pPr>
            <w:r w:rsidRPr="00D45248">
              <w:t>5</w:t>
            </w:r>
          </w:p>
        </w:tc>
        <w:tc>
          <w:tcPr>
            <w:tcW w:w="1931" w:type="dxa"/>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pPr>
              <w:pStyle w:val="tvhtml"/>
              <w:jc w:val="center"/>
            </w:pPr>
            <w:r w:rsidRPr="00D45248">
              <w:t>6</w:t>
            </w:r>
          </w:p>
        </w:tc>
      </w:tr>
      <w:tr w:rsidR="003B67B7" w:rsidRPr="00D45248" w:rsidTr="00355FEB">
        <w:trPr>
          <w:tblCellSpacing w:w="15" w:type="dxa"/>
        </w:trPr>
        <w:tc>
          <w:tcPr>
            <w:tcW w:w="1822" w:type="dxa"/>
            <w:gridSpan w:val="4"/>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1. Budžeta ieņēmumi:</w:t>
            </w:r>
          </w:p>
        </w:tc>
        <w:tc>
          <w:tcPr>
            <w:tcW w:w="1386" w:type="dxa"/>
            <w:gridSpan w:val="4"/>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 </w:t>
            </w:r>
          </w:p>
        </w:tc>
        <w:tc>
          <w:tcPr>
            <w:tcW w:w="1658" w:type="dxa"/>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 </w:t>
            </w:r>
          </w:p>
        </w:tc>
        <w:tc>
          <w:tcPr>
            <w:tcW w:w="1088" w:type="dxa"/>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 </w:t>
            </w:r>
          </w:p>
        </w:tc>
        <w:tc>
          <w:tcPr>
            <w:tcW w:w="1126" w:type="dxa"/>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 </w:t>
            </w:r>
          </w:p>
        </w:tc>
        <w:tc>
          <w:tcPr>
            <w:tcW w:w="1931" w:type="dxa"/>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 </w:t>
            </w:r>
          </w:p>
        </w:tc>
      </w:tr>
      <w:tr w:rsidR="003B67B7" w:rsidRPr="00D45248" w:rsidTr="00355FEB">
        <w:trPr>
          <w:tblCellSpacing w:w="15" w:type="dxa"/>
        </w:trPr>
        <w:tc>
          <w:tcPr>
            <w:tcW w:w="1822" w:type="dxa"/>
            <w:gridSpan w:val="4"/>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1.1. valsts pamatbudžets, tai skaitā ieņēmumi no maksas pakalpojumiem un citi pašu ieņēmumi</w:t>
            </w:r>
          </w:p>
        </w:tc>
        <w:tc>
          <w:tcPr>
            <w:tcW w:w="1386" w:type="dxa"/>
            <w:gridSpan w:val="4"/>
            <w:tcBorders>
              <w:top w:val="outset" w:sz="6" w:space="0" w:color="auto"/>
              <w:left w:val="outset" w:sz="6" w:space="0" w:color="auto"/>
              <w:bottom w:val="outset" w:sz="6" w:space="0" w:color="auto"/>
              <w:right w:val="outset" w:sz="6" w:space="0" w:color="auto"/>
            </w:tcBorders>
            <w:hideMark/>
          </w:tcPr>
          <w:p w:rsidR="00493787" w:rsidRPr="008F6B6F" w:rsidRDefault="004523A8" w:rsidP="00355FEB">
            <w:pPr>
              <w:rPr>
                <w:sz w:val="20"/>
                <w:szCs w:val="20"/>
              </w:rPr>
            </w:pPr>
            <w:r w:rsidRPr="008F6B6F">
              <w:rPr>
                <w:sz w:val="20"/>
                <w:szCs w:val="20"/>
              </w:rPr>
              <w:t> </w:t>
            </w:r>
            <w:r w:rsidR="00E318F1">
              <w:rPr>
                <w:sz w:val="20"/>
                <w:szCs w:val="20"/>
              </w:rPr>
              <w:t>110</w:t>
            </w:r>
            <w:r w:rsidR="00ED2402">
              <w:rPr>
                <w:sz w:val="20"/>
                <w:szCs w:val="20"/>
              </w:rPr>
              <w:t xml:space="preserve"> </w:t>
            </w:r>
            <w:r w:rsidR="00E318F1">
              <w:rPr>
                <w:sz w:val="20"/>
                <w:szCs w:val="20"/>
              </w:rPr>
              <w:t>267</w:t>
            </w:r>
            <w:r w:rsidR="006E2802" w:rsidRPr="008F6B6F">
              <w:rPr>
                <w:sz w:val="20"/>
                <w:szCs w:val="20"/>
              </w:rPr>
              <w:t xml:space="preserve">* </w:t>
            </w:r>
          </w:p>
          <w:p w:rsidR="00AF3B79" w:rsidRPr="008F6B6F" w:rsidRDefault="00AF3B79" w:rsidP="00355FEB">
            <w:pPr>
              <w:rPr>
                <w:sz w:val="20"/>
                <w:szCs w:val="20"/>
              </w:rPr>
            </w:pPr>
          </w:p>
        </w:tc>
        <w:tc>
          <w:tcPr>
            <w:tcW w:w="1658" w:type="dxa"/>
            <w:tcBorders>
              <w:top w:val="outset" w:sz="6" w:space="0" w:color="auto"/>
              <w:left w:val="outset" w:sz="6" w:space="0" w:color="auto"/>
              <w:bottom w:val="outset" w:sz="6" w:space="0" w:color="auto"/>
              <w:right w:val="outset" w:sz="6" w:space="0" w:color="auto"/>
            </w:tcBorders>
            <w:hideMark/>
          </w:tcPr>
          <w:p w:rsidR="00493787" w:rsidRPr="008F6B6F" w:rsidRDefault="00ED2402" w:rsidP="00355FEB">
            <w:pPr>
              <w:rPr>
                <w:sz w:val="20"/>
                <w:szCs w:val="20"/>
              </w:rPr>
            </w:pPr>
            <w:r>
              <w:rPr>
                <w:sz w:val="20"/>
                <w:szCs w:val="20"/>
              </w:rPr>
              <w:t>Nav precīzi aprēķināms.</w:t>
            </w:r>
          </w:p>
          <w:p w:rsidR="009D7DE1" w:rsidRPr="008F6B6F" w:rsidRDefault="009D7DE1" w:rsidP="00355FEB">
            <w:pPr>
              <w:rPr>
                <w:sz w:val="20"/>
                <w:szCs w:val="20"/>
              </w:rPr>
            </w:pPr>
          </w:p>
          <w:p w:rsidR="009D7DE1" w:rsidRPr="008F6B6F" w:rsidRDefault="009D7DE1" w:rsidP="00355FEB">
            <w:pPr>
              <w:rPr>
                <w:sz w:val="20"/>
                <w:szCs w:val="20"/>
              </w:rPr>
            </w:pPr>
          </w:p>
          <w:p w:rsidR="006E2802" w:rsidRPr="008F6B6F" w:rsidRDefault="006E2802" w:rsidP="00355FEB">
            <w:pPr>
              <w:rPr>
                <w:sz w:val="20"/>
                <w:szCs w:val="20"/>
              </w:rPr>
            </w:pPr>
          </w:p>
          <w:tbl>
            <w:tblPr>
              <w:tblW w:w="1254" w:type="dxa"/>
              <w:tblLayout w:type="fixed"/>
              <w:tblLook w:val="04A0" w:firstRow="1" w:lastRow="0" w:firstColumn="1" w:lastColumn="0" w:noHBand="0" w:noVBand="1"/>
            </w:tblPr>
            <w:tblGrid>
              <w:gridCol w:w="1254"/>
            </w:tblGrid>
            <w:tr w:rsidR="006E2802" w:rsidRPr="008F6B6F" w:rsidTr="006E2802">
              <w:trPr>
                <w:trHeight w:val="300"/>
              </w:trPr>
              <w:tc>
                <w:tcPr>
                  <w:tcW w:w="1254" w:type="dxa"/>
                  <w:tcBorders>
                    <w:top w:val="nil"/>
                    <w:left w:val="nil"/>
                    <w:bottom w:val="nil"/>
                    <w:right w:val="nil"/>
                  </w:tcBorders>
                  <w:shd w:val="clear" w:color="auto" w:fill="auto"/>
                  <w:noWrap/>
                  <w:vAlign w:val="bottom"/>
                  <w:hideMark/>
                </w:tcPr>
                <w:p w:rsidR="006E2802" w:rsidRPr="008F6B6F" w:rsidRDefault="006E2802" w:rsidP="00D04C4F">
                  <w:pPr>
                    <w:framePr w:hSpace="180" w:wrap="around" w:vAnchor="text" w:hAnchor="text" w:xAlign="center" w:y="1"/>
                    <w:suppressOverlap/>
                    <w:rPr>
                      <w:color w:val="000000"/>
                      <w:sz w:val="20"/>
                      <w:szCs w:val="20"/>
                    </w:rPr>
                  </w:pPr>
                </w:p>
              </w:tc>
            </w:tr>
            <w:tr w:rsidR="006E2802" w:rsidRPr="008F6B6F" w:rsidTr="006E2802">
              <w:trPr>
                <w:trHeight w:val="300"/>
              </w:trPr>
              <w:tc>
                <w:tcPr>
                  <w:tcW w:w="1254" w:type="dxa"/>
                  <w:tcBorders>
                    <w:top w:val="nil"/>
                    <w:left w:val="nil"/>
                    <w:bottom w:val="nil"/>
                    <w:right w:val="nil"/>
                  </w:tcBorders>
                  <w:shd w:val="clear" w:color="auto" w:fill="auto"/>
                  <w:noWrap/>
                  <w:vAlign w:val="bottom"/>
                  <w:hideMark/>
                </w:tcPr>
                <w:p w:rsidR="006E2802" w:rsidRPr="008F6B6F" w:rsidRDefault="006E2802" w:rsidP="00D04C4F">
                  <w:pPr>
                    <w:framePr w:hSpace="180" w:wrap="around" w:vAnchor="text" w:hAnchor="text" w:xAlign="center" w:y="1"/>
                    <w:suppressOverlap/>
                    <w:rPr>
                      <w:color w:val="000000"/>
                      <w:sz w:val="20"/>
                      <w:szCs w:val="20"/>
                    </w:rPr>
                  </w:pPr>
                </w:p>
              </w:tc>
            </w:tr>
            <w:tr w:rsidR="006E2802" w:rsidRPr="008F6B6F" w:rsidTr="006E2802">
              <w:trPr>
                <w:trHeight w:val="300"/>
              </w:trPr>
              <w:tc>
                <w:tcPr>
                  <w:tcW w:w="1254" w:type="dxa"/>
                  <w:tcBorders>
                    <w:top w:val="nil"/>
                    <w:left w:val="nil"/>
                    <w:bottom w:val="nil"/>
                    <w:right w:val="nil"/>
                  </w:tcBorders>
                  <w:shd w:val="clear" w:color="auto" w:fill="auto"/>
                  <w:noWrap/>
                  <w:vAlign w:val="bottom"/>
                  <w:hideMark/>
                </w:tcPr>
                <w:p w:rsidR="006E2802" w:rsidRPr="008F6B6F" w:rsidRDefault="006E2802" w:rsidP="00D04C4F">
                  <w:pPr>
                    <w:framePr w:hSpace="180" w:wrap="around" w:vAnchor="text" w:hAnchor="text" w:xAlign="center" w:y="1"/>
                    <w:suppressOverlap/>
                    <w:rPr>
                      <w:color w:val="000000"/>
                      <w:sz w:val="20"/>
                      <w:szCs w:val="20"/>
                    </w:rPr>
                  </w:pPr>
                </w:p>
              </w:tc>
            </w:tr>
          </w:tbl>
          <w:p w:rsidR="006E2802" w:rsidRPr="008F6B6F" w:rsidRDefault="006E2802" w:rsidP="00355FEB">
            <w:pPr>
              <w:rPr>
                <w:bCs/>
                <w:color w:val="000000"/>
                <w:sz w:val="20"/>
                <w:szCs w:val="20"/>
              </w:rPr>
            </w:pPr>
          </w:p>
        </w:tc>
        <w:tc>
          <w:tcPr>
            <w:tcW w:w="1088" w:type="dxa"/>
            <w:tcBorders>
              <w:top w:val="outset" w:sz="6" w:space="0" w:color="auto"/>
              <w:left w:val="outset" w:sz="6" w:space="0" w:color="auto"/>
              <w:bottom w:val="outset" w:sz="6" w:space="0" w:color="auto"/>
              <w:right w:val="outset" w:sz="6" w:space="0" w:color="auto"/>
            </w:tcBorders>
          </w:tcPr>
          <w:p w:rsidR="00ED2402" w:rsidRPr="008F6B6F" w:rsidRDefault="00ED2402" w:rsidP="00ED2402">
            <w:pPr>
              <w:rPr>
                <w:sz w:val="20"/>
                <w:szCs w:val="20"/>
              </w:rPr>
            </w:pPr>
            <w:r>
              <w:rPr>
                <w:sz w:val="20"/>
                <w:szCs w:val="20"/>
              </w:rPr>
              <w:t>Nav precīzi aprēķināms.</w:t>
            </w:r>
          </w:p>
          <w:p w:rsidR="006E2802" w:rsidRPr="008F6B6F" w:rsidRDefault="006E2802" w:rsidP="00355FEB">
            <w:pPr>
              <w:rPr>
                <w:sz w:val="20"/>
                <w:szCs w:val="20"/>
              </w:rPr>
            </w:pPr>
          </w:p>
        </w:tc>
        <w:tc>
          <w:tcPr>
            <w:tcW w:w="1126" w:type="dxa"/>
            <w:tcBorders>
              <w:top w:val="outset" w:sz="6" w:space="0" w:color="auto"/>
              <w:left w:val="outset" w:sz="6" w:space="0" w:color="auto"/>
              <w:bottom w:val="outset" w:sz="6" w:space="0" w:color="auto"/>
              <w:right w:val="outset" w:sz="6" w:space="0" w:color="auto"/>
            </w:tcBorders>
          </w:tcPr>
          <w:p w:rsidR="00ED2402" w:rsidRPr="008F6B6F" w:rsidRDefault="00ED2402" w:rsidP="00ED2402">
            <w:pPr>
              <w:rPr>
                <w:sz w:val="20"/>
                <w:szCs w:val="20"/>
              </w:rPr>
            </w:pPr>
            <w:r>
              <w:rPr>
                <w:sz w:val="20"/>
                <w:szCs w:val="20"/>
              </w:rPr>
              <w:t>Nav precīzi aprēķināms.</w:t>
            </w:r>
          </w:p>
          <w:p w:rsidR="004523A8" w:rsidRPr="008F6B6F" w:rsidRDefault="004523A8" w:rsidP="00355FEB">
            <w:pPr>
              <w:rPr>
                <w:sz w:val="20"/>
                <w:szCs w:val="20"/>
              </w:rPr>
            </w:pPr>
          </w:p>
        </w:tc>
        <w:tc>
          <w:tcPr>
            <w:tcW w:w="1931" w:type="dxa"/>
            <w:tcBorders>
              <w:top w:val="outset" w:sz="6" w:space="0" w:color="auto"/>
              <w:left w:val="outset" w:sz="6" w:space="0" w:color="auto"/>
              <w:bottom w:val="outset" w:sz="6" w:space="0" w:color="auto"/>
              <w:right w:val="outset" w:sz="6" w:space="0" w:color="auto"/>
            </w:tcBorders>
          </w:tcPr>
          <w:p w:rsidR="00ED2402" w:rsidRPr="008F6B6F" w:rsidRDefault="00ED2402" w:rsidP="00ED2402">
            <w:pPr>
              <w:rPr>
                <w:sz w:val="20"/>
                <w:szCs w:val="20"/>
              </w:rPr>
            </w:pPr>
            <w:r>
              <w:rPr>
                <w:sz w:val="20"/>
                <w:szCs w:val="20"/>
              </w:rPr>
              <w:t>Nav precīzi aprēķināms.</w:t>
            </w:r>
          </w:p>
          <w:p w:rsidR="004523A8" w:rsidRPr="008F6B6F" w:rsidRDefault="004523A8" w:rsidP="00355FEB">
            <w:pPr>
              <w:rPr>
                <w:sz w:val="20"/>
                <w:szCs w:val="20"/>
              </w:rPr>
            </w:pPr>
          </w:p>
        </w:tc>
      </w:tr>
      <w:tr w:rsidR="003B67B7" w:rsidRPr="00D45248" w:rsidTr="00355FEB">
        <w:trPr>
          <w:tblCellSpacing w:w="15" w:type="dxa"/>
        </w:trPr>
        <w:tc>
          <w:tcPr>
            <w:tcW w:w="1822" w:type="dxa"/>
            <w:gridSpan w:val="4"/>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1.2. valsts speciālais budžets</w:t>
            </w:r>
          </w:p>
        </w:tc>
        <w:tc>
          <w:tcPr>
            <w:tcW w:w="1386" w:type="dxa"/>
            <w:gridSpan w:val="4"/>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65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08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126"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931"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r>
      <w:tr w:rsidR="003B67B7" w:rsidRPr="00D45248" w:rsidTr="00355FEB">
        <w:trPr>
          <w:tblCellSpacing w:w="15" w:type="dxa"/>
        </w:trPr>
        <w:tc>
          <w:tcPr>
            <w:tcW w:w="1822" w:type="dxa"/>
            <w:gridSpan w:val="4"/>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1.3. pašvaldību budžets</w:t>
            </w:r>
          </w:p>
        </w:tc>
        <w:tc>
          <w:tcPr>
            <w:tcW w:w="1386" w:type="dxa"/>
            <w:gridSpan w:val="4"/>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65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08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126"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931"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r>
      <w:tr w:rsidR="003B67B7" w:rsidRPr="00D45248" w:rsidTr="00355FEB">
        <w:trPr>
          <w:tblCellSpacing w:w="15" w:type="dxa"/>
        </w:trPr>
        <w:tc>
          <w:tcPr>
            <w:tcW w:w="1822" w:type="dxa"/>
            <w:gridSpan w:val="4"/>
            <w:tcBorders>
              <w:top w:val="outset" w:sz="6" w:space="0" w:color="auto"/>
              <w:left w:val="outset" w:sz="6" w:space="0" w:color="auto"/>
              <w:bottom w:val="outset" w:sz="6" w:space="0" w:color="auto"/>
              <w:right w:val="outset" w:sz="6" w:space="0" w:color="auto"/>
            </w:tcBorders>
            <w:hideMark/>
          </w:tcPr>
          <w:p w:rsidR="004C2DB1" w:rsidRPr="00D45248" w:rsidRDefault="004C2DB1" w:rsidP="00355FEB">
            <w:r w:rsidRPr="00D45248">
              <w:t>2. Budžeta izdevumi:</w:t>
            </w:r>
          </w:p>
        </w:tc>
        <w:tc>
          <w:tcPr>
            <w:tcW w:w="1386" w:type="dxa"/>
            <w:gridSpan w:val="4"/>
            <w:tcBorders>
              <w:top w:val="outset" w:sz="6" w:space="0" w:color="auto"/>
              <w:left w:val="outset" w:sz="6" w:space="0" w:color="auto"/>
              <w:bottom w:val="outset" w:sz="6" w:space="0" w:color="auto"/>
              <w:right w:val="outset" w:sz="6" w:space="0" w:color="auto"/>
            </w:tcBorders>
            <w:hideMark/>
          </w:tcPr>
          <w:p w:rsidR="004C2DB1" w:rsidRPr="008F6B6F" w:rsidRDefault="004C2DB1" w:rsidP="00355FEB">
            <w:pPr>
              <w:rPr>
                <w:sz w:val="20"/>
                <w:szCs w:val="20"/>
              </w:rPr>
            </w:pPr>
            <w:r w:rsidRPr="008F6B6F">
              <w:rPr>
                <w:sz w:val="20"/>
                <w:szCs w:val="20"/>
              </w:rPr>
              <w:t> </w:t>
            </w:r>
          </w:p>
          <w:p w:rsidR="004C2DB1" w:rsidRPr="008F6B6F" w:rsidRDefault="00375DFB" w:rsidP="00375DFB">
            <w:pPr>
              <w:rPr>
                <w:sz w:val="20"/>
                <w:szCs w:val="20"/>
              </w:rPr>
            </w:pPr>
            <w:r>
              <w:rPr>
                <w:sz w:val="20"/>
                <w:szCs w:val="20"/>
              </w:rPr>
              <w:t xml:space="preserve">    68 000</w:t>
            </w:r>
            <w:r w:rsidR="006E2802" w:rsidRPr="008F6B6F">
              <w:rPr>
                <w:sz w:val="20"/>
                <w:szCs w:val="20"/>
              </w:rPr>
              <w:t>**</w:t>
            </w:r>
          </w:p>
        </w:tc>
        <w:tc>
          <w:tcPr>
            <w:tcW w:w="1658" w:type="dxa"/>
            <w:tcBorders>
              <w:top w:val="outset" w:sz="6" w:space="0" w:color="auto"/>
              <w:left w:val="outset" w:sz="6" w:space="0" w:color="auto"/>
              <w:bottom w:val="outset" w:sz="6" w:space="0" w:color="auto"/>
              <w:right w:val="outset" w:sz="6" w:space="0" w:color="auto"/>
            </w:tcBorders>
            <w:vAlign w:val="bottom"/>
          </w:tcPr>
          <w:p w:rsidR="00375DFB" w:rsidRPr="008F6B6F" w:rsidRDefault="00375DFB" w:rsidP="00375DFB">
            <w:pPr>
              <w:rPr>
                <w:sz w:val="20"/>
                <w:szCs w:val="20"/>
              </w:rPr>
            </w:pPr>
            <w:r>
              <w:rPr>
                <w:sz w:val="20"/>
                <w:szCs w:val="20"/>
              </w:rPr>
              <w:t>Nav precīzi aprēķināms.</w:t>
            </w:r>
          </w:p>
          <w:p w:rsidR="009D7DE1" w:rsidRPr="008F6B6F" w:rsidRDefault="009D7DE1" w:rsidP="00355FEB">
            <w:pPr>
              <w:ind w:left="357"/>
              <w:rPr>
                <w:color w:val="000000"/>
                <w:sz w:val="20"/>
                <w:szCs w:val="20"/>
              </w:rPr>
            </w:pPr>
          </w:p>
        </w:tc>
        <w:tc>
          <w:tcPr>
            <w:tcW w:w="1088" w:type="dxa"/>
            <w:tcBorders>
              <w:top w:val="outset" w:sz="6" w:space="0" w:color="auto"/>
              <w:left w:val="outset" w:sz="6" w:space="0" w:color="auto"/>
              <w:bottom w:val="outset" w:sz="6" w:space="0" w:color="auto"/>
              <w:right w:val="outset" w:sz="6" w:space="0" w:color="auto"/>
            </w:tcBorders>
            <w:vAlign w:val="bottom"/>
          </w:tcPr>
          <w:p w:rsidR="00375DFB" w:rsidRPr="008F6B6F" w:rsidRDefault="00375DFB" w:rsidP="00375DFB">
            <w:pPr>
              <w:rPr>
                <w:sz w:val="20"/>
                <w:szCs w:val="20"/>
              </w:rPr>
            </w:pPr>
            <w:r>
              <w:rPr>
                <w:sz w:val="20"/>
                <w:szCs w:val="20"/>
              </w:rPr>
              <w:t>Nav precīzi aprēķināms.</w:t>
            </w:r>
          </w:p>
          <w:p w:rsidR="009D7DE1" w:rsidRPr="008F6B6F" w:rsidRDefault="009D7DE1" w:rsidP="00355FEB">
            <w:pPr>
              <w:rPr>
                <w:color w:val="000000"/>
                <w:sz w:val="20"/>
                <w:szCs w:val="20"/>
              </w:rPr>
            </w:pPr>
          </w:p>
        </w:tc>
        <w:tc>
          <w:tcPr>
            <w:tcW w:w="1126" w:type="dxa"/>
            <w:tcBorders>
              <w:top w:val="outset" w:sz="6" w:space="0" w:color="auto"/>
              <w:left w:val="outset" w:sz="6" w:space="0" w:color="auto"/>
              <w:bottom w:val="outset" w:sz="6" w:space="0" w:color="auto"/>
              <w:right w:val="outset" w:sz="6" w:space="0" w:color="auto"/>
            </w:tcBorders>
            <w:vAlign w:val="bottom"/>
          </w:tcPr>
          <w:p w:rsidR="00375DFB" w:rsidRPr="008F6B6F" w:rsidRDefault="00375DFB" w:rsidP="00375DFB">
            <w:pPr>
              <w:rPr>
                <w:sz w:val="20"/>
                <w:szCs w:val="20"/>
              </w:rPr>
            </w:pPr>
            <w:r>
              <w:rPr>
                <w:sz w:val="20"/>
                <w:szCs w:val="20"/>
              </w:rPr>
              <w:t>Nav precīzi aprēķināms.</w:t>
            </w:r>
          </w:p>
          <w:p w:rsidR="009D7DE1" w:rsidRPr="008F6B6F" w:rsidRDefault="009D7DE1" w:rsidP="00355FEB">
            <w:pPr>
              <w:rPr>
                <w:color w:val="000000"/>
                <w:sz w:val="20"/>
                <w:szCs w:val="20"/>
              </w:rPr>
            </w:pPr>
          </w:p>
        </w:tc>
        <w:tc>
          <w:tcPr>
            <w:tcW w:w="1931" w:type="dxa"/>
            <w:tcBorders>
              <w:top w:val="outset" w:sz="6" w:space="0" w:color="auto"/>
              <w:left w:val="outset" w:sz="6" w:space="0" w:color="auto"/>
              <w:bottom w:val="outset" w:sz="6" w:space="0" w:color="auto"/>
              <w:right w:val="outset" w:sz="6" w:space="0" w:color="auto"/>
            </w:tcBorders>
            <w:vAlign w:val="bottom"/>
          </w:tcPr>
          <w:p w:rsidR="00375DFB" w:rsidRPr="008F6B6F" w:rsidRDefault="00375DFB" w:rsidP="00375DFB">
            <w:pPr>
              <w:rPr>
                <w:sz w:val="20"/>
                <w:szCs w:val="20"/>
              </w:rPr>
            </w:pPr>
            <w:r>
              <w:rPr>
                <w:sz w:val="20"/>
                <w:szCs w:val="20"/>
              </w:rPr>
              <w:t>Nav precīzi aprēķināms.</w:t>
            </w:r>
          </w:p>
          <w:p w:rsidR="009D7DE1" w:rsidRPr="008F6B6F" w:rsidRDefault="009D7DE1" w:rsidP="00355FEB">
            <w:pPr>
              <w:rPr>
                <w:color w:val="000000"/>
                <w:sz w:val="20"/>
                <w:szCs w:val="20"/>
              </w:rPr>
            </w:pPr>
          </w:p>
        </w:tc>
      </w:tr>
      <w:tr w:rsidR="00140825" w:rsidRPr="00D45248" w:rsidTr="00355FEB">
        <w:trPr>
          <w:tblCellSpacing w:w="15" w:type="dxa"/>
        </w:trPr>
        <w:tc>
          <w:tcPr>
            <w:tcW w:w="1822" w:type="dxa"/>
            <w:gridSpan w:val="4"/>
            <w:tcBorders>
              <w:top w:val="outset" w:sz="6" w:space="0" w:color="auto"/>
              <w:left w:val="outset" w:sz="6" w:space="0" w:color="auto"/>
              <w:bottom w:val="outset" w:sz="6" w:space="0" w:color="auto"/>
              <w:right w:val="outset" w:sz="6" w:space="0" w:color="auto"/>
            </w:tcBorders>
            <w:hideMark/>
          </w:tcPr>
          <w:p w:rsidR="00C76534" w:rsidRPr="00D45248" w:rsidRDefault="00C76534" w:rsidP="00355FEB">
            <w:r w:rsidRPr="00D45248">
              <w:t>2.1. valsts pamatbudžets</w:t>
            </w:r>
          </w:p>
        </w:tc>
        <w:tc>
          <w:tcPr>
            <w:tcW w:w="1386" w:type="dxa"/>
            <w:gridSpan w:val="4"/>
            <w:tcBorders>
              <w:top w:val="outset" w:sz="6" w:space="0" w:color="auto"/>
              <w:left w:val="outset" w:sz="6" w:space="0" w:color="auto"/>
              <w:bottom w:val="outset" w:sz="6" w:space="0" w:color="auto"/>
              <w:right w:val="outset" w:sz="6" w:space="0" w:color="auto"/>
            </w:tcBorders>
            <w:hideMark/>
          </w:tcPr>
          <w:p w:rsidR="00C76534" w:rsidRPr="000267A5" w:rsidRDefault="00355FEB" w:rsidP="00355FEB">
            <w:pPr>
              <w:jc w:val="center"/>
              <w:rPr>
                <w:sz w:val="22"/>
                <w:szCs w:val="22"/>
              </w:rPr>
            </w:pPr>
            <w:r w:rsidRPr="000267A5">
              <w:rPr>
                <w:sz w:val="22"/>
                <w:szCs w:val="22"/>
              </w:rPr>
              <w:t>0</w:t>
            </w:r>
          </w:p>
        </w:tc>
        <w:tc>
          <w:tcPr>
            <w:tcW w:w="1658" w:type="dxa"/>
            <w:tcBorders>
              <w:top w:val="outset" w:sz="6" w:space="0" w:color="auto"/>
              <w:left w:val="outset" w:sz="6" w:space="0" w:color="auto"/>
              <w:bottom w:val="outset" w:sz="6" w:space="0" w:color="auto"/>
              <w:right w:val="outset" w:sz="6" w:space="0" w:color="auto"/>
            </w:tcBorders>
            <w:vAlign w:val="bottom"/>
          </w:tcPr>
          <w:p w:rsidR="00C76534" w:rsidRPr="000267A5" w:rsidRDefault="00355FEB" w:rsidP="00355FEB">
            <w:pPr>
              <w:jc w:val="center"/>
              <w:rPr>
                <w:color w:val="000000"/>
                <w:sz w:val="22"/>
                <w:szCs w:val="22"/>
              </w:rPr>
            </w:pPr>
            <w:r w:rsidRPr="000267A5">
              <w:rPr>
                <w:color w:val="000000"/>
                <w:sz w:val="22"/>
                <w:szCs w:val="22"/>
              </w:rPr>
              <w:t>0</w:t>
            </w:r>
          </w:p>
        </w:tc>
        <w:tc>
          <w:tcPr>
            <w:tcW w:w="1088" w:type="dxa"/>
            <w:tcBorders>
              <w:top w:val="outset" w:sz="6" w:space="0" w:color="auto"/>
              <w:left w:val="outset" w:sz="6" w:space="0" w:color="auto"/>
              <w:bottom w:val="outset" w:sz="6" w:space="0" w:color="auto"/>
              <w:right w:val="outset" w:sz="6" w:space="0" w:color="auto"/>
            </w:tcBorders>
            <w:vAlign w:val="bottom"/>
          </w:tcPr>
          <w:p w:rsidR="00C76534" w:rsidRPr="000267A5" w:rsidRDefault="00355FEB" w:rsidP="00355FEB">
            <w:pPr>
              <w:jc w:val="center"/>
              <w:rPr>
                <w:color w:val="000000"/>
                <w:sz w:val="22"/>
                <w:szCs w:val="22"/>
              </w:rPr>
            </w:pPr>
            <w:r w:rsidRPr="000267A5">
              <w:rPr>
                <w:color w:val="000000"/>
                <w:sz w:val="22"/>
                <w:szCs w:val="22"/>
              </w:rPr>
              <w:t>0</w:t>
            </w:r>
          </w:p>
        </w:tc>
        <w:tc>
          <w:tcPr>
            <w:tcW w:w="1126" w:type="dxa"/>
            <w:tcBorders>
              <w:top w:val="outset" w:sz="6" w:space="0" w:color="auto"/>
              <w:left w:val="outset" w:sz="6" w:space="0" w:color="auto"/>
              <w:bottom w:val="outset" w:sz="6" w:space="0" w:color="auto"/>
              <w:right w:val="outset" w:sz="6" w:space="0" w:color="auto"/>
            </w:tcBorders>
            <w:vAlign w:val="bottom"/>
            <w:hideMark/>
          </w:tcPr>
          <w:p w:rsidR="00C76534" w:rsidRPr="000267A5" w:rsidRDefault="00355FEB" w:rsidP="00355FEB">
            <w:pPr>
              <w:jc w:val="center"/>
              <w:rPr>
                <w:color w:val="000000"/>
                <w:sz w:val="22"/>
                <w:szCs w:val="22"/>
              </w:rPr>
            </w:pPr>
            <w:r w:rsidRPr="000267A5">
              <w:rPr>
                <w:color w:val="000000"/>
                <w:sz w:val="22"/>
                <w:szCs w:val="22"/>
              </w:rPr>
              <w:t>0</w:t>
            </w:r>
          </w:p>
        </w:tc>
        <w:tc>
          <w:tcPr>
            <w:tcW w:w="1931" w:type="dxa"/>
            <w:tcBorders>
              <w:top w:val="outset" w:sz="6" w:space="0" w:color="auto"/>
              <w:left w:val="outset" w:sz="6" w:space="0" w:color="auto"/>
              <w:bottom w:val="outset" w:sz="6" w:space="0" w:color="auto"/>
              <w:right w:val="outset" w:sz="6" w:space="0" w:color="auto"/>
            </w:tcBorders>
            <w:vAlign w:val="bottom"/>
          </w:tcPr>
          <w:p w:rsidR="00C76534" w:rsidRPr="000267A5" w:rsidRDefault="00355FEB" w:rsidP="00355FEB">
            <w:pPr>
              <w:jc w:val="center"/>
              <w:rPr>
                <w:color w:val="000000"/>
                <w:sz w:val="22"/>
                <w:szCs w:val="22"/>
              </w:rPr>
            </w:pPr>
            <w:r w:rsidRPr="000267A5">
              <w:rPr>
                <w:color w:val="000000"/>
                <w:sz w:val="22"/>
                <w:szCs w:val="22"/>
              </w:rPr>
              <w:t>0</w:t>
            </w:r>
          </w:p>
        </w:tc>
      </w:tr>
      <w:tr w:rsidR="003B67B7" w:rsidRPr="00D45248" w:rsidTr="00355FEB">
        <w:trPr>
          <w:tblCellSpacing w:w="15" w:type="dxa"/>
        </w:trPr>
        <w:tc>
          <w:tcPr>
            <w:tcW w:w="1822" w:type="dxa"/>
            <w:gridSpan w:val="4"/>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2.2. valsts speciālais budžets</w:t>
            </w:r>
          </w:p>
        </w:tc>
        <w:tc>
          <w:tcPr>
            <w:tcW w:w="1386" w:type="dxa"/>
            <w:gridSpan w:val="4"/>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65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08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126"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931"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r>
      <w:tr w:rsidR="003B67B7" w:rsidRPr="00D45248" w:rsidTr="00355FEB">
        <w:trPr>
          <w:tblCellSpacing w:w="15" w:type="dxa"/>
        </w:trPr>
        <w:tc>
          <w:tcPr>
            <w:tcW w:w="1822" w:type="dxa"/>
            <w:gridSpan w:val="4"/>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2.3. pašvaldību budžets</w:t>
            </w:r>
          </w:p>
        </w:tc>
        <w:tc>
          <w:tcPr>
            <w:tcW w:w="1386" w:type="dxa"/>
            <w:gridSpan w:val="4"/>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65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08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126"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931"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r>
      <w:tr w:rsidR="003B67B7" w:rsidRPr="00D45248" w:rsidTr="00355FEB">
        <w:trPr>
          <w:tblCellSpacing w:w="15" w:type="dxa"/>
        </w:trPr>
        <w:tc>
          <w:tcPr>
            <w:tcW w:w="1822" w:type="dxa"/>
            <w:gridSpan w:val="4"/>
            <w:tcBorders>
              <w:top w:val="outset" w:sz="6" w:space="0" w:color="auto"/>
              <w:left w:val="outset" w:sz="6" w:space="0" w:color="auto"/>
              <w:bottom w:val="outset" w:sz="6" w:space="0" w:color="auto"/>
              <w:right w:val="outset" w:sz="6" w:space="0" w:color="auto"/>
            </w:tcBorders>
            <w:hideMark/>
          </w:tcPr>
          <w:p w:rsidR="004C2DB1" w:rsidRPr="00D45248" w:rsidRDefault="004C2DB1" w:rsidP="00355FEB">
            <w:r w:rsidRPr="00D45248">
              <w:t>3. Finansiālā ietekme:</w:t>
            </w:r>
          </w:p>
        </w:tc>
        <w:tc>
          <w:tcPr>
            <w:tcW w:w="1386" w:type="dxa"/>
            <w:gridSpan w:val="4"/>
            <w:tcBorders>
              <w:top w:val="outset" w:sz="6" w:space="0" w:color="auto"/>
              <w:left w:val="outset" w:sz="6" w:space="0" w:color="auto"/>
              <w:bottom w:val="outset" w:sz="6" w:space="0" w:color="auto"/>
              <w:right w:val="outset" w:sz="6" w:space="0" w:color="auto"/>
            </w:tcBorders>
            <w:vAlign w:val="center"/>
            <w:hideMark/>
          </w:tcPr>
          <w:p w:rsidR="004C2DB1" w:rsidRPr="000267A5" w:rsidRDefault="00355FEB" w:rsidP="00355FEB">
            <w:pPr>
              <w:jc w:val="center"/>
              <w:rPr>
                <w:sz w:val="22"/>
                <w:szCs w:val="22"/>
              </w:rPr>
            </w:pPr>
            <w:r w:rsidRPr="000267A5">
              <w:rPr>
                <w:sz w:val="22"/>
                <w:szCs w:val="22"/>
              </w:rPr>
              <w:t>0</w:t>
            </w:r>
          </w:p>
        </w:tc>
        <w:tc>
          <w:tcPr>
            <w:tcW w:w="1658" w:type="dxa"/>
            <w:tcBorders>
              <w:top w:val="outset" w:sz="6" w:space="0" w:color="auto"/>
              <w:left w:val="outset" w:sz="6" w:space="0" w:color="auto"/>
              <w:bottom w:val="outset" w:sz="6" w:space="0" w:color="auto"/>
              <w:right w:val="outset" w:sz="6" w:space="0" w:color="auto"/>
            </w:tcBorders>
            <w:vAlign w:val="bottom"/>
          </w:tcPr>
          <w:p w:rsidR="004C2DB1" w:rsidRPr="000267A5" w:rsidRDefault="000267A5" w:rsidP="00355FEB">
            <w:pPr>
              <w:jc w:val="center"/>
              <w:rPr>
                <w:bCs/>
                <w:color w:val="000000"/>
                <w:sz w:val="22"/>
                <w:szCs w:val="22"/>
              </w:rPr>
            </w:pPr>
            <w:r w:rsidRPr="000267A5">
              <w:rPr>
                <w:bCs/>
                <w:color w:val="000000"/>
                <w:sz w:val="22"/>
                <w:szCs w:val="22"/>
              </w:rPr>
              <w:t>0</w:t>
            </w:r>
          </w:p>
        </w:tc>
        <w:tc>
          <w:tcPr>
            <w:tcW w:w="1088" w:type="dxa"/>
            <w:tcBorders>
              <w:top w:val="outset" w:sz="6" w:space="0" w:color="auto"/>
              <w:left w:val="outset" w:sz="6" w:space="0" w:color="auto"/>
              <w:bottom w:val="outset" w:sz="6" w:space="0" w:color="auto"/>
              <w:right w:val="outset" w:sz="6" w:space="0" w:color="auto"/>
            </w:tcBorders>
            <w:vAlign w:val="bottom"/>
          </w:tcPr>
          <w:p w:rsidR="004C2DB1" w:rsidRPr="000267A5" w:rsidRDefault="000267A5" w:rsidP="00355FEB">
            <w:pPr>
              <w:jc w:val="center"/>
              <w:rPr>
                <w:bCs/>
                <w:color w:val="000000"/>
                <w:sz w:val="22"/>
                <w:szCs w:val="22"/>
              </w:rPr>
            </w:pPr>
            <w:r w:rsidRPr="000267A5">
              <w:rPr>
                <w:bCs/>
                <w:color w:val="000000"/>
                <w:sz w:val="22"/>
                <w:szCs w:val="22"/>
              </w:rPr>
              <w:t>0</w:t>
            </w:r>
          </w:p>
        </w:tc>
        <w:tc>
          <w:tcPr>
            <w:tcW w:w="1126" w:type="dxa"/>
            <w:tcBorders>
              <w:top w:val="outset" w:sz="6" w:space="0" w:color="auto"/>
              <w:left w:val="outset" w:sz="6" w:space="0" w:color="auto"/>
              <w:bottom w:val="outset" w:sz="6" w:space="0" w:color="auto"/>
              <w:right w:val="outset" w:sz="6" w:space="0" w:color="auto"/>
            </w:tcBorders>
            <w:vAlign w:val="bottom"/>
          </w:tcPr>
          <w:p w:rsidR="004C2DB1" w:rsidRPr="000267A5" w:rsidRDefault="000267A5" w:rsidP="00355FEB">
            <w:pPr>
              <w:jc w:val="center"/>
              <w:rPr>
                <w:bCs/>
                <w:color w:val="000000"/>
                <w:sz w:val="22"/>
                <w:szCs w:val="22"/>
              </w:rPr>
            </w:pPr>
            <w:r w:rsidRPr="000267A5">
              <w:rPr>
                <w:bCs/>
                <w:color w:val="000000"/>
                <w:sz w:val="22"/>
                <w:szCs w:val="22"/>
              </w:rPr>
              <w:t>0</w:t>
            </w:r>
          </w:p>
        </w:tc>
        <w:tc>
          <w:tcPr>
            <w:tcW w:w="1931" w:type="dxa"/>
            <w:tcBorders>
              <w:top w:val="outset" w:sz="6" w:space="0" w:color="auto"/>
              <w:left w:val="outset" w:sz="6" w:space="0" w:color="auto"/>
              <w:bottom w:val="outset" w:sz="6" w:space="0" w:color="auto"/>
              <w:right w:val="outset" w:sz="6" w:space="0" w:color="auto"/>
            </w:tcBorders>
            <w:vAlign w:val="bottom"/>
          </w:tcPr>
          <w:p w:rsidR="004C2DB1" w:rsidRPr="000267A5" w:rsidRDefault="000267A5" w:rsidP="00355FEB">
            <w:pPr>
              <w:jc w:val="center"/>
              <w:rPr>
                <w:bCs/>
                <w:color w:val="000000"/>
                <w:sz w:val="22"/>
                <w:szCs w:val="22"/>
              </w:rPr>
            </w:pPr>
            <w:r w:rsidRPr="000267A5">
              <w:rPr>
                <w:bCs/>
                <w:color w:val="000000"/>
                <w:sz w:val="22"/>
                <w:szCs w:val="22"/>
              </w:rPr>
              <w:t>0</w:t>
            </w:r>
          </w:p>
        </w:tc>
      </w:tr>
      <w:tr w:rsidR="003B67B7" w:rsidRPr="00D45248" w:rsidTr="00355FEB">
        <w:trPr>
          <w:tblCellSpacing w:w="15" w:type="dxa"/>
        </w:trPr>
        <w:tc>
          <w:tcPr>
            <w:tcW w:w="1822" w:type="dxa"/>
            <w:gridSpan w:val="4"/>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3.1. valsts pamatbudžets</w:t>
            </w:r>
          </w:p>
        </w:tc>
        <w:tc>
          <w:tcPr>
            <w:tcW w:w="1386" w:type="dxa"/>
            <w:gridSpan w:val="4"/>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65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08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126"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931"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r>
      <w:tr w:rsidR="003B67B7" w:rsidRPr="00D45248" w:rsidTr="00355FEB">
        <w:trPr>
          <w:tblCellSpacing w:w="15" w:type="dxa"/>
        </w:trPr>
        <w:tc>
          <w:tcPr>
            <w:tcW w:w="1822" w:type="dxa"/>
            <w:gridSpan w:val="4"/>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3.2. speciālais budžets</w:t>
            </w:r>
          </w:p>
        </w:tc>
        <w:tc>
          <w:tcPr>
            <w:tcW w:w="1386" w:type="dxa"/>
            <w:gridSpan w:val="4"/>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65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08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126"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931"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r>
      <w:tr w:rsidR="003B67B7" w:rsidRPr="00D45248" w:rsidTr="00355FEB">
        <w:trPr>
          <w:tblCellSpacing w:w="15" w:type="dxa"/>
        </w:trPr>
        <w:tc>
          <w:tcPr>
            <w:tcW w:w="1822" w:type="dxa"/>
            <w:gridSpan w:val="4"/>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3.3. pašvaldību budžets</w:t>
            </w:r>
          </w:p>
        </w:tc>
        <w:tc>
          <w:tcPr>
            <w:tcW w:w="1386" w:type="dxa"/>
            <w:gridSpan w:val="4"/>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65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08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126"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931"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p w:rsidR="00355FEB" w:rsidRPr="000267A5" w:rsidRDefault="00355FEB" w:rsidP="00355FEB">
            <w:pPr>
              <w:jc w:val="center"/>
              <w:rPr>
                <w:sz w:val="22"/>
                <w:szCs w:val="22"/>
              </w:rPr>
            </w:pPr>
          </w:p>
          <w:p w:rsidR="00355FEB" w:rsidRPr="000267A5" w:rsidRDefault="00355FEB" w:rsidP="00355FEB">
            <w:pPr>
              <w:jc w:val="center"/>
              <w:rPr>
                <w:sz w:val="22"/>
                <w:szCs w:val="22"/>
              </w:rPr>
            </w:pPr>
          </w:p>
          <w:p w:rsidR="00355FEB" w:rsidRPr="000267A5" w:rsidRDefault="00355FEB" w:rsidP="00355FEB">
            <w:pPr>
              <w:jc w:val="center"/>
              <w:rPr>
                <w:sz w:val="22"/>
                <w:szCs w:val="22"/>
              </w:rPr>
            </w:pPr>
          </w:p>
        </w:tc>
      </w:tr>
      <w:tr w:rsidR="003B67B7" w:rsidRPr="00D45248" w:rsidTr="00355FEB">
        <w:trPr>
          <w:tblCellSpacing w:w="15" w:type="dxa"/>
        </w:trPr>
        <w:tc>
          <w:tcPr>
            <w:tcW w:w="1822" w:type="dxa"/>
            <w:gridSpan w:val="4"/>
            <w:vMerge w:val="restart"/>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4. Finanšu līdzekļi papildu izdevumu finansēšanai (kompensējošu izdevumu samazinājumu norāda ar "+" zīmi)</w:t>
            </w:r>
          </w:p>
        </w:tc>
        <w:tc>
          <w:tcPr>
            <w:tcW w:w="1386" w:type="dxa"/>
            <w:gridSpan w:val="4"/>
            <w:vMerge w:val="restart"/>
            <w:tcBorders>
              <w:top w:val="outset" w:sz="6" w:space="0" w:color="auto"/>
              <w:left w:val="outset" w:sz="6" w:space="0" w:color="auto"/>
              <w:bottom w:val="outset" w:sz="6" w:space="0" w:color="auto"/>
              <w:right w:val="outset" w:sz="6" w:space="0" w:color="auto"/>
            </w:tcBorders>
            <w:hideMark/>
          </w:tcPr>
          <w:p w:rsidR="004523A8" w:rsidRPr="00D45248" w:rsidRDefault="004523A8" w:rsidP="00355FEB">
            <w:pPr>
              <w:pStyle w:val="tvhtml"/>
              <w:jc w:val="center"/>
            </w:pPr>
            <w:r w:rsidRPr="00D45248">
              <w:t>X</w:t>
            </w:r>
          </w:p>
        </w:tc>
        <w:tc>
          <w:tcPr>
            <w:tcW w:w="165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08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126"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931"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r>
      <w:tr w:rsidR="003B67B7" w:rsidRPr="00D45248" w:rsidTr="00355FEB">
        <w:trPr>
          <w:tblCellSpacing w:w="15" w:type="dxa"/>
        </w:trPr>
        <w:tc>
          <w:tcPr>
            <w:tcW w:w="1822" w:type="dxa"/>
            <w:gridSpan w:val="4"/>
            <w:vMerge/>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tc>
        <w:tc>
          <w:tcPr>
            <w:tcW w:w="1386" w:type="dxa"/>
            <w:gridSpan w:val="4"/>
            <w:vMerge/>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tc>
        <w:tc>
          <w:tcPr>
            <w:tcW w:w="165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08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126"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931"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r>
      <w:tr w:rsidR="003B67B7" w:rsidRPr="00D45248" w:rsidTr="00355FEB">
        <w:trPr>
          <w:tblCellSpacing w:w="15" w:type="dxa"/>
        </w:trPr>
        <w:tc>
          <w:tcPr>
            <w:tcW w:w="1822" w:type="dxa"/>
            <w:gridSpan w:val="4"/>
            <w:vMerge/>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tc>
        <w:tc>
          <w:tcPr>
            <w:tcW w:w="1386" w:type="dxa"/>
            <w:gridSpan w:val="4"/>
            <w:vMerge/>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tc>
        <w:tc>
          <w:tcPr>
            <w:tcW w:w="165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08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126"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931"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r>
      <w:tr w:rsidR="003B67B7" w:rsidRPr="00D45248" w:rsidTr="00355FEB">
        <w:trPr>
          <w:tblCellSpacing w:w="15" w:type="dxa"/>
        </w:trPr>
        <w:tc>
          <w:tcPr>
            <w:tcW w:w="1822" w:type="dxa"/>
            <w:gridSpan w:val="4"/>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5. Precizēta finansiālā ietekme:</w:t>
            </w:r>
          </w:p>
        </w:tc>
        <w:tc>
          <w:tcPr>
            <w:tcW w:w="1386" w:type="dxa"/>
            <w:gridSpan w:val="4"/>
            <w:vMerge w:val="restart"/>
            <w:tcBorders>
              <w:top w:val="outset" w:sz="6" w:space="0" w:color="auto"/>
              <w:left w:val="outset" w:sz="6" w:space="0" w:color="auto"/>
              <w:bottom w:val="outset" w:sz="6" w:space="0" w:color="auto"/>
              <w:right w:val="outset" w:sz="6" w:space="0" w:color="auto"/>
            </w:tcBorders>
            <w:hideMark/>
          </w:tcPr>
          <w:p w:rsidR="004523A8" w:rsidRPr="00D45248" w:rsidRDefault="004523A8" w:rsidP="00355FEB">
            <w:pPr>
              <w:pStyle w:val="tvhtml"/>
              <w:jc w:val="center"/>
            </w:pPr>
            <w:r w:rsidRPr="00D45248">
              <w:t>X</w:t>
            </w:r>
          </w:p>
        </w:tc>
        <w:tc>
          <w:tcPr>
            <w:tcW w:w="165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08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126"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931"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r>
      <w:tr w:rsidR="003B67B7" w:rsidRPr="00D45248" w:rsidTr="000267A5">
        <w:trPr>
          <w:trHeight w:val="493"/>
          <w:tblCellSpacing w:w="15" w:type="dxa"/>
        </w:trPr>
        <w:tc>
          <w:tcPr>
            <w:tcW w:w="1822" w:type="dxa"/>
            <w:gridSpan w:val="4"/>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5.1. valsts pamatbudžets</w:t>
            </w:r>
          </w:p>
        </w:tc>
        <w:tc>
          <w:tcPr>
            <w:tcW w:w="1386" w:type="dxa"/>
            <w:gridSpan w:val="4"/>
            <w:vMerge/>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tc>
        <w:tc>
          <w:tcPr>
            <w:tcW w:w="165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08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126"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931"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r>
      <w:tr w:rsidR="003B67B7" w:rsidRPr="00D45248" w:rsidTr="00355FEB">
        <w:trPr>
          <w:tblCellSpacing w:w="15" w:type="dxa"/>
        </w:trPr>
        <w:tc>
          <w:tcPr>
            <w:tcW w:w="1822" w:type="dxa"/>
            <w:gridSpan w:val="4"/>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5.2. speciālais budžets</w:t>
            </w:r>
          </w:p>
        </w:tc>
        <w:tc>
          <w:tcPr>
            <w:tcW w:w="1386" w:type="dxa"/>
            <w:gridSpan w:val="4"/>
            <w:vMerge/>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tc>
        <w:tc>
          <w:tcPr>
            <w:tcW w:w="165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08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126"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931"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r>
      <w:tr w:rsidR="003B67B7" w:rsidRPr="00D45248" w:rsidTr="00355FEB">
        <w:trPr>
          <w:tblCellSpacing w:w="15" w:type="dxa"/>
        </w:trPr>
        <w:tc>
          <w:tcPr>
            <w:tcW w:w="1822" w:type="dxa"/>
            <w:gridSpan w:val="4"/>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5.3. pašvaldību budžets</w:t>
            </w:r>
          </w:p>
        </w:tc>
        <w:tc>
          <w:tcPr>
            <w:tcW w:w="1386" w:type="dxa"/>
            <w:gridSpan w:val="4"/>
            <w:vMerge/>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tc>
        <w:tc>
          <w:tcPr>
            <w:tcW w:w="165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088"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126"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c>
          <w:tcPr>
            <w:tcW w:w="1931" w:type="dxa"/>
            <w:tcBorders>
              <w:top w:val="outset" w:sz="6" w:space="0" w:color="auto"/>
              <w:left w:val="outset" w:sz="6" w:space="0" w:color="auto"/>
              <w:bottom w:val="outset" w:sz="6" w:space="0" w:color="auto"/>
              <w:right w:val="outset" w:sz="6" w:space="0" w:color="auto"/>
            </w:tcBorders>
            <w:hideMark/>
          </w:tcPr>
          <w:p w:rsidR="004523A8" w:rsidRPr="000267A5" w:rsidRDefault="00355FEB" w:rsidP="00355FEB">
            <w:pPr>
              <w:jc w:val="center"/>
              <w:rPr>
                <w:sz w:val="22"/>
                <w:szCs w:val="22"/>
              </w:rPr>
            </w:pPr>
            <w:r w:rsidRPr="000267A5">
              <w:rPr>
                <w:sz w:val="22"/>
                <w:szCs w:val="22"/>
              </w:rPr>
              <w:t>0</w:t>
            </w:r>
          </w:p>
        </w:tc>
      </w:tr>
      <w:tr w:rsidR="003B67B7" w:rsidRPr="00D45248" w:rsidTr="00355FEB">
        <w:trPr>
          <w:tblCellSpacing w:w="15" w:type="dxa"/>
        </w:trPr>
        <w:tc>
          <w:tcPr>
            <w:tcW w:w="1822" w:type="dxa"/>
            <w:gridSpan w:val="4"/>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6. Detalizēts ieņēmumu un izdevumu aprēķins (ja nepieciešams, detalizētu ieņēmumu un izdevumu aprēķinu var pievienot anotācijas pielikumā):</w:t>
            </w:r>
          </w:p>
        </w:tc>
        <w:tc>
          <w:tcPr>
            <w:tcW w:w="7309" w:type="dxa"/>
            <w:gridSpan w:val="8"/>
            <w:vMerge w:val="restart"/>
            <w:tcBorders>
              <w:top w:val="outset" w:sz="6" w:space="0" w:color="auto"/>
              <w:left w:val="outset" w:sz="6" w:space="0" w:color="auto"/>
              <w:bottom w:val="outset" w:sz="6" w:space="0" w:color="auto"/>
              <w:right w:val="outset" w:sz="6" w:space="0" w:color="auto"/>
            </w:tcBorders>
            <w:vAlign w:val="center"/>
            <w:hideMark/>
          </w:tcPr>
          <w:p w:rsidR="00E318F1" w:rsidRDefault="00E318F1" w:rsidP="00E318F1">
            <w:r w:rsidRPr="00D45248">
              <w:t>*</w:t>
            </w:r>
            <w:r>
              <w:t xml:space="preserve"> Precīzus aprēķinus veikt nav iespējams, jo 2014.gada valsts valodas prasmes pārbaudes pretendentu skaits nav prognozējams. Dotais aprēķins veikts, pamatojoties uz 2013.gada datiem.</w:t>
            </w:r>
          </w:p>
          <w:p w:rsidR="00375DFB" w:rsidRDefault="00E318F1" w:rsidP="00375DFB">
            <w:r w:rsidRPr="00D45248">
              <w:t>Plānotos ieņēmumus veido val</w:t>
            </w:r>
            <w:r w:rsidR="00375DFB">
              <w:t>sts nodeva (64</w:t>
            </w:r>
            <w:r w:rsidR="000267A5">
              <w:t xml:space="preserve"> </w:t>
            </w:r>
            <w:r w:rsidR="00375DFB">
              <w:t>029</w:t>
            </w:r>
            <w:r w:rsidRPr="00D45248">
              <w:t xml:space="preserve"> </w:t>
            </w:r>
            <w:r>
              <w:rPr>
                <w:i/>
              </w:rPr>
              <w:t>euro</w:t>
            </w:r>
            <w:r w:rsidR="00375DFB">
              <w:t xml:space="preserve"> un pašu ieņēmumi 46</w:t>
            </w:r>
            <w:r w:rsidR="000267A5">
              <w:t xml:space="preserve"> </w:t>
            </w:r>
            <w:r w:rsidR="00375DFB">
              <w:t xml:space="preserve">238 </w:t>
            </w:r>
            <w:r>
              <w:rPr>
                <w:i/>
              </w:rPr>
              <w:t>euro</w:t>
            </w:r>
            <w:r w:rsidRPr="00D45248">
              <w:t xml:space="preserve">). </w:t>
            </w:r>
            <w:r w:rsidR="00ED2402">
              <w:t>Tiek plānots, ka 2014</w:t>
            </w:r>
            <w:r w:rsidRPr="00D45248">
              <w:t>.gadā pārbaudi kārtos aptuveni 4000 personu.</w:t>
            </w:r>
            <w:r w:rsidR="00375DFB" w:rsidRPr="00D45248">
              <w:t xml:space="preserve"> </w:t>
            </w:r>
          </w:p>
          <w:p w:rsidR="00375DFB" w:rsidRPr="00D45248" w:rsidRDefault="00375DFB" w:rsidP="00375DFB">
            <w:r>
              <w:t>Pēc 2013.gada datiem v</w:t>
            </w:r>
            <w:r w:rsidRPr="00D45248">
              <w:t xml:space="preserve">alsts nodevu veido </w:t>
            </w:r>
            <w:r>
              <w:t xml:space="preserve">apt. </w:t>
            </w:r>
            <w:r w:rsidR="000267A5">
              <w:t>54</w:t>
            </w:r>
            <w:r w:rsidRPr="00D45248">
              <w:t xml:space="preserve">% - 1.42 </w:t>
            </w:r>
            <w:r>
              <w:rPr>
                <w:i/>
              </w:rPr>
              <w:t>euro</w:t>
            </w:r>
            <w:r>
              <w:t xml:space="preserve"> maksājumi; 1</w:t>
            </w:r>
            <w:r w:rsidR="000267A5">
              <w:t>8</w:t>
            </w:r>
            <w:r w:rsidRPr="00D45248">
              <w:t xml:space="preserve">% - 7.11 </w:t>
            </w:r>
            <w:r>
              <w:rPr>
                <w:i/>
              </w:rPr>
              <w:t xml:space="preserve">euro </w:t>
            </w:r>
            <w:r>
              <w:t>maksājumi; 28</w:t>
            </w:r>
            <w:r w:rsidRPr="00D45248">
              <w:t xml:space="preserve">% - 14.23 </w:t>
            </w:r>
            <w:r>
              <w:rPr>
                <w:i/>
              </w:rPr>
              <w:t>euro</w:t>
            </w:r>
            <w:r w:rsidRPr="00D45248">
              <w:t xml:space="preserve"> maksājumi.</w:t>
            </w:r>
          </w:p>
          <w:p w:rsidR="00E318F1" w:rsidRPr="00D45248" w:rsidRDefault="00E318F1" w:rsidP="00E318F1"/>
          <w:p w:rsidR="00ED2402" w:rsidRPr="00D45248" w:rsidRDefault="00375DFB" w:rsidP="00ED2402">
            <w:r>
              <w:t>**</w:t>
            </w:r>
            <w:r w:rsidR="00ED2402" w:rsidRPr="00D45248">
              <w:t xml:space="preserve"> Aprēķini veikti, pamatojoties uz to, ka vidējās izmaksas pārbaudes nodrošināšanai ir </w:t>
            </w:r>
            <w:r>
              <w:t>17</w:t>
            </w:r>
            <w:r w:rsidR="00ED2402">
              <w:t xml:space="preserve"> </w:t>
            </w:r>
            <w:r w:rsidR="00ED2402">
              <w:rPr>
                <w:i/>
              </w:rPr>
              <w:t>euro</w:t>
            </w:r>
            <w:r>
              <w:t xml:space="preserve"> un ka 2014.gadā pārbaudi varētu kārtot</w:t>
            </w:r>
            <w:r w:rsidR="00ED2402" w:rsidRPr="00D45248">
              <w:t xml:space="preserve"> </w:t>
            </w:r>
            <w:r>
              <w:t>aptuveni 4000 personu.</w:t>
            </w:r>
          </w:p>
          <w:p w:rsidR="00AF3B79" w:rsidRPr="00D45248" w:rsidRDefault="00AF3B79" w:rsidP="00355FEB"/>
        </w:tc>
      </w:tr>
      <w:tr w:rsidR="003B67B7" w:rsidRPr="00D45248" w:rsidTr="00355FEB">
        <w:trPr>
          <w:tblCellSpacing w:w="15" w:type="dxa"/>
        </w:trPr>
        <w:tc>
          <w:tcPr>
            <w:tcW w:w="1822" w:type="dxa"/>
            <w:gridSpan w:val="4"/>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6.1. detalizēts ieņēmumu aprēķins</w:t>
            </w:r>
          </w:p>
        </w:tc>
        <w:tc>
          <w:tcPr>
            <w:tcW w:w="7309" w:type="dxa"/>
            <w:gridSpan w:val="8"/>
            <w:vMerge/>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tc>
      </w:tr>
      <w:tr w:rsidR="003B67B7" w:rsidRPr="00D45248" w:rsidTr="00355FEB">
        <w:trPr>
          <w:tblCellSpacing w:w="15" w:type="dxa"/>
        </w:trPr>
        <w:tc>
          <w:tcPr>
            <w:tcW w:w="1822" w:type="dxa"/>
            <w:gridSpan w:val="4"/>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6.2. detalizēts izdevumu aprēķins</w:t>
            </w:r>
          </w:p>
        </w:tc>
        <w:tc>
          <w:tcPr>
            <w:tcW w:w="7309" w:type="dxa"/>
            <w:gridSpan w:val="8"/>
            <w:vMerge/>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tc>
      </w:tr>
      <w:tr w:rsidR="003B67B7" w:rsidRPr="00D45248" w:rsidTr="00355FEB">
        <w:trPr>
          <w:trHeight w:val="555"/>
          <w:tblCellSpacing w:w="15" w:type="dxa"/>
        </w:trPr>
        <w:tc>
          <w:tcPr>
            <w:tcW w:w="1822" w:type="dxa"/>
            <w:gridSpan w:val="4"/>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7. Cita informācija</w:t>
            </w:r>
          </w:p>
        </w:tc>
        <w:tc>
          <w:tcPr>
            <w:tcW w:w="7309" w:type="dxa"/>
            <w:gridSpan w:val="8"/>
            <w:tcBorders>
              <w:top w:val="outset" w:sz="6" w:space="0" w:color="auto"/>
              <w:left w:val="outset" w:sz="6" w:space="0" w:color="auto"/>
              <w:bottom w:val="outset" w:sz="6" w:space="0" w:color="auto"/>
              <w:right w:val="outset" w:sz="6" w:space="0" w:color="auto"/>
            </w:tcBorders>
            <w:hideMark/>
          </w:tcPr>
          <w:p w:rsidR="00ED2402" w:rsidRPr="00D45248" w:rsidRDefault="00ED2402" w:rsidP="00375DFB">
            <w:pPr>
              <w:pStyle w:val="tvhtml"/>
              <w:spacing w:before="0" w:beforeAutospacing="0" w:after="0" w:afterAutospacing="0"/>
            </w:pPr>
            <w:r>
              <w:t>Dati nav precīzi aprēķināmi, jo i</w:t>
            </w:r>
            <w:r w:rsidRPr="00D45248">
              <w:t>eņēmumi un izdevumi ir tieši atkarīgi no šādiem svarīgākajiem faktoriem:</w:t>
            </w:r>
          </w:p>
          <w:p w:rsidR="00ED2402" w:rsidRPr="00D45248" w:rsidRDefault="00ED2402" w:rsidP="00375DFB">
            <w:pPr>
              <w:numPr>
                <w:ilvl w:val="0"/>
                <w:numId w:val="6"/>
              </w:numPr>
            </w:pPr>
            <w:r w:rsidRPr="00D45248">
              <w:t>valsts valodas prasmes pārbaudes pretendentu kopējā skaita;</w:t>
            </w:r>
          </w:p>
          <w:p w:rsidR="00ED2402" w:rsidRPr="00D45248" w:rsidRDefault="00ED2402" w:rsidP="00375DFB">
            <w:pPr>
              <w:numPr>
                <w:ilvl w:val="0"/>
                <w:numId w:val="6"/>
              </w:numPr>
            </w:pPr>
            <w:r w:rsidRPr="00D45248">
              <w:t>no tā, cik pretendentu maksā valsts nodevas pilnu summu un  kādam skaitam ir atvieglojumi nodevas maksājumā;</w:t>
            </w:r>
          </w:p>
          <w:p w:rsidR="00ED2402" w:rsidRDefault="00ED2402" w:rsidP="00375DFB">
            <w:pPr>
              <w:numPr>
                <w:ilvl w:val="0"/>
                <w:numId w:val="6"/>
              </w:numPr>
            </w:pPr>
            <w:r w:rsidRPr="00D45248">
              <w:t>no tā, kurā vietā pārbaude tiek nodrošināta (Rīgā vai ārpus Rīgas pilsētas teritorijas).</w:t>
            </w:r>
          </w:p>
          <w:p w:rsidR="00ED2402" w:rsidRDefault="00ED2402" w:rsidP="00ED2402">
            <w:pPr>
              <w:ind w:left="-9"/>
            </w:pPr>
            <w:r>
              <w:t>To, ka prognozēt ieņēmumus un attiecīgi izdevumus var ļoti aptuveni, pierāda 2013.gads, kad tika prognozēts, ka pārbaudi kārto</w:t>
            </w:r>
            <w:r w:rsidR="00375DFB">
              <w:t>s</w:t>
            </w:r>
            <w:r>
              <w:t xml:space="preserve"> 4000 cilvēku, bet kārtoja 9625 cilvēki.</w:t>
            </w:r>
          </w:p>
          <w:p w:rsidR="000267A5" w:rsidRDefault="000267A5" w:rsidP="00ED2402">
            <w:pPr>
              <w:ind w:left="-9"/>
            </w:pPr>
          </w:p>
          <w:p w:rsidR="00ED2402" w:rsidRDefault="00ED2402" w:rsidP="00ED2402">
            <w:pPr>
              <w:ind w:left="-9"/>
            </w:pPr>
            <w:r>
              <w:t xml:space="preserve"> Prognozējams, ka turpmākajos trīs gados ieņēmumi samazināsies</w:t>
            </w:r>
            <w:r w:rsidR="00375DFB">
              <w:t>, jo</w:t>
            </w:r>
            <w:r>
              <w:t>:</w:t>
            </w:r>
          </w:p>
          <w:p w:rsidR="00ED2402" w:rsidRDefault="00ED2402" w:rsidP="00ED2402">
            <w:pPr>
              <w:pStyle w:val="ListParagraph"/>
              <w:numPr>
                <w:ilvl w:val="0"/>
                <w:numId w:val="9"/>
              </w:numPr>
            </w:pPr>
            <w:r>
              <w:t>samazināsies pretendentu kopējais skaits;</w:t>
            </w:r>
          </w:p>
          <w:p w:rsidR="00ED2402" w:rsidRDefault="00ED2402" w:rsidP="000538D2">
            <w:pPr>
              <w:pStyle w:val="ListParagraph"/>
              <w:numPr>
                <w:ilvl w:val="0"/>
                <w:numId w:val="9"/>
              </w:numPr>
            </w:pPr>
            <w:r>
              <w:t xml:space="preserve">nedaudz palielināsies pretendentu skaits, kuriem pēc noteikumu grozījumiem būs nodevas atlaides (tie </w:t>
            </w:r>
            <w:r w:rsidR="00375DFB">
              <w:t>būs ārzemnieki, kas pretendē uz pastāvīgās uzturēšanās atļaujas iegūšanu vai Eiropas Savienības pastāvīga iedzīvotāja statusu – pēc līdzšinējiem aprēķiniem ir</w:t>
            </w:r>
            <w:r>
              <w:t xml:space="preserve"> apt. 3% no kopējā </w:t>
            </w:r>
            <w:r w:rsidR="00375DFB">
              <w:t xml:space="preserve">pretendentu </w:t>
            </w:r>
            <w:r>
              <w:t>skaita</w:t>
            </w:r>
            <w:r w:rsidR="00375DFB">
              <w:t xml:space="preserve"> un patlaban šīm grupām nav piemērota valsts nodevas atlaide).</w:t>
            </w:r>
          </w:p>
          <w:p w:rsidR="00ED2402" w:rsidRPr="00D45248" w:rsidRDefault="00ED2402" w:rsidP="00355FEB">
            <w:pPr>
              <w:pStyle w:val="tvhtml"/>
            </w:pPr>
          </w:p>
        </w:tc>
      </w:tr>
      <w:tr w:rsidR="004523A8" w:rsidRPr="00D45248" w:rsidTr="00355FEB">
        <w:trPr>
          <w:trHeight w:val="450"/>
          <w:tblCellSpacing w:w="15" w:type="dxa"/>
        </w:trPr>
        <w:tc>
          <w:tcPr>
            <w:tcW w:w="9161" w:type="dxa"/>
            <w:gridSpan w:val="12"/>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rsidP="00355FEB">
            <w:pPr>
              <w:pStyle w:val="tvhtml"/>
              <w:jc w:val="center"/>
              <w:rPr>
                <w:b/>
                <w:bCs/>
              </w:rPr>
            </w:pPr>
            <w:r w:rsidRPr="00D45248">
              <w:t> </w:t>
            </w:r>
            <w:r w:rsidRPr="00D45248">
              <w:rPr>
                <w:b/>
                <w:bCs/>
              </w:rPr>
              <w:t>IV. Tiesību akta projekta ietekme uz spēkā esošo tiesību normu sistēmu</w:t>
            </w:r>
          </w:p>
        </w:tc>
      </w:tr>
      <w:tr w:rsidR="004523A8" w:rsidRPr="00D45248" w:rsidTr="00355FEB">
        <w:trPr>
          <w:tblCellSpacing w:w="15" w:type="dxa"/>
        </w:trPr>
        <w:tc>
          <w:tcPr>
            <w:tcW w:w="462" w:type="dxa"/>
            <w:gridSpan w:val="2"/>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1.</w:t>
            </w:r>
          </w:p>
        </w:tc>
        <w:tc>
          <w:tcPr>
            <w:tcW w:w="2585" w:type="dxa"/>
            <w:gridSpan w:val="5"/>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Nepieciešamie saistītie tiesību aktu pr</w:t>
            </w:r>
            <w:r w:rsidR="00D45248">
              <w:t>ojekti</w:t>
            </w:r>
          </w:p>
        </w:tc>
        <w:tc>
          <w:tcPr>
            <w:tcW w:w="6054" w:type="dxa"/>
            <w:gridSpan w:val="5"/>
            <w:tcBorders>
              <w:top w:val="outset" w:sz="6" w:space="0" w:color="auto"/>
              <w:left w:val="outset" w:sz="6" w:space="0" w:color="auto"/>
              <w:bottom w:val="outset" w:sz="6" w:space="0" w:color="auto"/>
              <w:right w:val="outset" w:sz="6" w:space="0" w:color="auto"/>
            </w:tcBorders>
            <w:hideMark/>
          </w:tcPr>
          <w:p w:rsidR="004523A8" w:rsidRPr="00D45248" w:rsidRDefault="00FE613B" w:rsidP="00355FEB">
            <w:r>
              <w:t>Projekts šo jomu neskar.</w:t>
            </w:r>
          </w:p>
        </w:tc>
      </w:tr>
      <w:tr w:rsidR="004523A8" w:rsidRPr="00D45248" w:rsidTr="00355FEB">
        <w:trPr>
          <w:tblCellSpacing w:w="15" w:type="dxa"/>
        </w:trPr>
        <w:tc>
          <w:tcPr>
            <w:tcW w:w="462" w:type="dxa"/>
            <w:gridSpan w:val="2"/>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2.</w:t>
            </w:r>
          </w:p>
        </w:tc>
        <w:tc>
          <w:tcPr>
            <w:tcW w:w="2585" w:type="dxa"/>
            <w:gridSpan w:val="5"/>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Atbildīgā institūcija</w:t>
            </w:r>
          </w:p>
        </w:tc>
        <w:tc>
          <w:tcPr>
            <w:tcW w:w="6054" w:type="dxa"/>
            <w:gridSpan w:val="5"/>
            <w:tcBorders>
              <w:top w:val="outset" w:sz="6" w:space="0" w:color="auto"/>
              <w:left w:val="outset" w:sz="6" w:space="0" w:color="auto"/>
              <w:bottom w:val="outset" w:sz="6" w:space="0" w:color="auto"/>
              <w:right w:val="outset" w:sz="6" w:space="0" w:color="auto"/>
            </w:tcBorders>
            <w:hideMark/>
          </w:tcPr>
          <w:p w:rsidR="004523A8" w:rsidRPr="00D45248" w:rsidRDefault="00A815D0" w:rsidP="00355FEB">
            <w:r>
              <w:t>Projekts šo jomu neskar.</w:t>
            </w:r>
          </w:p>
          <w:p w:rsidR="009A1B2D" w:rsidRPr="00D45248" w:rsidRDefault="009A1B2D" w:rsidP="00355FEB"/>
        </w:tc>
      </w:tr>
      <w:tr w:rsidR="004523A8" w:rsidRPr="00D45248" w:rsidTr="00355FEB">
        <w:trPr>
          <w:tblCellSpacing w:w="15" w:type="dxa"/>
        </w:trPr>
        <w:tc>
          <w:tcPr>
            <w:tcW w:w="462" w:type="dxa"/>
            <w:gridSpan w:val="2"/>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3.</w:t>
            </w:r>
          </w:p>
        </w:tc>
        <w:tc>
          <w:tcPr>
            <w:tcW w:w="2585" w:type="dxa"/>
            <w:gridSpan w:val="5"/>
            <w:tcBorders>
              <w:top w:val="outset" w:sz="6" w:space="0" w:color="auto"/>
              <w:left w:val="outset" w:sz="6" w:space="0" w:color="auto"/>
              <w:bottom w:val="outset" w:sz="6" w:space="0" w:color="auto"/>
              <w:right w:val="outset" w:sz="6" w:space="0" w:color="auto"/>
            </w:tcBorders>
            <w:hideMark/>
          </w:tcPr>
          <w:p w:rsidR="004523A8" w:rsidRPr="00D45248" w:rsidRDefault="004523A8" w:rsidP="00355FEB">
            <w:r w:rsidRPr="00D45248">
              <w:t>Cita informācija</w:t>
            </w:r>
          </w:p>
        </w:tc>
        <w:tc>
          <w:tcPr>
            <w:tcW w:w="6054" w:type="dxa"/>
            <w:gridSpan w:val="5"/>
            <w:tcBorders>
              <w:top w:val="outset" w:sz="6" w:space="0" w:color="auto"/>
              <w:left w:val="outset" w:sz="6" w:space="0" w:color="auto"/>
              <w:bottom w:val="outset" w:sz="6" w:space="0" w:color="auto"/>
              <w:right w:val="outset" w:sz="6" w:space="0" w:color="auto"/>
            </w:tcBorders>
            <w:hideMark/>
          </w:tcPr>
          <w:p w:rsidR="004523A8" w:rsidRPr="00D45248" w:rsidRDefault="00A815D0" w:rsidP="003D354F">
            <w:pPr>
              <w:pStyle w:val="tvhtml"/>
            </w:pPr>
            <w:r>
              <w:t>N</w:t>
            </w:r>
            <w:r w:rsidR="00FE613B">
              <w:t xml:space="preserve">epieciešams </w:t>
            </w:r>
            <w:r>
              <w:t>precizēt l</w:t>
            </w:r>
            <w:r w:rsidRPr="00D45248">
              <w:t>ikum</w:t>
            </w:r>
            <w:r>
              <w:t>a</w:t>
            </w:r>
            <w:r w:rsidRPr="00D45248">
              <w:t xml:space="preserve"> </w:t>
            </w:r>
            <w:r w:rsidR="00FE613B" w:rsidRPr="00D45248">
              <w:t>"Par nodokļiem un nodevām</w:t>
            </w:r>
            <w:r w:rsidR="00FE613B">
              <w:t>”</w:t>
            </w:r>
            <w:r>
              <w:t xml:space="preserve"> </w:t>
            </w:r>
            <w:r w:rsidR="00FE613B" w:rsidRPr="00D45248">
              <w:t>11.panta otrās daļas 40.punkt</w:t>
            </w:r>
            <w:r>
              <w:t>u</w:t>
            </w:r>
            <w:r w:rsidR="00FE613B" w:rsidRPr="00D45248">
              <w:t>, aizstājot vārdu „atestācija” ar vārdu „pārbaude” un aizstājot vārdu „Kopienas” ar vārdu „Savienības”</w:t>
            </w:r>
            <w:r w:rsidR="00FE613B">
              <w:t>.</w:t>
            </w:r>
            <w:r>
              <w:t xml:space="preserve"> </w:t>
            </w:r>
            <w:r w:rsidR="003D354F">
              <w:t xml:space="preserve">Precizējumi </w:t>
            </w:r>
            <w:r>
              <w:t xml:space="preserve">tiks </w:t>
            </w:r>
            <w:r w:rsidR="003D354F">
              <w:t xml:space="preserve">sagatavoti vienlaikus ar minētā normatīvā akta grozījumiem pēc būtības. </w:t>
            </w:r>
          </w:p>
        </w:tc>
      </w:tr>
    </w:tbl>
    <w:p w:rsidR="003D47C0" w:rsidRDefault="003D47C0" w:rsidP="004B594C">
      <w:pPr>
        <w:pStyle w:val="naisf"/>
        <w:spacing w:before="0" w:after="0"/>
        <w:ind w:firstLine="0"/>
        <w:rPr>
          <w:sz w:val="26"/>
          <w:szCs w:val="26"/>
        </w:rPr>
      </w:pPr>
    </w:p>
    <w:p w:rsidR="004B594C" w:rsidRDefault="004523A8" w:rsidP="004B594C">
      <w:pPr>
        <w:pStyle w:val="naisf"/>
        <w:spacing w:before="0" w:after="0"/>
        <w:ind w:firstLine="0"/>
      </w:pPr>
      <w:r w:rsidRPr="006430A0">
        <w:rPr>
          <w:sz w:val="26"/>
          <w:szCs w:val="26"/>
        </w:rPr>
        <w:t> </w:t>
      </w:r>
      <w:r w:rsidR="004B594C" w:rsidRPr="00D45248">
        <w:t xml:space="preserve">Anotācijas V sadaļa – </w:t>
      </w:r>
      <w:r w:rsidR="004B594C" w:rsidRPr="00D45248">
        <w:rPr>
          <w:iCs/>
        </w:rPr>
        <w:t>projekts šo jomu neskar</w:t>
      </w:r>
      <w:r w:rsidR="004B594C" w:rsidRPr="00D45248">
        <w:t>.</w:t>
      </w:r>
    </w:p>
    <w:p w:rsidR="008E13CB" w:rsidRPr="00D45248" w:rsidRDefault="008E13CB" w:rsidP="004B594C">
      <w:pPr>
        <w:pStyle w:val="naisf"/>
        <w:spacing w:before="0" w:after="0"/>
        <w:ind w:firstLine="0"/>
      </w:pPr>
    </w:p>
    <w:p w:rsidR="003D47C0" w:rsidRPr="006430A0" w:rsidRDefault="003D47C0" w:rsidP="004B594C">
      <w:pPr>
        <w:pStyle w:val="naisf"/>
        <w:spacing w:before="0" w:after="0"/>
        <w:ind w:firstLine="0"/>
        <w:rPr>
          <w:sz w:val="26"/>
          <w:szCs w:val="26"/>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750"/>
        <w:gridCol w:w="756"/>
        <w:gridCol w:w="5215"/>
      </w:tblGrid>
      <w:tr w:rsidR="004523A8" w:rsidRPr="00D45248" w:rsidTr="004523A8">
        <w:trPr>
          <w:trHeight w:val="420"/>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23A8" w:rsidRPr="00D45248" w:rsidRDefault="004523A8">
            <w:pPr>
              <w:pStyle w:val="tvhtml"/>
              <w:jc w:val="center"/>
              <w:rPr>
                <w:b/>
                <w:bCs/>
              </w:rPr>
            </w:pPr>
            <w:r w:rsidRPr="00D45248">
              <w:rPr>
                <w:b/>
                <w:bCs/>
              </w:rPr>
              <w:t>VI. Sabiedrības līdzdalība un komunikācijas aktivitātes</w:t>
            </w:r>
          </w:p>
        </w:tc>
      </w:tr>
      <w:tr w:rsidR="004523A8" w:rsidRPr="00D45248" w:rsidTr="00894B80">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1.</w:t>
            </w:r>
          </w:p>
        </w:tc>
        <w:tc>
          <w:tcPr>
            <w:tcW w:w="1480" w:type="pct"/>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Plānotās sabiedrības līdzdalības un komunikācijas aktivitātes saistībā ar projektu</w:t>
            </w:r>
          </w:p>
        </w:tc>
        <w:tc>
          <w:tcPr>
            <w:tcW w:w="3208" w:type="pct"/>
            <w:gridSpan w:val="2"/>
            <w:tcBorders>
              <w:top w:val="outset" w:sz="6" w:space="0" w:color="auto"/>
              <w:left w:val="outset" w:sz="6" w:space="0" w:color="auto"/>
              <w:bottom w:val="outset" w:sz="6" w:space="0" w:color="auto"/>
              <w:right w:val="outset" w:sz="6" w:space="0" w:color="auto"/>
            </w:tcBorders>
            <w:hideMark/>
          </w:tcPr>
          <w:p w:rsidR="004523A8" w:rsidRPr="00D45248" w:rsidRDefault="004B594C" w:rsidP="004B594C">
            <w:r w:rsidRPr="00D45248">
              <w:t>Par groz</w:t>
            </w:r>
            <w:r w:rsidR="006430A0" w:rsidRPr="00D45248">
              <w:t xml:space="preserve">ījumiem </w:t>
            </w:r>
            <w:r w:rsidRPr="00D45248">
              <w:t>MK noteikumos Nr.733:</w:t>
            </w:r>
          </w:p>
          <w:p w:rsidR="004B594C" w:rsidRPr="00D45248" w:rsidRDefault="004B594C" w:rsidP="004B594C">
            <w:pPr>
              <w:numPr>
                <w:ilvl w:val="0"/>
                <w:numId w:val="3"/>
              </w:numPr>
            </w:pPr>
            <w:r w:rsidRPr="00D45248">
              <w:t>tiks ievietota informācija Valsts izglītības satura centra mājaslapā;</w:t>
            </w:r>
          </w:p>
          <w:p w:rsidR="004B594C" w:rsidRPr="00D45248" w:rsidRDefault="004B594C" w:rsidP="004B594C">
            <w:pPr>
              <w:numPr>
                <w:ilvl w:val="0"/>
                <w:numId w:val="3"/>
              </w:numPr>
            </w:pPr>
            <w:r w:rsidRPr="00D45248">
              <w:t>tiks informēti pieaugušo latviešu valodas pedagogi semināros Latvijas lielākajās pilsētās (Rīgā, Rēzeknē, Daugavpilī, Liepājā, Ventspilī);</w:t>
            </w:r>
          </w:p>
          <w:p w:rsidR="004B594C" w:rsidRPr="00D45248" w:rsidRDefault="004B594C" w:rsidP="00BA55F1">
            <w:pPr>
              <w:numPr>
                <w:ilvl w:val="0"/>
                <w:numId w:val="3"/>
              </w:numPr>
            </w:pPr>
            <w:r w:rsidRPr="00D45248">
              <w:t xml:space="preserve">elektroniskā formā </w:t>
            </w:r>
            <w:r w:rsidR="00BA55F1" w:rsidRPr="00D45248">
              <w:t xml:space="preserve">tiks </w:t>
            </w:r>
            <w:r w:rsidRPr="00D45248">
              <w:t>informētas izglītības iestādes, kuras nodrošina vals</w:t>
            </w:r>
            <w:r w:rsidR="00BA55F1">
              <w:t xml:space="preserve">ts valodas apguvi pieaugušajiem, kā arī </w:t>
            </w:r>
            <w:r w:rsidRPr="00D45248">
              <w:t>valsts iestādes, kuru darbības jom</w:t>
            </w:r>
            <w:r w:rsidR="00BA55F1">
              <w:t>a</w:t>
            </w:r>
            <w:r w:rsidRPr="00D45248">
              <w:t xml:space="preserve"> saistīta ar pieaugušajiem, kas apgūst valsts valodu un kuriem jākārto valsts valodas prasmes pārbaude (piemēram, Nodarbinātības valsts aģentūra, Latviešu valodas aģentūra).</w:t>
            </w:r>
          </w:p>
        </w:tc>
      </w:tr>
      <w:tr w:rsidR="004523A8" w:rsidRPr="00D45248" w:rsidTr="00894B80">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2.</w:t>
            </w:r>
          </w:p>
        </w:tc>
        <w:tc>
          <w:tcPr>
            <w:tcW w:w="1480" w:type="pct"/>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Sabiedrības līdzdalība projekta izstrādē</w:t>
            </w:r>
          </w:p>
        </w:tc>
        <w:tc>
          <w:tcPr>
            <w:tcW w:w="3208" w:type="pct"/>
            <w:gridSpan w:val="2"/>
            <w:tcBorders>
              <w:top w:val="outset" w:sz="6" w:space="0" w:color="auto"/>
              <w:left w:val="outset" w:sz="6" w:space="0" w:color="auto"/>
              <w:bottom w:val="outset" w:sz="6" w:space="0" w:color="auto"/>
              <w:right w:val="outset" w:sz="6" w:space="0" w:color="auto"/>
            </w:tcBorders>
            <w:hideMark/>
          </w:tcPr>
          <w:p w:rsidR="004523A8" w:rsidRPr="00D45248" w:rsidRDefault="00065916">
            <w:r>
              <w:t>Projekts šo jomu neskar.</w:t>
            </w:r>
          </w:p>
        </w:tc>
      </w:tr>
      <w:tr w:rsidR="004523A8" w:rsidRPr="00D45248" w:rsidTr="00894B80">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3.</w:t>
            </w:r>
          </w:p>
        </w:tc>
        <w:tc>
          <w:tcPr>
            <w:tcW w:w="1480" w:type="pct"/>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Sabiedrības līdzdalības rezultāti</w:t>
            </w:r>
          </w:p>
        </w:tc>
        <w:tc>
          <w:tcPr>
            <w:tcW w:w="3208" w:type="pct"/>
            <w:gridSpan w:val="2"/>
            <w:tcBorders>
              <w:top w:val="outset" w:sz="6" w:space="0" w:color="auto"/>
              <w:left w:val="outset" w:sz="6" w:space="0" w:color="auto"/>
              <w:bottom w:val="outset" w:sz="6" w:space="0" w:color="auto"/>
              <w:right w:val="outset" w:sz="6" w:space="0" w:color="auto"/>
            </w:tcBorders>
            <w:hideMark/>
          </w:tcPr>
          <w:p w:rsidR="004523A8" w:rsidRPr="00D45248" w:rsidRDefault="00065916">
            <w:r>
              <w:t>Projekts šo jomu neskar.</w:t>
            </w:r>
          </w:p>
        </w:tc>
      </w:tr>
      <w:tr w:rsidR="004523A8" w:rsidRPr="00D45248" w:rsidTr="00894B80">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4.</w:t>
            </w:r>
          </w:p>
        </w:tc>
        <w:tc>
          <w:tcPr>
            <w:tcW w:w="1480" w:type="pct"/>
            <w:tcBorders>
              <w:top w:val="outset" w:sz="6" w:space="0" w:color="auto"/>
              <w:left w:val="outset" w:sz="6" w:space="0" w:color="auto"/>
              <w:bottom w:val="outset" w:sz="6" w:space="0" w:color="auto"/>
              <w:right w:val="outset" w:sz="6" w:space="0" w:color="auto"/>
            </w:tcBorders>
            <w:hideMark/>
          </w:tcPr>
          <w:p w:rsidR="004523A8" w:rsidRPr="00D45248" w:rsidRDefault="004523A8">
            <w:r w:rsidRPr="00D45248">
              <w:t>Cita informācija</w:t>
            </w:r>
          </w:p>
        </w:tc>
        <w:tc>
          <w:tcPr>
            <w:tcW w:w="3208" w:type="pct"/>
            <w:gridSpan w:val="2"/>
            <w:tcBorders>
              <w:top w:val="outset" w:sz="6" w:space="0" w:color="auto"/>
              <w:left w:val="outset" w:sz="6" w:space="0" w:color="auto"/>
              <w:bottom w:val="outset" w:sz="6" w:space="0" w:color="auto"/>
              <w:right w:val="outset" w:sz="6" w:space="0" w:color="auto"/>
            </w:tcBorders>
            <w:hideMark/>
          </w:tcPr>
          <w:p w:rsidR="004523A8" w:rsidRPr="00D45248" w:rsidRDefault="004B594C" w:rsidP="004B594C">
            <w:r w:rsidRPr="00D45248">
              <w:t>Nav.</w:t>
            </w:r>
          </w:p>
        </w:tc>
      </w:tr>
      <w:tr w:rsidR="004523A8" w:rsidRPr="003D47C0" w:rsidTr="004523A8">
        <w:trPr>
          <w:trHeight w:val="375"/>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23A8" w:rsidRPr="003D47C0" w:rsidRDefault="004523A8">
            <w:pPr>
              <w:pStyle w:val="tvhtml"/>
              <w:jc w:val="center"/>
              <w:rPr>
                <w:b/>
                <w:bCs/>
              </w:rPr>
            </w:pPr>
            <w:r w:rsidRPr="006430A0">
              <w:rPr>
                <w:sz w:val="26"/>
                <w:szCs w:val="26"/>
              </w:rPr>
              <w:t> </w:t>
            </w:r>
            <w:r w:rsidRPr="003D47C0">
              <w:rPr>
                <w:b/>
                <w:bCs/>
              </w:rPr>
              <w:t>VII. Tiesību akta projekta izpildes nodrošināšana un tās ietekme uz institūcijām</w:t>
            </w:r>
          </w:p>
        </w:tc>
      </w:tr>
      <w:tr w:rsidR="004523A8" w:rsidRPr="003D47C0" w:rsidTr="003D47C0">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523A8" w:rsidRPr="003D47C0" w:rsidRDefault="004523A8">
            <w:r w:rsidRPr="003D47C0">
              <w:t>1.</w:t>
            </w:r>
          </w:p>
        </w:tc>
        <w:tc>
          <w:tcPr>
            <w:tcW w:w="1875" w:type="pct"/>
            <w:gridSpan w:val="2"/>
            <w:tcBorders>
              <w:top w:val="outset" w:sz="6" w:space="0" w:color="auto"/>
              <w:left w:val="outset" w:sz="6" w:space="0" w:color="auto"/>
              <w:bottom w:val="outset" w:sz="6" w:space="0" w:color="auto"/>
              <w:right w:val="outset" w:sz="6" w:space="0" w:color="auto"/>
            </w:tcBorders>
            <w:hideMark/>
          </w:tcPr>
          <w:p w:rsidR="004523A8" w:rsidRPr="003D47C0" w:rsidRDefault="004523A8">
            <w:r w:rsidRPr="003D47C0">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4523A8" w:rsidRPr="003D47C0" w:rsidRDefault="00B85561">
            <w:r w:rsidRPr="003D47C0">
              <w:t>Izglītības un zinātnes ministrijas Valsts izglītības satura centrs</w:t>
            </w:r>
          </w:p>
        </w:tc>
      </w:tr>
      <w:tr w:rsidR="004523A8" w:rsidRPr="003D47C0" w:rsidTr="003D47C0">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523A8" w:rsidRPr="003D47C0" w:rsidRDefault="004523A8">
            <w:r w:rsidRPr="003D47C0">
              <w:t>2.</w:t>
            </w:r>
          </w:p>
        </w:tc>
        <w:tc>
          <w:tcPr>
            <w:tcW w:w="1875" w:type="pct"/>
            <w:gridSpan w:val="2"/>
            <w:tcBorders>
              <w:top w:val="outset" w:sz="6" w:space="0" w:color="auto"/>
              <w:left w:val="outset" w:sz="6" w:space="0" w:color="auto"/>
              <w:bottom w:val="outset" w:sz="6" w:space="0" w:color="auto"/>
              <w:right w:val="outset" w:sz="6" w:space="0" w:color="auto"/>
            </w:tcBorders>
            <w:hideMark/>
          </w:tcPr>
          <w:p w:rsidR="004523A8" w:rsidRPr="003D47C0" w:rsidRDefault="004523A8">
            <w:r w:rsidRPr="003D47C0">
              <w:t xml:space="preserve">Projekta izpildes ietekme uz pārvaldes funkcijām un institucionālo struktūru. </w:t>
            </w:r>
          </w:p>
          <w:p w:rsidR="004523A8" w:rsidRPr="003D47C0" w:rsidRDefault="004523A8">
            <w:pPr>
              <w:pStyle w:val="tvhtml"/>
            </w:pPr>
            <w:r w:rsidRPr="003D47C0">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4523A8" w:rsidRPr="003D47C0" w:rsidRDefault="00065916">
            <w:r>
              <w:t>Projekts šo jomu neskar.</w:t>
            </w:r>
          </w:p>
        </w:tc>
      </w:tr>
      <w:tr w:rsidR="004523A8" w:rsidRPr="003D47C0" w:rsidTr="003D47C0">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523A8" w:rsidRPr="003D47C0" w:rsidRDefault="004523A8">
            <w:r w:rsidRPr="003D47C0">
              <w:t>3.</w:t>
            </w:r>
          </w:p>
        </w:tc>
        <w:tc>
          <w:tcPr>
            <w:tcW w:w="1875" w:type="pct"/>
            <w:gridSpan w:val="2"/>
            <w:tcBorders>
              <w:top w:val="outset" w:sz="6" w:space="0" w:color="auto"/>
              <w:left w:val="outset" w:sz="6" w:space="0" w:color="auto"/>
              <w:bottom w:val="outset" w:sz="6" w:space="0" w:color="auto"/>
              <w:right w:val="outset" w:sz="6" w:space="0" w:color="auto"/>
            </w:tcBorders>
            <w:hideMark/>
          </w:tcPr>
          <w:p w:rsidR="004523A8" w:rsidRPr="003D47C0" w:rsidRDefault="004523A8">
            <w:r w:rsidRPr="003D47C0">
              <w:t>Cita informācija</w:t>
            </w:r>
          </w:p>
        </w:tc>
        <w:tc>
          <w:tcPr>
            <w:tcW w:w="2813" w:type="pct"/>
            <w:tcBorders>
              <w:top w:val="outset" w:sz="6" w:space="0" w:color="auto"/>
              <w:left w:val="outset" w:sz="6" w:space="0" w:color="auto"/>
              <w:bottom w:val="outset" w:sz="6" w:space="0" w:color="auto"/>
              <w:right w:val="outset" w:sz="6" w:space="0" w:color="auto"/>
            </w:tcBorders>
            <w:hideMark/>
          </w:tcPr>
          <w:p w:rsidR="004523A8" w:rsidRPr="003D47C0" w:rsidRDefault="00B85561">
            <w:pPr>
              <w:pStyle w:val="tvhtml"/>
            </w:pPr>
            <w:r w:rsidRPr="003D47C0">
              <w:t>Nav.</w:t>
            </w:r>
          </w:p>
        </w:tc>
      </w:tr>
    </w:tbl>
    <w:p w:rsidR="003813BB" w:rsidRDefault="003813BB" w:rsidP="006430A0">
      <w:pPr>
        <w:pStyle w:val="BodyTextIndent"/>
        <w:ind w:firstLine="0"/>
        <w:jc w:val="center"/>
        <w:rPr>
          <w:b/>
          <w:bCs/>
          <w:sz w:val="26"/>
          <w:szCs w:val="26"/>
        </w:rPr>
      </w:pPr>
    </w:p>
    <w:p w:rsidR="004D6615" w:rsidRDefault="004D6615" w:rsidP="006430A0">
      <w:pPr>
        <w:pStyle w:val="BodyTextIndent"/>
        <w:ind w:firstLine="0"/>
        <w:jc w:val="center"/>
        <w:rPr>
          <w:b/>
          <w:bCs/>
          <w:sz w:val="26"/>
          <w:szCs w:val="26"/>
        </w:rPr>
      </w:pPr>
    </w:p>
    <w:p w:rsidR="003D47C0" w:rsidRPr="00520472" w:rsidRDefault="003D47C0" w:rsidP="003D47C0">
      <w:pPr>
        <w:pStyle w:val="BodyTextIndent"/>
        <w:jc w:val="both"/>
        <w:rPr>
          <w:bCs/>
        </w:rPr>
      </w:pPr>
      <w:r w:rsidRPr="00520472">
        <w:rPr>
          <w:bCs/>
        </w:rPr>
        <w:t xml:space="preserve">Izglītības un zinātnes ministre </w:t>
      </w:r>
      <w:r w:rsidRPr="00520472">
        <w:rPr>
          <w:bCs/>
        </w:rPr>
        <w:tab/>
      </w:r>
      <w:r w:rsidRPr="00520472">
        <w:rPr>
          <w:bCs/>
        </w:rPr>
        <w:tab/>
      </w:r>
      <w:r w:rsidRPr="00520472">
        <w:rPr>
          <w:bCs/>
        </w:rPr>
        <w:tab/>
      </w:r>
      <w:r w:rsidRPr="00520472">
        <w:rPr>
          <w:bCs/>
        </w:rPr>
        <w:tab/>
      </w:r>
      <w:r w:rsidRPr="00520472">
        <w:rPr>
          <w:bCs/>
        </w:rPr>
        <w:tab/>
        <w:t>I</w:t>
      </w:r>
      <w:r w:rsidR="00520472">
        <w:rPr>
          <w:bCs/>
        </w:rPr>
        <w:t xml:space="preserve">na </w:t>
      </w:r>
      <w:r w:rsidRPr="00520472">
        <w:rPr>
          <w:bCs/>
        </w:rPr>
        <w:t>Druviete</w:t>
      </w:r>
    </w:p>
    <w:p w:rsidR="003D47C0" w:rsidRDefault="003D47C0" w:rsidP="003D47C0">
      <w:pPr>
        <w:pStyle w:val="BodyTextIndent"/>
        <w:jc w:val="both"/>
        <w:rPr>
          <w:bCs/>
        </w:rPr>
      </w:pPr>
    </w:p>
    <w:p w:rsidR="004D6615" w:rsidRPr="00520472" w:rsidRDefault="004D6615" w:rsidP="003D47C0">
      <w:pPr>
        <w:pStyle w:val="BodyTextIndent"/>
        <w:jc w:val="both"/>
        <w:rPr>
          <w:bCs/>
        </w:rPr>
      </w:pPr>
    </w:p>
    <w:p w:rsidR="003D47C0" w:rsidRPr="00520472" w:rsidRDefault="003D47C0" w:rsidP="003D47C0">
      <w:pPr>
        <w:pStyle w:val="BodyTextIndent"/>
        <w:jc w:val="both"/>
        <w:rPr>
          <w:bCs/>
        </w:rPr>
      </w:pPr>
      <w:r w:rsidRPr="00520472">
        <w:rPr>
          <w:bCs/>
        </w:rPr>
        <w:t>Vīza: Valsts sekretāre</w:t>
      </w:r>
      <w:r w:rsidRPr="00520472">
        <w:rPr>
          <w:bCs/>
        </w:rPr>
        <w:tab/>
      </w:r>
      <w:r w:rsidRPr="00520472">
        <w:rPr>
          <w:bCs/>
        </w:rPr>
        <w:tab/>
      </w:r>
      <w:r w:rsidRPr="00520472">
        <w:rPr>
          <w:bCs/>
        </w:rPr>
        <w:tab/>
        <w:t xml:space="preserve">                          </w:t>
      </w:r>
      <w:r w:rsidRPr="00520472">
        <w:rPr>
          <w:bCs/>
        </w:rPr>
        <w:tab/>
      </w:r>
      <w:r w:rsidR="00520472">
        <w:rPr>
          <w:bCs/>
        </w:rPr>
        <w:tab/>
      </w:r>
      <w:r w:rsidRPr="00520472">
        <w:rPr>
          <w:bCs/>
        </w:rPr>
        <w:t>S</w:t>
      </w:r>
      <w:r w:rsidR="00520472">
        <w:rPr>
          <w:bCs/>
        </w:rPr>
        <w:t xml:space="preserve">anda </w:t>
      </w:r>
      <w:r w:rsidRPr="00520472">
        <w:rPr>
          <w:bCs/>
        </w:rPr>
        <w:t>Liepiņa</w:t>
      </w:r>
    </w:p>
    <w:p w:rsidR="003D47C0" w:rsidRPr="003D47C0" w:rsidRDefault="003D47C0" w:rsidP="003D47C0">
      <w:pPr>
        <w:pStyle w:val="BodyTextIndent"/>
        <w:jc w:val="both"/>
        <w:rPr>
          <w:b/>
          <w:bCs/>
        </w:rPr>
      </w:pPr>
    </w:p>
    <w:p w:rsidR="004D6615" w:rsidRDefault="004D6615" w:rsidP="003D47C0">
      <w:pPr>
        <w:widowControl w:val="0"/>
        <w:adjustRightInd w:val="0"/>
        <w:ind w:left="567"/>
        <w:jc w:val="both"/>
        <w:textAlignment w:val="baseline"/>
        <w:rPr>
          <w:rFonts w:eastAsia="Calibri"/>
          <w:sz w:val="20"/>
          <w:szCs w:val="20"/>
        </w:rPr>
      </w:pPr>
    </w:p>
    <w:p w:rsidR="004D6615" w:rsidRDefault="004D6615" w:rsidP="003D47C0">
      <w:pPr>
        <w:widowControl w:val="0"/>
        <w:adjustRightInd w:val="0"/>
        <w:ind w:left="567"/>
        <w:jc w:val="both"/>
        <w:textAlignment w:val="baseline"/>
        <w:rPr>
          <w:rFonts w:eastAsia="Calibri"/>
          <w:sz w:val="20"/>
          <w:szCs w:val="20"/>
        </w:rPr>
      </w:pPr>
    </w:p>
    <w:p w:rsidR="00A84240" w:rsidRDefault="00A84240" w:rsidP="003D47C0">
      <w:pPr>
        <w:widowControl w:val="0"/>
        <w:adjustRightInd w:val="0"/>
        <w:ind w:left="567"/>
        <w:jc w:val="both"/>
        <w:textAlignment w:val="baseline"/>
        <w:rPr>
          <w:rFonts w:eastAsia="Calibri"/>
          <w:sz w:val="20"/>
          <w:szCs w:val="20"/>
        </w:rPr>
      </w:pPr>
    </w:p>
    <w:p w:rsidR="00A84240" w:rsidRDefault="00A84240" w:rsidP="003D47C0">
      <w:pPr>
        <w:widowControl w:val="0"/>
        <w:adjustRightInd w:val="0"/>
        <w:ind w:left="567"/>
        <w:jc w:val="both"/>
        <w:textAlignment w:val="baseline"/>
        <w:rPr>
          <w:rFonts w:eastAsia="Calibri"/>
          <w:sz w:val="20"/>
          <w:szCs w:val="20"/>
        </w:rPr>
      </w:pPr>
    </w:p>
    <w:p w:rsidR="00A84240" w:rsidRDefault="00A84240" w:rsidP="003D47C0">
      <w:pPr>
        <w:widowControl w:val="0"/>
        <w:adjustRightInd w:val="0"/>
        <w:ind w:left="567"/>
        <w:jc w:val="both"/>
        <w:textAlignment w:val="baseline"/>
        <w:rPr>
          <w:rFonts w:eastAsia="Calibri"/>
          <w:sz w:val="20"/>
          <w:szCs w:val="20"/>
        </w:rPr>
      </w:pPr>
    </w:p>
    <w:p w:rsidR="00A84240" w:rsidRDefault="00A84240" w:rsidP="003D47C0">
      <w:pPr>
        <w:widowControl w:val="0"/>
        <w:adjustRightInd w:val="0"/>
        <w:ind w:left="567"/>
        <w:jc w:val="both"/>
        <w:textAlignment w:val="baseline"/>
        <w:rPr>
          <w:rFonts w:eastAsia="Calibri"/>
          <w:sz w:val="20"/>
          <w:szCs w:val="20"/>
        </w:rPr>
      </w:pPr>
    </w:p>
    <w:p w:rsidR="00A84240" w:rsidRDefault="00A84240" w:rsidP="003D47C0">
      <w:pPr>
        <w:widowControl w:val="0"/>
        <w:adjustRightInd w:val="0"/>
        <w:ind w:left="567"/>
        <w:jc w:val="both"/>
        <w:textAlignment w:val="baseline"/>
        <w:rPr>
          <w:rFonts w:eastAsia="Calibri"/>
          <w:sz w:val="20"/>
          <w:szCs w:val="20"/>
        </w:rPr>
      </w:pPr>
    </w:p>
    <w:p w:rsidR="00A84240" w:rsidRDefault="00A84240" w:rsidP="003D47C0">
      <w:pPr>
        <w:widowControl w:val="0"/>
        <w:adjustRightInd w:val="0"/>
        <w:ind w:left="567"/>
        <w:jc w:val="both"/>
        <w:textAlignment w:val="baseline"/>
        <w:rPr>
          <w:rFonts w:eastAsia="Calibri"/>
          <w:sz w:val="20"/>
          <w:szCs w:val="20"/>
        </w:rPr>
      </w:pPr>
    </w:p>
    <w:p w:rsidR="00A84240" w:rsidRDefault="00A84240" w:rsidP="003D47C0">
      <w:pPr>
        <w:widowControl w:val="0"/>
        <w:adjustRightInd w:val="0"/>
        <w:ind w:left="567"/>
        <w:jc w:val="both"/>
        <w:textAlignment w:val="baseline"/>
        <w:rPr>
          <w:rFonts w:eastAsia="Calibri"/>
          <w:sz w:val="20"/>
          <w:szCs w:val="20"/>
        </w:rPr>
      </w:pPr>
    </w:p>
    <w:p w:rsidR="00A84240" w:rsidRDefault="00A84240" w:rsidP="003D47C0">
      <w:pPr>
        <w:widowControl w:val="0"/>
        <w:adjustRightInd w:val="0"/>
        <w:ind w:left="567"/>
        <w:jc w:val="both"/>
        <w:textAlignment w:val="baseline"/>
        <w:rPr>
          <w:rFonts w:eastAsia="Calibri"/>
          <w:sz w:val="20"/>
          <w:szCs w:val="20"/>
        </w:rPr>
      </w:pPr>
    </w:p>
    <w:p w:rsidR="00A84240" w:rsidRDefault="00A84240" w:rsidP="003D47C0">
      <w:pPr>
        <w:widowControl w:val="0"/>
        <w:adjustRightInd w:val="0"/>
        <w:ind w:left="567"/>
        <w:jc w:val="both"/>
        <w:textAlignment w:val="baseline"/>
        <w:rPr>
          <w:rFonts w:eastAsia="Calibri"/>
          <w:sz w:val="20"/>
          <w:szCs w:val="20"/>
        </w:rPr>
      </w:pPr>
    </w:p>
    <w:p w:rsidR="00A84240" w:rsidRDefault="00A84240" w:rsidP="003D47C0">
      <w:pPr>
        <w:widowControl w:val="0"/>
        <w:adjustRightInd w:val="0"/>
        <w:ind w:left="567"/>
        <w:jc w:val="both"/>
        <w:textAlignment w:val="baseline"/>
        <w:rPr>
          <w:rFonts w:eastAsia="Calibri"/>
          <w:sz w:val="20"/>
          <w:szCs w:val="20"/>
        </w:rPr>
      </w:pPr>
    </w:p>
    <w:p w:rsidR="00A84240" w:rsidRDefault="00A84240" w:rsidP="003D47C0">
      <w:pPr>
        <w:widowControl w:val="0"/>
        <w:adjustRightInd w:val="0"/>
        <w:ind w:left="567"/>
        <w:jc w:val="both"/>
        <w:textAlignment w:val="baseline"/>
        <w:rPr>
          <w:rFonts w:eastAsia="Calibri"/>
          <w:sz w:val="20"/>
          <w:szCs w:val="20"/>
        </w:rPr>
      </w:pPr>
    </w:p>
    <w:p w:rsidR="00A84240" w:rsidRDefault="00A84240" w:rsidP="003D47C0">
      <w:pPr>
        <w:widowControl w:val="0"/>
        <w:adjustRightInd w:val="0"/>
        <w:ind w:left="567"/>
        <w:jc w:val="both"/>
        <w:textAlignment w:val="baseline"/>
        <w:rPr>
          <w:rFonts w:eastAsia="Calibri"/>
          <w:sz w:val="20"/>
          <w:szCs w:val="20"/>
        </w:rPr>
      </w:pPr>
    </w:p>
    <w:p w:rsidR="00A84240" w:rsidRDefault="00A84240" w:rsidP="003D47C0">
      <w:pPr>
        <w:widowControl w:val="0"/>
        <w:adjustRightInd w:val="0"/>
        <w:ind w:left="567"/>
        <w:jc w:val="both"/>
        <w:textAlignment w:val="baseline"/>
        <w:rPr>
          <w:rFonts w:eastAsia="Calibri"/>
          <w:sz w:val="20"/>
          <w:szCs w:val="20"/>
        </w:rPr>
      </w:pPr>
    </w:p>
    <w:p w:rsidR="00A84240" w:rsidRDefault="00A84240" w:rsidP="003D47C0">
      <w:pPr>
        <w:widowControl w:val="0"/>
        <w:adjustRightInd w:val="0"/>
        <w:ind w:left="567"/>
        <w:jc w:val="both"/>
        <w:textAlignment w:val="baseline"/>
        <w:rPr>
          <w:rFonts w:eastAsia="Calibri"/>
          <w:sz w:val="20"/>
          <w:szCs w:val="20"/>
        </w:rPr>
      </w:pPr>
    </w:p>
    <w:p w:rsidR="00A84240" w:rsidRDefault="00A84240" w:rsidP="003D47C0">
      <w:pPr>
        <w:widowControl w:val="0"/>
        <w:adjustRightInd w:val="0"/>
        <w:ind w:left="567"/>
        <w:jc w:val="both"/>
        <w:textAlignment w:val="baseline"/>
        <w:rPr>
          <w:rFonts w:eastAsia="Calibri"/>
          <w:sz w:val="20"/>
          <w:szCs w:val="20"/>
        </w:rPr>
      </w:pPr>
    </w:p>
    <w:p w:rsidR="00A84240" w:rsidRDefault="00A84240" w:rsidP="003D47C0">
      <w:pPr>
        <w:widowControl w:val="0"/>
        <w:adjustRightInd w:val="0"/>
        <w:ind w:left="567"/>
        <w:jc w:val="both"/>
        <w:textAlignment w:val="baseline"/>
        <w:rPr>
          <w:rFonts w:eastAsia="Calibri"/>
          <w:sz w:val="20"/>
          <w:szCs w:val="20"/>
        </w:rPr>
      </w:pPr>
    </w:p>
    <w:p w:rsidR="00A84240" w:rsidRDefault="00A84240" w:rsidP="003D47C0">
      <w:pPr>
        <w:widowControl w:val="0"/>
        <w:adjustRightInd w:val="0"/>
        <w:ind w:left="567"/>
        <w:jc w:val="both"/>
        <w:textAlignment w:val="baseline"/>
        <w:rPr>
          <w:rFonts w:eastAsia="Calibri"/>
          <w:sz w:val="20"/>
          <w:szCs w:val="20"/>
        </w:rPr>
      </w:pPr>
    </w:p>
    <w:p w:rsidR="00A84240" w:rsidRDefault="00A84240" w:rsidP="003D47C0">
      <w:pPr>
        <w:widowControl w:val="0"/>
        <w:adjustRightInd w:val="0"/>
        <w:ind w:left="567"/>
        <w:jc w:val="both"/>
        <w:textAlignment w:val="baseline"/>
        <w:rPr>
          <w:rFonts w:eastAsia="Calibri"/>
          <w:sz w:val="20"/>
          <w:szCs w:val="20"/>
        </w:rPr>
      </w:pPr>
    </w:p>
    <w:p w:rsidR="00A84240" w:rsidRDefault="00A84240" w:rsidP="003D47C0">
      <w:pPr>
        <w:widowControl w:val="0"/>
        <w:adjustRightInd w:val="0"/>
        <w:ind w:left="567"/>
        <w:jc w:val="both"/>
        <w:textAlignment w:val="baseline"/>
        <w:rPr>
          <w:rFonts w:eastAsia="Calibri"/>
          <w:sz w:val="20"/>
          <w:szCs w:val="20"/>
        </w:rPr>
      </w:pPr>
    </w:p>
    <w:p w:rsidR="00A84240" w:rsidRDefault="00A84240" w:rsidP="003D47C0">
      <w:pPr>
        <w:widowControl w:val="0"/>
        <w:adjustRightInd w:val="0"/>
        <w:ind w:left="567"/>
        <w:jc w:val="both"/>
        <w:textAlignment w:val="baseline"/>
        <w:rPr>
          <w:rFonts w:eastAsia="Calibri"/>
          <w:sz w:val="20"/>
          <w:szCs w:val="20"/>
        </w:rPr>
      </w:pPr>
    </w:p>
    <w:p w:rsidR="004D6615" w:rsidRDefault="004D6615" w:rsidP="003D47C0">
      <w:pPr>
        <w:widowControl w:val="0"/>
        <w:adjustRightInd w:val="0"/>
        <w:ind w:left="567"/>
        <w:jc w:val="both"/>
        <w:textAlignment w:val="baseline"/>
        <w:rPr>
          <w:rFonts w:eastAsia="Calibri"/>
          <w:sz w:val="20"/>
          <w:szCs w:val="20"/>
        </w:rPr>
      </w:pPr>
    </w:p>
    <w:p w:rsidR="003D47C0" w:rsidRPr="003D47C0" w:rsidRDefault="00CD2E9C" w:rsidP="003D47C0">
      <w:pPr>
        <w:widowControl w:val="0"/>
        <w:adjustRightInd w:val="0"/>
        <w:ind w:left="567"/>
        <w:jc w:val="both"/>
        <w:textAlignment w:val="baseline"/>
        <w:rPr>
          <w:rFonts w:eastAsia="Calibri"/>
          <w:sz w:val="20"/>
          <w:szCs w:val="20"/>
        </w:rPr>
      </w:pPr>
      <w:r>
        <w:rPr>
          <w:rFonts w:eastAsia="Calibri"/>
          <w:sz w:val="20"/>
          <w:szCs w:val="20"/>
        </w:rPr>
        <w:t>02</w:t>
      </w:r>
      <w:r w:rsidR="003D47C0" w:rsidRPr="003D47C0">
        <w:rPr>
          <w:rFonts w:eastAsia="Calibri"/>
          <w:sz w:val="20"/>
          <w:szCs w:val="20"/>
        </w:rPr>
        <w:t>.0</w:t>
      </w:r>
      <w:r>
        <w:rPr>
          <w:rFonts w:eastAsia="Calibri"/>
          <w:sz w:val="20"/>
          <w:szCs w:val="20"/>
        </w:rPr>
        <w:t>6</w:t>
      </w:r>
      <w:r w:rsidR="003D47C0" w:rsidRPr="003D47C0">
        <w:rPr>
          <w:rFonts w:eastAsia="Calibri"/>
          <w:sz w:val="20"/>
          <w:szCs w:val="20"/>
        </w:rPr>
        <w:t>.2014 15:00</w:t>
      </w:r>
    </w:p>
    <w:p w:rsidR="003D47C0" w:rsidRPr="003D47C0" w:rsidRDefault="0006161F" w:rsidP="003D47C0">
      <w:pPr>
        <w:widowControl w:val="0"/>
        <w:adjustRightInd w:val="0"/>
        <w:ind w:left="567"/>
        <w:jc w:val="both"/>
        <w:textAlignment w:val="baseline"/>
        <w:rPr>
          <w:rFonts w:eastAsia="Calibri"/>
          <w:sz w:val="20"/>
          <w:szCs w:val="20"/>
        </w:rPr>
      </w:pPr>
      <w:r>
        <w:rPr>
          <w:rFonts w:eastAsia="Calibri"/>
          <w:sz w:val="20"/>
          <w:szCs w:val="20"/>
        </w:rPr>
        <w:t>1959</w:t>
      </w:r>
    </w:p>
    <w:p w:rsidR="003D47C0" w:rsidRPr="003D47C0" w:rsidRDefault="003D47C0" w:rsidP="003D47C0">
      <w:pPr>
        <w:widowControl w:val="0"/>
        <w:adjustRightInd w:val="0"/>
        <w:ind w:left="567"/>
        <w:jc w:val="both"/>
        <w:textAlignment w:val="baseline"/>
        <w:rPr>
          <w:rFonts w:eastAsia="Calibri"/>
          <w:sz w:val="20"/>
          <w:szCs w:val="20"/>
        </w:rPr>
      </w:pPr>
      <w:r w:rsidRPr="003D47C0">
        <w:rPr>
          <w:rFonts w:eastAsia="Calibri"/>
          <w:sz w:val="20"/>
          <w:szCs w:val="20"/>
        </w:rPr>
        <w:t>A.Lazareva</w:t>
      </w:r>
    </w:p>
    <w:p w:rsidR="003D47C0" w:rsidRPr="008E13CB" w:rsidRDefault="003D47C0" w:rsidP="008E13CB">
      <w:pPr>
        <w:widowControl w:val="0"/>
        <w:adjustRightInd w:val="0"/>
        <w:ind w:left="567"/>
        <w:jc w:val="both"/>
        <w:textAlignment w:val="baseline"/>
        <w:rPr>
          <w:rFonts w:eastAsia="Calibri"/>
          <w:sz w:val="20"/>
          <w:szCs w:val="20"/>
        </w:rPr>
      </w:pPr>
      <w:r w:rsidRPr="003D47C0">
        <w:rPr>
          <w:rFonts w:eastAsia="Calibri"/>
          <w:sz w:val="20"/>
          <w:szCs w:val="20"/>
        </w:rPr>
        <w:t xml:space="preserve">67814478; </w:t>
      </w:r>
      <w:hyperlink r:id="rId9" w:history="1">
        <w:r w:rsidRPr="003D47C0">
          <w:rPr>
            <w:rFonts w:eastAsia="Calibri"/>
            <w:color w:val="0000FF"/>
            <w:sz w:val="20"/>
            <w:szCs w:val="20"/>
            <w:u w:val="single"/>
          </w:rPr>
          <w:t>anta.lazareva@visc.gov.lv</w:t>
        </w:r>
      </w:hyperlink>
    </w:p>
    <w:sectPr w:rsidR="003D47C0" w:rsidRPr="008E13CB" w:rsidSect="00D45248">
      <w:headerReference w:type="even" r:id="rId10"/>
      <w:headerReference w:type="default" r:id="rId11"/>
      <w:footerReference w:type="default" r:id="rId12"/>
      <w:footerReference w:type="first" r:id="rId13"/>
      <w:pgSz w:w="11906" w:h="16838"/>
      <w:pgMar w:top="1134" w:right="1134" w:bottom="899" w:left="1701" w:header="709" w:footer="3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F5" w:rsidRDefault="00AF0CF5">
      <w:r>
        <w:separator/>
      </w:r>
    </w:p>
  </w:endnote>
  <w:endnote w:type="continuationSeparator" w:id="0">
    <w:p w:rsidR="00AF0CF5" w:rsidRDefault="00AF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F2" w:rsidRPr="00292D93" w:rsidRDefault="003611F2" w:rsidP="003611F2">
    <w:pPr>
      <w:pStyle w:val="BodyTextIndent"/>
      <w:numPr>
        <w:ilvl w:val="0"/>
        <w:numId w:val="1"/>
      </w:numPr>
      <w:ind w:firstLine="0"/>
      <w:jc w:val="both"/>
      <w:rPr>
        <w:b/>
        <w:bCs/>
        <w:sz w:val="20"/>
        <w:szCs w:val="20"/>
      </w:rPr>
    </w:pPr>
    <w:r w:rsidRPr="00292D93">
      <w:rPr>
        <w:sz w:val="20"/>
        <w:szCs w:val="20"/>
      </w:rPr>
      <w:t>IZMAnot_</w:t>
    </w:r>
    <w:r w:rsidR="00C03632">
      <w:rPr>
        <w:sz w:val="20"/>
        <w:szCs w:val="20"/>
      </w:rPr>
      <w:t>02</w:t>
    </w:r>
    <w:r w:rsidRPr="00292D93">
      <w:rPr>
        <w:sz w:val="20"/>
        <w:szCs w:val="20"/>
      </w:rPr>
      <w:t>0</w:t>
    </w:r>
    <w:r w:rsidR="00C03632">
      <w:rPr>
        <w:sz w:val="20"/>
        <w:szCs w:val="20"/>
      </w:rPr>
      <w:t>6</w:t>
    </w:r>
    <w:r w:rsidRPr="00292D93">
      <w:rPr>
        <w:sz w:val="20"/>
        <w:szCs w:val="20"/>
      </w:rPr>
      <w:t>14_</w:t>
    </w:r>
    <w:r w:rsidR="00AB4578">
      <w:rPr>
        <w:sz w:val="20"/>
        <w:szCs w:val="20"/>
      </w:rPr>
      <w:t>Groz</w:t>
    </w:r>
    <w:r w:rsidR="00BD3DB9" w:rsidRPr="00292D93">
      <w:rPr>
        <w:sz w:val="20"/>
        <w:szCs w:val="20"/>
      </w:rPr>
      <w:t>MKnot</w:t>
    </w:r>
    <w:r w:rsidR="00AB4578">
      <w:rPr>
        <w:sz w:val="20"/>
        <w:szCs w:val="20"/>
      </w:rPr>
      <w:t>_</w:t>
    </w:r>
    <w:r w:rsidRPr="00292D93">
      <w:rPr>
        <w:sz w:val="20"/>
        <w:szCs w:val="20"/>
      </w:rPr>
      <w:t>733; Ministru kabineta noteikumu projekta „Grozījumi Ministru kabineta 2009.gada 7.jūlija noteikumos Nr.733 „</w:t>
    </w:r>
    <w:r w:rsidRPr="00292D93">
      <w:rPr>
        <w:sz w:val="20"/>
        <w:szCs w:val="20"/>
        <w:lang w:eastAsia="lv-LV"/>
      </w:rPr>
      <w:t xml:space="preserve">Noteikumi par valsts valodas zināšanu apjomu un valsts valodas prasmes pārbaudes kārtību profesionālo un amata pienākumu veikšanai, pastāvīgās uzturēšanās atļaujas saņemšanai un Eiropas </w:t>
    </w:r>
    <w:r w:rsidR="00A45B52" w:rsidRPr="00292D93">
      <w:rPr>
        <w:sz w:val="20"/>
        <w:szCs w:val="20"/>
        <w:lang w:eastAsia="lv-LV"/>
      </w:rPr>
      <w:t>Savienības</w:t>
    </w:r>
    <w:r w:rsidRPr="00292D93">
      <w:rPr>
        <w:sz w:val="20"/>
        <w:szCs w:val="20"/>
        <w:lang w:eastAsia="lv-LV"/>
      </w:rPr>
      <w:t xml:space="preserve"> pastāvīgā iedzīvotāja statusa iegūšanai un valsts nodevu par valsts valodas prasmes pārbaudi</w:t>
    </w:r>
    <w:r w:rsidRPr="00292D93">
      <w:rPr>
        <w:sz w:val="20"/>
        <w:szCs w:val="20"/>
      </w:rPr>
      <w:t>””</w:t>
    </w:r>
  </w:p>
  <w:p w:rsidR="003611F2" w:rsidRPr="00292D93" w:rsidRDefault="003611F2" w:rsidP="003611F2">
    <w:pPr>
      <w:pStyle w:val="naislab"/>
      <w:spacing w:before="0" w:after="0"/>
      <w:jc w:val="both"/>
      <w:outlineLvl w:val="0"/>
      <w:rPr>
        <w:sz w:val="20"/>
        <w:szCs w:val="20"/>
      </w:rPr>
    </w:pPr>
    <w:r w:rsidRPr="00292D93">
      <w:rPr>
        <w:sz w:val="20"/>
        <w:szCs w:val="20"/>
      </w:rPr>
      <w:t xml:space="preserve">sākotnējās ietekmes novērtējuma </w:t>
    </w:r>
    <w:smartTag w:uri="schemas-tilde-lv/tildestengine" w:element="veidnes">
      <w:smartTagPr>
        <w:attr w:name="text" w:val="ziņojums"/>
        <w:attr w:name="baseform" w:val="ziņojums"/>
        <w:attr w:name="id" w:val="-1"/>
      </w:smartTagPr>
      <w:r w:rsidRPr="00292D93">
        <w:rPr>
          <w:sz w:val="20"/>
          <w:szCs w:val="20"/>
        </w:rPr>
        <w:t>ziņojums</w:t>
      </w:r>
    </w:smartTag>
    <w:r w:rsidRPr="00292D93">
      <w:rPr>
        <w:sz w:val="20"/>
        <w:szCs w:val="20"/>
      </w:rPr>
      <w:t xml:space="preserve"> (anotācija)</w:t>
    </w:r>
  </w:p>
  <w:p w:rsidR="003611F2" w:rsidRDefault="00361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BD" w:rsidRPr="00292D93" w:rsidRDefault="00BD3DB9" w:rsidP="00DD7563">
    <w:pPr>
      <w:pStyle w:val="BodyTextIndent"/>
      <w:numPr>
        <w:ilvl w:val="0"/>
        <w:numId w:val="1"/>
      </w:numPr>
      <w:ind w:firstLine="0"/>
      <w:jc w:val="both"/>
      <w:rPr>
        <w:b/>
        <w:bCs/>
        <w:sz w:val="20"/>
        <w:szCs w:val="20"/>
      </w:rPr>
    </w:pPr>
    <w:r w:rsidRPr="00292D93">
      <w:rPr>
        <w:sz w:val="20"/>
        <w:szCs w:val="20"/>
      </w:rPr>
      <w:t>IZMAnot_</w:t>
    </w:r>
    <w:r w:rsidR="00C03632">
      <w:rPr>
        <w:sz w:val="20"/>
        <w:szCs w:val="20"/>
      </w:rPr>
      <w:t>0206</w:t>
    </w:r>
    <w:r w:rsidRPr="00292D93">
      <w:rPr>
        <w:sz w:val="20"/>
        <w:szCs w:val="20"/>
      </w:rPr>
      <w:t>14_</w:t>
    </w:r>
    <w:r w:rsidR="00AB4578">
      <w:rPr>
        <w:sz w:val="20"/>
        <w:szCs w:val="20"/>
      </w:rPr>
      <w:t>Groz</w:t>
    </w:r>
    <w:r w:rsidRPr="00292D93">
      <w:rPr>
        <w:sz w:val="20"/>
        <w:szCs w:val="20"/>
      </w:rPr>
      <w:t>MKnot</w:t>
    </w:r>
    <w:r w:rsidR="00AB4578">
      <w:rPr>
        <w:sz w:val="20"/>
        <w:szCs w:val="20"/>
      </w:rPr>
      <w:t>_</w:t>
    </w:r>
    <w:r w:rsidRPr="00292D93">
      <w:rPr>
        <w:sz w:val="20"/>
        <w:szCs w:val="20"/>
      </w:rPr>
      <w:t>733</w:t>
    </w:r>
    <w:r w:rsidR="00D81DBD" w:rsidRPr="00292D93">
      <w:rPr>
        <w:sz w:val="20"/>
        <w:szCs w:val="20"/>
      </w:rPr>
      <w:t>; Ministru kabineta noteikumu projekta „Grozījumi Ministru kabineta 2009.gada 7.jūlija noteikumos Nr.733 „</w:t>
    </w:r>
    <w:r w:rsidR="00D81DBD" w:rsidRPr="00292D93">
      <w:rPr>
        <w:sz w:val="20"/>
        <w:szCs w:val="20"/>
        <w:lang w:eastAsia="lv-LV"/>
      </w:rPr>
      <w:t xml:space="preserve">Noteikumi par valsts valodas zināšanu apjomu un valsts valodas prasmes pārbaudes kārtību profesionālo un amata pienākumu veikšanai, pastāvīgās uzturēšanās atļaujas saņemšanai un Eiropas </w:t>
    </w:r>
    <w:r w:rsidR="00A45B52" w:rsidRPr="00292D93">
      <w:rPr>
        <w:sz w:val="20"/>
        <w:szCs w:val="20"/>
        <w:lang w:eastAsia="lv-LV"/>
      </w:rPr>
      <w:t>Savienības</w:t>
    </w:r>
    <w:r w:rsidR="00D81DBD" w:rsidRPr="00292D93">
      <w:rPr>
        <w:sz w:val="20"/>
        <w:szCs w:val="20"/>
        <w:lang w:eastAsia="lv-LV"/>
      </w:rPr>
      <w:t xml:space="preserve"> pastāvīgā iedzīvotāja statusa iegūšanai un valsts nodevu par valsts valodas prasmes pārbaudi</w:t>
    </w:r>
    <w:r w:rsidR="00D81DBD" w:rsidRPr="00292D93">
      <w:rPr>
        <w:sz w:val="20"/>
        <w:szCs w:val="20"/>
      </w:rPr>
      <w:t>””</w:t>
    </w:r>
  </w:p>
  <w:p w:rsidR="00D81DBD" w:rsidRPr="00292D93" w:rsidRDefault="00D81DBD" w:rsidP="00DD7563">
    <w:pPr>
      <w:pStyle w:val="naislab"/>
      <w:spacing w:before="0" w:after="0"/>
      <w:jc w:val="both"/>
      <w:outlineLvl w:val="0"/>
      <w:rPr>
        <w:sz w:val="20"/>
        <w:szCs w:val="20"/>
      </w:rPr>
    </w:pPr>
    <w:r w:rsidRPr="00292D93">
      <w:rPr>
        <w:sz w:val="20"/>
        <w:szCs w:val="20"/>
      </w:rPr>
      <w:t xml:space="preserve">sākotnējās ietekmes novērtējuma </w:t>
    </w:r>
    <w:smartTag w:uri="schemas-tilde-lv/tildestengine" w:element="veidnes">
      <w:smartTagPr>
        <w:attr w:name="text" w:val="ziņojums"/>
        <w:attr w:name="baseform" w:val="ziņojums"/>
        <w:attr w:name="id" w:val="-1"/>
      </w:smartTagPr>
      <w:r w:rsidRPr="00292D93">
        <w:rPr>
          <w:sz w:val="20"/>
          <w:szCs w:val="20"/>
        </w:rPr>
        <w:t>ziņojums</w:t>
      </w:r>
    </w:smartTag>
    <w:r w:rsidRPr="00292D93">
      <w:rPr>
        <w:sz w:val="20"/>
        <w:szCs w:val="20"/>
      </w:rPr>
      <w:t xml:space="preserve"> (anotācija)</w:t>
    </w:r>
  </w:p>
  <w:p w:rsidR="00D81DBD" w:rsidRPr="008F0A6A" w:rsidRDefault="00D81DBD" w:rsidP="00C6358B">
    <w:pPr>
      <w:pStyle w:val="naislab"/>
      <w:jc w:val="both"/>
      <w:outlineLv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F5" w:rsidRDefault="00AF0CF5">
      <w:r>
        <w:separator/>
      </w:r>
    </w:p>
  </w:footnote>
  <w:footnote w:type="continuationSeparator" w:id="0">
    <w:p w:rsidR="00AF0CF5" w:rsidRDefault="00AF0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BD" w:rsidRDefault="00D81DBD" w:rsidP="00C635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81DBD" w:rsidRDefault="00D81D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BD" w:rsidRPr="00DB073B" w:rsidRDefault="00D81DBD" w:rsidP="00C6358B">
    <w:pPr>
      <w:pStyle w:val="Header"/>
      <w:framePr w:wrap="around" w:vAnchor="text" w:hAnchor="margin" w:xAlign="center" w:y="1"/>
      <w:rPr>
        <w:rStyle w:val="PageNumber"/>
        <w:sz w:val="20"/>
        <w:szCs w:val="20"/>
      </w:rPr>
    </w:pPr>
    <w:r w:rsidRPr="00DB073B">
      <w:rPr>
        <w:rStyle w:val="PageNumber"/>
        <w:sz w:val="20"/>
        <w:szCs w:val="20"/>
      </w:rPr>
      <w:fldChar w:fldCharType="begin"/>
    </w:r>
    <w:r w:rsidRPr="00DB073B">
      <w:rPr>
        <w:rStyle w:val="PageNumber"/>
        <w:sz w:val="20"/>
        <w:szCs w:val="20"/>
      </w:rPr>
      <w:instrText xml:space="preserve">PAGE  </w:instrText>
    </w:r>
    <w:r w:rsidRPr="00DB073B">
      <w:rPr>
        <w:rStyle w:val="PageNumber"/>
        <w:sz w:val="20"/>
        <w:szCs w:val="20"/>
      </w:rPr>
      <w:fldChar w:fldCharType="separate"/>
    </w:r>
    <w:r w:rsidR="00D04C4F">
      <w:rPr>
        <w:rStyle w:val="PageNumber"/>
        <w:noProof/>
        <w:sz w:val="20"/>
        <w:szCs w:val="20"/>
      </w:rPr>
      <w:t>8</w:t>
    </w:r>
    <w:r w:rsidRPr="00DB073B">
      <w:rPr>
        <w:rStyle w:val="PageNumber"/>
        <w:sz w:val="20"/>
        <w:szCs w:val="20"/>
      </w:rPr>
      <w:fldChar w:fldCharType="end"/>
    </w:r>
  </w:p>
  <w:p w:rsidR="00D81DBD" w:rsidRDefault="00D81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6CA1597"/>
    <w:multiLevelType w:val="hybridMultilevel"/>
    <w:tmpl w:val="2048E3D6"/>
    <w:lvl w:ilvl="0" w:tplc="F9609FC0">
      <w:start w:val="1"/>
      <w:numFmt w:val="decimal"/>
      <w:lvlText w:val="%1)"/>
      <w:lvlJc w:val="left"/>
      <w:pPr>
        <w:ind w:left="351" w:hanging="360"/>
      </w:pPr>
      <w:rPr>
        <w:rFonts w:hint="default"/>
      </w:rPr>
    </w:lvl>
    <w:lvl w:ilvl="1" w:tplc="04260019" w:tentative="1">
      <w:start w:val="1"/>
      <w:numFmt w:val="lowerLetter"/>
      <w:lvlText w:val="%2."/>
      <w:lvlJc w:val="left"/>
      <w:pPr>
        <w:ind w:left="1071" w:hanging="360"/>
      </w:pPr>
    </w:lvl>
    <w:lvl w:ilvl="2" w:tplc="0426001B" w:tentative="1">
      <w:start w:val="1"/>
      <w:numFmt w:val="lowerRoman"/>
      <w:lvlText w:val="%3."/>
      <w:lvlJc w:val="right"/>
      <w:pPr>
        <w:ind w:left="1791" w:hanging="180"/>
      </w:pPr>
    </w:lvl>
    <w:lvl w:ilvl="3" w:tplc="0426000F" w:tentative="1">
      <w:start w:val="1"/>
      <w:numFmt w:val="decimal"/>
      <w:lvlText w:val="%4."/>
      <w:lvlJc w:val="left"/>
      <w:pPr>
        <w:ind w:left="2511" w:hanging="360"/>
      </w:pPr>
    </w:lvl>
    <w:lvl w:ilvl="4" w:tplc="04260019" w:tentative="1">
      <w:start w:val="1"/>
      <w:numFmt w:val="lowerLetter"/>
      <w:lvlText w:val="%5."/>
      <w:lvlJc w:val="left"/>
      <w:pPr>
        <w:ind w:left="3231" w:hanging="360"/>
      </w:pPr>
    </w:lvl>
    <w:lvl w:ilvl="5" w:tplc="0426001B" w:tentative="1">
      <w:start w:val="1"/>
      <w:numFmt w:val="lowerRoman"/>
      <w:lvlText w:val="%6."/>
      <w:lvlJc w:val="right"/>
      <w:pPr>
        <w:ind w:left="3951" w:hanging="180"/>
      </w:pPr>
    </w:lvl>
    <w:lvl w:ilvl="6" w:tplc="0426000F" w:tentative="1">
      <w:start w:val="1"/>
      <w:numFmt w:val="decimal"/>
      <w:lvlText w:val="%7."/>
      <w:lvlJc w:val="left"/>
      <w:pPr>
        <w:ind w:left="4671" w:hanging="360"/>
      </w:pPr>
    </w:lvl>
    <w:lvl w:ilvl="7" w:tplc="04260019" w:tentative="1">
      <w:start w:val="1"/>
      <w:numFmt w:val="lowerLetter"/>
      <w:lvlText w:val="%8."/>
      <w:lvlJc w:val="left"/>
      <w:pPr>
        <w:ind w:left="5391" w:hanging="360"/>
      </w:pPr>
    </w:lvl>
    <w:lvl w:ilvl="8" w:tplc="0426001B" w:tentative="1">
      <w:start w:val="1"/>
      <w:numFmt w:val="lowerRoman"/>
      <w:lvlText w:val="%9."/>
      <w:lvlJc w:val="right"/>
      <w:pPr>
        <w:ind w:left="6111" w:hanging="180"/>
      </w:pPr>
    </w:lvl>
  </w:abstractNum>
  <w:abstractNum w:abstractNumId="2">
    <w:nsid w:val="0D5B7C4A"/>
    <w:multiLevelType w:val="hybridMultilevel"/>
    <w:tmpl w:val="7F66D90A"/>
    <w:lvl w:ilvl="0" w:tplc="169A999C">
      <w:start w:val="2013"/>
      <w:numFmt w:val="bullet"/>
      <w:lvlText w:val="-"/>
      <w:lvlJc w:val="left"/>
      <w:pPr>
        <w:ind w:left="720" w:hanging="360"/>
      </w:pPr>
      <w:rPr>
        <w:rFonts w:ascii="Calibri" w:eastAsia="Times New Roma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3CA45A3"/>
    <w:multiLevelType w:val="hybridMultilevel"/>
    <w:tmpl w:val="921A58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99208CE"/>
    <w:multiLevelType w:val="hybridMultilevel"/>
    <w:tmpl w:val="BE7628CC"/>
    <w:lvl w:ilvl="0" w:tplc="77708A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7A516BE"/>
    <w:multiLevelType w:val="hybridMultilevel"/>
    <w:tmpl w:val="F9A4CA28"/>
    <w:lvl w:ilvl="0" w:tplc="BD68AFCE">
      <w:start w:val="201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6">
    <w:nsid w:val="66494E7D"/>
    <w:multiLevelType w:val="hybridMultilevel"/>
    <w:tmpl w:val="3B6888BC"/>
    <w:lvl w:ilvl="0" w:tplc="DFC63922">
      <w:start w:val="8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BBE23F0"/>
    <w:multiLevelType w:val="hybridMultilevel"/>
    <w:tmpl w:val="359C26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E0C6A9F"/>
    <w:multiLevelType w:val="hybridMultilevel"/>
    <w:tmpl w:val="89B0C5CA"/>
    <w:lvl w:ilvl="0" w:tplc="9A10E15E">
      <w:start w:val="80"/>
      <w:numFmt w:val="bullet"/>
      <w:lvlText w:val="-"/>
      <w:lvlJc w:val="left"/>
      <w:pPr>
        <w:ind w:left="357" w:hanging="360"/>
      </w:pPr>
      <w:rPr>
        <w:rFonts w:ascii="Times New Roman" w:eastAsia="Times New Roman" w:hAnsi="Times New Roman" w:cs="Times New Roman" w:hint="default"/>
      </w:rPr>
    </w:lvl>
    <w:lvl w:ilvl="1" w:tplc="04260003" w:tentative="1">
      <w:start w:val="1"/>
      <w:numFmt w:val="bullet"/>
      <w:lvlText w:val="o"/>
      <w:lvlJc w:val="left"/>
      <w:pPr>
        <w:ind w:left="1077" w:hanging="360"/>
      </w:pPr>
      <w:rPr>
        <w:rFonts w:ascii="Courier New" w:hAnsi="Courier New" w:cs="Courier New" w:hint="default"/>
      </w:rPr>
    </w:lvl>
    <w:lvl w:ilvl="2" w:tplc="04260005" w:tentative="1">
      <w:start w:val="1"/>
      <w:numFmt w:val="bullet"/>
      <w:lvlText w:val=""/>
      <w:lvlJc w:val="left"/>
      <w:pPr>
        <w:ind w:left="1797" w:hanging="360"/>
      </w:pPr>
      <w:rPr>
        <w:rFonts w:ascii="Wingdings" w:hAnsi="Wingdings" w:hint="default"/>
      </w:rPr>
    </w:lvl>
    <w:lvl w:ilvl="3" w:tplc="04260001" w:tentative="1">
      <w:start w:val="1"/>
      <w:numFmt w:val="bullet"/>
      <w:lvlText w:val=""/>
      <w:lvlJc w:val="left"/>
      <w:pPr>
        <w:ind w:left="2517" w:hanging="360"/>
      </w:pPr>
      <w:rPr>
        <w:rFonts w:ascii="Symbol" w:hAnsi="Symbol" w:hint="default"/>
      </w:rPr>
    </w:lvl>
    <w:lvl w:ilvl="4" w:tplc="04260003" w:tentative="1">
      <w:start w:val="1"/>
      <w:numFmt w:val="bullet"/>
      <w:lvlText w:val="o"/>
      <w:lvlJc w:val="left"/>
      <w:pPr>
        <w:ind w:left="3237" w:hanging="360"/>
      </w:pPr>
      <w:rPr>
        <w:rFonts w:ascii="Courier New" w:hAnsi="Courier New" w:cs="Courier New" w:hint="default"/>
      </w:rPr>
    </w:lvl>
    <w:lvl w:ilvl="5" w:tplc="04260005" w:tentative="1">
      <w:start w:val="1"/>
      <w:numFmt w:val="bullet"/>
      <w:lvlText w:val=""/>
      <w:lvlJc w:val="left"/>
      <w:pPr>
        <w:ind w:left="3957" w:hanging="360"/>
      </w:pPr>
      <w:rPr>
        <w:rFonts w:ascii="Wingdings" w:hAnsi="Wingdings" w:hint="default"/>
      </w:rPr>
    </w:lvl>
    <w:lvl w:ilvl="6" w:tplc="04260001" w:tentative="1">
      <w:start w:val="1"/>
      <w:numFmt w:val="bullet"/>
      <w:lvlText w:val=""/>
      <w:lvlJc w:val="left"/>
      <w:pPr>
        <w:ind w:left="4677" w:hanging="360"/>
      </w:pPr>
      <w:rPr>
        <w:rFonts w:ascii="Symbol" w:hAnsi="Symbol" w:hint="default"/>
      </w:rPr>
    </w:lvl>
    <w:lvl w:ilvl="7" w:tplc="04260003" w:tentative="1">
      <w:start w:val="1"/>
      <w:numFmt w:val="bullet"/>
      <w:lvlText w:val="o"/>
      <w:lvlJc w:val="left"/>
      <w:pPr>
        <w:ind w:left="5397" w:hanging="360"/>
      </w:pPr>
      <w:rPr>
        <w:rFonts w:ascii="Courier New" w:hAnsi="Courier New" w:cs="Courier New" w:hint="default"/>
      </w:rPr>
    </w:lvl>
    <w:lvl w:ilvl="8" w:tplc="04260005" w:tentative="1">
      <w:start w:val="1"/>
      <w:numFmt w:val="bullet"/>
      <w:lvlText w:val=""/>
      <w:lvlJc w:val="left"/>
      <w:pPr>
        <w:ind w:left="6117"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7"/>
  </w:num>
  <w:num w:numId="7">
    <w:abstractNumId w:val="6"/>
  </w:num>
  <w:num w:numId="8">
    <w:abstractNumId w:val="8"/>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ra Kušķe">
    <w15:presenceInfo w15:providerId="AD" w15:userId="S-1-5-21-121626174-2435655451-1571499254-1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8B"/>
    <w:rsid w:val="00010AD2"/>
    <w:rsid w:val="00014890"/>
    <w:rsid w:val="000267A5"/>
    <w:rsid w:val="0006076D"/>
    <w:rsid w:val="0006161F"/>
    <w:rsid w:val="000628A3"/>
    <w:rsid w:val="00062967"/>
    <w:rsid w:val="00063D29"/>
    <w:rsid w:val="00065916"/>
    <w:rsid w:val="00067FF6"/>
    <w:rsid w:val="0008215A"/>
    <w:rsid w:val="000837FC"/>
    <w:rsid w:val="0009119D"/>
    <w:rsid w:val="00093A9C"/>
    <w:rsid w:val="000D06F4"/>
    <w:rsid w:val="000D270A"/>
    <w:rsid w:val="000E5D3A"/>
    <w:rsid w:val="00101314"/>
    <w:rsid w:val="0010388C"/>
    <w:rsid w:val="00103A89"/>
    <w:rsid w:val="001137F1"/>
    <w:rsid w:val="00140825"/>
    <w:rsid w:val="001707CE"/>
    <w:rsid w:val="001742B5"/>
    <w:rsid w:val="00182F42"/>
    <w:rsid w:val="00191A8C"/>
    <w:rsid w:val="00193127"/>
    <w:rsid w:val="001C1AD9"/>
    <w:rsid w:val="001F2898"/>
    <w:rsid w:val="001F707C"/>
    <w:rsid w:val="00212C95"/>
    <w:rsid w:val="00232B0D"/>
    <w:rsid w:val="00256216"/>
    <w:rsid w:val="0026364A"/>
    <w:rsid w:val="00263738"/>
    <w:rsid w:val="00292D93"/>
    <w:rsid w:val="00293AB7"/>
    <w:rsid w:val="002A378C"/>
    <w:rsid w:val="002A4F4C"/>
    <w:rsid w:val="002D45EE"/>
    <w:rsid w:val="002D75BB"/>
    <w:rsid w:val="002F6D5F"/>
    <w:rsid w:val="00332497"/>
    <w:rsid w:val="00353066"/>
    <w:rsid w:val="00355FEB"/>
    <w:rsid w:val="003611F2"/>
    <w:rsid w:val="00375DFB"/>
    <w:rsid w:val="003813BB"/>
    <w:rsid w:val="00384EB1"/>
    <w:rsid w:val="00396AD7"/>
    <w:rsid w:val="003B67B7"/>
    <w:rsid w:val="003D354F"/>
    <w:rsid w:val="003D47C0"/>
    <w:rsid w:val="003E0559"/>
    <w:rsid w:val="003E136B"/>
    <w:rsid w:val="0040416D"/>
    <w:rsid w:val="00411961"/>
    <w:rsid w:val="004523A8"/>
    <w:rsid w:val="00457110"/>
    <w:rsid w:val="00462AE3"/>
    <w:rsid w:val="0048323A"/>
    <w:rsid w:val="004859C2"/>
    <w:rsid w:val="00493787"/>
    <w:rsid w:val="004A1AC6"/>
    <w:rsid w:val="004B594C"/>
    <w:rsid w:val="004B7056"/>
    <w:rsid w:val="004C0FE1"/>
    <w:rsid w:val="004C1072"/>
    <w:rsid w:val="004C2DB1"/>
    <w:rsid w:val="004D2BD9"/>
    <w:rsid w:val="004D6615"/>
    <w:rsid w:val="00520472"/>
    <w:rsid w:val="005232F9"/>
    <w:rsid w:val="00532BCA"/>
    <w:rsid w:val="00553D0D"/>
    <w:rsid w:val="0057393A"/>
    <w:rsid w:val="00593162"/>
    <w:rsid w:val="005B57F9"/>
    <w:rsid w:val="005E6883"/>
    <w:rsid w:val="00622763"/>
    <w:rsid w:val="006430A0"/>
    <w:rsid w:val="006578E2"/>
    <w:rsid w:val="00663A99"/>
    <w:rsid w:val="00666315"/>
    <w:rsid w:val="00680703"/>
    <w:rsid w:val="00685CE6"/>
    <w:rsid w:val="00691B57"/>
    <w:rsid w:val="006B1C78"/>
    <w:rsid w:val="006D5592"/>
    <w:rsid w:val="006E2802"/>
    <w:rsid w:val="00726A76"/>
    <w:rsid w:val="007304D1"/>
    <w:rsid w:val="00733FB1"/>
    <w:rsid w:val="0076548B"/>
    <w:rsid w:val="00786815"/>
    <w:rsid w:val="0079008A"/>
    <w:rsid w:val="00793795"/>
    <w:rsid w:val="007B2BD0"/>
    <w:rsid w:val="007C6202"/>
    <w:rsid w:val="007C6D75"/>
    <w:rsid w:val="007F12C0"/>
    <w:rsid w:val="008362C0"/>
    <w:rsid w:val="00843503"/>
    <w:rsid w:val="008451B2"/>
    <w:rsid w:val="008513DA"/>
    <w:rsid w:val="00865ED5"/>
    <w:rsid w:val="00881D4B"/>
    <w:rsid w:val="00894B80"/>
    <w:rsid w:val="008976F7"/>
    <w:rsid w:val="008B67D8"/>
    <w:rsid w:val="008E13CB"/>
    <w:rsid w:val="008F2420"/>
    <w:rsid w:val="008F6B6F"/>
    <w:rsid w:val="009003D6"/>
    <w:rsid w:val="009064DE"/>
    <w:rsid w:val="00933872"/>
    <w:rsid w:val="00936773"/>
    <w:rsid w:val="009372A8"/>
    <w:rsid w:val="00937943"/>
    <w:rsid w:val="00946CF8"/>
    <w:rsid w:val="00962E36"/>
    <w:rsid w:val="009651DD"/>
    <w:rsid w:val="00974D5C"/>
    <w:rsid w:val="00982C81"/>
    <w:rsid w:val="009A1B2D"/>
    <w:rsid w:val="009B01F0"/>
    <w:rsid w:val="009D0589"/>
    <w:rsid w:val="009D3526"/>
    <w:rsid w:val="009D7DE1"/>
    <w:rsid w:val="00A1780B"/>
    <w:rsid w:val="00A20774"/>
    <w:rsid w:val="00A219EF"/>
    <w:rsid w:val="00A27347"/>
    <w:rsid w:val="00A45B52"/>
    <w:rsid w:val="00A5567B"/>
    <w:rsid w:val="00A815D0"/>
    <w:rsid w:val="00A84240"/>
    <w:rsid w:val="00AB26E5"/>
    <w:rsid w:val="00AB4578"/>
    <w:rsid w:val="00AB5615"/>
    <w:rsid w:val="00AB6F9B"/>
    <w:rsid w:val="00AF0CF5"/>
    <w:rsid w:val="00AF30BE"/>
    <w:rsid w:val="00AF3B79"/>
    <w:rsid w:val="00B360A7"/>
    <w:rsid w:val="00B4590A"/>
    <w:rsid w:val="00B85561"/>
    <w:rsid w:val="00BA55F1"/>
    <w:rsid w:val="00BC4BA3"/>
    <w:rsid w:val="00BD1E68"/>
    <w:rsid w:val="00BD3DB9"/>
    <w:rsid w:val="00BE60E7"/>
    <w:rsid w:val="00BF6D74"/>
    <w:rsid w:val="00C00C6A"/>
    <w:rsid w:val="00C03632"/>
    <w:rsid w:val="00C03D93"/>
    <w:rsid w:val="00C11055"/>
    <w:rsid w:val="00C11E09"/>
    <w:rsid w:val="00C15F20"/>
    <w:rsid w:val="00C209DD"/>
    <w:rsid w:val="00C23119"/>
    <w:rsid w:val="00C42C99"/>
    <w:rsid w:val="00C462CE"/>
    <w:rsid w:val="00C6358B"/>
    <w:rsid w:val="00C678F9"/>
    <w:rsid w:val="00C76534"/>
    <w:rsid w:val="00C86807"/>
    <w:rsid w:val="00C977B1"/>
    <w:rsid w:val="00CA5F6D"/>
    <w:rsid w:val="00CA67DC"/>
    <w:rsid w:val="00CA705D"/>
    <w:rsid w:val="00CB051A"/>
    <w:rsid w:val="00CB354F"/>
    <w:rsid w:val="00CD2E9C"/>
    <w:rsid w:val="00CD7655"/>
    <w:rsid w:val="00D03213"/>
    <w:rsid w:val="00D04C4F"/>
    <w:rsid w:val="00D24EC7"/>
    <w:rsid w:val="00D251C9"/>
    <w:rsid w:val="00D36466"/>
    <w:rsid w:val="00D45248"/>
    <w:rsid w:val="00D76365"/>
    <w:rsid w:val="00D81DBD"/>
    <w:rsid w:val="00D8414C"/>
    <w:rsid w:val="00D87E7B"/>
    <w:rsid w:val="00DB0363"/>
    <w:rsid w:val="00DD3C83"/>
    <w:rsid w:val="00DD7563"/>
    <w:rsid w:val="00DD771D"/>
    <w:rsid w:val="00DE1643"/>
    <w:rsid w:val="00DE3E97"/>
    <w:rsid w:val="00E029C1"/>
    <w:rsid w:val="00E02CA7"/>
    <w:rsid w:val="00E053BB"/>
    <w:rsid w:val="00E11766"/>
    <w:rsid w:val="00E318F1"/>
    <w:rsid w:val="00E944FE"/>
    <w:rsid w:val="00EA2CFA"/>
    <w:rsid w:val="00ED2402"/>
    <w:rsid w:val="00ED7BA1"/>
    <w:rsid w:val="00EE7A05"/>
    <w:rsid w:val="00EF588F"/>
    <w:rsid w:val="00F26000"/>
    <w:rsid w:val="00F26F1C"/>
    <w:rsid w:val="00F341FF"/>
    <w:rsid w:val="00F7080A"/>
    <w:rsid w:val="00F774FF"/>
    <w:rsid w:val="00F855DB"/>
    <w:rsid w:val="00FC3A35"/>
    <w:rsid w:val="00FE613B"/>
    <w:rsid w:val="00FE7159"/>
    <w:rsid w:val="00FF2570"/>
    <w:rsid w:val="00FF3051"/>
    <w:rsid w:val="00FF70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8B"/>
    <w:rPr>
      <w:sz w:val="24"/>
      <w:szCs w:val="24"/>
    </w:rPr>
  </w:style>
  <w:style w:type="paragraph" w:styleId="Heading5">
    <w:name w:val="heading 5"/>
    <w:basedOn w:val="Normal"/>
    <w:next w:val="Normal"/>
    <w:link w:val="Heading5Char"/>
    <w:qFormat/>
    <w:rsid w:val="00C6358B"/>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358B"/>
    <w:pPr>
      <w:tabs>
        <w:tab w:val="center" w:pos="4153"/>
        <w:tab w:val="right" w:pos="8306"/>
      </w:tabs>
    </w:pPr>
  </w:style>
  <w:style w:type="character" w:styleId="PageNumber">
    <w:name w:val="page number"/>
    <w:basedOn w:val="DefaultParagraphFont"/>
    <w:rsid w:val="00C6358B"/>
  </w:style>
  <w:style w:type="paragraph" w:customStyle="1" w:styleId="naisf">
    <w:name w:val="naisf"/>
    <w:basedOn w:val="Normal"/>
    <w:rsid w:val="00C6358B"/>
    <w:pPr>
      <w:spacing w:before="75" w:after="75"/>
      <w:ind w:firstLine="375"/>
      <w:jc w:val="both"/>
    </w:pPr>
  </w:style>
  <w:style w:type="paragraph" w:customStyle="1" w:styleId="naisnod">
    <w:name w:val="naisnod"/>
    <w:basedOn w:val="Normal"/>
    <w:rsid w:val="00C6358B"/>
    <w:pPr>
      <w:spacing w:before="150" w:after="150"/>
      <w:jc w:val="center"/>
    </w:pPr>
    <w:rPr>
      <w:b/>
      <w:bCs/>
    </w:rPr>
  </w:style>
  <w:style w:type="paragraph" w:customStyle="1" w:styleId="naislab">
    <w:name w:val="naislab"/>
    <w:basedOn w:val="Normal"/>
    <w:rsid w:val="00C6358B"/>
    <w:pPr>
      <w:spacing w:before="75" w:after="75"/>
      <w:jc w:val="right"/>
    </w:pPr>
  </w:style>
  <w:style w:type="paragraph" w:customStyle="1" w:styleId="naiskr">
    <w:name w:val="naiskr"/>
    <w:basedOn w:val="Normal"/>
    <w:rsid w:val="00C6358B"/>
    <w:pPr>
      <w:spacing w:before="75" w:after="75"/>
    </w:pPr>
  </w:style>
  <w:style w:type="paragraph" w:styleId="Footer">
    <w:name w:val="footer"/>
    <w:basedOn w:val="Normal"/>
    <w:link w:val="FooterChar"/>
    <w:rsid w:val="00C6358B"/>
    <w:pPr>
      <w:tabs>
        <w:tab w:val="center" w:pos="4153"/>
        <w:tab w:val="right" w:pos="8306"/>
      </w:tabs>
    </w:pPr>
  </w:style>
  <w:style w:type="character" w:customStyle="1" w:styleId="FooterChar">
    <w:name w:val="Footer Char"/>
    <w:link w:val="Footer"/>
    <w:semiHidden/>
    <w:rsid w:val="00C6358B"/>
    <w:rPr>
      <w:sz w:val="24"/>
      <w:szCs w:val="24"/>
      <w:lang w:val="lv-LV" w:eastAsia="lv-LV" w:bidi="ar-SA"/>
    </w:rPr>
  </w:style>
  <w:style w:type="character" w:customStyle="1" w:styleId="Heading5Char">
    <w:name w:val="Heading 5 Char"/>
    <w:link w:val="Heading5"/>
    <w:rsid w:val="00C6358B"/>
    <w:rPr>
      <w:sz w:val="28"/>
      <w:lang w:val="en-US" w:eastAsia="en-US" w:bidi="ar-SA"/>
    </w:rPr>
  </w:style>
  <w:style w:type="paragraph" w:styleId="BodyTextIndent">
    <w:name w:val="Body Text Indent"/>
    <w:basedOn w:val="Normal"/>
    <w:semiHidden/>
    <w:rsid w:val="001F2898"/>
    <w:pPr>
      <w:suppressAutoHyphens/>
      <w:ind w:firstLine="709"/>
    </w:pPr>
    <w:rPr>
      <w:lang w:eastAsia="ar-SA"/>
    </w:rPr>
  </w:style>
  <w:style w:type="paragraph" w:styleId="BodyTextIndent2">
    <w:name w:val="Body Text Indent 2"/>
    <w:basedOn w:val="Normal"/>
    <w:link w:val="BodyTextIndent2Char"/>
    <w:semiHidden/>
    <w:rsid w:val="001F2898"/>
    <w:pPr>
      <w:suppressAutoHyphens/>
      <w:spacing w:after="120"/>
      <w:ind w:firstLine="709"/>
      <w:jc w:val="both"/>
    </w:pPr>
    <w:rPr>
      <w:sz w:val="28"/>
      <w:szCs w:val="28"/>
      <w:lang w:eastAsia="ar-SA"/>
    </w:rPr>
  </w:style>
  <w:style w:type="character" w:customStyle="1" w:styleId="BodyTextIndent2Char">
    <w:name w:val="Body Text Indent 2 Char"/>
    <w:link w:val="BodyTextIndent2"/>
    <w:semiHidden/>
    <w:rsid w:val="001F2898"/>
    <w:rPr>
      <w:sz w:val="28"/>
      <w:szCs w:val="28"/>
      <w:lang w:val="lv-LV" w:eastAsia="ar-SA" w:bidi="ar-SA"/>
    </w:rPr>
  </w:style>
  <w:style w:type="character" w:styleId="Hyperlink">
    <w:name w:val="Hyperlink"/>
    <w:rsid w:val="00F7080A"/>
    <w:rPr>
      <w:strike w:val="0"/>
      <w:dstrike w:val="0"/>
      <w:color w:val="40407C"/>
      <w:u w:val="none"/>
      <w:effect w:val="none"/>
    </w:rPr>
  </w:style>
  <w:style w:type="paragraph" w:styleId="BalloonText">
    <w:name w:val="Balloon Text"/>
    <w:basedOn w:val="Normal"/>
    <w:link w:val="BalloonTextChar"/>
    <w:rsid w:val="00411961"/>
    <w:rPr>
      <w:rFonts w:ascii="Tahoma" w:hAnsi="Tahoma" w:cs="Tahoma"/>
      <w:sz w:val="16"/>
      <w:szCs w:val="16"/>
    </w:rPr>
  </w:style>
  <w:style w:type="character" w:customStyle="1" w:styleId="BalloonTextChar">
    <w:name w:val="Balloon Text Char"/>
    <w:link w:val="BalloonText"/>
    <w:rsid w:val="00411961"/>
    <w:rPr>
      <w:rFonts w:ascii="Tahoma" w:hAnsi="Tahoma" w:cs="Tahoma"/>
      <w:sz w:val="16"/>
      <w:szCs w:val="16"/>
    </w:rPr>
  </w:style>
  <w:style w:type="character" w:styleId="CommentReference">
    <w:name w:val="annotation reference"/>
    <w:rsid w:val="00411961"/>
    <w:rPr>
      <w:sz w:val="16"/>
      <w:szCs w:val="16"/>
    </w:rPr>
  </w:style>
  <w:style w:type="paragraph" w:styleId="CommentText">
    <w:name w:val="annotation text"/>
    <w:basedOn w:val="Normal"/>
    <w:link w:val="CommentTextChar"/>
    <w:rsid w:val="00411961"/>
    <w:rPr>
      <w:sz w:val="20"/>
      <w:szCs w:val="20"/>
    </w:rPr>
  </w:style>
  <w:style w:type="character" w:customStyle="1" w:styleId="CommentTextChar">
    <w:name w:val="Comment Text Char"/>
    <w:basedOn w:val="DefaultParagraphFont"/>
    <w:link w:val="CommentText"/>
    <w:rsid w:val="00411961"/>
  </w:style>
  <w:style w:type="paragraph" w:styleId="CommentSubject">
    <w:name w:val="annotation subject"/>
    <w:basedOn w:val="CommentText"/>
    <w:next w:val="CommentText"/>
    <w:link w:val="CommentSubjectChar"/>
    <w:rsid w:val="00411961"/>
    <w:rPr>
      <w:b/>
      <w:bCs/>
    </w:rPr>
  </w:style>
  <w:style w:type="character" w:customStyle="1" w:styleId="CommentSubjectChar">
    <w:name w:val="Comment Subject Char"/>
    <w:link w:val="CommentSubject"/>
    <w:rsid w:val="00411961"/>
    <w:rPr>
      <w:b/>
      <w:bCs/>
    </w:rPr>
  </w:style>
  <w:style w:type="paragraph" w:customStyle="1" w:styleId="labojumupamats">
    <w:name w:val="labojumu_pamats"/>
    <w:basedOn w:val="Normal"/>
    <w:rsid w:val="004523A8"/>
    <w:pPr>
      <w:spacing w:before="100" w:beforeAutospacing="1" w:after="100" w:afterAutospacing="1"/>
    </w:pPr>
  </w:style>
  <w:style w:type="paragraph" w:customStyle="1" w:styleId="tvhtml">
    <w:name w:val="tv_html"/>
    <w:basedOn w:val="Normal"/>
    <w:rsid w:val="004523A8"/>
    <w:pPr>
      <w:spacing w:before="100" w:beforeAutospacing="1" w:after="100" w:afterAutospacing="1"/>
    </w:pPr>
  </w:style>
  <w:style w:type="paragraph" w:styleId="BodyText">
    <w:name w:val="Body Text"/>
    <w:basedOn w:val="Normal"/>
    <w:link w:val="BodyTextChar"/>
    <w:rsid w:val="00010AD2"/>
    <w:pPr>
      <w:spacing w:after="120"/>
    </w:pPr>
  </w:style>
  <w:style w:type="character" w:customStyle="1" w:styleId="BodyTextChar">
    <w:name w:val="Body Text Char"/>
    <w:link w:val="BodyText"/>
    <w:rsid w:val="00010AD2"/>
    <w:rPr>
      <w:sz w:val="24"/>
      <w:szCs w:val="24"/>
    </w:rPr>
  </w:style>
  <w:style w:type="character" w:customStyle="1" w:styleId="HeaderChar">
    <w:name w:val="Header Char"/>
    <w:link w:val="Header"/>
    <w:rsid w:val="00010AD2"/>
    <w:rPr>
      <w:sz w:val="24"/>
      <w:szCs w:val="24"/>
    </w:rPr>
  </w:style>
  <w:style w:type="character" w:customStyle="1" w:styleId="spelle">
    <w:name w:val="spelle"/>
    <w:rsid w:val="00010AD2"/>
  </w:style>
  <w:style w:type="character" w:styleId="Emphasis">
    <w:name w:val="Emphasis"/>
    <w:qFormat/>
    <w:rsid w:val="00140825"/>
    <w:rPr>
      <w:i/>
      <w:iCs/>
    </w:rPr>
  </w:style>
  <w:style w:type="paragraph" w:customStyle="1" w:styleId="RakstzCharCharRakstzCharCharRakstz">
    <w:name w:val="Rakstz. Char Char Rakstz. Char Char Rakstz."/>
    <w:basedOn w:val="Normal"/>
    <w:rsid w:val="00457110"/>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ED24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8B"/>
    <w:rPr>
      <w:sz w:val="24"/>
      <w:szCs w:val="24"/>
    </w:rPr>
  </w:style>
  <w:style w:type="paragraph" w:styleId="Heading5">
    <w:name w:val="heading 5"/>
    <w:basedOn w:val="Normal"/>
    <w:next w:val="Normal"/>
    <w:link w:val="Heading5Char"/>
    <w:qFormat/>
    <w:rsid w:val="00C6358B"/>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358B"/>
    <w:pPr>
      <w:tabs>
        <w:tab w:val="center" w:pos="4153"/>
        <w:tab w:val="right" w:pos="8306"/>
      </w:tabs>
    </w:pPr>
  </w:style>
  <w:style w:type="character" w:styleId="PageNumber">
    <w:name w:val="page number"/>
    <w:basedOn w:val="DefaultParagraphFont"/>
    <w:rsid w:val="00C6358B"/>
  </w:style>
  <w:style w:type="paragraph" w:customStyle="1" w:styleId="naisf">
    <w:name w:val="naisf"/>
    <w:basedOn w:val="Normal"/>
    <w:rsid w:val="00C6358B"/>
    <w:pPr>
      <w:spacing w:before="75" w:after="75"/>
      <w:ind w:firstLine="375"/>
      <w:jc w:val="both"/>
    </w:pPr>
  </w:style>
  <w:style w:type="paragraph" w:customStyle="1" w:styleId="naisnod">
    <w:name w:val="naisnod"/>
    <w:basedOn w:val="Normal"/>
    <w:rsid w:val="00C6358B"/>
    <w:pPr>
      <w:spacing w:before="150" w:after="150"/>
      <w:jc w:val="center"/>
    </w:pPr>
    <w:rPr>
      <w:b/>
      <w:bCs/>
    </w:rPr>
  </w:style>
  <w:style w:type="paragraph" w:customStyle="1" w:styleId="naislab">
    <w:name w:val="naislab"/>
    <w:basedOn w:val="Normal"/>
    <w:rsid w:val="00C6358B"/>
    <w:pPr>
      <w:spacing w:before="75" w:after="75"/>
      <w:jc w:val="right"/>
    </w:pPr>
  </w:style>
  <w:style w:type="paragraph" w:customStyle="1" w:styleId="naiskr">
    <w:name w:val="naiskr"/>
    <w:basedOn w:val="Normal"/>
    <w:rsid w:val="00C6358B"/>
    <w:pPr>
      <w:spacing w:before="75" w:after="75"/>
    </w:pPr>
  </w:style>
  <w:style w:type="paragraph" w:styleId="Footer">
    <w:name w:val="footer"/>
    <w:basedOn w:val="Normal"/>
    <w:link w:val="FooterChar"/>
    <w:rsid w:val="00C6358B"/>
    <w:pPr>
      <w:tabs>
        <w:tab w:val="center" w:pos="4153"/>
        <w:tab w:val="right" w:pos="8306"/>
      </w:tabs>
    </w:pPr>
  </w:style>
  <w:style w:type="character" w:customStyle="1" w:styleId="FooterChar">
    <w:name w:val="Footer Char"/>
    <w:link w:val="Footer"/>
    <w:semiHidden/>
    <w:rsid w:val="00C6358B"/>
    <w:rPr>
      <w:sz w:val="24"/>
      <w:szCs w:val="24"/>
      <w:lang w:val="lv-LV" w:eastAsia="lv-LV" w:bidi="ar-SA"/>
    </w:rPr>
  </w:style>
  <w:style w:type="character" w:customStyle="1" w:styleId="Heading5Char">
    <w:name w:val="Heading 5 Char"/>
    <w:link w:val="Heading5"/>
    <w:rsid w:val="00C6358B"/>
    <w:rPr>
      <w:sz w:val="28"/>
      <w:lang w:val="en-US" w:eastAsia="en-US" w:bidi="ar-SA"/>
    </w:rPr>
  </w:style>
  <w:style w:type="paragraph" w:styleId="BodyTextIndent">
    <w:name w:val="Body Text Indent"/>
    <w:basedOn w:val="Normal"/>
    <w:semiHidden/>
    <w:rsid w:val="001F2898"/>
    <w:pPr>
      <w:suppressAutoHyphens/>
      <w:ind w:firstLine="709"/>
    </w:pPr>
    <w:rPr>
      <w:lang w:eastAsia="ar-SA"/>
    </w:rPr>
  </w:style>
  <w:style w:type="paragraph" w:styleId="BodyTextIndent2">
    <w:name w:val="Body Text Indent 2"/>
    <w:basedOn w:val="Normal"/>
    <w:link w:val="BodyTextIndent2Char"/>
    <w:semiHidden/>
    <w:rsid w:val="001F2898"/>
    <w:pPr>
      <w:suppressAutoHyphens/>
      <w:spacing w:after="120"/>
      <w:ind w:firstLine="709"/>
      <w:jc w:val="both"/>
    </w:pPr>
    <w:rPr>
      <w:sz w:val="28"/>
      <w:szCs w:val="28"/>
      <w:lang w:eastAsia="ar-SA"/>
    </w:rPr>
  </w:style>
  <w:style w:type="character" w:customStyle="1" w:styleId="BodyTextIndent2Char">
    <w:name w:val="Body Text Indent 2 Char"/>
    <w:link w:val="BodyTextIndent2"/>
    <w:semiHidden/>
    <w:rsid w:val="001F2898"/>
    <w:rPr>
      <w:sz w:val="28"/>
      <w:szCs w:val="28"/>
      <w:lang w:val="lv-LV" w:eastAsia="ar-SA" w:bidi="ar-SA"/>
    </w:rPr>
  </w:style>
  <w:style w:type="character" w:styleId="Hyperlink">
    <w:name w:val="Hyperlink"/>
    <w:rsid w:val="00F7080A"/>
    <w:rPr>
      <w:strike w:val="0"/>
      <w:dstrike w:val="0"/>
      <w:color w:val="40407C"/>
      <w:u w:val="none"/>
      <w:effect w:val="none"/>
    </w:rPr>
  </w:style>
  <w:style w:type="paragraph" w:styleId="BalloonText">
    <w:name w:val="Balloon Text"/>
    <w:basedOn w:val="Normal"/>
    <w:link w:val="BalloonTextChar"/>
    <w:rsid w:val="00411961"/>
    <w:rPr>
      <w:rFonts w:ascii="Tahoma" w:hAnsi="Tahoma" w:cs="Tahoma"/>
      <w:sz w:val="16"/>
      <w:szCs w:val="16"/>
    </w:rPr>
  </w:style>
  <w:style w:type="character" w:customStyle="1" w:styleId="BalloonTextChar">
    <w:name w:val="Balloon Text Char"/>
    <w:link w:val="BalloonText"/>
    <w:rsid w:val="00411961"/>
    <w:rPr>
      <w:rFonts w:ascii="Tahoma" w:hAnsi="Tahoma" w:cs="Tahoma"/>
      <w:sz w:val="16"/>
      <w:szCs w:val="16"/>
    </w:rPr>
  </w:style>
  <w:style w:type="character" w:styleId="CommentReference">
    <w:name w:val="annotation reference"/>
    <w:rsid w:val="00411961"/>
    <w:rPr>
      <w:sz w:val="16"/>
      <w:szCs w:val="16"/>
    </w:rPr>
  </w:style>
  <w:style w:type="paragraph" w:styleId="CommentText">
    <w:name w:val="annotation text"/>
    <w:basedOn w:val="Normal"/>
    <w:link w:val="CommentTextChar"/>
    <w:rsid w:val="00411961"/>
    <w:rPr>
      <w:sz w:val="20"/>
      <w:szCs w:val="20"/>
    </w:rPr>
  </w:style>
  <w:style w:type="character" w:customStyle="1" w:styleId="CommentTextChar">
    <w:name w:val="Comment Text Char"/>
    <w:basedOn w:val="DefaultParagraphFont"/>
    <w:link w:val="CommentText"/>
    <w:rsid w:val="00411961"/>
  </w:style>
  <w:style w:type="paragraph" w:styleId="CommentSubject">
    <w:name w:val="annotation subject"/>
    <w:basedOn w:val="CommentText"/>
    <w:next w:val="CommentText"/>
    <w:link w:val="CommentSubjectChar"/>
    <w:rsid w:val="00411961"/>
    <w:rPr>
      <w:b/>
      <w:bCs/>
    </w:rPr>
  </w:style>
  <w:style w:type="character" w:customStyle="1" w:styleId="CommentSubjectChar">
    <w:name w:val="Comment Subject Char"/>
    <w:link w:val="CommentSubject"/>
    <w:rsid w:val="00411961"/>
    <w:rPr>
      <w:b/>
      <w:bCs/>
    </w:rPr>
  </w:style>
  <w:style w:type="paragraph" w:customStyle="1" w:styleId="labojumupamats">
    <w:name w:val="labojumu_pamats"/>
    <w:basedOn w:val="Normal"/>
    <w:rsid w:val="004523A8"/>
    <w:pPr>
      <w:spacing w:before="100" w:beforeAutospacing="1" w:after="100" w:afterAutospacing="1"/>
    </w:pPr>
  </w:style>
  <w:style w:type="paragraph" w:customStyle="1" w:styleId="tvhtml">
    <w:name w:val="tv_html"/>
    <w:basedOn w:val="Normal"/>
    <w:rsid w:val="004523A8"/>
    <w:pPr>
      <w:spacing w:before="100" w:beforeAutospacing="1" w:after="100" w:afterAutospacing="1"/>
    </w:pPr>
  </w:style>
  <w:style w:type="paragraph" w:styleId="BodyText">
    <w:name w:val="Body Text"/>
    <w:basedOn w:val="Normal"/>
    <w:link w:val="BodyTextChar"/>
    <w:rsid w:val="00010AD2"/>
    <w:pPr>
      <w:spacing w:after="120"/>
    </w:pPr>
  </w:style>
  <w:style w:type="character" w:customStyle="1" w:styleId="BodyTextChar">
    <w:name w:val="Body Text Char"/>
    <w:link w:val="BodyText"/>
    <w:rsid w:val="00010AD2"/>
    <w:rPr>
      <w:sz w:val="24"/>
      <w:szCs w:val="24"/>
    </w:rPr>
  </w:style>
  <w:style w:type="character" w:customStyle="1" w:styleId="HeaderChar">
    <w:name w:val="Header Char"/>
    <w:link w:val="Header"/>
    <w:rsid w:val="00010AD2"/>
    <w:rPr>
      <w:sz w:val="24"/>
      <w:szCs w:val="24"/>
    </w:rPr>
  </w:style>
  <w:style w:type="character" w:customStyle="1" w:styleId="spelle">
    <w:name w:val="spelle"/>
    <w:rsid w:val="00010AD2"/>
  </w:style>
  <w:style w:type="character" w:styleId="Emphasis">
    <w:name w:val="Emphasis"/>
    <w:qFormat/>
    <w:rsid w:val="00140825"/>
    <w:rPr>
      <w:i/>
      <w:iCs/>
    </w:rPr>
  </w:style>
  <w:style w:type="paragraph" w:customStyle="1" w:styleId="RakstzCharCharRakstzCharCharRakstz">
    <w:name w:val="Rakstz. Char Char Rakstz. Char Char Rakstz."/>
    <w:basedOn w:val="Normal"/>
    <w:rsid w:val="00457110"/>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ED2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6632">
      <w:bodyDiv w:val="1"/>
      <w:marLeft w:val="0"/>
      <w:marRight w:val="0"/>
      <w:marTop w:val="0"/>
      <w:marBottom w:val="0"/>
      <w:divBdr>
        <w:top w:val="none" w:sz="0" w:space="0" w:color="auto"/>
        <w:left w:val="none" w:sz="0" w:space="0" w:color="auto"/>
        <w:bottom w:val="none" w:sz="0" w:space="0" w:color="auto"/>
        <w:right w:val="none" w:sz="0" w:space="0" w:color="auto"/>
      </w:divBdr>
      <w:divsChild>
        <w:div w:id="1446194785">
          <w:marLeft w:val="0"/>
          <w:marRight w:val="0"/>
          <w:marTop w:val="0"/>
          <w:marBottom w:val="0"/>
          <w:divBdr>
            <w:top w:val="none" w:sz="0" w:space="0" w:color="auto"/>
            <w:left w:val="none" w:sz="0" w:space="0" w:color="auto"/>
            <w:bottom w:val="none" w:sz="0" w:space="0" w:color="auto"/>
            <w:right w:val="none" w:sz="0" w:space="0" w:color="auto"/>
          </w:divBdr>
        </w:div>
        <w:div w:id="1664553541">
          <w:marLeft w:val="0"/>
          <w:marRight w:val="0"/>
          <w:marTop w:val="0"/>
          <w:marBottom w:val="0"/>
          <w:divBdr>
            <w:top w:val="none" w:sz="0" w:space="0" w:color="auto"/>
            <w:left w:val="none" w:sz="0" w:space="0" w:color="auto"/>
            <w:bottom w:val="none" w:sz="0" w:space="0" w:color="auto"/>
            <w:right w:val="none" w:sz="0" w:space="0" w:color="auto"/>
          </w:divBdr>
        </w:div>
        <w:div w:id="2002730646">
          <w:marLeft w:val="0"/>
          <w:marRight w:val="0"/>
          <w:marTop w:val="0"/>
          <w:marBottom w:val="0"/>
          <w:divBdr>
            <w:top w:val="none" w:sz="0" w:space="0" w:color="auto"/>
            <w:left w:val="none" w:sz="0" w:space="0" w:color="auto"/>
            <w:bottom w:val="none" w:sz="0" w:space="0" w:color="auto"/>
            <w:right w:val="none" w:sz="0" w:space="0" w:color="auto"/>
          </w:divBdr>
        </w:div>
      </w:divsChild>
    </w:div>
    <w:div w:id="369037528">
      <w:bodyDiv w:val="1"/>
      <w:marLeft w:val="0"/>
      <w:marRight w:val="0"/>
      <w:marTop w:val="0"/>
      <w:marBottom w:val="0"/>
      <w:divBdr>
        <w:top w:val="none" w:sz="0" w:space="0" w:color="auto"/>
        <w:left w:val="none" w:sz="0" w:space="0" w:color="auto"/>
        <w:bottom w:val="none" w:sz="0" w:space="0" w:color="auto"/>
        <w:right w:val="none" w:sz="0" w:space="0" w:color="auto"/>
      </w:divBdr>
    </w:div>
    <w:div w:id="889194339">
      <w:bodyDiv w:val="1"/>
      <w:marLeft w:val="0"/>
      <w:marRight w:val="0"/>
      <w:marTop w:val="0"/>
      <w:marBottom w:val="0"/>
      <w:divBdr>
        <w:top w:val="none" w:sz="0" w:space="0" w:color="auto"/>
        <w:left w:val="none" w:sz="0" w:space="0" w:color="auto"/>
        <w:bottom w:val="none" w:sz="0" w:space="0" w:color="auto"/>
        <w:right w:val="none" w:sz="0" w:space="0" w:color="auto"/>
      </w:divBdr>
    </w:div>
    <w:div w:id="895818003">
      <w:bodyDiv w:val="1"/>
      <w:marLeft w:val="0"/>
      <w:marRight w:val="0"/>
      <w:marTop w:val="0"/>
      <w:marBottom w:val="0"/>
      <w:divBdr>
        <w:top w:val="none" w:sz="0" w:space="0" w:color="auto"/>
        <w:left w:val="none" w:sz="0" w:space="0" w:color="auto"/>
        <w:bottom w:val="none" w:sz="0" w:space="0" w:color="auto"/>
        <w:right w:val="none" w:sz="0" w:space="0" w:color="auto"/>
      </w:divBdr>
    </w:div>
    <w:div w:id="1106382997">
      <w:bodyDiv w:val="1"/>
      <w:marLeft w:val="0"/>
      <w:marRight w:val="0"/>
      <w:marTop w:val="0"/>
      <w:marBottom w:val="0"/>
      <w:divBdr>
        <w:top w:val="none" w:sz="0" w:space="0" w:color="auto"/>
        <w:left w:val="none" w:sz="0" w:space="0" w:color="auto"/>
        <w:bottom w:val="none" w:sz="0" w:space="0" w:color="auto"/>
        <w:right w:val="none" w:sz="0" w:space="0" w:color="auto"/>
      </w:divBdr>
    </w:div>
    <w:div w:id="1339887029">
      <w:bodyDiv w:val="1"/>
      <w:marLeft w:val="0"/>
      <w:marRight w:val="0"/>
      <w:marTop w:val="0"/>
      <w:marBottom w:val="0"/>
      <w:divBdr>
        <w:top w:val="none" w:sz="0" w:space="0" w:color="auto"/>
        <w:left w:val="none" w:sz="0" w:space="0" w:color="auto"/>
        <w:bottom w:val="none" w:sz="0" w:space="0" w:color="auto"/>
        <w:right w:val="none" w:sz="0" w:space="0" w:color="auto"/>
      </w:divBdr>
    </w:div>
    <w:div w:id="1392389638">
      <w:bodyDiv w:val="1"/>
      <w:marLeft w:val="33"/>
      <w:marRight w:val="33"/>
      <w:marTop w:val="66"/>
      <w:marBottom w:val="66"/>
      <w:divBdr>
        <w:top w:val="none" w:sz="0" w:space="0" w:color="auto"/>
        <w:left w:val="none" w:sz="0" w:space="0" w:color="auto"/>
        <w:bottom w:val="none" w:sz="0" w:space="0" w:color="auto"/>
        <w:right w:val="none" w:sz="0" w:space="0" w:color="auto"/>
      </w:divBdr>
      <w:divsChild>
        <w:div w:id="509876310">
          <w:marLeft w:val="0"/>
          <w:marRight w:val="0"/>
          <w:marTop w:val="480"/>
          <w:marBottom w:val="240"/>
          <w:divBdr>
            <w:top w:val="none" w:sz="0" w:space="0" w:color="auto"/>
            <w:left w:val="none" w:sz="0" w:space="0" w:color="auto"/>
            <w:bottom w:val="none" w:sz="0" w:space="0" w:color="auto"/>
            <w:right w:val="none" w:sz="0" w:space="0" w:color="auto"/>
          </w:divBdr>
        </w:div>
        <w:div w:id="832797390">
          <w:marLeft w:val="0"/>
          <w:marRight w:val="0"/>
          <w:marTop w:val="0"/>
          <w:marBottom w:val="567"/>
          <w:divBdr>
            <w:top w:val="none" w:sz="0" w:space="0" w:color="auto"/>
            <w:left w:val="none" w:sz="0" w:space="0" w:color="auto"/>
            <w:bottom w:val="none" w:sz="0" w:space="0" w:color="auto"/>
            <w:right w:val="none" w:sz="0" w:space="0" w:color="auto"/>
          </w:divBdr>
        </w:div>
      </w:divsChild>
    </w:div>
    <w:div w:id="1586648413">
      <w:bodyDiv w:val="1"/>
      <w:marLeft w:val="0"/>
      <w:marRight w:val="0"/>
      <w:marTop w:val="0"/>
      <w:marBottom w:val="0"/>
      <w:divBdr>
        <w:top w:val="none" w:sz="0" w:space="0" w:color="auto"/>
        <w:left w:val="none" w:sz="0" w:space="0" w:color="auto"/>
        <w:bottom w:val="none" w:sz="0" w:space="0" w:color="auto"/>
        <w:right w:val="none" w:sz="0" w:space="0" w:color="auto"/>
      </w:divBdr>
    </w:div>
    <w:div w:id="177454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ta.lazareva@visc.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AEDF7-5263-46CB-B3E0-D72C530C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9635</Words>
  <Characters>5493</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7.jūlija noteikumos Nr.733 „Noteikumi par valsts valodas zināšanu apjomu un valsts valodas prasmes pārbaudes kārtību profesionālo un amata pienākumu veikšanai, pastāvīgās uzturēša</vt:lpstr>
    </vt:vector>
  </TitlesOfParts>
  <Manager>anta.lazareva@visc.gov.lv</Manager>
  <Company>Izglītības un zinātnes ministrija</Company>
  <LinksUpToDate>false</LinksUpToDate>
  <CharactersWithSpaces>15098</CharactersWithSpaces>
  <SharedDoc>false</SharedDoc>
  <HLinks>
    <vt:vector size="6" baseType="variant">
      <vt:variant>
        <vt:i4>4259936</vt:i4>
      </vt:variant>
      <vt:variant>
        <vt:i4>0</vt:i4>
      </vt:variant>
      <vt:variant>
        <vt:i4>0</vt:i4>
      </vt:variant>
      <vt:variant>
        <vt:i4>5</vt:i4>
      </vt:variant>
      <vt:variant>
        <vt:lpwstr>mailto:anta.lazareva@visc.gov.lv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7.jūlija noteikumos Nr.733 „Noteikumi par valsts valodas zināšanu apjomu un valsts valodas prasmes pārbaudes kārtību profesionālo un amata pienākumu veikšanai, pastāvīgās uzturēšanās atļaujas saņemšanai un Eiropas Kopienas pastāvīgā iedzīvotāja statusa iegūšanai un valsts nodevu par valsts valodas prasmes pārbaudi””</dc:title>
  <dc:creator>igors.bukis-fleitmanis@visc.gov.lv</dc:creator>
  <cp:lastModifiedBy>igorsbf</cp:lastModifiedBy>
  <cp:revision>4</cp:revision>
  <cp:lastPrinted>2014-06-02T06:49:00Z</cp:lastPrinted>
  <dcterms:created xsi:type="dcterms:W3CDTF">2014-06-03T07:22:00Z</dcterms:created>
  <dcterms:modified xsi:type="dcterms:W3CDTF">2014-06-03T07:40:00Z</dcterms:modified>
  <cp:category>Sākotnējās ietekmes novērtējuma ziņojums (Anotācija)</cp:category>
</cp:coreProperties>
</file>