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5D6B8A" w:rsidP="005D6B8A">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DC03E0" w:rsidP="00DC03E0">
      <w:pPr>
        <w:pStyle w:val="BodyText"/>
        <w:jc w:val="center"/>
        <w:rPr>
          <w:b/>
          <w:sz w:val="28"/>
          <w:szCs w:val="28"/>
        </w:rPr>
      </w:pPr>
      <w:r>
        <w:rPr>
          <w:b/>
          <w:sz w:val="28"/>
          <w:szCs w:val="28"/>
        </w:rPr>
        <w:t>“</w:t>
      </w:r>
      <w:r w:rsidR="00020664" w:rsidRPr="00020664">
        <w:rPr>
          <w:b/>
          <w:sz w:val="28"/>
          <w:szCs w:val="28"/>
        </w:rPr>
        <w:t>Par valsts kapitāla daļu turētāju sabiedrībā ar ierobežotu atbildību “Sporta centrs “Mežaparks””</w:t>
      </w:r>
      <w:r w:rsidR="00020664">
        <w:rPr>
          <w:b/>
          <w:sz w:val="28"/>
          <w:szCs w:val="28"/>
        </w:rPr>
        <w:t xml:space="preserve">” </w:t>
      </w:r>
      <w:r w:rsidR="00585B7B" w:rsidRPr="009B2F21">
        <w:rPr>
          <w:b/>
          <w:sz w:val="28"/>
          <w:szCs w:val="28"/>
        </w:rPr>
        <w:t xml:space="preserve">sākotnējās ietekmes novērtējuma </w:t>
      </w:r>
      <w:smartTag w:uri="schemas-tilde-lv/tildestengine" w:element="veidnes">
        <w:smartTagPr>
          <w:attr w:name="text" w:val="ziņojums"/>
          <w:attr w:name="baseform" w:val="ziņojums"/>
          <w:attr w:name="id" w:val="-1"/>
        </w:smartTagPr>
        <w:r w:rsidR="00585B7B" w:rsidRPr="009B2F21">
          <w:rPr>
            <w:b/>
            <w:sz w:val="28"/>
            <w:szCs w:val="28"/>
          </w:rPr>
          <w:t>ziņojums</w:t>
        </w:r>
      </w:smartTag>
      <w:r w:rsidR="00585B7B" w:rsidRPr="009B2F21">
        <w:rPr>
          <w:b/>
          <w:sz w:val="28"/>
          <w:szCs w:val="28"/>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9F1E12" w:rsidTr="002637C0">
        <w:tc>
          <w:tcPr>
            <w:tcW w:w="10197" w:type="dxa"/>
            <w:gridSpan w:val="3"/>
            <w:vAlign w:val="center"/>
          </w:tcPr>
          <w:bookmarkEnd w:id="0"/>
          <w:bookmarkEnd w:id="1"/>
          <w:bookmarkEnd w:id="2"/>
          <w:p w:rsidR="00585B7B" w:rsidRPr="009F1E12" w:rsidRDefault="00585B7B" w:rsidP="00194A0F">
            <w:pPr>
              <w:pStyle w:val="naisnod"/>
              <w:spacing w:before="0" w:after="0"/>
              <w:rPr>
                <w:sz w:val="25"/>
                <w:szCs w:val="25"/>
              </w:rPr>
            </w:pPr>
            <w:r w:rsidRPr="009F1E12">
              <w:rPr>
                <w:sz w:val="25"/>
                <w:szCs w:val="25"/>
              </w:rPr>
              <w:t>I. Tiesību akta projekta izstrādes nepieciešamība</w:t>
            </w:r>
          </w:p>
        </w:tc>
      </w:tr>
      <w:tr w:rsidR="00585B7B" w:rsidRPr="009F1E12" w:rsidTr="002637C0">
        <w:trPr>
          <w:trHeight w:val="630"/>
        </w:trPr>
        <w:tc>
          <w:tcPr>
            <w:tcW w:w="998" w:type="dxa"/>
          </w:tcPr>
          <w:p w:rsidR="00585B7B" w:rsidRPr="009F1E12" w:rsidRDefault="00585B7B" w:rsidP="00BD696A">
            <w:pPr>
              <w:pStyle w:val="naiskr"/>
              <w:spacing w:before="0" w:after="0"/>
              <w:jc w:val="center"/>
              <w:rPr>
                <w:sz w:val="25"/>
                <w:szCs w:val="25"/>
              </w:rPr>
            </w:pPr>
            <w:r w:rsidRPr="009F1E12">
              <w:rPr>
                <w:sz w:val="25"/>
                <w:szCs w:val="25"/>
              </w:rPr>
              <w:t>1.</w:t>
            </w:r>
          </w:p>
        </w:tc>
        <w:tc>
          <w:tcPr>
            <w:tcW w:w="2693" w:type="dxa"/>
          </w:tcPr>
          <w:p w:rsidR="00585B7B" w:rsidRPr="009F1E12" w:rsidRDefault="00585B7B" w:rsidP="00916055">
            <w:pPr>
              <w:pStyle w:val="naiskr"/>
              <w:spacing w:before="0" w:after="0"/>
              <w:ind w:left="141" w:hanging="10"/>
              <w:rPr>
                <w:sz w:val="25"/>
                <w:szCs w:val="25"/>
              </w:rPr>
            </w:pPr>
            <w:r w:rsidRPr="009F1E12">
              <w:rPr>
                <w:sz w:val="25"/>
                <w:szCs w:val="25"/>
              </w:rPr>
              <w:t>Pamatojums</w:t>
            </w:r>
          </w:p>
        </w:tc>
        <w:tc>
          <w:tcPr>
            <w:tcW w:w="6506" w:type="dxa"/>
          </w:tcPr>
          <w:p w:rsidR="000423AB" w:rsidRPr="000423AB" w:rsidRDefault="000423AB" w:rsidP="000423AB">
            <w:pPr>
              <w:pStyle w:val="ListParagraph"/>
              <w:numPr>
                <w:ilvl w:val="0"/>
                <w:numId w:val="9"/>
              </w:numPr>
              <w:ind w:right="127"/>
              <w:jc w:val="both"/>
              <w:rPr>
                <w:sz w:val="25"/>
                <w:szCs w:val="25"/>
              </w:rPr>
            </w:pPr>
            <w:r w:rsidRPr="000423AB">
              <w:rPr>
                <w:sz w:val="25"/>
                <w:szCs w:val="25"/>
              </w:rPr>
              <w:t xml:space="preserve">Likuma “Par valsts un pašvaldību kapitāla daļām un kapitālsabiedrībām” </w:t>
            </w:r>
            <w:r w:rsidR="003F2A27">
              <w:rPr>
                <w:sz w:val="25"/>
                <w:szCs w:val="25"/>
              </w:rPr>
              <w:t>10.panta pirmās daļas 1.punkts</w:t>
            </w:r>
            <w:r w:rsidRPr="000423AB">
              <w:rPr>
                <w:sz w:val="25"/>
                <w:szCs w:val="25"/>
              </w:rPr>
              <w:t>.</w:t>
            </w:r>
          </w:p>
          <w:p w:rsidR="00466E6C" w:rsidRPr="000423AB" w:rsidRDefault="00E949E7" w:rsidP="00E949E7">
            <w:pPr>
              <w:pStyle w:val="ListParagraph"/>
              <w:numPr>
                <w:ilvl w:val="0"/>
                <w:numId w:val="9"/>
              </w:numPr>
              <w:ind w:right="127"/>
              <w:jc w:val="both"/>
              <w:rPr>
                <w:sz w:val="25"/>
                <w:szCs w:val="25"/>
              </w:rPr>
            </w:pPr>
            <w:r w:rsidRPr="00E949E7">
              <w:rPr>
                <w:sz w:val="25"/>
                <w:szCs w:val="25"/>
              </w:rPr>
              <w:t>Ministru kabineta 2013.gada 11.jūnija sēdes protokollēmuma (prot.Nr.34 37.§) 2.punktā dotā uzdevuma izpilde.</w:t>
            </w:r>
            <w:r w:rsidR="005562DC" w:rsidRPr="000423AB">
              <w:rPr>
                <w:sz w:val="25"/>
                <w:szCs w:val="25"/>
              </w:rPr>
              <w:t xml:space="preserve"> </w:t>
            </w:r>
          </w:p>
        </w:tc>
      </w:tr>
      <w:tr w:rsidR="00585B7B" w:rsidRPr="009F1E12" w:rsidTr="00E71979">
        <w:trPr>
          <w:trHeight w:val="562"/>
        </w:trPr>
        <w:tc>
          <w:tcPr>
            <w:tcW w:w="998" w:type="dxa"/>
          </w:tcPr>
          <w:p w:rsidR="00585B7B" w:rsidRPr="009F1E12" w:rsidRDefault="00585B7B" w:rsidP="00BD696A">
            <w:pPr>
              <w:pStyle w:val="naiskr"/>
              <w:spacing w:before="0" w:after="0"/>
              <w:jc w:val="center"/>
              <w:rPr>
                <w:sz w:val="25"/>
                <w:szCs w:val="25"/>
              </w:rPr>
            </w:pPr>
            <w:r w:rsidRPr="009F1E12">
              <w:rPr>
                <w:sz w:val="25"/>
                <w:szCs w:val="25"/>
              </w:rPr>
              <w:t>2.</w:t>
            </w:r>
          </w:p>
        </w:tc>
        <w:tc>
          <w:tcPr>
            <w:tcW w:w="2693" w:type="dxa"/>
          </w:tcPr>
          <w:p w:rsidR="00585B7B" w:rsidRPr="009F1E12" w:rsidRDefault="00005A9D" w:rsidP="00916055">
            <w:pPr>
              <w:pStyle w:val="naiskr"/>
              <w:tabs>
                <w:tab w:val="left" w:pos="170"/>
              </w:tabs>
              <w:spacing w:before="0" w:after="0"/>
              <w:ind w:left="141"/>
              <w:rPr>
                <w:sz w:val="25"/>
                <w:szCs w:val="25"/>
              </w:rPr>
            </w:pPr>
            <w:r w:rsidRPr="009F1E12">
              <w:rPr>
                <w:sz w:val="25"/>
                <w:szCs w:val="25"/>
              </w:rPr>
              <w:t>Pašreizējā situācija un problēmas, kuru risināšanai tiesību akta projekts izstrādāts, tiesiskā regulējuma mērķis un būtība</w:t>
            </w:r>
          </w:p>
        </w:tc>
        <w:tc>
          <w:tcPr>
            <w:tcW w:w="6506" w:type="dxa"/>
          </w:tcPr>
          <w:p w:rsidR="00D978FE" w:rsidRDefault="00E83297" w:rsidP="00D3445B">
            <w:pPr>
              <w:ind w:left="142" w:right="127"/>
              <w:jc w:val="both"/>
              <w:rPr>
                <w:sz w:val="25"/>
                <w:szCs w:val="25"/>
              </w:rPr>
            </w:pPr>
            <w:r w:rsidRPr="009F1E12">
              <w:rPr>
                <w:sz w:val="25"/>
                <w:szCs w:val="25"/>
              </w:rPr>
              <w:tab/>
            </w:r>
            <w:r w:rsidR="00D978FE">
              <w:rPr>
                <w:sz w:val="25"/>
                <w:szCs w:val="25"/>
              </w:rPr>
              <w:t>Sabiedrība ar ierobežotu atbildību “Sporta centrs “Mežaparks”” (turpmāk</w:t>
            </w:r>
            <w:r w:rsidR="0073052C">
              <w:rPr>
                <w:sz w:val="25"/>
                <w:szCs w:val="25"/>
              </w:rPr>
              <w:t xml:space="preserve"> </w:t>
            </w:r>
            <w:r w:rsidR="00D978FE">
              <w:rPr>
                <w:sz w:val="25"/>
                <w:szCs w:val="25"/>
              </w:rPr>
              <w:t xml:space="preserve">– Kapitālsabiedrība) ir reģistrēta komercreģistrā ar </w:t>
            </w:r>
            <w:r w:rsidR="00D978FE" w:rsidRPr="00D978FE">
              <w:rPr>
                <w:sz w:val="25"/>
                <w:szCs w:val="25"/>
              </w:rPr>
              <w:t>vienot</w:t>
            </w:r>
            <w:r w:rsidR="00D3445B">
              <w:rPr>
                <w:sz w:val="25"/>
                <w:szCs w:val="25"/>
              </w:rPr>
              <w:t>o</w:t>
            </w:r>
            <w:r w:rsidR="00D978FE" w:rsidRPr="00D978FE">
              <w:rPr>
                <w:sz w:val="25"/>
                <w:szCs w:val="25"/>
              </w:rPr>
              <w:t xml:space="preserve"> reģistrācijas Nr.40003044327</w:t>
            </w:r>
            <w:r w:rsidR="00D978FE">
              <w:rPr>
                <w:sz w:val="25"/>
                <w:szCs w:val="25"/>
              </w:rPr>
              <w:t xml:space="preserve">. Kapitālsabiedrības parakstītā un apmaksātā pamatkapitāla lielums ir </w:t>
            </w:r>
            <w:r w:rsidR="00D978FE" w:rsidRPr="00D978FE">
              <w:rPr>
                <w:sz w:val="25"/>
                <w:szCs w:val="25"/>
              </w:rPr>
              <w:t>10 966</w:t>
            </w:r>
            <w:r w:rsidR="00D978FE">
              <w:rPr>
                <w:sz w:val="25"/>
                <w:szCs w:val="25"/>
              </w:rPr>
              <w:t> </w:t>
            </w:r>
            <w:r w:rsidR="00D978FE" w:rsidRPr="00D978FE">
              <w:rPr>
                <w:sz w:val="25"/>
                <w:szCs w:val="25"/>
              </w:rPr>
              <w:t>849</w:t>
            </w:r>
            <w:r w:rsidR="00D978FE">
              <w:rPr>
                <w:sz w:val="25"/>
                <w:szCs w:val="25"/>
              </w:rPr>
              <w:t xml:space="preserve"> lati, ko veido </w:t>
            </w:r>
            <w:r w:rsidR="00D978FE" w:rsidRPr="00D978FE">
              <w:rPr>
                <w:sz w:val="25"/>
                <w:szCs w:val="25"/>
              </w:rPr>
              <w:t>10 966</w:t>
            </w:r>
            <w:r w:rsidR="00D978FE">
              <w:rPr>
                <w:sz w:val="25"/>
                <w:szCs w:val="25"/>
              </w:rPr>
              <w:t> </w:t>
            </w:r>
            <w:r w:rsidR="00D978FE" w:rsidRPr="00D978FE">
              <w:rPr>
                <w:sz w:val="25"/>
                <w:szCs w:val="25"/>
              </w:rPr>
              <w:t>849</w:t>
            </w:r>
            <w:r w:rsidR="00D978FE">
              <w:rPr>
                <w:sz w:val="25"/>
                <w:szCs w:val="25"/>
              </w:rPr>
              <w:t xml:space="preserve"> kapitāla daļas (</w:t>
            </w:r>
            <w:r w:rsidR="00F350CF">
              <w:rPr>
                <w:sz w:val="25"/>
                <w:szCs w:val="25"/>
              </w:rPr>
              <w:t>vienas</w:t>
            </w:r>
            <w:r w:rsidR="00D978FE" w:rsidRPr="00D978FE">
              <w:rPr>
                <w:sz w:val="25"/>
                <w:szCs w:val="25"/>
              </w:rPr>
              <w:t xml:space="preserve"> </w:t>
            </w:r>
            <w:r w:rsidR="00D978FE">
              <w:rPr>
                <w:sz w:val="25"/>
                <w:szCs w:val="25"/>
              </w:rPr>
              <w:t xml:space="preserve">kapitāla daļas </w:t>
            </w:r>
            <w:r w:rsidR="00D978FE" w:rsidRPr="00D978FE">
              <w:rPr>
                <w:sz w:val="25"/>
                <w:szCs w:val="25"/>
              </w:rPr>
              <w:t>nominālvērtība ir 1 lats</w:t>
            </w:r>
            <w:r w:rsidR="00D978FE">
              <w:rPr>
                <w:sz w:val="25"/>
                <w:szCs w:val="25"/>
              </w:rPr>
              <w:t xml:space="preserve">). </w:t>
            </w:r>
            <w:r w:rsidR="009D593E">
              <w:rPr>
                <w:sz w:val="25"/>
                <w:szCs w:val="25"/>
              </w:rPr>
              <w:t>Kapitālsabiedrības kapitāla daļu turētāji ir (1) Izglītības un zinātnes ministrija (turpmāk – IZM), kurai pieder</w:t>
            </w:r>
            <w:r w:rsidR="00452EA1">
              <w:rPr>
                <w:sz w:val="25"/>
                <w:szCs w:val="25"/>
              </w:rPr>
              <w:t xml:space="preserve"> </w:t>
            </w:r>
            <w:r w:rsidR="009D593E" w:rsidRPr="00D978FE">
              <w:rPr>
                <w:sz w:val="25"/>
                <w:szCs w:val="25"/>
              </w:rPr>
              <w:t>10 966</w:t>
            </w:r>
            <w:r w:rsidR="009D593E">
              <w:rPr>
                <w:sz w:val="25"/>
                <w:szCs w:val="25"/>
              </w:rPr>
              <w:t> </w:t>
            </w:r>
            <w:r w:rsidR="009D593E" w:rsidRPr="00D978FE">
              <w:rPr>
                <w:sz w:val="25"/>
                <w:szCs w:val="25"/>
              </w:rPr>
              <w:t>749</w:t>
            </w:r>
            <w:r w:rsidR="009D593E">
              <w:rPr>
                <w:sz w:val="25"/>
                <w:szCs w:val="25"/>
              </w:rPr>
              <w:t xml:space="preserve"> kapitāla daļas jeb 99,999% un (2) biedrība “Latvijas Olimpiskā komiteja” (</w:t>
            </w:r>
            <w:r w:rsidR="009D593E" w:rsidRPr="009D593E">
              <w:rPr>
                <w:sz w:val="25"/>
                <w:szCs w:val="25"/>
              </w:rPr>
              <w:t>vienotais reģistrācijas Nr.40003044327</w:t>
            </w:r>
            <w:r w:rsidR="009D593E">
              <w:rPr>
                <w:sz w:val="25"/>
                <w:szCs w:val="25"/>
              </w:rPr>
              <w:t>) (turpmāk – LOK)</w:t>
            </w:r>
            <w:r w:rsidR="00D3445B">
              <w:rPr>
                <w:sz w:val="25"/>
                <w:szCs w:val="25"/>
              </w:rPr>
              <w:t>, kurai pieder 100 kapitāla daļas jeb 0,001%</w:t>
            </w:r>
            <w:r w:rsidR="002D5DA0">
              <w:rPr>
                <w:sz w:val="25"/>
                <w:szCs w:val="25"/>
              </w:rPr>
              <w:t>. Tādejādi Kapitālsabiedrība atrodas valsts izšķirošajā ietekmē.</w:t>
            </w:r>
          </w:p>
          <w:p w:rsidR="000C63F4" w:rsidRDefault="002D5DA0" w:rsidP="00452EA1">
            <w:pPr>
              <w:ind w:left="142" w:right="127"/>
              <w:jc w:val="both"/>
              <w:rPr>
                <w:sz w:val="25"/>
                <w:szCs w:val="25"/>
              </w:rPr>
            </w:pPr>
            <w:r>
              <w:rPr>
                <w:sz w:val="25"/>
                <w:szCs w:val="25"/>
              </w:rPr>
              <w:tab/>
              <w:t>Kapitālsabiedrības pamatkapitālā ir ieguldīts</w:t>
            </w:r>
            <w:r w:rsidR="00452EA1">
              <w:rPr>
                <w:sz w:val="25"/>
                <w:szCs w:val="25"/>
              </w:rPr>
              <w:t xml:space="preserve"> </w:t>
            </w:r>
            <w:r>
              <w:rPr>
                <w:sz w:val="25"/>
                <w:szCs w:val="25"/>
              </w:rPr>
              <w:t>nekustamais īpašums (</w:t>
            </w:r>
            <w:r w:rsidRPr="00E949E7">
              <w:rPr>
                <w:sz w:val="25"/>
                <w:szCs w:val="25"/>
              </w:rPr>
              <w:t xml:space="preserve">nekustamā īpašuma kadastra Nr. 0100 084 0175) Roberta Feldmaņa ielā 11, Rīgā, </w:t>
            </w:r>
            <w:r>
              <w:rPr>
                <w:sz w:val="25"/>
                <w:szCs w:val="25"/>
              </w:rPr>
              <w:t xml:space="preserve">kas </w:t>
            </w:r>
            <w:r w:rsidRPr="00E949E7">
              <w:rPr>
                <w:sz w:val="25"/>
                <w:szCs w:val="25"/>
              </w:rPr>
              <w:t>sastāv no zemes vienības 40565 m</w:t>
            </w:r>
            <w:r w:rsidRPr="00D978FE">
              <w:rPr>
                <w:sz w:val="25"/>
                <w:szCs w:val="25"/>
                <w:vertAlign w:val="superscript"/>
              </w:rPr>
              <w:t>2</w:t>
            </w:r>
            <w:r w:rsidRPr="00E949E7">
              <w:rPr>
                <w:sz w:val="25"/>
                <w:szCs w:val="25"/>
              </w:rPr>
              <w:t xml:space="preserve"> platībā (zemes vienības kadastra apzīmējums 0100 084 0175) un septiņām būvēm (būvju kadastra apzīmējumi 0100 084 0175 008, 0100 084 0175 011, 0100 084 0175 001, 0100 084 0175 006, 0100 084 0175 007, 0100 084 0175 018 un 0100 084 0175 002)</w:t>
            </w:r>
            <w:r>
              <w:rPr>
                <w:sz w:val="25"/>
                <w:szCs w:val="25"/>
              </w:rPr>
              <w:t xml:space="preserve"> (turpmāk kopā –</w:t>
            </w:r>
            <w:r w:rsidR="00E401A6">
              <w:rPr>
                <w:sz w:val="25"/>
                <w:szCs w:val="25"/>
              </w:rPr>
              <w:t>Sporta centrs “Mežaparks”</w:t>
            </w:r>
            <w:r>
              <w:rPr>
                <w:sz w:val="25"/>
                <w:szCs w:val="25"/>
              </w:rPr>
              <w:t>)</w:t>
            </w:r>
            <w:r w:rsidRPr="00E949E7">
              <w:rPr>
                <w:sz w:val="25"/>
                <w:szCs w:val="25"/>
              </w:rPr>
              <w:t xml:space="preserve">. </w:t>
            </w:r>
            <w:r w:rsidR="00E401A6">
              <w:rPr>
                <w:sz w:val="25"/>
                <w:szCs w:val="25"/>
              </w:rPr>
              <w:t>Minētais nekustamais īpašums</w:t>
            </w:r>
            <w:r w:rsidRPr="00E949E7">
              <w:rPr>
                <w:sz w:val="25"/>
                <w:szCs w:val="25"/>
              </w:rPr>
              <w:t xml:space="preserve"> ir ierakstīts Rīgas pilsētas zemesgrāmatas nodalījumā Nr.24583 uz </w:t>
            </w:r>
            <w:r>
              <w:rPr>
                <w:sz w:val="25"/>
                <w:szCs w:val="25"/>
              </w:rPr>
              <w:t>Kapitālsabiedrības vārda.</w:t>
            </w:r>
            <w:r w:rsidR="00452EA1">
              <w:rPr>
                <w:sz w:val="25"/>
                <w:szCs w:val="25"/>
              </w:rPr>
              <w:t xml:space="preserve"> </w:t>
            </w:r>
            <w:r w:rsidR="000C63F4" w:rsidRPr="00E949E7">
              <w:rPr>
                <w:sz w:val="25"/>
                <w:szCs w:val="25"/>
              </w:rPr>
              <w:t xml:space="preserve">Ar Ministru kabineta 2010.gada 30.decembra rīkojumu Nr.771 </w:t>
            </w:r>
            <w:r w:rsidR="00E401A6">
              <w:rPr>
                <w:sz w:val="25"/>
                <w:szCs w:val="25"/>
              </w:rPr>
              <w:t xml:space="preserve"> Sporta centram “Mežaparks” </w:t>
            </w:r>
            <w:r w:rsidR="000C63F4" w:rsidRPr="00E949E7">
              <w:rPr>
                <w:sz w:val="25"/>
                <w:szCs w:val="25"/>
              </w:rPr>
              <w:t xml:space="preserve">ir piešķirts </w:t>
            </w:r>
            <w:r w:rsidR="000C63F4">
              <w:rPr>
                <w:sz w:val="25"/>
                <w:szCs w:val="25"/>
              </w:rPr>
              <w:t>nacionālās sporta bāzes statuss.</w:t>
            </w:r>
          </w:p>
          <w:p w:rsidR="008F0F03" w:rsidRPr="00F350CF" w:rsidRDefault="00A3143D" w:rsidP="008F0F03">
            <w:pPr>
              <w:ind w:left="142" w:right="127" w:firstLine="360"/>
              <w:jc w:val="both"/>
              <w:rPr>
                <w:sz w:val="25"/>
                <w:szCs w:val="25"/>
              </w:rPr>
            </w:pPr>
            <w:r>
              <w:rPr>
                <w:sz w:val="25"/>
                <w:szCs w:val="25"/>
              </w:rPr>
              <w:tab/>
            </w:r>
            <w:r w:rsidR="008F0F03">
              <w:rPr>
                <w:sz w:val="25"/>
                <w:szCs w:val="25"/>
              </w:rPr>
              <w:t xml:space="preserve">Kapitālsabiedrība </w:t>
            </w:r>
            <w:r w:rsidR="008F0F03" w:rsidRPr="00F350CF">
              <w:rPr>
                <w:sz w:val="25"/>
                <w:szCs w:val="25"/>
              </w:rPr>
              <w:t>2013.gad</w:t>
            </w:r>
            <w:r w:rsidR="008F0F03">
              <w:rPr>
                <w:sz w:val="25"/>
                <w:szCs w:val="25"/>
              </w:rPr>
              <w:t>u</w:t>
            </w:r>
            <w:r w:rsidR="008F0F03" w:rsidRPr="00F350CF">
              <w:rPr>
                <w:sz w:val="25"/>
                <w:szCs w:val="25"/>
              </w:rPr>
              <w:t xml:space="preserve"> </w:t>
            </w:r>
            <w:r w:rsidR="008F0F03">
              <w:rPr>
                <w:sz w:val="25"/>
                <w:szCs w:val="25"/>
              </w:rPr>
              <w:t xml:space="preserve">noslēdza ar </w:t>
            </w:r>
            <w:r w:rsidR="008F0F03" w:rsidRPr="00F350CF">
              <w:rPr>
                <w:sz w:val="25"/>
                <w:szCs w:val="25"/>
              </w:rPr>
              <w:t>zaudējumiem 2</w:t>
            </w:r>
            <w:r w:rsidR="008F0F03">
              <w:rPr>
                <w:sz w:val="25"/>
                <w:szCs w:val="25"/>
              </w:rPr>
              <w:t xml:space="preserve">2 </w:t>
            </w:r>
            <w:r w:rsidR="008F0F03" w:rsidRPr="00F350CF">
              <w:rPr>
                <w:sz w:val="25"/>
                <w:szCs w:val="25"/>
              </w:rPr>
              <w:t xml:space="preserve">022 latu </w:t>
            </w:r>
            <w:r w:rsidR="008F0F03">
              <w:rPr>
                <w:sz w:val="25"/>
                <w:szCs w:val="25"/>
              </w:rPr>
              <w:t xml:space="preserve">(31 334,48 </w:t>
            </w:r>
            <w:r w:rsidR="008F0F03" w:rsidRPr="008F0F03">
              <w:rPr>
                <w:i/>
                <w:sz w:val="25"/>
                <w:szCs w:val="25"/>
              </w:rPr>
              <w:t>euro</w:t>
            </w:r>
            <w:r w:rsidR="008F0F03">
              <w:rPr>
                <w:sz w:val="25"/>
                <w:szCs w:val="25"/>
              </w:rPr>
              <w:t xml:space="preserve">) </w:t>
            </w:r>
            <w:r w:rsidR="008F0F03" w:rsidRPr="00F350CF">
              <w:rPr>
                <w:sz w:val="25"/>
                <w:szCs w:val="25"/>
              </w:rPr>
              <w:t xml:space="preserve">apmērā. </w:t>
            </w:r>
            <w:r w:rsidR="008F0F03">
              <w:rPr>
                <w:sz w:val="25"/>
                <w:szCs w:val="25"/>
              </w:rPr>
              <w:t xml:space="preserve">Kapitālsabiedrība zaudējumus izskaidro ar </w:t>
            </w:r>
            <w:r w:rsidR="008F0F03" w:rsidRPr="00F350CF">
              <w:rPr>
                <w:sz w:val="25"/>
                <w:szCs w:val="25"/>
              </w:rPr>
              <w:t xml:space="preserve">ēku nolietojumu, kā arī veiktajiem ieguldījumiem, lai nodrošinātu sporta centra darbību </w:t>
            </w:r>
            <w:r w:rsidR="008F0F03">
              <w:rPr>
                <w:sz w:val="25"/>
                <w:szCs w:val="25"/>
              </w:rPr>
              <w:t>(</w:t>
            </w:r>
            <w:r w:rsidR="008F0F03" w:rsidRPr="00F350CF">
              <w:rPr>
                <w:sz w:val="25"/>
                <w:szCs w:val="25"/>
              </w:rPr>
              <w:t xml:space="preserve">inženiertīklu remonts un avāriju novēršana, teritorijas labiekārtojums un ceļu seguma remonts, </w:t>
            </w:r>
            <w:r w:rsidR="00B471E0">
              <w:rPr>
                <w:sz w:val="25"/>
                <w:szCs w:val="25"/>
              </w:rPr>
              <w:t xml:space="preserve">kā arī </w:t>
            </w:r>
            <w:r w:rsidR="008F0F03" w:rsidRPr="00F350CF">
              <w:rPr>
                <w:sz w:val="25"/>
                <w:szCs w:val="25"/>
              </w:rPr>
              <w:t xml:space="preserve">telpu kosmētiskais remonts. </w:t>
            </w:r>
          </w:p>
          <w:p w:rsidR="00231984" w:rsidRDefault="00231984" w:rsidP="00A3143D">
            <w:pPr>
              <w:ind w:left="142" w:right="127"/>
              <w:jc w:val="both"/>
              <w:rPr>
                <w:sz w:val="25"/>
                <w:szCs w:val="25"/>
              </w:rPr>
            </w:pPr>
          </w:p>
          <w:p w:rsidR="00231984" w:rsidRDefault="00231984" w:rsidP="00A3143D">
            <w:pPr>
              <w:ind w:left="142" w:right="127"/>
              <w:jc w:val="both"/>
              <w:rPr>
                <w:sz w:val="25"/>
                <w:szCs w:val="25"/>
              </w:rPr>
            </w:pPr>
            <w:r>
              <w:rPr>
                <w:sz w:val="25"/>
                <w:szCs w:val="25"/>
              </w:rPr>
              <w:tab/>
            </w:r>
            <w:r w:rsidR="00A3143D" w:rsidRPr="00A3143D">
              <w:rPr>
                <w:sz w:val="25"/>
                <w:szCs w:val="25"/>
              </w:rPr>
              <w:t xml:space="preserve">2014.gada valsts budžeta projekta izstrādes procesā tika aktualizēts jautājums par Latvijas </w:t>
            </w:r>
            <w:r w:rsidR="00A3143D">
              <w:rPr>
                <w:sz w:val="25"/>
                <w:szCs w:val="25"/>
              </w:rPr>
              <w:t>Nacionālā valsts sporta centra “</w:t>
            </w:r>
            <w:r w:rsidR="00A3143D" w:rsidRPr="00A3143D">
              <w:rPr>
                <w:sz w:val="25"/>
                <w:szCs w:val="25"/>
              </w:rPr>
              <w:t xml:space="preserve">Mežaparks” rekonstrukcijas projekta </w:t>
            </w:r>
            <w:r w:rsidR="00A3143D">
              <w:rPr>
                <w:sz w:val="25"/>
                <w:szCs w:val="25"/>
              </w:rPr>
              <w:t xml:space="preserve">(turpmāk – Projekts) </w:t>
            </w:r>
            <w:r w:rsidR="00A3143D" w:rsidRPr="00A3143D">
              <w:rPr>
                <w:sz w:val="25"/>
                <w:szCs w:val="25"/>
              </w:rPr>
              <w:t xml:space="preserve">īstenošanai </w:t>
            </w:r>
            <w:r w:rsidR="00A3143D">
              <w:rPr>
                <w:sz w:val="25"/>
                <w:szCs w:val="25"/>
              </w:rPr>
              <w:t>IZM</w:t>
            </w:r>
            <w:r w:rsidR="00A3143D" w:rsidRPr="00A3143D">
              <w:rPr>
                <w:sz w:val="25"/>
                <w:szCs w:val="25"/>
              </w:rPr>
              <w:t xml:space="preserve"> valsts budžeta programmas 09.00.00 </w:t>
            </w:r>
            <w:r w:rsidR="008629E0">
              <w:rPr>
                <w:sz w:val="25"/>
                <w:szCs w:val="25"/>
              </w:rPr>
              <w:lastRenderedPageBreak/>
              <w:t>“</w:t>
            </w:r>
            <w:r w:rsidR="00A3143D" w:rsidRPr="00A3143D">
              <w:rPr>
                <w:sz w:val="25"/>
                <w:szCs w:val="25"/>
              </w:rPr>
              <w:t>S</w:t>
            </w:r>
            <w:r w:rsidR="00A3143D">
              <w:rPr>
                <w:sz w:val="25"/>
                <w:szCs w:val="25"/>
              </w:rPr>
              <w:t>ports” apakšprogrammā 09.23.00 “</w:t>
            </w:r>
            <w:r w:rsidR="00A3143D" w:rsidRPr="00A3143D">
              <w:rPr>
                <w:sz w:val="25"/>
                <w:szCs w:val="25"/>
              </w:rPr>
              <w:t xml:space="preserve">Valsts ilgtermiņa saistības sportā – Dotācija Latvijas Olimpiskajai komitejai (LOK) – valsts galvoto aizdevumu atmaksai” paredzētajām valsts budžeta ilgtermiņa saistībām, jo </w:t>
            </w:r>
            <w:r w:rsidR="00A3143D">
              <w:rPr>
                <w:sz w:val="25"/>
                <w:szCs w:val="25"/>
              </w:rPr>
              <w:t>P</w:t>
            </w:r>
            <w:r w:rsidR="00A3143D" w:rsidRPr="00A3143D">
              <w:rPr>
                <w:sz w:val="25"/>
                <w:szCs w:val="25"/>
              </w:rPr>
              <w:t>rojekt</w:t>
            </w:r>
            <w:r w:rsidR="00A3143D">
              <w:rPr>
                <w:sz w:val="25"/>
                <w:szCs w:val="25"/>
              </w:rPr>
              <w:t>a</w:t>
            </w:r>
            <w:r w:rsidR="00A3143D" w:rsidRPr="00A3143D">
              <w:rPr>
                <w:sz w:val="25"/>
                <w:szCs w:val="25"/>
              </w:rPr>
              <w:t xml:space="preserve"> īstenošana ar Ministru kabineta lēmum</w:t>
            </w:r>
            <w:r w:rsidR="00A3143D">
              <w:rPr>
                <w:sz w:val="25"/>
                <w:szCs w:val="25"/>
              </w:rPr>
              <w:t>u</w:t>
            </w:r>
            <w:r w:rsidR="00A3143D" w:rsidRPr="00A3143D">
              <w:rPr>
                <w:sz w:val="25"/>
                <w:szCs w:val="25"/>
              </w:rPr>
              <w:t xml:space="preserve"> </w:t>
            </w:r>
            <w:r w:rsidR="007F0A35">
              <w:rPr>
                <w:sz w:val="25"/>
                <w:szCs w:val="25"/>
              </w:rPr>
              <w:t xml:space="preserve">iepriekš </w:t>
            </w:r>
            <w:r w:rsidR="00A3143D" w:rsidRPr="00A3143D">
              <w:rPr>
                <w:sz w:val="25"/>
                <w:szCs w:val="25"/>
              </w:rPr>
              <w:t xml:space="preserve">tika apturēta, kā rezultātā </w:t>
            </w:r>
            <w:r w:rsidR="00A3143D">
              <w:rPr>
                <w:sz w:val="25"/>
                <w:szCs w:val="25"/>
              </w:rPr>
              <w:t xml:space="preserve">LOK izsniegtais </w:t>
            </w:r>
            <w:r w:rsidR="00A3143D" w:rsidRPr="00A3143D">
              <w:rPr>
                <w:sz w:val="25"/>
                <w:szCs w:val="25"/>
              </w:rPr>
              <w:t>valsts galvot</w:t>
            </w:r>
            <w:r w:rsidR="00A3143D">
              <w:rPr>
                <w:sz w:val="25"/>
                <w:szCs w:val="25"/>
              </w:rPr>
              <w:t>ais</w:t>
            </w:r>
            <w:r w:rsidR="00A3143D" w:rsidRPr="00A3143D">
              <w:rPr>
                <w:sz w:val="25"/>
                <w:szCs w:val="25"/>
              </w:rPr>
              <w:t xml:space="preserve"> aizdevum</w:t>
            </w:r>
            <w:r w:rsidR="00A3143D">
              <w:rPr>
                <w:sz w:val="25"/>
                <w:szCs w:val="25"/>
              </w:rPr>
              <w:t>s</w:t>
            </w:r>
            <w:r w:rsidR="00A3143D" w:rsidRPr="00A3143D">
              <w:rPr>
                <w:sz w:val="25"/>
                <w:szCs w:val="25"/>
              </w:rPr>
              <w:t xml:space="preserve"> netika izmantot</w:t>
            </w:r>
            <w:r w:rsidR="00A3143D">
              <w:rPr>
                <w:sz w:val="25"/>
                <w:szCs w:val="25"/>
              </w:rPr>
              <w:t>s</w:t>
            </w:r>
            <w:r w:rsidR="00A3143D" w:rsidRPr="00A3143D">
              <w:rPr>
                <w:sz w:val="25"/>
                <w:szCs w:val="25"/>
              </w:rPr>
              <w:t xml:space="preserve"> un attiecīgi arī </w:t>
            </w:r>
            <w:r w:rsidR="00A3143D">
              <w:rPr>
                <w:sz w:val="25"/>
                <w:szCs w:val="25"/>
              </w:rPr>
              <w:t xml:space="preserve">LOK </w:t>
            </w:r>
            <w:r w:rsidR="00A3143D" w:rsidRPr="00A3143D">
              <w:rPr>
                <w:sz w:val="25"/>
                <w:szCs w:val="25"/>
              </w:rPr>
              <w:t>izsniegt</w:t>
            </w:r>
            <w:r w:rsidR="00A3143D">
              <w:rPr>
                <w:sz w:val="25"/>
                <w:szCs w:val="25"/>
              </w:rPr>
              <w:t>ais</w:t>
            </w:r>
            <w:r w:rsidR="00A3143D" w:rsidRPr="00A3143D">
              <w:rPr>
                <w:sz w:val="25"/>
                <w:szCs w:val="25"/>
              </w:rPr>
              <w:t xml:space="preserve"> valsts galvojum</w:t>
            </w:r>
            <w:r w:rsidR="00A3143D">
              <w:rPr>
                <w:sz w:val="25"/>
                <w:szCs w:val="25"/>
              </w:rPr>
              <w:t>s</w:t>
            </w:r>
            <w:r w:rsidR="00A3143D" w:rsidRPr="00A3143D">
              <w:rPr>
                <w:sz w:val="25"/>
                <w:szCs w:val="25"/>
              </w:rPr>
              <w:t xml:space="preserve"> nebija spēkā. Valsts budžeta līdzek</w:t>
            </w:r>
            <w:r w:rsidR="00A3143D">
              <w:rPr>
                <w:sz w:val="25"/>
                <w:szCs w:val="25"/>
              </w:rPr>
              <w:t>ļu piešķiršana LOK spēkā neesoša</w:t>
            </w:r>
            <w:r w:rsidR="00A3143D" w:rsidRPr="00A3143D">
              <w:rPr>
                <w:sz w:val="25"/>
                <w:szCs w:val="25"/>
              </w:rPr>
              <w:t xml:space="preserve"> valsts galvot</w:t>
            </w:r>
            <w:r w:rsidR="00A3143D">
              <w:rPr>
                <w:sz w:val="25"/>
                <w:szCs w:val="25"/>
              </w:rPr>
              <w:t>ā</w:t>
            </w:r>
            <w:r w:rsidR="00A3143D" w:rsidRPr="00A3143D">
              <w:rPr>
                <w:sz w:val="25"/>
                <w:szCs w:val="25"/>
              </w:rPr>
              <w:t xml:space="preserve"> aizdevum</w:t>
            </w:r>
            <w:r w:rsidR="00A3143D">
              <w:rPr>
                <w:sz w:val="25"/>
                <w:szCs w:val="25"/>
              </w:rPr>
              <w:t>a</w:t>
            </w:r>
            <w:r w:rsidR="00A3143D" w:rsidRPr="00A3143D">
              <w:rPr>
                <w:sz w:val="25"/>
                <w:szCs w:val="25"/>
              </w:rPr>
              <w:t xml:space="preserve"> atmaksai nebija pieļaujama, tādēļ steidzami bija jāmeklē risinājumi šo līdzekļu pārdalei.</w:t>
            </w:r>
            <w:r w:rsidR="00A3143D">
              <w:rPr>
                <w:sz w:val="25"/>
                <w:szCs w:val="25"/>
              </w:rPr>
              <w:t xml:space="preserve"> </w:t>
            </w:r>
            <w:r w:rsidR="00A3143D" w:rsidRPr="00A3143D">
              <w:rPr>
                <w:sz w:val="25"/>
                <w:szCs w:val="25"/>
              </w:rPr>
              <w:t xml:space="preserve">Situācijā, kad valstij nepietiek budžeta līdzekļi, lai nepieciešamā apjomā veiktu investīcijas sporta infrastruktūras attīstībā, atkārtoti izvērtējot lietderību apjomīgu valsts budžeta līdzekļu novirzīšanai jauna sporta kompleksa būvniecībai, </w:t>
            </w:r>
            <w:r w:rsidR="00A3143D">
              <w:rPr>
                <w:sz w:val="25"/>
                <w:szCs w:val="25"/>
              </w:rPr>
              <w:t xml:space="preserve">kā arī, </w:t>
            </w:r>
            <w:r w:rsidR="00A3143D" w:rsidRPr="00A3143D">
              <w:rPr>
                <w:sz w:val="25"/>
                <w:szCs w:val="25"/>
              </w:rPr>
              <w:t>apzinoties nepieciešamību īstenot citus jau uzsāktus valsts nozīmes sporta infrastruktūras attīstības projektus,</w:t>
            </w:r>
            <w:r w:rsidR="00A3143D">
              <w:rPr>
                <w:sz w:val="25"/>
                <w:szCs w:val="25"/>
              </w:rPr>
              <w:t xml:space="preserve"> Ministru kabinets pieņēma l</w:t>
            </w:r>
            <w:r w:rsidR="00A3143D" w:rsidRPr="00A3143D">
              <w:rPr>
                <w:sz w:val="25"/>
                <w:szCs w:val="25"/>
              </w:rPr>
              <w:t>ēmum</w:t>
            </w:r>
            <w:r w:rsidR="00A3143D">
              <w:rPr>
                <w:sz w:val="25"/>
                <w:szCs w:val="25"/>
              </w:rPr>
              <w:t>u (</w:t>
            </w:r>
            <w:r w:rsidR="00A3143D" w:rsidRPr="00A3143D">
              <w:rPr>
                <w:sz w:val="25"/>
                <w:szCs w:val="25"/>
              </w:rPr>
              <w:t>Ministru kabineta 2013.g</w:t>
            </w:r>
            <w:r w:rsidR="00A3143D">
              <w:rPr>
                <w:sz w:val="25"/>
                <w:szCs w:val="25"/>
              </w:rPr>
              <w:t>ada 4.novembra rīkojums Nr.522 “</w:t>
            </w:r>
            <w:r w:rsidR="00A3143D" w:rsidRPr="00A3143D">
              <w:rPr>
                <w:sz w:val="25"/>
                <w:szCs w:val="25"/>
              </w:rPr>
              <w:t xml:space="preserve">Par Latvijas </w:t>
            </w:r>
            <w:r w:rsidR="00A3143D">
              <w:rPr>
                <w:sz w:val="25"/>
                <w:szCs w:val="25"/>
              </w:rPr>
              <w:t>Nacionālā valsts sporta centra “Mežaparks” un Tenisa centra “</w:t>
            </w:r>
            <w:r w:rsidR="00A3143D" w:rsidRPr="00A3143D">
              <w:rPr>
                <w:sz w:val="25"/>
                <w:szCs w:val="25"/>
              </w:rPr>
              <w:t>Lielupe” rekonstrukcijas projektiem paredzēto valsts budžeta ilgtermiņa saistību pārdali”</w:t>
            </w:r>
            <w:r w:rsidR="00A3143D">
              <w:rPr>
                <w:sz w:val="25"/>
                <w:szCs w:val="25"/>
              </w:rPr>
              <w:t xml:space="preserve">) </w:t>
            </w:r>
            <w:r w:rsidR="00A3143D" w:rsidRPr="00A3143D">
              <w:rPr>
                <w:sz w:val="25"/>
                <w:szCs w:val="25"/>
              </w:rPr>
              <w:t xml:space="preserve">atteikties </w:t>
            </w:r>
            <w:r w:rsidR="00E110EE">
              <w:rPr>
                <w:sz w:val="25"/>
                <w:szCs w:val="25"/>
              </w:rPr>
              <w:t xml:space="preserve">no </w:t>
            </w:r>
            <w:r w:rsidR="00A3143D">
              <w:rPr>
                <w:sz w:val="25"/>
                <w:szCs w:val="25"/>
              </w:rPr>
              <w:t>P</w:t>
            </w:r>
            <w:r w:rsidR="00A3143D" w:rsidRPr="00A3143D">
              <w:rPr>
                <w:sz w:val="25"/>
                <w:szCs w:val="25"/>
              </w:rPr>
              <w:t xml:space="preserve">rojekta īstenošanas un veikt </w:t>
            </w:r>
            <w:r w:rsidR="00A3143D">
              <w:rPr>
                <w:sz w:val="25"/>
                <w:szCs w:val="25"/>
              </w:rPr>
              <w:t>P</w:t>
            </w:r>
            <w:r w:rsidR="00A3143D" w:rsidRPr="00A3143D">
              <w:rPr>
                <w:sz w:val="25"/>
                <w:szCs w:val="25"/>
              </w:rPr>
              <w:t>rojekta īstenošanai paredzēto valsts budžeta ilgtermiņa saistību pārdali citiem valsts nozīmes sporta infrastruktūras attīstības projektiem</w:t>
            </w:r>
            <w:r w:rsidR="00A3143D">
              <w:rPr>
                <w:sz w:val="25"/>
                <w:szCs w:val="25"/>
              </w:rPr>
              <w:t>.</w:t>
            </w:r>
          </w:p>
          <w:p w:rsidR="00C562FD" w:rsidRDefault="00231984" w:rsidP="00A3143D">
            <w:pPr>
              <w:ind w:left="142" w:right="127"/>
              <w:jc w:val="both"/>
              <w:rPr>
                <w:sz w:val="25"/>
                <w:szCs w:val="25"/>
              </w:rPr>
            </w:pPr>
            <w:r>
              <w:rPr>
                <w:sz w:val="25"/>
                <w:szCs w:val="25"/>
              </w:rPr>
              <w:tab/>
              <w:t xml:space="preserve">Lēmumam par iepriekšminēto finanšu līdzekļu pārdali ir </w:t>
            </w:r>
            <w:r w:rsidRPr="00231984">
              <w:rPr>
                <w:sz w:val="25"/>
                <w:szCs w:val="25"/>
              </w:rPr>
              <w:t xml:space="preserve"> ietekme uz vairāku gadu valsts budžeta izdevumiem (kas ietverts arī likumā “Par vidēja termiņa budžeta ietvaru 2014., 2015. un 2016.gadam”)</w:t>
            </w:r>
            <w:r>
              <w:rPr>
                <w:sz w:val="25"/>
                <w:szCs w:val="25"/>
              </w:rPr>
              <w:t>,</w:t>
            </w:r>
            <w:r w:rsidRPr="00231984">
              <w:rPr>
                <w:sz w:val="25"/>
                <w:szCs w:val="25"/>
              </w:rPr>
              <w:t xml:space="preserve"> kā rezultātā prognozējams, ka </w:t>
            </w:r>
            <w:r>
              <w:rPr>
                <w:sz w:val="25"/>
                <w:szCs w:val="25"/>
              </w:rPr>
              <w:t xml:space="preserve">vismaz </w:t>
            </w:r>
            <w:r w:rsidRPr="00231984">
              <w:rPr>
                <w:sz w:val="25"/>
                <w:szCs w:val="25"/>
              </w:rPr>
              <w:t>tuvākos trīs gadus finanšu investīcijas</w:t>
            </w:r>
            <w:r>
              <w:rPr>
                <w:sz w:val="25"/>
                <w:szCs w:val="25"/>
              </w:rPr>
              <w:t xml:space="preserve"> </w:t>
            </w:r>
            <w:r w:rsidR="00E401A6">
              <w:rPr>
                <w:sz w:val="25"/>
                <w:szCs w:val="25"/>
              </w:rPr>
              <w:t>S</w:t>
            </w:r>
            <w:r>
              <w:rPr>
                <w:sz w:val="25"/>
                <w:szCs w:val="25"/>
              </w:rPr>
              <w:t xml:space="preserve">porta centra “Mežaparks” </w:t>
            </w:r>
            <w:r w:rsidRPr="00231984">
              <w:rPr>
                <w:sz w:val="25"/>
                <w:szCs w:val="25"/>
              </w:rPr>
              <w:t>attīstīb</w:t>
            </w:r>
            <w:r w:rsidR="00D506B1">
              <w:rPr>
                <w:sz w:val="25"/>
                <w:szCs w:val="25"/>
              </w:rPr>
              <w:t>ā</w:t>
            </w:r>
            <w:r w:rsidRPr="00231984">
              <w:rPr>
                <w:sz w:val="25"/>
                <w:szCs w:val="25"/>
              </w:rPr>
              <w:t xml:space="preserve"> veikt nebūs iespējams</w:t>
            </w:r>
            <w:r>
              <w:rPr>
                <w:sz w:val="25"/>
                <w:szCs w:val="25"/>
              </w:rPr>
              <w:t xml:space="preserve">. Arī </w:t>
            </w:r>
            <w:r w:rsidR="00D506B1">
              <w:rPr>
                <w:sz w:val="25"/>
                <w:szCs w:val="25"/>
              </w:rPr>
              <w:t>pēc 2016.gada investīciju iespējas</w:t>
            </w:r>
            <w:r w:rsidR="00E401A6">
              <w:rPr>
                <w:sz w:val="25"/>
                <w:szCs w:val="25"/>
              </w:rPr>
              <w:t xml:space="preserve"> no valsts budžeta sporta centra “Mežaparks” attīstībā </w:t>
            </w:r>
            <w:r w:rsidR="00D506B1">
              <w:rPr>
                <w:sz w:val="25"/>
                <w:szCs w:val="25"/>
              </w:rPr>
              <w:t xml:space="preserve">vērtējamas </w:t>
            </w:r>
            <w:r w:rsidR="00C562FD">
              <w:rPr>
                <w:sz w:val="25"/>
                <w:szCs w:val="25"/>
              </w:rPr>
              <w:t xml:space="preserve">piesardzīgi, it </w:t>
            </w:r>
            <w:r w:rsidR="00E401A6">
              <w:rPr>
                <w:sz w:val="25"/>
                <w:szCs w:val="25"/>
              </w:rPr>
              <w:t>īpaši</w:t>
            </w:r>
            <w:r w:rsidR="00C562FD">
              <w:rPr>
                <w:sz w:val="25"/>
                <w:szCs w:val="25"/>
              </w:rPr>
              <w:t xml:space="preserve"> ņemot vērā </w:t>
            </w:r>
            <w:r w:rsidR="00C562FD" w:rsidRPr="00C562FD">
              <w:rPr>
                <w:sz w:val="25"/>
                <w:szCs w:val="25"/>
              </w:rPr>
              <w:t xml:space="preserve">Sporta politikas pamatnostādnēs 2014.–2020.gadam (apstiprinātas ar Ministru kabineta 2013.gada 18.decembra rīkojumu Nr.666) </w:t>
            </w:r>
            <w:r w:rsidR="00E401A6">
              <w:rPr>
                <w:sz w:val="25"/>
                <w:szCs w:val="25"/>
              </w:rPr>
              <w:t>noteiktās prioritātes</w:t>
            </w:r>
            <w:r w:rsidR="009C5DAF">
              <w:rPr>
                <w:sz w:val="25"/>
                <w:szCs w:val="25"/>
              </w:rPr>
              <w:t xml:space="preserve"> attiecībā uz bērnu un jauniešu sporta un tautas sporta attīstību</w:t>
            </w:r>
            <w:r w:rsidR="00E401A6">
              <w:rPr>
                <w:sz w:val="25"/>
                <w:szCs w:val="25"/>
              </w:rPr>
              <w:t>.</w:t>
            </w:r>
            <w:r w:rsidR="003A0426">
              <w:rPr>
                <w:sz w:val="25"/>
                <w:szCs w:val="25"/>
              </w:rPr>
              <w:t xml:space="preserve"> </w:t>
            </w:r>
            <w:r w:rsidR="003A0426" w:rsidRPr="003A0426">
              <w:rPr>
                <w:sz w:val="25"/>
                <w:szCs w:val="25"/>
              </w:rPr>
              <w:t xml:space="preserve">Tāpat jāņem vērā ierobežotās valsts budžeta finansējuma iespējas sporta būvju celtniecības un rekonstrukcijas vajadzībām </w:t>
            </w:r>
            <w:r w:rsidR="003A0426">
              <w:rPr>
                <w:sz w:val="25"/>
                <w:szCs w:val="25"/>
              </w:rPr>
              <w:t xml:space="preserve">kopumā </w:t>
            </w:r>
            <w:r w:rsidR="003A0426" w:rsidRPr="003A0426">
              <w:rPr>
                <w:sz w:val="25"/>
                <w:szCs w:val="25"/>
              </w:rPr>
              <w:t xml:space="preserve">un tas, ka Ministru kabineta līmenī par prioritāru ir atzīta </w:t>
            </w:r>
            <w:r w:rsidR="001A3434">
              <w:rPr>
                <w:sz w:val="25"/>
                <w:szCs w:val="25"/>
              </w:rPr>
              <w:t>(</w:t>
            </w:r>
            <w:r w:rsidR="001A3434" w:rsidRPr="001A3434">
              <w:rPr>
                <w:sz w:val="25"/>
                <w:szCs w:val="25"/>
              </w:rPr>
              <w:t>Ministru kabineta 2014.gada 8.aprīļa sēdes protokollēmuma (prot. Nr.20 31.§) 2.punkt</w:t>
            </w:r>
            <w:r w:rsidR="001A3434">
              <w:rPr>
                <w:sz w:val="25"/>
                <w:szCs w:val="25"/>
              </w:rPr>
              <w:t xml:space="preserve">s) </w:t>
            </w:r>
            <w:r w:rsidR="003A0426" w:rsidRPr="003A0426">
              <w:rPr>
                <w:sz w:val="25"/>
                <w:szCs w:val="25"/>
              </w:rPr>
              <w:t>Daugavas stadiona sagatavošana XXVI Vispārējo latviešu Dziesmu un XVI Deju svētku norises no</w:t>
            </w:r>
            <w:r w:rsidR="00E16D38">
              <w:rPr>
                <w:sz w:val="25"/>
                <w:szCs w:val="25"/>
              </w:rPr>
              <w:t>drošināšanai, kam būs nepieciešami papildus valsts budžeta līdzekļi.</w:t>
            </w:r>
          </w:p>
          <w:p w:rsidR="00882419" w:rsidRDefault="00882419" w:rsidP="00A3143D">
            <w:pPr>
              <w:ind w:left="142" w:right="127"/>
              <w:jc w:val="both"/>
              <w:rPr>
                <w:sz w:val="25"/>
                <w:szCs w:val="25"/>
              </w:rPr>
            </w:pPr>
          </w:p>
          <w:p w:rsidR="005C32C9" w:rsidRDefault="00882419" w:rsidP="00FC1724">
            <w:pPr>
              <w:ind w:left="197" w:right="127"/>
              <w:jc w:val="both"/>
              <w:rPr>
                <w:sz w:val="25"/>
                <w:szCs w:val="25"/>
              </w:rPr>
            </w:pPr>
            <w:r>
              <w:rPr>
                <w:sz w:val="25"/>
                <w:szCs w:val="25"/>
              </w:rPr>
              <w:tab/>
            </w:r>
            <w:r w:rsidR="005C32C9">
              <w:rPr>
                <w:sz w:val="25"/>
                <w:szCs w:val="25"/>
              </w:rPr>
              <w:t>Analizējot patreizējo Kapitālsabiedrības darbību Sporta centra “Mežaparks” pārvaldībā, konstatējams, ka:</w:t>
            </w:r>
          </w:p>
          <w:p w:rsidR="00EF5381" w:rsidRDefault="003608F0" w:rsidP="00EF5381">
            <w:pPr>
              <w:pStyle w:val="ListParagraph"/>
              <w:numPr>
                <w:ilvl w:val="0"/>
                <w:numId w:val="11"/>
              </w:numPr>
              <w:ind w:left="557" w:right="127"/>
              <w:jc w:val="both"/>
              <w:rPr>
                <w:sz w:val="25"/>
                <w:szCs w:val="25"/>
              </w:rPr>
            </w:pPr>
            <w:r>
              <w:rPr>
                <w:sz w:val="25"/>
                <w:szCs w:val="25"/>
              </w:rPr>
              <w:t>B</w:t>
            </w:r>
            <w:r w:rsidR="00EF5381">
              <w:rPr>
                <w:sz w:val="25"/>
                <w:szCs w:val="25"/>
              </w:rPr>
              <w:t xml:space="preserve">ūtisku Kapitālsabiedrības komercdarbības daļu un attiecīgi arī būtisku daļu no Kapitālsabiedrības neto </w:t>
            </w:r>
            <w:r w:rsidR="00EF5381">
              <w:rPr>
                <w:sz w:val="25"/>
                <w:szCs w:val="25"/>
              </w:rPr>
              <w:lastRenderedPageBreak/>
              <w:t>apgrozījuma (2013.gadā – 34%) veido viesnīcas pakalpojumi.</w:t>
            </w:r>
          </w:p>
          <w:p w:rsidR="00EF5381" w:rsidRDefault="003608F0" w:rsidP="001A0506">
            <w:pPr>
              <w:pStyle w:val="ListParagraph"/>
              <w:numPr>
                <w:ilvl w:val="0"/>
                <w:numId w:val="11"/>
              </w:numPr>
              <w:ind w:left="557" w:right="127"/>
              <w:jc w:val="both"/>
              <w:rPr>
                <w:sz w:val="25"/>
                <w:szCs w:val="25"/>
              </w:rPr>
            </w:pPr>
            <w:r>
              <w:rPr>
                <w:sz w:val="25"/>
                <w:szCs w:val="25"/>
              </w:rPr>
              <w:t>D</w:t>
            </w:r>
            <w:r w:rsidR="005C32C9" w:rsidRPr="00131850">
              <w:rPr>
                <w:sz w:val="25"/>
                <w:szCs w:val="25"/>
              </w:rPr>
              <w:t>aļa no nekustamā īpašuma (būve ar kadastra numuru 0100 084 0175 001 un tai piegulošā zemes</w:t>
            </w:r>
            <w:r w:rsidR="008B2279" w:rsidRPr="00131850">
              <w:rPr>
                <w:sz w:val="25"/>
                <w:szCs w:val="25"/>
              </w:rPr>
              <w:t xml:space="preserve"> </w:t>
            </w:r>
            <w:r w:rsidR="005C32C9" w:rsidRPr="00131850">
              <w:rPr>
                <w:sz w:val="25"/>
                <w:szCs w:val="25"/>
              </w:rPr>
              <w:t>gabala da</w:t>
            </w:r>
            <w:r w:rsidR="008B2279" w:rsidRPr="00131850">
              <w:rPr>
                <w:sz w:val="25"/>
                <w:szCs w:val="25"/>
              </w:rPr>
              <w:t xml:space="preserve">ļa) </w:t>
            </w:r>
            <w:r w:rsidR="00600E72" w:rsidRPr="00131850">
              <w:rPr>
                <w:sz w:val="25"/>
                <w:szCs w:val="25"/>
              </w:rPr>
              <w:t>līdz 20</w:t>
            </w:r>
            <w:r w:rsidR="00A820BD">
              <w:rPr>
                <w:sz w:val="25"/>
                <w:szCs w:val="25"/>
              </w:rPr>
              <w:t>2</w:t>
            </w:r>
            <w:r w:rsidR="00600E72" w:rsidRPr="00131850">
              <w:rPr>
                <w:sz w:val="25"/>
                <w:szCs w:val="25"/>
              </w:rPr>
              <w:t xml:space="preserve">4.gada 31.decembrim </w:t>
            </w:r>
            <w:r w:rsidR="008B2279" w:rsidRPr="00131850">
              <w:rPr>
                <w:sz w:val="25"/>
                <w:szCs w:val="25"/>
              </w:rPr>
              <w:t xml:space="preserve">ir nodota </w:t>
            </w:r>
            <w:r w:rsidR="003B6D50" w:rsidRPr="00131850">
              <w:rPr>
                <w:sz w:val="25"/>
                <w:szCs w:val="25"/>
              </w:rPr>
              <w:t xml:space="preserve">nomā </w:t>
            </w:r>
            <w:r w:rsidR="00600E72" w:rsidRPr="00131850">
              <w:rPr>
                <w:sz w:val="25"/>
                <w:szCs w:val="25"/>
              </w:rPr>
              <w:t>LOK [kur</w:t>
            </w:r>
            <w:r w:rsidR="00EF5381" w:rsidRPr="00131850">
              <w:rPr>
                <w:sz w:val="25"/>
                <w:szCs w:val="25"/>
              </w:rPr>
              <w:t xml:space="preserve">a savukārt </w:t>
            </w:r>
            <w:r w:rsidR="00600E72" w:rsidRPr="00131850">
              <w:rPr>
                <w:sz w:val="25"/>
                <w:szCs w:val="25"/>
              </w:rPr>
              <w:t xml:space="preserve">to </w:t>
            </w:r>
            <w:r w:rsidR="00EF5381" w:rsidRPr="00131850">
              <w:rPr>
                <w:sz w:val="25"/>
                <w:szCs w:val="25"/>
              </w:rPr>
              <w:t>nodevusi</w:t>
            </w:r>
            <w:r w:rsidR="00600E72" w:rsidRPr="00131850">
              <w:rPr>
                <w:sz w:val="25"/>
                <w:szCs w:val="25"/>
              </w:rPr>
              <w:t xml:space="preserve"> apakšnomā Sabiedrībai ar ierobežotu atbildību “Latvijas Olimpiskā vienība”</w:t>
            </w:r>
            <w:r w:rsidR="00643E6C">
              <w:rPr>
                <w:sz w:val="25"/>
                <w:szCs w:val="25"/>
              </w:rPr>
              <w:t xml:space="preserve"> (turpmāk – LOV)</w:t>
            </w:r>
            <w:r w:rsidR="00600E72" w:rsidRPr="00131850">
              <w:rPr>
                <w:sz w:val="25"/>
                <w:szCs w:val="25"/>
              </w:rPr>
              <w:t xml:space="preserve">]. Minētais līgums ir reģistrēts arī zemesgrāmatā. Tādejādi </w:t>
            </w:r>
            <w:r w:rsidR="00C345C2" w:rsidRPr="00131850">
              <w:rPr>
                <w:sz w:val="25"/>
                <w:szCs w:val="25"/>
              </w:rPr>
              <w:t>Kapitālsabiedrības iespējas brīvi rīkoties ar minēto nekustamā īpašuma daļu ir ierobežotas.</w:t>
            </w:r>
          </w:p>
          <w:p w:rsidR="0063777A" w:rsidRDefault="0063777A" w:rsidP="001A0506">
            <w:pPr>
              <w:pStyle w:val="ListParagraph"/>
              <w:numPr>
                <w:ilvl w:val="0"/>
                <w:numId w:val="11"/>
              </w:numPr>
              <w:ind w:left="557" w:right="127"/>
              <w:jc w:val="both"/>
              <w:rPr>
                <w:sz w:val="25"/>
                <w:szCs w:val="25"/>
              </w:rPr>
            </w:pPr>
            <w:r w:rsidRPr="0063777A">
              <w:rPr>
                <w:sz w:val="25"/>
                <w:szCs w:val="25"/>
              </w:rPr>
              <w:t>Lielu daļu no Kapitālsabiedrības neto apgrozījuma par telpu nomu veido nekustamā īpašuma sastāvā eso</w:t>
            </w:r>
            <w:r>
              <w:rPr>
                <w:sz w:val="25"/>
                <w:szCs w:val="25"/>
              </w:rPr>
              <w:t>šo</w:t>
            </w:r>
            <w:r w:rsidRPr="0063777A">
              <w:rPr>
                <w:sz w:val="25"/>
                <w:szCs w:val="25"/>
              </w:rPr>
              <w:t xml:space="preserve"> biroj</w:t>
            </w:r>
            <w:r>
              <w:rPr>
                <w:sz w:val="25"/>
                <w:szCs w:val="25"/>
              </w:rPr>
              <w:t>u</w:t>
            </w:r>
            <w:r w:rsidRPr="0063777A">
              <w:rPr>
                <w:sz w:val="25"/>
                <w:szCs w:val="25"/>
              </w:rPr>
              <w:t xml:space="preserve"> un noliktavu</w:t>
            </w:r>
            <w:r>
              <w:rPr>
                <w:sz w:val="25"/>
                <w:szCs w:val="25"/>
              </w:rPr>
              <w:t>, kā arī nedzīvojamo telpu (piemēram, kafejnīcas)</w:t>
            </w:r>
            <w:r w:rsidRPr="0063777A">
              <w:rPr>
                <w:sz w:val="25"/>
                <w:szCs w:val="25"/>
              </w:rPr>
              <w:t xml:space="preserve"> </w:t>
            </w:r>
            <w:r>
              <w:rPr>
                <w:sz w:val="25"/>
                <w:szCs w:val="25"/>
              </w:rPr>
              <w:t>noma. Atsevišķi noslēgtie līgumi ir spēkā līdz 2019.gada 31.</w:t>
            </w:r>
            <w:r w:rsidR="0066443C">
              <w:rPr>
                <w:sz w:val="25"/>
                <w:szCs w:val="25"/>
              </w:rPr>
              <w:t>decembrim</w:t>
            </w:r>
            <w:r>
              <w:rPr>
                <w:sz w:val="25"/>
                <w:szCs w:val="25"/>
              </w:rPr>
              <w:t>.</w:t>
            </w:r>
          </w:p>
          <w:p w:rsidR="00257B3B" w:rsidRDefault="007951D8" w:rsidP="001A0506">
            <w:pPr>
              <w:pStyle w:val="ListParagraph"/>
              <w:numPr>
                <w:ilvl w:val="0"/>
                <w:numId w:val="11"/>
              </w:numPr>
              <w:ind w:left="557" w:right="127"/>
              <w:jc w:val="both"/>
              <w:rPr>
                <w:sz w:val="25"/>
                <w:szCs w:val="25"/>
              </w:rPr>
            </w:pPr>
            <w:r>
              <w:rPr>
                <w:sz w:val="25"/>
                <w:szCs w:val="25"/>
              </w:rPr>
              <w:t>Nekustamā īpašuma sastāvā ar sportu saistītie nekustamā īpašum</w:t>
            </w:r>
            <w:r w:rsidR="00257B3B">
              <w:rPr>
                <w:sz w:val="25"/>
                <w:szCs w:val="25"/>
              </w:rPr>
              <w:t>a</w:t>
            </w:r>
            <w:r>
              <w:rPr>
                <w:sz w:val="25"/>
                <w:szCs w:val="25"/>
              </w:rPr>
              <w:t xml:space="preserve"> objekti (sporta spēļu zāle, trenažieru zāle, </w:t>
            </w:r>
            <w:r w:rsidR="00257B3B">
              <w:rPr>
                <w:sz w:val="25"/>
                <w:szCs w:val="25"/>
              </w:rPr>
              <w:t>4</w:t>
            </w:r>
            <w:r w:rsidR="001A0506">
              <w:rPr>
                <w:sz w:val="25"/>
                <w:szCs w:val="25"/>
              </w:rPr>
              <w:t xml:space="preserve"> atklātie tenisa laukumi</w:t>
            </w:r>
            <w:r w:rsidR="00257B3B">
              <w:rPr>
                <w:sz w:val="25"/>
                <w:szCs w:val="25"/>
              </w:rPr>
              <w:t>,</w:t>
            </w:r>
            <w:r>
              <w:rPr>
                <w:sz w:val="25"/>
                <w:szCs w:val="25"/>
              </w:rPr>
              <w:t xml:space="preserve"> </w:t>
            </w:r>
            <w:r w:rsidR="001A0506">
              <w:rPr>
                <w:sz w:val="25"/>
                <w:szCs w:val="25"/>
              </w:rPr>
              <w:t xml:space="preserve">2 </w:t>
            </w:r>
            <w:r>
              <w:rPr>
                <w:sz w:val="25"/>
                <w:szCs w:val="25"/>
              </w:rPr>
              <w:t>pludmales volejbola laukumi</w:t>
            </w:r>
            <w:r w:rsidR="00257B3B">
              <w:rPr>
                <w:sz w:val="25"/>
                <w:szCs w:val="25"/>
              </w:rPr>
              <w:t xml:space="preserve"> un</w:t>
            </w:r>
            <w:r w:rsidR="001A0506">
              <w:rPr>
                <w:sz w:val="25"/>
                <w:szCs w:val="25"/>
              </w:rPr>
              <w:t xml:space="preserve"> burāšanas sportam piemērotā</w:t>
            </w:r>
            <w:r w:rsidR="000103AD">
              <w:rPr>
                <w:sz w:val="25"/>
                <w:szCs w:val="25"/>
              </w:rPr>
              <w:t xml:space="preserve"> zemes gabala daļa</w:t>
            </w:r>
            <w:r>
              <w:rPr>
                <w:sz w:val="25"/>
                <w:szCs w:val="25"/>
              </w:rPr>
              <w:t xml:space="preserve">) veido </w:t>
            </w:r>
            <w:r w:rsidR="00257B3B">
              <w:rPr>
                <w:sz w:val="25"/>
                <w:szCs w:val="25"/>
              </w:rPr>
              <w:t>salīdzinoši nelielu daļu no kopējā nekustamā īpašuma sastāva.</w:t>
            </w:r>
          </w:p>
          <w:p w:rsidR="00FC1724" w:rsidRDefault="00257B3B" w:rsidP="00882419">
            <w:pPr>
              <w:ind w:left="197" w:right="127"/>
              <w:jc w:val="both"/>
              <w:rPr>
                <w:sz w:val="25"/>
                <w:szCs w:val="25"/>
              </w:rPr>
            </w:pPr>
            <w:r>
              <w:rPr>
                <w:sz w:val="25"/>
                <w:szCs w:val="25"/>
              </w:rPr>
              <w:tab/>
            </w:r>
          </w:p>
          <w:p w:rsidR="00882419" w:rsidRDefault="00FC1724" w:rsidP="00882419">
            <w:pPr>
              <w:ind w:left="197" w:right="127"/>
              <w:jc w:val="both"/>
              <w:rPr>
                <w:sz w:val="25"/>
                <w:szCs w:val="25"/>
              </w:rPr>
            </w:pPr>
            <w:r>
              <w:rPr>
                <w:sz w:val="25"/>
                <w:szCs w:val="25"/>
              </w:rPr>
              <w:tab/>
            </w:r>
            <w:r w:rsidR="00882419" w:rsidRPr="00131850">
              <w:rPr>
                <w:sz w:val="25"/>
                <w:szCs w:val="25"/>
              </w:rPr>
              <w:t>Viesnīcas pakalpojum</w:t>
            </w:r>
            <w:r w:rsidR="00882419">
              <w:rPr>
                <w:sz w:val="25"/>
                <w:szCs w:val="25"/>
              </w:rPr>
              <w:t xml:space="preserve">i, kā arī biroju un noliktavu telpu iznomāšana IZM ieskatā </w:t>
            </w:r>
            <w:r w:rsidR="00882419" w:rsidRPr="00131850">
              <w:rPr>
                <w:sz w:val="25"/>
                <w:szCs w:val="25"/>
              </w:rPr>
              <w:t>neatbilst Valsts pārvaldes iekārtas likuma 88.pant</w:t>
            </w:r>
            <w:r w:rsidR="00250A27">
              <w:rPr>
                <w:sz w:val="25"/>
                <w:szCs w:val="25"/>
              </w:rPr>
              <w:t xml:space="preserve">a pirmajā daļā </w:t>
            </w:r>
            <w:r w:rsidR="00882419" w:rsidRPr="00131850">
              <w:rPr>
                <w:sz w:val="25"/>
                <w:szCs w:val="25"/>
              </w:rPr>
              <w:t xml:space="preserve">noteiktajiem izņēmuma gadījumiem, kuros publiska </w:t>
            </w:r>
            <w:r w:rsidR="00882419">
              <w:rPr>
                <w:sz w:val="25"/>
                <w:szCs w:val="25"/>
              </w:rPr>
              <w:t xml:space="preserve">persona var veikt komercdarbību, tādēļ </w:t>
            </w:r>
            <w:r>
              <w:rPr>
                <w:sz w:val="25"/>
                <w:szCs w:val="25"/>
              </w:rPr>
              <w:t>izvērtējams jautājums par Kapitālsabiedrības turpmāko statusu.</w:t>
            </w:r>
          </w:p>
          <w:p w:rsidR="00FC1724" w:rsidRDefault="00FC1724" w:rsidP="00FC1724">
            <w:pPr>
              <w:ind w:left="197" w:right="127"/>
              <w:jc w:val="both"/>
              <w:rPr>
                <w:sz w:val="25"/>
                <w:szCs w:val="25"/>
              </w:rPr>
            </w:pPr>
            <w:r>
              <w:rPr>
                <w:sz w:val="25"/>
                <w:szCs w:val="25"/>
              </w:rPr>
              <w:tab/>
              <w:t>A</w:t>
            </w:r>
            <w:r w:rsidRPr="00E949E7">
              <w:rPr>
                <w:sz w:val="25"/>
                <w:szCs w:val="25"/>
              </w:rPr>
              <w:t>r Ministru kabineta 2013.gada 11.jūnija sēdes protokollēmuma (prot.Nr.34 37.§) 2.punkt</w:t>
            </w:r>
            <w:r>
              <w:rPr>
                <w:sz w:val="25"/>
                <w:szCs w:val="25"/>
              </w:rPr>
              <w:t xml:space="preserve">u </w:t>
            </w:r>
            <w:r w:rsidRPr="00E949E7">
              <w:rPr>
                <w:sz w:val="25"/>
                <w:szCs w:val="25"/>
              </w:rPr>
              <w:t xml:space="preserve">ministrijām uzdots atbilstoši kompetencei izvērtēt informatīvā ziņojuma </w:t>
            </w:r>
            <w:r w:rsidR="008629E0">
              <w:rPr>
                <w:sz w:val="25"/>
                <w:szCs w:val="25"/>
              </w:rPr>
              <w:t>“</w:t>
            </w:r>
            <w:r w:rsidRPr="00E949E7">
              <w:rPr>
                <w:sz w:val="25"/>
                <w:szCs w:val="25"/>
              </w:rPr>
              <w:t xml:space="preserve">Par valsts līdzdalības kapitālsabiedrībās izvērtēšanu un ar Ministru prezidenta 2012.gada 19.jūnija rīkojumu Nr.233 izveidotās darba grupas priekšlikumiem turpmākai rīcībai” (turpmāk – </w:t>
            </w:r>
            <w:r>
              <w:rPr>
                <w:sz w:val="25"/>
                <w:szCs w:val="25"/>
              </w:rPr>
              <w:t>Ziņojums</w:t>
            </w:r>
            <w:r w:rsidRPr="00E949E7">
              <w:rPr>
                <w:sz w:val="25"/>
                <w:szCs w:val="25"/>
              </w:rPr>
              <w:t>) 5.pielikumā ietverto darba grupas ieteikumu finansiālos un tiesiskos riskus</w:t>
            </w:r>
            <w:r>
              <w:rPr>
                <w:sz w:val="25"/>
                <w:szCs w:val="25"/>
              </w:rPr>
              <w:t xml:space="preserve"> un </w:t>
            </w:r>
            <w:r w:rsidRPr="00E949E7">
              <w:rPr>
                <w:sz w:val="25"/>
                <w:szCs w:val="25"/>
              </w:rPr>
              <w:t xml:space="preserve">iesniegt noteiktā kārtībā izskatīšanai Ministru kabinetā priekšlikumus par turpmāko rīcību. </w:t>
            </w:r>
            <w:r>
              <w:rPr>
                <w:sz w:val="25"/>
                <w:szCs w:val="25"/>
              </w:rPr>
              <w:t>Z</w:t>
            </w:r>
            <w:r w:rsidRPr="00E949E7">
              <w:rPr>
                <w:sz w:val="25"/>
                <w:szCs w:val="25"/>
              </w:rPr>
              <w:t>iņojuma 5.pielikum</w:t>
            </w:r>
            <w:r>
              <w:rPr>
                <w:sz w:val="25"/>
                <w:szCs w:val="25"/>
              </w:rPr>
              <w:t>ā</w:t>
            </w:r>
            <w:r w:rsidRPr="00E949E7">
              <w:rPr>
                <w:sz w:val="25"/>
                <w:szCs w:val="25"/>
              </w:rPr>
              <w:t xml:space="preserve"> </w:t>
            </w:r>
            <w:r w:rsidR="008629E0">
              <w:rPr>
                <w:sz w:val="25"/>
                <w:szCs w:val="25"/>
              </w:rPr>
              <w:t>“</w:t>
            </w:r>
            <w:r w:rsidRPr="00E949E7">
              <w:rPr>
                <w:sz w:val="25"/>
                <w:szCs w:val="25"/>
              </w:rPr>
              <w:t xml:space="preserve">Darba grupas priekšlikumi turpmākās rīcības plānošanai valsts līdzdalības kapitālsabiedrībās izvērtēšanas rezultātā sagatavoto priekšlikumu īstenošanai” </w:t>
            </w:r>
            <w:r>
              <w:rPr>
                <w:sz w:val="25"/>
                <w:szCs w:val="25"/>
              </w:rPr>
              <w:t xml:space="preserve">iekļautās tabulas </w:t>
            </w:r>
            <w:r w:rsidR="008629E0">
              <w:rPr>
                <w:sz w:val="25"/>
                <w:szCs w:val="25"/>
              </w:rPr>
              <w:t>“</w:t>
            </w:r>
            <w:r w:rsidRPr="00E949E7">
              <w:rPr>
                <w:sz w:val="25"/>
                <w:szCs w:val="25"/>
              </w:rPr>
              <w:t xml:space="preserve">Turpmākās rīcības plānojums” </w:t>
            </w:r>
            <w:r>
              <w:rPr>
                <w:sz w:val="25"/>
                <w:szCs w:val="25"/>
              </w:rPr>
              <w:t>6.pun</w:t>
            </w:r>
            <w:bookmarkStart w:id="3" w:name="_GoBack"/>
            <w:bookmarkEnd w:id="3"/>
            <w:r>
              <w:rPr>
                <w:sz w:val="25"/>
                <w:szCs w:val="25"/>
              </w:rPr>
              <w:t xml:space="preserve">ktā ietverta rekomendācija attiecībā uz Ziņojuma </w:t>
            </w:r>
            <w:r w:rsidRPr="00E949E7">
              <w:rPr>
                <w:sz w:val="25"/>
                <w:szCs w:val="25"/>
              </w:rPr>
              <w:t>2.sadaļas 6.tabulā minētajām kapitālsabiedrībām</w:t>
            </w:r>
            <w:r>
              <w:rPr>
                <w:sz w:val="25"/>
                <w:szCs w:val="25"/>
              </w:rPr>
              <w:t xml:space="preserve"> (t.sk. attiecībā uz </w:t>
            </w:r>
            <w:r w:rsidR="0073052C">
              <w:rPr>
                <w:sz w:val="25"/>
                <w:szCs w:val="25"/>
              </w:rPr>
              <w:t>Kapitālsabiedrību</w:t>
            </w:r>
            <w:r>
              <w:rPr>
                <w:sz w:val="25"/>
                <w:szCs w:val="25"/>
              </w:rPr>
              <w:t xml:space="preserve">) </w:t>
            </w:r>
            <w:r w:rsidRPr="00E949E7">
              <w:rPr>
                <w:sz w:val="25"/>
                <w:szCs w:val="25"/>
              </w:rPr>
              <w:t>samazināt valsts līdzdalību, vienlaikus saglabājot valsts izšķirošo ietekmi</w:t>
            </w:r>
            <w:r>
              <w:rPr>
                <w:sz w:val="25"/>
                <w:szCs w:val="25"/>
              </w:rPr>
              <w:t>.</w:t>
            </w:r>
          </w:p>
          <w:p w:rsidR="00AF76C1" w:rsidRDefault="003B4005" w:rsidP="00D20F65">
            <w:pPr>
              <w:ind w:left="142" w:right="127"/>
              <w:jc w:val="both"/>
              <w:rPr>
                <w:sz w:val="25"/>
                <w:szCs w:val="25"/>
              </w:rPr>
            </w:pPr>
            <w:r>
              <w:rPr>
                <w:sz w:val="25"/>
                <w:szCs w:val="25"/>
              </w:rPr>
              <w:tab/>
              <w:t>Lai gan Sporta centrs “Mežaparks”</w:t>
            </w:r>
            <w:r w:rsidR="001D0913">
              <w:rPr>
                <w:sz w:val="25"/>
                <w:szCs w:val="25"/>
              </w:rPr>
              <w:t xml:space="preserve"> kā nekustamais īpašums</w:t>
            </w:r>
            <w:r>
              <w:rPr>
                <w:sz w:val="25"/>
                <w:szCs w:val="25"/>
              </w:rPr>
              <w:t xml:space="preserve"> šobrīd neatrodas valsts īpašum</w:t>
            </w:r>
            <w:r w:rsidR="00FF049C">
              <w:rPr>
                <w:sz w:val="25"/>
                <w:szCs w:val="25"/>
              </w:rPr>
              <w:t xml:space="preserve">ā (valstij IZM personā nekustamais īpašums pieder pastarpināti – proporcionāli valstij piederošo Kapitālsabiedrības kapitāla daļu skaitam), ņemot </w:t>
            </w:r>
            <w:r w:rsidR="00FF049C">
              <w:rPr>
                <w:sz w:val="25"/>
                <w:szCs w:val="25"/>
              </w:rPr>
              <w:lastRenderedPageBreak/>
              <w:t xml:space="preserve">vērā faktu, ka </w:t>
            </w:r>
            <w:r w:rsidR="000C1D23">
              <w:rPr>
                <w:sz w:val="25"/>
                <w:szCs w:val="25"/>
              </w:rPr>
              <w:t xml:space="preserve">valsts īpašumā esošais </w:t>
            </w:r>
            <w:r w:rsidR="00FF049C">
              <w:rPr>
                <w:sz w:val="25"/>
                <w:szCs w:val="25"/>
              </w:rPr>
              <w:t xml:space="preserve">nekustamais īpašums Kapitālsabiedrības pamatkapitālā tika ieguldīts ar īpašu mērķi (lai īstenotu Projektu) [saskaņā ar </w:t>
            </w:r>
            <w:r w:rsidR="00FF049C" w:rsidRPr="00FF049C">
              <w:rPr>
                <w:sz w:val="25"/>
                <w:szCs w:val="25"/>
              </w:rPr>
              <w:t>Ministru kabineta 2008.gada 8.jūlij</w:t>
            </w:r>
            <w:r w:rsidR="00FF049C">
              <w:rPr>
                <w:sz w:val="25"/>
                <w:szCs w:val="25"/>
              </w:rPr>
              <w:t>a</w:t>
            </w:r>
            <w:r w:rsidR="00FF049C" w:rsidRPr="00FF049C">
              <w:rPr>
                <w:sz w:val="25"/>
                <w:szCs w:val="25"/>
              </w:rPr>
              <w:t xml:space="preserve"> rīkojum</w:t>
            </w:r>
            <w:r w:rsidR="00FF049C">
              <w:rPr>
                <w:sz w:val="25"/>
                <w:szCs w:val="25"/>
              </w:rPr>
              <w:t>a</w:t>
            </w:r>
            <w:r w:rsidR="00FF049C" w:rsidRPr="00FF049C">
              <w:rPr>
                <w:sz w:val="25"/>
                <w:szCs w:val="25"/>
              </w:rPr>
              <w:t xml:space="preserve"> Nr.385</w:t>
            </w:r>
            <w:r w:rsidR="00FF049C">
              <w:rPr>
                <w:sz w:val="25"/>
                <w:szCs w:val="25"/>
              </w:rPr>
              <w:t xml:space="preserve"> “</w:t>
            </w:r>
            <w:r w:rsidR="00FF049C" w:rsidRPr="00FF049C">
              <w:rPr>
                <w:sz w:val="25"/>
                <w:szCs w:val="25"/>
              </w:rPr>
              <w:t xml:space="preserve">Par sabiedrības ar ierobežotu atbildību </w:t>
            </w:r>
            <w:r w:rsidR="00FF049C">
              <w:rPr>
                <w:sz w:val="25"/>
                <w:szCs w:val="25"/>
              </w:rPr>
              <w:t>“</w:t>
            </w:r>
            <w:r w:rsidR="00FF049C" w:rsidRPr="00FF049C">
              <w:rPr>
                <w:sz w:val="25"/>
                <w:szCs w:val="25"/>
              </w:rPr>
              <w:t xml:space="preserve">Sporta centrs </w:t>
            </w:r>
            <w:r w:rsidR="00FF049C">
              <w:rPr>
                <w:sz w:val="25"/>
                <w:szCs w:val="25"/>
              </w:rPr>
              <w:t>“</w:t>
            </w:r>
            <w:r w:rsidR="00FF049C" w:rsidRPr="00FF049C">
              <w:rPr>
                <w:sz w:val="25"/>
                <w:szCs w:val="25"/>
              </w:rPr>
              <w:t>Mežaparks</w:t>
            </w:r>
            <w:r w:rsidR="00FF049C">
              <w:rPr>
                <w:sz w:val="25"/>
                <w:szCs w:val="25"/>
              </w:rPr>
              <w:t>””</w:t>
            </w:r>
            <w:r w:rsidR="00FF049C" w:rsidRPr="00FF049C">
              <w:rPr>
                <w:sz w:val="25"/>
                <w:szCs w:val="25"/>
              </w:rPr>
              <w:t xml:space="preserve"> pamatkapitāla palielināšanu</w:t>
            </w:r>
            <w:r w:rsidR="00FF049C">
              <w:rPr>
                <w:sz w:val="25"/>
                <w:szCs w:val="25"/>
              </w:rPr>
              <w:t xml:space="preserve"> 1.punktu], </w:t>
            </w:r>
            <w:r w:rsidR="003C2496">
              <w:rPr>
                <w:sz w:val="25"/>
                <w:szCs w:val="25"/>
              </w:rPr>
              <w:t xml:space="preserve">kā arī to, ka LOK par Kapitālsabiedrības dalībnieku kļuva Kapitālsabiedrības pamatkapitāla palielināšanas </w:t>
            </w:r>
            <w:r w:rsidR="007C4848">
              <w:rPr>
                <w:sz w:val="25"/>
                <w:szCs w:val="25"/>
              </w:rPr>
              <w:t>ceļā</w:t>
            </w:r>
            <w:r w:rsidR="003C2496">
              <w:rPr>
                <w:sz w:val="25"/>
                <w:szCs w:val="25"/>
              </w:rPr>
              <w:t>, jaunās pamatkapitāla daļas apmaksājot naudā (samaksājot 100 latus un attiecīgi iegūstot 100 kapitāla daļas)</w:t>
            </w:r>
            <w:r w:rsidR="00E66017">
              <w:rPr>
                <w:sz w:val="25"/>
                <w:szCs w:val="25"/>
              </w:rPr>
              <w:t xml:space="preserve">, </w:t>
            </w:r>
            <w:r w:rsidR="003C2496">
              <w:rPr>
                <w:sz w:val="25"/>
                <w:szCs w:val="25"/>
              </w:rPr>
              <w:t>kā rezultāt</w:t>
            </w:r>
            <w:r w:rsidR="002040BB">
              <w:rPr>
                <w:sz w:val="25"/>
                <w:szCs w:val="25"/>
              </w:rPr>
              <w:t>ā nepastāv šaub</w:t>
            </w:r>
            <w:r w:rsidR="001D0913">
              <w:rPr>
                <w:sz w:val="25"/>
                <w:szCs w:val="25"/>
              </w:rPr>
              <w:t>as</w:t>
            </w:r>
            <w:r w:rsidR="002040BB">
              <w:rPr>
                <w:sz w:val="25"/>
                <w:szCs w:val="25"/>
              </w:rPr>
              <w:t xml:space="preserve"> par </w:t>
            </w:r>
            <w:r w:rsidR="001D0913">
              <w:rPr>
                <w:sz w:val="25"/>
                <w:szCs w:val="25"/>
              </w:rPr>
              <w:t xml:space="preserve">Kapitālsabiedrības pamatkapitāla (tā veidojošo sastāvdaļu) sadalījumu starp Kapitālsabiedrības īpašniekiem [t.i., nepastāv šaubu, ka nekustamais īpašums kā Kapitālsabiedrības pamatkapitāla daļa ir piekritīgs valstij IZM personā], </w:t>
            </w:r>
            <w:r w:rsidR="00572892">
              <w:rPr>
                <w:sz w:val="25"/>
                <w:szCs w:val="25"/>
              </w:rPr>
              <w:t xml:space="preserve">attiecībā uz turpmāko rīcību ar šo nekustamo īpašumu būtu jāattiecina arī </w:t>
            </w:r>
            <w:r w:rsidRPr="0075490B">
              <w:rPr>
                <w:sz w:val="25"/>
                <w:szCs w:val="25"/>
              </w:rPr>
              <w:t>Ministru kabineta 200</w:t>
            </w:r>
            <w:r w:rsidR="00572892">
              <w:rPr>
                <w:sz w:val="25"/>
                <w:szCs w:val="25"/>
              </w:rPr>
              <w:t>6.gada 9.maija rīkojumā</w:t>
            </w:r>
            <w:r>
              <w:rPr>
                <w:sz w:val="25"/>
                <w:szCs w:val="25"/>
              </w:rPr>
              <w:t xml:space="preserve"> Nr.319 “</w:t>
            </w:r>
            <w:r w:rsidRPr="0075490B">
              <w:rPr>
                <w:sz w:val="25"/>
                <w:szCs w:val="25"/>
              </w:rPr>
              <w:t xml:space="preserve">Par Valsts nekustamā īpašuma vienotas pārvaldīšanas un apsaimniekošanas koncepciju” </w:t>
            </w:r>
            <w:r>
              <w:rPr>
                <w:sz w:val="25"/>
                <w:szCs w:val="25"/>
              </w:rPr>
              <w:t xml:space="preserve">(turpmāk – Rīkojums Nr.319) </w:t>
            </w:r>
            <w:r w:rsidR="00572892">
              <w:rPr>
                <w:sz w:val="25"/>
                <w:szCs w:val="25"/>
              </w:rPr>
              <w:t xml:space="preserve">minētais attiecībā uz </w:t>
            </w:r>
            <w:r w:rsidR="00572892" w:rsidRPr="00572892">
              <w:rPr>
                <w:sz w:val="25"/>
                <w:szCs w:val="25"/>
              </w:rPr>
              <w:t>vienotu pieeju valsts nekustamā īpašuma pārvaldīšanā un apsaimniekošanā</w:t>
            </w:r>
            <w:r w:rsidR="00304F79">
              <w:rPr>
                <w:sz w:val="25"/>
                <w:szCs w:val="25"/>
              </w:rPr>
              <w:t xml:space="preserve">. Saskaņā ar Rīkojuma Nr.319 </w:t>
            </w:r>
            <w:r w:rsidR="008E0672">
              <w:rPr>
                <w:sz w:val="25"/>
                <w:szCs w:val="25"/>
              </w:rPr>
              <w:t xml:space="preserve">8.3.apakšpunktu līdz 2015.gada 2.janvārim IZM uzdots organizēt </w:t>
            </w:r>
            <w:r w:rsidR="008E0672" w:rsidRPr="0075490B">
              <w:rPr>
                <w:sz w:val="25"/>
                <w:szCs w:val="25"/>
              </w:rPr>
              <w:t>valsts nekustamo īpašumu apsaimniekošan</w:t>
            </w:r>
            <w:r w:rsidR="008E0672">
              <w:rPr>
                <w:sz w:val="25"/>
                <w:szCs w:val="25"/>
              </w:rPr>
              <w:t>u</w:t>
            </w:r>
            <w:r w:rsidR="008E0672" w:rsidRPr="0075490B">
              <w:rPr>
                <w:sz w:val="25"/>
                <w:szCs w:val="25"/>
              </w:rPr>
              <w:t xml:space="preserve"> pēc nozaru principa</w:t>
            </w:r>
            <w:r w:rsidR="00FD1F87">
              <w:rPr>
                <w:sz w:val="25"/>
                <w:szCs w:val="25"/>
              </w:rPr>
              <w:t xml:space="preserve"> [tādejādi pēc minētā datuma apsaimniekošanas modelis pēc nozaru principa vairs nav īstenojams]</w:t>
            </w:r>
            <w:r w:rsidR="008E0672">
              <w:rPr>
                <w:sz w:val="25"/>
                <w:szCs w:val="25"/>
              </w:rPr>
              <w:t xml:space="preserve">, savukārt ar Rīkojuma Nr.319 </w:t>
            </w:r>
            <w:r w:rsidR="008E0672" w:rsidRPr="0075490B">
              <w:rPr>
                <w:sz w:val="25"/>
                <w:szCs w:val="25"/>
              </w:rPr>
              <w:t xml:space="preserve">8.3.3.apakšpunktu </w:t>
            </w:r>
            <w:r w:rsidR="008E0672">
              <w:rPr>
                <w:sz w:val="25"/>
                <w:szCs w:val="25"/>
              </w:rPr>
              <w:t xml:space="preserve">noteikts, ka </w:t>
            </w:r>
            <w:r w:rsidR="008E0672" w:rsidRPr="0075490B">
              <w:rPr>
                <w:sz w:val="25"/>
                <w:szCs w:val="25"/>
              </w:rPr>
              <w:t>valsts nekustamos īpašumus, kas netiek izmantoti izglītības un zinātnes funkciju nodrošināšanai, jānodod Finanšu ministrijas valdījum</w:t>
            </w:r>
            <w:r w:rsidR="008E0672">
              <w:rPr>
                <w:sz w:val="25"/>
                <w:szCs w:val="25"/>
              </w:rPr>
              <w:t>ā un valsts akciju sabiedrības “</w:t>
            </w:r>
            <w:r w:rsidR="008E0672" w:rsidRPr="0075490B">
              <w:rPr>
                <w:sz w:val="25"/>
                <w:szCs w:val="25"/>
              </w:rPr>
              <w:t xml:space="preserve">Valsts nekustamie īpašumi” </w:t>
            </w:r>
            <w:r w:rsidR="006E4CBA">
              <w:rPr>
                <w:sz w:val="25"/>
                <w:szCs w:val="25"/>
              </w:rPr>
              <w:t xml:space="preserve">(turpmāk – VNĪ) </w:t>
            </w:r>
            <w:r w:rsidR="008E0672" w:rsidRPr="0075490B">
              <w:rPr>
                <w:sz w:val="25"/>
                <w:szCs w:val="25"/>
              </w:rPr>
              <w:t>pārvaldīšanā.</w:t>
            </w:r>
            <w:r w:rsidR="008E0672">
              <w:rPr>
                <w:sz w:val="25"/>
                <w:szCs w:val="25"/>
              </w:rPr>
              <w:t xml:space="preserve"> </w:t>
            </w:r>
            <w:r w:rsidR="00570755">
              <w:rPr>
                <w:sz w:val="25"/>
                <w:szCs w:val="25"/>
              </w:rPr>
              <w:t xml:space="preserve">Ņemot vērā to, ka viesnīcas </w:t>
            </w:r>
            <w:r w:rsidR="00570755" w:rsidRPr="00131850">
              <w:rPr>
                <w:sz w:val="25"/>
                <w:szCs w:val="25"/>
              </w:rPr>
              <w:t>pakalpojum</w:t>
            </w:r>
            <w:r w:rsidR="005575F5">
              <w:rPr>
                <w:sz w:val="25"/>
                <w:szCs w:val="25"/>
              </w:rPr>
              <w:t>i</w:t>
            </w:r>
            <w:r w:rsidR="00570755">
              <w:rPr>
                <w:sz w:val="25"/>
                <w:szCs w:val="25"/>
              </w:rPr>
              <w:t>, kā arī biroju un noliktavu telpu iznomāšanas pakalpojum</w:t>
            </w:r>
            <w:r w:rsidR="005575F5">
              <w:rPr>
                <w:sz w:val="25"/>
                <w:szCs w:val="25"/>
              </w:rPr>
              <w:t>i</w:t>
            </w:r>
            <w:r w:rsidR="00570755">
              <w:rPr>
                <w:sz w:val="25"/>
                <w:szCs w:val="25"/>
              </w:rPr>
              <w:t xml:space="preserve"> </w:t>
            </w:r>
            <w:r w:rsidR="00C762E2">
              <w:rPr>
                <w:sz w:val="25"/>
                <w:szCs w:val="25"/>
              </w:rPr>
              <w:t>nav saistīt</w:t>
            </w:r>
            <w:r w:rsidR="005575F5">
              <w:rPr>
                <w:sz w:val="25"/>
                <w:szCs w:val="25"/>
              </w:rPr>
              <w:t>i</w:t>
            </w:r>
            <w:r w:rsidR="00C762E2">
              <w:rPr>
                <w:sz w:val="25"/>
                <w:szCs w:val="25"/>
              </w:rPr>
              <w:t xml:space="preserve"> ar izglītības un zinātnes funkciju (plašākā mērogā – arī ar sporta funkciju), </w:t>
            </w:r>
            <w:r w:rsidR="00AF76C1">
              <w:rPr>
                <w:sz w:val="25"/>
                <w:szCs w:val="25"/>
              </w:rPr>
              <w:t>perspektīvā nav pamats šo nekustamo īpašumu tieši vai pastarpināti pārvaldīt IZM.</w:t>
            </w:r>
          </w:p>
          <w:p w:rsidR="00AA4269" w:rsidRDefault="00FC1724" w:rsidP="00A3143D">
            <w:pPr>
              <w:ind w:left="142" w:right="127"/>
              <w:jc w:val="both"/>
              <w:rPr>
                <w:sz w:val="25"/>
                <w:szCs w:val="25"/>
              </w:rPr>
            </w:pPr>
            <w:r>
              <w:rPr>
                <w:sz w:val="25"/>
                <w:szCs w:val="25"/>
              </w:rPr>
              <w:tab/>
              <w:t xml:space="preserve">Ņemot vērā to, ka Sporta centrs “Mežaparks” kā nekustamais īpašums šobrīd neatrodas valsts īpašumā, tā nodošana Finanšu ministrijas valdījumā šobrīd nav iespējama. Tomēr </w:t>
            </w:r>
            <w:r w:rsidR="00570755">
              <w:rPr>
                <w:sz w:val="25"/>
                <w:szCs w:val="25"/>
              </w:rPr>
              <w:t>Rīkojuma Nr.319 mērķa sasniegšanai</w:t>
            </w:r>
            <w:r w:rsidR="00AF76C1">
              <w:rPr>
                <w:sz w:val="25"/>
                <w:szCs w:val="25"/>
              </w:rPr>
              <w:t xml:space="preserve"> </w:t>
            </w:r>
            <w:r w:rsidR="006E4CBA">
              <w:rPr>
                <w:sz w:val="25"/>
                <w:szCs w:val="25"/>
              </w:rPr>
              <w:t>ir iespējams, p</w:t>
            </w:r>
            <w:r w:rsidR="006E4CBA" w:rsidRPr="006E4CBA">
              <w:rPr>
                <w:sz w:val="25"/>
                <w:szCs w:val="25"/>
              </w:rPr>
              <w:t>amatojoties uz likuma “Par valsts un pašvaldību kapitāla daļām un kapitālsabiedrībām” 10.panta pirmās daļas 1.punktu</w:t>
            </w:r>
            <w:r w:rsidR="006E4CBA">
              <w:rPr>
                <w:sz w:val="25"/>
                <w:szCs w:val="25"/>
              </w:rPr>
              <w:t xml:space="preserve">, iecelt Finanšu ministriju par valstij piederošo Kapitālsabiedrības kapitāla daļu turētāju. </w:t>
            </w:r>
            <w:r w:rsidR="008F1895">
              <w:rPr>
                <w:sz w:val="25"/>
                <w:szCs w:val="25"/>
              </w:rPr>
              <w:t xml:space="preserve">Perspektīvā Finanšu ministrija, izmantojot VNĪ </w:t>
            </w:r>
            <w:r w:rsidR="00363F09">
              <w:rPr>
                <w:sz w:val="25"/>
                <w:szCs w:val="25"/>
              </w:rPr>
              <w:t xml:space="preserve">kapacitāti un </w:t>
            </w:r>
            <w:r w:rsidR="00A5709C">
              <w:rPr>
                <w:sz w:val="25"/>
                <w:szCs w:val="25"/>
              </w:rPr>
              <w:t xml:space="preserve">pieredzi nekustamo īpašumu pārvaldīšanā un attīstīšanā, </w:t>
            </w:r>
            <w:r w:rsidR="009C680C">
              <w:rPr>
                <w:sz w:val="25"/>
                <w:szCs w:val="25"/>
              </w:rPr>
              <w:t xml:space="preserve">varēs nodrošināt </w:t>
            </w:r>
            <w:r w:rsidR="00EA246E">
              <w:rPr>
                <w:sz w:val="25"/>
                <w:szCs w:val="25"/>
              </w:rPr>
              <w:t xml:space="preserve">ne tikai efektīvāku pārvaldību, bet arī </w:t>
            </w:r>
            <w:r w:rsidR="000A208E">
              <w:rPr>
                <w:sz w:val="25"/>
                <w:szCs w:val="25"/>
              </w:rPr>
              <w:t xml:space="preserve">īstenot </w:t>
            </w:r>
            <w:r w:rsidR="00AA4269">
              <w:rPr>
                <w:sz w:val="25"/>
                <w:szCs w:val="25"/>
              </w:rPr>
              <w:t>iepriekšminēto Ziņojumā ietverto un Ministru kabinetā konceptuāli atbalstīto priekšlikumu par valsts līdzdalības Kapitālsabiedrībā samazināšanu (normatīvajos aktos noteiktā kārtībā piesaistot privāto kapitālu)</w:t>
            </w:r>
            <w:r w:rsidR="00AA4269" w:rsidRPr="00E949E7">
              <w:rPr>
                <w:sz w:val="25"/>
                <w:szCs w:val="25"/>
              </w:rPr>
              <w:t xml:space="preserve">, vienlaikus saglabājot valsts izšķirošo </w:t>
            </w:r>
            <w:r w:rsidR="00AA4269" w:rsidRPr="00E949E7">
              <w:rPr>
                <w:sz w:val="25"/>
                <w:szCs w:val="25"/>
              </w:rPr>
              <w:lastRenderedPageBreak/>
              <w:t>ietekm</w:t>
            </w:r>
            <w:r w:rsidR="00AA4269">
              <w:rPr>
                <w:sz w:val="25"/>
                <w:szCs w:val="25"/>
              </w:rPr>
              <w:t xml:space="preserve">i. </w:t>
            </w:r>
            <w:r w:rsidR="00363F09">
              <w:rPr>
                <w:sz w:val="25"/>
                <w:szCs w:val="25"/>
              </w:rPr>
              <w:t>Tāpat</w:t>
            </w:r>
            <w:r w:rsidR="00AA4269">
              <w:rPr>
                <w:sz w:val="25"/>
                <w:szCs w:val="25"/>
              </w:rPr>
              <w:t xml:space="preserve"> IZM tiks atbrīvota no </w:t>
            </w:r>
            <w:r w:rsidR="00AA4269" w:rsidRPr="00452EA1">
              <w:rPr>
                <w:sz w:val="25"/>
                <w:szCs w:val="25"/>
              </w:rPr>
              <w:t>tai neraksturīg</w:t>
            </w:r>
            <w:r w:rsidR="00AA4269">
              <w:rPr>
                <w:sz w:val="25"/>
                <w:szCs w:val="25"/>
              </w:rPr>
              <w:t>as</w:t>
            </w:r>
            <w:r w:rsidR="00AA4269" w:rsidRPr="00452EA1">
              <w:rPr>
                <w:sz w:val="25"/>
                <w:szCs w:val="25"/>
              </w:rPr>
              <w:t xml:space="preserve"> funkcij</w:t>
            </w:r>
            <w:r w:rsidR="00AA4269">
              <w:rPr>
                <w:sz w:val="25"/>
                <w:szCs w:val="25"/>
              </w:rPr>
              <w:t>as</w:t>
            </w:r>
            <w:r w:rsidR="00AA4269" w:rsidRPr="00452EA1">
              <w:rPr>
                <w:sz w:val="25"/>
                <w:szCs w:val="25"/>
              </w:rPr>
              <w:t xml:space="preserve"> </w:t>
            </w:r>
            <w:r w:rsidR="00AA4269">
              <w:rPr>
                <w:sz w:val="25"/>
                <w:szCs w:val="25"/>
              </w:rPr>
              <w:t xml:space="preserve">(tās </w:t>
            </w:r>
            <w:r w:rsidR="00AA4269" w:rsidRPr="00452EA1">
              <w:rPr>
                <w:sz w:val="25"/>
                <w:szCs w:val="25"/>
              </w:rPr>
              <w:t>funkciju nodrošināšanai nevajadzīgo nekustamo īpašumu pārvaldīšanas</w:t>
            </w:r>
            <w:r w:rsidR="00AA4269">
              <w:rPr>
                <w:sz w:val="25"/>
                <w:szCs w:val="25"/>
              </w:rPr>
              <w:t xml:space="preserve">) </w:t>
            </w:r>
            <w:r w:rsidR="00AA4269" w:rsidRPr="00452EA1">
              <w:rPr>
                <w:sz w:val="25"/>
                <w:szCs w:val="25"/>
              </w:rPr>
              <w:t>veikšanas</w:t>
            </w:r>
            <w:r w:rsidR="00AA4269">
              <w:rPr>
                <w:sz w:val="25"/>
                <w:szCs w:val="25"/>
              </w:rPr>
              <w:t>.</w:t>
            </w:r>
            <w:r w:rsidR="009F066C">
              <w:rPr>
                <w:sz w:val="25"/>
                <w:szCs w:val="25"/>
              </w:rPr>
              <w:t xml:space="preserve"> Atzīmējams, ka </w:t>
            </w:r>
            <w:r w:rsidR="00AA4269">
              <w:rPr>
                <w:sz w:val="25"/>
                <w:szCs w:val="25"/>
              </w:rPr>
              <w:t>lēmums par valsts kapitāla daļu turētāja maiņu Kapitālsabiedrībā neietekmē a</w:t>
            </w:r>
            <w:r w:rsidR="00AA4269" w:rsidRPr="00E949E7">
              <w:rPr>
                <w:sz w:val="25"/>
                <w:szCs w:val="25"/>
              </w:rPr>
              <w:t xml:space="preserve">r Ministru kabineta 2010.gada 30.decembra rīkojumu Nr.771 </w:t>
            </w:r>
            <w:r w:rsidR="00AA4269">
              <w:rPr>
                <w:sz w:val="25"/>
                <w:szCs w:val="25"/>
              </w:rPr>
              <w:t xml:space="preserve"> Sporta centram “Mežaparks” piešķirtā nacionālās sporta bāzes statusa saglabā</w:t>
            </w:r>
            <w:r w:rsidR="009F066C">
              <w:rPr>
                <w:sz w:val="25"/>
                <w:szCs w:val="25"/>
              </w:rPr>
              <w:t>šanu.</w:t>
            </w:r>
          </w:p>
          <w:p w:rsidR="009F066C" w:rsidRDefault="009F066C" w:rsidP="00A3143D">
            <w:pPr>
              <w:ind w:left="142" w:right="127"/>
              <w:jc w:val="both"/>
              <w:rPr>
                <w:sz w:val="25"/>
                <w:szCs w:val="25"/>
              </w:rPr>
            </w:pPr>
          </w:p>
          <w:p w:rsidR="000423AB" w:rsidRPr="009F066C" w:rsidRDefault="0009162F" w:rsidP="000423AB">
            <w:pPr>
              <w:ind w:left="142" w:right="127"/>
              <w:jc w:val="both"/>
              <w:rPr>
                <w:sz w:val="25"/>
                <w:szCs w:val="25"/>
              </w:rPr>
            </w:pPr>
            <w:r>
              <w:rPr>
                <w:sz w:val="25"/>
                <w:szCs w:val="25"/>
              </w:rPr>
              <w:tab/>
            </w:r>
            <w:r w:rsidR="00F24AFB" w:rsidRPr="009F066C">
              <w:rPr>
                <w:sz w:val="25"/>
                <w:szCs w:val="25"/>
              </w:rPr>
              <w:t xml:space="preserve">Ievērojot minēto, </w:t>
            </w:r>
            <w:r w:rsidR="00C411E2" w:rsidRPr="009F066C">
              <w:rPr>
                <w:sz w:val="25"/>
                <w:szCs w:val="25"/>
              </w:rPr>
              <w:t>IZM</w:t>
            </w:r>
            <w:r w:rsidR="0054241F" w:rsidRPr="009F066C">
              <w:rPr>
                <w:sz w:val="25"/>
                <w:szCs w:val="25"/>
              </w:rPr>
              <w:t xml:space="preserve"> </w:t>
            </w:r>
            <w:r w:rsidR="00EB0F52" w:rsidRPr="009F066C">
              <w:rPr>
                <w:sz w:val="25"/>
                <w:szCs w:val="25"/>
              </w:rPr>
              <w:t xml:space="preserve">ir izstrādājusi Ministru kabineta rīkojuma projektu </w:t>
            </w:r>
            <w:r w:rsidR="00DC03E0" w:rsidRPr="009F066C">
              <w:rPr>
                <w:sz w:val="25"/>
                <w:szCs w:val="25"/>
              </w:rPr>
              <w:t>“</w:t>
            </w:r>
            <w:r w:rsidR="00AD584F" w:rsidRPr="00AD584F">
              <w:rPr>
                <w:sz w:val="25"/>
                <w:szCs w:val="25"/>
              </w:rPr>
              <w:t>Par valsts kapitāla daļu turētāju sabiedrībā ar ierobežotu atbildību “Sporta centrs “Mežaparks””</w:t>
            </w:r>
            <w:r w:rsidR="00AD584F">
              <w:rPr>
                <w:sz w:val="25"/>
                <w:szCs w:val="25"/>
              </w:rPr>
              <w:t>”</w:t>
            </w:r>
            <w:r w:rsidR="000423AB" w:rsidRPr="009F066C">
              <w:rPr>
                <w:sz w:val="25"/>
                <w:szCs w:val="25"/>
              </w:rPr>
              <w:t xml:space="preserve"> </w:t>
            </w:r>
            <w:r w:rsidR="00122521" w:rsidRPr="009F066C">
              <w:rPr>
                <w:sz w:val="25"/>
                <w:szCs w:val="25"/>
              </w:rPr>
              <w:t>(turpmāk – Rīkojuma projekts), kurš paredz</w:t>
            </w:r>
            <w:r w:rsidR="000423AB" w:rsidRPr="009F066C">
              <w:rPr>
                <w:sz w:val="25"/>
                <w:szCs w:val="25"/>
              </w:rPr>
              <w:t>:</w:t>
            </w:r>
          </w:p>
          <w:p w:rsidR="000423AB" w:rsidRPr="009F066C" w:rsidRDefault="00AD584F" w:rsidP="00AD584F">
            <w:pPr>
              <w:pStyle w:val="ListParagraph"/>
              <w:numPr>
                <w:ilvl w:val="0"/>
                <w:numId w:val="8"/>
              </w:numPr>
              <w:ind w:right="127"/>
              <w:jc w:val="both"/>
              <w:rPr>
                <w:sz w:val="25"/>
                <w:szCs w:val="25"/>
              </w:rPr>
            </w:pPr>
            <w:r>
              <w:rPr>
                <w:sz w:val="25"/>
                <w:szCs w:val="25"/>
              </w:rPr>
              <w:t>p</w:t>
            </w:r>
            <w:r w:rsidRPr="00AD584F">
              <w:rPr>
                <w:sz w:val="25"/>
                <w:szCs w:val="25"/>
              </w:rPr>
              <w:t xml:space="preserve">amatojoties uz likuma “Par valsts un pašvaldību kapitāla daļām un kapitālsabiedrībām” 10.panta pirmās daļas 1.punktu, iecelt Finanšu ministriju par valstij piederošo </w:t>
            </w:r>
            <w:r>
              <w:rPr>
                <w:sz w:val="25"/>
                <w:szCs w:val="25"/>
              </w:rPr>
              <w:br/>
            </w:r>
            <w:r w:rsidRPr="00AD584F">
              <w:rPr>
                <w:sz w:val="25"/>
                <w:szCs w:val="25"/>
              </w:rPr>
              <w:t xml:space="preserve">10 966 749 </w:t>
            </w:r>
            <w:r>
              <w:rPr>
                <w:sz w:val="25"/>
                <w:szCs w:val="25"/>
              </w:rPr>
              <w:t xml:space="preserve">Kapitālsabiedrības </w:t>
            </w:r>
            <w:r w:rsidRPr="00AD584F">
              <w:rPr>
                <w:sz w:val="25"/>
                <w:szCs w:val="25"/>
              </w:rPr>
              <w:t>kapitāla daļu turētāju</w:t>
            </w:r>
            <w:r>
              <w:rPr>
                <w:sz w:val="25"/>
                <w:szCs w:val="25"/>
              </w:rPr>
              <w:t>;</w:t>
            </w:r>
          </w:p>
          <w:p w:rsidR="005A2C74" w:rsidRPr="005A2C74" w:rsidRDefault="000423AB" w:rsidP="005A2C74">
            <w:pPr>
              <w:pStyle w:val="ListParagraph"/>
              <w:numPr>
                <w:ilvl w:val="0"/>
                <w:numId w:val="8"/>
              </w:numPr>
              <w:ind w:right="127"/>
              <w:jc w:val="both"/>
              <w:rPr>
                <w:sz w:val="25"/>
                <w:szCs w:val="25"/>
              </w:rPr>
            </w:pPr>
            <w:r w:rsidRPr="009F066C">
              <w:rPr>
                <w:sz w:val="25"/>
                <w:szCs w:val="25"/>
              </w:rPr>
              <w:t xml:space="preserve">uzdevumu IZM </w:t>
            </w:r>
            <w:r w:rsidR="005A2C74" w:rsidRPr="005A2C74">
              <w:rPr>
                <w:sz w:val="25"/>
                <w:szCs w:val="25"/>
              </w:rPr>
              <w:t xml:space="preserve">nodot un Finanšu ministrijai pārņemt savā turējumā </w:t>
            </w:r>
            <w:r w:rsidR="005A2C74">
              <w:rPr>
                <w:sz w:val="25"/>
                <w:szCs w:val="25"/>
              </w:rPr>
              <w:t xml:space="preserve">Kapitālsabiedrības </w:t>
            </w:r>
            <w:r w:rsidR="005A2C74" w:rsidRPr="005A2C74">
              <w:rPr>
                <w:sz w:val="25"/>
                <w:szCs w:val="25"/>
              </w:rPr>
              <w:t>kapitāla daļas un sastādīt attiecīgu nodošanas un pieņemšanas aktu;</w:t>
            </w:r>
          </w:p>
          <w:p w:rsidR="00AD584F" w:rsidRPr="00180E6B" w:rsidRDefault="005A2C74" w:rsidP="005A2C74">
            <w:pPr>
              <w:pStyle w:val="ListParagraph"/>
              <w:numPr>
                <w:ilvl w:val="0"/>
                <w:numId w:val="8"/>
              </w:numPr>
              <w:ind w:right="127"/>
              <w:jc w:val="both"/>
              <w:rPr>
                <w:rFonts w:eastAsia="Times New Roman"/>
                <w:color w:val="000000"/>
                <w:sz w:val="25"/>
                <w:szCs w:val="25"/>
              </w:rPr>
            </w:pPr>
            <w:r w:rsidRPr="009F066C">
              <w:rPr>
                <w:sz w:val="25"/>
                <w:szCs w:val="25"/>
              </w:rPr>
              <w:t xml:space="preserve">uzdevumu IZM </w:t>
            </w:r>
            <w:r w:rsidRPr="005A2C74">
              <w:rPr>
                <w:sz w:val="25"/>
                <w:szCs w:val="25"/>
              </w:rPr>
              <w:t xml:space="preserve">nodot Finanšu ministrijai ar </w:t>
            </w:r>
            <w:r>
              <w:rPr>
                <w:sz w:val="25"/>
                <w:szCs w:val="25"/>
              </w:rPr>
              <w:t>Kapitālsabiedrības</w:t>
            </w:r>
            <w:r w:rsidRPr="005A2C74">
              <w:rPr>
                <w:sz w:val="25"/>
                <w:szCs w:val="25"/>
              </w:rPr>
              <w:t xml:space="preserve"> kapitāla daļu pārvaldi saistītos </w:t>
            </w:r>
            <w:r>
              <w:rPr>
                <w:sz w:val="25"/>
                <w:szCs w:val="25"/>
              </w:rPr>
              <w:t>IZM</w:t>
            </w:r>
            <w:r w:rsidRPr="005A2C74">
              <w:rPr>
                <w:sz w:val="25"/>
                <w:szCs w:val="25"/>
              </w:rPr>
              <w:t xml:space="preserve"> lietvedībā esošos dokumentus.</w:t>
            </w:r>
          </w:p>
          <w:p w:rsidR="00180E6B" w:rsidRDefault="00180E6B" w:rsidP="00180E6B">
            <w:pPr>
              <w:ind w:left="142" w:right="127"/>
              <w:jc w:val="both"/>
              <w:rPr>
                <w:rFonts w:eastAsia="Times New Roman"/>
                <w:color w:val="000000"/>
                <w:sz w:val="25"/>
                <w:szCs w:val="25"/>
              </w:rPr>
            </w:pPr>
          </w:p>
          <w:p w:rsidR="005C3A67" w:rsidRPr="00180E6B" w:rsidRDefault="00E75C2F" w:rsidP="005C3A67">
            <w:pPr>
              <w:ind w:left="132" w:right="127"/>
              <w:jc w:val="both"/>
              <w:rPr>
                <w:rFonts w:eastAsia="Times New Roman"/>
                <w:color w:val="000000"/>
                <w:sz w:val="25"/>
                <w:szCs w:val="25"/>
              </w:rPr>
            </w:pPr>
            <w:r>
              <w:rPr>
                <w:rFonts w:eastAsia="Times New Roman"/>
                <w:color w:val="000000"/>
                <w:sz w:val="25"/>
                <w:szCs w:val="25"/>
              </w:rPr>
              <w:t xml:space="preserve">Papildus minētam, lai izvērtētu Sporta centra “Mežaparks” kā nekustamā īpašuma un kā nacionālās sporta bāzes turpmākās attīstības perspektīvas, IZM ir izstrādājusi arī Ministru kabineta sēdes protokollēmuma projektu, kurš paredz uzdevumu Finanšu ministrijai sadarbībā ar Izglītības un zinātnes ministriju izstrādāt </w:t>
            </w:r>
            <w:r w:rsidR="00444226">
              <w:rPr>
                <w:rFonts w:eastAsia="Times New Roman"/>
                <w:color w:val="000000"/>
                <w:sz w:val="25"/>
                <w:szCs w:val="25"/>
              </w:rPr>
              <w:t xml:space="preserve">un finanšu ministram līdz 2014.gada 31.decembrim noteiktā kārtībā izskatīšanai Ministru kabinetā iesniegt </w:t>
            </w:r>
            <w:r>
              <w:rPr>
                <w:rFonts w:eastAsia="Times New Roman"/>
                <w:color w:val="000000"/>
                <w:sz w:val="25"/>
                <w:szCs w:val="25"/>
              </w:rPr>
              <w:t>Sporta centra “Mežaparks” turpmākās attīstības koncepciju</w:t>
            </w:r>
            <w:r w:rsidR="00444226">
              <w:rPr>
                <w:rFonts w:eastAsia="Times New Roman"/>
                <w:color w:val="000000"/>
                <w:sz w:val="25"/>
                <w:szCs w:val="25"/>
              </w:rPr>
              <w:t>.</w:t>
            </w:r>
            <w:r>
              <w:rPr>
                <w:rFonts w:eastAsia="Times New Roman"/>
                <w:color w:val="000000"/>
                <w:sz w:val="25"/>
                <w:szCs w:val="25"/>
              </w:rPr>
              <w:t xml:space="preserve"> </w:t>
            </w:r>
          </w:p>
        </w:tc>
      </w:tr>
      <w:tr w:rsidR="00585B7B" w:rsidRPr="009F1E12" w:rsidTr="00CB5F57">
        <w:trPr>
          <w:trHeight w:val="476"/>
        </w:trPr>
        <w:tc>
          <w:tcPr>
            <w:tcW w:w="998" w:type="dxa"/>
          </w:tcPr>
          <w:p w:rsidR="00585B7B" w:rsidRPr="009F1E12" w:rsidRDefault="00005A9D" w:rsidP="00BD696A">
            <w:pPr>
              <w:pStyle w:val="naiskr"/>
              <w:spacing w:before="0" w:after="0"/>
              <w:jc w:val="center"/>
              <w:rPr>
                <w:sz w:val="25"/>
                <w:szCs w:val="25"/>
              </w:rPr>
            </w:pPr>
            <w:r w:rsidRPr="009F1E12">
              <w:rPr>
                <w:sz w:val="25"/>
                <w:szCs w:val="25"/>
              </w:rPr>
              <w:lastRenderedPageBreak/>
              <w:t>3.</w:t>
            </w:r>
          </w:p>
        </w:tc>
        <w:tc>
          <w:tcPr>
            <w:tcW w:w="2693" w:type="dxa"/>
          </w:tcPr>
          <w:p w:rsidR="00585B7B" w:rsidRPr="009F1E12" w:rsidRDefault="00005A9D" w:rsidP="00916055">
            <w:pPr>
              <w:pStyle w:val="naiskr"/>
              <w:spacing w:before="0" w:after="0"/>
              <w:ind w:left="141"/>
              <w:rPr>
                <w:sz w:val="25"/>
                <w:szCs w:val="25"/>
              </w:rPr>
            </w:pPr>
            <w:r w:rsidRPr="009F1E12">
              <w:rPr>
                <w:sz w:val="25"/>
                <w:szCs w:val="25"/>
              </w:rPr>
              <w:t>Projekta izstrādē iesaistītās institūcijas</w:t>
            </w:r>
          </w:p>
        </w:tc>
        <w:tc>
          <w:tcPr>
            <w:tcW w:w="6506" w:type="dxa"/>
          </w:tcPr>
          <w:p w:rsidR="00585B7B" w:rsidRDefault="00A13034" w:rsidP="00FA5D27">
            <w:pPr>
              <w:ind w:left="82" w:right="141"/>
              <w:jc w:val="both"/>
              <w:rPr>
                <w:sz w:val="25"/>
                <w:szCs w:val="25"/>
              </w:rPr>
            </w:pPr>
            <w:r>
              <w:rPr>
                <w:sz w:val="25"/>
                <w:szCs w:val="25"/>
              </w:rPr>
              <w:t>Rīkojuma</w:t>
            </w:r>
            <w:r w:rsidRPr="00A94035">
              <w:rPr>
                <w:sz w:val="25"/>
                <w:szCs w:val="25"/>
              </w:rPr>
              <w:t xml:space="preserve"> projektu</w:t>
            </w:r>
            <w:r w:rsidR="00F44355">
              <w:rPr>
                <w:sz w:val="25"/>
                <w:szCs w:val="25"/>
              </w:rPr>
              <w:t xml:space="preserve"> </w:t>
            </w:r>
            <w:r w:rsidRPr="00A94035">
              <w:rPr>
                <w:sz w:val="25"/>
                <w:szCs w:val="25"/>
              </w:rPr>
              <w:t xml:space="preserve">izstrādāja </w:t>
            </w:r>
            <w:r w:rsidR="00F44355">
              <w:rPr>
                <w:sz w:val="25"/>
                <w:szCs w:val="25"/>
              </w:rPr>
              <w:t>IZM</w:t>
            </w:r>
            <w:r>
              <w:rPr>
                <w:sz w:val="25"/>
                <w:szCs w:val="25"/>
              </w:rPr>
              <w:t>.</w:t>
            </w:r>
            <w:r>
              <w:rPr>
                <w:bCs/>
                <w:sz w:val="25"/>
                <w:szCs w:val="25"/>
              </w:rPr>
              <w:t xml:space="preserve"> </w:t>
            </w:r>
            <w:r w:rsidR="00AD584F">
              <w:rPr>
                <w:bCs/>
                <w:sz w:val="25"/>
                <w:szCs w:val="25"/>
              </w:rPr>
              <w:t>Ņemot vērā to, ka valstij pieder</w:t>
            </w:r>
            <w:r w:rsidR="00B857B3">
              <w:rPr>
                <w:bCs/>
                <w:sz w:val="25"/>
                <w:szCs w:val="25"/>
              </w:rPr>
              <w:t xml:space="preserve">ošo kapitāla daļu turētāja maiņa </w:t>
            </w:r>
            <w:r w:rsidR="00AD584F">
              <w:rPr>
                <w:bCs/>
                <w:sz w:val="25"/>
                <w:szCs w:val="25"/>
              </w:rPr>
              <w:t xml:space="preserve">tiešā veidā neskar Kapitālsabiedrības darbību, </w:t>
            </w:r>
            <w:r w:rsidR="00FA5D27">
              <w:rPr>
                <w:bCs/>
                <w:sz w:val="25"/>
                <w:szCs w:val="25"/>
              </w:rPr>
              <w:t>kā arī to, ka jautājums ir saistīts ar Ministru kabinetā jau iepriekš pieņemtajiem lēmumiem (</w:t>
            </w:r>
            <w:r w:rsidR="00FA5D27" w:rsidRPr="00FA5D27">
              <w:rPr>
                <w:bCs/>
                <w:sz w:val="25"/>
                <w:szCs w:val="25"/>
              </w:rPr>
              <w:t>Ministru kabineta 2013.gada 11.jūnija sēdes protokollēmum</w:t>
            </w:r>
            <w:r w:rsidR="00FA5D27">
              <w:rPr>
                <w:bCs/>
                <w:sz w:val="25"/>
                <w:szCs w:val="25"/>
              </w:rPr>
              <w:t>s</w:t>
            </w:r>
            <w:r w:rsidR="00FA5D27" w:rsidRPr="00FA5D27">
              <w:rPr>
                <w:bCs/>
                <w:sz w:val="25"/>
                <w:szCs w:val="25"/>
              </w:rPr>
              <w:t xml:space="preserve"> (prot.Nr.34 37.§)</w:t>
            </w:r>
            <w:r w:rsidR="00FA5D27">
              <w:rPr>
                <w:bCs/>
                <w:sz w:val="25"/>
                <w:szCs w:val="25"/>
              </w:rPr>
              <w:t xml:space="preserve">, </w:t>
            </w:r>
            <w:r w:rsidR="00FA5D27" w:rsidRPr="00FA5D27">
              <w:rPr>
                <w:bCs/>
                <w:sz w:val="25"/>
                <w:szCs w:val="25"/>
              </w:rPr>
              <w:t>Ministru kabineta 2013.gada 4.novembra rīkojums Nr.522 “Par Latvijas Nacionālā valsts sporta centra “Mežaparks” un Tenisa centra “Lielupe” rekonstrukcijas projektiem paredzēto valsts budžeta ilgtermiņa saistību pārdali”</w:t>
            </w:r>
            <w:r w:rsidR="00FA5D27">
              <w:rPr>
                <w:bCs/>
                <w:sz w:val="25"/>
                <w:szCs w:val="25"/>
              </w:rPr>
              <w:t xml:space="preserve"> un </w:t>
            </w:r>
            <w:r w:rsidR="00FA5D27" w:rsidRPr="00FA5D27">
              <w:rPr>
                <w:bCs/>
                <w:sz w:val="25"/>
                <w:szCs w:val="25"/>
              </w:rPr>
              <w:t>Rīkojums Nr.319</w:t>
            </w:r>
            <w:r w:rsidR="00FA5D27">
              <w:rPr>
                <w:bCs/>
                <w:sz w:val="25"/>
                <w:szCs w:val="25"/>
              </w:rPr>
              <w:t xml:space="preserve">), papildus </w:t>
            </w:r>
            <w:r w:rsidR="00005A9D" w:rsidRPr="009F1E12">
              <w:rPr>
                <w:sz w:val="25"/>
                <w:szCs w:val="25"/>
              </w:rPr>
              <w:t xml:space="preserve">sabiedrības līdzdalība </w:t>
            </w:r>
            <w:r w:rsidR="00843444">
              <w:rPr>
                <w:sz w:val="25"/>
                <w:szCs w:val="25"/>
              </w:rPr>
              <w:t>Rīkojuma</w:t>
            </w:r>
            <w:r w:rsidR="00B857B3">
              <w:rPr>
                <w:sz w:val="25"/>
                <w:szCs w:val="25"/>
              </w:rPr>
              <w:t xml:space="preserve"> projekta</w:t>
            </w:r>
            <w:r w:rsidR="00843444">
              <w:rPr>
                <w:sz w:val="25"/>
                <w:szCs w:val="25"/>
              </w:rPr>
              <w:t xml:space="preserve"> izstrādē </w:t>
            </w:r>
            <w:r w:rsidR="00FA5D27">
              <w:rPr>
                <w:sz w:val="25"/>
                <w:szCs w:val="25"/>
              </w:rPr>
              <w:t xml:space="preserve">šajā gadījumā </w:t>
            </w:r>
            <w:r w:rsidR="006A3F8B">
              <w:rPr>
                <w:sz w:val="25"/>
                <w:szCs w:val="25"/>
              </w:rPr>
              <w:t>nebija</w:t>
            </w:r>
            <w:r w:rsidR="00FA5D27">
              <w:rPr>
                <w:sz w:val="25"/>
                <w:szCs w:val="25"/>
              </w:rPr>
              <w:t xml:space="preserve"> nepieciešama.</w:t>
            </w:r>
          </w:p>
          <w:p w:rsidR="006A3F8B" w:rsidRDefault="006A3F8B" w:rsidP="00FA5D27">
            <w:pPr>
              <w:ind w:left="82" w:right="141"/>
              <w:jc w:val="both"/>
              <w:rPr>
                <w:sz w:val="25"/>
                <w:szCs w:val="25"/>
              </w:rPr>
            </w:pPr>
          </w:p>
          <w:p w:rsidR="003719EC" w:rsidRDefault="003719EC" w:rsidP="003719EC">
            <w:pPr>
              <w:ind w:left="82" w:right="141"/>
              <w:jc w:val="both"/>
              <w:rPr>
                <w:sz w:val="25"/>
                <w:szCs w:val="25"/>
              </w:rPr>
            </w:pPr>
            <w:r>
              <w:rPr>
                <w:sz w:val="25"/>
                <w:szCs w:val="25"/>
              </w:rPr>
              <w:t>Daļēja sabiedrības iesaistīšana jautājumā par  Sporta centra “</w:t>
            </w:r>
            <w:r w:rsidRPr="009414A1">
              <w:rPr>
                <w:sz w:val="25"/>
                <w:szCs w:val="25"/>
              </w:rPr>
              <w:t xml:space="preserve">Mežaparks” </w:t>
            </w:r>
            <w:r>
              <w:rPr>
                <w:sz w:val="25"/>
                <w:szCs w:val="25"/>
              </w:rPr>
              <w:t xml:space="preserve">turpmāko attīstību notika, izvērtējot </w:t>
            </w:r>
            <w:r w:rsidRPr="009414A1">
              <w:rPr>
                <w:sz w:val="25"/>
                <w:szCs w:val="25"/>
              </w:rPr>
              <w:t xml:space="preserve">LOK 2013.gada 24.oktobra vēstulē Nr.248 </w:t>
            </w:r>
            <w:r>
              <w:rPr>
                <w:sz w:val="25"/>
                <w:szCs w:val="25"/>
              </w:rPr>
              <w:t xml:space="preserve">minēto ierosinājumu </w:t>
            </w:r>
            <w:r w:rsidRPr="009414A1">
              <w:rPr>
                <w:sz w:val="25"/>
                <w:szCs w:val="25"/>
              </w:rPr>
              <w:t>(</w:t>
            </w:r>
            <w:r>
              <w:rPr>
                <w:sz w:val="25"/>
                <w:szCs w:val="25"/>
              </w:rPr>
              <w:t xml:space="preserve">kam pausts atbalsts arī Latvijas Olimpiskās vienības </w:t>
            </w:r>
            <w:r w:rsidRPr="009414A1">
              <w:rPr>
                <w:sz w:val="25"/>
                <w:szCs w:val="25"/>
              </w:rPr>
              <w:t xml:space="preserve">sportistu 2013.gada 13.novembra atklātajā vēstulē), pamatojoties uz </w:t>
            </w:r>
            <w:r w:rsidRPr="009414A1">
              <w:rPr>
                <w:sz w:val="25"/>
                <w:szCs w:val="25"/>
              </w:rPr>
              <w:lastRenderedPageBreak/>
              <w:t xml:space="preserve">LOK Izpildkomitejas 2013.gada 22.oktobra lēmumu, pārņemt bezatlīdzības lietošanā </w:t>
            </w:r>
            <w:r>
              <w:rPr>
                <w:sz w:val="25"/>
                <w:szCs w:val="25"/>
              </w:rPr>
              <w:t xml:space="preserve">Kapitālsabiedrības </w:t>
            </w:r>
            <w:r w:rsidRPr="009414A1">
              <w:rPr>
                <w:sz w:val="25"/>
                <w:szCs w:val="25"/>
              </w:rPr>
              <w:t>mantu</w:t>
            </w:r>
            <w:r>
              <w:rPr>
                <w:sz w:val="25"/>
                <w:szCs w:val="25"/>
              </w:rPr>
              <w:t xml:space="preserve">. Šajā saistībā IZM norāda, ka Kapitālsabiedrības </w:t>
            </w:r>
            <w:r w:rsidRPr="009414A1">
              <w:rPr>
                <w:sz w:val="25"/>
                <w:szCs w:val="25"/>
              </w:rPr>
              <w:t>mantas nodošana LOK juridiski nav iespējama, jo saskaņā ar Publiskas personas finanšu līdzekļu un mantas izšķērdēšanas novēršanas likuma 5.panta otrās daļas 2.</w:t>
            </w:r>
            <w:r w:rsidRPr="005418EE">
              <w:rPr>
                <w:sz w:val="25"/>
                <w:szCs w:val="25"/>
                <w:vertAlign w:val="superscript"/>
              </w:rPr>
              <w:t>1</w:t>
            </w:r>
            <w:r w:rsidRPr="009414A1">
              <w:rPr>
                <w:sz w:val="25"/>
                <w:szCs w:val="25"/>
              </w:rPr>
              <w:t>punktu un piekto daļu nodot bezatlīdzības lietošanā sabiedriskā labuma organizācijai var tikai publiskas personas (valsts) mantu. Ņemo</w:t>
            </w:r>
            <w:r>
              <w:rPr>
                <w:sz w:val="25"/>
                <w:szCs w:val="25"/>
              </w:rPr>
              <w:t>t vērā faktu, ka Sporta centru “</w:t>
            </w:r>
            <w:r w:rsidRPr="009414A1">
              <w:rPr>
                <w:sz w:val="25"/>
                <w:szCs w:val="25"/>
              </w:rPr>
              <w:t xml:space="preserve">Mežaparks” </w:t>
            </w:r>
            <w:r>
              <w:rPr>
                <w:sz w:val="25"/>
                <w:szCs w:val="25"/>
              </w:rPr>
              <w:t xml:space="preserve">kā </w:t>
            </w:r>
            <w:r w:rsidRPr="009414A1">
              <w:rPr>
                <w:sz w:val="25"/>
                <w:szCs w:val="25"/>
              </w:rPr>
              <w:t xml:space="preserve">nekustamais īpašums </w:t>
            </w:r>
            <w:r>
              <w:rPr>
                <w:sz w:val="25"/>
                <w:szCs w:val="25"/>
              </w:rPr>
              <w:t>(</w:t>
            </w:r>
            <w:r w:rsidRPr="009414A1">
              <w:rPr>
                <w:sz w:val="25"/>
                <w:szCs w:val="25"/>
              </w:rPr>
              <w:t>Roberta Feldmaņa ielā 11, Rīgā</w:t>
            </w:r>
            <w:r>
              <w:rPr>
                <w:sz w:val="25"/>
                <w:szCs w:val="25"/>
              </w:rPr>
              <w:t>)</w:t>
            </w:r>
            <w:r w:rsidRPr="009414A1">
              <w:rPr>
                <w:sz w:val="25"/>
                <w:szCs w:val="25"/>
              </w:rPr>
              <w:t xml:space="preserve"> ir ierakstīts Rīgas pilsētas zemesgrāmatas nodalījumā Nr.24583 uz </w:t>
            </w:r>
            <w:r>
              <w:rPr>
                <w:sz w:val="25"/>
                <w:szCs w:val="25"/>
              </w:rPr>
              <w:t xml:space="preserve">Kapitālsabiedrības </w:t>
            </w:r>
            <w:r w:rsidRPr="009414A1">
              <w:rPr>
                <w:sz w:val="25"/>
                <w:szCs w:val="25"/>
              </w:rPr>
              <w:t>vārda, tā nav valsts (</w:t>
            </w:r>
            <w:r>
              <w:rPr>
                <w:sz w:val="25"/>
                <w:szCs w:val="25"/>
              </w:rPr>
              <w:t>IZM</w:t>
            </w:r>
            <w:r w:rsidRPr="009414A1">
              <w:rPr>
                <w:sz w:val="25"/>
                <w:szCs w:val="25"/>
              </w:rPr>
              <w:t xml:space="preserve">) manta (īpašums). Tāpat arī kustamā manta, kura atrodas </w:t>
            </w:r>
            <w:r>
              <w:rPr>
                <w:sz w:val="25"/>
                <w:szCs w:val="25"/>
              </w:rPr>
              <w:t>Kapitālsabiedrības</w:t>
            </w:r>
            <w:r w:rsidRPr="009414A1">
              <w:rPr>
                <w:sz w:val="25"/>
                <w:szCs w:val="25"/>
              </w:rPr>
              <w:t xml:space="preserve"> bilancē, nav valsts (</w:t>
            </w:r>
            <w:r>
              <w:rPr>
                <w:sz w:val="25"/>
                <w:szCs w:val="25"/>
              </w:rPr>
              <w:t>IZM</w:t>
            </w:r>
            <w:r w:rsidRPr="009414A1">
              <w:rPr>
                <w:sz w:val="25"/>
                <w:szCs w:val="25"/>
              </w:rPr>
              <w:t>) manta (īpašums).</w:t>
            </w:r>
          </w:p>
          <w:p w:rsidR="003719EC" w:rsidRDefault="003719EC" w:rsidP="00FA5D27">
            <w:pPr>
              <w:ind w:left="82" w:right="141"/>
              <w:jc w:val="both"/>
              <w:rPr>
                <w:sz w:val="25"/>
                <w:szCs w:val="25"/>
              </w:rPr>
            </w:pPr>
          </w:p>
          <w:p w:rsidR="00643E6C" w:rsidRPr="00643E6C" w:rsidRDefault="003719EC" w:rsidP="002744DD">
            <w:pPr>
              <w:ind w:left="82" w:right="141"/>
              <w:jc w:val="both"/>
              <w:rPr>
                <w:sz w:val="25"/>
                <w:szCs w:val="25"/>
              </w:rPr>
            </w:pPr>
            <w:r>
              <w:rPr>
                <w:sz w:val="25"/>
                <w:szCs w:val="25"/>
              </w:rPr>
              <w:t>P</w:t>
            </w:r>
            <w:r w:rsidR="006A3F8B">
              <w:rPr>
                <w:sz w:val="25"/>
                <w:szCs w:val="25"/>
              </w:rPr>
              <w:t>iedaloties Saeimas Izglītības, kultūras un zinātnes komisijas Sporta apakškomisijas 2014.gada 12.jūnija sēdē</w:t>
            </w:r>
            <w:r>
              <w:rPr>
                <w:sz w:val="25"/>
                <w:szCs w:val="25"/>
              </w:rPr>
              <w:t xml:space="preserve">, kurā IZM sniedza informāciju </w:t>
            </w:r>
            <w:r w:rsidR="006A3F8B">
              <w:rPr>
                <w:sz w:val="25"/>
                <w:szCs w:val="25"/>
              </w:rPr>
              <w:t xml:space="preserve">par </w:t>
            </w:r>
            <w:r>
              <w:rPr>
                <w:sz w:val="25"/>
                <w:szCs w:val="25"/>
              </w:rPr>
              <w:t xml:space="preserve">sagatavoto priekšlikumu attiecībā uz </w:t>
            </w:r>
            <w:r w:rsidR="006A3F8B">
              <w:rPr>
                <w:bCs/>
                <w:sz w:val="25"/>
                <w:szCs w:val="25"/>
              </w:rPr>
              <w:t>valstij piederošo Kapitālsabiedrības kapitāla daļu turētāja maiņu, LOK un LOV pārstāvji norādīja, ka neatbalsta šādu priekšlikumu.</w:t>
            </w:r>
            <w:r>
              <w:rPr>
                <w:bCs/>
                <w:sz w:val="25"/>
                <w:szCs w:val="25"/>
              </w:rPr>
              <w:t xml:space="preserve"> </w:t>
            </w:r>
            <w:r w:rsidR="00643E6C">
              <w:rPr>
                <w:sz w:val="25"/>
                <w:szCs w:val="25"/>
              </w:rPr>
              <w:t xml:space="preserve">IZM noraida LOK </w:t>
            </w:r>
            <w:r w:rsidR="006A3F8B">
              <w:rPr>
                <w:sz w:val="25"/>
                <w:szCs w:val="25"/>
              </w:rPr>
              <w:t xml:space="preserve">publiski </w:t>
            </w:r>
            <w:r w:rsidR="00643E6C">
              <w:rPr>
                <w:sz w:val="25"/>
                <w:szCs w:val="25"/>
              </w:rPr>
              <w:t xml:space="preserve">paustās bažas par Kapitālsabiedrības kapitāla daļu turētāja maiņas negatīvo ietekmi </w:t>
            </w:r>
            <w:r w:rsidR="00643E6C" w:rsidRPr="00643E6C">
              <w:rPr>
                <w:sz w:val="25"/>
                <w:szCs w:val="25"/>
              </w:rPr>
              <w:t>uz LOV darbību</w:t>
            </w:r>
            <w:r w:rsidR="00643E6C">
              <w:rPr>
                <w:sz w:val="25"/>
                <w:szCs w:val="25"/>
              </w:rPr>
              <w:t xml:space="preserve"> un augstas klases sportistu sagatavošanas sistēmu kopumā, jo saskaņā ar Kapitālsabiedrības un LOK </w:t>
            </w:r>
            <w:r w:rsidR="00643E6C" w:rsidRPr="00643E6C">
              <w:rPr>
                <w:sz w:val="25"/>
                <w:szCs w:val="25"/>
              </w:rPr>
              <w:t>20</w:t>
            </w:r>
            <w:r w:rsidR="00643E6C">
              <w:rPr>
                <w:sz w:val="25"/>
                <w:szCs w:val="25"/>
              </w:rPr>
              <w:t>09.gada 30.oktobra nomas līgum</w:t>
            </w:r>
            <w:r w:rsidR="00C03839">
              <w:rPr>
                <w:sz w:val="25"/>
                <w:szCs w:val="25"/>
              </w:rPr>
              <w:t>a</w:t>
            </w:r>
            <w:r w:rsidR="00643E6C">
              <w:rPr>
                <w:sz w:val="25"/>
                <w:szCs w:val="25"/>
              </w:rPr>
              <w:t xml:space="preserve"> (kurš reģistrēts arī </w:t>
            </w:r>
            <w:r w:rsidR="00643E6C" w:rsidRPr="00643E6C">
              <w:rPr>
                <w:sz w:val="25"/>
                <w:szCs w:val="25"/>
              </w:rPr>
              <w:t>zemesgrāmatā</w:t>
            </w:r>
            <w:r w:rsidR="00643E6C">
              <w:rPr>
                <w:sz w:val="25"/>
                <w:szCs w:val="25"/>
              </w:rPr>
              <w:t xml:space="preserve">) </w:t>
            </w:r>
            <w:r w:rsidR="00C03839">
              <w:rPr>
                <w:sz w:val="25"/>
                <w:szCs w:val="25"/>
              </w:rPr>
              <w:t>nosacījumiem</w:t>
            </w:r>
            <w:r w:rsidR="00643E6C" w:rsidRPr="00643E6C">
              <w:rPr>
                <w:sz w:val="25"/>
                <w:szCs w:val="25"/>
              </w:rPr>
              <w:t xml:space="preserve"> LOK (LOV) līdz 2024.gada 31.decembrim </w:t>
            </w:r>
            <w:r w:rsidR="00643E6C">
              <w:rPr>
                <w:sz w:val="25"/>
                <w:szCs w:val="25"/>
              </w:rPr>
              <w:t xml:space="preserve">(nomas līguma termiņš) </w:t>
            </w:r>
            <w:r w:rsidR="00643E6C" w:rsidRPr="00643E6C">
              <w:rPr>
                <w:sz w:val="25"/>
                <w:szCs w:val="25"/>
              </w:rPr>
              <w:t xml:space="preserve">tiks nodrošināta iespēja arī turpmāk </w:t>
            </w:r>
            <w:r w:rsidR="00643E6C">
              <w:rPr>
                <w:sz w:val="25"/>
                <w:szCs w:val="25"/>
              </w:rPr>
              <w:t xml:space="preserve">netraucēti </w:t>
            </w:r>
            <w:r w:rsidR="00643E6C" w:rsidRPr="00643E6C">
              <w:rPr>
                <w:sz w:val="25"/>
                <w:szCs w:val="25"/>
              </w:rPr>
              <w:t xml:space="preserve">izmantot </w:t>
            </w:r>
            <w:r w:rsidR="00643E6C">
              <w:rPr>
                <w:sz w:val="25"/>
                <w:szCs w:val="25"/>
              </w:rPr>
              <w:t>iznomātās telpas.</w:t>
            </w:r>
            <w:r>
              <w:rPr>
                <w:sz w:val="25"/>
                <w:szCs w:val="25"/>
              </w:rPr>
              <w:t xml:space="preserve"> Papildus minētam </w:t>
            </w:r>
            <w:r>
              <w:rPr>
                <w:rFonts w:eastAsia="Times New Roman"/>
                <w:color w:val="000000"/>
                <w:sz w:val="25"/>
                <w:szCs w:val="25"/>
              </w:rPr>
              <w:t xml:space="preserve">atzīmējams arī Ministru kabineta sēdes protokollēmuma projektā paredzētais uzdevums izstrādāt Sporta centra “Mežaparks” turpmākās attīstības koncepciju, kā rezultātā </w:t>
            </w:r>
            <w:r w:rsidR="00581302">
              <w:rPr>
                <w:rFonts w:eastAsia="Times New Roman"/>
                <w:color w:val="000000"/>
                <w:sz w:val="25"/>
                <w:szCs w:val="25"/>
              </w:rPr>
              <w:t>LOK un LOV varēs izteikt priekšlikumus minētās koncepcijas saturam</w:t>
            </w:r>
            <w:r>
              <w:rPr>
                <w:rFonts w:eastAsia="Times New Roman"/>
                <w:color w:val="000000"/>
                <w:sz w:val="25"/>
                <w:szCs w:val="25"/>
              </w:rPr>
              <w:t>.</w:t>
            </w:r>
          </w:p>
        </w:tc>
      </w:tr>
      <w:tr w:rsidR="00585B7B" w:rsidRPr="009F1E12" w:rsidTr="002637C0">
        <w:tc>
          <w:tcPr>
            <w:tcW w:w="998" w:type="dxa"/>
          </w:tcPr>
          <w:p w:rsidR="00585B7B" w:rsidRPr="009F1E12" w:rsidRDefault="00005A9D" w:rsidP="00BD696A">
            <w:pPr>
              <w:pStyle w:val="naiskr"/>
              <w:spacing w:before="0" w:after="0"/>
              <w:jc w:val="center"/>
              <w:rPr>
                <w:sz w:val="25"/>
                <w:szCs w:val="25"/>
              </w:rPr>
            </w:pPr>
            <w:r w:rsidRPr="009F1E12">
              <w:rPr>
                <w:sz w:val="25"/>
                <w:szCs w:val="25"/>
              </w:rPr>
              <w:lastRenderedPageBreak/>
              <w:t>4</w:t>
            </w:r>
            <w:r w:rsidR="00585B7B" w:rsidRPr="009F1E12">
              <w:rPr>
                <w:sz w:val="25"/>
                <w:szCs w:val="25"/>
              </w:rPr>
              <w:t>.</w:t>
            </w:r>
          </w:p>
        </w:tc>
        <w:tc>
          <w:tcPr>
            <w:tcW w:w="2693" w:type="dxa"/>
          </w:tcPr>
          <w:p w:rsidR="00585B7B" w:rsidRPr="009F1E12" w:rsidRDefault="00585B7B" w:rsidP="00916055">
            <w:pPr>
              <w:pStyle w:val="naiskr"/>
              <w:spacing w:before="0" w:after="0"/>
              <w:ind w:left="141"/>
              <w:rPr>
                <w:sz w:val="25"/>
                <w:szCs w:val="25"/>
              </w:rPr>
            </w:pPr>
            <w:r w:rsidRPr="009F1E12">
              <w:rPr>
                <w:sz w:val="25"/>
                <w:szCs w:val="25"/>
              </w:rPr>
              <w:t>Cita informācija</w:t>
            </w:r>
          </w:p>
        </w:tc>
        <w:tc>
          <w:tcPr>
            <w:tcW w:w="6506" w:type="dxa"/>
          </w:tcPr>
          <w:p w:rsidR="007C6451" w:rsidRPr="007C6451" w:rsidRDefault="007C6451" w:rsidP="009414A1">
            <w:pPr>
              <w:ind w:left="114" w:right="127"/>
              <w:jc w:val="both"/>
              <w:rPr>
                <w:sz w:val="25"/>
                <w:szCs w:val="25"/>
              </w:rPr>
            </w:pPr>
            <w:r w:rsidRPr="007C6451">
              <w:rPr>
                <w:sz w:val="25"/>
                <w:szCs w:val="25"/>
              </w:rPr>
              <w:t>Pamatojoties uz 2009.gada 29.decembra Valsts mantas pārvaldīšanas un apsaimniekošanas līgumu (</w:t>
            </w:r>
            <w:r>
              <w:rPr>
                <w:sz w:val="25"/>
                <w:szCs w:val="25"/>
              </w:rPr>
              <w:t>IZM</w:t>
            </w:r>
            <w:r w:rsidRPr="007C6451">
              <w:rPr>
                <w:sz w:val="25"/>
                <w:szCs w:val="25"/>
              </w:rPr>
              <w:t xml:space="preserve"> </w:t>
            </w:r>
            <w:proofErr w:type="spellStart"/>
            <w:r w:rsidRPr="007C6451">
              <w:rPr>
                <w:sz w:val="25"/>
                <w:szCs w:val="25"/>
              </w:rPr>
              <w:t>reģ</w:t>
            </w:r>
            <w:proofErr w:type="spellEnd"/>
            <w:r w:rsidRPr="007C6451">
              <w:rPr>
                <w:sz w:val="25"/>
                <w:szCs w:val="25"/>
              </w:rPr>
              <w:t>.</w:t>
            </w:r>
            <w:r>
              <w:rPr>
                <w:sz w:val="25"/>
                <w:szCs w:val="25"/>
              </w:rPr>
              <w:br/>
            </w:r>
            <w:r w:rsidRPr="007C6451">
              <w:rPr>
                <w:sz w:val="25"/>
                <w:szCs w:val="25"/>
              </w:rPr>
              <w:t xml:space="preserve">Nr.1-27/45) </w:t>
            </w:r>
            <w:r>
              <w:rPr>
                <w:sz w:val="25"/>
                <w:szCs w:val="25"/>
              </w:rPr>
              <w:t xml:space="preserve">Kapitālsabiedrības apsaimniekošanā līdz 2014.gada 31.decembrim ir nodots </w:t>
            </w:r>
            <w:r w:rsidR="000440A0">
              <w:rPr>
                <w:sz w:val="25"/>
                <w:szCs w:val="25"/>
              </w:rPr>
              <w:t xml:space="preserve">arī </w:t>
            </w:r>
            <w:r w:rsidRPr="007C6451">
              <w:rPr>
                <w:sz w:val="25"/>
                <w:szCs w:val="25"/>
              </w:rPr>
              <w:t xml:space="preserve">Bērnu un jauniešu sporta burāšanas centrs (nekustamā īpašuma kadastra Nr. 0100 095 2118) Pāvu ielā 14, Rīgā, </w:t>
            </w:r>
            <w:r>
              <w:rPr>
                <w:sz w:val="25"/>
                <w:szCs w:val="25"/>
              </w:rPr>
              <w:t xml:space="preserve">kas </w:t>
            </w:r>
            <w:r w:rsidRPr="007C6451">
              <w:rPr>
                <w:sz w:val="25"/>
                <w:szCs w:val="25"/>
              </w:rPr>
              <w:t>sastāv no zemes vienības 2568 m</w:t>
            </w:r>
            <w:r w:rsidRPr="007C6451">
              <w:rPr>
                <w:sz w:val="25"/>
                <w:szCs w:val="25"/>
                <w:vertAlign w:val="superscript"/>
              </w:rPr>
              <w:t>2</w:t>
            </w:r>
            <w:r w:rsidRPr="007C6451">
              <w:rPr>
                <w:sz w:val="25"/>
                <w:szCs w:val="25"/>
              </w:rPr>
              <w:t xml:space="preserve"> platībā (zemes vienības kadastra apzīmējums 0100 095 2118) un četrām būvēm (būvju kadastra apzīmējumi 0100 095 0040 035, 0100 095 0040 036, 0100 095 0040 037 un 0100 095 0040 038)</w:t>
            </w:r>
            <w:r>
              <w:rPr>
                <w:sz w:val="25"/>
                <w:szCs w:val="25"/>
              </w:rPr>
              <w:t xml:space="preserve"> (turpmāk kopā – Burāšanas centrs)</w:t>
            </w:r>
            <w:r w:rsidRPr="007C6451">
              <w:rPr>
                <w:sz w:val="25"/>
                <w:szCs w:val="25"/>
              </w:rPr>
              <w:t xml:space="preserve">. Burāšanas centrs ir ierakstīts Rīgas pilsētas zemesgrāmatas nodalījumā Nr.100000110795 uz valsts vārda </w:t>
            </w:r>
            <w:r>
              <w:rPr>
                <w:sz w:val="25"/>
                <w:szCs w:val="25"/>
              </w:rPr>
              <w:t>IZM</w:t>
            </w:r>
            <w:r w:rsidRPr="007C6451">
              <w:rPr>
                <w:sz w:val="25"/>
                <w:szCs w:val="25"/>
              </w:rPr>
              <w:t xml:space="preserve"> personā. </w:t>
            </w:r>
            <w:r>
              <w:rPr>
                <w:sz w:val="25"/>
                <w:szCs w:val="25"/>
              </w:rPr>
              <w:t>Priekšlikumus par Burāšanas centra turpmāko pārvaldību pēc 2014.gada 31.decembra IZM noteiktā kārtībā izskatīšanai Ministru kabinetā iesniegs atsevišķi.</w:t>
            </w:r>
          </w:p>
          <w:p w:rsidR="007C6451" w:rsidRPr="007C6451" w:rsidRDefault="007C6451" w:rsidP="009414A1">
            <w:pPr>
              <w:ind w:left="114" w:right="127"/>
              <w:jc w:val="both"/>
              <w:rPr>
                <w:sz w:val="25"/>
                <w:szCs w:val="25"/>
              </w:rPr>
            </w:pPr>
          </w:p>
          <w:p w:rsidR="0002179F" w:rsidRPr="009F1E12" w:rsidRDefault="00E5461A" w:rsidP="009414A1">
            <w:pPr>
              <w:ind w:left="114" w:right="127"/>
              <w:jc w:val="both"/>
              <w:rPr>
                <w:sz w:val="25"/>
                <w:szCs w:val="25"/>
              </w:rPr>
            </w:pPr>
            <w:r w:rsidRPr="007C6451">
              <w:rPr>
                <w:sz w:val="25"/>
                <w:szCs w:val="25"/>
              </w:rPr>
              <w:lastRenderedPageBreak/>
              <w:t>Rīkojuma projekts tiešā veidā attiecas uz tūrisma, sporta un brīvā laika politiku</w:t>
            </w:r>
            <w:r w:rsidR="00A94CC5" w:rsidRPr="007C6451">
              <w:rPr>
                <w:sz w:val="25"/>
                <w:szCs w:val="25"/>
              </w:rPr>
              <w:t xml:space="preserve"> (sporta politiku</w:t>
            </w:r>
            <w:r w:rsidR="0008599C" w:rsidRPr="007C6451">
              <w:rPr>
                <w:sz w:val="25"/>
                <w:szCs w:val="25"/>
              </w:rPr>
              <w:t xml:space="preserve">). </w:t>
            </w:r>
            <w:r w:rsidR="0021202B" w:rsidRPr="007C6451">
              <w:rPr>
                <w:sz w:val="25"/>
                <w:szCs w:val="25"/>
              </w:rPr>
              <w:t xml:space="preserve">Pastarpināti Rīkojuma projekts attiecas </w:t>
            </w:r>
            <w:r w:rsidR="00F44355" w:rsidRPr="007C6451">
              <w:rPr>
                <w:sz w:val="25"/>
                <w:szCs w:val="25"/>
              </w:rPr>
              <w:t xml:space="preserve">uz </w:t>
            </w:r>
            <w:r w:rsidR="009414A1" w:rsidRPr="007C6451">
              <w:rPr>
                <w:sz w:val="25"/>
                <w:szCs w:val="25"/>
              </w:rPr>
              <w:t xml:space="preserve"> publiskās pārvaldes politiku un uzņēmējdarbības politiku.</w:t>
            </w:r>
          </w:p>
        </w:tc>
      </w:tr>
    </w:tbl>
    <w:p w:rsidR="005134ED" w:rsidRDefault="005134ED" w:rsidP="009B774A">
      <w:pPr>
        <w:pStyle w:val="naisf"/>
        <w:tabs>
          <w:tab w:val="left" w:pos="3819"/>
        </w:tabs>
        <w:spacing w:before="0" w:after="0"/>
        <w:ind w:firstLine="0"/>
        <w:rPr>
          <w:sz w:val="26"/>
          <w:szCs w:val="26"/>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94035" w:rsidTr="009B774A">
        <w:trPr>
          <w:trHeight w:val="361"/>
          <w:jc w:val="center"/>
        </w:trPr>
        <w:tc>
          <w:tcPr>
            <w:tcW w:w="10209" w:type="dxa"/>
            <w:gridSpan w:val="6"/>
            <w:vAlign w:val="center"/>
          </w:tcPr>
          <w:p w:rsidR="009B774A" w:rsidRPr="00A94035" w:rsidRDefault="009B774A" w:rsidP="001A0506">
            <w:pPr>
              <w:jc w:val="center"/>
              <w:rPr>
                <w:b/>
                <w:i/>
                <w:sz w:val="25"/>
                <w:szCs w:val="25"/>
              </w:rPr>
            </w:pPr>
            <w:r>
              <w:rPr>
                <w:sz w:val="26"/>
                <w:szCs w:val="26"/>
              </w:rPr>
              <w:br w:type="page"/>
            </w:r>
            <w:r w:rsidRPr="00A94035">
              <w:rPr>
                <w:sz w:val="25"/>
                <w:szCs w:val="25"/>
              </w:rPr>
              <w:br w:type="page"/>
            </w:r>
            <w:r w:rsidRPr="00A94035">
              <w:rPr>
                <w:b/>
                <w:sz w:val="25"/>
                <w:szCs w:val="25"/>
              </w:rPr>
              <w:t>III. Tiesību akta projekta ietekme uz valsts budžetu un pašvaldību budžetiem</w:t>
            </w:r>
          </w:p>
        </w:tc>
      </w:tr>
      <w:tr w:rsidR="009B774A" w:rsidRPr="00A94035" w:rsidTr="009B774A">
        <w:trPr>
          <w:jc w:val="center"/>
        </w:trPr>
        <w:tc>
          <w:tcPr>
            <w:tcW w:w="3688" w:type="dxa"/>
            <w:vMerge w:val="restart"/>
            <w:vAlign w:val="center"/>
          </w:tcPr>
          <w:p w:rsidR="009B774A" w:rsidRPr="00A94035" w:rsidRDefault="009B774A" w:rsidP="001A0506">
            <w:pPr>
              <w:jc w:val="center"/>
              <w:rPr>
                <w:b/>
                <w:sz w:val="25"/>
                <w:szCs w:val="25"/>
              </w:rPr>
            </w:pPr>
            <w:r w:rsidRPr="00A94035">
              <w:rPr>
                <w:b/>
                <w:sz w:val="25"/>
                <w:szCs w:val="25"/>
              </w:rPr>
              <w:t>Rādītāji</w:t>
            </w:r>
          </w:p>
        </w:tc>
        <w:tc>
          <w:tcPr>
            <w:tcW w:w="2948" w:type="dxa"/>
            <w:gridSpan w:val="2"/>
            <w:vMerge w:val="restart"/>
            <w:vAlign w:val="center"/>
          </w:tcPr>
          <w:p w:rsidR="009B774A" w:rsidRPr="00A94035" w:rsidRDefault="009B774A" w:rsidP="001A0506">
            <w:pPr>
              <w:jc w:val="center"/>
              <w:rPr>
                <w:b/>
                <w:sz w:val="25"/>
                <w:szCs w:val="25"/>
              </w:rPr>
            </w:pPr>
            <w:r w:rsidRPr="00A94035">
              <w:rPr>
                <w:b/>
                <w:sz w:val="25"/>
                <w:szCs w:val="25"/>
              </w:rPr>
              <w:t>2014</w:t>
            </w:r>
          </w:p>
        </w:tc>
        <w:tc>
          <w:tcPr>
            <w:tcW w:w="3573" w:type="dxa"/>
            <w:gridSpan w:val="3"/>
            <w:vAlign w:val="center"/>
          </w:tcPr>
          <w:p w:rsidR="009B774A" w:rsidRPr="00A94035" w:rsidRDefault="009B774A" w:rsidP="001A0506">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2948" w:type="dxa"/>
            <w:gridSpan w:val="2"/>
            <w:vMerge/>
            <w:vAlign w:val="center"/>
          </w:tcPr>
          <w:p w:rsidR="009B774A" w:rsidRPr="00A94035" w:rsidRDefault="009B774A" w:rsidP="001A0506">
            <w:pPr>
              <w:jc w:val="center"/>
              <w:rPr>
                <w:b/>
                <w:i/>
                <w:sz w:val="25"/>
                <w:szCs w:val="25"/>
              </w:rPr>
            </w:pPr>
          </w:p>
        </w:tc>
        <w:tc>
          <w:tcPr>
            <w:tcW w:w="1189" w:type="dxa"/>
            <w:vAlign w:val="center"/>
          </w:tcPr>
          <w:p w:rsidR="009B774A" w:rsidRPr="00A94035" w:rsidRDefault="009B774A" w:rsidP="001A0506">
            <w:pPr>
              <w:jc w:val="center"/>
              <w:rPr>
                <w:b/>
                <w:i/>
                <w:sz w:val="25"/>
                <w:szCs w:val="25"/>
              </w:rPr>
            </w:pPr>
            <w:r w:rsidRPr="00A94035">
              <w:rPr>
                <w:b/>
                <w:bCs/>
                <w:sz w:val="25"/>
                <w:szCs w:val="25"/>
              </w:rPr>
              <w:t>2015</w:t>
            </w:r>
          </w:p>
        </w:tc>
        <w:tc>
          <w:tcPr>
            <w:tcW w:w="1194" w:type="dxa"/>
            <w:vAlign w:val="center"/>
          </w:tcPr>
          <w:p w:rsidR="009B774A" w:rsidRPr="00A94035" w:rsidRDefault="009B774A" w:rsidP="001A0506">
            <w:pPr>
              <w:jc w:val="center"/>
              <w:rPr>
                <w:b/>
                <w:i/>
                <w:sz w:val="25"/>
                <w:szCs w:val="25"/>
              </w:rPr>
            </w:pPr>
            <w:r w:rsidRPr="00A94035">
              <w:rPr>
                <w:b/>
                <w:bCs/>
                <w:sz w:val="25"/>
                <w:szCs w:val="25"/>
              </w:rPr>
              <w:t>2016</w:t>
            </w:r>
          </w:p>
        </w:tc>
        <w:tc>
          <w:tcPr>
            <w:tcW w:w="1190" w:type="dxa"/>
            <w:vAlign w:val="center"/>
          </w:tcPr>
          <w:p w:rsidR="009B774A" w:rsidRPr="00A94035" w:rsidRDefault="009B774A" w:rsidP="001A0506">
            <w:pPr>
              <w:jc w:val="center"/>
              <w:rPr>
                <w:b/>
                <w:i/>
                <w:sz w:val="25"/>
                <w:szCs w:val="25"/>
              </w:rPr>
            </w:pPr>
            <w:r w:rsidRPr="00A94035">
              <w:rPr>
                <w:b/>
                <w:bCs/>
                <w:sz w:val="25"/>
                <w:szCs w:val="25"/>
              </w:rPr>
              <w:t>2017</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1554" w:type="dxa"/>
            <w:vAlign w:val="center"/>
          </w:tcPr>
          <w:p w:rsidR="009B774A" w:rsidRPr="00A94035" w:rsidRDefault="009B774A" w:rsidP="001A0506">
            <w:pPr>
              <w:jc w:val="center"/>
              <w:rPr>
                <w:b/>
                <w:i/>
                <w:sz w:val="25"/>
                <w:szCs w:val="25"/>
              </w:rPr>
            </w:pPr>
            <w:r w:rsidRPr="00A94035">
              <w:rPr>
                <w:sz w:val="25"/>
                <w:szCs w:val="25"/>
              </w:rPr>
              <w:t>saskaņā ar valsts budžetu kārtējam gadam</w:t>
            </w:r>
          </w:p>
        </w:tc>
        <w:tc>
          <w:tcPr>
            <w:tcW w:w="1394" w:type="dxa"/>
            <w:vAlign w:val="center"/>
          </w:tcPr>
          <w:p w:rsidR="009B774A" w:rsidRPr="00A94035" w:rsidRDefault="009B774A" w:rsidP="001A0506">
            <w:pPr>
              <w:jc w:val="center"/>
              <w:rPr>
                <w:b/>
                <w:i/>
                <w:sz w:val="25"/>
                <w:szCs w:val="25"/>
              </w:rPr>
            </w:pPr>
            <w:r w:rsidRPr="00A94035">
              <w:rPr>
                <w:sz w:val="25"/>
                <w:szCs w:val="25"/>
              </w:rPr>
              <w:t>izmaiņas kārtējā gadā, salīdzinot ar budžetu kārtējam gadam</w:t>
            </w:r>
          </w:p>
        </w:tc>
        <w:tc>
          <w:tcPr>
            <w:tcW w:w="1189"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4"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0"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r>
      <w:tr w:rsidR="009B774A" w:rsidRPr="00A94035" w:rsidTr="009B774A">
        <w:trPr>
          <w:jc w:val="center"/>
        </w:trPr>
        <w:tc>
          <w:tcPr>
            <w:tcW w:w="3688" w:type="dxa"/>
            <w:vAlign w:val="center"/>
          </w:tcPr>
          <w:p w:rsidR="009B774A" w:rsidRPr="00A94035" w:rsidRDefault="009B774A" w:rsidP="001A0506">
            <w:pPr>
              <w:jc w:val="center"/>
              <w:rPr>
                <w:bCs/>
                <w:sz w:val="25"/>
                <w:szCs w:val="25"/>
              </w:rPr>
            </w:pPr>
            <w:r w:rsidRPr="00A94035">
              <w:rPr>
                <w:bCs/>
                <w:sz w:val="25"/>
                <w:szCs w:val="25"/>
              </w:rPr>
              <w:t>1</w:t>
            </w:r>
          </w:p>
        </w:tc>
        <w:tc>
          <w:tcPr>
            <w:tcW w:w="1554" w:type="dxa"/>
            <w:vAlign w:val="center"/>
          </w:tcPr>
          <w:p w:rsidR="009B774A" w:rsidRPr="00A94035" w:rsidRDefault="009B774A" w:rsidP="001A0506">
            <w:pPr>
              <w:jc w:val="center"/>
              <w:rPr>
                <w:bCs/>
                <w:sz w:val="25"/>
                <w:szCs w:val="25"/>
              </w:rPr>
            </w:pPr>
            <w:r w:rsidRPr="00A94035">
              <w:rPr>
                <w:bCs/>
                <w:sz w:val="25"/>
                <w:szCs w:val="25"/>
              </w:rPr>
              <w:t>2</w:t>
            </w:r>
          </w:p>
        </w:tc>
        <w:tc>
          <w:tcPr>
            <w:tcW w:w="1394" w:type="dxa"/>
            <w:vAlign w:val="center"/>
          </w:tcPr>
          <w:p w:rsidR="009B774A" w:rsidRPr="00A94035" w:rsidRDefault="009B774A" w:rsidP="001A0506">
            <w:pPr>
              <w:jc w:val="center"/>
              <w:rPr>
                <w:bCs/>
                <w:sz w:val="25"/>
                <w:szCs w:val="25"/>
              </w:rPr>
            </w:pPr>
            <w:r w:rsidRPr="00A94035">
              <w:rPr>
                <w:bCs/>
                <w:sz w:val="25"/>
                <w:szCs w:val="25"/>
              </w:rPr>
              <w:t>3</w:t>
            </w:r>
          </w:p>
        </w:tc>
        <w:tc>
          <w:tcPr>
            <w:tcW w:w="1189" w:type="dxa"/>
            <w:vAlign w:val="center"/>
          </w:tcPr>
          <w:p w:rsidR="009B774A" w:rsidRPr="00A94035" w:rsidRDefault="009B774A" w:rsidP="001A0506">
            <w:pPr>
              <w:jc w:val="center"/>
              <w:rPr>
                <w:bCs/>
                <w:sz w:val="25"/>
                <w:szCs w:val="25"/>
              </w:rPr>
            </w:pPr>
            <w:r w:rsidRPr="00A94035">
              <w:rPr>
                <w:bCs/>
                <w:sz w:val="25"/>
                <w:szCs w:val="25"/>
              </w:rPr>
              <w:t>4</w:t>
            </w:r>
          </w:p>
        </w:tc>
        <w:tc>
          <w:tcPr>
            <w:tcW w:w="1194" w:type="dxa"/>
            <w:vAlign w:val="center"/>
          </w:tcPr>
          <w:p w:rsidR="009B774A" w:rsidRPr="00A94035" w:rsidRDefault="009B774A" w:rsidP="001A0506">
            <w:pPr>
              <w:jc w:val="center"/>
              <w:rPr>
                <w:bCs/>
                <w:sz w:val="25"/>
                <w:szCs w:val="25"/>
              </w:rPr>
            </w:pPr>
            <w:r w:rsidRPr="00A94035">
              <w:rPr>
                <w:bCs/>
                <w:sz w:val="25"/>
                <w:szCs w:val="25"/>
              </w:rPr>
              <w:t>5</w:t>
            </w:r>
          </w:p>
        </w:tc>
        <w:tc>
          <w:tcPr>
            <w:tcW w:w="1190" w:type="dxa"/>
            <w:vAlign w:val="center"/>
          </w:tcPr>
          <w:p w:rsidR="009B774A" w:rsidRPr="00A94035" w:rsidRDefault="009B774A" w:rsidP="001A0506">
            <w:pPr>
              <w:jc w:val="center"/>
              <w:rPr>
                <w:bCs/>
                <w:sz w:val="25"/>
                <w:szCs w:val="25"/>
              </w:rPr>
            </w:pPr>
            <w:r w:rsidRPr="00A94035">
              <w:rPr>
                <w:bCs/>
                <w:sz w:val="25"/>
                <w:szCs w:val="25"/>
              </w:rPr>
              <w:t>6</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 Budžeta ieņēmumi:</w:t>
            </w:r>
          </w:p>
        </w:tc>
        <w:tc>
          <w:tcPr>
            <w:tcW w:w="1554" w:type="dxa"/>
          </w:tcPr>
          <w:p w:rsidR="0005209B" w:rsidRPr="00685E09" w:rsidRDefault="004A56AF" w:rsidP="0005209B">
            <w:pPr>
              <w:jc w:val="center"/>
              <w:rPr>
                <w:b/>
                <w:sz w:val="25"/>
                <w:szCs w:val="25"/>
              </w:rPr>
            </w:pPr>
            <w:r>
              <w:rPr>
                <w:b/>
                <w:sz w:val="25"/>
                <w:szCs w:val="25"/>
              </w:rPr>
              <w:t>0</w:t>
            </w:r>
          </w:p>
        </w:tc>
        <w:tc>
          <w:tcPr>
            <w:tcW w:w="1394" w:type="dxa"/>
          </w:tcPr>
          <w:p w:rsidR="0005209B" w:rsidRPr="00685E09" w:rsidRDefault="004A56AF" w:rsidP="007A1337">
            <w:pPr>
              <w:jc w:val="center"/>
              <w:rPr>
                <w:b/>
                <w:sz w:val="25"/>
                <w:szCs w:val="25"/>
              </w:rPr>
            </w:pPr>
            <w:r>
              <w:rPr>
                <w:b/>
                <w:sz w:val="25"/>
                <w:szCs w:val="25"/>
              </w:rPr>
              <w:t>0</w:t>
            </w:r>
          </w:p>
        </w:tc>
        <w:tc>
          <w:tcPr>
            <w:tcW w:w="1189" w:type="dxa"/>
          </w:tcPr>
          <w:p w:rsidR="0005209B" w:rsidRPr="00685E09" w:rsidRDefault="0005209B" w:rsidP="0005209B">
            <w:pPr>
              <w:jc w:val="center"/>
              <w:rPr>
                <w:b/>
                <w:sz w:val="25"/>
                <w:szCs w:val="25"/>
              </w:rPr>
            </w:pPr>
            <w:r w:rsidRPr="00685E09">
              <w:rPr>
                <w:b/>
                <w:sz w:val="25"/>
                <w:szCs w:val="25"/>
              </w:rPr>
              <w:t>0</w:t>
            </w:r>
          </w:p>
        </w:tc>
        <w:tc>
          <w:tcPr>
            <w:tcW w:w="1194" w:type="dxa"/>
          </w:tcPr>
          <w:p w:rsidR="0005209B" w:rsidRPr="00685E09" w:rsidRDefault="0005209B" w:rsidP="0005209B">
            <w:pPr>
              <w:jc w:val="center"/>
              <w:rPr>
                <w:b/>
                <w:sz w:val="25"/>
                <w:szCs w:val="25"/>
              </w:rPr>
            </w:pPr>
            <w:r w:rsidRPr="00685E09">
              <w:rPr>
                <w:b/>
                <w:sz w:val="25"/>
                <w:szCs w:val="25"/>
              </w:rPr>
              <w:t>0</w:t>
            </w:r>
          </w:p>
        </w:tc>
        <w:tc>
          <w:tcPr>
            <w:tcW w:w="1190" w:type="dxa"/>
          </w:tcPr>
          <w:p w:rsidR="0005209B" w:rsidRPr="00685E09" w:rsidRDefault="0005209B" w:rsidP="0005209B">
            <w:pPr>
              <w:jc w:val="center"/>
              <w:rPr>
                <w:b/>
                <w:sz w:val="25"/>
                <w:szCs w:val="25"/>
              </w:rPr>
            </w:pPr>
            <w:r w:rsidRPr="00685E09">
              <w:rPr>
                <w:b/>
                <w:sz w:val="25"/>
                <w:szCs w:val="25"/>
              </w:rPr>
              <w:t>0</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1.1. valsts pamatbudžets, tai skaitā ieņēmumi no maksas pakalpojumiem un citi pašu ieņēmumi</w:t>
            </w:r>
          </w:p>
        </w:tc>
        <w:tc>
          <w:tcPr>
            <w:tcW w:w="1554" w:type="dxa"/>
          </w:tcPr>
          <w:p w:rsidR="0005209B" w:rsidRPr="00685E09" w:rsidRDefault="0005209B" w:rsidP="0005209B">
            <w:pPr>
              <w:jc w:val="center"/>
              <w:rPr>
                <w:i/>
                <w:sz w:val="25"/>
                <w:szCs w:val="25"/>
              </w:rPr>
            </w:pPr>
          </w:p>
        </w:tc>
        <w:tc>
          <w:tcPr>
            <w:tcW w:w="1394" w:type="dxa"/>
          </w:tcPr>
          <w:p w:rsidR="0005209B" w:rsidRPr="00685E09" w:rsidRDefault="0005209B" w:rsidP="0005209B">
            <w:pPr>
              <w:jc w:val="center"/>
              <w:rPr>
                <w:i/>
                <w:sz w:val="25"/>
                <w:szCs w:val="25"/>
              </w:rPr>
            </w:pPr>
          </w:p>
        </w:tc>
        <w:tc>
          <w:tcPr>
            <w:tcW w:w="1189" w:type="dxa"/>
          </w:tcPr>
          <w:p w:rsidR="0005209B" w:rsidRPr="00685E09" w:rsidRDefault="0005209B" w:rsidP="0005209B">
            <w:pPr>
              <w:jc w:val="center"/>
              <w:rPr>
                <w:i/>
                <w:sz w:val="25"/>
                <w:szCs w:val="25"/>
              </w:rPr>
            </w:pPr>
          </w:p>
        </w:tc>
        <w:tc>
          <w:tcPr>
            <w:tcW w:w="1194" w:type="dxa"/>
          </w:tcPr>
          <w:p w:rsidR="0005209B" w:rsidRPr="00685E09" w:rsidRDefault="0005209B" w:rsidP="0005209B">
            <w:pPr>
              <w:jc w:val="center"/>
              <w:rPr>
                <w:i/>
                <w:sz w:val="25"/>
                <w:szCs w:val="25"/>
              </w:rPr>
            </w:pPr>
          </w:p>
        </w:tc>
        <w:tc>
          <w:tcPr>
            <w:tcW w:w="1190" w:type="dxa"/>
          </w:tcPr>
          <w:p w:rsidR="0005209B" w:rsidRPr="00685E09" w:rsidRDefault="0005209B" w:rsidP="0005209B">
            <w:pPr>
              <w:jc w:val="center"/>
              <w:rPr>
                <w:i/>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1.3. pašvaldību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 Budžeta izdevumi:</w:t>
            </w:r>
          </w:p>
        </w:tc>
        <w:tc>
          <w:tcPr>
            <w:tcW w:w="1554" w:type="dxa"/>
          </w:tcPr>
          <w:p w:rsidR="007A1337" w:rsidRPr="00685E09" w:rsidRDefault="007A1337" w:rsidP="007A1337">
            <w:pPr>
              <w:jc w:val="center"/>
              <w:rPr>
                <w:b/>
                <w:sz w:val="25"/>
                <w:szCs w:val="25"/>
              </w:rPr>
            </w:pPr>
            <w:r>
              <w:rPr>
                <w:b/>
                <w:sz w:val="25"/>
                <w:szCs w:val="25"/>
              </w:rPr>
              <w:t>0</w:t>
            </w:r>
          </w:p>
        </w:tc>
        <w:tc>
          <w:tcPr>
            <w:tcW w:w="1394" w:type="dxa"/>
          </w:tcPr>
          <w:p w:rsidR="007A1337" w:rsidRPr="00685E09" w:rsidRDefault="007A1337"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2.1. valsts pamatbudžets</w:t>
            </w:r>
          </w:p>
        </w:tc>
        <w:tc>
          <w:tcPr>
            <w:tcW w:w="1554" w:type="dxa"/>
          </w:tcPr>
          <w:p w:rsidR="007A1337" w:rsidRPr="00685E09" w:rsidRDefault="007A1337" w:rsidP="007A1337">
            <w:pPr>
              <w:jc w:val="center"/>
              <w:rPr>
                <w:i/>
                <w:sz w:val="25"/>
                <w:szCs w:val="25"/>
              </w:rPr>
            </w:pPr>
            <w:r>
              <w:rPr>
                <w:i/>
                <w:sz w:val="25"/>
                <w:szCs w:val="25"/>
              </w:rPr>
              <w:t>0</w:t>
            </w:r>
          </w:p>
        </w:tc>
        <w:tc>
          <w:tcPr>
            <w:tcW w:w="1394" w:type="dxa"/>
          </w:tcPr>
          <w:p w:rsidR="007A1337" w:rsidRPr="00685E09" w:rsidRDefault="007A1337" w:rsidP="007A1337">
            <w:pPr>
              <w:jc w:val="center"/>
              <w:rPr>
                <w:i/>
                <w:sz w:val="25"/>
                <w:szCs w:val="25"/>
              </w:rPr>
            </w:pPr>
            <w:r>
              <w:rPr>
                <w:i/>
                <w:sz w:val="25"/>
                <w:szCs w:val="25"/>
              </w:rPr>
              <w:t>0</w:t>
            </w:r>
          </w:p>
        </w:tc>
        <w:tc>
          <w:tcPr>
            <w:tcW w:w="1189" w:type="dxa"/>
          </w:tcPr>
          <w:p w:rsidR="007A1337" w:rsidRPr="00685E09" w:rsidRDefault="007A1337" w:rsidP="007A1337">
            <w:pPr>
              <w:jc w:val="center"/>
              <w:rPr>
                <w:i/>
                <w:sz w:val="25"/>
                <w:szCs w:val="25"/>
              </w:rPr>
            </w:pPr>
            <w:r w:rsidRPr="00685E09">
              <w:rPr>
                <w:i/>
                <w:sz w:val="25"/>
                <w:szCs w:val="25"/>
              </w:rPr>
              <w:t>0</w:t>
            </w:r>
          </w:p>
        </w:tc>
        <w:tc>
          <w:tcPr>
            <w:tcW w:w="1194" w:type="dxa"/>
          </w:tcPr>
          <w:p w:rsidR="007A1337" w:rsidRPr="00685E09" w:rsidRDefault="007A1337" w:rsidP="007A1337">
            <w:pPr>
              <w:jc w:val="center"/>
              <w:rPr>
                <w:i/>
                <w:sz w:val="25"/>
                <w:szCs w:val="25"/>
              </w:rPr>
            </w:pPr>
            <w:r w:rsidRPr="00685E09">
              <w:rPr>
                <w:i/>
                <w:sz w:val="25"/>
                <w:szCs w:val="25"/>
              </w:rPr>
              <w:t>0</w:t>
            </w:r>
          </w:p>
        </w:tc>
        <w:tc>
          <w:tcPr>
            <w:tcW w:w="1190" w:type="dxa"/>
          </w:tcPr>
          <w:p w:rsidR="007A1337" w:rsidRPr="00685E09" w:rsidRDefault="007A1337" w:rsidP="007A1337">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2.2.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2.3. pašvaldību budžets </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1A0506">
        <w:trPr>
          <w:jc w:val="center"/>
        </w:trPr>
        <w:tc>
          <w:tcPr>
            <w:tcW w:w="3688" w:type="dxa"/>
          </w:tcPr>
          <w:p w:rsidR="007A1337" w:rsidRPr="00A94035" w:rsidRDefault="007A1337" w:rsidP="007A1337">
            <w:pPr>
              <w:rPr>
                <w:sz w:val="25"/>
                <w:szCs w:val="25"/>
              </w:rPr>
            </w:pPr>
            <w:r w:rsidRPr="00A94035">
              <w:rPr>
                <w:sz w:val="25"/>
                <w:szCs w:val="25"/>
              </w:rPr>
              <w:t>3. Finansiālā ietekme:</w:t>
            </w:r>
          </w:p>
        </w:tc>
        <w:tc>
          <w:tcPr>
            <w:tcW w:w="1554" w:type="dxa"/>
            <w:shd w:val="clear" w:color="auto" w:fill="auto"/>
          </w:tcPr>
          <w:p w:rsidR="007A1337" w:rsidRPr="00685E09" w:rsidRDefault="004A56AF" w:rsidP="007A1337">
            <w:pPr>
              <w:jc w:val="center"/>
              <w:rPr>
                <w:b/>
                <w:sz w:val="25"/>
                <w:szCs w:val="25"/>
              </w:rPr>
            </w:pPr>
            <w:r>
              <w:rPr>
                <w:b/>
                <w:sz w:val="25"/>
                <w:szCs w:val="25"/>
              </w:rPr>
              <w:t>0</w:t>
            </w:r>
          </w:p>
        </w:tc>
        <w:tc>
          <w:tcPr>
            <w:tcW w:w="1394" w:type="dxa"/>
          </w:tcPr>
          <w:p w:rsidR="007A1337" w:rsidRPr="00685E09" w:rsidRDefault="004A56AF"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4A56AF" w:rsidRPr="00A94035" w:rsidTr="009B774A">
        <w:trPr>
          <w:jc w:val="center"/>
        </w:trPr>
        <w:tc>
          <w:tcPr>
            <w:tcW w:w="3688" w:type="dxa"/>
          </w:tcPr>
          <w:p w:rsidR="004A56AF" w:rsidRPr="00A94035" w:rsidRDefault="004A56AF" w:rsidP="004A56AF">
            <w:pPr>
              <w:rPr>
                <w:sz w:val="25"/>
                <w:szCs w:val="25"/>
              </w:rPr>
            </w:pPr>
            <w:r w:rsidRPr="00A94035">
              <w:rPr>
                <w:sz w:val="25"/>
                <w:szCs w:val="25"/>
              </w:rPr>
              <w:t>3.1. valsts pamatbudžets</w:t>
            </w:r>
          </w:p>
        </w:tc>
        <w:tc>
          <w:tcPr>
            <w:tcW w:w="1554" w:type="dxa"/>
            <w:shd w:val="clear" w:color="auto" w:fill="auto"/>
          </w:tcPr>
          <w:p w:rsidR="004A56AF" w:rsidRPr="00685E09" w:rsidRDefault="004A56AF" w:rsidP="004A56AF">
            <w:pPr>
              <w:jc w:val="center"/>
              <w:rPr>
                <w:i/>
                <w:sz w:val="25"/>
                <w:szCs w:val="25"/>
              </w:rPr>
            </w:pPr>
            <w:r>
              <w:rPr>
                <w:i/>
                <w:sz w:val="25"/>
                <w:szCs w:val="25"/>
              </w:rPr>
              <w:t>0</w:t>
            </w:r>
          </w:p>
        </w:tc>
        <w:tc>
          <w:tcPr>
            <w:tcW w:w="1394" w:type="dxa"/>
          </w:tcPr>
          <w:p w:rsidR="004A56AF" w:rsidRPr="00685E09" w:rsidRDefault="004A56AF" w:rsidP="004A56AF">
            <w:pPr>
              <w:jc w:val="center"/>
              <w:rPr>
                <w:i/>
                <w:sz w:val="25"/>
                <w:szCs w:val="25"/>
              </w:rPr>
            </w:pPr>
            <w:r>
              <w:rPr>
                <w:i/>
                <w:sz w:val="25"/>
                <w:szCs w:val="25"/>
              </w:rPr>
              <w:t>0</w:t>
            </w:r>
          </w:p>
        </w:tc>
        <w:tc>
          <w:tcPr>
            <w:tcW w:w="1189" w:type="dxa"/>
          </w:tcPr>
          <w:p w:rsidR="004A56AF" w:rsidRPr="00685E09" w:rsidRDefault="004A56AF" w:rsidP="004A56AF">
            <w:pPr>
              <w:jc w:val="center"/>
              <w:rPr>
                <w:i/>
                <w:sz w:val="25"/>
                <w:szCs w:val="25"/>
              </w:rPr>
            </w:pPr>
            <w:r w:rsidRPr="00685E09">
              <w:rPr>
                <w:i/>
                <w:sz w:val="25"/>
                <w:szCs w:val="25"/>
              </w:rPr>
              <w:t>0</w:t>
            </w:r>
          </w:p>
        </w:tc>
        <w:tc>
          <w:tcPr>
            <w:tcW w:w="1194" w:type="dxa"/>
          </w:tcPr>
          <w:p w:rsidR="004A56AF" w:rsidRPr="00685E09" w:rsidRDefault="004A56AF" w:rsidP="004A56AF">
            <w:pPr>
              <w:jc w:val="center"/>
              <w:rPr>
                <w:i/>
                <w:sz w:val="25"/>
                <w:szCs w:val="25"/>
              </w:rPr>
            </w:pPr>
            <w:r w:rsidRPr="00685E09">
              <w:rPr>
                <w:i/>
                <w:sz w:val="25"/>
                <w:szCs w:val="25"/>
              </w:rPr>
              <w:t>0</w:t>
            </w:r>
          </w:p>
        </w:tc>
        <w:tc>
          <w:tcPr>
            <w:tcW w:w="1190" w:type="dxa"/>
          </w:tcPr>
          <w:p w:rsidR="004A56AF" w:rsidRPr="00685E09" w:rsidRDefault="004A56AF" w:rsidP="004A56AF">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3.2. speciālais budžets</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3.3. pašvaldību budžets </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val="restart"/>
          </w:tcPr>
          <w:p w:rsidR="009B774A" w:rsidRPr="00A94035" w:rsidRDefault="009B774A" w:rsidP="001A0506">
            <w:pPr>
              <w:rPr>
                <w:sz w:val="25"/>
                <w:szCs w:val="25"/>
              </w:rPr>
            </w:pPr>
            <w:r w:rsidRPr="00A94035">
              <w:rPr>
                <w:sz w:val="25"/>
                <w:szCs w:val="25"/>
              </w:rPr>
              <w:t>4. Finanšu līdzekļi papildu izdevumu finansēšanai (kompensējošu izdevumu samazinājumu norāda ar "+" zīmi)</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7A1337" w:rsidP="001A0506">
            <w:pPr>
              <w:jc w:val="center"/>
              <w:rPr>
                <w:sz w:val="25"/>
                <w:szCs w:val="25"/>
              </w:rPr>
            </w:pPr>
            <w:r>
              <w:rPr>
                <w:sz w:val="25"/>
                <w:szCs w:val="25"/>
              </w:rPr>
              <w:t>0</w:t>
            </w:r>
          </w:p>
        </w:tc>
        <w:tc>
          <w:tcPr>
            <w:tcW w:w="1189" w:type="dxa"/>
          </w:tcPr>
          <w:p w:rsidR="009B774A" w:rsidRPr="00A94035" w:rsidRDefault="009B774A" w:rsidP="001A0506">
            <w:pPr>
              <w:jc w:val="center"/>
              <w:rPr>
                <w:sz w:val="25"/>
                <w:szCs w:val="25"/>
              </w:rPr>
            </w:pPr>
            <w:r w:rsidRPr="00A94035">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 Precizēta finansiālā ietekme:</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5.1. valsts pamatbudžets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5.2. speciālais 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5.3. pašvaldību budžets </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 Detalizēts ieņēmumu un izdevumu aprēķins (ja nepie</w:t>
            </w:r>
            <w:r w:rsidRPr="00A94035">
              <w:rPr>
                <w:sz w:val="25"/>
                <w:szCs w:val="25"/>
              </w:rPr>
              <w:softHyphen/>
              <w:t>ciešams, detalizētu ieņēmumu un izdevumu aprēķinu var pie</w:t>
            </w:r>
            <w:r w:rsidRPr="00A94035">
              <w:rPr>
                <w:sz w:val="25"/>
                <w:szCs w:val="25"/>
              </w:rPr>
              <w:softHyphen/>
              <w:t>vienot anotācijas pielikumā):</w:t>
            </w:r>
          </w:p>
        </w:tc>
        <w:tc>
          <w:tcPr>
            <w:tcW w:w="6521" w:type="dxa"/>
            <w:gridSpan w:val="5"/>
            <w:vMerge w:val="restart"/>
            <w:shd w:val="clear" w:color="auto" w:fill="auto"/>
          </w:tcPr>
          <w:p w:rsidR="007667AC" w:rsidRPr="00A94035" w:rsidRDefault="007667AC" w:rsidP="007667AC">
            <w:pPr>
              <w:jc w:val="both"/>
              <w:rPr>
                <w:sz w:val="25"/>
                <w:szCs w:val="25"/>
              </w:rPr>
            </w:pPr>
            <w:r>
              <w:rPr>
                <w:sz w:val="25"/>
                <w:szCs w:val="25"/>
              </w:rPr>
              <w:t>Nav.</w:t>
            </w:r>
          </w:p>
          <w:p w:rsidR="005134ED" w:rsidRPr="00A94035" w:rsidRDefault="005134ED" w:rsidP="00F8643F">
            <w:pPr>
              <w:jc w:val="both"/>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6.1. detalizēts ieņēmumu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6.2. detalizēts izdevumu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12249E">
        <w:trPr>
          <w:trHeight w:val="399"/>
          <w:jc w:val="center"/>
        </w:trPr>
        <w:tc>
          <w:tcPr>
            <w:tcW w:w="3688" w:type="dxa"/>
          </w:tcPr>
          <w:p w:rsidR="009B774A" w:rsidRPr="00A94035" w:rsidRDefault="009B774A" w:rsidP="001A0506">
            <w:pPr>
              <w:rPr>
                <w:sz w:val="25"/>
                <w:szCs w:val="25"/>
              </w:rPr>
            </w:pPr>
            <w:r w:rsidRPr="00A94035">
              <w:rPr>
                <w:sz w:val="25"/>
                <w:szCs w:val="25"/>
              </w:rPr>
              <w:lastRenderedPageBreak/>
              <w:t>7. Cita informācija</w:t>
            </w:r>
          </w:p>
        </w:tc>
        <w:tc>
          <w:tcPr>
            <w:tcW w:w="6521" w:type="dxa"/>
            <w:gridSpan w:val="5"/>
            <w:shd w:val="clear" w:color="auto" w:fill="auto"/>
          </w:tcPr>
          <w:p w:rsidR="009B774A" w:rsidRPr="00C63403" w:rsidRDefault="00C63403" w:rsidP="00843AB5">
            <w:pPr>
              <w:jc w:val="both"/>
              <w:rPr>
                <w:sz w:val="25"/>
                <w:szCs w:val="25"/>
              </w:rPr>
            </w:pPr>
            <w:r>
              <w:rPr>
                <w:sz w:val="25"/>
                <w:szCs w:val="25"/>
              </w:rPr>
              <w:t xml:space="preserve">Kapitālsabiedrības pamatkapitālā ieguldītā </w:t>
            </w:r>
            <w:r w:rsidR="00803457">
              <w:rPr>
                <w:sz w:val="25"/>
                <w:szCs w:val="25"/>
              </w:rPr>
              <w:t>Sporta centra Mežaparks</w:t>
            </w:r>
            <w:r w:rsidR="007C6451">
              <w:rPr>
                <w:sz w:val="25"/>
                <w:szCs w:val="25"/>
              </w:rPr>
              <w:t xml:space="preserve">, kā arī Kapitālsabiedrībai apsaimniekošanā nodotā Burāšanas centra kā nacionālo sporta bāzu saimnieciskās darbības nodrošināšanai no IZM 2014.gada valsts budžeta programmas 09.00.00 “Sports” apakšprogrammas 09.04.00 “Sporta būves” piešķirti </w:t>
            </w:r>
            <w:r w:rsidR="00803457" w:rsidRPr="00803457">
              <w:rPr>
                <w:sz w:val="25"/>
                <w:szCs w:val="25"/>
              </w:rPr>
              <w:t xml:space="preserve">valsts budžeta finanšu līdzekļi (dotācija) </w:t>
            </w:r>
            <w:r w:rsidR="007C6451">
              <w:rPr>
                <w:sz w:val="25"/>
                <w:szCs w:val="25"/>
              </w:rPr>
              <w:t>45</w:t>
            </w:r>
            <w:r w:rsidR="00B65B75">
              <w:rPr>
                <w:sz w:val="25"/>
                <w:szCs w:val="25"/>
              </w:rPr>
              <w:t xml:space="preserve"> </w:t>
            </w:r>
            <w:r w:rsidR="007C6451">
              <w:rPr>
                <w:sz w:val="25"/>
                <w:szCs w:val="25"/>
              </w:rPr>
              <w:t xml:space="preserve">532 </w:t>
            </w:r>
            <w:r w:rsidR="007C6451" w:rsidRPr="007C6451">
              <w:rPr>
                <w:i/>
                <w:sz w:val="25"/>
                <w:szCs w:val="25"/>
              </w:rPr>
              <w:t>euro</w:t>
            </w:r>
            <w:r w:rsidR="007C6451">
              <w:rPr>
                <w:sz w:val="25"/>
                <w:szCs w:val="25"/>
              </w:rPr>
              <w:t xml:space="preserve"> apmērā. </w:t>
            </w:r>
            <w:r w:rsidR="00BC0B52">
              <w:rPr>
                <w:sz w:val="25"/>
                <w:szCs w:val="25"/>
              </w:rPr>
              <w:t xml:space="preserve">Valstij piederošo Kapitālsabiedrības </w:t>
            </w:r>
            <w:r w:rsidR="00CC0D14">
              <w:rPr>
                <w:sz w:val="25"/>
                <w:szCs w:val="25"/>
              </w:rPr>
              <w:t xml:space="preserve">kapitāla daļu </w:t>
            </w:r>
            <w:r w:rsidR="005D564D">
              <w:rPr>
                <w:sz w:val="25"/>
                <w:szCs w:val="25"/>
              </w:rPr>
              <w:t>turētāja maiņa neietekmē minētās dotācijas saglabāšanu</w:t>
            </w:r>
            <w:r w:rsidR="00363F09">
              <w:rPr>
                <w:sz w:val="25"/>
                <w:szCs w:val="25"/>
              </w:rPr>
              <w:t xml:space="preserve">, kā arī </w:t>
            </w:r>
            <w:r w:rsidR="00C30CED">
              <w:rPr>
                <w:sz w:val="25"/>
                <w:szCs w:val="25"/>
              </w:rPr>
              <w:t xml:space="preserve">neierobežo IZM </w:t>
            </w:r>
            <w:r w:rsidR="005161C9">
              <w:rPr>
                <w:sz w:val="25"/>
                <w:szCs w:val="25"/>
              </w:rPr>
              <w:t xml:space="preserve">iespēju </w:t>
            </w:r>
            <w:r w:rsidR="00C30CED">
              <w:rPr>
                <w:sz w:val="25"/>
                <w:szCs w:val="25"/>
              </w:rPr>
              <w:t>tiesību aktos noteiktā kārtībā</w:t>
            </w:r>
            <w:r w:rsidR="00843AB5">
              <w:rPr>
                <w:sz w:val="25"/>
                <w:szCs w:val="25"/>
              </w:rPr>
              <w:t xml:space="preserve"> un valsts budžetā pieejamo līdzekļu ietvaros </w:t>
            </w:r>
            <w:r w:rsidR="00C30CED">
              <w:rPr>
                <w:sz w:val="25"/>
                <w:szCs w:val="25"/>
              </w:rPr>
              <w:t xml:space="preserve">piešķirt </w:t>
            </w:r>
            <w:r w:rsidR="005161C9">
              <w:rPr>
                <w:sz w:val="25"/>
                <w:szCs w:val="25"/>
              </w:rPr>
              <w:t xml:space="preserve">dotāciju </w:t>
            </w:r>
            <w:r w:rsidR="00C30CED">
              <w:rPr>
                <w:sz w:val="25"/>
                <w:szCs w:val="25"/>
              </w:rPr>
              <w:t>Kapitālsabiedrībai a</w:t>
            </w:r>
            <w:r w:rsidR="005161C9">
              <w:rPr>
                <w:sz w:val="25"/>
                <w:szCs w:val="25"/>
              </w:rPr>
              <w:t>rī 2015. un turpmākajos gados.</w:t>
            </w:r>
          </w:p>
        </w:tc>
      </w:tr>
    </w:tbl>
    <w:p w:rsidR="009B774A" w:rsidRDefault="009B774A" w:rsidP="009B774A">
      <w:pPr>
        <w:pStyle w:val="naisf"/>
        <w:tabs>
          <w:tab w:val="left" w:pos="3819"/>
        </w:tabs>
        <w:spacing w:before="0" w:after="0"/>
        <w:ind w:firstLine="0"/>
        <w:rPr>
          <w:sz w:val="26"/>
          <w:szCs w:val="26"/>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26"/>
        <w:gridCol w:w="6521"/>
      </w:tblGrid>
      <w:tr w:rsidR="000B3EC8" w:rsidRPr="000B3EC8" w:rsidTr="000B3EC8">
        <w:trPr>
          <w:trHeight w:val="399"/>
          <w:jc w:val="center"/>
        </w:trPr>
        <w:tc>
          <w:tcPr>
            <w:tcW w:w="10209" w:type="dxa"/>
            <w:gridSpan w:val="3"/>
            <w:vAlign w:val="center"/>
          </w:tcPr>
          <w:p w:rsidR="000B3EC8" w:rsidRPr="000B3EC8" w:rsidRDefault="000B3EC8" w:rsidP="000B3EC8">
            <w:pPr>
              <w:jc w:val="center"/>
              <w:rPr>
                <w:b/>
                <w:sz w:val="25"/>
                <w:szCs w:val="25"/>
              </w:rPr>
            </w:pPr>
            <w:r w:rsidRPr="000B3EC8">
              <w:rPr>
                <w:b/>
                <w:sz w:val="25"/>
                <w:szCs w:val="25"/>
              </w:rPr>
              <w:t>IV. Tiesību akta projekta ietekme uz spēkā esošo tiesību normu sistēmu</w:t>
            </w:r>
          </w:p>
        </w:tc>
      </w:tr>
      <w:tr w:rsidR="000B3EC8" w:rsidRPr="00A94035" w:rsidTr="005E40D9">
        <w:trPr>
          <w:trHeight w:val="399"/>
          <w:jc w:val="center"/>
        </w:trPr>
        <w:tc>
          <w:tcPr>
            <w:tcW w:w="562" w:type="dxa"/>
          </w:tcPr>
          <w:p w:rsidR="000B3EC8" w:rsidRPr="00A94035" w:rsidRDefault="000B3EC8" w:rsidP="005E40D9">
            <w:pPr>
              <w:jc w:val="center"/>
              <w:rPr>
                <w:sz w:val="25"/>
                <w:szCs w:val="25"/>
              </w:rPr>
            </w:pPr>
            <w:r>
              <w:rPr>
                <w:sz w:val="25"/>
                <w:szCs w:val="25"/>
              </w:rPr>
              <w:t>1.</w:t>
            </w:r>
          </w:p>
        </w:tc>
        <w:tc>
          <w:tcPr>
            <w:tcW w:w="3126" w:type="dxa"/>
          </w:tcPr>
          <w:p w:rsidR="000B3EC8" w:rsidRPr="00A94035" w:rsidRDefault="000B3EC8" w:rsidP="000B3EC8">
            <w:pPr>
              <w:jc w:val="both"/>
              <w:rPr>
                <w:sz w:val="25"/>
                <w:szCs w:val="25"/>
              </w:rPr>
            </w:pPr>
            <w:r w:rsidRPr="000B3EC8">
              <w:rPr>
                <w:sz w:val="25"/>
                <w:szCs w:val="25"/>
              </w:rPr>
              <w:t>Nepieciešamie saistītie tiesību aktu projekti</w:t>
            </w:r>
          </w:p>
        </w:tc>
        <w:tc>
          <w:tcPr>
            <w:tcW w:w="6521" w:type="dxa"/>
            <w:shd w:val="clear" w:color="auto" w:fill="auto"/>
          </w:tcPr>
          <w:p w:rsidR="000B3EC8" w:rsidRDefault="000B3EC8" w:rsidP="000B3EC8">
            <w:pPr>
              <w:jc w:val="both"/>
              <w:rPr>
                <w:sz w:val="25"/>
                <w:szCs w:val="25"/>
              </w:rPr>
            </w:pPr>
            <w:r>
              <w:rPr>
                <w:sz w:val="25"/>
                <w:szCs w:val="25"/>
              </w:rPr>
              <w:t>Saistībā ar v</w:t>
            </w:r>
            <w:r w:rsidRPr="000B3EC8">
              <w:rPr>
                <w:sz w:val="25"/>
                <w:szCs w:val="25"/>
              </w:rPr>
              <w:t>alstij piederošo Kapitālsabiedrības kapitāla daļu turētāja maiņ</w:t>
            </w:r>
            <w:r>
              <w:rPr>
                <w:sz w:val="25"/>
                <w:szCs w:val="25"/>
              </w:rPr>
              <w:t>u</w:t>
            </w:r>
            <w:r w:rsidRPr="000B3EC8">
              <w:rPr>
                <w:sz w:val="25"/>
                <w:szCs w:val="25"/>
              </w:rPr>
              <w:t xml:space="preserve"> nepieciešams izdarīt Grozījumus Ministru kabineta 2003.gada </w:t>
            </w:r>
            <w:r>
              <w:rPr>
                <w:sz w:val="25"/>
                <w:szCs w:val="25"/>
              </w:rPr>
              <w:t>16.septembra noteikumos Nr.528 “</w:t>
            </w:r>
            <w:r w:rsidRPr="000B3EC8">
              <w:rPr>
                <w:sz w:val="25"/>
                <w:szCs w:val="25"/>
              </w:rPr>
              <w:t>Izglītības un zinātnes ministrijas nolikums” (svītrojot 25.7.apakšpunktu)</w:t>
            </w:r>
            <w:r>
              <w:rPr>
                <w:sz w:val="25"/>
                <w:szCs w:val="25"/>
              </w:rPr>
              <w:t xml:space="preserve">, kā arī </w:t>
            </w:r>
            <w:r w:rsidRPr="000B3EC8">
              <w:rPr>
                <w:sz w:val="25"/>
                <w:szCs w:val="25"/>
              </w:rPr>
              <w:t>izdarīt Grozījumus Ministru kabineta 2003.gada 29.aprīļ</w:t>
            </w:r>
            <w:r>
              <w:rPr>
                <w:sz w:val="25"/>
                <w:szCs w:val="25"/>
              </w:rPr>
              <w:t>a noteikumos Nr.239 “</w:t>
            </w:r>
            <w:r w:rsidRPr="000B3EC8">
              <w:rPr>
                <w:sz w:val="25"/>
                <w:szCs w:val="25"/>
              </w:rPr>
              <w:t>Finanšu ministrijas nolikums”</w:t>
            </w:r>
            <w:r>
              <w:rPr>
                <w:sz w:val="25"/>
                <w:szCs w:val="25"/>
              </w:rPr>
              <w:t xml:space="preserve"> (papildinot 25.punktā minēto kapitālsabiedrību sarakstu, kurās Finanšu m</w:t>
            </w:r>
            <w:r w:rsidRPr="000B3EC8">
              <w:rPr>
                <w:sz w:val="25"/>
                <w:szCs w:val="25"/>
              </w:rPr>
              <w:t>inistrija ir valsts kapitāla daļu turētāja</w:t>
            </w:r>
            <w:r>
              <w:rPr>
                <w:sz w:val="25"/>
                <w:szCs w:val="25"/>
              </w:rPr>
              <w:t>, ar Kapitālsabiedrību).</w:t>
            </w:r>
          </w:p>
        </w:tc>
      </w:tr>
      <w:tr w:rsidR="000B3EC8" w:rsidRPr="00A94035" w:rsidTr="005E40D9">
        <w:trPr>
          <w:trHeight w:val="399"/>
          <w:jc w:val="center"/>
        </w:trPr>
        <w:tc>
          <w:tcPr>
            <w:tcW w:w="562" w:type="dxa"/>
          </w:tcPr>
          <w:p w:rsidR="000B3EC8" w:rsidRDefault="000B3EC8" w:rsidP="005E40D9">
            <w:pPr>
              <w:jc w:val="center"/>
              <w:rPr>
                <w:sz w:val="25"/>
                <w:szCs w:val="25"/>
              </w:rPr>
            </w:pPr>
            <w:r>
              <w:rPr>
                <w:sz w:val="25"/>
                <w:szCs w:val="25"/>
              </w:rPr>
              <w:t>2.</w:t>
            </w:r>
          </w:p>
        </w:tc>
        <w:tc>
          <w:tcPr>
            <w:tcW w:w="3126" w:type="dxa"/>
          </w:tcPr>
          <w:p w:rsidR="000B3EC8" w:rsidRPr="00A94035" w:rsidRDefault="000B3EC8" w:rsidP="000B3EC8">
            <w:pPr>
              <w:jc w:val="both"/>
              <w:rPr>
                <w:sz w:val="25"/>
                <w:szCs w:val="25"/>
              </w:rPr>
            </w:pPr>
            <w:r w:rsidRPr="000B3EC8">
              <w:rPr>
                <w:sz w:val="25"/>
                <w:szCs w:val="25"/>
              </w:rPr>
              <w:t>Atbildīgā institūcija</w:t>
            </w:r>
          </w:p>
        </w:tc>
        <w:tc>
          <w:tcPr>
            <w:tcW w:w="6521" w:type="dxa"/>
            <w:shd w:val="clear" w:color="auto" w:fill="auto"/>
          </w:tcPr>
          <w:p w:rsidR="000B3EC8" w:rsidRDefault="000B3EC8" w:rsidP="000B3EC8">
            <w:pPr>
              <w:jc w:val="both"/>
              <w:rPr>
                <w:sz w:val="25"/>
                <w:szCs w:val="25"/>
              </w:rPr>
            </w:pPr>
            <w:r>
              <w:rPr>
                <w:sz w:val="25"/>
                <w:szCs w:val="25"/>
              </w:rPr>
              <w:t xml:space="preserve">Par grozījumu izstrādi </w:t>
            </w:r>
            <w:r w:rsidRPr="000B3EC8">
              <w:rPr>
                <w:sz w:val="25"/>
                <w:szCs w:val="25"/>
              </w:rPr>
              <w:t xml:space="preserve">Ministru kabineta 2003.gada </w:t>
            </w:r>
            <w:r>
              <w:rPr>
                <w:sz w:val="25"/>
                <w:szCs w:val="25"/>
              </w:rPr>
              <w:t>16.septembra noteikumos Nr.528 “</w:t>
            </w:r>
            <w:r w:rsidRPr="000B3EC8">
              <w:rPr>
                <w:sz w:val="25"/>
                <w:szCs w:val="25"/>
              </w:rPr>
              <w:t>Izglītības un zinātnes ministrijas nolikums”</w:t>
            </w:r>
            <w:r>
              <w:rPr>
                <w:sz w:val="25"/>
                <w:szCs w:val="25"/>
              </w:rPr>
              <w:t xml:space="preserve"> atbildīg</w:t>
            </w:r>
            <w:r w:rsidR="00147CBF">
              <w:rPr>
                <w:sz w:val="25"/>
                <w:szCs w:val="25"/>
              </w:rPr>
              <w:t>ā institūcija ir IZM, savukārt p</w:t>
            </w:r>
            <w:r>
              <w:rPr>
                <w:sz w:val="25"/>
                <w:szCs w:val="25"/>
              </w:rPr>
              <w:t xml:space="preserve">ar grozījumu izstrādi </w:t>
            </w:r>
            <w:r w:rsidRPr="000B3EC8">
              <w:rPr>
                <w:sz w:val="25"/>
                <w:szCs w:val="25"/>
              </w:rPr>
              <w:t>Ministru kabineta 2003.gada 29.aprīļ</w:t>
            </w:r>
            <w:r>
              <w:rPr>
                <w:sz w:val="25"/>
                <w:szCs w:val="25"/>
              </w:rPr>
              <w:t>a noteikumos Nr.239 “</w:t>
            </w:r>
            <w:r w:rsidRPr="000B3EC8">
              <w:rPr>
                <w:sz w:val="25"/>
                <w:szCs w:val="25"/>
              </w:rPr>
              <w:t>Finanšu ministrijas nolikums”</w:t>
            </w:r>
            <w:r>
              <w:rPr>
                <w:sz w:val="25"/>
                <w:szCs w:val="25"/>
              </w:rPr>
              <w:t xml:space="preserve"> atbildīgā institūcija ir Finanšu ministrija.</w:t>
            </w:r>
            <w:r w:rsidR="00147CBF">
              <w:rPr>
                <w:sz w:val="25"/>
                <w:szCs w:val="25"/>
              </w:rPr>
              <w:t xml:space="preserve"> </w:t>
            </w:r>
            <w:r w:rsidR="000219F0">
              <w:rPr>
                <w:sz w:val="25"/>
                <w:szCs w:val="25"/>
              </w:rPr>
              <w:t>Grozījumus iepriekšminētajos Ministru kabineta noteikumos var izdarīt vienlaikus ar citiem nepieciešamajiem grozījumiem.</w:t>
            </w:r>
          </w:p>
        </w:tc>
      </w:tr>
      <w:tr w:rsidR="000B3EC8" w:rsidRPr="00A94035" w:rsidTr="005E40D9">
        <w:trPr>
          <w:trHeight w:val="399"/>
          <w:jc w:val="center"/>
        </w:trPr>
        <w:tc>
          <w:tcPr>
            <w:tcW w:w="562" w:type="dxa"/>
          </w:tcPr>
          <w:p w:rsidR="000B3EC8" w:rsidRDefault="000B3EC8" w:rsidP="005E40D9">
            <w:pPr>
              <w:jc w:val="center"/>
              <w:rPr>
                <w:sz w:val="25"/>
                <w:szCs w:val="25"/>
              </w:rPr>
            </w:pPr>
            <w:r>
              <w:rPr>
                <w:sz w:val="25"/>
                <w:szCs w:val="25"/>
              </w:rPr>
              <w:t>3.</w:t>
            </w:r>
          </w:p>
        </w:tc>
        <w:tc>
          <w:tcPr>
            <w:tcW w:w="3126" w:type="dxa"/>
          </w:tcPr>
          <w:p w:rsidR="000B3EC8" w:rsidRPr="00A94035" w:rsidRDefault="000B3EC8" w:rsidP="000B3EC8">
            <w:pPr>
              <w:jc w:val="both"/>
              <w:rPr>
                <w:sz w:val="25"/>
                <w:szCs w:val="25"/>
              </w:rPr>
            </w:pPr>
            <w:r w:rsidRPr="000B3EC8">
              <w:rPr>
                <w:sz w:val="25"/>
                <w:szCs w:val="25"/>
              </w:rPr>
              <w:t>Cita informācija</w:t>
            </w:r>
          </w:p>
        </w:tc>
        <w:tc>
          <w:tcPr>
            <w:tcW w:w="6521" w:type="dxa"/>
            <w:shd w:val="clear" w:color="auto" w:fill="auto"/>
          </w:tcPr>
          <w:p w:rsidR="000B3EC8" w:rsidRDefault="000B3EC8" w:rsidP="005A04D1">
            <w:pPr>
              <w:jc w:val="both"/>
              <w:rPr>
                <w:sz w:val="25"/>
                <w:szCs w:val="25"/>
              </w:rPr>
            </w:pPr>
            <w:r>
              <w:rPr>
                <w:sz w:val="25"/>
                <w:szCs w:val="25"/>
              </w:rPr>
              <w:t>Nav.</w:t>
            </w:r>
          </w:p>
        </w:tc>
      </w:tr>
    </w:tbl>
    <w:p w:rsidR="000B3EC8" w:rsidRDefault="000B3EC8" w:rsidP="009B774A">
      <w:pPr>
        <w:pStyle w:val="naisf"/>
        <w:tabs>
          <w:tab w:val="left" w:pos="3819"/>
        </w:tabs>
        <w:spacing w:before="0" w:after="0"/>
        <w:ind w:firstLine="0"/>
        <w:rPr>
          <w:sz w:val="26"/>
          <w:szCs w:val="26"/>
        </w:rPr>
      </w:pPr>
    </w:p>
    <w:p w:rsidR="001F23A6" w:rsidRPr="000B3EC8" w:rsidRDefault="001F23A6" w:rsidP="001F23A6">
      <w:pPr>
        <w:rPr>
          <w:i/>
          <w:sz w:val="26"/>
          <w:szCs w:val="26"/>
        </w:rPr>
      </w:pPr>
      <w:r w:rsidRPr="000B3EC8">
        <w:rPr>
          <w:i/>
          <w:sz w:val="26"/>
          <w:szCs w:val="26"/>
        </w:rPr>
        <w:t xml:space="preserve">Anotācijas </w:t>
      </w:r>
      <w:r w:rsidR="0002179F" w:rsidRPr="000B3EC8">
        <w:rPr>
          <w:i/>
          <w:sz w:val="26"/>
          <w:szCs w:val="26"/>
        </w:rPr>
        <w:t xml:space="preserve">II, V, VI un VII </w:t>
      </w:r>
      <w:r w:rsidRPr="000B3EC8">
        <w:rPr>
          <w:i/>
          <w:sz w:val="26"/>
          <w:szCs w:val="26"/>
        </w:rPr>
        <w:t>sadaļa – Rīkojuma projekts šīs jomas neskar.</w:t>
      </w:r>
    </w:p>
    <w:p w:rsidR="00585B7B" w:rsidRDefault="00585B7B" w:rsidP="00D96FCD">
      <w:pPr>
        <w:rPr>
          <w:sz w:val="26"/>
          <w:szCs w:val="26"/>
        </w:rPr>
      </w:pPr>
    </w:p>
    <w:p w:rsidR="009D2B33" w:rsidRPr="00C13B05" w:rsidRDefault="009D2B33"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005A9D">
        <w:rPr>
          <w:sz w:val="26"/>
          <w:szCs w:val="26"/>
        </w:rPr>
        <w:t>I</w:t>
      </w:r>
      <w:r w:rsidR="002F3C73">
        <w:rPr>
          <w:sz w:val="26"/>
          <w:szCs w:val="26"/>
        </w:rPr>
        <w:t xml:space="preserve">na </w:t>
      </w:r>
      <w:r w:rsidR="00005A9D">
        <w:rPr>
          <w:sz w:val="26"/>
          <w:szCs w:val="26"/>
        </w:rPr>
        <w:t>Druviete</w:t>
      </w:r>
    </w:p>
    <w:p w:rsidR="00585B7B" w:rsidRPr="00C13B05" w:rsidRDefault="00585B7B" w:rsidP="00D96FCD">
      <w:pPr>
        <w:rPr>
          <w:sz w:val="26"/>
          <w:szCs w:val="26"/>
        </w:rPr>
      </w:pPr>
    </w:p>
    <w:p w:rsidR="004560F5" w:rsidRPr="00C13B05" w:rsidRDefault="004560F5" w:rsidP="00D96FCD">
      <w:pPr>
        <w:rPr>
          <w:sz w:val="26"/>
          <w:szCs w:val="26"/>
        </w:rPr>
      </w:pPr>
    </w:p>
    <w:p w:rsidR="0077133D" w:rsidRDefault="00545639" w:rsidP="00481F9B">
      <w:pPr>
        <w:ind w:firstLine="709"/>
        <w:jc w:val="both"/>
        <w:rPr>
          <w:sz w:val="22"/>
          <w:szCs w:val="22"/>
        </w:rPr>
      </w:pPr>
      <w:r w:rsidRPr="00545639">
        <w:rPr>
          <w:sz w:val="26"/>
          <w:szCs w:val="26"/>
        </w:rPr>
        <w:t>Valsts sekretār</w:t>
      </w:r>
      <w:r w:rsidR="00481F9B">
        <w:rPr>
          <w:sz w:val="26"/>
          <w:szCs w:val="26"/>
        </w:rPr>
        <w:t>e</w:t>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2F3C73">
        <w:rPr>
          <w:sz w:val="26"/>
          <w:szCs w:val="26"/>
        </w:rPr>
        <w:t xml:space="preserve">Sanda </w:t>
      </w:r>
      <w:r w:rsidR="00481F9B">
        <w:rPr>
          <w:sz w:val="26"/>
          <w:szCs w:val="26"/>
        </w:rPr>
        <w:t>Liepiņa</w:t>
      </w:r>
    </w:p>
    <w:p w:rsidR="00C451CB" w:rsidRDefault="00C451CB" w:rsidP="00D96FCD">
      <w:pPr>
        <w:jc w:val="both"/>
        <w:rPr>
          <w:sz w:val="22"/>
          <w:szCs w:val="22"/>
        </w:rPr>
      </w:pPr>
    </w:p>
    <w:p w:rsidR="005134ED" w:rsidRDefault="005134ED" w:rsidP="00D96FCD">
      <w:pPr>
        <w:jc w:val="both"/>
        <w:rPr>
          <w:sz w:val="22"/>
          <w:szCs w:val="22"/>
        </w:rPr>
      </w:pPr>
    </w:p>
    <w:p w:rsidR="002F3C73" w:rsidRPr="002F3C73" w:rsidRDefault="00C30CED" w:rsidP="002F3C73">
      <w:pPr>
        <w:ind w:left="720"/>
        <w:rPr>
          <w:sz w:val="22"/>
          <w:szCs w:val="22"/>
        </w:rPr>
      </w:pPr>
      <w:r>
        <w:rPr>
          <w:sz w:val="22"/>
          <w:szCs w:val="22"/>
        </w:rPr>
        <w:t>13</w:t>
      </w:r>
      <w:r w:rsidR="0053293C">
        <w:rPr>
          <w:sz w:val="22"/>
          <w:szCs w:val="22"/>
        </w:rPr>
        <w:t>.0</w:t>
      </w:r>
      <w:r w:rsidR="00180E6B">
        <w:rPr>
          <w:sz w:val="22"/>
          <w:szCs w:val="22"/>
        </w:rPr>
        <w:t>6</w:t>
      </w:r>
      <w:r w:rsidR="0053293C">
        <w:rPr>
          <w:sz w:val="22"/>
          <w:szCs w:val="22"/>
        </w:rPr>
        <w:t xml:space="preserve">.2014. </w:t>
      </w:r>
      <w:r w:rsidR="00D361DC">
        <w:rPr>
          <w:sz w:val="22"/>
          <w:szCs w:val="22"/>
        </w:rPr>
        <w:t>10</w:t>
      </w:r>
      <w:r w:rsidR="00C602CC">
        <w:rPr>
          <w:sz w:val="22"/>
          <w:szCs w:val="22"/>
        </w:rPr>
        <w:t>:</w:t>
      </w:r>
      <w:r w:rsidR="00D84EAF">
        <w:rPr>
          <w:sz w:val="22"/>
          <w:szCs w:val="22"/>
        </w:rPr>
        <w:t>57</w:t>
      </w:r>
    </w:p>
    <w:p w:rsidR="002F3C73" w:rsidRPr="002F3C73" w:rsidRDefault="000219F0" w:rsidP="002F3C73">
      <w:pPr>
        <w:ind w:left="720"/>
        <w:rPr>
          <w:sz w:val="22"/>
          <w:szCs w:val="22"/>
        </w:rPr>
      </w:pPr>
      <w:r>
        <w:rPr>
          <w:sz w:val="22"/>
          <w:szCs w:val="22"/>
        </w:rPr>
        <w:t>2</w:t>
      </w:r>
      <w:r w:rsidR="00AA170E">
        <w:rPr>
          <w:sz w:val="22"/>
          <w:szCs w:val="22"/>
        </w:rPr>
        <w:t>388</w:t>
      </w:r>
    </w:p>
    <w:p w:rsidR="002F3C73" w:rsidRPr="002F3C73" w:rsidRDefault="002F3C73" w:rsidP="002F3C73">
      <w:pPr>
        <w:ind w:left="720"/>
        <w:rPr>
          <w:sz w:val="22"/>
          <w:szCs w:val="22"/>
        </w:rPr>
      </w:pPr>
      <w:r w:rsidRPr="002F3C73">
        <w:rPr>
          <w:sz w:val="22"/>
          <w:szCs w:val="22"/>
        </w:rPr>
        <w:t>Izglītības un zinātnes ministrijas</w:t>
      </w:r>
    </w:p>
    <w:p w:rsidR="002F3C73" w:rsidRPr="002F3C73" w:rsidRDefault="002F3C73" w:rsidP="002F3C73">
      <w:pPr>
        <w:ind w:left="720"/>
        <w:rPr>
          <w:sz w:val="22"/>
          <w:szCs w:val="22"/>
        </w:rPr>
      </w:pPr>
      <w:r w:rsidRPr="002F3C73">
        <w:rPr>
          <w:sz w:val="22"/>
          <w:szCs w:val="22"/>
        </w:rPr>
        <w:t>Sporta departamenta</w:t>
      </w:r>
    </w:p>
    <w:p w:rsidR="002F3C73" w:rsidRPr="002F3C73" w:rsidRDefault="002F3C73" w:rsidP="002F3C73">
      <w:pPr>
        <w:ind w:left="720"/>
        <w:rPr>
          <w:sz w:val="22"/>
          <w:szCs w:val="22"/>
        </w:rPr>
      </w:pPr>
      <w:r w:rsidRPr="002F3C73">
        <w:rPr>
          <w:sz w:val="22"/>
          <w:szCs w:val="22"/>
        </w:rPr>
        <w:t>direktora vietnieks 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444226">
      <w:headerReference w:type="default" r:id="rId7"/>
      <w:footerReference w:type="default" r:id="rId8"/>
      <w:footerReference w:type="first" r:id="rId9"/>
      <w:pgSz w:w="11906" w:h="16838" w:code="9"/>
      <w:pgMar w:top="1418" w:right="1134" w:bottom="1134" w:left="1701" w:header="567"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99" w:rsidRDefault="00EB1899" w:rsidP="00123E9B">
      <w:r>
        <w:separator/>
      </w:r>
    </w:p>
  </w:endnote>
  <w:endnote w:type="continuationSeparator" w:id="0">
    <w:p w:rsidR="00EB1899" w:rsidRDefault="00EB189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020664" w:rsidRDefault="005D564D" w:rsidP="00020664">
    <w:pPr>
      <w:jc w:val="both"/>
    </w:pPr>
    <w:r>
      <w:rPr>
        <w:sz w:val="22"/>
        <w:szCs w:val="22"/>
      </w:rPr>
      <w:t>IZMAnot_</w:t>
    </w:r>
    <w:r w:rsidR="00132473">
      <w:rPr>
        <w:sz w:val="22"/>
        <w:szCs w:val="22"/>
      </w:rPr>
      <w:t>13</w:t>
    </w:r>
    <w:r w:rsidR="00180E6B">
      <w:rPr>
        <w:sz w:val="22"/>
        <w:szCs w:val="22"/>
      </w:rPr>
      <w:t>06</w:t>
    </w:r>
    <w:r>
      <w:rPr>
        <w:sz w:val="22"/>
        <w:szCs w:val="22"/>
      </w:rPr>
      <w:t>14_Mezaparks</w:t>
    </w:r>
    <w:r w:rsidRPr="004816F6">
      <w:rPr>
        <w:sz w:val="22"/>
        <w:szCs w:val="22"/>
      </w:rPr>
      <w:t xml:space="preserve">; Ministru kabineta rīkojuma projekta </w:t>
    </w:r>
    <w:r>
      <w:rPr>
        <w:sz w:val="22"/>
        <w:szCs w:val="22"/>
      </w:rPr>
      <w:t>“</w:t>
    </w:r>
    <w:r w:rsidRPr="00020664">
      <w:rPr>
        <w:sz w:val="22"/>
        <w:szCs w:val="22"/>
      </w:rPr>
      <w:t>Par valsts kapitāla daļu turētāju sabiedrībā ar ierobežotu atbildību “Sporta centrs “Mežaparks””</w:t>
    </w:r>
    <w:r w:rsidRPr="004816F6">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1D3147">
    <w:pPr>
      <w:jc w:val="both"/>
      <w:rPr>
        <w:sz w:val="22"/>
        <w:szCs w:val="22"/>
      </w:rPr>
    </w:pPr>
    <w:r>
      <w:rPr>
        <w:sz w:val="22"/>
        <w:szCs w:val="22"/>
      </w:rPr>
      <w:t>IZMAnot_</w:t>
    </w:r>
    <w:r w:rsidR="00132473">
      <w:rPr>
        <w:sz w:val="22"/>
        <w:szCs w:val="22"/>
      </w:rPr>
      <w:t>13</w:t>
    </w:r>
    <w:r>
      <w:rPr>
        <w:sz w:val="22"/>
        <w:szCs w:val="22"/>
      </w:rPr>
      <w:t>0</w:t>
    </w:r>
    <w:r w:rsidR="00180E6B">
      <w:rPr>
        <w:sz w:val="22"/>
        <w:szCs w:val="22"/>
      </w:rPr>
      <w:t>6</w:t>
    </w:r>
    <w:r>
      <w:rPr>
        <w:sz w:val="22"/>
        <w:szCs w:val="22"/>
      </w:rPr>
      <w:t>14_Mezaparks</w:t>
    </w:r>
    <w:r w:rsidRPr="004816F6">
      <w:rPr>
        <w:sz w:val="22"/>
        <w:szCs w:val="22"/>
      </w:rPr>
      <w:t xml:space="preserve">; Ministru kabineta rīkojuma projekta </w:t>
    </w:r>
    <w:r>
      <w:rPr>
        <w:sz w:val="22"/>
        <w:szCs w:val="22"/>
      </w:rPr>
      <w:t>“</w:t>
    </w:r>
    <w:r w:rsidRPr="00020664">
      <w:rPr>
        <w:sz w:val="22"/>
        <w:szCs w:val="22"/>
      </w:rPr>
      <w:t>Par valsts kapitāla daļu turētāju sabiedrībā ar ierobežotu atbildību “Sporta centrs “Mežaparks””</w:t>
    </w:r>
    <w:r w:rsidRPr="004816F6">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99" w:rsidRDefault="00EB1899" w:rsidP="00123E9B">
      <w:r>
        <w:separator/>
      </w:r>
    </w:p>
  </w:footnote>
  <w:footnote w:type="continuationSeparator" w:id="0">
    <w:p w:rsidR="00EB1899" w:rsidRDefault="00EB1899"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8629E0">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4">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9">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7"/>
  </w:num>
  <w:num w:numId="3">
    <w:abstractNumId w:val="6"/>
  </w:num>
  <w:num w:numId="4">
    <w:abstractNumId w:val="9"/>
  </w:num>
  <w:num w:numId="5">
    <w:abstractNumId w:val="4"/>
  </w:num>
  <w:num w:numId="6">
    <w:abstractNumId w:val="5"/>
  </w:num>
  <w:num w:numId="7">
    <w:abstractNumId w:val="1"/>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F6"/>
    <w:rsid w:val="00080CC1"/>
    <w:rsid w:val="00081477"/>
    <w:rsid w:val="00081CE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76F8"/>
    <w:rsid w:val="00137FAC"/>
    <w:rsid w:val="001413A9"/>
    <w:rsid w:val="00143747"/>
    <w:rsid w:val="00147CBF"/>
    <w:rsid w:val="00147D9A"/>
    <w:rsid w:val="00150D62"/>
    <w:rsid w:val="00152C87"/>
    <w:rsid w:val="00156760"/>
    <w:rsid w:val="00157F12"/>
    <w:rsid w:val="00161261"/>
    <w:rsid w:val="0016142A"/>
    <w:rsid w:val="00162670"/>
    <w:rsid w:val="001673FC"/>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4045"/>
    <w:rsid w:val="00295345"/>
    <w:rsid w:val="002975AC"/>
    <w:rsid w:val="002A1E5B"/>
    <w:rsid w:val="002A41DA"/>
    <w:rsid w:val="002A6F37"/>
    <w:rsid w:val="002B03B2"/>
    <w:rsid w:val="002B3051"/>
    <w:rsid w:val="002B4D56"/>
    <w:rsid w:val="002B5C0B"/>
    <w:rsid w:val="002B6351"/>
    <w:rsid w:val="002B6933"/>
    <w:rsid w:val="002B784B"/>
    <w:rsid w:val="002C0946"/>
    <w:rsid w:val="002C2590"/>
    <w:rsid w:val="002C2C3F"/>
    <w:rsid w:val="002C50CA"/>
    <w:rsid w:val="002C602F"/>
    <w:rsid w:val="002C7C2B"/>
    <w:rsid w:val="002D4F98"/>
    <w:rsid w:val="002D50D6"/>
    <w:rsid w:val="002D5DA0"/>
    <w:rsid w:val="002D77A9"/>
    <w:rsid w:val="002E011D"/>
    <w:rsid w:val="002E0B47"/>
    <w:rsid w:val="002E0BB9"/>
    <w:rsid w:val="002E40BB"/>
    <w:rsid w:val="002E6A3D"/>
    <w:rsid w:val="002F120E"/>
    <w:rsid w:val="002F25B0"/>
    <w:rsid w:val="002F3C73"/>
    <w:rsid w:val="002F4472"/>
    <w:rsid w:val="002F5953"/>
    <w:rsid w:val="002F5EAC"/>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7957"/>
    <w:rsid w:val="003705EF"/>
    <w:rsid w:val="003719EC"/>
    <w:rsid w:val="00376CEF"/>
    <w:rsid w:val="003773F8"/>
    <w:rsid w:val="00381A75"/>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691E"/>
    <w:rsid w:val="003D01AF"/>
    <w:rsid w:val="003D4908"/>
    <w:rsid w:val="003D7335"/>
    <w:rsid w:val="003E40B5"/>
    <w:rsid w:val="003E4A67"/>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5F7B"/>
    <w:rsid w:val="00416FC9"/>
    <w:rsid w:val="00417538"/>
    <w:rsid w:val="004177B4"/>
    <w:rsid w:val="0041793F"/>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6E6C"/>
    <w:rsid w:val="00467FEB"/>
    <w:rsid w:val="00472637"/>
    <w:rsid w:val="0047336E"/>
    <w:rsid w:val="00474099"/>
    <w:rsid w:val="004763AC"/>
    <w:rsid w:val="00476508"/>
    <w:rsid w:val="004800CF"/>
    <w:rsid w:val="004804CE"/>
    <w:rsid w:val="00480A79"/>
    <w:rsid w:val="004816F6"/>
    <w:rsid w:val="00481F9B"/>
    <w:rsid w:val="004821A5"/>
    <w:rsid w:val="00482B4C"/>
    <w:rsid w:val="0048376B"/>
    <w:rsid w:val="00486A8A"/>
    <w:rsid w:val="004925F7"/>
    <w:rsid w:val="004940B7"/>
    <w:rsid w:val="0049673D"/>
    <w:rsid w:val="00496E04"/>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4B60"/>
    <w:rsid w:val="004E607D"/>
    <w:rsid w:val="004F14C5"/>
    <w:rsid w:val="004F3806"/>
    <w:rsid w:val="004F3D0D"/>
    <w:rsid w:val="004F788C"/>
    <w:rsid w:val="00503618"/>
    <w:rsid w:val="00504DBF"/>
    <w:rsid w:val="00506F79"/>
    <w:rsid w:val="005134ED"/>
    <w:rsid w:val="00514C25"/>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B1E9C"/>
    <w:rsid w:val="005B31E6"/>
    <w:rsid w:val="005B4B22"/>
    <w:rsid w:val="005B5C5C"/>
    <w:rsid w:val="005C1641"/>
    <w:rsid w:val="005C1BC7"/>
    <w:rsid w:val="005C278A"/>
    <w:rsid w:val="005C32C9"/>
    <w:rsid w:val="005C3A56"/>
    <w:rsid w:val="005C3A67"/>
    <w:rsid w:val="005C5513"/>
    <w:rsid w:val="005C5DB9"/>
    <w:rsid w:val="005C5E85"/>
    <w:rsid w:val="005C6B8A"/>
    <w:rsid w:val="005C7471"/>
    <w:rsid w:val="005D05F2"/>
    <w:rsid w:val="005D2C19"/>
    <w:rsid w:val="005D4A0C"/>
    <w:rsid w:val="005D564D"/>
    <w:rsid w:val="005D64B0"/>
    <w:rsid w:val="005D6B61"/>
    <w:rsid w:val="005D6B8A"/>
    <w:rsid w:val="005E40D9"/>
    <w:rsid w:val="005E4159"/>
    <w:rsid w:val="005E4DF4"/>
    <w:rsid w:val="005F22A7"/>
    <w:rsid w:val="005F3AA1"/>
    <w:rsid w:val="005F6A42"/>
    <w:rsid w:val="00600E7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93071"/>
    <w:rsid w:val="00693E2C"/>
    <w:rsid w:val="00694574"/>
    <w:rsid w:val="00697E73"/>
    <w:rsid w:val="006A20B2"/>
    <w:rsid w:val="006A3F8B"/>
    <w:rsid w:val="006A5B29"/>
    <w:rsid w:val="006A792B"/>
    <w:rsid w:val="006A7A10"/>
    <w:rsid w:val="006A7BBB"/>
    <w:rsid w:val="006B01F8"/>
    <w:rsid w:val="006B1546"/>
    <w:rsid w:val="006B2095"/>
    <w:rsid w:val="006B232C"/>
    <w:rsid w:val="006B25C7"/>
    <w:rsid w:val="006B5FDC"/>
    <w:rsid w:val="006B76EE"/>
    <w:rsid w:val="006C1D18"/>
    <w:rsid w:val="006D531B"/>
    <w:rsid w:val="006D5A81"/>
    <w:rsid w:val="006D6BB4"/>
    <w:rsid w:val="006D759A"/>
    <w:rsid w:val="006D7BDE"/>
    <w:rsid w:val="006E0FB6"/>
    <w:rsid w:val="006E2009"/>
    <w:rsid w:val="006E4CBA"/>
    <w:rsid w:val="006E6160"/>
    <w:rsid w:val="006E768C"/>
    <w:rsid w:val="006E78C3"/>
    <w:rsid w:val="006F28DA"/>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6314"/>
    <w:rsid w:val="007E7F9D"/>
    <w:rsid w:val="007F0A35"/>
    <w:rsid w:val="007F1F1C"/>
    <w:rsid w:val="007F3911"/>
    <w:rsid w:val="007F4741"/>
    <w:rsid w:val="007F55D7"/>
    <w:rsid w:val="007F6D6B"/>
    <w:rsid w:val="0080017B"/>
    <w:rsid w:val="00803457"/>
    <w:rsid w:val="008034B4"/>
    <w:rsid w:val="00803645"/>
    <w:rsid w:val="00804094"/>
    <w:rsid w:val="00804959"/>
    <w:rsid w:val="00804B8C"/>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CB3"/>
    <w:rsid w:val="008723BF"/>
    <w:rsid w:val="008736C0"/>
    <w:rsid w:val="00873AFB"/>
    <w:rsid w:val="00873ED2"/>
    <w:rsid w:val="00882419"/>
    <w:rsid w:val="0088273C"/>
    <w:rsid w:val="00884A65"/>
    <w:rsid w:val="00887353"/>
    <w:rsid w:val="0089266F"/>
    <w:rsid w:val="00892CEB"/>
    <w:rsid w:val="00892DC2"/>
    <w:rsid w:val="0089323C"/>
    <w:rsid w:val="00893CD2"/>
    <w:rsid w:val="008A17E9"/>
    <w:rsid w:val="008A60A4"/>
    <w:rsid w:val="008B2279"/>
    <w:rsid w:val="008B27BF"/>
    <w:rsid w:val="008B50AE"/>
    <w:rsid w:val="008B53EA"/>
    <w:rsid w:val="008B55F4"/>
    <w:rsid w:val="008C06F7"/>
    <w:rsid w:val="008C28CD"/>
    <w:rsid w:val="008C716F"/>
    <w:rsid w:val="008D1C7C"/>
    <w:rsid w:val="008D28DE"/>
    <w:rsid w:val="008D2C97"/>
    <w:rsid w:val="008D63FB"/>
    <w:rsid w:val="008D645D"/>
    <w:rsid w:val="008D7B3A"/>
    <w:rsid w:val="008D7D52"/>
    <w:rsid w:val="008E0672"/>
    <w:rsid w:val="008E08B5"/>
    <w:rsid w:val="008E120E"/>
    <w:rsid w:val="008E2F46"/>
    <w:rsid w:val="008E2F5F"/>
    <w:rsid w:val="008E403C"/>
    <w:rsid w:val="008E4101"/>
    <w:rsid w:val="008F0F03"/>
    <w:rsid w:val="008F11A3"/>
    <w:rsid w:val="008F1895"/>
    <w:rsid w:val="008F240C"/>
    <w:rsid w:val="008F245F"/>
    <w:rsid w:val="008F5CF2"/>
    <w:rsid w:val="008F62DB"/>
    <w:rsid w:val="008F643F"/>
    <w:rsid w:val="00901B63"/>
    <w:rsid w:val="00903206"/>
    <w:rsid w:val="009063BF"/>
    <w:rsid w:val="00907E6F"/>
    <w:rsid w:val="00910FB5"/>
    <w:rsid w:val="0091172F"/>
    <w:rsid w:val="009122A7"/>
    <w:rsid w:val="00913388"/>
    <w:rsid w:val="00916055"/>
    <w:rsid w:val="0091656C"/>
    <w:rsid w:val="009179FA"/>
    <w:rsid w:val="0092093A"/>
    <w:rsid w:val="00920AFE"/>
    <w:rsid w:val="009212E2"/>
    <w:rsid w:val="00921F54"/>
    <w:rsid w:val="00923486"/>
    <w:rsid w:val="009254BE"/>
    <w:rsid w:val="00930905"/>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2036F"/>
    <w:rsid w:val="00A208FB"/>
    <w:rsid w:val="00A21DDA"/>
    <w:rsid w:val="00A22F12"/>
    <w:rsid w:val="00A231FE"/>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205F"/>
    <w:rsid w:val="00A720FA"/>
    <w:rsid w:val="00A7341A"/>
    <w:rsid w:val="00A739AB"/>
    <w:rsid w:val="00A81A75"/>
    <w:rsid w:val="00A820BD"/>
    <w:rsid w:val="00A8540A"/>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24B"/>
    <w:rsid w:val="00AD02C1"/>
    <w:rsid w:val="00AD1E01"/>
    <w:rsid w:val="00AD32CE"/>
    <w:rsid w:val="00AD4674"/>
    <w:rsid w:val="00AD4F07"/>
    <w:rsid w:val="00AD584F"/>
    <w:rsid w:val="00AE3049"/>
    <w:rsid w:val="00AE38F5"/>
    <w:rsid w:val="00AE4B54"/>
    <w:rsid w:val="00AE5461"/>
    <w:rsid w:val="00AE58E4"/>
    <w:rsid w:val="00AF0996"/>
    <w:rsid w:val="00AF3580"/>
    <w:rsid w:val="00AF3FB7"/>
    <w:rsid w:val="00AF76C1"/>
    <w:rsid w:val="00B002F8"/>
    <w:rsid w:val="00B010A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29CA"/>
    <w:rsid w:val="00B45EDD"/>
    <w:rsid w:val="00B45F3D"/>
    <w:rsid w:val="00B471E0"/>
    <w:rsid w:val="00B50F81"/>
    <w:rsid w:val="00B5360F"/>
    <w:rsid w:val="00B537A2"/>
    <w:rsid w:val="00B53979"/>
    <w:rsid w:val="00B57455"/>
    <w:rsid w:val="00B61944"/>
    <w:rsid w:val="00B61F69"/>
    <w:rsid w:val="00B6216C"/>
    <w:rsid w:val="00B65B75"/>
    <w:rsid w:val="00B70B33"/>
    <w:rsid w:val="00B760A2"/>
    <w:rsid w:val="00B80C47"/>
    <w:rsid w:val="00B81322"/>
    <w:rsid w:val="00B857B3"/>
    <w:rsid w:val="00B862CD"/>
    <w:rsid w:val="00B87192"/>
    <w:rsid w:val="00B92E1A"/>
    <w:rsid w:val="00B94951"/>
    <w:rsid w:val="00B95D33"/>
    <w:rsid w:val="00B96B6E"/>
    <w:rsid w:val="00B96CA3"/>
    <w:rsid w:val="00B97591"/>
    <w:rsid w:val="00BA006C"/>
    <w:rsid w:val="00BA20B0"/>
    <w:rsid w:val="00BA3159"/>
    <w:rsid w:val="00BA372F"/>
    <w:rsid w:val="00BA6305"/>
    <w:rsid w:val="00BA7940"/>
    <w:rsid w:val="00BB302C"/>
    <w:rsid w:val="00BC0B52"/>
    <w:rsid w:val="00BC0D9F"/>
    <w:rsid w:val="00BC4D7B"/>
    <w:rsid w:val="00BC605E"/>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839"/>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40D08"/>
    <w:rsid w:val="00C411E2"/>
    <w:rsid w:val="00C41BA9"/>
    <w:rsid w:val="00C42121"/>
    <w:rsid w:val="00C451CB"/>
    <w:rsid w:val="00C45FB0"/>
    <w:rsid w:val="00C46F8F"/>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985"/>
    <w:rsid w:val="00CA7F67"/>
    <w:rsid w:val="00CB15EC"/>
    <w:rsid w:val="00CB483C"/>
    <w:rsid w:val="00CB5545"/>
    <w:rsid w:val="00CB5F57"/>
    <w:rsid w:val="00CB6605"/>
    <w:rsid w:val="00CB7A72"/>
    <w:rsid w:val="00CC0D14"/>
    <w:rsid w:val="00CC3E80"/>
    <w:rsid w:val="00CC49D6"/>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42B6"/>
    <w:rsid w:val="00D152FB"/>
    <w:rsid w:val="00D20F65"/>
    <w:rsid w:val="00D215ED"/>
    <w:rsid w:val="00D24CBA"/>
    <w:rsid w:val="00D30434"/>
    <w:rsid w:val="00D312C9"/>
    <w:rsid w:val="00D31A61"/>
    <w:rsid w:val="00D323CD"/>
    <w:rsid w:val="00D32A64"/>
    <w:rsid w:val="00D3445B"/>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709C"/>
    <w:rsid w:val="00EB0611"/>
    <w:rsid w:val="00EB0F52"/>
    <w:rsid w:val="00EB16CB"/>
    <w:rsid w:val="00EB1899"/>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1C5D"/>
    <w:rsid w:val="00FB4613"/>
    <w:rsid w:val="00FB4C81"/>
    <w:rsid w:val="00FB6841"/>
    <w:rsid w:val="00FC1724"/>
    <w:rsid w:val="00FC6855"/>
    <w:rsid w:val="00FC73D9"/>
    <w:rsid w:val="00FC7A5E"/>
    <w:rsid w:val="00FD1F87"/>
    <w:rsid w:val="00FD35D0"/>
    <w:rsid w:val="00FD681B"/>
    <w:rsid w:val="00FD7331"/>
    <w:rsid w:val="00FE0E03"/>
    <w:rsid w:val="00FE3414"/>
    <w:rsid w:val="00FE3673"/>
    <w:rsid w:val="00FF049C"/>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0F141D76-AAF1-4278-A490-C979BD8E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8</Pages>
  <Words>12391</Words>
  <Characters>7063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rīkojuma projekts "Par valsts kapitāla daļu turētāju sabiedrībā ar ierobežotu atbildību “Sporta centrs “Mežaparks””"</vt:lpstr>
    </vt:vector>
  </TitlesOfParts>
  <Company>Izglītības un zinātnes ministrija, Sporta departaments</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kapitāla daļu turētāju sabiedrībā ar ierobežotu atbildību “Sporta centrs “Mežaparks””"</dc:title>
  <dc:subject>Sākotnējās ietekmes novērtējuma ziņojums (anotācija)</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128</cp:revision>
  <cp:lastPrinted>2012-05-15T10:00:00Z</cp:lastPrinted>
  <dcterms:created xsi:type="dcterms:W3CDTF">2014-05-20T07:09:00Z</dcterms:created>
  <dcterms:modified xsi:type="dcterms:W3CDTF">2014-06-13T08:11:00Z</dcterms:modified>
</cp:coreProperties>
</file>