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D6" w:rsidRPr="006F304E" w:rsidRDefault="006F16D6" w:rsidP="006F16D6">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6F304E">
        <w:rPr>
          <w:rFonts w:ascii="Times New Roman" w:eastAsia="Times New Roman" w:hAnsi="Times New Roman" w:cs="Times New Roman"/>
          <w:b/>
          <w:bCs/>
          <w:color w:val="000000" w:themeColor="text1"/>
          <w:sz w:val="26"/>
          <w:szCs w:val="26"/>
          <w:lang w:eastAsia="lv-LV"/>
        </w:rPr>
        <w:t>Ministr</w:t>
      </w:r>
      <w:r w:rsidR="00EE48FF" w:rsidRPr="006F304E">
        <w:rPr>
          <w:rFonts w:ascii="Times New Roman" w:eastAsia="Times New Roman" w:hAnsi="Times New Roman" w:cs="Times New Roman"/>
          <w:b/>
          <w:bCs/>
          <w:color w:val="000000" w:themeColor="text1"/>
          <w:sz w:val="26"/>
          <w:szCs w:val="26"/>
          <w:lang w:eastAsia="lv-LV"/>
        </w:rPr>
        <w:t>u kabineta instrukcijas</w:t>
      </w:r>
      <w:r w:rsidR="004470AC" w:rsidRPr="006F304E">
        <w:rPr>
          <w:rFonts w:ascii="Times New Roman" w:eastAsia="Times New Roman" w:hAnsi="Times New Roman" w:cs="Times New Roman"/>
          <w:b/>
          <w:bCs/>
          <w:color w:val="000000" w:themeColor="text1"/>
          <w:sz w:val="26"/>
          <w:szCs w:val="26"/>
          <w:lang w:eastAsia="lv-LV"/>
        </w:rPr>
        <w:t xml:space="preserve"> projekta</w:t>
      </w:r>
    </w:p>
    <w:p w:rsidR="004D15A9" w:rsidRPr="006F304E" w:rsidRDefault="006F16D6" w:rsidP="006F16D6">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6F304E">
        <w:rPr>
          <w:rFonts w:ascii="Times New Roman" w:eastAsia="Times New Roman" w:hAnsi="Times New Roman" w:cs="Times New Roman"/>
          <w:b/>
          <w:bCs/>
          <w:color w:val="000000" w:themeColor="text1"/>
          <w:sz w:val="26"/>
          <w:szCs w:val="26"/>
          <w:lang w:eastAsia="lv-LV"/>
        </w:rPr>
        <w:t xml:space="preserve"> „</w:t>
      </w:r>
      <w:r w:rsidR="00F93E95" w:rsidRPr="006F304E">
        <w:rPr>
          <w:rFonts w:ascii="Times New Roman" w:eastAsia="Times New Roman" w:hAnsi="Times New Roman" w:cs="Times New Roman"/>
          <w:b/>
          <w:bCs/>
          <w:color w:val="000000" w:themeColor="text1"/>
          <w:sz w:val="26"/>
          <w:szCs w:val="26"/>
          <w:lang w:eastAsia="lv-LV"/>
        </w:rPr>
        <w:t>T</w:t>
      </w:r>
      <w:r w:rsidR="00B72C83" w:rsidRPr="006F304E">
        <w:rPr>
          <w:rFonts w:ascii="Times New Roman" w:eastAsia="Times New Roman" w:hAnsi="Times New Roman" w:cs="Times New Roman"/>
          <w:b/>
          <w:bCs/>
          <w:color w:val="000000" w:themeColor="text1"/>
          <w:sz w:val="26"/>
          <w:szCs w:val="26"/>
          <w:lang w:eastAsia="lv-LV"/>
        </w:rPr>
        <w:t>ulkojumu pieprasīšanas un nodrošināšanas kārtība</w:t>
      </w:r>
      <w:r w:rsidRPr="006F304E">
        <w:rPr>
          <w:rFonts w:ascii="Times New Roman" w:eastAsia="Times New Roman" w:hAnsi="Times New Roman" w:cs="Times New Roman"/>
          <w:b/>
          <w:bCs/>
          <w:color w:val="000000" w:themeColor="text1"/>
          <w:sz w:val="26"/>
          <w:szCs w:val="26"/>
          <w:lang w:eastAsia="lv-LV"/>
        </w:rPr>
        <w:t>”</w:t>
      </w:r>
      <w:r w:rsidR="004D15A9" w:rsidRPr="006F304E">
        <w:rPr>
          <w:rFonts w:ascii="Times New Roman" w:eastAsia="Times New Roman" w:hAnsi="Times New Roman" w:cs="Times New Roman"/>
          <w:b/>
          <w:bCs/>
          <w:color w:val="000000" w:themeColor="text1"/>
          <w:sz w:val="26"/>
          <w:szCs w:val="26"/>
          <w:lang w:eastAsia="lv-LV"/>
        </w:rPr>
        <w:t xml:space="preserve"> sākotnējās ietekmes novērtējuma ziņojums (anotācija)</w:t>
      </w:r>
    </w:p>
    <w:p w:rsidR="00F715F3" w:rsidRPr="006F304E" w:rsidRDefault="00F715F3" w:rsidP="00DA596D">
      <w:pPr>
        <w:spacing w:after="0" w:line="240" w:lineRule="auto"/>
        <w:ind w:firstLine="300"/>
        <w:jc w:val="center"/>
        <w:rPr>
          <w:rFonts w:ascii="Times New Roman" w:eastAsia="Times New Roman" w:hAnsi="Times New Roman" w:cs="Times New Roman"/>
          <w:b/>
          <w:bCs/>
          <w:color w:val="000000" w:themeColor="text1"/>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5"/>
        <w:gridCol w:w="1649"/>
        <w:gridCol w:w="7177"/>
      </w:tblGrid>
      <w:tr w:rsidR="00BD5696" w:rsidRPr="006F304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F304E" w:rsidRDefault="004D15A9" w:rsidP="00DA596D">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6F304E">
              <w:rPr>
                <w:rFonts w:ascii="Times New Roman" w:eastAsia="Times New Roman" w:hAnsi="Times New Roman" w:cs="Times New Roman"/>
                <w:b/>
                <w:bCs/>
                <w:color w:val="000000" w:themeColor="text1"/>
                <w:sz w:val="26"/>
                <w:szCs w:val="26"/>
                <w:lang w:eastAsia="lv-LV"/>
              </w:rPr>
              <w:t>I. Tiesību akta projekta izstrādes nepieciešamība</w:t>
            </w:r>
          </w:p>
        </w:tc>
      </w:tr>
      <w:tr w:rsidR="00BD5696" w:rsidRPr="006F304E" w:rsidTr="006F304E">
        <w:trPr>
          <w:trHeight w:val="405"/>
        </w:trPr>
        <w:tc>
          <w:tcPr>
            <w:tcW w:w="16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1.</w:t>
            </w:r>
          </w:p>
        </w:tc>
        <w:tc>
          <w:tcPr>
            <w:tcW w:w="903"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Pamatojums</w:t>
            </w:r>
          </w:p>
        </w:tc>
        <w:tc>
          <w:tcPr>
            <w:tcW w:w="3930" w:type="pct"/>
            <w:tcBorders>
              <w:top w:val="outset" w:sz="6" w:space="0" w:color="414142"/>
              <w:left w:val="outset" w:sz="6" w:space="0" w:color="414142"/>
              <w:bottom w:val="outset" w:sz="6" w:space="0" w:color="414142"/>
              <w:right w:val="outset" w:sz="6" w:space="0" w:color="414142"/>
            </w:tcBorders>
            <w:hideMark/>
          </w:tcPr>
          <w:p w:rsidR="004D15A9" w:rsidRPr="006F304E" w:rsidRDefault="00C0522A" w:rsidP="00C20376">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Ministru kabineta i</w:t>
            </w:r>
            <w:r w:rsidR="006F16D6" w:rsidRPr="006F304E">
              <w:rPr>
                <w:rFonts w:ascii="Times New Roman" w:eastAsia="Times New Roman" w:hAnsi="Times New Roman" w:cs="Times New Roman"/>
                <w:color w:val="000000" w:themeColor="text1"/>
                <w:sz w:val="26"/>
                <w:szCs w:val="26"/>
                <w:lang w:eastAsia="lv-LV"/>
              </w:rPr>
              <w:t>nstrukcijas „Tiesību aktu tulkojumu pieprasīšanas, sagatavošanas un nodrošināšanas kārtība” projekts (turpmāk</w:t>
            </w:r>
            <w:r w:rsidR="00C20376" w:rsidRPr="006F304E">
              <w:rPr>
                <w:rFonts w:ascii="Times New Roman" w:eastAsia="Times New Roman" w:hAnsi="Times New Roman" w:cs="Times New Roman"/>
                <w:color w:val="000000" w:themeColor="text1"/>
                <w:sz w:val="26"/>
                <w:szCs w:val="26"/>
                <w:lang w:eastAsia="lv-LV"/>
              </w:rPr>
              <w:t> </w:t>
            </w:r>
            <w:r w:rsidR="006F16D6" w:rsidRPr="006F304E">
              <w:rPr>
                <w:rFonts w:ascii="Times New Roman" w:eastAsia="Times New Roman" w:hAnsi="Times New Roman" w:cs="Times New Roman"/>
                <w:color w:val="000000" w:themeColor="text1"/>
                <w:sz w:val="26"/>
                <w:szCs w:val="26"/>
                <w:lang w:eastAsia="lv-LV"/>
              </w:rPr>
              <w:t xml:space="preserve">– projekts) izstrādāts </w:t>
            </w:r>
            <w:r w:rsidR="00C20376" w:rsidRPr="006F304E">
              <w:rPr>
                <w:rFonts w:ascii="Times New Roman" w:eastAsia="Times New Roman" w:hAnsi="Times New Roman" w:cs="Times New Roman"/>
                <w:color w:val="000000" w:themeColor="text1"/>
                <w:sz w:val="26"/>
                <w:szCs w:val="26"/>
                <w:lang w:eastAsia="lv-LV"/>
              </w:rPr>
              <w:t>pēc Tieslietu ministrijas iniciatīvas.</w:t>
            </w:r>
          </w:p>
        </w:tc>
      </w:tr>
      <w:tr w:rsidR="00BD5696" w:rsidRPr="006F304E" w:rsidTr="006F304E">
        <w:trPr>
          <w:trHeight w:val="465"/>
        </w:trPr>
        <w:tc>
          <w:tcPr>
            <w:tcW w:w="16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2.</w:t>
            </w:r>
          </w:p>
        </w:tc>
        <w:tc>
          <w:tcPr>
            <w:tcW w:w="903"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Pašreizējā situācija un problēmas, kuru risināšanai tiesību akta projekts izstrādāts, tiesiskā regulējuma mērķis un būtība</w:t>
            </w:r>
          </w:p>
        </w:tc>
        <w:tc>
          <w:tcPr>
            <w:tcW w:w="3930" w:type="pct"/>
            <w:tcBorders>
              <w:top w:val="outset" w:sz="6" w:space="0" w:color="414142"/>
              <w:left w:val="outset" w:sz="6" w:space="0" w:color="414142"/>
              <w:bottom w:val="outset" w:sz="6" w:space="0" w:color="414142"/>
              <w:right w:val="outset" w:sz="6" w:space="0" w:color="414142"/>
            </w:tcBorders>
            <w:hideMark/>
          </w:tcPr>
          <w:p w:rsidR="00C0522A" w:rsidRPr="006F304E" w:rsidRDefault="00C0522A" w:rsidP="00C20376">
            <w:pPr>
              <w:spacing w:after="0" w:line="240" w:lineRule="auto"/>
              <w:ind w:firstLine="541"/>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Likuma „Par Latvijas Republikas starptautiskajiem līgumiem” (redakcijā, kas stājās spēkā </w:t>
            </w:r>
            <w:r w:rsidR="00C30878" w:rsidRPr="006F304E">
              <w:rPr>
                <w:rFonts w:ascii="Times New Roman" w:eastAsia="Times New Roman" w:hAnsi="Times New Roman" w:cs="Times New Roman"/>
                <w:color w:val="000000" w:themeColor="text1"/>
                <w:sz w:val="26"/>
                <w:szCs w:val="26"/>
                <w:lang w:eastAsia="lv-LV"/>
              </w:rPr>
              <w:t>2013. gada 18. jūlijā</w:t>
            </w:r>
            <w:r w:rsidRPr="006F304E">
              <w:rPr>
                <w:rFonts w:ascii="Times New Roman" w:eastAsia="Times New Roman" w:hAnsi="Times New Roman" w:cs="Times New Roman"/>
                <w:color w:val="000000" w:themeColor="text1"/>
                <w:sz w:val="26"/>
                <w:szCs w:val="26"/>
                <w:lang w:eastAsia="lv-LV"/>
              </w:rPr>
              <w:t>) 11.</w:t>
            </w:r>
            <w:r w:rsidR="00C30878" w:rsidRPr="006F304E">
              <w:rPr>
                <w:rFonts w:ascii="Times New Roman" w:eastAsia="Times New Roman" w:hAnsi="Times New Roman" w:cs="Times New Roman"/>
                <w:color w:val="000000" w:themeColor="text1"/>
                <w:sz w:val="26"/>
                <w:szCs w:val="26"/>
                <w:vertAlign w:val="superscript"/>
                <w:lang w:eastAsia="lv-LV"/>
              </w:rPr>
              <w:t>2</w:t>
            </w:r>
            <w:r w:rsidR="00C30878"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pants paredz, ka Valsts valodas centrs (turpmāk – centrs) nodrošina starptautisko līgumu tulkošanu un atveidošanu.</w:t>
            </w:r>
          </w:p>
          <w:p w:rsidR="006F16D6" w:rsidRPr="006F304E" w:rsidRDefault="006F16D6" w:rsidP="00C20376">
            <w:pPr>
              <w:spacing w:after="0" w:line="240" w:lineRule="auto"/>
              <w:ind w:firstLine="541"/>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Atbilstoši </w:t>
            </w:r>
            <w:r w:rsidR="004470AC" w:rsidRPr="006F304E">
              <w:rPr>
                <w:rFonts w:ascii="Times New Roman" w:eastAsia="Times New Roman" w:hAnsi="Times New Roman" w:cs="Times New Roman"/>
                <w:color w:val="000000" w:themeColor="text1"/>
                <w:sz w:val="26"/>
                <w:szCs w:val="26"/>
                <w:lang w:eastAsia="lv-LV"/>
              </w:rPr>
              <w:t>Ministru kabineta 2005</w:t>
            </w:r>
            <w:r w:rsidRPr="006F304E">
              <w:rPr>
                <w:rFonts w:ascii="Times New Roman" w:eastAsia="Times New Roman" w:hAnsi="Times New Roman" w:cs="Times New Roman"/>
                <w:color w:val="000000" w:themeColor="text1"/>
                <w:sz w:val="26"/>
                <w:szCs w:val="26"/>
                <w:lang w:eastAsia="lv-LV"/>
              </w:rPr>
              <w:t>.</w:t>
            </w:r>
            <w:r w:rsidR="004470AC"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gada 22.</w:t>
            </w:r>
            <w:r w:rsidR="004470AC"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 xml:space="preserve">marta noteikumu </w:t>
            </w:r>
            <w:proofErr w:type="spellStart"/>
            <w:r w:rsidRPr="006F304E">
              <w:rPr>
                <w:rFonts w:ascii="Times New Roman" w:eastAsia="Times New Roman" w:hAnsi="Times New Roman" w:cs="Times New Roman"/>
                <w:color w:val="000000" w:themeColor="text1"/>
                <w:sz w:val="26"/>
                <w:szCs w:val="26"/>
                <w:lang w:eastAsia="lv-LV"/>
              </w:rPr>
              <w:t>Nr</w:t>
            </w:r>
            <w:proofErr w:type="spellEnd"/>
            <w:r w:rsidRPr="006F304E">
              <w:rPr>
                <w:rFonts w:ascii="Times New Roman" w:eastAsia="Times New Roman" w:hAnsi="Times New Roman" w:cs="Times New Roman"/>
                <w:color w:val="000000" w:themeColor="text1"/>
                <w:sz w:val="26"/>
                <w:szCs w:val="26"/>
                <w:lang w:eastAsia="lv-LV"/>
              </w:rPr>
              <w:t>.</w:t>
            </w:r>
            <w:r w:rsidR="00C20376" w:rsidRPr="006F304E">
              <w:rPr>
                <w:rFonts w:ascii="Times New Roman" w:eastAsia="Times New Roman" w:hAnsi="Times New Roman" w:cs="Times New Roman"/>
                <w:color w:val="000000" w:themeColor="text1"/>
                <w:sz w:val="26"/>
                <w:szCs w:val="26"/>
                <w:lang w:eastAsia="lv-LV"/>
              </w:rPr>
              <w:t> 202 „</w:t>
            </w:r>
            <w:r w:rsidRPr="006F304E">
              <w:rPr>
                <w:rFonts w:ascii="Times New Roman" w:eastAsia="Times New Roman" w:hAnsi="Times New Roman" w:cs="Times New Roman"/>
                <w:color w:val="000000" w:themeColor="text1"/>
                <w:sz w:val="26"/>
                <w:szCs w:val="26"/>
                <w:lang w:eastAsia="lv-LV"/>
              </w:rPr>
              <w:t>Valsts valodas centra nolikums</w:t>
            </w:r>
            <w:r w:rsidR="00C20376" w:rsidRPr="006F304E">
              <w:rPr>
                <w:rFonts w:ascii="Times New Roman" w:eastAsia="Times New Roman" w:hAnsi="Times New Roman" w:cs="Times New Roman"/>
                <w:color w:val="000000" w:themeColor="text1"/>
                <w:sz w:val="26"/>
                <w:szCs w:val="26"/>
                <w:lang w:eastAsia="lv-LV"/>
              </w:rPr>
              <w:t>”</w:t>
            </w:r>
            <w:r w:rsidRPr="006F304E">
              <w:rPr>
                <w:rFonts w:ascii="Times New Roman" w:eastAsia="Times New Roman" w:hAnsi="Times New Roman" w:cs="Times New Roman"/>
                <w:color w:val="000000" w:themeColor="text1"/>
                <w:sz w:val="26"/>
                <w:szCs w:val="26"/>
                <w:lang w:eastAsia="lv-LV"/>
              </w:rPr>
              <w:t xml:space="preserve"> 2.</w:t>
            </w:r>
            <w:r w:rsidR="004470AC"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punktam centra darbības mērķis ir nodrošināt valsts pārvaldes iestādes</w:t>
            </w:r>
            <w:r w:rsidR="00D23AB1" w:rsidRPr="006F304E">
              <w:rPr>
                <w:rFonts w:ascii="Times New Roman" w:eastAsia="Times New Roman" w:hAnsi="Times New Roman" w:cs="Times New Roman"/>
                <w:color w:val="000000" w:themeColor="text1"/>
                <w:sz w:val="26"/>
                <w:szCs w:val="26"/>
                <w:lang w:eastAsia="lv-LV"/>
              </w:rPr>
              <w:t xml:space="preserve"> (turpmāk – iestādes)</w:t>
            </w:r>
            <w:r w:rsidRPr="006F304E">
              <w:rPr>
                <w:rFonts w:ascii="Times New Roman" w:eastAsia="Times New Roman" w:hAnsi="Times New Roman" w:cs="Times New Roman"/>
                <w:color w:val="000000" w:themeColor="text1"/>
                <w:sz w:val="26"/>
                <w:szCs w:val="26"/>
                <w:lang w:eastAsia="lv-LV"/>
              </w:rPr>
              <w:t xml:space="preserve"> un sabiedrību ar valsts un starptautisko organizāciju izdoto tiesību aktu un citu dokumentu oficiāliem tulkojumiem, kā arī panākt saskaņotas terminoloģijas lietojumu Latvijas Republikas tiesību aktos un to tulkojumos. </w:t>
            </w:r>
            <w:r w:rsidR="00D23AB1" w:rsidRPr="006F304E">
              <w:rPr>
                <w:rFonts w:ascii="Times New Roman" w:eastAsia="Times New Roman" w:hAnsi="Times New Roman" w:cs="Times New Roman"/>
                <w:color w:val="000000" w:themeColor="text1"/>
                <w:sz w:val="26"/>
                <w:szCs w:val="26"/>
                <w:lang w:eastAsia="lv-LV"/>
              </w:rPr>
              <w:t>I</w:t>
            </w:r>
            <w:r w:rsidR="00C20376" w:rsidRPr="006F304E">
              <w:rPr>
                <w:rFonts w:ascii="Times New Roman" w:eastAsia="Times New Roman" w:hAnsi="Times New Roman" w:cs="Times New Roman"/>
                <w:color w:val="000000" w:themeColor="text1"/>
                <w:sz w:val="26"/>
                <w:szCs w:val="26"/>
                <w:lang w:eastAsia="lv-LV"/>
              </w:rPr>
              <w:t xml:space="preserve">estādes </w:t>
            </w:r>
            <w:r w:rsidRPr="006F304E">
              <w:rPr>
                <w:rFonts w:ascii="Times New Roman" w:eastAsia="Times New Roman" w:hAnsi="Times New Roman" w:cs="Times New Roman"/>
                <w:color w:val="000000" w:themeColor="text1"/>
                <w:sz w:val="26"/>
                <w:szCs w:val="26"/>
                <w:lang w:eastAsia="lv-LV"/>
              </w:rPr>
              <w:t>ir tiesīgas pieprasīt tām nepieciešamo dokumentu tulkojumus. Kārtējos iestāžu tulkojumu pieprasījumus apstiprina Vecāko amatpersonu sanāksmes Eir</w:t>
            </w:r>
            <w:r w:rsidR="004470AC" w:rsidRPr="006F304E">
              <w:rPr>
                <w:rFonts w:ascii="Times New Roman" w:eastAsia="Times New Roman" w:hAnsi="Times New Roman" w:cs="Times New Roman"/>
                <w:color w:val="000000" w:themeColor="text1"/>
                <w:sz w:val="26"/>
                <w:szCs w:val="26"/>
                <w:lang w:eastAsia="lv-LV"/>
              </w:rPr>
              <w:t>opas Savienības jautājumos sēdēs</w:t>
            </w:r>
            <w:r w:rsidRPr="006F304E">
              <w:rPr>
                <w:rFonts w:ascii="Times New Roman" w:eastAsia="Times New Roman" w:hAnsi="Times New Roman" w:cs="Times New Roman"/>
                <w:color w:val="000000" w:themeColor="text1"/>
                <w:sz w:val="26"/>
                <w:szCs w:val="26"/>
                <w:lang w:eastAsia="lv-LV"/>
              </w:rPr>
              <w:t>.</w:t>
            </w:r>
          </w:p>
          <w:p w:rsidR="006F16D6" w:rsidRPr="006F304E" w:rsidRDefault="006F16D6" w:rsidP="00C20376">
            <w:pPr>
              <w:spacing w:after="0" w:line="240" w:lineRule="auto"/>
              <w:ind w:firstLine="541"/>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Tomēr līdz šim nav noteikta vienota un saistoša kārtība, kādā iestādes pieprasa centram nodrošināt nepieciešamos dokumentu tulkojumus un īsteno sadarbību ar centru pieprasīto un tulkošanai apstiprināto dokumentu tulkojumu tapšanas gaitā. </w:t>
            </w:r>
          </w:p>
          <w:p w:rsidR="006F16D6" w:rsidRPr="006F304E" w:rsidRDefault="006F16D6" w:rsidP="00C20376">
            <w:pPr>
              <w:spacing w:after="0" w:line="240" w:lineRule="auto"/>
              <w:ind w:firstLine="541"/>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Tāpat, ievērojot 2013.</w:t>
            </w:r>
            <w:r w:rsidR="004470AC"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gada 13.</w:t>
            </w:r>
            <w:r w:rsidR="004470AC" w:rsidRPr="006F304E">
              <w:rPr>
                <w:rFonts w:ascii="Times New Roman" w:eastAsia="Times New Roman" w:hAnsi="Times New Roman" w:cs="Times New Roman"/>
                <w:color w:val="000000" w:themeColor="text1"/>
                <w:sz w:val="26"/>
                <w:szCs w:val="26"/>
                <w:lang w:eastAsia="lv-LV"/>
              </w:rPr>
              <w:t> </w:t>
            </w:r>
            <w:r w:rsidRPr="006F304E">
              <w:rPr>
                <w:rFonts w:ascii="Times New Roman" w:eastAsia="Times New Roman" w:hAnsi="Times New Roman" w:cs="Times New Roman"/>
                <w:color w:val="000000" w:themeColor="text1"/>
                <w:sz w:val="26"/>
                <w:szCs w:val="26"/>
                <w:lang w:eastAsia="lv-LV"/>
              </w:rPr>
              <w:t>jūnija grozījumus likumā „Par Latvijas Republikas starptautiskajiem līgumiem”</w:t>
            </w:r>
            <w:r w:rsidR="00384470" w:rsidRPr="006F304E">
              <w:rPr>
                <w:rFonts w:ascii="Times New Roman" w:eastAsia="Times New Roman" w:hAnsi="Times New Roman" w:cs="Times New Roman"/>
                <w:color w:val="000000" w:themeColor="text1"/>
                <w:sz w:val="26"/>
                <w:szCs w:val="26"/>
                <w:lang w:eastAsia="lv-LV"/>
              </w:rPr>
              <w:t>,</w:t>
            </w:r>
            <w:r w:rsidRPr="006F304E">
              <w:rPr>
                <w:rFonts w:ascii="Times New Roman" w:eastAsia="Times New Roman" w:hAnsi="Times New Roman" w:cs="Times New Roman"/>
                <w:color w:val="000000" w:themeColor="text1"/>
                <w:sz w:val="26"/>
                <w:szCs w:val="26"/>
                <w:lang w:eastAsia="lv-LV"/>
              </w:rPr>
              <w:t xml:space="preserve"> nepieciešams atrunāt obligāti </w:t>
            </w:r>
            <w:r w:rsidR="00A06C70" w:rsidRPr="006F304E">
              <w:rPr>
                <w:rFonts w:ascii="Times New Roman" w:eastAsia="Times New Roman" w:hAnsi="Times New Roman" w:cs="Times New Roman"/>
                <w:color w:val="000000" w:themeColor="text1"/>
                <w:sz w:val="26"/>
                <w:szCs w:val="26"/>
                <w:lang w:eastAsia="lv-LV"/>
              </w:rPr>
              <w:t>tulkojamo</w:t>
            </w:r>
            <w:r w:rsidRPr="006F304E">
              <w:rPr>
                <w:rFonts w:ascii="Times New Roman" w:eastAsia="Times New Roman" w:hAnsi="Times New Roman" w:cs="Times New Roman"/>
                <w:color w:val="000000" w:themeColor="text1"/>
                <w:sz w:val="26"/>
                <w:szCs w:val="26"/>
                <w:lang w:eastAsia="lv-LV"/>
              </w:rPr>
              <w:t xml:space="preserve"> dokumentu (starptautisko līgumu un Ministru kabinetā vai Saeimā apstiprināmo starptautisko līgumu projektu) </w:t>
            </w:r>
            <w:r w:rsidR="00A06C70" w:rsidRPr="006F304E">
              <w:rPr>
                <w:rFonts w:ascii="Times New Roman" w:eastAsia="Times New Roman" w:hAnsi="Times New Roman" w:cs="Times New Roman"/>
                <w:color w:val="000000" w:themeColor="text1"/>
                <w:sz w:val="26"/>
                <w:szCs w:val="26"/>
                <w:lang w:eastAsia="lv-LV"/>
              </w:rPr>
              <w:t>tulkošanas</w:t>
            </w:r>
            <w:r w:rsidRPr="006F304E">
              <w:rPr>
                <w:rFonts w:ascii="Times New Roman" w:eastAsia="Times New Roman" w:hAnsi="Times New Roman" w:cs="Times New Roman"/>
                <w:color w:val="000000" w:themeColor="text1"/>
                <w:sz w:val="26"/>
                <w:szCs w:val="26"/>
                <w:lang w:eastAsia="lv-LV"/>
              </w:rPr>
              <w:t xml:space="preserve"> kārtību, it īpaši, ja nepieciešamība pēc šāda tulkojuma rodas steidzami, piemēram, saistībā ar valsts augstāko amatpersonu vizītēm.</w:t>
            </w:r>
          </w:p>
          <w:p w:rsidR="004D15A9" w:rsidRPr="006F304E" w:rsidRDefault="006F16D6" w:rsidP="00C20376">
            <w:pPr>
              <w:spacing w:after="0" w:line="240" w:lineRule="auto"/>
              <w:ind w:firstLine="541"/>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Piedāvātais tiesiskais regulējums paredz atrisināt minētās problēmas, nosakot skaidru procesā iesaistīto pušu (iestāžu un centra) kompetences, tiesību un atbildības sadalījumu.</w:t>
            </w:r>
          </w:p>
          <w:p w:rsidR="006F16D6" w:rsidRPr="006F304E" w:rsidRDefault="00F21D8D" w:rsidP="00C20376">
            <w:pPr>
              <w:pStyle w:val="naiskr"/>
              <w:spacing w:before="0" w:after="0"/>
              <w:ind w:firstLine="541"/>
              <w:jc w:val="both"/>
              <w:rPr>
                <w:b/>
                <w:bCs/>
                <w:color w:val="000000" w:themeColor="text1"/>
                <w:sz w:val="26"/>
                <w:szCs w:val="26"/>
              </w:rPr>
            </w:pPr>
            <w:r w:rsidRPr="006F304E">
              <w:rPr>
                <w:iCs/>
                <w:color w:val="000000" w:themeColor="text1"/>
                <w:sz w:val="26"/>
                <w:szCs w:val="26"/>
              </w:rPr>
              <w:t>Projekta</w:t>
            </w:r>
            <w:r w:rsidR="006F16D6" w:rsidRPr="006F304E">
              <w:rPr>
                <w:iCs/>
                <w:color w:val="000000" w:themeColor="text1"/>
                <w:sz w:val="26"/>
                <w:szCs w:val="26"/>
              </w:rPr>
              <w:t xml:space="preserve"> mērķis ir </w:t>
            </w:r>
            <w:r w:rsidR="00D23AB1" w:rsidRPr="006F304E">
              <w:rPr>
                <w:sz w:val="26"/>
                <w:szCs w:val="26"/>
              </w:rPr>
              <w:t>noteikt kārtību, kādā centrs veic dokumentu un terminu tulkošanu un atveidi (turpmāk – tulkojumi), tulkojumu pieprasīšanas kārtību, kā arī kārtību, kādā centrs un iestādes sadarbojas tulkojumu tapšanas gaitā.</w:t>
            </w:r>
          </w:p>
          <w:p w:rsidR="006F16D6" w:rsidRPr="006F304E" w:rsidRDefault="006F16D6" w:rsidP="00C20376">
            <w:pPr>
              <w:pStyle w:val="naiskr"/>
              <w:spacing w:before="0" w:after="0"/>
              <w:ind w:firstLine="541"/>
              <w:jc w:val="both"/>
              <w:rPr>
                <w:iCs/>
                <w:sz w:val="26"/>
                <w:szCs w:val="26"/>
              </w:rPr>
            </w:pPr>
            <w:r w:rsidRPr="006F304E">
              <w:rPr>
                <w:bCs/>
                <w:color w:val="000000" w:themeColor="text1"/>
                <w:sz w:val="26"/>
                <w:szCs w:val="26"/>
              </w:rPr>
              <w:t xml:space="preserve">Tiek saglabāta līdzšinējā </w:t>
            </w:r>
            <w:r w:rsidR="001E06AA" w:rsidRPr="006F304E">
              <w:rPr>
                <w:bCs/>
                <w:color w:val="000000" w:themeColor="text1"/>
                <w:sz w:val="26"/>
                <w:szCs w:val="26"/>
              </w:rPr>
              <w:t>prakse</w:t>
            </w:r>
            <w:r w:rsidRPr="006F304E">
              <w:rPr>
                <w:bCs/>
                <w:color w:val="000000" w:themeColor="text1"/>
                <w:sz w:val="26"/>
                <w:szCs w:val="26"/>
              </w:rPr>
              <w:t>, ka iestādes plāno nepieciešamo tulkojumu apjomu ceturkšņa ietvaros</w:t>
            </w:r>
            <w:r w:rsidR="00700CA2" w:rsidRPr="006F304E">
              <w:rPr>
                <w:bCs/>
                <w:color w:val="000000" w:themeColor="text1"/>
                <w:sz w:val="26"/>
                <w:szCs w:val="26"/>
              </w:rPr>
              <w:t>, tulkošanas pieprasījumus e-pasta veidā (nav nepieciešams pieprasījumu parakstīt ar drošu elektronisko parakstu) sūtot centram,</w:t>
            </w:r>
            <w:r w:rsidRPr="006F304E">
              <w:rPr>
                <w:bCs/>
                <w:color w:val="000000" w:themeColor="text1"/>
                <w:sz w:val="26"/>
                <w:szCs w:val="26"/>
              </w:rPr>
              <w:t xml:space="preserve"> un</w:t>
            </w:r>
            <w:r w:rsidR="00700CA2" w:rsidRPr="006F304E">
              <w:rPr>
                <w:bCs/>
                <w:color w:val="000000" w:themeColor="text1"/>
                <w:sz w:val="26"/>
                <w:szCs w:val="26"/>
              </w:rPr>
              <w:t xml:space="preserve"> šos iestāžu</w:t>
            </w:r>
            <w:r w:rsidRPr="006F304E">
              <w:rPr>
                <w:bCs/>
                <w:color w:val="000000" w:themeColor="text1"/>
                <w:sz w:val="26"/>
                <w:szCs w:val="26"/>
              </w:rPr>
              <w:t xml:space="preserve"> </w:t>
            </w:r>
            <w:r w:rsidRPr="006F304E">
              <w:rPr>
                <w:iCs/>
                <w:color w:val="000000" w:themeColor="text1"/>
                <w:sz w:val="26"/>
                <w:szCs w:val="26"/>
              </w:rPr>
              <w:t>tulkojumu pieprasījumus apstiprina Vecāko amatpersonu sanāksmes Eiropas Savienības jautājumos sēdēs.</w:t>
            </w:r>
            <w:r w:rsidR="00175633" w:rsidRPr="006F304E">
              <w:rPr>
                <w:iCs/>
                <w:color w:val="000000" w:themeColor="text1"/>
                <w:sz w:val="26"/>
                <w:szCs w:val="26"/>
              </w:rPr>
              <w:t xml:space="preserve"> Iestādes, vadoties </w:t>
            </w:r>
            <w:r w:rsidR="00175633" w:rsidRPr="006F304E">
              <w:rPr>
                <w:iCs/>
                <w:color w:val="000000" w:themeColor="text1"/>
                <w:sz w:val="26"/>
                <w:szCs w:val="26"/>
              </w:rPr>
              <w:lastRenderedPageBreak/>
              <w:t>pēc mērķa, kādam nepieciešams attiecīgais dokumenta tulkojams, sagrupē tulkojumu pieprasījumus prioritārā secībā</w:t>
            </w:r>
            <w:r w:rsidR="00A45E41" w:rsidRPr="006F304E">
              <w:rPr>
                <w:iCs/>
                <w:color w:val="000000" w:themeColor="text1"/>
                <w:sz w:val="26"/>
                <w:szCs w:val="26"/>
              </w:rPr>
              <w:t>.</w:t>
            </w:r>
            <w:r w:rsidR="004026D6" w:rsidRPr="006F304E">
              <w:rPr>
                <w:iCs/>
                <w:color w:val="000000" w:themeColor="text1"/>
                <w:sz w:val="26"/>
                <w:szCs w:val="26"/>
              </w:rPr>
              <w:t xml:space="preserve"> </w:t>
            </w:r>
            <w:r w:rsidR="004026D6" w:rsidRPr="006F304E">
              <w:rPr>
                <w:sz w:val="26"/>
                <w:szCs w:val="26"/>
              </w:rPr>
              <w:t>Lai nodrošinātu visām iestādēm iespējas saņemt tām nepieciešamos Latvijas Republikas tiesību aktu tulkojumus Eiropas Savienības dalībvalstu valodās, 2004. gadā tika ieviesta un Vecāko amatpersonu sanāksmē Eiropas Savienības jautājumos apstiprināta proporcionāla tulkojumu apjoma sadales kārtība jeb tā dēvētās kvotas. Tas nozīmē katrai iestādei garantētu tulkojamo lappušu skaitu šajā tulkošanas virzienā ceturksnī, to nosakot atbilstoši vidējai tulkojumu nepieciešamībai iepriekšējos gados. Ja kāda iestāde konkrētajā ceturksnī savu kvotu neizmanto, tad tā tiek sadalīta pārējām, kuru pieprasījums netika pilnībā apmierināts. Šādu kārtību paredzēts ievērot arī turpmāk.</w:t>
            </w:r>
          </w:p>
          <w:p w:rsidR="006F16D6" w:rsidRPr="006F304E" w:rsidRDefault="006F16D6" w:rsidP="004026D6">
            <w:pPr>
              <w:pStyle w:val="naiskr"/>
              <w:spacing w:before="0" w:after="0"/>
              <w:ind w:firstLine="541"/>
              <w:jc w:val="both"/>
              <w:rPr>
                <w:color w:val="000000" w:themeColor="text1"/>
                <w:sz w:val="26"/>
                <w:szCs w:val="26"/>
              </w:rPr>
            </w:pPr>
            <w:r w:rsidRPr="006F304E">
              <w:rPr>
                <w:iCs/>
                <w:color w:val="000000" w:themeColor="text1"/>
                <w:sz w:val="26"/>
                <w:szCs w:val="26"/>
              </w:rPr>
              <w:t xml:space="preserve">Vienlaikus </w:t>
            </w:r>
            <w:r w:rsidR="00F21D8D" w:rsidRPr="006F304E">
              <w:rPr>
                <w:iCs/>
                <w:color w:val="000000" w:themeColor="text1"/>
                <w:sz w:val="26"/>
                <w:szCs w:val="26"/>
              </w:rPr>
              <w:t>projektā</w:t>
            </w:r>
            <w:r w:rsidRPr="006F304E">
              <w:rPr>
                <w:iCs/>
                <w:color w:val="000000" w:themeColor="text1"/>
                <w:sz w:val="26"/>
                <w:szCs w:val="26"/>
              </w:rPr>
              <w:t xml:space="preserve"> paredzēta kārtība steidzami nepieciešamo dokumentu tulkošanai.</w:t>
            </w:r>
            <w:r w:rsidR="004026D6" w:rsidRPr="006F304E">
              <w:rPr>
                <w:iCs/>
                <w:color w:val="000000" w:themeColor="text1"/>
                <w:sz w:val="26"/>
                <w:szCs w:val="26"/>
              </w:rPr>
              <w:t xml:space="preserve"> Projektā atrunātie </w:t>
            </w:r>
            <w:r w:rsidR="004026D6" w:rsidRPr="006F304E">
              <w:rPr>
                <w:sz w:val="26"/>
                <w:szCs w:val="26"/>
              </w:rPr>
              <w:t>steidzamības gadījumi (projekta 10. punkts) ir attiecināti uz situāciju, kad iestādei nepieciešams kāda dokumenta tulkojums, bet nav iespējams to pasūtīt kopā ar kārtējā ceturkšņa pieprasījumu. Savukārt projekta 17. punktā minētā operatīvā saskaņošana attiecas uz centra un iestādes sadarbību jau veiktā tulkojuma saskaņošanai.</w:t>
            </w:r>
          </w:p>
        </w:tc>
      </w:tr>
      <w:tr w:rsidR="00BD5696" w:rsidRPr="006F304E" w:rsidTr="006F304E">
        <w:trPr>
          <w:trHeight w:val="465"/>
        </w:trPr>
        <w:tc>
          <w:tcPr>
            <w:tcW w:w="16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lastRenderedPageBreak/>
              <w:t>3.</w:t>
            </w:r>
          </w:p>
        </w:tc>
        <w:tc>
          <w:tcPr>
            <w:tcW w:w="903"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Projekta izstrādē iesaistītās institūcijas</w:t>
            </w:r>
          </w:p>
        </w:tc>
        <w:tc>
          <w:tcPr>
            <w:tcW w:w="3930" w:type="pct"/>
            <w:tcBorders>
              <w:top w:val="outset" w:sz="6" w:space="0" w:color="414142"/>
              <w:left w:val="outset" w:sz="6" w:space="0" w:color="414142"/>
              <w:bottom w:val="outset" w:sz="6" w:space="0" w:color="414142"/>
              <w:right w:val="outset" w:sz="6" w:space="0" w:color="414142"/>
            </w:tcBorders>
            <w:hideMark/>
          </w:tcPr>
          <w:p w:rsidR="004D15A9" w:rsidRPr="006F304E" w:rsidRDefault="00F13B12"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Centrs</w:t>
            </w:r>
            <w:r w:rsidR="006F16D6" w:rsidRPr="006F304E">
              <w:rPr>
                <w:rFonts w:ascii="Times New Roman" w:eastAsia="Times New Roman" w:hAnsi="Times New Roman" w:cs="Times New Roman"/>
                <w:color w:val="000000" w:themeColor="text1"/>
                <w:sz w:val="26"/>
                <w:szCs w:val="26"/>
                <w:lang w:eastAsia="lv-LV"/>
              </w:rPr>
              <w:t>.</w:t>
            </w:r>
          </w:p>
        </w:tc>
      </w:tr>
      <w:tr w:rsidR="00BD5696" w:rsidRPr="006F304E" w:rsidTr="006F304E">
        <w:tc>
          <w:tcPr>
            <w:tcW w:w="16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4.</w:t>
            </w:r>
          </w:p>
        </w:tc>
        <w:tc>
          <w:tcPr>
            <w:tcW w:w="903"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Cita informācija</w:t>
            </w:r>
          </w:p>
        </w:tc>
        <w:tc>
          <w:tcPr>
            <w:tcW w:w="3930" w:type="pct"/>
            <w:tcBorders>
              <w:top w:val="outset" w:sz="6" w:space="0" w:color="414142"/>
              <w:left w:val="outset" w:sz="6" w:space="0" w:color="414142"/>
              <w:bottom w:val="outset" w:sz="6" w:space="0" w:color="414142"/>
              <w:right w:val="outset" w:sz="6" w:space="0" w:color="414142"/>
            </w:tcBorders>
            <w:hideMark/>
          </w:tcPr>
          <w:p w:rsidR="004D15A9" w:rsidRPr="006F304E" w:rsidRDefault="006F16D6"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Nav.</w:t>
            </w:r>
          </w:p>
        </w:tc>
      </w:tr>
    </w:tbl>
    <w:p w:rsidR="004D15A9" w:rsidRPr="006F304E" w:rsidRDefault="004D15A9" w:rsidP="00DA596D">
      <w:pPr>
        <w:spacing w:after="0" w:line="240" w:lineRule="auto"/>
        <w:rPr>
          <w:rFonts w:ascii="Times New Roman" w:eastAsia="Times New Roman" w:hAnsi="Times New Roman" w:cs="Times New Roman"/>
          <w:vanish/>
          <w:color w:val="000000" w:themeColor="text1"/>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86"/>
        <w:gridCol w:w="1284"/>
        <w:gridCol w:w="5205"/>
      </w:tblGrid>
      <w:tr w:rsidR="00BD5696" w:rsidRPr="006F304E" w:rsidTr="00C20376">
        <w:trPr>
          <w:trHeight w:val="555"/>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rsidR="004D15A9" w:rsidRPr="006F304E" w:rsidRDefault="004D15A9" w:rsidP="00DA596D">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6F304E">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BD5696" w:rsidRPr="006F304E" w:rsidTr="006F304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1.</w:t>
            </w:r>
          </w:p>
        </w:tc>
        <w:tc>
          <w:tcPr>
            <w:tcW w:w="119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Sabiedrības mērķgrupas, kuras tiesiskais regulējums ietekmē vai varētu ietekmēt</w:t>
            </w:r>
          </w:p>
        </w:tc>
        <w:tc>
          <w:tcPr>
            <w:tcW w:w="3553" w:type="pct"/>
            <w:gridSpan w:val="2"/>
            <w:tcBorders>
              <w:top w:val="outset" w:sz="6" w:space="0" w:color="414142"/>
              <w:left w:val="outset" w:sz="6" w:space="0" w:color="414142"/>
              <w:bottom w:val="outset" w:sz="6" w:space="0" w:color="414142"/>
              <w:right w:val="outset" w:sz="6" w:space="0" w:color="414142"/>
            </w:tcBorders>
            <w:hideMark/>
          </w:tcPr>
          <w:p w:rsidR="006F16D6" w:rsidRPr="006F304E" w:rsidRDefault="006F16D6" w:rsidP="00D23AB1">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Projekts attiecas uz </w:t>
            </w:r>
            <w:r w:rsidR="00D23AB1" w:rsidRPr="006F304E">
              <w:rPr>
                <w:rFonts w:ascii="Times New Roman" w:eastAsia="Times New Roman" w:hAnsi="Times New Roman" w:cs="Times New Roman"/>
                <w:color w:val="000000" w:themeColor="text1"/>
                <w:sz w:val="26"/>
                <w:szCs w:val="26"/>
                <w:lang w:eastAsia="lv-LV"/>
              </w:rPr>
              <w:t>iestāžu</w:t>
            </w:r>
            <w:r w:rsidRPr="006F304E">
              <w:rPr>
                <w:rFonts w:ascii="Times New Roman" w:eastAsia="Times New Roman" w:hAnsi="Times New Roman" w:cs="Times New Roman"/>
                <w:color w:val="000000" w:themeColor="text1"/>
                <w:sz w:val="26"/>
                <w:szCs w:val="26"/>
                <w:lang w:eastAsia="lv-LV"/>
              </w:rPr>
              <w:t xml:space="preserve"> kontaktpersonām, kas atbildīgas par tiesību aktu tulkojumu pieprasīšanu un nodrošināšanu.</w:t>
            </w:r>
          </w:p>
        </w:tc>
      </w:tr>
      <w:tr w:rsidR="00BD5696" w:rsidRPr="006F304E" w:rsidTr="006F304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2.</w:t>
            </w:r>
          </w:p>
        </w:tc>
        <w:tc>
          <w:tcPr>
            <w:tcW w:w="119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Tiesiskā regulējuma ietekme uz tautsaimniecību un administratīvo slogu</w:t>
            </w:r>
          </w:p>
        </w:tc>
        <w:tc>
          <w:tcPr>
            <w:tcW w:w="3553"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60035C"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Projekts veicinās Valsts valodas likuma mērķu īstenošanu, proti, tiesības brīvi lietot latviešu valodu jebkurā dzīves jomā visā Latvijas teritorijā. Latvijas un starptautisko organizāciju izdoto tiesību aktu un citu dokumentu oficiālo tulkojumu savlaicīga un kvalitatīva nodrošināšana saistīta ar Latvijas valsts interešu aizstāvību, kā arī ar Latvijas Republikas Satversmē noteiktajām privātpersonu tiesībām zināt savas tiesības.</w:t>
            </w:r>
            <w:r w:rsidR="00D23AB1" w:rsidRPr="006F304E">
              <w:rPr>
                <w:rFonts w:ascii="Times New Roman" w:eastAsia="Times New Roman" w:hAnsi="Times New Roman" w:cs="Times New Roman"/>
                <w:color w:val="000000" w:themeColor="text1"/>
                <w:sz w:val="26"/>
                <w:szCs w:val="26"/>
                <w:lang w:eastAsia="lv-LV"/>
              </w:rPr>
              <w:t xml:space="preserve"> </w:t>
            </w:r>
          </w:p>
          <w:p w:rsidR="00D23AB1" w:rsidRPr="006F304E" w:rsidRDefault="00D23AB1"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Projekts nerada administratīvo slogu.</w:t>
            </w:r>
          </w:p>
        </w:tc>
      </w:tr>
      <w:tr w:rsidR="00BD5696" w:rsidRPr="006F304E" w:rsidTr="006F304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3.</w:t>
            </w:r>
          </w:p>
        </w:tc>
        <w:tc>
          <w:tcPr>
            <w:tcW w:w="119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Administratīvo izmaksu monetārs novērtējums</w:t>
            </w:r>
          </w:p>
        </w:tc>
        <w:tc>
          <w:tcPr>
            <w:tcW w:w="3553"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4D7AB2" w:rsidP="004D7AB2">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Projekts nemaina centra un citu iestāžu funkciju apjomu, bet tikai nosaka kārtību, kādā tiek nodrošināta normatīvajos aktos cent</w:t>
            </w:r>
            <w:r w:rsidR="00D23AB1" w:rsidRPr="006F304E">
              <w:rPr>
                <w:rFonts w:ascii="Times New Roman" w:eastAsia="Times New Roman" w:hAnsi="Times New Roman" w:cs="Times New Roman"/>
                <w:color w:val="000000" w:themeColor="text1"/>
                <w:sz w:val="26"/>
                <w:szCs w:val="26"/>
                <w:lang w:eastAsia="lv-LV"/>
              </w:rPr>
              <w:t>r</w:t>
            </w:r>
            <w:r w:rsidRPr="006F304E">
              <w:rPr>
                <w:rFonts w:ascii="Times New Roman" w:eastAsia="Times New Roman" w:hAnsi="Times New Roman" w:cs="Times New Roman"/>
                <w:color w:val="000000" w:themeColor="text1"/>
                <w:sz w:val="26"/>
                <w:szCs w:val="26"/>
                <w:lang w:eastAsia="lv-LV"/>
              </w:rPr>
              <w:t xml:space="preserve">am noteiktā tulkošanas funkcija. Tādēļ projekts nerada ietekmi uz administratīvajām izmaksām. Centrs </w:t>
            </w:r>
            <w:r w:rsidRPr="006F304E">
              <w:rPr>
                <w:rFonts w:ascii="Times New Roman" w:eastAsia="Times New Roman" w:hAnsi="Times New Roman" w:cs="Times New Roman"/>
                <w:color w:val="000000" w:themeColor="text1"/>
                <w:sz w:val="26"/>
                <w:szCs w:val="26"/>
                <w:lang w:eastAsia="lv-LV"/>
              </w:rPr>
              <w:lastRenderedPageBreak/>
              <w:t>tulkošanas funkciju veiks p</w:t>
            </w:r>
            <w:r w:rsidR="0060035C" w:rsidRPr="006F304E">
              <w:rPr>
                <w:rFonts w:ascii="Times New Roman" w:eastAsia="Times New Roman" w:hAnsi="Times New Roman" w:cs="Times New Roman"/>
                <w:color w:val="000000" w:themeColor="text1"/>
                <w:sz w:val="26"/>
                <w:szCs w:val="26"/>
                <w:lang w:eastAsia="lv-LV"/>
              </w:rPr>
              <w:t>iešķirto budžeta līdzekļu ietvaros.</w:t>
            </w:r>
          </w:p>
        </w:tc>
      </w:tr>
      <w:tr w:rsidR="00BD5696" w:rsidRPr="006F304E" w:rsidTr="006F304E">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lastRenderedPageBreak/>
              <w:t>4.</w:t>
            </w:r>
          </w:p>
        </w:tc>
        <w:tc>
          <w:tcPr>
            <w:tcW w:w="1197"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Cita informācija</w:t>
            </w:r>
          </w:p>
        </w:tc>
        <w:tc>
          <w:tcPr>
            <w:tcW w:w="3553"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6F16D6"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Nav.</w:t>
            </w:r>
          </w:p>
        </w:tc>
      </w:tr>
      <w:tr w:rsidR="00BD5696" w:rsidRPr="006F304E" w:rsidTr="004D15A9">
        <w:trPr>
          <w:trHeight w:val="37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6F304E" w:rsidRDefault="004D15A9" w:rsidP="00DA596D">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6F304E">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BD5696" w:rsidRPr="006F304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F304E" w:rsidRDefault="00D23B62" w:rsidP="00D23B62">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 Iestādes un centrs.</w:t>
            </w:r>
          </w:p>
        </w:tc>
      </w:tr>
      <w:tr w:rsidR="00BD5696" w:rsidRPr="006F304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 xml:space="preserve">Projekta izpildes ietekme uz pārvaldes funkcijām un institucionālo struktūru. </w:t>
            </w:r>
          </w:p>
          <w:p w:rsidR="004D15A9" w:rsidRPr="006F304E" w:rsidRDefault="004D15A9" w:rsidP="00F715F3">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F304E" w:rsidRDefault="00CA23D4"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Pārvaldes funkciju apjomu projekts neietekmē, projekts neparedz likvidēt esošās institūcijas vai tās reorganizēt.</w:t>
            </w:r>
          </w:p>
        </w:tc>
      </w:tr>
      <w:tr w:rsidR="00BD5696" w:rsidRPr="006F304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6F304E" w:rsidRDefault="004D15A9" w:rsidP="00DA596D">
            <w:pPr>
              <w:spacing w:after="0" w:line="240" w:lineRule="auto"/>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6F304E" w:rsidRDefault="004D15A9"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F304E" w:rsidRDefault="00CA23D4" w:rsidP="004470AC">
            <w:pPr>
              <w:spacing w:after="0" w:line="240" w:lineRule="auto"/>
              <w:jc w:val="both"/>
              <w:rPr>
                <w:rFonts w:ascii="Times New Roman" w:eastAsia="Times New Roman" w:hAnsi="Times New Roman" w:cs="Times New Roman"/>
                <w:color w:val="000000" w:themeColor="text1"/>
                <w:sz w:val="26"/>
                <w:szCs w:val="26"/>
                <w:lang w:eastAsia="lv-LV"/>
              </w:rPr>
            </w:pPr>
            <w:r w:rsidRPr="006F304E">
              <w:rPr>
                <w:rFonts w:ascii="Times New Roman" w:eastAsia="Times New Roman" w:hAnsi="Times New Roman" w:cs="Times New Roman"/>
                <w:color w:val="000000" w:themeColor="text1"/>
                <w:sz w:val="26"/>
                <w:szCs w:val="26"/>
                <w:lang w:eastAsia="lv-LV"/>
              </w:rPr>
              <w:t>Nav.</w:t>
            </w:r>
          </w:p>
        </w:tc>
      </w:tr>
    </w:tbl>
    <w:p w:rsidR="00CA23D4" w:rsidRPr="006F304E" w:rsidRDefault="00CA23D4" w:rsidP="00DA596D">
      <w:pPr>
        <w:spacing w:after="0" w:line="240" w:lineRule="auto"/>
        <w:rPr>
          <w:rFonts w:ascii="Times New Roman" w:hAnsi="Times New Roman" w:cs="Times New Roman"/>
          <w:color w:val="000000" w:themeColor="text1"/>
          <w:sz w:val="26"/>
          <w:szCs w:val="26"/>
        </w:rPr>
      </w:pPr>
    </w:p>
    <w:p w:rsidR="00BB1F46" w:rsidRPr="006F304E" w:rsidRDefault="00CA23D4" w:rsidP="00DA596D">
      <w:pPr>
        <w:spacing w:after="0" w:line="240" w:lineRule="auto"/>
        <w:rPr>
          <w:rFonts w:ascii="Times New Roman" w:hAnsi="Times New Roman" w:cs="Times New Roman"/>
          <w:color w:val="000000" w:themeColor="text1"/>
          <w:sz w:val="26"/>
          <w:szCs w:val="26"/>
        </w:rPr>
      </w:pPr>
      <w:r w:rsidRPr="006F304E">
        <w:rPr>
          <w:rFonts w:ascii="Times New Roman" w:hAnsi="Times New Roman" w:cs="Times New Roman"/>
          <w:color w:val="000000" w:themeColor="text1"/>
          <w:sz w:val="26"/>
          <w:szCs w:val="26"/>
        </w:rPr>
        <w:t>Anotācijas III, IV, V un VI sadaļa – projekts šīs jomas neskar.</w:t>
      </w:r>
    </w:p>
    <w:p w:rsidR="0004460B" w:rsidRPr="00BD5696" w:rsidRDefault="0004460B" w:rsidP="00DA596D">
      <w:pPr>
        <w:spacing w:after="0" w:line="240" w:lineRule="auto"/>
        <w:rPr>
          <w:rFonts w:ascii="Times New Roman" w:hAnsi="Times New Roman" w:cs="Times New Roman"/>
          <w:color w:val="000000" w:themeColor="text1"/>
          <w:sz w:val="24"/>
          <w:szCs w:val="24"/>
        </w:rPr>
      </w:pPr>
    </w:p>
    <w:p w:rsidR="004D15A9" w:rsidRPr="000721FB" w:rsidRDefault="004D15A9" w:rsidP="00DA596D">
      <w:pPr>
        <w:pStyle w:val="StyleRight"/>
        <w:spacing w:after="0"/>
        <w:ind w:firstLine="0"/>
        <w:jc w:val="both"/>
        <w:rPr>
          <w:color w:val="000000" w:themeColor="text1"/>
          <w:sz w:val="26"/>
          <w:szCs w:val="26"/>
        </w:rPr>
      </w:pPr>
      <w:r w:rsidRPr="000721FB">
        <w:rPr>
          <w:color w:val="000000" w:themeColor="text1"/>
          <w:sz w:val="26"/>
          <w:szCs w:val="26"/>
        </w:rPr>
        <w:t>Iesniedzējs:</w:t>
      </w:r>
    </w:p>
    <w:p w:rsidR="004D15A9" w:rsidRPr="000721FB" w:rsidRDefault="0004460B" w:rsidP="007836D0">
      <w:pPr>
        <w:pStyle w:val="StyleRight"/>
        <w:tabs>
          <w:tab w:val="left" w:pos="7513"/>
        </w:tabs>
        <w:spacing w:after="0"/>
        <w:ind w:firstLine="0"/>
        <w:jc w:val="both"/>
        <w:rPr>
          <w:color w:val="000000" w:themeColor="text1"/>
          <w:sz w:val="26"/>
          <w:szCs w:val="26"/>
        </w:rPr>
      </w:pPr>
      <w:r w:rsidRPr="000721FB">
        <w:rPr>
          <w:color w:val="000000" w:themeColor="text1"/>
          <w:sz w:val="26"/>
          <w:szCs w:val="26"/>
        </w:rPr>
        <w:t>Tieslietu ministrijas v</w:t>
      </w:r>
      <w:r w:rsidR="00CA23D4" w:rsidRPr="000721FB">
        <w:rPr>
          <w:color w:val="000000" w:themeColor="text1"/>
          <w:sz w:val="26"/>
          <w:szCs w:val="26"/>
        </w:rPr>
        <w:t>alsts sekretār</w:t>
      </w:r>
      <w:r w:rsidR="00D23AB1" w:rsidRPr="000721FB">
        <w:rPr>
          <w:color w:val="000000" w:themeColor="text1"/>
          <w:sz w:val="26"/>
          <w:szCs w:val="26"/>
        </w:rPr>
        <w:t xml:space="preserve">a </w:t>
      </w:r>
      <w:proofErr w:type="spellStart"/>
      <w:r w:rsidR="00D23AB1" w:rsidRPr="000721FB">
        <w:rPr>
          <w:color w:val="000000" w:themeColor="text1"/>
          <w:sz w:val="26"/>
          <w:szCs w:val="26"/>
        </w:rPr>
        <w:t>p.i</w:t>
      </w:r>
      <w:proofErr w:type="spellEnd"/>
      <w:r w:rsidR="00D23AB1" w:rsidRPr="000721FB">
        <w:rPr>
          <w:color w:val="000000" w:themeColor="text1"/>
          <w:sz w:val="26"/>
          <w:szCs w:val="26"/>
        </w:rPr>
        <w:t>.</w:t>
      </w:r>
      <w:r w:rsidR="007836D0" w:rsidRPr="000721FB">
        <w:rPr>
          <w:color w:val="000000" w:themeColor="text1"/>
          <w:sz w:val="26"/>
          <w:szCs w:val="26"/>
        </w:rPr>
        <w:tab/>
      </w:r>
      <w:r w:rsidR="00D23AB1" w:rsidRPr="000721FB">
        <w:rPr>
          <w:color w:val="000000" w:themeColor="text1"/>
          <w:sz w:val="26"/>
          <w:szCs w:val="26"/>
        </w:rPr>
        <w:t>R</w:t>
      </w:r>
      <w:r w:rsidR="004D15A9" w:rsidRPr="000721FB">
        <w:rPr>
          <w:color w:val="000000" w:themeColor="text1"/>
          <w:sz w:val="26"/>
          <w:szCs w:val="26"/>
        </w:rPr>
        <w:t>. </w:t>
      </w:r>
      <w:r w:rsidR="00D23AB1" w:rsidRPr="000721FB">
        <w:rPr>
          <w:color w:val="000000" w:themeColor="text1"/>
          <w:sz w:val="26"/>
          <w:szCs w:val="26"/>
        </w:rPr>
        <w:t>Kronbergs</w:t>
      </w:r>
    </w:p>
    <w:p w:rsidR="00F21D8D" w:rsidRDefault="00F21D8D" w:rsidP="00DA596D">
      <w:pPr>
        <w:pStyle w:val="StyleRight"/>
        <w:spacing w:after="0"/>
        <w:ind w:firstLine="0"/>
        <w:jc w:val="both"/>
        <w:rPr>
          <w:color w:val="000000" w:themeColor="text1"/>
          <w:sz w:val="24"/>
          <w:szCs w:val="24"/>
        </w:rPr>
      </w:pPr>
    </w:p>
    <w:p w:rsidR="004D05C8" w:rsidRDefault="004D05C8" w:rsidP="00DA596D">
      <w:pPr>
        <w:pStyle w:val="StyleRight"/>
        <w:spacing w:after="0"/>
        <w:ind w:firstLine="0"/>
        <w:jc w:val="both"/>
        <w:rPr>
          <w:color w:val="000000" w:themeColor="text1"/>
          <w:sz w:val="24"/>
          <w:szCs w:val="24"/>
        </w:rPr>
      </w:pPr>
    </w:p>
    <w:p w:rsidR="004D05C8" w:rsidRDefault="004D05C8" w:rsidP="00DA596D">
      <w:pPr>
        <w:pStyle w:val="StyleRight"/>
        <w:spacing w:after="0"/>
        <w:ind w:firstLine="0"/>
        <w:jc w:val="both"/>
        <w:rPr>
          <w:color w:val="000000" w:themeColor="text1"/>
          <w:sz w:val="24"/>
          <w:szCs w:val="24"/>
        </w:rPr>
      </w:pPr>
    </w:p>
    <w:p w:rsidR="004D05C8" w:rsidRPr="00BD5696" w:rsidRDefault="004D05C8" w:rsidP="00DA596D">
      <w:pPr>
        <w:pStyle w:val="StyleRight"/>
        <w:spacing w:after="0"/>
        <w:ind w:firstLine="0"/>
        <w:jc w:val="both"/>
        <w:rPr>
          <w:color w:val="000000" w:themeColor="text1"/>
          <w:sz w:val="24"/>
          <w:szCs w:val="24"/>
        </w:rPr>
      </w:pPr>
    </w:p>
    <w:p w:rsidR="004D15A9" w:rsidRPr="00BD5696" w:rsidRDefault="00D23AB1" w:rsidP="00DA596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4D05C8">
        <w:rPr>
          <w:rFonts w:ascii="Times New Roman" w:hAnsi="Times New Roman" w:cs="Times New Roman"/>
          <w:color w:val="000000" w:themeColor="text1"/>
          <w:sz w:val="20"/>
          <w:szCs w:val="20"/>
        </w:rPr>
        <w:t>2</w:t>
      </w:r>
      <w:r w:rsidR="00CA23D4" w:rsidRPr="00BD5696">
        <w:rPr>
          <w:rFonts w:ascii="Times New Roman" w:hAnsi="Times New Roman" w:cs="Times New Roman"/>
          <w:color w:val="000000" w:themeColor="text1"/>
          <w:sz w:val="20"/>
          <w:szCs w:val="20"/>
        </w:rPr>
        <w:t>.0</w:t>
      </w:r>
      <w:r w:rsidR="004D05C8">
        <w:rPr>
          <w:rFonts w:ascii="Times New Roman" w:hAnsi="Times New Roman" w:cs="Times New Roman"/>
          <w:color w:val="000000" w:themeColor="text1"/>
          <w:sz w:val="20"/>
          <w:szCs w:val="20"/>
        </w:rPr>
        <w:t>5</w:t>
      </w:r>
      <w:r w:rsidR="00CA23D4" w:rsidRPr="00BD5696">
        <w:rPr>
          <w:rFonts w:ascii="Times New Roman" w:hAnsi="Times New Roman" w:cs="Times New Roman"/>
          <w:color w:val="000000" w:themeColor="text1"/>
          <w:sz w:val="20"/>
          <w:szCs w:val="20"/>
        </w:rPr>
        <w:t>.2014</w:t>
      </w:r>
      <w:r w:rsidR="0004460B" w:rsidRPr="00BD5696">
        <w:rPr>
          <w:rFonts w:ascii="Times New Roman" w:hAnsi="Times New Roman" w:cs="Times New Roman"/>
          <w:color w:val="000000" w:themeColor="text1"/>
          <w:sz w:val="20"/>
          <w:szCs w:val="20"/>
        </w:rPr>
        <w:t>.</w:t>
      </w:r>
      <w:r w:rsidR="004D15A9" w:rsidRPr="00BD5696">
        <w:rPr>
          <w:rFonts w:ascii="Times New Roman" w:hAnsi="Times New Roman" w:cs="Times New Roman"/>
          <w:color w:val="000000" w:themeColor="text1"/>
          <w:sz w:val="20"/>
          <w:szCs w:val="20"/>
        </w:rPr>
        <w:t xml:space="preserve"> </w:t>
      </w:r>
      <w:r w:rsidR="004D05C8">
        <w:rPr>
          <w:rFonts w:ascii="Times New Roman" w:hAnsi="Times New Roman" w:cs="Times New Roman"/>
          <w:color w:val="000000" w:themeColor="text1"/>
          <w:sz w:val="20"/>
          <w:szCs w:val="20"/>
        </w:rPr>
        <w:t>08</w:t>
      </w:r>
      <w:r w:rsidR="009625C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w:t>
      </w:r>
      <w:bookmarkStart w:id="0" w:name="_GoBack"/>
      <w:bookmarkEnd w:id="0"/>
      <w:r w:rsidR="004D05C8">
        <w:rPr>
          <w:rFonts w:ascii="Times New Roman" w:hAnsi="Times New Roman" w:cs="Times New Roman"/>
          <w:color w:val="000000" w:themeColor="text1"/>
          <w:sz w:val="20"/>
          <w:szCs w:val="20"/>
        </w:rPr>
        <w:t>9</w:t>
      </w:r>
    </w:p>
    <w:p w:rsidR="004D15A9" w:rsidRPr="00BD5696" w:rsidRDefault="004026D6" w:rsidP="00DA596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716</w:t>
      </w:r>
    </w:p>
    <w:p w:rsidR="004D15A9" w:rsidRPr="00BD5696" w:rsidRDefault="004470AC" w:rsidP="00DA596D">
      <w:pPr>
        <w:spacing w:after="0" w:line="240" w:lineRule="auto"/>
        <w:rPr>
          <w:rFonts w:ascii="Times New Roman" w:hAnsi="Times New Roman" w:cs="Times New Roman"/>
          <w:color w:val="000000" w:themeColor="text1"/>
          <w:sz w:val="20"/>
          <w:szCs w:val="20"/>
        </w:rPr>
      </w:pPr>
      <w:r w:rsidRPr="00BD5696">
        <w:rPr>
          <w:rFonts w:ascii="Times New Roman" w:hAnsi="Times New Roman" w:cs="Times New Roman"/>
          <w:color w:val="000000" w:themeColor="text1"/>
          <w:sz w:val="20"/>
          <w:szCs w:val="20"/>
        </w:rPr>
        <w:t>S.</w:t>
      </w:r>
      <w:r w:rsidR="004D15A9" w:rsidRPr="00BD5696">
        <w:rPr>
          <w:rFonts w:ascii="Times New Roman" w:hAnsi="Times New Roman" w:cs="Times New Roman"/>
          <w:color w:val="000000" w:themeColor="text1"/>
          <w:sz w:val="20"/>
          <w:szCs w:val="20"/>
        </w:rPr>
        <w:t> </w:t>
      </w:r>
      <w:r w:rsidRPr="00BD5696">
        <w:rPr>
          <w:rFonts w:ascii="Times New Roman" w:hAnsi="Times New Roman" w:cs="Times New Roman"/>
          <w:color w:val="000000" w:themeColor="text1"/>
          <w:sz w:val="20"/>
          <w:szCs w:val="20"/>
        </w:rPr>
        <w:t>Vīgante</w:t>
      </w:r>
      <w:r w:rsidR="004D15A9" w:rsidRPr="00BD5696">
        <w:rPr>
          <w:rFonts w:ascii="Times New Roman" w:hAnsi="Times New Roman" w:cs="Times New Roman"/>
          <w:color w:val="000000" w:themeColor="text1"/>
          <w:sz w:val="20"/>
          <w:szCs w:val="20"/>
        </w:rPr>
        <w:t xml:space="preserve"> </w:t>
      </w:r>
    </w:p>
    <w:p w:rsidR="004D15A9" w:rsidRPr="00BD5696" w:rsidRDefault="004470AC" w:rsidP="00DA596D">
      <w:pPr>
        <w:spacing w:after="0" w:line="240" w:lineRule="auto"/>
        <w:rPr>
          <w:rFonts w:ascii="Times New Roman" w:hAnsi="Times New Roman" w:cs="Times New Roman"/>
          <w:color w:val="000000" w:themeColor="text1"/>
          <w:sz w:val="24"/>
          <w:szCs w:val="24"/>
        </w:rPr>
      </w:pPr>
      <w:r w:rsidRPr="00BD5696">
        <w:rPr>
          <w:rFonts w:ascii="Times New Roman" w:hAnsi="Times New Roman" w:cs="Times New Roman"/>
          <w:color w:val="000000" w:themeColor="text1"/>
          <w:sz w:val="20"/>
          <w:szCs w:val="20"/>
        </w:rPr>
        <w:t>67036997</w:t>
      </w:r>
      <w:r w:rsidR="004D15A9" w:rsidRPr="00BD5696">
        <w:rPr>
          <w:rFonts w:ascii="Times New Roman" w:hAnsi="Times New Roman" w:cs="Times New Roman"/>
          <w:color w:val="000000" w:themeColor="text1"/>
          <w:sz w:val="20"/>
          <w:szCs w:val="20"/>
        </w:rPr>
        <w:t xml:space="preserve">; </w:t>
      </w:r>
      <w:r w:rsidRPr="00BD5696">
        <w:rPr>
          <w:rFonts w:ascii="Times New Roman" w:hAnsi="Times New Roman" w:cs="Times New Roman"/>
          <w:color w:val="000000" w:themeColor="text1"/>
          <w:sz w:val="20"/>
          <w:szCs w:val="20"/>
        </w:rPr>
        <w:t>Sandra.V</w:t>
      </w:r>
      <w:r w:rsidR="00196821">
        <w:rPr>
          <w:rFonts w:ascii="Times New Roman" w:hAnsi="Times New Roman" w:cs="Times New Roman"/>
          <w:color w:val="000000" w:themeColor="text1"/>
          <w:sz w:val="20"/>
          <w:szCs w:val="20"/>
        </w:rPr>
        <w:t>i</w:t>
      </w:r>
      <w:r w:rsidRPr="00BD5696">
        <w:rPr>
          <w:rFonts w:ascii="Times New Roman" w:hAnsi="Times New Roman" w:cs="Times New Roman"/>
          <w:color w:val="000000" w:themeColor="text1"/>
          <w:sz w:val="20"/>
          <w:szCs w:val="20"/>
        </w:rPr>
        <w:t>gante@tm.gov.lv</w:t>
      </w:r>
    </w:p>
    <w:sectPr w:rsidR="004D15A9" w:rsidRPr="00BD5696" w:rsidSect="000721F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4D15A9" w:rsidP="00054A10">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23AB1">
      <w:rPr>
        <w:rFonts w:ascii="Times New Roman" w:hAnsi="Times New Roman" w:cs="Times New Roman"/>
        <w:color w:val="000000" w:themeColor="text1"/>
        <w:sz w:val="20"/>
        <w:szCs w:val="20"/>
      </w:rPr>
      <w:t>1</w:t>
    </w:r>
    <w:r w:rsidR="004D05C8">
      <w:rPr>
        <w:rFonts w:ascii="Times New Roman" w:hAnsi="Times New Roman" w:cs="Times New Roman"/>
        <w:color w:val="000000" w:themeColor="text1"/>
        <w:sz w:val="20"/>
        <w:szCs w:val="20"/>
      </w:rPr>
      <w:t>2</w:t>
    </w:r>
    <w:r w:rsidR="00D23AB1">
      <w:rPr>
        <w:rFonts w:ascii="Times New Roman" w:hAnsi="Times New Roman" w:cs="Times New Roman"/>
        <w:color w:val="000000" w:themeColor="text1"/>
        <w:sz w:val="20"/>
        <w:szCs w:val="20"/>
      </w:rPr>
      <w:t>0</w:t>
    </w:r>
    <w:r w:rsidR="004D05C8">
      <w:rPr>
        <w:rFonts w:ascii="Times New Roman" w:hAnsi="Times New Roman" w:cs="Times New Roman"/>
        <w:color w:val="000000" w:themeColor="text1"/>
        <w:sz w:val="20"/>
        <w:szCs w:val="20"/>
      </w:rPr>
      <w:t>5</w:t>
    </w:r>
    <w:r w:rsidR="00CA23D4">
      <w:rPr>
        <w:rFonts w:ascii="Times New Roman" w:hAnsi="Times New Roman" w:cs="Times New Roman"/>
        <w:color w:val="000000" w:themeColor="text1"/>
        <w:sz w:val="20"/>
        <w:szCs w:val="20"/>
      </w:rPr>
      <w:t>14_tulkojumi</w:t>
    </w:r>
    <w:r w:rsidRPr="004D15A9">
      <w:rPr>
        <w:rFonts w:ascii="Times New Roman" w:hAnsi="Times New Roman" w:cs="Times New Roman"/>
        <w:color w:val="000000" w:themeColor="text1"/>
        <w:sz w:val="20"/>
        <w:szCs w:val="20"/>
      </w:rPr>
      <w:t xml:space="preserve">; </w:t>
    </w:r>
    <w:r w:rsidR="00367D3D" w:rsidRPr="00367D3D">
      <w:rPr>
        <w:rFonts w:ascii="Times New Roman" w:hAnsi="Times New Roman" w:cs="Times New Roman"/>
        <w:color w:val="000000" w:themeColor="text1"/>
        <w:sz w:val="20"/>
        <w:szCs w:val="20"/>
      </w:rPr>
      <w:t>Ministru kabineta instrukcijas projekta „</w:t>
    </w:r>
    <w:r w:rsidR="00F93E95">
      <w:rPr>
        <w:rFonts w:ascii="Times New Roman" w:hAnsi="Times New Roman" w:cs="Times New Roman"/>
        <w:color w:val="000000" w:themeColor="text1"/>
        <w:sz w:val="20"/>
        <w:szCs w:val="20"/>
      </w:rPr>
      <w:t>T</w:t>
    </w:r>
    <w:r w:rsidR="00367D3D" w:rsidRPr="00367D3D">
      <w:rPr>
        <w:rFonts w:ascii="Times New Roman" w:hAnsi="Times New Roman" w:cs="Times New Roman"/>
        <w:color w:val="000000" w:themeColor="text1"/>
        <w:sz w:val="20"/>
        <w:szCs w:val="20"/>
      </w:rPr>
      <w:t>ulkojumu pieprasīšanas un nodrošināšanas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10" w:rsidRPr="00054A10" w:rsidRDefault="00EE48FF" w:rsidP="00B72C83">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23AB1">
      <w:rPr>
        <w:rFonts w:ascii="Times New Roman" w:hAnsi="Times New Roman" w:cs="Times New Roman"/>
        <w:color w:val="000000" w:themeColor="text1"/>
        <w:sz w:val="20"/>
        <w:szCs w:val="20"/>
      </w:rPr>
      <w:t>1</w:t>
    </w:r>
    <w:r w:rsidR="004D05C8">
      <w:rPr>
        <w:rFonts w:ascii="Times New Roman" w:hAnsi="Times New Roman" w:cs="Times New Roman"/>
        <w:color w:val="000000" w:themeColor="text1"/>
        <w:sz w:val="20"/>
        <w:szCs w:val="20"/>
      </w:rPr>
      <w:t>2</w:t>
    </w:r>
    <w:r w:rsidR="00D23AB1">
      <w:rPr>
        <w:rFonts w:ascii="Times New Roman" w:hAnsi="Times New Roman" w:cs="Times New Roman"/>
        <w:color w:val="000000" w:themeColor="text1"/>
        <w:sz w:val="20"/>
        <w:szCs w:val="20"/>
      </w:rPr>
      <w:t>0</w:t>
    </w:r>
    <w:r w:rsidR="004D05C8">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14_tulkojumi</w:t>
    </w:r>
    <w:r w:rsidRPr="004D15A9">
      <w:rPr>
        <w:rFonts w:ascii="Times New Roman" w:hAnsi="Times New Roman" w:cs="Times New Roman"/>
        <w:color w:val="000000" w:themeColor="text1"/>
        <w:sz w:val="20"/>
        <w:szCs w:val="20"/>
      </w:rPr>
      <w:t xml:space="preserve">; </w:t>
    </w:r>
    <w:r w:rsidR="00B72C83" w:rsidRPr="00B72C83">
      <w:rPr>
        <w:rFonts w:ascii="Times New Roman" w:hAnsi="Times New Roman" w:cs="Times New Roman"/>
        <w:color w:val="000000" w:themeColor="text1"/>
        <w:sz w:val="20"/>
        <w:szCs w:val="20"/>
      </w:rPr>
      <w:t>Ministru kabineta instrukcijas projekta „</w:t>
    </w:r>
    <w:r w:rsidR="00F93E95">
      <w:rPr>
        <w:rFonts w:ascii="Times New Roman" w:hAnsi="Times New Roman" w:cs="Times New Roman"/>
        <w:color w:val="000000" w:themeColor="text1"/>
        <w:sz w:val="20"/>
        <w:szCs w:val="20"/>
      </w:rPr>
      <w:t>T</w:t>
    </w:r>
    <w:r w:rsidR="00B72C83" w:rsidRPr="00B72C83">
      <w:rPr>
        <w:rFonts w:ascii="Times New Roman" w:hAnsi="Times New Roman" w:cs="Times New Roman"/>
        <w:color w:val="000000" w:themeColor="text1"/>
        <w:sz w:val="20"/>
        <w:szCs w:val="20"/>
      </w:rPr>
      <w:t>ulkojumu pieprasīšanas un nodrošināšanas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721FB">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4460B"/>
    <w:rsid w:val="00054A10"/>
    <w:rsid w:val="000572C3"/>
    <w:rsid w:val="000721FB"/>
    <w:rsid w:val="0007711B"/>
    <w:rsid w:val="0009073E"/>
    <w:rsid w:val="00101CD5"/>
    <w:rsid w:val="00175633"/>
    <w:rsid w:val="00176EE7"/>
    <w:rsid w:val="00186A1E"/>
    <w:rsid w:val="00196821"/>
    <w:rsid w:val="001E06AA"/>
    <w:rsid w:val="00310F5E"/>
    <w:rsid w:val="00367D3D"/>
    <w:rsid w:val="00384470"/>
    <w:rsid w:val="003922B0"/>
    <w:rsid w:val="003A2A0B"/>
    <w:rsid w:val="003C7177"/>
    <w:rsid w:val="004026D6"/>
    <w:rsid w:val="004470AC"/>
    <w:rsid w:val="00473FD9"/>
    <w:rsid w:val="00477379"/>
    <w:rsid w:val="004D05C8"/>
    <w:rsid w:val="004D15A9"/>
    <w:rsid w:val="004D7AB2"/>
    <w:rsid w:val="005D4E8A"/>
    <w:rsid w:val="005F6B2C"/>
    <w:rsid w:val="0060035C"/>
    <w:rsid w:val="006A3900"/>
    <w:rsid w:val="006F16D6"/>
    <w:rsid w:val="006F304E"/>
    <w:rsid w:val="006F6B8D"/>
    <w:rsid w:val="00700CA2"/>
    <w:rsid w:val="007836D0"/>
    <w:rsid w:val="0081203F"/>
    <w:rsid w:val="008343BB"/>
    <w:rsid w:val="008468A9"/>
    <w:rsid w:val="009625CF"/>
    <w:rsid w:val="00A035D0"/>
    <w:rsid w:val="00A06C70"/>
    <w:rsid w:val="00A12030"/>
    <w:rsid w:val="00A44E91"/>
    <w:rsid w:val="00A45E41"/>
    <w:rsid w:val="00A63F51"/>
    <w:rsid w:val="00B16DD9"/>
    <w:rsid w:val="00B72C83"/>
    <w:rsid w:val="00BB1F46"/>
    <w:rsid w:val="00BD5696"/>
    <w:rsid w:val="00BE61A3"/>
    <w:rsid w:val="00C0522A"/>
    <w:rsid w:val="00C20376"/>
    <w:rsid w:val="00C30878"/>
    <w:rsid w:val="00C74D42"/>
    <w:rsid w:val="00CA23D4"/>
    <w:rsid w:val="00D124DE"/>
    <w:rsid w:val="00D23AB1"/>
    <w:rsid w:val="00D23B62"/>
    <w:rsid w:val="00D313D5"/>
    <w:rsid w:val="00DA596D"/>
    <w:rsid w:val="00E60EBD"/>
    <w:rsid w:val="00ED3EAC"/>
    <w:rsid w:val="00EE3C60"/>
    <w:rsid w:val="00EE48FF"/>
    <w:rsid w:val="00F13B12"/>
    <w:rsid w:val="00F21D8D"/>
    <w:rsid w:val="00F715F3"/>
    <w:rsid w:val="00F93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kr">
    <w:name w:val="naiskr"/>
    <w:basedOn w:val="Parasts"/>
    <w:rsid w:val="006F16D6"/>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A06C70"/>
    <w:rPr>
      <w:sz w:val="16"/>
      <w:szCs w:val="16"/>
    </w:rPr>
  </w:style>
  <w:style w:type="paragraph" w:styleId="Komentrateksts">
    <w:name w:val="annotation text"/>
    <w:basedOn w:val="Parasts"/>
    <w:link w:val="KomentratekstsRakstz"/>
    <w:uiPriority w:val="99"/>
    <w:semiHidden/>
    <w:unhideWhenUsed/>
    <w:rsid w:val="00A06C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06C70"/>
    <w:rPr>
      <w:sz w:val="20"/>
      <w:szCs w:val="20"/>
    </w:rPr>
  </w:style>
  <w:style w:type="paragraph" w:styleId="Komentratma">
    <w:name w:val="annotation subject"/>
    <w:basedOn w:val="Komentrateksts"/>
    <w:next w:val="Komentrateksts"/>
    <w:link w:val="KomentratmaRakstz"/>
    <w:uiPriority w:val="99"/>
    <w:semiHidden/>
    <w:unhideWhenUsed/>
    <w:rsid w:val="00A06C70"/>
    <w:rPr>
      <w:b/>
      <w:bCs/>
    </w:rPr>
  </w:style>
  <w:style w:type="character" w:customStyle="1" w:styleId="KomentratmaRakstz">
    <w:name w:val="Komentāra tēma Rakstz."/>
    <w:basedOn w:val="KomentratekstsRakstz"/>
    <w:link w:val="Komentratma"/>
    <w:uiPriority w:val="99"/>
    <w:semiHidden/>
    <w:rsid w:val="00A06C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kr">
    <w:name w:val="naiskr"/>
    <w:basedOn w:val="Parasts"/>
    <w:rsid w:val="006F16D6"/>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A06C70"/>
    <w:rPr>
      <w:sz w:val="16"/>
      <w:szCs w:val="16"/>
    </w:rPr>
  </w:style>
  <w:style w:type="paragraph" w:styleId="Komentrateksts">
    <w:name w:val="annotation text"/>
    <w:basedOn w:val="Parasts"/>
    <w:link w:val="KomentratekstsRakstz"/>
    <w:uiPriority w:val="99"/>
    <w:semiHidden/>
    <w:unhideWhenUsed/>
    <w:rsid w:val="00A06C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06C70"/>
    <w:rPr>
      <w:sz w:val="20"/>
      <w:szCs w:val="20"/>
    </w:rPr>
  </w:style>
  <w:style w:type="paragraph" w:styleId="Komentratma">
    <w:name w:val="annotation subject"/>
    <w:basedOn w:val="Komentrateksts"/>
    <w:next w:val="Komentrateksts"/>
    <w:link w:val="KomentratmaRakstz"/>
    <w:uiPriority w:val="99"/>
    <w:semiHidden/>
    <w:unhideWhenUsed/>
    <w:rsid w:val="00A06C70"/>
    <w:rPr>
      <w:b/>
      <w:bCs/>
    </w:rPr>
  </w:style>
  <w:style w:type="character" w:customStyle="1" w:styleId="KomentratmaRakstz">
    <w:name w:val="Komentāra tēma Rakstz."/>
    <w:basedOn w:val="KomentratekstsRakstz"/>
    <w:link w:val="Komentratma"/>
    <w:uiPriority w:val="99"/>
    <w:semiHidden/>
    <w:rsid w:val="00A06C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46504808">
      <w:bodyDiv w:val="1"/>
      <w:marLeft w:val="0"/>
      <w:marRight w:val="0"/>
      <w:marTop w:val="0"/>
      <w:marBottom w:val="0"/>
      <w:divBdr>
        <w:top w:val="none" w:sz="0" w:space="0" w:color="auto"/>
        <w:left w:val="none" w:sz="0" w:space="0" w:color="auto"/>
        <w:bottom w:val="none" w:sz="0" w:space="0" w:color="auto"/>
        <w:right w:val="none" w:sz="0" w:space="0" w:color="auto"/>
      </w:divBdr>
    </w:div>
    <w:div w:id="656999240">
      <w:bodyDiv w:val="1"/>
      <w:marLeft w:val="0"/>
      <w:marRight w:val="0"/>
      <w:marTop w:val="0"/>
      <w:marBottom w:val="0"/>
      <w:divBdr>
        <w:top w:val="none" w:sz="0" w:space="0" w:color="auto"/>
        <w:left w:val="none" w:sz="0" w:space="0" w:color="auto"/>
        <w:bottom w:val="none" w:sz="0" w:space="0" w:color="auto"/>
        <w:right w:val="none" w:sz="0" w:space="0" w:color="auto"/>
      </w:divBdr>
    </w:div>
    <w:div w:id="841745619">
      <w:bodyDiv w:val="1"/>
      <w:marLeft w:val="0"/>
      <w:marRight w:val="0"/>
      <w:marTop w:val="0"/>
      <w:marBottom w:val="0"/>
      <w:divBdr>
        <w:top w:val="none" w:sz="0" w:space="0" w:color="auto"/>
        <w:left w:val="none" w:sz="0" w:space="0" w:color="auto"/>
        <w:bottom w:val="none" w:sz="0" w:space="0" w:color="auto"/>
        <w:right w:val="none" w:sz="0" w:space="0" w:color="auto"/>
      </w:divBdr>
    </w:div>
    <w:div w:id="1077435482">
      <w:bodyDiv w:val="1"/>
      <w:marLeft w:val="0"/>
      <w:marRight w:val="0"/>
      <w:marTop w:val="0"/>
      <w:marBottom w:val="0"/>
      <w:divBdr>
        <w:top w:val="none" w:sz="0" w:space="0" w:color="auto"/>
        <w:left w:val="none" w:sz="0" w:space="0" w:color="auto"/>
        <w:bottom w:val="none" w:sz="0" w:space="0" w:color="auto"/>
        <w:right w:val="none" w:sz="0" w:space="0" w:color="auto"/>
      </w:divBdr>
    </w:div>
    <w:div w:id="120366427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6CF4-EBD5-4175-82F9-EE4B9451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3814</Words>
  <Characters>2175</Characters>
  <Application>Microsoft Office Word</Application>
  <DocSecurity>4</DocSecurity>
  <Lines>18</Lines>
  <Paragraphs>11</Paragraphs>
  <ScaleCrop>false</ScaleCrop>
  <HeadingPairs>
    <vt:vector size="2" baseType="variant">
      <vt:variant>
        <vt:lpstr>Nosaukums</vt:lpstr>
      </vt:variant>
      <vt:variant>
        <vt:i4>1</vt:i4>
      </vt:variant>
    </vt:vector>
  </HeadingPairs>
  <TitlesOfParts>
    <vt:vector size="1" baseType="lpstr">
      <vt:lpstr>Ministru kabineta instrukcijas projekta „Valsts valodas centra tulkojumu pieprasīšanas un nodrošināšanas kārtība” sākotnējās ietekmes novērtējuma ziņojums (anotācija)</vt:lpstr>
    </vt:vector>
  </TitlesOfParts>
  <Company>Tieslietu Sektors</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„Valsts valodas centra tulkojumu pieprasīšanas un nodrošināšanas kārtība” sākotnējās ietekmes novērtējuma ziņojums (anotācija)</dc:title>
  <dc:subject>Anotācija</dc:subject>
  <dc:creator>Tieslietu ministrija</dc:creator>
  <dc:description>S. Vīgante 67036975, sandra.vigante@tm.gov.lv</dc:description>
  <cp:lastModifiedBy>Sandra Vigante</cp:lastModifiedBy>
  <cp:revision>2</cp:revision>
  <cp:lastPrinted>2014-02-26T11:16:00Z</cp:lastPrinted>
  <dcterms:created xsi:type="dcterms:W3CDTF">2014-05-12T10:33:00Z</dcterms:created>
  <dcterms:modified xsi:type="dcterms:W3CDTF">2014-05-12T10:33:00Z</dcterms:modified>
</cp:coreProperties>
</file>