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C0" w:rsidRPr="00304314" w:rsidRDefault="004747C0" w:rsidP="004747C0">
      <w:pPr>
        <w:jc w:val="center"/>
        <w:rPr>
          <w:b/>
          <w:bCs/>
        </w:rPr>
      </w:pPr>
      <w:r w:rsidRPr="00304314">
        <w:rPr>
          <w:b/>
          <w:bCs/>
        </w:rPr>
        <w:t>Ministru kabineta noteikumu projekta</w:t>
      </w:r>
    </w:p>
    <w:p w:rsidR="004747C0" w:rsidRPr="00304314" w:rsidRDefault="004747C0" w:rsidP="004747C0">
      <w:pPr>
        <w:jc w:val="center"/>
        <w:rPr>
          <w:b/>
          <w:bCs/>
        </w:rPr>
      </w:pPr>
      <w:r w:rsidRPr="00304314">
        <w:rPr>
          <w:b/>
          <w:bCs/>
        </w:rPr>
        <w:t>„</w:t>
      </w:r>
      <w:r w:rsidRPr="00304314">
        <w:rPr>
          <w:b/>
        </w:rPr>
        <w:t>Kārtība, kādā akreditē izglītības iestādes eksaminācijas centrus un citas institūcijas, vispārējās un profesionālās izglītības programmas un novērtē valsts un pašvaldību izglītības iestāžu vadītāju profesionālo darbību</w:t>
      </w:r>
      <w:r w:rsidRPr="00304314">
        <w:rPr>
          <w:b/>
          <w:bCs/>
        </w:rPr>
        <w:t xml:space="preserve">” </w:t>
      </w:r>
    </w:p>
    <w:p w:rsidR="004747C0" w:rsidRPr="00304314" w:rsidRDefault="004747C0" w:rsidP="004747C0">
      <w:pPr>
        <w:jc w:val="center"/>
        <w:rPr>
          <w:b/>
          <w:bCs/>
        </w:rPr>
      </w:pPr>
      <w:r w:rsidRPr="00304314">
        <w:rPr>
          <w:b/>
        </w:rPr>
        <w:t>sākotnējās ietekmes novērtējuma ziņojums (anotācija)</w:t>
      </w:r>
    </w:p>
    <w:p w:rsidR="004747C0" w:rsidRPr="00304314" w:rsidRDefault="004747C0" w:rsidP="004747C0">
      <w:pPr>
        <w:pStyle w:val="Heading3"/>
        <w:spacing w:after="0"/>
        <w:jc w:val="center"/>
        <w:rPr>
          <w:rFonts w:ascii="Times New Roman" w:hAnsi="Times New Roman"/>
          <w:b/>
          <w:i w:val="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500"/>
        <w:gridCol w:w="7480"/>
      </w:tblGrid>
      <w:tr w:rsidR="004747C0" w:rsidRPr="00304314" w:rsidTr="00E83D49">
        <w:trPr>
          <w:trHeight w:val="219"/>
        </w:trPr>
        <w:tc>
          <w:tcPr>
            <w:tcW w:w="5000" w:type="pct"/>
            <w:gridSpan w:val="3"/>
          </w:tcPr>
          <w:p w:rsidR="004747C0" w:rsidRPr="00304314" w:rsidRDefault="004747C0" w:rsidP="00E83D49">
            <w:pPr>
              <w:jc w:val="center"/>
              <w:rPr>
                <w:b/>
              </w:rPr>
            </w:pPr>
            <w:r w:rsidRPr="00304314">
              <w:rPr>
                <w:b/>
              </w:rPr>
              <w:t>I. Tiesību akta projekta izstrādes nepieciešamība</w:t>
            </w:r>
          </w:p>
        </w:tc>
      </w:tr>
      <w:tr w:rsidR="004747C0" w:rsidRPr="00304314" w:rsidTr="00F130C7">
        <w:tc>
          <w:tcPr>
            <w:tcW w:w="271" w:type="pct"/>
          </w:tcPr>
          <w:p w:rsidR="004747C0" w:rsidRPr="00304314" w:rsidRDefault="004747C0" w:rsidP="00E83D49">
            <w:r w:rsidRPr="00304314">
              <w:t>1.</w:t>
            </w:r>
          </w:p>
        </w:tc>
        <w:tc>
          <w:tcPr>
            <w:tcW w:w="790" w:type="pct"/>
          </w:tcPr>
          <w:p w:rsidR="004747C0" w:rsidRPr="00304314" w:rsidRDefault="004747C0" w:rsidP="00E83D49">
            <w:r w:rsidRPr="00304314">
              <w:t>Pamatojums</w:t>
            </w:r>
          </w:p>
        </w:tc>
        <w:tc>
          <w:tcPr>
            <w:tcW w:w="3939" w:type="pct"/>
          </w:tcPr>
          <w:p w:rsidR="004747C0" w:rsidRDefault="004747C0" w:rsidP="00E83D49">
            <w:pPr>
              <w:jc w:val="both"/>
            </w:pPr>
            <w:r w:rsidRPr="00304314">
              <w:t xml:space="preserve">Ar Ministru kabineta 2012.gada 16.februāra rīkojumu Nr.84 „Par Valdības rīcības plānu Deklarācijas par Valda </w:t>
            </w:r>
            <w:proofErr w:type="spellStart"/>
            <w:r w:rsidRPr="00304314">
              <w:t>Dombrovska</w:t>
            </w:r>
            <w:proofErr w:type="spellEnd"/>
            <w:r w:rsidRPr="00304314">
              <w:t xml:space="preserve"> vadītā Ministru kabineta iecerēto darbību īstenošanai” apstiprināts Valdības rīcības plāns Deklarācijas par Valda </w:t>
            </w:r>
            <w:proofErr w:type="spellStart"/>
            <w:r w:rsidRPr="00304314">
              <w:t>Dombrovska</w:t>
            </w:r>
            <w:proofErr w:type="spellEnd"/>
            <w:r w:rsidRPr="00304314">
              <w:t xml:space="preserve"> vadītā Ministru kabineta iecerēto </w:t>
            </w:r>
            <w:r w:rsidR="00EB7832">
              <w:t>darbību īstenošanai, kura 1.1.</w:t>
            </w:r>
            <w:r w:rsidRPr="00304314">
              <w:t xml:space="preserve">pasākumā noteikts </w:t>
            </w:r>
            <w:r w:rsidRPr="00304314">
              <w:rPr>
                <w:bCs/>
              </w:rPr>
              <w:t>–</w:t>
            </w:r>
            <w:r w:rsidRPr="00304314">
              <w:t xml:space="preserve"> izstrādāt un publiski apspriest izglītības vērtēšanas kritērijus, t.sk. izglītības kvalitātes kritērijus, atbilstoši 21.gadsimta sociālajām un ekonomiskajām tendencēm. Izveidot visaptverošu izglītības kvalitātes monitoringu, nodrošinot informācijas pieejamību par izglītības iestādi un tās darbības rezultātiem (..).</w:t>
            </w:r>
          </w:p>
          <w:p w:rsidR="004747C0" w:rsidRPr="00304314" w:rsidRDefault="004747C0" w:rsidP="00E83D49">
            <w:pPr>
              <w:jc w:val="both"/>
            </w:pPr>
            <w:r>
              <w:t>Izglītības likuma 14.panta 8. un 11.punktā noteikta Ministru kabineta kompetence par izglītības iestāžu un citu institūciju, kā arī izglītības programmu akreditāciju.</w:t>
            </w:r>
          </w:p>
          <w:p w:rsidR="004747C0" w:rsidRPr="00304314" w:rsidRDefault="004747C0" w:rsidP="00E83D49">
            <w:pPr>
              <w:jc w:val="both"/>
            </w:pPr>
            <w:r w:rsidRPr="00304314">
              <w:rPr>
                <w:bCs/>
              </w:rPr>
              <w:t>Izglītības likuma</w:t>
            </w:r>
            <w:r w:rsidRPr="00304314">
              <w:t xml:space="preserve"> 30.panta 4.</w:t>
            </w:r>
            <w:r w:rsidRPr="00304314">
              <w:rPr>
                <w:vertAlign w:val="superscript"/>
              </w:rPr>
              <w:t>1</w:t>
            </w:r>
            <w:r w:rsidRPr="00304314">
              <w:t>daļu, 14.panta</w:t>
            </w:r>
            <w:r>
              <w:t xml:space="preserve"> </w:t>
            </w:r>
            <w:r w:rsidRPr="00304314">
              <w:t>12</w:t>
            </w:r>
            <w:r w:rsidRPr="00304314">
              <w:rPr>
                <w:vertAlign w:val="superscript"/>
              </w:rPr>
              <w:t>1</w:t>
            </w:r>
            <w:r w:rsidRPr="00304314">
              <w:t>.punktā un Izglītības likuma pārejas noteikumu 36.punktā paredzēts, ka Ministru kabineta kompetencē ir noteikt kārtību un kritērijus valsts un pašvaldību izglītības iestāžu (izņemot augstskolas un koledžas) vadītāju profesionālās darbības novērtēšanai.</w:t>
            </w:r>
            <w:r w:rsidRPr="00304314">
              <w:rPr>
                <w:bCs/>
              </w:rPr>
              <w:t xml:space="preserve"> </w:t>
            </w:r>
          </w:p>
        </w:tc>
      </w:tr>
      <w:tr w:rsidR="004747C0" w:rsidRPr="00304314" w:rsidTr="00F130C7">
        <w:tc>
          <w:tcPr>
            <w:tcW w:w="271" w:type="pct"/>
          </w:tcPr>
          <w:p w:rsidR="004747C0" w:rsidRPr="00304314" w:rsidRDefault="004747C0" w:rsidP="00E83D49">
            <w:r w:rsidRPr="00304314">
              <w:t xml:space="preserve">2. </w:t>
            </w:r>
          </w:p>
        </w:tc>
        <w:tc>
          <w:tcPr>
            <w:tcW w:w="790" w:type="pct"/>
          </w:tcPr>
          <w:p w:rsidR="004747C0" w:rsidRPr="00304314" w:rsidRDefault="004747C0" w:rsidP="00E83D49">
            <w:r w:rsidRPr="00304314">
              <w:t>Pašreizējā situācija un problēmas</w:t>
            </w:r>
            <w:r w:rsidR="00F130C7">
              <w:t>, kuru risināšanai tiesību akta projekts izstrādāts, tiesiskā regulējuma mērķis un būtība</w:t>
            </w:r>
          </w:p>
        </w:tc>
        <w:tc>
          <w:tcPr>
            <w:tcW w:w="3939" w:type="pct"/>
          </w:tcPr>
          <w:p w:rsidR="004747C0" w:rsidRPr="00304314" w:rsidRDefault="004747C0" w:rsidP="00E83D49">
            <w:pPr>
              <w:jc w:val="both"/>
            </w:pPr>
            <w:r w:rsidRPr="00304314">
              <w:t>Atbilstoši  Izglītības likuma 30.panta 4.</w:t>
            </w:r>
            <w:r w:rsidRPr="00304314">
              <w:rPr>
                <w:vertAlign w:val="superscript"/>
              </w:rPr>
              <w:t>1</w:t>
            </w:r>
            <w:r w:rsidRPr="00304314">
              <w:t>daļ</w:t>
            </w:r>
            <w:r w:rsidR="00EB7832">
              <w:t>ā</w:t>
            </w:r>
            <w:r w:rsidRPr="00304314">
              <w:t>, 14.panta 12</w:t>
            </w:r>
            <w:r w:rsidRPr="00304314">
              <w:rPr>
                <w:vertAlign w:val="superscript"/>
              </w:rPr>
              <w:t>1</w:t>
            </w:r>
            <w:r w:rsidRPr="00304314">
              <w:t>.punktā un Izglītības likuma pārejas noteikumu 36.punktā noteiktajam Ministru kabineta kompetencē ir noteikt kārtību un kritērijus valsts un pašvaldību izglītības iestāžu (izņemot augstskolas un koledžas) vadītāju profesionālās darbības novērtēšanai. Šobrīd spēkā esošais normatīvais regulējums neparedz valsts un pašvaldību izglītības iestāžu vadītāju profesionālās darbības novērtēšanas kārtību un kritērijus. Tādējādi, lai nodrošinātu</w:t>
            </w:r>
            <w:r w:rsidRPr="00304314">
              <w:rPr>
                <w:sz w:val="36"/>
                <w:szCs w:val="36"/>
              </w:rPr>
              <w:t xml:space="preserve"> </w:t>
            </w:r>
            <w:r w:rsidRPr="00304314">
              <w:t>Izglītības likuma 30.panta 4</w:t>
            </w:r>
            <w:r w:rsidRPr="00304314">
              <w:rPr>
                <w:vertAlign w:val="superscript"/>
              </w:rPr>
              <w:t>1</w:t>
            </w:r>
            <w:r w:rsidRPr="00304314">
              <w:t xml:space="preserve">.daļā noteiktā mērķa </w:t>
            </w:r>
            <w:r w:rsidRPr="00304314">
              <w:rPr>
                <w:bCs/>
              </w:rPr>
              <w:t>–</w:t>
            </w:r>
            <w:r w:rsidRPr="00304314">
              <w:t xml:space="preserve"> </w:t>
            </w:r>
            <w:r w:rsidRPr="00304314">
              <w:rPr>
                <w:bCs/>
              </w:rPr>
              <w:t>valsts</w:t>
            </w:r>
            <w:r w:rsidRPr="00304314">
              <w:t xml:space="preserve"> un </w:t>
            </w:r>
            <w:r w:rsidRPr="00304314">
              <w:rPr>
                <w:bCs/>
              </w:rPr>
              <w:t>pašvaldību izglītības iestāžu</w:t>
            </w:r>
            <w:r w:rsidRPr="00304314">
              <w:t xml:space="preserve"> (izņemot augstskolas un koledžas) </w:t>
            </w:r>
            <w:r w:rsidRPr="00304314">
              <w:rPr>
                <w:bCs/>
              </w:rPr>
              <w:t>vadītāju profesionālās darbības novērtēšana – īstenošanu,</w:t>
            </w:r>
            <w:r w:rsidRPr="00304314">
              <w:t xml:space="preserve"> nepieciešams noteikt tiesisko regulējumu Ministru kabineta noteiktajā kārtībā.</w:t>
            </w:r>
          </w:p>
          <w:p w:rsidR="004747C0" w:rsidRPr="00304314" w:rsidRDefault="004747C0" w:rsidP="00E83D49">
            <w:pPr>
              <w:jc w:val="both"/>
            </w:pPr>
            <w:r w:rsidRPr="00304314">
              <w:t xml:space="preserve">Atbilstoši </w:t>
            </w:r>
            <w:r w:rsidR="00542BDD">
              <w:t xml:space="preserve">minētajam </w:t>
            </w:r>
            <w:r w:rsidRPr="00304314">
              <w:t xml:space="preserve">ir sagatavots Ministru kabineta noteikumu projekts „Kārtība, kādā akreditē izglītības iestādes un eksaminācijas centrus, vispārējās un profesionālās izglītības programmas, un novērtē valsts un pašvaldību izglītības iestāžu vadītāju profesionālo darbību” (turpmāk – MK noteikumu projekts). </w:t>
            </w:r>
          </w:p>
          <w:p w:rsidR="004747C0" w:rsidRPr="00304314" w:rsidRDefault="004747C0" w:rsidP="00E83D49">
            <w:pPr>
              <w:jc w:val="both"/>
            </w:pPr>
            <w:r w:rsidRPr="00304314">
              <w:t xml:space="preserve">Izglītības kvalitātes valsts dienesta kompetencē ir nodrošināt un organizēt izglītības iestāžu (izņemot interešu izglītības iestādes, pieaugušo neformālās izglītības iestādes, augstskolas un koledžas) un eksaminācijas centru darbības kvalitātes, kā arī vispārējās un profesionālās izglītības programmu (izņemot profesionālās pilnveides izglītības programmas, profesionālās ievirzes izglītības programmas, augstākās izglītības studiju virziena un izglītības programmas) kvalitātes novērtēšanu un akreditāciju. </w:t>
            </w:r>
          </w:p>
          <w:p w:rsidR="004747C0" w:rsidRPr="00304314" w:rsidRDefault="004747C0" w:rsidP="00E83D49">
            <w:pPr>
              <w:jc w:val="both"/>
              <w:rPr>
                <w:sz w:val="28"/>
                <w:szCs w:val="28"/>
              </w:rPr>
            </w:pPr>
            <w:r w:rsidRPr="00304314">
              <w:t xml:space="preserve">Ņemot vērā minēto, lai mazinātu administratīvo un birokrātisko slogu, vienkāršotu un vienādotu procedūru, un, ievērojot lietderības apsvērumus, </w:t>
            </w:r>
            <w:r w:rsidRPr="00304314">
              <w:lastRenderedPageBreak/>
              <w:t xml:space="preserve">valsts un pašvaldību izglītības iestāžu (izņemot augstskolas un koledžas) vadītāju profesionālās darbības novērtēšanas kārtība un kritēriji, kā arī izglītības iestāžu un eksaminācijas centru darbības un izglītības programmu īstenošanas kvalitātes vērtēšanas kārtība paredzama vienotā normatīvajā aktā – MK noteikumu projektā. </w:t>
            </w:r>
            <w:r w:rsidRPr="00304314">
              <w:rPr>
                <w:sz w:val="28"/>
                <w:szCs w:val="28"/>
              </w:rPr>
              <w:t xml:space="preserve"> </w:t>
            </w:r>
          </w:p>
          <w:p w:rsidR="00F130C7" w:rsidRPr="00304314" w:rsidRDefault="00F130C7" w:rsidP="00F130C7">
            <w:pPr>
              <w:jc w:val="both"/>
            </w:pPr>
            <w:r w:rsidRPr="00304314">
              <w:t>MK noteikumu projekta mērķis ir noteikt tiesisko regulējumu izglītības iestādes vadītāja novērtēšanai, kā arī pilnveidot šobrīd spēkā esošajos Ministru kabineta 2010.gada 14.septembra noteikumos Nr.852 „Kārtība, kādā akreditē vispārējās un profesionālās izglītības programmas, izglītības iestādes un eksaminācijas centrus” noteikto akreditācijas kārtību, vienlaikus novēršot pastāvošā tiesiskā regulējuma nepilnības, kā arī mazinot administratīvo un birokrātisko slogu.</w:t>
            </w:r>
          </w:p>
          <w:p w:rsidR="00F130C7" w:rsidRPr="00304314" w:rsidRDefault="00F130C7" w:rsidP="00F130C7">
            <w:pPr>
              <w:jc w:val="both"/>
            </w:pPr>
            <w:r w:rsidRPr="00304314">
              <w:t>MK noteikumu projektā paredzēta vienota iestādes vadītāja novērtēšanas un iestādes vai izglītības programmas</w:t>
            </w:r>
            <w:r w:rsidR="00EB7832">
              <w:t xml:space="preserve"> akreditācijas kārtība, tostarp</w:t>
            </w:r>
            <w:r w:rsidRPr="00304314">
              <w:t xml:space="preserve"> piesakoties akreditācijai vai iestādes vadītāja novērtēšanai, iestādei vai iestādes vadītājam Izglītības kvalitātes valsts dienestā jāiesniedz pēc vienotas struktūras un noteiktajām prasībām sagatavots pašnovērtējuma ziņojums. Pašnovērtējuma ziņojums, izņemot ietverto informāciju par iestādes vadītāja novērtēšanu, jāpublicē iestādes vai tās dibinātāja tīmekļa vietnē. Lai ievērotu sabiedrības intereses, MK noteikumu projektā paredzēts, ka iestādēm, kas pieteikušās akreditācijai, pašnovērtējuma ziņojums jāaktualizē katru gadu. Akreditācijai vai iestādes vadītāja novērtēšanai paredzēts veikt ekspertu atlasi pēc vienotiem kritērijiem, nodrošināt ekspertu apmācību vienotos kursos, kā arī veidot vienotu ekspertu komisiju, vienlaikus paredzot, ka šobrīd spēkā esošā akreditācijas kārtība ietvers iestādes vadītāja novērtēšanas kārtību. MK noteikumu projekts neparedz izdot jaunus ekspertu komisijas darbību reglamentējošos normatīvos aktus, bet nosaka nepieciešamību pilnveidot Izglītības kvalitātes valsts dienesta izdoto spēkā esošo ekspertu komisijas nolikumu un iestāžu darbības un izglītības programmu īstenošanas kvalitātes vērtēšanas metodiku (turpmāk – Metodika), iekļaujot iestādes vadītāja novērtēšanu. Metodikā papildinājumi tiks izstrādāti līdz 2014.gada </w:t>
            </w:r>
            <w:r>
              <w:t>oktobrim</w:t>
            </w:r>
            <w:r w:rsidRPr="00304314">
              <w:t>. Pēc Metodikas spēkā stāšanās līdz 2014.gada oktobrim Izglītības kvalitātes valsts dienests organizēs un nodrošinās ekspertu apmācību atbilstoši Metodikā ietvertajām prasībām.</w:t>
            </w:r>
          </w:p>
          <w:p w:rsidR="00F130C7" w:rsidRPr="00304314" w:rsidRDefault="00F130C7" w:rsidP="00F130C7">
            <w:pPr>
              <w:jc w:val="both"/>
            </w:pPr>
            <w:r w:rsidRPr="00304314">
              <w:t xml:space="preserve">MK noteikumu projektā iestādes vadītāja profesionālās darbības vērtēšana paredzēta kā akreditācijas procesā četros kvalitātes vērtējuma līmeņos, nosakot vērtējamās jomas atbilstošo kritēriju kvalitātes vērtējuma līmeni. </w:t>
            </w:r>
          </w:p>
          <w:p w:rsidR="00F130C7" w:rsidRPr="00304314" w:rsidRDefault="00F130C7" w:rsidP="00F130C7">
            <w:pPr>
              <w:jc w:val="both"/>
            </w:pPr>
            <w:r w:rsidRPr="00304314">
              <w:t xml:space="preserve">Lai novērtētu iestādes vadītāja profesionālo darbību vai vērtētu iestādes darbības vai izglītības programmas īstenošanas kvalitāti, MK noteikumu projektā paredzēta vienādota iestādes vadītāja novērtēšanas un iestādes vai izglītības programmas akreditācijas procesa organizēšana un lēmuma pieņemšana – ekspertu komisija, kas sagatavo ziņojumu un priekšlikumu par iestādes vadītāja novērtējumu; iestāžu, eksaminācijas centru, izglītības programmu akreditācijas un iestādes vadītāju novērtēšanas komisija, kas sniedz priekšlikumu par iestādes vadītāja novērtēšanu vai tā atteikumu; </w:t>
            </w:r>
            <w:r w:rsidRPr="00304314">
              <w:lastRenderedPageBreak/>
              <w:t xml:space="preserve">Izglītības kvalitātes valsts dienests, kas pieņem lēmumu par iestādes vadītāja </w:t>
            </w:r>
            <w:r w:rsidR="00542BDD">
              <w:t xml:space="preserve">darbības </w:t>
            </w:r>
            <w:r w:rsidRPr="00304314">
              <w:t>novērtēšanu</w:t>
            </w:r>
            <w:r w:rsidR="00542BDD">
              <w:t xml:space="preserve">, norādot, vai tas - </w:t>
            </w:r>
            <w:r w:rsidRPr="00304314">
              <w:t xml:space="preserve"> </w:t>
            </w:r>
            <w:r w:rsidR="00E96E31">
              <w:t>„atbilst ieņemamajam amatam”</w:t>
            </w:r>
            <w:r w:rsidRPr="00304314">
              <w:t xml:space="preserve"> vai </w:t>
            </w:r>
            <w:r w:rsidR="00E96E31">
              <w:t>„neatbilst ieņemamajam amatam”.</w:t>
            </w:r>
          </w:p>
          <w:p w:rsidR="00F130C7" w:rsidRPr="00304314" w:rsidRDefault="00F130C7" w:rsidP="00F130C7">
            <w:pPr>
              <w:jc w:val="both"/>
            </w:pPr>
            <w:r w:rsidRPr="00304314">
              <w:t>Ņemot vērā apstākli, ka MK noteikumu projektā noteikta valsts un pašvaldību izglītības iestāžu (izņemot augstskolas un koledžas) vadītāju profesionālās darbības novērtēšanas kārtība, kā arī, lai ievērotu procesā iesaistīto pušu intereses, nepieciešams paplašināt iestāžu, eksaminācijas centru, izglītības programmu akreditācijas un iestādes vadītāju novērtēšanas komisijas sastāvu, papildus iekļaujot pārstāvi no biedrības „Pirmsskolas izglītības asociācija” un Latvijas Tirdz</w:t>
            </w:r>
            <w:r w:rsidR="00422E1E">
              <w:t>niecības un rūpniecības kameras</w:t>
            </w:r>
            <w:r w:rsidRPr="00304314">
              <w:t>.</w:t>
            </w:r>
          </w:p>
          <w:p w:rsidR="00F130C7" w:rsidRPr="00304314" w:rsidRDefault="00F130C7" w:rsidP="00F130C7">
            <w:pPr>
              <w:jc w:val="both"/>
            </w:pPr>
            <w:r w:rsidRPr="00304314">
              <w:t>Lai mazinātu administratīvo un birokrātisko slogu izglītības iestādēm, MK noteikumu projekts paredz iestādes (izņemot pirmsskolas, interešu un pieaugušo neformālās iestādes, augstskolas un koledžas) vadītāja novērtēšanu kārtējā akreditācijas procesā. Iestādes vadītāju, t.sk. pirmsskolas izglītības iestādes vadītāju, novērtēšana notiek ne retāk kā reizi sešos gados (izņemot tos iestādes vadītājus, kuri stājušies amatā pēc šo noteikumu stāšanās spēkā, novērtēšana notiek pēc diviem gadiem).</w:t>
            </w:r>
          </w:p>
          <w:p w:rsidR="00F130C7" w:rsidRPr="00304314" w:rsidRDefault="00F130C7" w:rsidP="00F130C7">
            <w:pPr>
              <w:jc w:val="both"/>
            </w:pPr>
            <w:r w:rsidRPr="00304314">
              <w:t>Savukārt pašvaldības dibināto interešu izglītības iestāžu, kā arī iestāžu, kuras īsteno pieaugušo neformālās izglītības programmas, iestāžu vadītāju profesionālās darbības novērtēšanu nodrošina iestādes dibinātājs.</w:t>
            </w:r>
          </w:p>
          <w:p w:rsidR="00F130C7" w:rsidRPr="00304314" w:rsidRDefault="00F130C7" w:rsidP="00F130C7">
            <w:pPr>
              <w:jc w:val="both"/>
            </w:pPr>
            <w:r w:rsidRPr="00304314">
              <w:t>Ievērojot apstākli, ka Izglītības kvalitātes valsts dienestam nepieciešams veikt vienotu ekspertu atlasi un to apmācību, kā arī pilnveidot metodiku par iestādes vadītāja novērtēšanas kritērijiem, MK noteikumu projektā minētais regulējums par iestādes vadītāja profesi</w:t>
            </w:r>
            <w:r w:rsidR="00542BDD">
              <w:t>onālās darbības novērtēšanu stāsie</w:t>
            </w:r>
            <w:r w:rsidRPr="00304314">
              <w:t>s spēkā 201</w:t>
            </w:r>
            <w:r>
              <w:t>5</w:t>
            </w:r>
            <w:r w:rsidRPr="00304314">
              <w:t xml:space="preserve">.gada </w:t>
            </w:r>
            <w:r>
              <w:t>1.janvār</w:t>
            </w:r>
            <w:r w:rsidRPr="00304314">
              <w:t>ī.</w:t>
            </w:r>
          </w:p>
          <w:p w:rsidR="00F130C7" w:rsidRPr="00304314" w:rsidRDefault="00F130C7" w:rsidP="00F130C7">
            <w:pPr>
              <w:jc w:val="both"/>
            </w:pPr>
            <w:r w:rsidRPr="00304314">
              <w:t>Lai stiprinātu izglītības iestāžu un eksamināciju centru atbildību par iestādes darbības un izglītības programmu īstenošanas kvalitāti, novērtētu iestāžu vadītāju profesionālo darbību, kā arī vienlaikus veicinātu izglītības iestāžu dibinātāju atbildību, nepieciešams noteikt, ka arī iestādes dibinātājam ir tiesības pieteikt iestādi ārpuskārtas akreditācijai un iestādes vadītāju ārpuskārtas novērtēšanai. Turklāt MK noteikumu projektā paredzēts, ka Izglītības kvalitātes valsts dienests ir tiesīgs iestādes dibinātājam iesniegt argumentētu ierosinājumu par iestādes vai izglītības programmas ārpuskārtas akreditāciju un iestādes vadītāja ārpuskārtas novērtēšanu.</w:t>
            </w:r>
          </w:p>
          <w:p w:rsidR="00F130C7" w:rsidRDefault="00F130C7" w:rsidP="00F77A36">
            <w:pPr>
              <w:jc w:val="both"/>
            </w:pPr>
            <w:r w:rsidRPr="00304314">
              <w:t xml:space="preserve">MK noteikumu projektā paredzams, ka iestādes (izņemot iestādi, kas īsteno profesionālās pilnveides izglītības programmas), izglītības programmas akreditācijai vai iestādes vadītāja novērtēšanai Izglītības kvalitātes valsts dienestā var pieteikties ne vēlāk kā trīs mēnešus attiecīgi pirms </w:t>
            </w:r>
            <w:r w:rsidR="000243C1">
              <w:t>vēlamā akreditācijas laika</w:t>
            </w:r>
            <w:r w:rsidRPr="00304314">
              <w:t xml:space="preserve">, vēlamā izglītības programmas, iestādes akreditācijas laika vai arī pirms vēlamā iestādes vadītāja novērtēšanas laika. Iestādei, kas īsteno profesionālās pilnveides izglītības programmas, un minētās iestādes vadītājam pieteikšanās laiks akreditācijai vai iestādes vadītāja novērtēšanai ir paredzēts ne vēlāk kā 60 dienas attiecīgi pirms akreditācijas termiņa beigām, vēlamā iestādes akreditācijas laika vai arī pirms vēlamā iestādes </w:t>
            </w:r>
            <w:r w:rsidRPr="00304314">
              <w:lastRenderedPageBreak/>
              <w:t xml:space="preserve">vadītāja novērtēšanas laika. Tādējādi šis regulējums nodrošinās iespēju vispusīgāk un </w:t>
            </w:r>
            <w:proofErr w:type="spellStart"/>
            <w:r w:rsidRPr="00304314">
              <w:t>detalizētāk</w:t>
            </w:r>
            <w:proofErr w:type="spellEnd"/>
            <w:r w:rsidRPr="00304314">
              <w:t xml:space="preserve"> izvērtēt Izglītības kvalitātes valsts dienestā iesniegtos dokumentus, kā arī nodrošinās efektīvāku akreditācijas un iestādes vadītāja novērtēšanas norises organizēšanu. </w:t>
            </w:r>
          </w:p>
          <w:p w:rsidR="006F2785" w:rsidRPr="006F2785" w:rsidRDefault="00F947B5" w:rsidP="00F77A36">
            <w:pPr>
              <w:jc w:val="both"/>
            </w:pPr>
            <w:r>
              <w:t xml:space="preserve">MK noteikumu projekta </w:t>
            </w:r>
            <w:r w:rsidR="00E3167D">
              <w:t>3</w:t>
            </w:r>
            <w:r>
              <w:t xml:space="preserve">.punktā ir noteikti Izglītības kvalitātes valsts dienestam paredzētie termiņi lēmuma pieņemšanai. </w:t>
            </w:r>
            <w:r w:rsidR="006F2785">
              <w:t>Izglītības kvalitātes valsts dienests pieņemt lēmumu</w:t>
            </w:r>
            <w:r w:rsidR="00D94E57">
              <w:t>:</w:t>
            </w:r>
            <w:r w:rsidR="006F2785">
              <w:t xml:space="preserve"> </w:t>
            </w:r>
            <w:r w:rsidR="006F2785" w:rsidRPr="006F2785">
              <w:t>sešu mēnešu laikā par profesionālās izglītības iestādes vai profesionālās iz</w:t>
            </w:r>
            <w:r w:rsidR="006F2785">
              <w:t>glītības programmu akreditāciju,</w:t>
            </w:r>
            <w:r w:rsidR="006F2785" w:rsidRPr="006F2785">
              <w:t xml:space="preserve"> trīs mēnešu laikā par profesionālās izglītības programmu akreditāciju, kuru īstenoša</w:t>
            </w:r>
            <w:r w:rsidR="006F2785">
              <w:t>nas ilgums ir līdz vienam gadam</w:t>
            </w:r>
            <w:r w:rsidR="00D94E57">
              <w:t xml:space="preserve">, atbilstoši Profesionālās izglītības likuma 30.panta 7.daļai, </w:t>
            </w:r>
            <w:r w:rsidR="006F2785">
              <w:t xml:space="preserve"> </w:t>
            </w:r>
            <w:r w:rsidR="006F2785" w:rsidRPr="006F2785">
              <w:t>četru mēnešu laikā par vispārējās izglītības iestādes vai vispārējās izgl</w:t>
            </w:r>
            <w:r w:rsidR="00D94E57">
              <w:t>ītības pr</w:t>
            </w:r>
            <w:r w:rsidR="00F77A36">
              <w:t>ogrammas akreditāciju,</w:t>
            </w:r>
            <w:r w:rsidR="00D94E57">
              <w:t xml:space="preserve"> </w:t>
            </w:r>
            <w:r w:rsidR="00F77A36">
              <w:t>p</w:t>
            </w:r>
            <w:r w:rsidR="006F2785" w:rsidRPr="006F2785">
              <w:t xml:space="preserve">ar </w:t>
            </w:r>
            <w:r w:rsidR="00F77A36">
              <w:t xml:space="preserve">iestādes </w:t>
            </w:r>
            <w:r w:rsidR="006F2785" w:rsidRPr="006F2785">
              <w:t>vadītāja novērtējumu</w:t>
            </w:r>
            <w:r w:rsidR="00F77A36">
              <w:t>, atbilstoši Administratīvā procesa likuma 64.panta 2.daļai,</w:t>
            </w:r>
            <w:r w:rsidR="006F2785" w:rsidRPr="006F2785">
              <w:t xml:space="preserve"> mēneša laikā par iestādes vai izglītības programmas akreditāciju bez ekspertu komisijas ziņojuma un priekšlikuma un akreditācijas komisijas priekšlikuma</w:t>
            </w:r>
            <w:r w:rsidR="00F77A36">
              <w:t>, atbilstoši Administratīvā procesa likuma 64.panta 1.daļai</w:t>
            </w:r>
            <w:r w:rsidR="006F2785" w:rsidRPr="006F2785">
              <w:t>.</w:t>
            </w:r>
          </w:p>
          <w:p w:rsidR="009F4763" w:rsidRPr="00304314" w:rsidRDefault="00F77A36" w:rsidP="00F130C7">
            <w:pPr>
              <w:jc w:val="both"/>
            </w:pPr>
            <w:r>
              <w:t>Pirms lēmuma pieņemšanas Izglītības kvalitātes valsts dienests izvērtē, apkopo</w:t>
            </w:r>
            <w:r w:rsidR="00542BDD">
              <w:t>, pārbauda izglītības iestāžu</w:t>
            </w:r>
            <w:r>
              <w:t xml:space="preserve"> saņemto informāciju par izglītības iestādi, izglītības programmām</w:t>
            </w:r>
            <w:r w:rsidR="00542BDD">
              <w:t>, nepieciešamības gadījumā precizē informāciju</w:t>
            </w:r>
            <w:r>
              <w:t xml:space="preserve"> V</w:t>
            </w:r>
            <w:r w:rsidR="009F4763">
              <w:t>alsts izglītības informācijas sistēmā</w:t>
            </w:r>
            <w:r>
              <w:t xml:space="preserve">, ja </w:t>
            </w:r>
            <w:r w:rsidR="009F4763">
              <w:t>nepieciešama informācija ir</w:t>
            </w:r>
            <w:r>
              <w:t xml:space="preserve"> ievadīta, komunikācija ar izglītības iestādes pārstāvjiem.</w:t>
            </w:r>
            <w:r w:rsidR="009F4763">
              <w:t xml:space="preserve"> Šīs aktivitātes aizņem ļoti daudz laika, ja ņemt vērā, ka iesniegumi tiek reģistrēti regulāri. Piemēram, </w:t>
            </w:r>
            <w:r w:rsidR="009F4763" w:rsidRPr="00E83D49">
              <w:rPr>
                <w:b/>
              </w:rPr>
              <w:t>2013.gadā</w:t>
            </w:r>
            <w:r w:rsidR="009F4763">
              <w:t xml:space="preserve"> bija </w:t>
            </w:r>
            <w:r w:rsidR="00E83D49">
              <w:t xml:space="preserve">pieņemti 2827 lēmumi par  </w:t>
            </w:r>
            <w:r w:rsidR="009F4763" w:rsidRPr="00E83D49">
              <w:rPr>
                <w:b/>
              </w:rPr>
              <w:t>263</w:t>
            </w:r>
            <w:r w:rsidR="009F4763">
              <w:t xml:space="preserve"> izglītības iest</w:t>
            </w:r>
            <w:r w:rsidR="00E83D49">
              <w:t>āžu</w:t>
            </w:r>
            <w:r w:rsidR="009F4763">
              <w:t xml:space="preserve">, </w:t>
            </w:r>
            <w:r w:rsidR="009F4763" w:rsidRPr="00E83D49">
              <w:rPr>
                <w:b/>
              </w:rPr>
              <w:t>1732</w:t>
            </w:r>
            <w:r w:rsidR="009F4763">
              <w:t xml:space="preserve"> izglītības programm</w:t>
            </w:r>
            <w:r w:rsidR="00E83D49">
              <w:t>u</w:t>
            </w:r>
            <w:r w:rsidR="009F4763">
              <w:t xml:space="preserve">, </w:t>
            </w:r>
            <w:r w:rsidR="009F4763" w:rsidRPr="00E83D49">
              <w:rPr>
                <w:b/>
              </w:rPr>
              <w:t>290</w:t>
            </w:r>
            <w:r w:rsidR="009F4763">
              <w:t xml:space="preserve"> iest</w:t>
            </w:r>
            <w:r w:rsidR="00E83D49">
              <w:t>āžu</w:t>
            </w:r>
            <w:r w:rsidR="009F4763">
              <w:t xml:space="preserve"> profesionālās pilnveides programmas īstenošanā, </w:t>
            </w:r>
            <w:r w:rsidR="009F4763" w:rsidRPr="00E83D49">
              <w:rPr>
                <w:b/>
              </w:rPr>
              <w:t>542</w:t>
            </w:r>
            <w:r w:rsidR="009F4763">
              <w:t xml:space="preserve"> iestā</w:t>
            </w:r>
            <w:r w:rsidR="00E83D49">
              <w:t>žu</w:t>
            </w:r>
            <w:r w:rsidR="009F4763">
              <w:t xml:space="preserve"> profesionālās ievirzes programmas īstenošanā</w:t>
            </w:r>
            <w:r w:rsidR="00E83D49">
              <w:t xml:space="preserve"> akreditāciju</w:t>
            </w:r>
            <w:r w:rsidR="009F4763">
              <w:t xml:space="preserve">. </w:t>
            </w:r>
            <w:r w:rsidR="009F4763" w:rsidRPr="00E83D49">
              <w:rPr>
                <w:b/>
              </w:rPr>
              <w:t>2014.gada</w:t>
            </w:r>
            <w:r w:rsidR="009F4763">
              <w:t xml:space="preserve"> </w:t>
            </w:r>
            <w:r w:rsidR="009F4763" w:rsidRPr="00E83D49">
              <w:rPr>
                <w:b/>
              </w:rPr>
              <w:t>janvārī un februārī</w:t>
            </w:r>
            <w:r w:rsidR="009F4763">
              <w:t xml:space="preserve"> </w:t>
            </w:r>
            <w:r w:rsidR="00E83D49">
              <w:t>jau pieņemti 510 lēmumi par</w:t>
            </w:r>
            <w:r w:rsidR="00E83D49" w:rsidRPr="00E83D49">
              <w:rPr>
                <w:b/>
              </w:rPr>
              <w:t xml:space="preserve"> </w:t>
            </w:r>
            <w:r w:rsidR="009F4763" w:rsidRPr="00E83D49">
              <w:rPr>
                <w:b/>
              </w:rPr>
              <w:t>62</w:t>
            </w:r>
            <w:r w:rsidR="009F4763">
              <w:t xml:space="preserve"> izglītības iest</w:t>
            </w:r>
            <w:r w:rsidR="00E83D49">
              <w:t>āžu</w:t>
            </w:r>
            <w:r w:rsidR="009F4763">
              <w:t xml:space="preserve">, </w:t>
            </w:r>
            <w:r w:rsidR="009F4763" w:rsidRPr="00E83D49">
              <w:rPr>
                <w:b/>
              </w:rPr>
              <w:t>277</w:t>
            </w:r>
            <w:r w:rsidR="009F4763">
              <w:t xml:space="preserve"> izglītības programm</w:t>
            </w:r>
            <w:r w:rsidR="00E83D49">
              <w:t>u</w:t>
            </w:r>
            <w:r w:rsidR="009F4763">
              <w:t xml:space="preserve">, </w:t>
            </w:r>
            <w:r w:rsidR="009F4763" w:rsidRPr="00E83D49">
              <w:rPr>
                <w:b/>
              </w:rPr>
              <w:t>63</w:t>
            </w:r>
            <w:r w:rsidR="009F4763">
              <w:t xml:space="preserve"> iest</w:t>
            </w:r>
            <w:r w:rsidR="00E83D49">
              <w:t>āžu</w:t>
            </w:r>
            <w:r w:rsidR="009F4763">
              <w:t xml:space="preserve"> profesionālās pilnveides programmas īstenošanā, </w:t>
            </w:r>
            <w:r w:rsidR="009F4763" w:rsidRPr="00E83D49">
              <w:rPr>
                <w:b/>
              </w:rPr>
              <w:t>108</w:t>
            </w:r>
            <w:r w:rsidR="009F4763">
              <w:t xml:space="preserve"> iestā</w:t>
            </w:r>
            <w:r w:rsidR="00E83D49">
              <w:t>žu</w:t>
            </w:r>
            <w:r w:rsidR="009F4763">
              <w:t xml:space="preserve"> profesionālās ievirzes programmas īstenošanā</w:t>
            </w:r>
            <w:r w:rsidR="00E83D49">
              <w:t xml:space="preserve"> akreditāciju</w:t>
            </w:r>
            <w:r w:rsidR="009F4763">
              <w:t>. MK noteikumu projektā ir minēts maksimālais iesniegumu izskatīšanas termiņš</w:t>
            </w:r>
            <w:r w:rsidR="00E83D49">
              <w:t xml:space="preserve"> 30 dienas</w:t>
            </w:r>
            <w:r w:rsidR="009F4763">
              <w:t xml:space="preserve">, </w:t>
            </w:r>
            <w:r w:rsidR="00E83D49">
              <w:t>protams,</w:t>
            </w:r>
            <w:r w:rsidR="009F4763">
              <w:t xml:space="preserve"> Izglītības kvalitātes valsts dienests</w:t>
            </w:r>
            <w:r w:rsidR="00E83D49">
              <w:t xml:space="preserve"> dara visu iespējamo, lai sniegtu informāciju pēc iespējas īsākā laikā.</w:t>
            </w:r>
          </w:p>
          <w:p w:rsidR="00F130C7" w:rsidRPr="00304314" w:rsidRDefault="00F130C7" w:rsidP="00F130C7">
            <w:pPr>
              <w:jc w:val="both"/>
            </w:pPr>
            <w:r w:rsidRPr="00304314">
              <w:t>Lai ievērotu iestāžu, kuras pieteikušās akreditācijai, intereses, kā arī lai mazinātu administratīvo un birokrātisko slogu un nodrošinātu akreditācijas procesa īstenojumu bez ekspertu komisijas iesaistes, ir li</w:t>
            </w:r>
            <w:r w:rsidR="00F947B5">
              <w:t>etderīgi MK noteikumu projekta 58</w:t>
            </w:r>
            <w:r w:rsidRPr="00304314">
              <w:t>.punktā paredzēt, ka Izglītības kvalitātes valsts dienests, izvērtējot akreditācijas iesniegumā minēto informāciju, pieņem lēmumu bez iestāžu, eksaminācijas centru, izglītības programmu akreditācijas un iestādes vadītāju novērtēšanas komisijas priekšlikuma. Ņemot vērā izglītības procesa organizēšanas specifiku un atbalsta aktivitāšu daudzveidību, tiesību normā paredzēts, ka speciālās izglītības programmas iestāde ir tiesīga pieteikt akreditācijai tikai ar ekspertu komisiju.</w:t>
            </w:r>
          </w:p>
          <w:p w:rsidR="00F130C7" w:rsidRDefault="00F947B5" w:rsidP="00EB7832">
            <w:pPr>
              <w:jc w:val="both"/>
              <w:rPr>
                <w:color w:val="000000"/>
              </w:rPr>
            </w:pPr>
            <w:r>
              <w:rPr>
                <w:color w:val="000000"/>
              </w:rPr>
              <w:t xml:space="preserve">Ņemot vērā: </w:t>
            </w:r>
            <w:r w:rsidR="00EB7832">
              <w:rPr>
                <w:color w:val="000000"/>
              </w:rPr>
              <w:t xml:space="preserve">1) </w:t>
            </w:r>
            <w:r w:rsidR="00F130C7" w:rsidRPr="00EB7832">
              <w:rPr>
                <w:color w:val="000000"/>
              </w:rPr>
              <w:t>Latvijas Nacionālā attīstības plān</w:t>
            </w:r>
            <w:r>
              <w:rPr>
                <w:color w:val="000000"/>
              </w:rPr>
              <w:t>u</w:t>
            </w:r>
            <w:r w:rsidR="00F130C7" w:rsidRPr="00EB7832">
              <w:rPr>
                <w:color w:val="000000"/>
              </w:rPr>
              <w:t xml:space="preserve"> 2014.-2020.gadam (Apstiprināts 2012.gada 20.decembra  Saeimas sēdē, Publicēts: "Latvijas </w:t>
            </w:r>
            <w:r w:rsidR="00F130C7" w:rsidRPr="00EB7832">
              <w:rPr>
                <w:color w:val="000000"/>
              </w:rPr>
              <w:lastRenderedPageBreak/>
              <w:t>Vēst</w:t>
            </w:r>
            <w:r w:rsidR="00EB7832">
              <w:rPr>
                <w:color w:val="000000"/>
              </w:rPr>
              <w:t xml:space="preserve">nesis", 6 (4812), 09.01.2013.) </w:t>
            </w:r>
            <w:r w:rsidR="00F130C7" w:rsidRPr="00EB7832">
              <w:rPr>
                <w:color w:val="000000"/>
              </w:rPr>
              <w:t xml:space="preserve">Rīcības virziens "Kompetenču attīstība" [289] Rīcības virziena ietvaros veicamie uzdevumi  293.punkta d apakšpunkts „Augsti kvalificētu un radošu vispārējās izglītības pedagogu sagatavošana un piesaiste: (a) jaunu un talantīgu pedagogu piesaiste, (b) pedagogu profesionālās kvalifikācijas pilnveide, (c) jauno pedagogu prakses un </w:t>
            </w:r>
            <w:proofErr w:type="spellStart"/>
            <w:r w:rsidR="00F130C7" w:rsidRPr="00EB7832">
              <w:rPr>
                <w:color w:val="000000"/>
              </w:rPr>
              <w:t>mentoringa</w:t>
            </w:r>
            <w:proofErr w:type="spellEnd"/>
            <w:r w:rsidR="00F130C7" w:rsidRPr="00EB7832">
              <w:rPr>
                <w:color w:val="000000"/>
              </w:rPr>
              <w:t xml:space="preserve"> sistēma, (d) visaptverošs izglītības kvalitātes monitorings”</w:t>
            </w:r>
            <w:r w:rsidR="00EB7832">
              <w:rPr>
                <w:color w:val="000000"/>
              </w:rPr>
              <w:t xml:space="preserve">; </w:t>
            </w:r>
            <w:r w:rsidR="00F130C7" w:rsidRPr="00EB7832">
              <w:rPr>
                <w:color w:val="000000"/>
              </w:rPr>
              <w:t xml:space="preserve"> 2) Ministru kabineta 2014.gada 7.janvāra sēdē a</w:t>
            </w:r>
            <w:r>
              <w:rPr>
                <w:color w:val="000000"/>
              </w:rPr>
              <w:t>tbalstīts Pamatnostādņu projektu</w:t>
            </w:r>
            <w:r w:rsidR="00F130C7" w:rsidRPr="00EB7832">
              <w:rPr>
                <w:color w:val="000000"/>
              </w:rPr>
              <w:t xml:space="preserve"> "Izglītības attīstības pamatnostādnes 2014.-2020.gadam" (TA-3766; protokols Nr.1, 40.§), kurā ir ietverta izglītības monitoringa sistēma, piem.</w:t>
            </w:r>
            <w:r w:rsidR="00EB7832">
              <w:rPr>
                <w:color w:val="000000"/>
              </w:rPr>
              <w:t xml:space="preserve">, </w:t>
            </w:r>
            <w:r w:rsidR="00F130C7" w:rsidRPr="00EB7832">
              <w:rPr>
                <w:color w:val="000000"/>
              </w:rPr>
              <w:t>3.mērķa „Uzlabot resursu pārvaldības efektivitāti, attīstot izglītības iestāžu institucionālo izcilību un resursu konsolidāciju” rīcības virziens: 3.1. Izglītības kvalitātes monitoringa sistēmas pilnveide, ar sasniedzamo rezultātu -</w:t>
            </w:r>
            <w:r w:rsidR="00EB7832">
              <w:rPr>
                <w:color w:val="000000"/>
              </w:rPr>
              <w:t xml:space="preserve"> </w:t>
            </w:r>
            <w:r w:rsidR="00F130C7" w:rsidRPr="00EB7832">
              <w:rPr>
                <w:color w:val="000000"/>
              </w:rPr>
              <w:t>nodrošināts vienots izglītības kvalitātes monitorings.</w:t>
            </w:r>
          </w:p>
          <w:p w:rsidR="00BC78CA" w:rsidRPr="00BC78CA" w:rsidRDefault="00F947B5" w:rsidP="00EB7832">
            <w:pPr>
              <w:jc w:val="both"/>
              <w:rPr>
                <w:color w:val="000000"/>
              </w:rPr>
            </w:pPr>
            <w:r>
              <w:rPr>
                <w:color w:val="000000"/>
              </w:rPr>
              <w:t>Saskaņā ar 2013.gada 23.aprīļa Ministru kabineta noteikumu Nr. 225 „Izglītības kvalitātes val</w:t>
            </w:r>
            <w:r w:rsidR="00542BDD">
              <w:rPr>
                <w:color w:val="000000"/>
              </w:rPr>
              <w:t xml:space="preserve">sts dienesta nolikums” 2.punktu </w:t>
            </w:r>
            <w:r>
              <w:rPr>
                <w:color w:val="000000"/>
              </w:rPr>
              <w:t>D</w:t>
            </w:r>
            <w:r w:rsidR="00BC78CA">
              <w:rPr>
                <w:color w:val="000000"/>
              </w:rPr>
              <w:t xml:space="preserve">ienesta darbības mērķis ir </w:t>
            </w:r>
            <w:r w:rsidR="00BC78CA">
              <w:rPr>
                <w:rFonts w:ascii="Arial" w:hAnsi="Arial" w:cs="Arial"/>
              </w:rPr>
              <w:t xml:space="preserve"> </w:t>
            </w:r>
            <w:r w:rsidR="00BC78CA" w:rsidRPr="00BC78CA">
              <w:t>nodrošināt kvalitatīvu un tiesisku izglītību, veicot izglītības kvalitātes monitoringu un sniedzot atbalstu izglītības procesa īstenošanā.</w:t>
            </w:r>
          </w:p>
          <w:p w:rsidR="00F947B5" w:rsidRDefault="00F947B5" w:rsidP="00F947B5">
            <w:pPr>
              <w:jc w:val="both"/>
            </w:pPr>
            <w:r w:rsidRPr="00304314">
              <w:t>Lai ieviestu izglītības kvalitātes monitoringu</w:t>
            </w:r>
            <w:r>
              <w:t xml:space="preserve"> valstī, MK noteikumu projekta </w:t>
            </w:r>
            <w:r w:rsidR="00F548C8">
              <w:t>6</w:t>
            </w:r>
            <w:r>
              <w:t>8</w:t>
            </w:r>
            <w:r w:rsidRPr="00304314">
              <w:t>.punktā paredz</w:t>
            </w:r>
            <w:r w:rsidR="00B550FC">
              <w:t>ēt</w:t>
            </w:r>
            <w:r w:rsidRPr="00304314">
              <w:t>, ka Izglītības kvalitātes valsts dienests izvērtēs rīcībā esošo informāciju par vispārējās izglītības iestāžu darbības rezultātiem un to dinamiku vispārējās izglītības kvalitātes indikatoros. Ņemot vērā apstākli, ka minētajai vērtēšanai nepieciešams izdot Izglītības kvalitātes valsts dienesta metodiku, Izglītības kvalitātes valsts dienests apkopos vispārējās izglītības iestāžu rezultātus izglītības kvalitātes indikatoros divos posmos – sākot ar 201</w:t>
            </w:r>
            <w:r>
              <w:t>5</w:t>
            </w:r>
            <w:r w:rsidRPr="00304314">
              <w:t>.gada 1.</w:t>
            </w:r>
            <w:r>
              <w:t>janvā</w:t>
            </w:r>
            <w:r w:rsidRPr="00304314">
              <w:t>ri un 2015.gada 1.septembri.</w:t>
            </w:r>
          </w:p>
          <w:p w:rsidR="004747C0" w:rsidRDefault="00F130C7" w:rsidP="00F947B5">
            <w:pPr>
              <w:jc w:val="both"/>
            </w:pPr>
            <w:r w:rsidRPr="00A54DD1">
              <w:rPr>
                <w:color w:val="000000"/>
              </w:rPr>
              <w:t xml:space="preserve">Izglītības kvalitātes valsts dienests veiks vispārējās izglītības kvalitātes monitoringu saskaņā </w:t>
            </w:r>
            <w:r w:rsidR="00542BDD">
              <w:rPr>
                <w:color w:val="000000"/>
              </w:rPr>
              <w:t xml:space="preserve">ar </w:t>
            </w:r>
            <w:r w:rsidRPr="00A54DD1">
              <w:rPr>
                <w:color w:val="000000"/>
              </w:rPr>
              <w:t>Izglītības likuma 20.panta trešās daļas 2.punkt</w:t>
            </w:r>
            <w:r w:rsidR="00F947B5">
              <w:rPr>
                <w:color w:val="000000"/>
              </w:rPr>
              <w:t>u</w:t>
            </w:r>
            <w:r w:rsidRPr="00A54DD1">
              <w:rPr>
                <w:color w:val="000000"/>
              </w:rPr>
              <w:t xml:space="preserve"> </w:t>
            </w:r>
            <w:r w:rsidR="00542BDD">
              <w:rPr>
                <w:color w:val="000000"/>
              </w:rPr>
              <w:t xml:space="preserve">, kas nosaka, ka dienests </w:t>
            </w:r>
            <w:r w:rsidRPr="00A54DD1">
              <w:rPr>
                <w:color w:val="000000"/>
              </w:rPr>
              <w:t>analizē izglītības iestāžu darbību, izstrādā priekšlikumus normatīvo aktu grozījumiem un izglī</w:t>
            </w:r>
            <w:r w:rsidR="00542BDD">
              <w:rPr>
                <w:color w:val="000000"/>
              </w:rPr>
              <w:t xml:space="preserve">tības iestāžu darba uzlabošanai, </w:t>
            </w:r>
            <w:r w:rsidRPr="00A54DD1">
              <w:rPr>
                <w:color w:val="000000"/>
              </w:rPr>
              <w:t xml:space="preserve"> un  Ministru kabineta 2013.gada 23.aprīļa noteikumu Nr.225 „Izglītības kvalitātes valsts dienesta nolikums” </w:t>
            </w:r>
            <w:r w:rsidR="00F947B5">
              <w:rPr>
                <w:color w:val="000000"/>
              </w:rPr>
              <w:t xml:space="preserve">punktiem: </w:t>
            </w:r>
            <w:r w:rsidRPr="00A54DD1">
              <w:t>3.1. iegūt, apkopot un analizēt izglītības politikas veidošanai un īstenošanai nepieciešamo informāciju;</w:t>
            </w:r>
            <w:r w:rsidRPr="00A54DD1">
              <w:rPr>
                <w:color w:val="000000"/>
              </w:rPr>
              <w:t xml:space="preserve"> </w:t>
            </w:r>
            <w:r w:rsidRPr="00A54DD1">
              <w:t>4.6. veic izglītības iestāžu pašnovērtējuma ziņojumu analīzi un akreditācijas ekspertu komisijas sniegto ieteikumu ieviešanas monitoringu, sniedz atbalstu ieteikumu ieviešanā, kā arī metodisko atbalstu izglītības iestādes darbības un izglītības</w:t>
            </w:r>
            <w:r w:rsidR="00F947B5">
              <w:t xml:space="preserve"> procesa īstenošanas pilnveidē”.</w:t>
            </w:r>
          </w:p>
          <w:p w:rsidR="00F947B5" w:rsidRDefault="00F947B5" w:rsidP="00F947B5">
            <w:pPr>
              <w:jc w:val="both"/>
            </w:pPr>
            <w:r>
              <w:t>Izglītības kvalitātes valsts dienests par monitoringu rezultātiem informēs iestāžu dibinātājus, izglītības iestāžu vadītājus, informācija būs pieejama Valsts izglītības informācijas sistēmā, Izglītības kvalitātes valsts dienesta tīmekļa vietnē.</w:t>
            </w:r>
          </w:p>
          <w:p w:rsidR="00A17D8E" w:rsidRDefault="00A17D8E" w:rsidP="00A17D8E">
            <w:pPr>
              <w:jc w:val="both"/>
            </w:pPr>
            <w:r>
              <w:t>Kā arī šobrīd, veicot akreditāciju izglītības iestādēs, tiek īpaši vērtēts izglītības iestādes vadītāja darbs. Ievērojot Saeimas deputātu lēmumu, 2013.gada 7.augustā</w:t>
            </w:r>
            <w:r w:rsidRPr="000C47B0">
              <w:t xml:space="preserve"> stājās spēkā </w:t>
            </w:r>
            <w:r>
              <w:t xml:space="preserve">Izglītības </w:t>
            </w:r>
            <w:r w:rsidRPr="000C47B0">
              <w:t>likum</w:t>
            </w:r>
            <w:r>
              <w:t>a</w:t>
            </w:r>
            <w:r w:rsidRPr="000C47B0">
              <w:t xml:space="preserve"> </w:t>
            </w:r>
            <w:r>
              <w:t>g</w:t>
            </w:r>
            <w:r>
              <w:rPr>
                <w:bCs/>
              </w:rPr>
              <w:t>rozījumi</w:t>
            </w:r>
            <w:r w:rsidRPr="000C47B0">
              <w:t xml:space="preserve">, </w:t>
            </w:r>
            <w:r>
              <w:t>kuru mērķis</w:t>
            </w:r>
            <w:r w:rsidRPr="000C47B0">
              <w:t xml:space="preserve"> </w:t>
            </w:r>
            <w:r w:rsidRPr="000C47B0">
              <w:rPr>
                <w:bCs/>
              </w:rPr>
              <w:t xml:space="preserve"> </w:t>
            </w:r>
            <w:r w:rsidRPr="000C47B0">
              <w:rPr>
                <w:bCs/>
              </w:rPr>
              <w:lastRenderedPageBreak/>
              <w:t>– valsts un pašvaldību izglītības iestāžu (izņemot augstskolas un koledžas) vadītāju pro</w:t>
            </w:r>
            <w:r>
              <w:rPr>
                <w:bCs/>
              </w:rPr>
              <w:t>fesionālās darbības novērtēšana</w:t>
            </w:r>
            <w:r w:rsidRPr="000C47B0">
              <w:rPr>
                <w:bCs/>
              </w:rPr>
              <w:t xml:space="preserve"> </w:t>
            </w:r>
            <w:r w:rsidRPr="000C47B0">
              <w:t>(14.panta 12</w:t>
            </w:r>
            <w:r w:rsidRPr="000C47B0">
              <w:rPr>
                <w:vertAlign w:val="superscript"/>
              </w:rPr>
              <w:t>1</w:t>
            </w:r>
            <w:r w:rsidRPr="000C47B0">
              <w:t>.punkts)</w:t>
            </w:r>
            <w:r>
              <w:t xml:space="preserve"> un radīt vienotu visā valstī novērtēšanas sistēmu un tās caurspīdīgumu. Izglītības iestāžu vadītāju novērtēšana atbilstoši MK noteikumu projektam ir ārējais novērtēšanas rīks. </w:t>
            </w:r>
            <w:r w:rsidRPr="000C47B0">
              <w:t xml:space="preserve">Valsts un pašvaldību izglītības iestāžu (vispārējās, profesionālās, pirmsskolas, interešu, pieaugušo neformālās) vadītāju </w:t>
            </w:r>
            <w:r w:rsidRPr="000C47B0">
              <w:rPr>
                <w:bCs/>
              </w:rPr>
              <w:t xml:space="preserve">novērtēšanas rezultāti </w:t>
            </w:r>
            <w:r w:rsidRPr="000C47B0">
              <w:t>ti</w:t>
            </w:r>
            <w:r>
              <w:t>ks</w:t>
            </w:r>
            <w:r w:rsidRPr="000C47B0">
              <w:t xml:space="preserve"> izmantoti par pamatu </w:t>
            </w:r>
            <w:r w:rsidRPr="000C47B0">
              <w:rPr>
                <w:bCs/>
              </w:rPr>
              <w:t>lēmumam</w:t>
            </w:r>
            <w:r w:rsidRPr="000C47B0">
              <w:t xml:space="preserve"> </w:t>
            </w:r>
            <w:r w:rsidRPr="000C47B0">
              <w:rPr>
                <w:bCs/>
              </w:rPr>
              <w:t xml:space="preserve">par izglītības iestādes vadītāja atbilstību ieņemamajam amatam. </w:t>
            </w:r>
            <w:r>
              <w:t xml:space="preserve"> </w:t>
            </w:r>
            <w:r w:rsidRPr="000C47B0">
              <w:t>Novērtēšanas rezultātus var</w:t>
            </w:r>
            <w:r>
              <w:t>ēs</w:t>
            </w:r>
            <w:r w:rsidRPr="000C47B0">
              <w:t xml:space="preserve"> ņemt vērā, veicot izglītības </w:t>
            </w:r>
            <w:r w:rsidRPr="000C47B0">
              <w:rPr>
                <w:bCs/>
              </w:rPr>
              <w:t>iestādes vadītāja materiālo stimulēšanu.</w:t>
            </w:r>
            <w:r>
              <w:t xml:space="preserve"> </w:t>
            </w:r>
            <w:r w:rsidRPr="000C47B0">
              <w:t>(Izglītības likuma 30.panta 4</w:t>
            </w:r>
            <w:r w:rsidRPr="00C91AE2">
              <w:rPr>
                <w:vertAlign w:val="superscript"/>
              </w:rPr>
              <w:t>1</w:t>
            </w:r>
            <w:r w:rsidRPr="000C47B0">
              <w:t>.daļa)</w:t>
            </w:r>
            <w:r>
              <w:t xml:space="preserve"> Pašnovērtējumā norāda i</w:t>
            </w:r>
            <w:r w:rsidRPr="000C47B0">
              <w:t xml:space="preserve">zglītības </w:t>
            </w:r>
            <w:r>
              <w:t>iestādes vispārīgs raksturojums; i</w:t>
            </w:r>
            <w:r w:rsidRPr="000C47B0">
              <w:t xml:space="preserve">epriekšējā vērtēšanas perioda ieteikumu </w:t>
            </w:r>
            <w:r>
              <w:t xml:space="preserve">izpilde (ja tas ir attiecināms); </w:t>
            </w:r>
            <w:r>
              <w:rPr>
                <w:bCs/>
              </w:rPr>
              <w:t>i</w:t>
            </w:r>
            <w:r w:rsidRPr="000C47B0">
              <w:rPr>
                <w:bCs/>
              </w:rPr>
              <w:t>zglītības iestādes vadītāja sniegums un tā novērtējums ar līmeni attiecīgās</w:t>
            </w:r>
            <w:r>
              <w:rPr>
                <w:bCs/>
              </w:rPr>
              <w:t xml:space="preserve"> jomas atbilstošajos kritērijos; t</w:t>
            </w:r>
            <w:r w:rsidRPr="000C47B0">
              <w:t>urpmākā attīstība (balstīta uz pašnovēr</w:t>
            </w:r>
            <w:r>
              <w:t xml:space="preserve">tējumā iegūtajiem secinājumiem). </w:t>
            </w:r>
            <w:r w:rsidRPr="000C47B0">
              <w:t xml:space="preserve">Iestādes vadītāja profesionālo darbību vērtē, </w:t>
            </w:r>
            <w:r w:rsidRPr="000C47B0">
              <w:rPr>
                <w:bCs/>
              </w:rPr>
              <w:t>nosakot jomai „iestādes vadītāja profesionālā darbība un prasmes”</w:t>
            </w:r>
            <w:r w:rsidRPr="000C47B0">
              <w:t xml:space="preserve"> atbilstošo </w:t>
            </w:r>
            <w:r w:rsidRPr="000C47B0">
              <w:rPr>
                <w:bCs/>
              </w:rPr>
              <w:t>kritēriju</w:t>
            </w:r>
            <w:r w:rsidRPr="000C47B0">
              <w:t xml:space="preserve"> kvalitātes vērtējuma līmeni:</w:t>
            </w:r>
            <w:r>
              <w:t xml:space="preserve"> </w:t>
            </w:r>
            <w:r w:rsidRPr="000C47B0">
              <w:t xml:space="preserve">iestādes vadītāja </w:t>
            </w:r>
            <w:r w:rsidRPr="000C47B0">
              <w:rPr>
                <w:bCs/>
              </w:rPr>
              <w:t>izglītība, tālākizglītība un profesionālā pieredze</w:t>
            </w:r>
            <w:r w:rsidRPr="000C47B0">
              <w:t>;</w:t>
            </w:r>
            <w:r>
              <w:t xml:space="preserve"> </w:t>
            </w:r>
            <w:r w:rsidRPr="000C47B0">
              <w:t xml:space="preserve">iestādes darbības </w:t>
            </w:r>
            <w:r w:rsidRPr="000C47B0">
              <w:rPr>
                <w:bCs/>
              </w:rPr>
              <w:t>plānošana un organizēšana</w:t>
            </w:r>
            <w:r w:rsidRPr="000C47B0">
              <w:t>;</w:t>
            </w:r>
            <w:r>
              <w:t xml:space="preserve"> </w:t>
            </w:r>
            <w:r w:rsidRPr="000C47B0">
              <w:t xml:space="preserve">iestādes </w:t>
            </w:r>
            <w:r w:rsidRPr="000C47B0">
              <w:rPr>
                <w:bCs/>
              </w:rPr>
              <w:t>personāla resursu pārvaldīšana</w:t>
            </w:r>
            <w:r w:rsidRPr="000C47B0">
              <w:t>;</w:t>
            </w:r>
            <w:r>
              <w:t xml:space="preserve"> </w:t>
            </w:r>
            <w:r w:rsidRPr="000C47B0">
              <w:t xml:space="preserve">iestādes </w:t>
            </w:r>
            <w:r w:rsidRPr="000C47B0">
              <w:rPr>
                <w:bCs/>
              </w:rPr>
              <w:t>materiāltehnisko resursu pārvaldīšana</w:t>
            </w:r>
            <w:r w:rsidRPr="000C47B0">
              <w:t>;</w:t>
            </w:r>
            <w:r>
              <w:t xml:space="preserve"> </w:t>
            </w:r>
            <w:r w:rsidRPr="000C47B0">
              <w:rPr>
                <w:bCs/>
              </w:rPr>
              <w:t>sadarbības veidošana</w:t>
            </w:r>
            <w:r w:rsidRPr="000C47B0">
              <w:t>;</w:t>
            </w:r>
            <w:r>
              <w:t xml:space="preserve"> </w:t>
            </w:r>
            <w:r w:rsidRPr="000C47B0">
              <w:t xml:space="preserve">iestādes </w:t>
            </w:r>
            <w:r w:rsidRPr="000C47B0">
              <w:rPr>
                <w:bCs/>
              </w:rPr>
              <w:t>mērķu, uzdevumu un rezultātu sasniegšana</w:t>
            </w:r>
            <w:r w:rsidRPr="000C47B0">
              <w:t xml:space="preserve">. Nosakot kritērija kvalitātes vērtēšanas līmeni, ekspertu komisija ņem vērā </w:t>
            </w:r>
            <w:r>
              <w:t xml:space="preserve">Izglītības kvalitātes valsts </w:t>
            </w:r>
            <w:r w:rsidRPr="000C47B0">
              <w:t>dienesta vai citu kompetento institūciju pārbaudes aktus vai atzinumus par iestādes darbību, izglītības programmas īstenošanu vai iestādes vadītāja darbību.</w:t>
            </w:r>
            <w:r>
              <w:t xml:space="preserve"> </w:t>
            </w:r>
            <w:r w:rsidRPr="006E2321">
              <w:t>I</w:t>
            </w:r>
            <w:r>
              <w:t xml:space="preserve">zglītības kvalitātes valsts dienests </w:t>
            </w:r>
            <w:r w:rsidRPr="006E2321">
              <w:t xml:space="preserve">vērtēs izglītības vadītāju kopumā ar izglītības iestādi un programmu </w:t>
            </w:r>
            <w:r>
              <w:t>sešu</w:t>
            </w:r>
            <w:r w:rsidRPr="006E2321">
              <w:t xml:space="preserve"> gadu laikā.</w:t>
            </w:r>
          </w:p>
          <w:p w:rsidR="00A17D8E" w:rsidRDefault="00A17D8E" w:rsidP="00A17D8E">
            <w:pPr>
              <w:jc w:val="both"/>
            </w:pPr>
            <w:r w:rsidRPr="006E2321">
              <w:t>2012.gada 10.jūl</w:t>
            </w:r>
            <w:r>
              <w:t>ija Ministru kabineta noteikumu</w:t>
            </w:r>
            <w:r w:rsidRPr="006E2321">
              <w:t xml:space="preserve"> Nr.494 „Noteikumi par valsts tiešās pārvaldes iestādēs nodarbināto darba izpildes novērtēšanu</w:t>
            </w:r>
            <w:r w:rsidRPr="001314E7">
              <w:t>” 2.</w:t>
            </w:r>
            <w:r>
              <w:t>punktā ir noteikti šādi</w:t>
            </w:r>
            <w:r w:rsidRPr="001314E7">
              <w:t xml:space="preserve"> </w:t>
            </w:r>
            <w:r>
              <w:t>d</w:t>
            </w:r>
            <w:r w:rsidRPr="001314E7">
              <w:t>arba izpildes novērtēšanai mērķi: noteikt uz rezultātu sasniegšanu vērstus nodarbinātā individuālos mērķus un uzdevumus, kas atbilst struktūrvienības un iestādes mērķiem un uzdevumiem; novērtēt nodarbinātā darba izpildi atbilstoši novērtēšanas kritērijiem; noteikt nodarbinātā mācību un attīstības vajadzības; noteikt nodarbinātā profesionālās izaugsmes iespējas;  identificēt nepieciešamās izmaiņas amata aprakstā; piedāvāt virzienus sarunai starp nodarbināto un viņa tiešo vadītāju (turpmāk – vadītājs) par darba izpildi un nodrošināt regulāru atgriezenisko saiti.</w:t>
            </w:r>
            <w:r w:rsidRPr="006E2321">
              <w:t xml:space="preserve"> 2012.gada 10.jūl</w:t>
            </w:r>
            <w:r>
              <w:t>ija Ministru kabineta noteikumi</w:t>
            </w:r>
            <w:r w:rsidRPr="006E2321">
              <w:t xml:space="preserve"> Nr.494</w:t>
            </w:r>
            <w:r>
              <w:t xml:space="preserve"> ir darba devēja iekšējais vērtēšanas rīks. Savā starpā ārējais – MK noteikumu projekts un iekšējais - </w:t>
            </w:r>
            <w:r w:rsidRPr="006E2321">
              <w:t>2012.gada 10.jūl</w:t>
            </w:r>
            <w:r>
              <w:t>ija Ministru kabineta noteikumi</w:t>
            </w:r>
            <w:r w:rsidRPr="006E2321">
              <w:t xml:space="preserve"> Nr.494</w:t>
            </w:r>
            <w:r>
              <w:t xml:space="preserve"> savā starpā nav sasaistīti un nosaka atšķirīgus rezultāta sasniegšanas mērķus.</w:t>
            </w:r>
          </w:p>
          <w:p w:rsidR="00853D15" w:rsidRPr="00304314" w:rsidRDefault="00853D15" w:rsidP="00853D15">
            <w:pPr>
              <w:jc w:val="both"/>
            </w:pPr>
            <w:r>
              <w:t xml:space="preserve">Ar MK noteikumu projektu paredzēts, ka spēku zaudēs </w:t>
            </w:r>
            <w:r w:rsidRPr="00304314">
              <w:t xml:space="preserve">Ministru kabineta </w:t>
            </w:r>
            <w:r>
              <w:t xml:space="preserve">2010.gada 14.septembra noteikumi </w:t>
            </w:r>
            <w:r w:rsidRPr="00304314">
              <w:t>Nr.852 „Kārtība, kādā akreditē vispārējās un profesionālās izglītības programmas, izglītības iestādes un eksaminācijas centrus”</w:t>
            </w:r>
            <w:r>
              <w:t>.</w:t>
            </w:r>
          </w:p>
        </w:tc>
      </w:tr>
      <w:tr w:rsidR="004747C0" w:rsidRPr="00304314" w:rsidTr="00F130C7">
        <w:tc>
          <w:tcPr>
            <w:tcW w:w="271" w:type="pct"/>
          </w:tcPr>
          <w:p w:rsidR="004747C0" w:rsidRPr="00304314" w:rsidRDefault="00F130C7" w:rsidP="00E83D49">
            <w:r>
              <w:lastRenderedPageBreak/>
              <w:t>3</w:t>
            </w:r>
            <w:r w:rsidR="004747C0" w:rsidRPr="00304314">
              <w:t>.</w:t>
            </w:r>
          </w:p>
        </w:tc>
        <w:tc>
          <w:tcPr>
            <w:tcW w:w="790" w:type="pct"/>
          </w:tcPr>
          <w:p w:rsidR="004747C0" w:rsidRPr="00304314" w:rsidRDefault="004747C0" w:rsidP="00E83D49">
            <w:r w:rsidRPr="00304314">
              <w:t xml:space="preserve">Projekta </w:t>
            </w:r>
            <w:r w:rsidRPr="00304314">
              <w:lastRenderedPageBreak/>
              <w:t>izstrādē iesaistītās institūcijas</w:t>
            </w:r>
          </w:p>
        </w:tc>
        <w:tc>
          <w:tcPr>
            <w:tcW w:w="3939" w:type="pct"/>
          </w:tcPr>
          <w:p w:rsidR="004747C0" w:rsidRPr="00304314" w:rsidRDefault="004747C0" w:rsidP="00E83D49">
            <w:pPr>
              <w:ind w:left="33"/>
              <w:jc w:val="both"/>
            </w:pPr>
            <w:r w:rsidRPr="00304314">
              <w:lastRenderedPageBreak/>
              <w:t xml:space="preserve">MK noteikumu projekta izstrādes darba grupā, kas izveidota saskaņā ar </w:t>
            </w:r>
            <w:r w:rsidRPr="00304314">
              <w:lastRenderedPageBreak/>
              <w:t>Izglītības kvalitātes valsts dienesta 2013.gada 2.oktobra rīkojumu Nr.1-05/29 „Par darba grupas izveidi priekšlikumu izstrādei Ministru kabineta noteikumu projektam”, tika ietverti valsts pārvaldes iestāžu, pašvaldību un sociālo partneru pārstāvji no:</w:t>
            </w:r>
          </w:p>
          <w:p w:rsidR="004747C0" w:rsidRPr="00304314" w:rsidRDefault="004747C0" w:rsidP="004747C0">
            <w:pPr>
              <w:numPr>
                <w:ilvl w:val="0"/>
                <w:numId w:val="1"/>
              </w:numPr>
              <w:jc w:val="both"/>
            </w:pPr>
            <w:r w:rsidRPr="00304314">
              <w:t>UNESCO Latvijas Nacionālās komisijas;</w:t>
            </w:r>
          </w:p>
          <w:p w:rsidR="004747C0" w:rsidRPr="00304314" w:rsidRDefault="004747C0" w:rsidP="004747C0">
            <w:pPr>
              <w:numPr>
                <w:ilvl w:val="0"/>
                <w:numId w:val="1"/>
              </w:numPr>
              <w:jc w:val="both"/>
            </w:pPr>
            <w:r w:rsidRPr="00304314">
              <w:t>Izglītības un zinātnes ministrijas;</w:t>
            </w:r>
          </w:p>
          <w:p w:rsidR="004747C0" w:rsidRPr="00304314" w:rsidRDefault="004747C0" w:rsidP="004747C0">
            <w:pPr>
              <w:numPr>
                <w:ilvl w:val="0"/>
                <w:numId w:val="1"/>
              </w:numPr>
              <w:jc w:val="both"/>
            </w:pPr>
            <w:r w:rsidRPr="00304314">
              <w:t>Rīgas domes Izglītības, kultūras un sporta departamenta;</w:t>
            </w:r>
          </w:p>
          <w:p w:rsidR="004747C0" w:rsidRPr="00304314" w:rsidRDefault="004747C0" w:rsidP="004747C0">
            <w:pPr>
              <w:numPr>
                <w:ilvl w:val="0"/>
                <w:numId w:val="1"/>
              </w:numPr>
              <w:jc w:val="both"/>
            </w:pPr>
            <w:r w:rsidRPr="00304314">
              <w:t>Latvijas Izglītības un zinātnes darbinieku arodbiedrības;</w:t>
            </w:r>
          </w:p>
          <w:p w:rsidR="004747C0" w:rsidRPr="00304314" w:rsidRDefault="004747C0" w:rsidP="004747C0">
            <w:pPr>
              <w:numPr>
                <w:ilvl w:val="0"/>
                <w:numId w:val="1"/>
              </w:numPr>
              <w:jc w:val="both"/>
            </w:pPr>
            <w:r w:rsidRPr="00304314">
              <w:t>Latvijas Pašvaldību savienības;</w:t>
            </w:r>
          </w:p>
          <w:p w:rsidR="004747C0" w:rsidRPr="00304314" w:rsidRDefault="004747C0" w:rsidP="004747C0">
            <w:pPr>
              <w:numPr>
                <w:ilvl w:val="0"/>
                <w:numId w:val="1"/>
              </w:numPr>
              <w:jc w:val="both"/>
            </w:pPr>
            <w:r w:rsidRPr="00304314">
              <w:t>Latvijas Darba devēju konfederācijas;</w:t>
            </w:r>
          </w:p>
          <w:p w:rsidR="004747C0" w:rsidRPr="00304314" w:rsidRDefault="004747C0" w:rsidP="004747C0">
            <w:pPr>
              <w:numPr>
                <w:ilvl w:val="0"/>
                <w:numId w:val="1"/>
              </w:numPr>
              <w:jc w:val="both"/>
            </w:pPr>
            <w:r w:rsidRPr="00304314">
              <w:t>arodbiedrības „Latvijas izglītības vadītāju asociācija”;</w:t>
            </w:r>
          </w:p>
          <w:p w:rsidR="004747C0" w:rsidRPr="00304314" w:rsidRDefault="004747C0" w:rsidP="004747C0">
            <w:pPr>
              <w:numPr>
                <w:ilvl w:val="0"/>
                <w:numId w:val="1"/>
              </w:numPr>
              <w:jc w:val="both"/>
            </w:pPr>
            <w:r w:rsidRPr="00304314">
              <w:t>izglītības pārvaldēm;</w:t>
            </w:r>
          </w:p>
          <w:p w:rsidR="004747C0" w:rsidRPr="00304314" w:rsidRDefault="004747C0" w:rsidP="004747C0">
            <w:pPr>
              <w:numPr>
                <w:ilvl w:val="0"/>
                <w:numId w:val="1"/>
              </w:numPr>
              <w:jc w:val="both"/>
            </w:pPr>
            <w:r w:rsidRPr="00304314">
              <w:t>vispārējās un profesionālās izglītības iestādēm;</w:t>
            </w:r>
          </w:p>
          <w:p w:rsidR="004747C0" w:rsidRPr="00304314" w:rsidRDefault="004747C0" w:rsidP="004747C0">
            <w:pPr>
              <w:numPr>
                <w:ilvl w:val="0"/>
                <w:numId w:val="1"/>
              </w:numPr>
              <w:jc w:val="both"/>
            </w:pPr>
            <w:r w:rsidRPr="00304314">
              <w:t>Valsts izglītības satura centra;</w:t>
            </w:r>
          </w:p>
          <w:p w:rsidR="004747C0" w:rsidRPr="00304314" w:rsidRDefault="004747C0" w:rsidP="004747C0">
            <w:pPr>
              <w:numPr>
                <w:ilvl w:val="0"/>
                <w:numId w:val="1"/>
              </w:numPr>
              <w:jc w:val="both"/>
            </w:pPr>
            <w:r w:rsidRPr="00304314">
              <w:t>Latvijas Nacionālā kultūras centra;</w:t>
            </w:r>
          </w:p>
          <w:p w:rsidR="004747C0" w:rsidRPr="00304314" w:rsidRDefault="004747C0" w:rsidP="004747C0">
            <w:pPr>
              <w:numPr>
                <w:ilvl w:val="0"/>
                <w:numId w:val="1"/>
              </w:numPr>
              <w:jc w:val="both"/>
            </w:pPr>
            <w:r w:rsidRPr="00304314">
              <w:t>biedrības „Vecāki par izglītību”;</w:t>
            </w:r>
          </w:p>
          <w:p w:rsidR="004747C0" w:rsidRPr="00304314" w:rsidRDefault="004747C0" w:rsidP="004747C0">
            <w:pPr>
              <w:numPr>
                <w:ilvl w:val="0"/>
                <w:numId w:val="1"/>
              </w:numPr>
              <w:jc w:val="both"/>
            </w:pPr>
            <w:r w:rsidRPr="00304314">
              <w:t xml:space="preserve">Pirmsskolas izglītības asociācijas; </w:t>
            </w:r>
          </w:p>
          <w:p w:rsidR="004747C0" w:rsidRPr="00304314" w:rsidRDefault="004747C0" w:rsidP="004747C0">
            <w:pPr>
              <w:numPr>
                <w:ilvl w:val="0"/>
                <w:numId w:val="1"/>
              </w:numPr>
              <w:jc w:val="both"/>
            </w:pPr>
            <w:r w:rsidRPr="00304314">
              <w:t>Izglītības kvalitātes valsts dienesta.</w:t>
            </w:r>
          </w:p>
          <w:p w:rsidR="004747C0" w:rsidRPr="00304314" w:rsidRDefault="004747C0" w:rsidP="00E83D49">
            <w:pPr>
              <w:ind w:left="33"/>
              <w:jc w:val="both"/>
              <w:rPr>
                <w:iCs/>
              </w:rPr>
            </w:pPr>
            <w:r w:rsidRPr="00304314">
              <w:t>Visi darba grupā iesaistītie pārstāvji atbalsta MK noteikumu projektu.</w:t>
            </w:r>
          </w:p>
        </w:tc>
      </w:tr>
      <w:tr w:rsidR="004747C0" w:rsidRPr="00304314" w:rsidTr="00F130C7">
        <w:tc>
          <w:tcPr>
            <w:tcW w:w="271" w:type="pct"/>
          </w:tcPr>
          <w:p w:rsidR="004747C0" w:rsidRPr="00304314" w:rsidRDefault="00F130C7" w:rsidP="00E83D49">
            <w:r>
              <w:lastRenderedPageBreak/>
              <w:t>4</w:t>
            </w:r>
            <w:r w:rsidR="004747C0" w:rsidRPr="00304314">
              <w:t xml:space="preserve">. </w:t>
            </w:r>
          </w:p>
        </w:tc>
        <w:tc>
          <w:tcPr>
            <w:tcW w:w="790" w:type="pct"/>
          </w:tcPr>
          <w:p w:rsidR="004747C0" w:rsidRPr="00304314" w:rsidRDefault="004747C0" w:rsidP="00E83D49">
            <w:r w:rsidRPr="00304314">
              <w:t>Cita informācija</w:t>
            </w:r>
          </w:p>
        </w:tc>
        <w:tc>
          <w:tcPr>
            <w:tcW w:w="3939" w:type="pct"/>
          </w:tcPr>
          <w:p w:rsidR="004747C0" w:rsidRPr="00304314" w:rsidRDefault="004747C0" w:rsidP="00E83D49">
            <w:pPr>
              <w:ind w:left="33"/>
              <w:jc w:val="both"/>
              <w:rPr>
                <w:bCs/>
              </w:rPr>
            </w:pPr>
            <w:r w:rsidRPr="00304314">
              <w:t xml:space="preserve">Atbilstoši Izglītības kvalitātes valsts dienesta nolikumam viens no Izglītības kvalitātes valsts dienesta uzdevumiem ir Eiropas kvalitātes nodrošināšanas </w:t>
            </w:r>
            <w:proofErr w:type="spellStart"/>
            <w:r w:rsidRPr="00304314">
              <w:t>ietvarstruktūras</w:t>
            </w:r>
            <w:proofErr w:type="spellEnd"/>
            <w:r w:rsidRPr="00304314">
              <w:t>  (EQAVET) un vienoto profesionālās izglītības kvalitātes novērtēšanas rādītāju ieviešana profesionālās izglītības kvalitātes nodrošināšanā. Pašreiz notiek diskusija ar sociālajiem partneriem un profesionālās izglītības kvalitātes novērtēšanas rādītāju ieviešana profesionālās izglītības kvalitātes nodrošināšanā normatīvajos aktos tiks paredzēta 2015.gadā, tostarp, ievērojot EQAVET sadarbības attīstību un rekomendācijas.</w:t>
            </w:r>
          </w:p>
        </w:tc>
      </w:tr>
    </w:tbl>
    <w:p w:rsidR="004747C0" w:rsidRPr="00304314" w:rsidRDefault="004747C0" w:rsidP="004747C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2061"/>
        <w:gridCol w:w="6972"/>
      </w:tblGrid>
      <w:tr w:rsidR="004747C0" w:rsidRPr="00304314" w:rsidTr="00ED1252">
        <w:tc>
          <w:tcPr>
            <w:tcW w:w="9464" w:type="dxa"/>
            <w:gridSpan w:val="3"/>
          </w:tcPr>
          <w:p w:rsidR="004747C0" w:rsidRPr="00304314" w:rsidRDefault="004747C0" w:rsidP="00E83D49">
            <w:pPr>
              <w:jc w:val="center"/>
              <w:rPr>
                <w:b/>
              </w:rPr>
            </w:pPr>
            <w:r w:rsidRPr="00304314">
              <w:rPr>
                <w:b/>
              </w:rPr>
              <w:t>II. Tiesību akta projekta ietekme uz sabiedrību</w:t>
            </w:r>
            <w:r w:rsidR="00F130C7">
              <w:rPr>
                <w:b/>
              </w:rPr>
              <w:t>, tautsaimniecības attīstību un administratīvo slogu</w:t>
            </w:r>
          </w:p>
        </w:tc>
      </w:tr>
      <w:tr w:rsidR="004747C0" w:rsidRPr="00304314" w:rsidTr="00ED1252">
        <w:tc>
          <w:tcPr>
            <w:tcW w:w="431" w:type="dxa"/>
          </w:tcPr>
          <w:p w:rsidR="004747C0" w:rsidRPr="00304314" w:rsidRDefault="004747C0" w:rsidP="00E83D49">
            <w:r w:rsidRPr="00304314">
              <w:t>1.</w:t>
            </w:r>
          </w:p>
        </w:tc>
        <w:tc>
          <w:tcPr>
            <w:tcW w:w="2061" w:type="dxa"/>
          </w:tcPr>
          <w:p w:rsidR="004747C0" w:rsidRPr="00304314" w:rsidRDefault="004747C0" w:rsidP="00E83D49">
            <w:r w:rsidRPr="00304314">
              <w:t xml:space="preserve">Sabiedrības </w:t>
            </w:r>
            <w:proofErr w:type="spellStart"/>
            <w:r w:rsidRPr="00304314">
              <w:t>mērķgrupa</w:t>
            </w:r>
            <w:r w:rsidR="00F130C7">
              <w:t>s</w:t>
            </w:r>
            <w:proofErr w:type="spellEnd"/>
            <w:r w:rsidR="00F130C7">
              <w:t>, kuras tiesiskais regulējums ietekmē vai varētu ietekmēt</w:t>
            </w:r>
          </w:p>
        </w:tc>
        <w:tc>
          <w:tcPr>
            <w:tcW w:w="6972" w:type="dxa"/>
          </w:tcPr>
          <w:p w:rsidR="004747C0" w:rsidRPr="00304314" w:rsidRDefault="004747C0" w:rsidP="00E83D49">
            <w:pPr>
              <w:ind w:left="33"/>
              <w:jc w:val="both"/>
            </w:pPr>
            <w:r w:rsidRPr="00304314">
              <w:t>Izglītības iestādes (izņemot pirmsskolas, interešu, pieaugušo neformālās iestādes, augstskolas un koledžas) un eksaminācijas centri (saistībā ar akreditāciju), kā arī valsts un pašvaldību izglītības iestāžu (izņemot interešu, pieaugušo neformālās iestādes, augstskolas un koledžas) vadītāji (saistībā ar iestādes vadītāja novērtēšanu).</w:t>
            </w:r>
          </w:p>
          <w:p w:rsidR="004747C0" w:rsidRPr="00304314" w:rsidRDefault="004747C0" w:rsidP="00E83D49">
            <w:pPr>
              <w:jc w:val="both"/>
            </w:pPr>
            <w:r w:rsidRPr="00304314">
              <w:t xml:space="preserve">Izglītības iestāžu reģistrā reģistrētas (uz 01.11.2013.; </w:t>
            </w:r>
            <w:r w:rsidRPr="00304314">
              <w:rPr>
                <w:bCs/>
              </w:rPr>
              <w:t>kopā 1619)</w:t>
            </w:r>
            <w:r w:rsidRPr="00304314">
              <w:t>:</w:t>
            </w:r>
          </w:p>
          <w:p w:rsidR="004747C0" w:rsidRPr="00304314" w:rsidRDefault="004747C0" w:rsidP="00E83D49">
            <w:pPr>
              <w:ind w:left="33"/>
              <w:jc w:val="both"/>
            </w:pPr>
            <w:r w:rsidRPr="00304314">
              <w:t>- Valsts</w:t>
            </w:r>
            <w:r w:rsidR="00422E1E">
              <w:t>,</w:t>
            </w:r>
            <w:r w:rsidRPr="00304314">
              <w:t xml:space="preserve"> pašvaldību vispārējās izglītības iestādes – 726;</w:t>
            </w:r>
          </w:p>
          <w:p w:rsidR="004747C0" w:rsidRPr="00304314" w:rsidRDefault="004747C0" w:rsidP="00E83D49">
            <w:pPr>
              <w:ind w:left="33"/>
              <w:jc w:val="both"/>
            </w:pPr>
            <w:r w:rsidRPr="00304314">
              <w:t>- Pašvaldību speciālās izglītības iestādes – 61;</w:t>
            </w:r>
          </w:p>
          <w:p w:rsidR="004747C0" w:rsidRPr="00304314" w:rsidRDefault="004747C0" w:rsidP="00E83D49">
            <w:pPr>
              <w:ind w:left="33"/>
              <w:jc w:val="both"/>
            </w:pPr>
            <w:r w:rsidRPr="00304314">
              <w:t>- Valsts</w:t>
            </w:r>
            <w:r w:rsidR="00422E1E">
              <w:t>,</w:t>
            </w:r>
            <w:r w:rsidRPr="00304314">
              <w:t xml:space="preserve"> pašvaldību profesionālās izglītības iestādes – 62;</w:t>
            </w:r>
          </w:p>
          <w:p w:rsidR="004747C0" w:rsidRPr="00304314" w:rsidRDefault="004747C0" w:rsidP="00E83D49">
            <w:pPr>
              <w:ind w:left="33"/>
              <w:jc w:val="both"/>
            </w:pPr>
            <w:r w:rsidRPr="00304314">
              <w:t>- Pašvaldību profesionālās ievirzes izglītības iestādes – 207;</w:t>
            </w:r>
          </w:p>
          <w:p w:rsidR="004747C0" w:rsidRPr="00304314" w:rsidRDefault="004747C0" w:rsidP="00E83D49">
            <w:pPr>
              <w:ind w:left="33"/>
              <w:jc w:val="both"/>
            </w:pPr>
            <w:r w:rsidRPr="00304314">
              <w:t>- Profesionālās tālākizglītības un pilnveides izglītības iestādes – 33;</w:t>
            </w:r>
          </w:p>
          <w:p w:rsidR="004747C0" w:rsidRDefault="004747C0" w:rsidP="00E83D49">
            <w:pPr>
              <w:ind w:left="33"/>
              <w:jc w:val="both"/>
            </w:pPr>
            <w:r w:rsidRPr="00304314">
              <w:t>- Pašvaldību pirmsskolas izglītības iestādes – 530.</w:t>
            </w:r>
          </w:p>
          <w:p w:rsidR="00F130C7" w:rsidRPr="00304314" w:rsidRDefault="00F130C7" w:rsidP="00422E1E">
            <w:pPr>
              <w:ind w:left="33"/>
              <w:jc w:val="both"/>
            </w:pPr>
            <w:r>
              <w:t>V</w:t>
            </w:r>
            <w:r w:rsidRPr="00304314">
              <w:t>alsts</w:t>
            </w:r>
            <w:r w:rsidR="00422E1E">
              <w:t>,</w:t>
            </w:r>
            <w:r w:rsidR="004B30FF">
              <w:t xml:space="preserve"> </w:t>
            </w:r>
            <w:r w:rsidRPr="00304314">
              <w:t>pašvaldību izglītības iestāžu (izņemot interešu, pieaugušo neformālās iestādes, augstskolas un koledžas) vadītāji un iestāžu dibinātāji</w:t>
            </w:r>
            <w:r>
              <w:t>, izglītojamie un to vecāki.</w:t>
            </w:r>
          </w:p>
        </w:tc>
      </w:tr>
      <w:tr w:rsidR="004747C0" w:rsidRPr="00304314" w:rsidTr="00ED1252">
        <w:tc>
          <w:tcPr>
            <w:tcW w:w="431" w:type="dxa"/>
          </w:tcPr>
          <w:p w:rsidR="004747C0" w:rsidRPr="00304314" w:rsidRDefault="00F130C7" w:rsidP="00E83D49">
            <w:r>
              <w:lastRenderedPageBreak/>
              <w:t>2</w:t>
            </w:r>
            <w:r w:rsidR="004747C0" w:rsidRPr="00304314">
              <w:t xml:space="preserve">. </w:t>
            </w:r>
          </w:p>
        </w:tc>
        <w:tc>
          <w:tcPr>
            <w:tcW w:w="2061" w:type="dxa"/>
          </w:tcPr>
          <w:p w:rsidR="004747C0" w:rsidRPr="00304314" w:rsidRDefault="00F130C7" w:rsidP="00F130C7">
            <w:r>
              <w:t xml:space="preserve">Tiesiskā regulējuma </w:t>
            </w:r>
            <w:r w:rsidR="004747C0" w:rsidRPr="00304314">
              <w:t>ietekme</w:t>
            </w:r>
            <w:r>
              <w:t xml:space="preserve"> uz tautsaimniecību un administratīvo slogu</w:t>
            </w:r>
          </w:p>
        </w:tc>
        <w:tc>
          <w:tcPr>
            <w:tcW w:w="6972" w:type="dxa"/>
          </w:tcPr>
          <w:p w:rsidR="004747C0" w:rsidRDefault="004747C0" w:rsidP="00E83D49">
            <w:pPr>
              <w:jc w:val="both"/>
            </w:pPr>
            <w:r w:rsidRPr="00304314">
              <w:t>MK noteikumu projektā paredzama valsts un pašvaldību izglītības iestāžu (izņemot interešu, pieaugušo neformālās iestādes, augstskolas un koledžas) vadītāju profesionālās darbības novērtēšanas kārtība, kā arī izglītības iestāžu (izņemot pirmsskolas, interešu, pieaugušo neformālās iestādes, augstskolas un koledžas) un eksaminācijas centru darbības un izglītības programmu īstenošanas kvalitātes vērtēšanas kārtība, līdz 201</w:t>
            </w:r>
            <w:r>
              <w:t>4</w:t>
            </w:r>
            <w:r w:rsidRPr="00304314">
              <w:t>.gada</w:t>
            </w:r>
            <w:r>
              <w:t xml:space="preserve"> oktobri</w:t>
            </w:r>
            <w:r w:rsidRPr="00304314">
              <w:t>m tiks iestrādāti grozījumi Izglītības kvalitātes valsts dienesta sniegto maksas pakalpojumu cenrādī</w:t>
            </w:r>
            <w:r w:rsidR="00EB7832">
              <w:t xml:space="preserve">, </w:t>
            </w:r>
            <w:r w:rsidRPr="00304314">
              <w:t>paredzot tiesisko regulējumu par</w:t>
            </w:r>
            <w:r w:rsidRPr="00304314">
              <w:rPr>
                <w:rFonts w:ascii="Arial" w:hAnsi="Arial" w:cs="Arial"/>
                <w:sz w:val="20"/>
                <w:szCs w:val="20"/>
              </w:rPr>
              <w:t xml:space="preserve"> </w:t>
            </w:r>
            <w:r w:rsidRPr="00304314">
              <w:t>iestādes vadītāja novērtēšanu. Izglītības kvalitātes valsts dienesta sniegto maksas pakalpojumu cenrāža papildināšana ar tiesisko regulējumu par</w:t>
            </w:r>
            <w:r w:rsidRPr="00304314">
              <w:rPr>
                <w:rFonts w:ascii="Arial" w:hAnsi="Arial" w:cs="Arial"/>
                <w:sz w:val="20"/>
                <w:szCs w:val="20"/>
              </w:rPr>
              <w:t xml:space="preserve"> </w:t>
            </w:r>
            <w:r w:rsidRPr="00304314">
              <w:t>iestādes vadītāja novērtēšanu iespējams notik</w:t>
            </w:r>
            <w:r w:rsidR="00EB7832">
              <w:t xml:space="preserve">s, </w:t>
            </w:r>
            <w:r w:rsidRPr="00304314">
              <w:t>vienlaikus izstrādājot grozījumus Metodikā.</w:t>
            </w:r>
          </w:p>
          <w:p w:rsidR="00F130C7" w:rsidRDefault="00F130C7" w:rsidP="00E83D49">
            <w:pPr>
              <w:jc w:val="both"/>
            </w:pPr>
            <w:r w:rsidRPr="00304314">
              <w:t>MK noteikumu projektā paredzētais iestādes vadītāja profesionālās darbības novērtēšanas process nosaka iestāžu vadītājiem pienākumu noteiktajos termiņos pieteikties Izglītības kvalitātes valsts dienestā iestādes vadītāja novērtēšanai. Ievērojot Izglītības likuma 30.panta 4</w:t>
            </w:r>
            <w:r w:rsidRPr="00304314">
              <w:rPr>
                <w:vertAlign w:val="superscript"/>
              </w:rPr>
              <w:t>1</w:t>
            </w:r>
            <w:r w:rsidRPr="00304314">
              <w:t>.daļā noteikto, valsts un pašvaldību iestāžu vadītāju novērtēšanas rezultātus dibinātājs ir tiesīgs izmantot par pamatu lēmumam par iestādes vadītāja atbilstību ieņemamajam amatam, kā arī iestādes vadītāja materiālajai stimulēšanai.</w:t>
            </w:r>
          </w:p>
          <w:p w:rsidR="00F130C7" w:rsidRPr="00304314" w:rsidRDefault="00F130C7" w:rsidP="00F130C7">
            <w:pPr>
              <w:ind w:left="33"/>
              <w:jc w:val="both"/>
            </w:pPr>
            <w:r w:rsidRPr="00304314">
              <w:t>Noteikumu projekts regulē izglītības iestāžu (izņemot pirmsskolas, interešu, pieaugušo neformālās iestād</w:t>
            </w:r>
            <w:r>
              <w:t xml:space="preserve">es, augstskolas un koledžas), </w:t>
            </w:r>
            <w:r w:rsidRPr="00304314">
              <w:t xml:space="preserve">eksaminācijas centru </w:t>
            </w:r>
            <w:r>
              <w:t xml:space="preserve">un citu institūciju </w:t>
            </w:r>
            <w:r w:rsidRPr="00304314">
              <w:t>darbības un izglītības programmu īstenošanas kvalitātes vērtēšanas kārtīb</w:t>
            </w:r>
            <w:r>
              <w:t>u. Tajā</w:t>
            </w:r>
            <w:r w:rsidRPr="00304314">
              <w:t xml:space="preserve"> ietvert</w:t>
            </w:r>
            <w:r>
              <w:t>i arī</w:t>
            </w:r>
            <w:r w:rsidRPr="00304314">
              <w:t xml:space="preserve"> valsts un pašvaldību izglītības iestāžu (izņemot interešu, pieaugušo neformālās iestādes, augstskolas un koledžas) vadītāju profesionālās darbības novērtēšanas jautājum</w:t>
            </w:r>
            <w:r>
              <w:t>i</w:t>
            </w:r>
            <w:r w:rsidRPr="00304314">
              <w:t>.</w:t>
            </w:r>
          </w:p>
          <w:p w:rsidR="00F130C7" w:rsidRPr="00304314" w:rsidRDefault="00F130C7" w:rsidP="00F130C7">
            <w:pPr>
              <w:ind w:left="33"/>
              <w:jc w:val="both"/>
            </w:pPr>
            <w:r w:rsidRPr="00304314">
              <w:t>Kārtība, kādā akreditē vispārējās un profesionālās izglītības programmas, izglītības iestādes un eksaminācijas centrus jau pastāvēja šobrīd spēkā esošajos Ministru kabineta 2010.gada 14.septembra noteikumos Nr.852 „Kārtība, kādā akreditē vispārējās un profesionālās izglītības programmas, izglītības iestādes un eksaminācijas centrus”.</w:t>
            </w:r>
          </w:p>
          <w:p w:rsidR="00F130C7" w:rsidRPr="00304314" w:rsidRDefault="00BC78CA" w:rsidP="00BC78CA">
            <w:pPr>
              <w:jc w:val="both"/>
            </w:pPr>
            <w:r>
              <w:t>V</w:t>
            </w:r>
            <w:r w:rsidR="00F130C7" w:rsidRPr="00304314">
              <w:t>alsts</w:t>
            </w:r>
            <w:r>
              <w:t>,</w:t>
            </w:r>
            <w:r w:rsidR="00F130C7" w:rsidRPr="00304314">
              <w:t xml:space="preserve"> pašvaldību izglītīb</w:t>
            </w:r>
            <w:r w:rsidR="00EB7832">
              <w:t>as iestāžu vadītāju profesionālās</w:t>
            </w:r>
            <w:r w:rsidR="00F130C7" w:rsidRPr="00304314">
              <w:t xml:space="preserve"> darbīb</w:t>
            </w:r>
            <w:r w:rsidR="00EB7832">
              <w:t>as</w:t>
            </w:r>
            <w:r w:rsidR="00F130C7" w:rsidRPr="00304314">
              <w:t xml:space="preserve">  novērtēšana ir jauna procedūra</w:t>
            </w:r>
            <w:r w:rsidR="00EB7832">
              <w:t>,</w:t>
            </w:r>
            <w:r w:rsidR="00F130C7" w:rsidRPr="00304314">
              <w:t xml:space="preserve"> ar kuru administratīvā sloga mazināšanā tiek ietverta vispārējās un profesionālās izglītības programmu, izglītības iestāžu un eksaminācija</w:t>
            </w:r>
            <w:r w:rsidR="00EB7832">
              <w:t xml:space="preserve">s centru akreditācijas procesā. </w:t>
            </w:r>
            <w:r w:rsidR="00F130C7" w:rsidRPr="00304314">
              <w:t xml:space="preserve">Saskaņā ar MK noteikumu projektā paredzēto kārtību valsts un pašvaldību izglītības iestāžu vadītāju (izņemot interešu, pieaugušo neformālās iestādes, augstskolas un koledžas) profesionālās darbības novērtēšana ietverta akreditācijas procesā (izņemot tos izglītības iestāžu vadītājus, kuri būs stājušies amatā pēc MK noteikumu projekta spēkā stāšanās un pirmsskolas izglītības iestāžu vadītājus). Gan izglītības iestāžu, gan izglītības programmu, gan izglītības iestāžu vadītāju profesionālās darbības novērtēšanā tiek piemēroti </w:t>
            </w:r>
            <w:r w:rsidR="00F130C7" w:rsidRPr="00304314">
              <w:lastRenderedPageBreak/>
              <w:t>vienoti vērtēšanas principi.</w:t>
            </w:r>
          </w:p>
        </w:tc>
      </w:tr>
      <w:tr w:rsidR="004747C0" w:rsidRPr="00304314" w:rsidTr="00ED1252">
        <w:tc>
          <w:tcPr>
            <w:tcW w:w="431" w:type="dxa"/>
          </w:tcPr>
          <w:p w:rsidR="004747C0" w:rsidRPr="00304314" w:rsidRDefault="00F130C7" w:rsidP="00E83D49">
            <w:r>
              <w:lastRenderedPageBreak/>
              <w:t>3</w:t>
            </w:r>
            <w:r w:rsidR="004747C0" w:rsidRPr="00304314">
              <w:t>.</w:t>
            </w:r>
          </w:p>
        </w:tc>
        <w:tc>
          <w:tcPr>
            <w:tcW w:w="2061" w:type="dxa"/>
          </w:tcPr>
          <w:p w:rsidR="004747C0" w:rsidRPr="00304314" w:rsidRDefault="004747C0" w:rsidP="00E83D49">
            <w:r w:rsidRPr="00304314">
              <w:t>Administratīvo izmaksu monetārs novērtējums</w:t>
            </w:r>
          </w:p>
        </w:tc>
        <w:tc>
          <w:tcPr>
            <w:tcW w:w="6972" w:type="dxa"/>
          </w:tcPr>
          <w:p w:rsidR="004747C0" w:rsidRPr="00304314" w:rsidRDefault="004747C0" w:rsidP="00E83D49">
            <w:pPr>
              <w:ind w:right="207"/>
              <w:jc w:val="both"/>
            </w:pPr>
            <w:r w:rsidRPr="00304314">
              <w:t>Noteikumu projekts šo jomu neskar.</w:t>
            </w:r>
          </w:p>
        </w:tc>
      </w:tr>
      <w:tr w:rsidR="004747C0" w:rsidRPr="00304314" w:rsidTr="00ED1252">
        <w:tc>
          <w:tcPr>
            <w:tcW w:w="431" w:type="dxa"/>
          </w:tcPr>
          <w:p w:rsidR="004747C0" w:rsidRPr="00304314" w:rsidRDefault="00F130C7" w:rsidP="00E83D49">
            <w:r>
              <w:t>4</w:t>
            </w:r>
            <w:r w:rsidR="004747C0" w:rsidRPr="00304314">
              <w:t xml:space="preserve">. </w:t>
            </w:r>
          </w:p>
        </w:tc>
        <w:tc>
          <w:tcPr>
            <w:tcW w:w="2061" w:type="dxa"/>
          </w:tcPr>
          <w:p w:rsidR="004747C0" w:rsidRPr="00304314" w:rsidRDefault="004747C0" w:rsidP="00E83D49">
            <w:r w:rsidRPr="00304314">
              <w:t>Cita informācija</w:t>
            </w:r>
          </w:p>
        </w:tc>
        <w:tc>
          <w:tcPr>
            <w:tcW w:w="6972" w:type="dxa"/>
          </w:tcPr>
          <w:p w:rsidR="004747C0" w:rsidRPr="00304314" w:rsidRDefault="004747C0" w:rsidP="00E83D49">
            <w:pPr>
              <w:jc w:val="both"/>
              <w:rPr>
                <w:iCs/>
              </w:rPr>
            </w:pPr>
            <w:r w:rsidRPr="00304314">
              <w:rPr>
                <w:iCs/>
              </w:rPr>
              <w:t>Nav</w:t>
            </w:r>
          </w:p>
        </w:tc>
      </w:tr>
    </w:tbl>
    <w:p w:rsidR="004747C0" w:rsidRDefault="004747C0" w:rsidP="004747C0"/>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40"/>
        <w:gridCol w:w="1354"/>
        <w:gridCol w:w="14"/>
        <w:gridCol w:w="1263"/>
        <w:gridCol w:w="79"/>
        <w:gridCol w:w="1524"/>
        <w:gridCol w:w="16"/>
        <w:gridCol w:w="9"/>
        <w:gridCol w:w="1359"/>
        <w:gridCol w:w="72"/>
        <w:gridCol w:w="9"/>
        <w:gridCol w:w="1279"/>
      </w:tblGrid>
      <w:tr w:rsidR="0023416E" w:rsidRPr="00304314" w:rsidTr="00B0515F">
        <w:tc>
          <w:tcPr>
            <w:tcW w:w="9496" w:type="dxa"/>
            <w:gridSpan w:val="13"/>
          </w:tcPr>
          <w:p w:rsidR="0023416E" w:rsidRPr="00304314" w:rsidRDefault="0023416E" w:rsidP="00B0515F">
            <w:pPr>
              <w:jc w:val="center"/>
            </w:pPr>
            <w:r w:rsidRPr="00304314">
              <w:br w:type="page"/>
            </w:r>
          </w:p>
          <w:p w:rsidR="0023416E" w:rsidRPr="00304314" w:rsidRDefault="0023416E" w:rsidP="00B0515F">
            <w:pPr>
              <w:jc w:val="center"/>
              <w:rPr>
                <w:b/>
                <w:bCs/>
              </w:rPr>
            </w:pPr>
            <w:r w:rsidRPr="00304314">
              <w:rPr>
                <w:b/>
              </w:rPr>
              <w:t>III.</w:t>
            </w:r>
            <w:r w:rsidRPr="00304314">
              <w:t xml:space="preserve"> </w:t>
            </w:r>
            <w:r w:rsidRPr="00304314">
              <w:rPr>
                <w:b/>
                <w:bCs/>
              </w:rPr>
              <w:t>Tiesību akta projekta ietekme uz valsts budžetu un pašvaldību budžetiem</w:t>
            </w:r>
          </w:p>
          <w:p w:rsidR="0023416E" w:rsidRPr="00304314" w:rsidRDefault="0023416E" w:rsidP="00B0515F">
            <w:pPr>
              <w:jc w:val="center"/>
            </w:pPr>
          </w:p>
        </w:tc>
      </w:tr>
      <w:tr w:rsidR="0023416E" w:rsidRPr="00304314" w:rsidTr="00B0515F">
        <w:tc>
          <w:tcPr>
            <w:tcW w:w="1878" w:type="dxa"/>
            <w:vMerge w:val="restart"/>
            <w:vAlign w:val="center"/>
          </w:tcPr>
          <w:p w:rsidR="0023416E" w:rsidRPr="00304314" w:rsidRDefault="0023416E" w:rsidP="00B0515F">
            <w:pPr>
              <w:jc w:val="center"/>
            </w:pPr>
            <w:r w:rsidRPr="00304314">
              <w:rPr>
                <w:b/>
                <w:sz w:val="22"/>
                <w:szCs w:val="22"/>
              </w:rPr>
              <w:t>Rādītāji</w:t>
            </w:r>
          </w:p>
        </w:tc>
        <w:tc>
          <w:tcPr>
            <w:tcW w:w="3350" w:type="dxa"/>
            <w:gridSpan w:val="5"/>
            <w:vMerge w:val="restart"/>
            <w:vAlign w:val="center"/>
          </w:tcPr>
          <w:p w:rsidR="0023416E" w:rsidRPr="00304314" w:rsidRDefault="0023416E" w:rsidP="00B0515F">
            <w:pPr>
              <w:jc w:val="center"/>
            </w:pPr>
            <w:r w:rsidRPr="00304314">
              <w:rPr>
                <w:b/>
                <w:sz w:val="22"/>
                <w:szCs w:val="22"/>
              </w:rPr>
              <w:t>201</w:t>
            </w:r>
            <w:r>
              <w:rPr>
                <w:b/>
                <w:sz w:val="22"/>
                <w:szCs w:val="22"/>
              </w:rPr>
              <w:t>4</w:t>
            </w:r>
          </w:p>
        </w:tc>
        <w:tc>
          <w:tcPr>
            <w:tcW w:w="4268" w:type="dxa"/>
            <w:gridSpan w:val="7"/>
            <w:vAlign w:val="center"/>
          </w:tcPr>
          <w:p w:rsidR="0023416E" w:rsidRPr="00304314" w:rsidRDefault="0023416E" w:rsidP="00B0515F">
            <w:pPr>
              <w:jc w:val="center"/>
            </w:pPr>
            <w:r w:rsidRPr="00304314">
              <w:rPr>
                <w:sz w:val="22"/>
                <w:szCs w:val="22"/>
              </w:rPr>
              <w:t>Turpmākie trīs gadi</w:t>
            </w:r>
            <w:r>
              <w:rPr>
                <w:sz w:val="22"/>
                <w:szCs w:val="22"/>
              </w:rPr>
              <w:t xml:space="preserve"> (</w:t>
            </w:r>
            <w:proofErr w:type="spellStart"/>
            <w:r>
              <w:rPr>
                <w:sz w:val="22"/>
                <w:szCs w:val="22"/>
              </w:rPr>
              <w:t>euro</w:t>
            </w:r>
            <w:proofErr w:type="spellEnd"/>
            <w:r>
              <w:rPr>
                <w:sz w:val="22"/>
                <w:szCs w:val="22"/>
              </w:rPr>
              <w:t>)</w:t>
            </w:r>
          </w:p>
        </w:tc>
      </w:tr>
      <w:tr w:rsidR="0023416E" w:rsidRPr="00304314" w:rsidTr="00B0515F">
        <w:tc>
          <w:tcPr>
            <w:tcW w:w="1878" w:type="dxa"/>
            <w:vMerge/>
          </w:tcPr>
          <w:p w:rsidR="0023416E" w:rsidRPr="00304314" w:rsidRDefault="0023416E" w:rsidP="00B0515F">
            <w:pPr>
              <w:jc w:val="center"/>
            </w:pPr>
          </w:p>
        </w:tc>
        <w:tc>
          <w:tcPr>
            <w:tcW w:w="3350" w:type="dxa"/>
            <w:gridSpan w:val="5"/>
            <w:vMerge/>
          </w:tcPr>
          <w:p w:rsidR="0023416E" w:rsidRPr="00304314" w:rsidRDefault="0023416E" w:rsidP="00B0515F">
            <w:pPr>
              <w:jc w:val="center"/>
              <w:rPr>
                <w:b/>
                <w:sz w:val="22"/>
                <w:szCs w:val="22"/>
              </w:rPr>
            </w:pPr>
          </w:p>
        </w:tc>
        <w:tc>
          <w:tcPr>
            <w:tcW w:w="1524" w:type="dxa"/>
            <w:vAlign w:val="bottom"/>
          </w:tcPr>
          <w:p w:rsidR="0023416E" w:rsidRPr="00304314" w:rsidRDefault="0023416E" w:rsidP="00B0515F">
            <w:pPr>
              <w:spacing w:beforeAutospacing="1" w:afterAutospacing="1"/>
              <w:jc w:val="center"/>
              <w:rPr>
                <w:b/>
                <w:i/>
                <w:sz w:val="22"/>
                <w:szCs w:val="22"/>
              </w:rPr>
            </w:pPr>
            <w:r w:rsidRPr="00304314">
              <w:rPr>
                <w:b/>
                <w:bCs/>
                <w:sz w:val="22"/>
                <w:szCs w:val="22"/>
              </w:rPr>
              <w:t>201</w:t>
            </w:r>
            <w:r>
              <w:rPr>
                <w:b/>
                <w:bCs/>
                <w:sz w:val="22"/>
                <w:szCs w:val="22"/>
              </w:rPr>
              <w:t>5</w:t>
            </w:r>
          </w:p>
        </w:tc>
        <w:tc>
          <w:tcPr>
            <w:tcW w:w="1384" w:type="dxa"/>
            <w:gridSpan w:val="3"/>
            <w:vAlign w:val="bottom"/>
          </w:tcPr>
          <w:p w:rsidR="0023416E" w:rsidRPr="00304314" w:rsidRDefault="0023416E" w:rsidP="00B0515F">
            <w:pPr>
              <w:spacing w:beforeAutospacing="1" w:afterAutospacing="1"/>
              <w:jc w:val="center"/>
              <w:rPr>
                <w:b/>
                <w:i/>
                <w:sz w:val="22"/>
                <w:szCs w:val="22"/>
              </w:rPr>
            </w:pPr>
            <w:r w:rsidRPr="00304314">
              <w:rPr>
                <w:b/>
                <w:bCs/>
                <w:sz w:val="22"/>
                <w:szCs w:val="22"/>
              </w:rPr>
              <w:t>201</w:t>
            </w:r>
            <w:r>
              <w:rPr>
                <w:b/>
                <w:bCs/>
                <w:sz w:val="22"/>
                <w:szCs w:val="22"/>
              </w:rPr>
              <w:t>6</w:t>
            </w:r>
          </w:p>
        </w:tc>
        <w:tc>
          <w:tcPr>
            <w:tcW w:w="1360" w:type="dxa"/>
            <w:gridSpan w:val="3"/>
            <w:vAlign w:val="bottom"/>
          </w:tcPr>
          <w:p w:rsidR="0023416E" w:rsidRPr="00304314" w:rsidRDefault="0023416E" w:rsidP="00B0515F">
            <w:pPr>
              <w:spacing w:beforeAutospacing="1" w:afterAutospacing="1"/>
              <w:jc w:val="center"/>
              <w:rPr>
                <w:b/>
                <w:i/>
                <w:sz w:val="22"/>
                <w:szCs w:val="22"/>
              </w:rPr>
            </w:pPr>
            <w:r w:rsidRPr="00304314">
              <w:rPr>
                <w:b/>
                <w:bCs/>
                <w:sz w:val="22"/>
                <w:szCs w:val="22"/>
              </w:rPr>
              <w:t>201</w:t>
            </w:r>
            <w:r>
              <w:rPr>
                <w:b/>
                <w:bCs/>
                <w:sz w:val="22"/>
                <w:szCs w:val="22"/>
              </w:rPr>
              <w:t>7</w:t>
            </w:r>
          </w:p>
        </w:tc>
      </w:tr>
      <w:tr w:rsidR="0023416E" w:rsidRPr="00304314" w:rsidTr="00B0515F">
        <w:tc>
          <w:tcPr>
            <w:tcW w:w="1878" w:type="dxa"/>
            <w:vMerge/>
            <w:vAlign w:val="bottom"/>
          </w:tcPr>
          <w:p w:rsidR="0023416E" w:rsidRPr="00304314" w:rsidRDefault="0023416E" w:rsidP="00B0515F">
            <w:pPr>
              <w:jc w:val="center"/>
              <w:rPr>
                <w:sz w:val="22"/>
                <w:szCs w:val="22"/>
              </w:rPr>
            </w:pPr>
          </w:p>
        </w:tc>
        <w:tc>
          <w:tcPr>
            <w:tcW w:w="2008" w:type="dxa"/>
            <w:gridSpan w:val="3"/>
            <w:vAlign w:val="bottom"/>
          </w:tcPr>
          <w:p w:rsidR="0023416E" w:rsidRPr="00304314" w:rsidRDefault="0023416E" w:rsidP="00B0515F">
            <w:pPr>
              <w:jc w:val="center"/>
              <w:rPr>
                <w:sz w:val="22"/>
                <w:szCs w:val="22"/>
              </w:rPr>
            </w:pPr>
            <w:r w:rsidRPr="00304314">
              <w:rPr>
                <w:sz w:val="22"/>
                <w:szCs w:val="22"/>
              </w:rPr>
              <w:t>Saskaņā ar valsts budžetu kārtējam gadam</w:t>
            </w:r>
          </w:p>
        </w:tc>
        <w:tc>
          <w:tcPr>
            <w:tcW w:w="1342" w:type="dxa"/>
            <w:gridSpan w:val="2"/>
            <w:vAlign w:val="bottom"/>
          </w:tcPr>
          <w:p w:rsidR="0023416E" w:rsidRPr="00304314" w:rsidRDefault="0023416E" w:rsidP="00B0515F">
            <w:pPr>
              <w:jc w:val="center"/>
              <w:rPr>
                <w:sz w:val="22"/>
                <w:szCs w:val="22"/>
              </w:rPr>
            </w:pPr>
            <w:r w:rsidRPr="00304314">
              <w:rPr>
                <w:sz w:val="22"/>
                <w:szCs w:val="22"/>
              </w:rPr>
              <w:t>Izmaiņas kārtējā gadā salīdzinot ar budžetu kārtējam gadam</w:t>
            </w:r>
          </w:p>
        </w:tc>
        <w:tc>
          <w:tcPr>
            <w:tcW w:w="1524" w:type="dxa"/>
            <w:vAlign w:val="bottom"/>
          </w:tcPr>
          <w:p w:rsidR="0023416E" w:rsidRPr="00304314" w:rsidRDefault="0023416E" w:rsidP="00B0515F">
            <w:pPr>
              <w:jc w:val="center"/>
              <w:rPr>
                <w:sz w:val="22"/>
                <w:szCs w:val="22"/>
              </w:rPr>
            </w:pPr>
            <w:r w:rsidRPr="00304314">
              <w:rPr>
                <w:sz w:val="22"/>
                <w:szCs w:val="22"/>
              </w:rPr>
              <w:t>Izmaiņas salīdzinot ar kārtējo (n) gadu</w:t>
            </w:r>
          </w:p>
        </w:tc>
        <w:tc>
          <w:tcPr>
            <w:tcW w:w="1384" w:type="dxa"/>
            <w:gridSpan w:val="3"/>
            <w:vAlign w:val="bottom"/>
          </w:tcPr>
          <w:p w:rsidR="0023416E" w:rsidRPr="00304314" w:rsidRDefault="0023416E" w:rsidP="00B0515F">
            <w:pPr>
              <w:jc w:val="center"/>
              <w:rPr>
                <w:sz w:val="22"/>
                <w:szCs w:val="22"/>
              </w:rPr>
            </w:pPr>
            <w:r w:rsidRPr="00304314">
              <w:rPr>
                <w:sz w:val="22"/>
                <w:szCs w:val="22"/>
              </w:rPr>
              <w:t>Izmaiņas salīdzinot ar kārtējo (n) gadu</w:t>
            </w:r>
          </w:p>
        </w:tc>
        <w:tc>
          <w:tcPr>
            <w:tcW w:w="1360" w:type="dxa"/>
            <w:gridSpan w:val="3"/>
            <w:vAlign w:val="bottom"/>
          </w:tcPr>
          <w:p w:rsidR="0023416E" w:rsidRPr="00304314" w:rsidRDefault="0023416E" w:rsidP="00B0515F">
            <w:pPr>
              <w:jc w:val="center"/>
              <w:rPr>
                <w:sz w:val="22"/>
                <w:szCs w:val="22"/>
              </w:rPr>
            </w:pPr>
            <w:r w:rsidRPr="00304314">
              <w:rPr>
                <w:sz w:val="22"/>
                <w:szCs w:val="22"/>
              </w:rPr>
              <w:t>Izmaiņas salīdzinot ar kārtējo (n) gadu</w:t>
            </w:r>
          </w:p>
        </w:tc>
      </w:tr>
      <w:tr w:rsidR="0023416E" w:rsidRPr="00304314" w:rsidTr="00B0515F">
        <w:tc>
          <w:tcPr>
            <w:tcW w:w="1878" w:type="dxa"/>
          </w:tcPr>
          <w:p w:rsidR="0023416E" w:rsidRPr="00304314" w:rsidRDefault="0023416E" w:rsidP="00B0515F">
            <w:pPr>
              <w:spacing w:beforeAutospacing="1" w:afterAutospacing="1"/>
              <w:jc w:val="center"/>
              <w:rPr>
                <w:b/>
                <w:sz w:val="22"/>
                <w:szCs w:val="22"/>
              </w:rPr>
            </w:pPr>
            <w:r w:rsidRPr="00304314">
              <w:rPr>
                <w:b/>
                <w:sz w:val="22"/>
                <w:szCs w:val="22"/>
              </w:rPr>
              <w:t>1</w:t>
            </w:r>
          </w:p>
        </w:tc>
        <w:tc>
          <w:tcPr>
            <w:tcW w:w="2008" w:type="dxa"/>
            <w:gridSpan w:val="3"/>
          </w:tcPr>
          <w:p w:rsidR="0023416E" w:rsidRPr="00304314" w:rsidRDefault="0023416E" w:rsidP="00B0515F">
            <w:pPr>
              <w:spacing w:beforeAutospacing="1" w:afterAutospacing="1"/>
              <w:jc w:val="center"/>
              <w:rPr>
                <w:b/>
                <w:sz w:val="22"/>
                <w:szCs w:val="22"/>
              </w:rPr>
            </w:pPr>
            <w:r w:rsidRPr="00304314">
              <w:rPr>
                <w:b/>
                <w:sz w:val="22"/>
                <w:szCs w:val="22"/>
              </w:rPr>
              <w:t>2</w:t>
            </w:r>
          </w:p>
        </w:tc>
        <w:tc>
          <w:tcPr>
            <w:tcW w:w="1342" w:type="dxa"/>
            <w:gridSpan w:val="2"/>
          </w:tcPr>
          <w:p w:rsidR="0023416E" w:rsidRPr="00304314" w:rsidRDefault="0023416E" w:rsidP="00B0515F">
            <w:pPr>
              <w:spacing w:beforeAutospacing="1" w:afterAutospacing="1"/>
              <w:jc w:val="center"/>
              <w:rPr>
                <w:b/>
                <w:sz w:val="22"/>
                <w:szCs w:val="22"/>
              </w:rPr>
            </w:pPr>
            <w:r w:rsidRPr="00304314">
              <w:rPr>
                <w:b/>
                <w:sz w:val="22"/>
                <w:szCs w:val="22"/>
              </w:rPr>
              <w:t>3</w:t>
            </w:r>
          </w:p>
        </w:tc>
        <w:tc>
          <w:tcPr>
            <w:tcW w:w="1524" w:type="dxa"/>
          </w:tcPr>
          <w:p w:rsidR="0023416E" w:rsidRPr="00304314" w:rsidRDefault="0023416E" w:rsidP="00B0515F">
            <w:pPr>
              <w:spacing w:beforeAutospacing="1" w:afterAutospacing="1"/>
              <w:jc w:val="center"/>
              <w:rPr>
                <w:b/>
                <w:sz w:val="22"/>
                <w:szCs w:val="22"/>
              </w:rPr>
            </w:pPr>
            <w:r w:rsidRPr="00304314">
              <w:rPr>
                <w:b/>
                <w:sz w:val="22"/>
                <w:szCs w:val="22"/>
              </w:rPr>
              <w:t>4</w:t>
            </w:r>
          </w:p>
        </w:tc>
        <w:tc>
          <w:tcPr>
            <w:tcW w:w="1384" w:type="dxa"/>
            <w:gridSpan w:val="3"/>
          </w:tcPr>
          <w:p w:rsidR="0023416E" w:rsidRPr="00304314" w:rsidRDefault="0023416E" w:rsidP="00B0515F">
            <w:pPr>
              <w:spacing w:beforeAutospacing="1" w:afterAutospacing="1"/>
              <w:jc w:val="center"/>
              <w:rPr>
                <w:b/>
                <w:sz w:val="22"/>
                <w:szCs w:val="22"/>
              </w:rPr>
            </w:pPr>
            <w:r w:rsidRPr="00304314">
              <w:rPr>
                <w:b/>
                <w:sz w:val="22"/>
                <w:szCs w:val="22"/>
              </w:rPr>
              <w:t>5</w:t>
            </w:r>
          </w:p>
        </w:tc>
        <w:tc>
          <w:tcPr>
            <w:tcW w:w="1360" w:type="dxa"/>
            <w:gridSpan w:val="3"/>
          </w:tcPr>
          <w:p w:rsidR="0023416E" w:rsidRPr="00304314" w:rsidRDefault="0023416E" w:rsidP="00B0515F">
            <w:pPr>
              <w:spacing w:beforeAutospacing="1" w:afterAutospacing="1"/>
              <w:jc w:val="center"/>
              <w:rPr>
                <w:b/>
                <w:sz w:val="22"/>
                <w:szCs w:val="22"/>
              </w:rPr>
            </w:pPr>
            <w:r w:rsidRPr="00304314">
              <w:rPr>
                <w:b/>
                <w:sz w:val="22"/>
                <w:szCs w:val="22"/>
              </w:rPr>
              <w:t>6</w:t>
            </w:r>
          </w:p>
        </w:tc>
      </w:tr>
      <w:tr w:rsidR="0023416E" w:rsidRPr="00304314" w:rsidTr="00B0515F">
        <w:tc>
          <w:tcPr>
            <w:tcW w:w="1878" w:type="dxa"/>
          </w:tcPr>
          <w:p w:rsidR="0023416E" w:rsidRPr="00304314" w:rsidRDefault="0023416E" w:rsidP="00B0515F">
            <w:pPr>
              <w:rPr>
                <w:b/>
              </w:rPr>
            </w:pPr>
            <w:r w:rsidRPr="00304314">
              <w:rPr>
                <w:b/>
                <w:sz w:val="22"/>
                <w:szCs w:val="22"/>
              </w:rPr>
              <w:t>1. Budžeta ieņēmumi:</w:t>
            </w:r>
          </w:p>
        </w:tc>
        <w:tc>
          <w:tcPr>
            <w:tcW w:w="2008" w:type="dxa"/>
            <w:gridSpan w:val="3"/>
            <w:vAlign w:val="center"/>
          </w:tcPr>
          <w:p w:rsidR="0023416E" w:rsidRPr="00304314" w:rsidRDefault="0023416E" w:rsidP="00C37672">
            <w:pPr>
              <w:jc w:val="center"/>
              <w:rPr>
                <w:b/>
              </w:rPr>
            </w:pPr>
            <w:r>
              <w:rPr>
                <w:b/>
              </w:rPr>
              <w:t>85</w:t>
            </w:r>
            <w:r w:rsidR="00C37672">
              <w:rPr>
                <w:b/>
              </w:rPr>
              <w:t>2 698</w:t>
            </w:r>
          </w:p>
        </w:tc>
        <w:tc>
          <w:tcPr>
            <w:tcW w:w="1342" w:type="dxa"/>
            <w:gridSpan w:val="2"/>
            <w:vAlign w:val="center"/>
          </w:tcPr>
          <w:p w:rsidR="0023416E" w:rsidRPr="00304314" w:rsidRDefault="0023416E" w:rsidP="00B0515F">
            <w:pPr>
              <w:jc w:val="center"/>
            </w:pPr>
            <w:r w:rsidRPr="00304314">
              <w:t>0</w:t>
            </w:r>
          </w:p>
        </w:tc>
        <w:tc>
          <w:tcPr>
            <w:tcW w:w="1524" w:type="dxa"/>
            <w:vAlign w:val="center"/>
          </w:tcPr>
          <w:p w:rsidR="0023416E" w:rsidRPr="00304314" w:rsidRDefault="0023416E" w:rsidP="00B0515F">
            <w:pPr>
              <w:jc w:val="center"/>
            </w:pPr>
            <w:r w:rsidRPr="00304314">
              <w:t>0</w:t>
            </w:r>
          </w:p>
        </w:tc>
        <w:tc>
          <w:tcPr>
            <w:tcW w:w="1384" w:type="dxa"/>
            <w:gridSpan w:val="3"/>
            <w:vAlign w:val="center"/>
          </w:tcPr>
          <w:p w:rsidR="0023416E" w:rsidRPr="00304314" w:rsidRDefault="0023416E" w:rsidP="00B0515F">
            <w:pPr>
              <w:jc w:val="center"/>
            </w:pPr>
            <w:r w:rsidRPr="00304314">
              <w:t>0</w:t>
            </w:r>
          </w:p>
        </w:tc>
        <w:tc>
          <w:tcPr>
            <w:tcW w:w="1360" w:type="dxa"/>
            <w:gridSpan w:val="3"/>
            <w:vAlign w:val="center"/>
          </w:tcPr>
          <w:p w:rsidR="0023416E" w:rsidRPr="00304314" w:rsidRDefault="0023416E" w:rsidP="00B0515F">
            <w:pPr>
              <w:jc w:val="center"/>
            </w:pPr>
            <w:r w:rsidRPr="00304314">
              <w:t>0</w:t>
            </w:r>
          </w:p>
        </w:tc>
      </w:tr>
      <w:tr w:rsidR="0023416E" w:rsidRPr="00304314" w:rsidTr="00B0515F">
        <w:tc>
          <w:tcPr>
            <w:tcW w:w="1878" w:type="dxa"/>
          </w:tcPr>
          <w:p w:rsidR="0023416E" w:rsidRPr="00304314" w:rsidRDefault="0023416E" w:rsidP="00B0515F">
            <w:pPr>
              <w:rPr>
                <w:sz w:val="22"/>
                <w:szCs w:val="22"/>
              </w:rPr>
            </w:pPr>
            <w:r w:rsidRPr="00304314">
              <w:rPr>
                <w:sz w:val="22"/>
                <w:szCs w:val="22"/>
              </w:rPr>
              <w:t>1.1. valsts pamatbudžets, tai skaitā ieņēmumi no maksas pakalpojumiem un citi pašu ieņēmumi</w:t>
            </w:r>
            <w:r w:rsidRPr="00304314">
              <w:rPr>
                <w:sz w:val="22"/>
                <w:szCs w:val="22"/>
                <w:highlight w:val="yellow"/>
              </w:rPr>
              <w:t xml:space="preserve"> </w:t>
            </w:r>
          </w:p>
        </w:tc>
        <w:tc>
          <w:tcPr>
            <w:tcW w:w="2008" w:type="dxa"/>
            <w:gridSpan w:val="3"/>
            <w:vAlign w:val="center"/>
          </w:tcPr>
          <w:p w:rsidR="0023416E" w:rsidRPr="00304314" w:rsidRDefault="0023416E" w:rsidP="00B0515F">
            <w:pPr>
              <w:jc w:val="center"/>
            </w:pPr>
            <w:r>
              <w:t>85</w:t>
            </w:r>
            <w:r w:rsidR="00C37672">
              <w:t>2 698</w:t>
            </w:r>
          </w:p>
        </w:tc>
        <w:tc>
          <w:tcPr>
            <w:tcW w:w="1342" w:type="dxa"/>
            <w:gridSpan w:val="2"/>
            <w:vAlign w:val="center"/>
          </w:tcPr>
          <w:p w:rsidR="0023416E" w:rsidRPr="00304314" w:rsidRDefault="0023416E" w:rsidP="00B0515F">
            <w:pPr>
              <w:jc w:val="center"/>
            </w:pPr>
            <w:r w:rsidRPr="00304314">
              <w:t>0</w:t>
            </w:r>
          </w:p>
        </w:tc>
        <w:tc>
          <w:tcPr>
            <w:tcW w:w="1524" w:type="dxa"/>
            <w:vAlign w:val="center"/>
          </w:tcPr>
          <w:p w:rsidR="0023416E" w:rsidRPr="00304314" w:rsidRDefault="0023416E" w:rsidP="00B0515F">
            <w:pPr>
              <w:jc w:val="center"/>
            </w:pPr>
            <w:r w:rsidRPr="00304314">
              <w:t>0</w:t>
            </w:r>
          </w:p>
        </w:tc>
        <w:tc>
          <w:tcPr>
            <w:tcW w:w="1384" w:type="dxa"/>
            <w:gridSpan w:val="3"/>
            <w:vAlign w:val="center"/>
          </w:tcPr>
          <w:p w:rsidR="0023416E" w:rsidRPr="00304314" w:rsidRDefault="0023416E" w:rsidP="00B0515F">
            <w:pPr>
              <w:jc w:val="center"/>
            </w:pPr>
            <w:r w:rsidRPr="00304314">
              <w:t>0</w:t>
            </w:r>
          </w:p>
        </w:tc>
        <w:tc>
          <w:tcPr>
            <w:tcW w:w="1360" w:type="dxa"/>
            <w:gridSpan w:val="3"/>
            <w:vAlign w:val="center"/>
          </w:tcPr>
          <w:p w:rsidR="0023416E" w:rsidRPr="00304314" w:rsidRDefault="0023416E" w:rsidP="00B0515F">
            <w:pPr>
              <w:jc w:val="center"/>
            </w:pPr>
            <w:r w:rsidRPr="00304314">
              <w:t>0</w:t>
            </w:r>
          </w:p>
        </w:tc>
      </w:tr>
      <w:tr w:rsidR="0023416E" w:rsidRPr="00304314" w:rsidTr="00B0515F">
        <w:tc>
          <w:tcPr>
            <w:tcW w:w="1878" w:type="dxa"/>
          </w:tcPr>
          <w:p w:rsidR="0023416E" w:rsidRPr="00304314" w:rsidRDefault="0023416E" w:rsidP="00B0515F">
            <w:pPr>
              <w:spacing w:beforeAutospacing="1" w:afterAutospacing="1"/>
              <w:rPr>
                <w:i/>
                <w:sz w:val="22"/>
                <w:szCs w:val="22"/>
              </w:rPr>
            </w:pPr>
            <w:r w:rsidRPr="00304314">
              <w:rPr>
                <w:sz w:val="22"/>
                <w:szCs w:val="22"/>
              </w:rPr>
              <w:t>1.2. valsts speciālais budžets</w:t>
            </w:r>
          </w:p>
        </w:tc>
        <w:tc>
          <w:tcPr>
            <w:tcW w:w="7618" w:type="dxa"/>
            <w:gridSpan w:val="12"/>
            <w:vMerge w:val="restart"/>
            <w:vAlign w:val="center"/>
          </w:tcPr>
          <w:p w:rsidR="0023416E" w:rsidRPr="00304314" w:rsidRDefault="0023416E" w:rsidP="00B0515F">
            <w:pPr>
              <w:jc w:val="center"/>
              <w:rPr>
                <w:sz w:val="22"/>
                <w:szCs w:val="22"/>
              </w:rPr>
            </w:pPr>
            <w:r w:rsidRPr="00304314">
              <w:t>0</w:t>
            </w:r>
          </w:p>
        </w:tc>
      </w:tr>
      <w:tr w:rsidR="0023416E" w:rsidRPr="00304314" w:rsidTr="00B0515F">
        <w:tc>
          <w:tcPr>
            <w:tcW w:w="1878" w:type="dxa"/>
          </w:tcPr>
          <w:p w:rsidR="0023416E" w:rsidRPr="00304314" w:rsidRDefault="0023416E" w:rsidP="00B0515F">
            <w:r w:rsidRPr="00304314">
              <w:rPr>
                <w:sz w:val="22"/>
                <w:szCs w:val="22"/>
              </w:rPr>
              <w:t>1.3. pašvaldību budžets</w:t>
            </w:r>
          </w:p>
        </w:tc>
        <w:tc>
          <w:tcPr>
            <w:tcW w:w="7618" w:type="dxa"/>
            <w:gridSpan w:val="12"/>
            <w:vMerge/>
            <w:vAlign w:val="center"/>
          </w:tcPr>
          <w:p w:rsidR="0023416E" w:rsidRPr="00304314" w:rsidRDefault="0023416E" w:rsidP="00B0515F">
            <w:pPr>
              <w:jc w:val="center"/>
            </w:pPr>
          </w:p>
        </w:tc>
      </w:tr>
      <w:tr w:rsidR="0023416E" w:rsidRPr="00304314" w:rsidTr="00B0515F">
        <w:tc>
          <w:tcPr>
            <w:tcW w:w="1878" w:type="dxa"/>
          </w:tcPr>
          <w:p w:rsidR="0023416E" w:rsidRPr="00304314" w:rsidRDefault="0023416E" w:rsidP="00B0515F">
            <w:pPr>
              <w:rPr>
                <w:b/>
              </w:rPr>
            </w:pPr>
            <w:r w:rsidRPr="00304314">
              <w:rPr>
                <w:b/>
                <w:sz w:val="22"/>
                <w:szCs w:val="22"/>
              </w:rPr>
              <w:t>2. Budžeta izdevumi:</w:t>
            </w:r>
          </w:p>
        </w:tc>
        <w:tc>
          <w:tcPr>
            <w:tcW w:w="2008" w:type="dxa"/>
            <w:gridSpan w:val="3"/>
          </w:tcPr>
          <w:p w:rsidR="0023416E" w:rsidRPr="00304314" w:rsidRDefault="0023416E" w:rsidP="00B0515F">
            <w:pPr>
              <w:spacing w:beforeAutospacing="1" w:afterAutospacing="1"/>
              <w:jc w:val="center"/>
              <w:rPr>
                <w:b/>
              </w:rPr>
            </w:pPr>
            <w:r>
              <w:rPr>
                <w:b/>
              </w:rPr>
              <w:t>85</w:t>
            </w:r>
            <w:r w:rsidR="00C37672">
              <w:rPr>
                <w:b/>
              </w:rPr>
              <w:t>2 698</w:t>
            </w:r>
          </w:p>
        </w:tc>
        <w:tc>
          <w:tcPr>
            <w:tcW w:w="1263" w:type="dxa"/>
            <w:vAlign w:val="center"/>
          </w:tcPr>
          <w:p w:rsidR="0023416E" w:rsidRPr="00304314" w:rsidRDefault="0023416E" w:rsidP="00B0515F">
            <w:pPr>
              <w:jc w:val="center"/>
            </w:pPr>
            <w:r w:rsidRPr="00304314">
              <w:t>0</w:t>
            </w:r>
          </w:p>
        </w:tc>
        <w:tc>
          <w:tcPr>
            <w:tcW w:w="1619" w:type="dxa"/>
            <w:gridSpan w:val="3"/>
          </w:tcPr>
          <w:p w:rsidR="0023416E" w:rsidRPr="00304314" w:rsidRDefault="0023416E" w:rsidP="00B0515F">
            <w:pPr>
              <w:jc w:val="center"/>
              <w:rPr>
                <w:b/>
              </w:rPr>
            </w:pPr>
            <w:r>
              <w:rPr>
                <w:b/>
              </w:rPr>
              <w:t>22</w:t>
            </w:r>
            <w:r w:rsidR="00C37672">
              <w:rPr>
                <w:b/>
              </w:rPr>
              <w:t>7 756</w:t>
            </w:r>
          </w:p>
        </w:tc>
        <w:tc>
          <w:tcPr>
            <w:tcW w:w="1440" w:type="dxa"/>
            <w:gridSpan w:val="3"/>
          </w:tcPr>
          <w:p w:rsidR="0023416E" w:rsidRPr="00304314" w:rsidRDefault="0023416E" w:rsidP="00B0515F">
            <w:pPr>
              <w:jc w:val="center"/>
              <w:rPr>
                <w:b/>
              </w:rPr>
            </w:pPr>
            <w:r>
              <w:rPr>
                <w:b/>
              </w:rPr>
              <w:t>21</w:t>
            </w:r>
            <w:r w:rsidR="00E37F37">
              <w:rPr>
                <w:b/>
              </w:rPr>
              <w:t>6</w:t>
            </w:r>
            <w:r w:rsidR="00C37672">
              <w:rPr>
                <w:b/>
              </w:rPr>
              <w:t xml:space="preserve"> 107</w:t>
            </w:r>
          </w:p>
        </w:tc>
        <w:tc>
          <w:tcPr>
            <w:tcW w:w="1288" w:type="dxa"/>
            <w:gridSpan w:val="2"/>
          </w:tcPr>
          <w:p w:rsidR="0023416E" w:rsidRPr="00304314" w:rsidRDefault="0023416E" w:rsidP="00B0515F">
            <w:pPr>
              <w:jc w:val="center"/>
              <w:rPr>
                <w:b/>
              </w:rPr>
            </w:pPr>
            <w:r>
              <w:rPr>
                <w:b/>
              </w:rPr>
              <w:t>19</w:t>
            </w:r>
            <w:r w:rsidR="00E37F37">
              <w:rPr>
                <w:b/>
              </w:rPr>
              <w:t>5</w:t>
            </w:r>
            <w:r w:rsidR="00C37672">
              <w:rPr>
                <w:b/>
              </w:rPr>
              <w:t xml:space="preserve"> 438</w:t>
            </w:r>
          </w:p>
        </w:tc>
      </w:tr>
      <w:tr w:rsidR="0023416E" w:rsidRPr="00304314" w:rsidTr="00B0515F">
        <w:trPr>
          <w:trHeight w:val="572"/>
        </w:trPr>
        <w:tc>
          <w:tcPr>
            <w:tcW w:w="1878" w:type="dxa"/>
          </w:tcPr>
          <w:p w:rsidR="0023416E" w:rsidRPr="00304314" w:rsidRDefault="0023416E" w:rsidP="00B0515F">
            <w:pPr>
              <w:rPr>
                <w:sz w:val="22"/>
                <w:szCs w:val="22"/>
              </w:rPr>
            </w:pPr>
            <w:r w:rsidRPr="00304314">
              <w:rPr>
                <w:sz w:val="22"/>
                <w:szCs w:val="22"/>
              </w:rPr>
              <w:t xml:space="preserve">2.1. valsts pamatbudžets </w:t>
            </w:r>
          </w:p>
        </w:tc>
        <w:tc>
          <w:tcPr>
            <w:tcW w:w="2008" w:type="dxa"/>
            <w:gridSpan w:val="3"/>
          </w:tcPr>
          <w:p w:rsidR="0023416E" w:rsidRPr="00304314" w:rsidRDefault="0023416E" w:rsidP="00B0515F">
            <w:pPr>
              <w:jc w:val="center"/>
              <w:rPr>
                <w:bCs/>
              </w:rPr>
            </w:pPr>
            <w:r>
              <w:rPr>
                <w:bCs/>
              </w:rPr>
              <w:t>85</w:t>
            </w:r>
            <w:r w:rsidR="00C37672">
              <w:rPr>
                <w:bCs/>
              </w:rPr>
              <w:t>2 698</w:t>
            </w:r>
          </w:p>
        </w:tc>
        <w:tc>
          <w:tcPr>
            <w:tcW w:w="1263" w:type="dxa"/>
            <w:vAlign w:val="center"/>
          </w:tcPr>
          <w:p w:rsidR="0023416E" w:rsidRPr="00304314" w:rsidRDefault="0023416E" w:rsidP="00B0515F">
            <w:pPr>
              <w:jc w:val="center"/>
            </w:pPr>
            <w:r w:rsidRPr="00304314">
              <w:t>0</w:t>
            </w:r>
          </w:p>
        </w:tc>
        <w:tc>
          <w:tcPr>
            <w:tcW w:w="1619" w:type="dxa"/>
            <w:gridSpan w:val="3"/>
          </w:tcPr>
          <w:p w:rsidR="0023416E" w:rsidRPr="00304314" w:rsidRDefault="0023416E" w:rsidP="00B0515F">
            <w:pPr>
              <w:jc w:val="center"/>
            </w:pPr>
            <w:r>
              <w:t>16</w:t>
            </w:r>
            <w:r w:rsidR="00C37672">
              <w:t>7 508</w:t>
            </w:r>
          </w:p>
        </w:tc>
        <w:tc>
          <w:tcPr>
            <w:tcW w:w="1440" w:type="dxa"/>
            <w:gridSpan w:val="3"/>
          </w:tcPr>
          <w:p w:rsidR="0023416E" w:rsidRPr="00304314" w:rsidRDefault="0023416E" w:rsidP="00B0515F">
            <w:pPr>
              <w:jc w:val="center"/>
            </w:pPr>
            <w:r>
              <w:t>1</w:t>
            </w:r>
            <w:r w:rsidR="00C37672">
              <w:t>49 618</w:t>
            </w:r>
          </w:p>
        </w:tc>
        <w:tc>
          <w:tcPr>
            <w:tcW w:w="1288" w:type="dxa"/>
            <w:gridSpan w:val="2"/>
          </w:tcPr>
          <w:p w:rsidR="0023416E" w:rsidRPr="00304314" w:rsidRDefault="0023416E" w:rsidP="00B0515F">
            <w:pPr>
              <w:jc w:val="center"/>
            </w:pPr>
            <w:r>
              <w:t>148</w:t>
            </w:r>
            <w:r w:rsidR="00C37672">
              <w:t xml:space="preserve"> 058</w:t>
            </w:r>
          </w:p>
        </w:tc>
      </w:tr>
      <w:tr w:rsidR="0023416E" w:rsidRPr="00304314" w:rsidTr="00B0515F">
        <w:trPr>
          <w:trHeight w:val="762"/>
        </w:trPr>
        <w:tc>
          <w:tcPr>
            <w:tcW w:w="1878" w:type="dxa"/>
          </w:tcPr>
          <w:p w:rsidR="0023416E" w:rsidRPr="00304314" w:rsidRDefault="0023416E" w:rsidP="00B0515F">
            <w:pPr>
              <w:rPr>
                <w:sz w:val="22"/>
                <w:szCs w:val="22"/>
              </w:rPr>
            </w:pPr>
            <w:r w:rsidRPr="00304314">
              <w:rPr>
                <w:sz w:val="22"/>
                <w:szCs w:val="22"/>
              </w:rPr>
              <w:t>2.2. valsts speciālais budžets</w:t>
            </w:r>
          </w:p>
        </w:tc>
        <w:tc>
          <w:tcPr>
            <w:tcW w:w="2008" w:type="dxa"/>
            <w:gridSpan w:val="3"/>
            <w:vAlign w:val="center"/>
          </w:tcPr>
          <w:p w:rsidR="0023416E" w:rsidRPr="00304314" w:rsidRDefault="0023416E" w:rsidP="00B0515F">
            <w:pPr>
              <w:jc w:val="center"/>
            </w:pPr>
            <w:r w:rsidRPr="00304314">
              <w:t>0</w:t>
            </w:r>
          </w:p>
        </w:tc>
        <w:tc>
          <w:tcPr>
            <w:tcW w:w="1263" w:type="dxa"/>
            <w:vAlign w:val="center"/>
          </w:tcPr>
          <w:p w:rsidR="0023416E" w:rsidRPr="00304314" w:rsidRDefault="0023416E" w:rsidP="00B0515F">
            <w:pPr>
              <w:jc w:val="center"/>
            </w:pPr>
            <w:r w:rsidRPr="00304314">
              <w:t>0</w:t>
            </w:r>
          </w:p>
        </w:tc>
        <w:tc>
          <w:tcPr>
            <w:tcW w:w="1619" w:type="dxa"/>
            <w:gridSpan w:val="3"/>
            <w:vAlign w:val="center"/>
          </w:tcPr>
          <w:p w:rsidR="0023416E" w:rsidRPr="00304314" w:rsidRDefault="0023416E" w:rsidP="00B0515F">
            <w:pPr>
              <w:jc w:val="center"/>
            </w:pPr>
            <w:r w:rsidRPr="00304314">
              <w:t>0</w:t>
            </w:r>
          </w:p>
        </w:tc>
        <w:tc>
          <w:tcPr>
            <w:tcW w:w="1440" w:type="dxa"/>
            <w:gridSpan w:val="3"/>
            <w:vAlign w:val="center"/>
          </w:tcPr>
          <w:p w:rsidR="0023416E" w:rsidRPr="00304314" w:rsidRDefault="0023416E" w:rsidP="00B0515F">
            <w:pPr>
              <w:jc w:val="center"/>
            </w:pPr>
            <w:r w:rsidRPr="00304314">
              <w:t>0</w:t>
            </w:r>
          </w:p>
        </w:tc>
        <w:tc>
          <w:tcPr>
            <w:tcW w:w="1288" w:type="dxa"/>
            <w:gridSpan w:val="2"/>
            <w:vAlign w:val="center"/>
          </w:tcPr>
          <w:p w:rsidR="0023416E" w:rsidRPr="00304314" w:rsidRDefault="0023416E" w:rsidP="00B0515F">
            <w:pPr>
              <w:jc w:val="center"/>
            </w:pPr>
            <w:r w:rsidRPr="00304314">
              <w:t>0</w:t>
            </w:r>
          </w:p>
        </w:tc>
      </w:tr>
      <w:tr w:rsidR="0023416E" w:rsidRPr="00304314" w:rsidTr="00B0515F">
        <w:trPr>
          <w:trHeight w:val="643"/>
        </w:trPr>
        <w:tc>
          <w:tcPr>
            <w:tcW w:w="1878" w:type="dxa"/>
          </w:tcPr>
          <w:p w:rsidR="0023416E" w:rsidRPr="00304314" w:rsidRDefault="0023416E" w:rsidP="00B0515F">
            <w:pPr>
              <w:rPr>
                <w:sz w:val="22"/>
                <w:szCs w:val="22"/>
              </w:rPr>
            </w:pPr>
            <w:r w:rsidRPr="00304314">
              <w:rPr>
                <w:sz w:val="22"/>
                <w:szCs w:val="22"/>
              </w:rPr>
              <w:t>2.3. pašvaldību budžets</w:t>
            </w:r>
          </w:p>
        </w:tc>
        <w:tc>
          <w:tcPr>
            <w:tcW w:w="2008" w:type="dxa"/>
            <w:gridSpan w:val="3"/>
            <w:vAlign w:val="center"/>
          </w:tcPr>
          <w:p w:rsidR="0023416E" w:rsidRPr="00304314" w:rsidRDefault="0023416E" w:rsidP="00B0515F">
            <w:pPr>
              <w:jc w:val="center"/>
            </w:pPr>
            <w:r w:rsidRPr="00304314">
              <w:t>0</w:t>
            </w:r>
          </w:p>
        </w:tc>
        <w:tc>
          <w:tcPr>
            <w:tcW w:w="1263" w:type="dxa"/>
            <w:vAlign w:val="center"/>
          </w:tcPr>
          <w:p w:rsidR="0023416E" w:rsidRPr="00304314" w:rsidRDefault="0023416E" w:rsidP="00B0515F">
            <w:pPr>
              <w:jc w:val="center"/>
            </w:pPr>
            <w:r w:rsidRPr="00304314">
              <w:t>0</w:t>
            </w:r>
          </w:p>
        </w:tc>
        <w:tc>
          <w:tcPr>
            <w:tcW w:w="1619" w:type="dxa"/>
            <w:gridSpan w:val="3"/>
            <w:vAlign w:val="center"/>
          </w:tcPr>
          <w:p w:rsidR="0023416E" w:rsidRPr="00304314" w:rsidRDefault="0023416E" w:rsidP="00B0515F">
            <w:pPr>
              <w:jc w:val="center"/>
            </w:pPr>
            <w:r>
              <w:t>60</w:t>
            </w:r>
            <w:r w:rsidR="00C37672">
              <w:t xml:space="preserve"> 248</w:t>
            </w:r>
          </w:p>
        </w:tc>
        <w:tc>
          <w:tcPr>
            <w:tcW w:w="1440" w:type="dxa"/>
            <w:gridSpan w:val="3"/>
            <w:vAlign w:val="center"/>
          </w:tcPr>
          <w:p w:rsidR="0023416E" w:rsidRPr="00304314" w:rsidRDefault="0023416E" w:rsidP="00B0515F">
            <w:pPr>
              <w:jc w:val="center"/>
            </w:pPr>
            <w:r>
              <w:t>6</w:t>
            </w:r>
            <w:r w:rsidR="00C37672">
              <w:t>6 489</w:t>
            </w:r>
          </w:p>
        </w:tc>
        <w:tc>
          <w:tcPr>
            <w:tcW w:w="1288" w:type="dxa"/>
            <w:gridSpan w:val="2"/>
            <w:vAlign w:val="center"/>
          </w:tcPr>
          <w:p w:rsidR="0023416E" w:rsidRPr="00304314" w:rsidRDefault="0023416E" w:rsidP="00B0515F">
            <w:pPr>
              <w:jc w:val="center"/>
            </w:pPr>
            <w:r>
              <w:t>47</w:t>
            </w:r>
            <w:r w:rsidR="00C37672">
              <w:t xml:space="preserve"> 380</w:t>
            </w:r>
          </w:p>
        </w:tc>
      </w:tr>
      <w:tr w:rsidR="0023416E" w:rsidRPr="00304314" w:rsidTr="00B0515F">
        <w:tc>
          <w:tcPr>
            <w:tcW w:w="1878" w:type="dxa"/>
          </w:tcPr>
          <w:p w:rsidR="0023416E" w:rsidRPr="00304314" w:rsidRDefault="0023416E" w:rsidP="00B0515F">
            <w:pPr>
              <w:rPr>
                <w:b/>
              </w:rPr>
            </w:pPr>
            <w:r w:rsidRPr="00304314">
              <w:rPr>
                <w:b/>
                <w:sz w:val="22"/>
                <w:szCs w:val="22"/>
              </w:rPr>
              <w:t>3. Finansiālā ietekme:</w:t>
            </w:r>
          </w:p>
        </w:tc>
        <w:tc>
          <w:tcPr>
            <w:tcW w:w="2008" w:type="dxa"/>
            <w:gridSpan w:val="3"/>
            <w:vAlign w:val="center"/>
          </w:tcPr>
          <w:p w:rsidR="0023416E" w:rsidRPr="00304314" w:rsidRDefault="0023416E" w:rsidP="00B0515F">
            <w:pPr>
              <w:jc w:val="center"/>
            </w:pPr>
            <w:r w:rsidRPr="00304314">
              <w:t>0</w:t>
            </w:r>
          </w:p>
        </w:tc>
        <w:tc>
          <w:tcPr>
            <w:tcW w:w="1263" w:type="dxa"/>
            <w:vAlign w:val="center"/>
          </w:tcPr>
          <w:p w:rsidR="0023416E" w:rsidRPr="00304314" w:rsidRDefault="0023416E" w:rsidP="00B0515F">
            <w:pPr>
              <w:jc w:val="center"/>
            </w:pPr>
            <w:r w:rsidRPr="00304314">
              <w:t>0</w:t>
            </w:r>
          </w:p>
        </w:tc>
        <w:tc>
          <w:tcPr>
            <w:tcW w:w="1619" w:type="dxa"/>
            <w:gridSpan w:val="3"/>
            <w:vAlign w:val="center"/>
          </w:tcPr>
          <w:p w:rsidR="0023416E" w:rsidRPr="00304314" w:rsidRDefault="0023416E" w:rsidP="00B0515F">
            <w:pPr>
              <w:jc w:val="center"/>
              <w:rPr>
                <w:b/>
              </w:rPr>
            </w:pPr>
            <w:r w:rsidRPr="00304314">
              <w:rPr>
                <w:b/>
              </w:rPr>
              <w:t>-</w:t>
            </w:r>
            <w:r>
              <w:rPr>
                <w:b/>
              </w:rPr>
              <w:t>22</w:t>
            </w:r>
            <w:r w:rsidR="00C37672">
              <w:rPr>
                <w:b/>
              </w:rPr>
              <w:t>7 756</w:t>
            </w:r>
          </w:p>
        </w:tc>
        <w:tc>
          <w:tcPr>
            <w:tcW w:w="1440" w:type="dxa"/>
            <w:gridSpan w:val="3"/>
            <w:vAlign w:val="center"/>
          </w:tcPr>
          <w:p w:rsidR="0023416E" w:rsidRPr="00304314" w:rsidRDefault="0023416E" w:rsidP="00B0515F">
            <w:pPr>
              <w:jc w:val="center"/>
              <w:rPr>
                <w:b/>
              </w:rPr>
            </w:pPr>
            <w:r w:rsidRPr="00304314">
              <w:rPr>
                <w:b/>
              </w:rPr>
              <w:t>-</w:t>
            </w:r>
            <w:r>
              <w:rPr>
                <w:b/>
              </w:rPr>
              <w:t>216</w:t>
            </w:r>
            <w:r w:rsidR="00C37672">
              <w:rPr>
                <w:b/>
              </w:rPr>
              <w:t xml:space="preserve"> 107</w:t>
            </w:r>
          </w:p>
        </w:tc>
        <w:tc>
          <w:tcPr>
            <w:tcW w:w="1288" w:type="dxa"/>
            <w:gridSpan w:val="2"/>
            <w:vAlign w:val="center"/>
          </w:tcPr>
          <w:p w:rsidR="0023416E" w:rsidRPr="00304314" w:rsidRDefault="0023416E" w:rsidP="00B0515F">
            <w:pPr>
              <w:jc w:val="center"/>
              <w:rPr>
                <w:b/>
              </w:rPr>
            </w:pPr>
            <w:r w:rsidRPr="00304314">
              <w:rPr>
                <w:b/>
              </w:rPr>
              <w:t>-</w:t>
            </w:r>
            <w:r>
              <w:rPr>
                <w:b/>
              </w:rPr>
              <w:t>195</w:t>
            </w:r>
            <w:r w:rsidR="00C37672">
              <w:rPr>
                <w:b/>
              </w:rPr>
              <w:t xml:space="preserve"> 438</w:t>
            </w:r>
          </w:p>
        </w:tc>
      </w:tr>
      <w:tr w:rsidR="0023416E" w:rsidRPr="00304314" w:rsidTr="00B0515F">
        <w:tc>
          <w:tcPr>
            <w:tcW w:w="1878" w:type="dxa"/>
          </w:tcPr>
          <w:p w:rsidR="0023416E" w:rsidRPr="00304314" w:rsidRDefault="0023416E" w:rsidP="00B0515F">
            <w:pPr>
              <w:jc w:val="both"/>
              <w:rPr>
                <w:sz w:val="22"/>
                <w:szCs w:val="22"/>
              </w:rPr>
            </w:pPr>
            <w:r w:rsidRPr="00304314">
              <w:rPr>
                <w:sz w:val="22"/>
                <w:szCs w:val="22"/>
              </w:rPr>
              <w:t>3.1. valsts pamatbudžets</w:t>
            </w:r>
          </w:p>
        </w:tc>
        <w:tc>
          <w:tcPr>
            <w:tcW w:w="2008" w:type="dxa"/>
            <w:gridSpan w:val="3"/>
            <w:vAlign w:val="center"/>
          </w:tcPr>
          <w:p w:rsidR="0023416E" w:rsidRPr="00304314" w:rsidRDefault="0023416E" w:rsidP="00B0515F">
            <w:pPr>
              <w:jc w:val="center"/>
            </w:pPr>
            <w:r w:rsidRPr="00304314">
              <w:t>0</w:t>
            </w:r>
          </w:p>
        </w:tc>
        <w:tc>
          <w:tcPr>
            <w:tcW w:w="1263" w:type="dxa"/>
            <w:vAlign w:val="center"/>
          </w:tcPr>
          <w:p w:rsidR="0023416E" w:rsidRPr="00304314" w:rsidRDefault="0023416E" w:rsidP="00B0515F">
            <w:pPr>
              <w:jc w:val="center"/>
            </w:pPr>
            <w:r w:rsidRPr="00304314">
              <w:t>0</w:t>
            </w:r>
          </w:p>
        </w:tc>
        <w:tc>
          <w:tcPr>
            <w:tcW w:w="1619" w:type="dxa"/>
            <w:gridSpan w:val="3"/>
            <w:vAlign w:val="center"/>
          </w:tcPr>
          <w:p w:rsidR="0023416E" w:rsidRPr="00304314" w:rsidRDefault="0023416E" w:rsidP="00B0515F">
            <w:pPr>
              <w:jc w:val="center"/>
            </w:pPr>
            <w:r w:rsidRPr="00304314">
              <w:t>-</w:t>
            </w:r>
            <w:r>
              <w:t>16</w:t>
            </w:r>
            <w:r w:rsidR="00E37F37">
              <w:t>8</w:t>
            </w:r>
          </w:p>
        </w:tc>
        <w:tc>
          <w:tcPr>
            <w:tcW w:w="1440" w:type="dxa"/>
            <w:gridSpan w:val="3"/>
            <w:vAlign w:val="center"/>
          </w:tcPr>
          <w:p w:rsidR="0023416E" w:rsidRPr="00304314" w:rsidRDefault="0023416E" w:rsidP="00B0515F">
            <w:pPr>
              <w:jc w:val="center"/>
            </w:pPr>
            <w:r w:rsidRPr="00304314">
              <w:t>-</w:t>
            </w:r>
            <w:r>
              <w:t>1</w:t>
            </w:r>
            <w:r w:rsidR="00C37672">
              <w:t>49 618</w:t>
            </w:r>
          </w:p>
        </w:tc>
        <w:tc>
          <w:tcPr>
            <w:tcW w:w="1288" w:type="dxa"/>
            <w:gridSpan w:val="2"/>
            <w:vAlign w:val="center"/>
          </w:tcPr>
          <w:p w:rsidR="0023416E" w:rsidRPr="00304314" w:rsidRDefault="0023416E" w:rsidP="00B0515F">
            <w:pPr>
              <w:jc w:val="center"/>
            </w:pPr>
            <w:r w:rsidRPr="00304314">
              <w:t>-</w:t>
            </w:r>
            <w:r>
              <w:t>148</w:t>
            </w:r>
            <w:r w:rsidR="00C37672">
              <w:t xml:space="preserve"> 058</w:t>
            </w:r>
          </w:p>
        </w:tc>
      </w:tr>
      <w:tr w:rsidR="0023416E" w:rsidRPr="00304314" w:rsidTr="00B0515F">
        <w:tc>
          <w:tcPr>
            <w:tcW w:w="1878" w:type="dxa"/>
          </w:tcPr>
          <w:p w:rsidR="0023416E" w:rsidRPr="00304314" w:rsidRDefault="0023416E" w:rsidP="00B0515F">
            <w:pPr>
              <w:jc w:val="both"/>
              <w:rPr>
                <w:sz w:val="22"/>
                <w:szCs w:val="22"/>
              </w:rPr>
            </w:pPr>
            <w:r w:rsidRPr="00304314">
              <w:rPr>
                <w:sz w:val="22"/>
                <w:szCs w:val="22"/>
              </w:rPr>
              <w:t>3.2. valsts speciālais budžets</w:t>
            </w:r>
          </w:p>
        </w:tc>
        <w:tc>
          <w:tcPr>
            <w:tcW w:w="2008" w:type="dxa"/>
            <w:gridSpan w:val="3"/>
            <w:vAlign w:val="center"/>
          </w:tcPr>
          <w:p w:rsidR="0023416E" w:rsidRPr="00304314" w:rsidRDefault="0023416E" w:rsidP="00B0515F">
            <w:pPr>
              <w:jc w:val="center"/>
            </w:pPr>
            <w:r w:rsidRPr="00304314">
              <w:t>0</w:t>
            </w:r>
          </w:p>
        </w:tc>
        <w:tc>
          <w:tcPr>
            <w:tcW w:w="1263" w:type="dxa"/>
            <w:vAlign w:val="center"/>
          </w:tcPr>
          <w:p w:rsidR="0023416E" w:rsidRPr="00304314" w:rsidRDefault="0023416E" w:rsidP="00B0515F">
            <w:pPr>
              <w:jc w:val="center"/>
            </w:pPr>
            <w:r w:rsidRPr="00304314">
              <w:t>0</w:t>
            </w:r>
          </w:p>
        </w:tc>
        <w:tc>
          <w:tcPr>
            <w:tcW w:w="1619" w:type="dxa"/>
            <w:gridSpan w:val="3"/>
            <w:vAlign w:val="center"/>
          </w:tcPr>
          <w:p w:rsidR="0023416E" w:rsidRPr="00304314" w:rsidRDefault="0023416E" w:rsidP="00B0515F">
            <w:pPr>
              <w:jc w:val="center"/>
            </w:pPr>
          </w:p>
        </w:tc>
        <w:tc>
          <w:tcPr>
            <w:tcW w:w="1440" w:type="dxa"/>
            <w:gridSpan w:val="3"/>
            <w:vAlign w:val="center"/>
          </w:tcPr>
          <w:p w:rsidR="0023416E" w:rsidRPr="00304314" w:rsidRDefault="0023416E" w:rsidP="00B0515F">
            <w:pPr>
              <w:jc w:val="center"/>
            </w:pPr>
          </w:p>
        </w:tc>
        <w:tc>
          <w:tcPr>
            <w:tcW w:w="1288" w:type="dxa"/>
            <w:gridSpan w:val="2"/>
            <w:vAlign w:val="center"/>
          </w:tcPr>
          <w:p w:rsidR="0023416E" w:rsidRPr="00304314" w:rsidRDefault="0023416E" w:rsidP="00B0515F">
            <w:pPr>
              <w:jc w:val="center"/>
            </w:pPr>
          </w:p>
        </w:tc>
      </w:tr>
      <w:tr w:rsidR="0023416E" w:rsidRPr="00304314" w:rsidTr="00B0515F">
        <w:tc>
          <w:tcPr>
            <w:tcW w:w="1878" w:type="dxa"/>
          </w:tcPr>
          <w:p w:rsidR="0023416E" w:rsidRPr="00304314" w:rsidRDefault="0023416E" w:rsidP="00B0515F">
            <w:pPr>
              <w:jc w:val="both"/>
              <w:rPr>
                <w:sz w:val="22"/>
                <w:szCs w:val="22"/>
              </w:rPr>
            </w:pPr>
            <w:r w:rsidRPr="00304314">
              <w:rPr>
                <w:sz w:val="22"/>
                <w:szCs w:val="22"/>
              </w:rPr>
              <w:t>3.3. pašvaldību budžets</w:t>
            </w:r>
          </w:p>
        </w:tc>
        <w:tc>
          <w:tcPr>
            <w:tcW w:w="2008" w:type="dxa"/>
            <w:gridSpan w:val="3"/>
            <w:vAlign w:val="center"/>
          </w:tcPr>
          <w:p w:rsidR="0023416E" w:rsidRPr="00304314" w:rsidRDefault="0023416E" w:rsidP="00B0515F">
            <w:pPr>
              <w:jc w:val="center"/>
            </w:pPr>
            <w:r w:rsidRPr="00304314">
              <w:t>0</w:t>
            </w:r>
          </w:p>
        </w:tc>
        <w:tc>
          <w:tcPr>
            <w:tcW w:w="1263" w:type="dxa"/>
            <w:vAlign w:val="center"/>
          </w:tcPr>
          <w:p w:rsidR="0023416E" w:rsidRPr="00304314" w:rsidRDefault="0023416E" w:rsidP="00B0515F">
            <w:pPr>
              <w:jc w:val="center"/>
            </w:pPr>
            <w:r w:rsidRPr="00304314">
              <w:t>0</w:t>
            </w:r>
          </w:p>
        </w:tc>
        <w:tc>
          <w:tcPr>
            <w:tcW w:w="1619" w:type="dxa"/>
            <w:gridSpan w:val="3"/>
            <w:vAlign w:val="center"/>
          </w:tcPr>
          <w:p w:rsidR="0023416E" w:rsidRPr="00304314" w:rsidRDefault="0023416E" w:rsidP="00B0515F">
            <w:pPr>
              <w:jc w:val="center"/>
            </w:pPr>
            <w:r w:rsidRPr="00304314">
              <w:t>-</w:t>
            </w:r>
            <w:r>
              <w:t>60</w:t>
            </w:r>
            <w:r w:rsidR="00C37672">
              <w:t xml:space="preserve"> 248</w:t>
            </w:r>
          </w:p>
        </w:tc>
        <w:tc>
          <w:tcPr>
            <w:tcW w:w="1440" w:type="dxa"/>
            <w:gridSpan w:val="3"/>
            <w:vAlign w:val="center"/>
          </w:tcPr>
          <w:p w:rsidR="0023416E" w:rsidRPr="00304314" w:rsidRDefault="0023416E" w:rsidP="00B0515F">
            <w:pPr>
              <w:jc w:val="center"/>
            </w:pPr>
            <w:r w:rsidRPr="00304314">
              <w:t>-</w:t>
            </w:r>
            <w:r>
              <w:t>6</w:t>
            </w:r>
            <w:r w:rsidR="00C37672">
              <w:t>6 489</w:t>
            </w:r>
          </w:p>
        </w:tc>
        <w:tc>
          <w:tcPr>
            <w:tcW w:w="1288" w:type="dxa"/>
            <w:gridSpan w:val="2"/>
            <w:vAlign w:val="center"/>
          </w:tcPr>
          <w:p w:rsidR="0023416E" w:rsidRPr="00304314" w:rsidRDefault="0023416E" w:rsidP="00B0515F">
            <w:pPr>
              <w:jc w:val="center"/>
            </w:pPr>
            <w:r w:rsidRPr="00304314">
              <w:t>-</w:t>
            </w:r>
            <w:r>
              <w:t>47</w:t>
            </w:r>
            <w:r w:rsidR="00C37672">
              <w:t xml:space="preserve"> 380</w:t>
            </w:r>
          </w:p>
        </w:tc>
      </w:tr>
      <w:tr w:rsidR="0023416E" w:rsidRPr="00304314" w:rsidTr="00B0515F">
        <w:tc>
          <w:tcPr>
            <w:tcW w:w="1878" w:type="dxa"/>
          </w:tcPr>
          <w:p w:rsidR="0023416E" w:rsidRPr="00304314" w:rsidRDefault="0023416E" w:rsidP="00B0515F">
            <w:r w:rsidRPr="00304314">
              <w:rPr>
                <w:b/>
                <w:sz w:val="22"/>
                <w:szCs w:val="22"/>
              </w:rPr>
              <w:lastRenderedPageBreak/>
              <w:t>4. Finanšu līdzekļi papildu izdevumu finansēšanai (kompensējošu</w:t>
            </w:r>
            <w:r w:rsidRPr="00304314">
              <w:rPr>
                <w:sz w:val="22"/>
                <w:szCs w:val="22"/>
              </w:rPr>
              <w:t xml:space="preserve"> </w:t>
            </w:r>
            <w:r w:rsidRPr="00304314">
              <w:rPr>
                <w:b/>
                <w:sz w:val="22"/>
                <w:szCs w:val="22"/>
              </w:rPr>
              <w:t>izdevumu samazinājumu norāda ar „+” zīmi)</w:t>
            </w:r>
          </w:p>
        </w:tc>
        <w:tc>
          <w:tcPr>
            <w:tcW w:w="1994" w:type="dxa"/>
            <w:gridSpan w:val="2"/>
            <w:vAlign w:val="center"/>
          </w:tcPr>
          <w:p w:rsidR="0023416E" w:rsidRPr="00304314" w:rsidRDefault="0023416E" w:rsidP="00B0515F">
            <w:pPr>
              <w:jc w:val="center"/>
            </w:pPr>
            <w:r>
              <w:t>x</w:t>
            </w:r>
          </w:p>
        </w:tc>
        <w:tc>
          <w:tcPr>
            <w:tcW w:w="1277" w:type="dxa"/>
            <w:gridSpan w:val="2"/>
            <w:vAlign w:val="center"/>
          </w:tcPr>
          <w:p w:rsidR="0023416E" w:rsidRPr="00304314" w:rsidRDefault="0023416E" w:rsidP="00B0515F">
            <w:pPr>
              <w:jc w:val="center"/>
            </w:pPr>
            <w:r w:rsidRPr="00304314">
              <w:t>0</w:t>
            </w:r>
          </w:p>
        </w:tc>
        <w:tc>
          <w:tcPr>
            <w:tcW w:w="1628" w:type="dxa"/>
            <w:gridSpan w:val="4"/>
            <w:vAlign w:val="center"/>
          </w:tcPr>
          <w:p w:rsidR="0023416E" w:rsidRPr="00304314" w:rsidRDefault="0023416E" w:rsidP="00B0515F">
            <w:pPr>
              <w:jc w:val="center"/>
            </w:pPr>
            <w:r w:rsidRPr="00304314">
              <w:t>0</w:t>
            </w:r>
          </w:p>
        </w:tc>
        <w:tc>
          <w:tcPr>
            <w:tcW w:w="1440" w:type="dxa"/>
            <w:gridSpan w:val="3"/>
            <w:vAlign w:val="center"/>
          </w:tcPr>
          <w:p w:rsidR="0023416E" w:rsidRPr="00304314" w:rsidRDefault="0023416E" w:rsidP="00B0515F">
            <w:pPr>
              <w:jc w:val="center"/>
            </w:pPr>
            <w:r w:rsidRPr="00304314">
              <w:t>0</w:t>
            </w:r>
          </w:p>
        </w:tc>
        <w:tc>
          <w:tcPr>
            <w:tcW w:w="1279" w:type="dxa"/>
            <w:vAlign w:val="center"/>
          </w:tcPr>
          <w:p w:rsidR="0023416E" w:rsidRPr="00304314" w:rsidRDefault="0023416E" w:rsidP="00B0515F">
            <w:pPr>
              <w:jc w:val="center"/>
            </w:pPr>
            <w:r w:rsidRPr="00304314">
              <w:t>0</w:t>
            </w:r>
          </w:p>
        </w:tc>
      </w:tr>
      <w:tr w:rsidR="0023416E" w:rsidRPr="00304314" w:rsidTr="00B0515F">
        <w:tc>
          <w:tcPr>
            <w:tcW w:w="1878" w:type="dxa"/>
          </w:tcPr>
          <w:p w:rsidR="0023416E" w:rsidRPr="00304314" w:rsidRDefault="0023416E" w:rsidP="00B0515F">
            <w:pPr>
              <w:rPr>
                <w:b/>
              </w:rPr>
            </w:pPr>
            <w:r w:rsidRPr="00304314">
              <w:rPr>
                <w:b/>
                <w:sz w:val="22"/>
                <w:szCs w:val="22"/>
              </w:rPr>
              <w:t>5. Precizēta finansiālā ietekme:</w:t>
            </w:r>
          </w:p>
        </w:tc>
        <w:tc>
          <w:tcPr>
            <w:tcW w:w="1994" w:type="dxa"/>
            <w:gridSpan w:val="2"/>
            <w:vMerge w:val="restart"/>
            <w:vAlign w:val="center"/>
          </w:tcPr>
          <w:p w:rsidR="0023416E" w:rsidRPr="007578D4" w:rsidRDefault="0023416E" w:rsidP="00B0515F">
            <w:pPr>
              <w:jc w:val="center"/>
            </w:pPr>
            <w:r>
              <w:t>x</w:t>
            </w:r>
          </w:p>
        </w:tc>
        <w:tc>
          <w:tcPr>
            <w:tcW w:w="1277" w:type="dxa"/>
            <w:gridSpan w:val="2"/>
            <w:vMerge w:val="restart"/>
            <w:shd w:val="clear" w:color="auto" w:fill="auto"/>
            <w:vAlign w:val="center"/>
          </w:tcPr>
          <w:p w:rsidR="0023416E" w:rsidRPr="00304314" w:rsidRDefault="0023416E" w:rsidP="00B0515F">
            <w:pPr>
              <w:jc w:val="center"/>
            </w:pPr>
            <w:r w:rsidRPr="00304314">
              <w:t>0</w:t>
            </w:r>
          </w:p>
        </w:tc>
        <w:tc>
          <w:tcPr>
            <w:tcW w:w="1628" w:type="dxa"/>
            <w:gridSpan w:val="4"/>
            <w:vMerge w:val="restart"/>
            <w:shd w:val="clear" w:color="auto" w:fill="auto"/>
            <w:vAlign w:val="center"/>
          </w:tcPr>
          <w:p w:rsidR="0023416E" w:rsidRPr="00304314" w:rsidRDefault="0023416E" w:rsidP="00B0515F">
            <w:pPr>
              <w:jc w:val="center"/>
            </w:pPr>
            <w:r w:rsidRPr="00304314">
              <w:t>0</w:t>
            </w:r>
          </w:p>
        </w:tc>
        <w:tc>
          <w:tcPr>
            <w:tcW w:w="1440" w:type="dxa"/>
            <w:gridSpan w:val="3"/>
            <w:vMerge w:val="restart"/>
            <w:shd w:val="clear" w:color="auto" w:fill="auto"/>
            <w:vAlign w:val="center"/>
          </w:tcPr>
          <w:p w:rsidR="0023416E" w:rsidRPr="00304314" w:rsidRDefault="0023416E" w:rsidP="00B0515F">
            <w:pPr>
              <w:jc w:val="center"/>
            </w:pPr>
            <w:r w:rsidRPr="00304314">
              <w:t>0</w:t>
            </w:r>
          </w:p>
        </w:tc>
        <w:tc>
          <w:tcPr>
            <w:tcW w:w="1279" w:type="dxa"/>
            <w:vMerge w:val="restart"/>
            <w:shd w:val="clear" w:color="auto" w:fill="auto"/>
            <w:vAlign w:val="center"/>
          </w:tcPr>
          <w:p w:rsidR="0023416E" w:rsidRPr="00304314" w:rsidRDefault="0023416E" w:rsidP="00B0515F">
            <w:pPr>
              <w:jc w:val="center"/>
            </w:pPr>
            <w:r w:rsidRPr="00304314">
              <w:t>0</w:t>
            </w:r>
          </w:p>
        </w:tc>
      </w:tr>
      <w:tr w:rsidR="0023416E" w:rsidRPr="00304314" w:rsidTr="00B0515F">
        <w:tc>
          <w:tcPr>
            <w:tcW w:w="1878" w:type="dxa"/>
          </w:tcPr>
          <w:p w:rsidR="0023416E" w:rsidRPr="00304314" w:rsidRDefault="0023416E" w:rsidP="00B0515F">
            <w:pPr>
              <w:jc w:val="both"/>
              <w:rPr>
                <w:sz w:val="22"/>
                <w:szCs w:val="22"/>
              </w:rPr>
            </w:pPr>
            <w:r w:rsidRPr="00304314">
              <w:rPr>
                <w:sz w:val="22"/>
                <w:szCs w:val="22"/>
              </w:rPr>
              <w:t>5.1. valsts pamatbudžets</w:t>
            </w:r>
          </w:p>
        </w:tc>
        <w:tc>
          <w:tcPr>
            <w:tcW w:w="1994" w:type="dxa"/>
            <w:gridSpan w:val="2"/>
            <w:vMerge/>
          </w:tcPr>
          <w:p w:rsidR="0023416E" w:rsidRPr="00304314" w:rsidRDefault="0023416E" w:rsidP="00B0515F">
            <w:pPr>
              <w:jc w:val="center"/>
            </w:pPr>
          </w:p>
        </w:tc>
        <w:tc>
          <w:tcPr>
            <w:tcW w:w="1277" w:type="dxa"/>
            <w:gridSpan w:val="2"/>
            <w:vMerge/>
            <w:shd w:val="clear" w:color="auto" w:fill="auto"/>
            <w:vAlign w:val="center"/>
          </w:tcPr>
          <w:p w:rsidR="0023416E" w:rsidRPr="00304314" w:rsidRDefault="0023416E" w:rsidP="00B0515F">
            <w:pPr>
              <w:jc w:val="center"/>
            </w:pPr>
          </w:p>
        </w:tc>
        <w:tc>
          <w:tcPr>
            <w:tcW w:w="1628" w:type="dxa"/>
            <w:gridSpan w:val="4"/>
            <w:vMerge/>
            <w:shd w:val="clear" w:color="auto" w:fill="auto"/>
            <w:vAlign w:val="center"/>
          </w:tcPr>
          <w:p w:rsidR="0023416E" w:rsidRPr="00304314" w:rsidRDefault="0023416E" w:rsidP="00B0515F">
            <w:pPr>
              <w:jc w:val="center"/>
            </w:pPr>
          </w:p>
        </w:tc>
        <w:tc>
          <w:tcPr>
            <w:tcW w:w="1440" w:type="dxa"/>
            <w:gridSpan w:val="3"/>
            <w:vMerge/>
            <w:shd w:val="clear" w:color="auto" w:fill="auto"/>
            <w:vAlign w:val="center"/>
          </w:tcPr>
          <w:p w:rsidR="0023416E" w:rsidRPr="00304314" w:rsidRDefault="0023416E" w:rsidP="00B0515F">
            <w:pPr>
              <w:jc w:val="center"/>
            </w:pPr>
          </w:p>
        </w:tc>
        <w:tc>
          <w:tcPr>
            <w:tcW w:w="1279" w:type="dxa"/>
            <w:vMerge/>
            <w:shd w:val="clear" w:color="auto" w:fill="auto"/>
            <w:vAlign w:val="center"/>
          </w:tcPr>
          <w:p w:rsidR="0023416E" w:rsidRPr="00304314" w:rsidRDefault="0023416E" w:rsidP="00B0515F">
            <w:pPr>
              <w:jc w:val="center"/>
            </w:pPr>
          </w:p>
        </w:tc>
      </w:tr>
      <w:tr w:rsidR="0023416E" w:rsidRPr="00304314" w:rsidTr="00B0515F">
        <w:tc>
          <w:tcPr>
            <w:tcW w:w="1878" w:type="dxa"/>
          </w:tcPr>
          <w:p w:rsidR="0023416E" w:rsidRPr="00304314" w:rsidRDefault="0023416E" w:rsidP="00B0515F">
            <w:pPr>
              <w:jc w:val="both"/>
              <w:rPr>
                <w:sz w:val="22"/>
                <w:szCs w:val="22"/>
              </w:rPr>
            </w:pPr>
            <w:r w:rsidRPr="00304314">
              <w:rPr>
                <w:sz w:val="22"/>
                <w:szCs w:val="22"/>
              </w:rPr>
              <w:t>5.2. speciālais budžets</w:t>
            </w:r>
          </w:p>
        </w:tc>
        <w:tc>
          <w:tcPr>
            <w:tcW w:w="7618" w:type="dxa"/>
            <w:gridSpan w:val="12"/>
            <w:vMerge w:val="restart"/>
          </w:tcPr>
          <w:p w:rsidR="0023416E" w:rsidRPr="00304314" w:rsidRDefault="0023416E" w:rsidP="00B0515F">
            <w:pPr>
              <w:jc w:val="center"/>
              <w:rPr>
                <w:sz w:val="22"/>
                <w:szCs w:val="22"/>
              </w:rPr>
            </w:pPr>
            <w:r w:rsidRPr="00304314">
              <w:rPr>
                <w:sz w:val="22"/>
                <w:szCs w:val="22"/>
              </w:rPr>
              <w:t>Noteikumu projekts šo jomu neskar.</w:t>
            </w:r>
          </w:p>
        </w:tc>
      </w:tr>
      <w:tr w:rsidR="0023416E" w:rsidRPr="00304314" w:rsidTr="00B0515F">
        <w:tc>
          <w:tcPr>
            <w:tcW w:w="1878" w:type="dxa"/>
          </w:tcPr>
          <w:p w:rsidR="0023416E" w:rsidRPr="00304314" w:rsidRDefault="0023416E" w:rsidP="00B0515F">
            <w:pPr>
              <w:jc w:val="both"/>
              <w:rPr>
                <w:sz w:val="22"/>
                <w:szCs w:val="22"/>
              </w:rPr>
            </w:pPr>
            <w:r w:rsidRPr="00304314">
              <w:rPr>
                <w:sz w:val="22"/>
                <w:szCs w:val="22"/>
              </w:rPr>
              <w:t xml:space="preserve">5.3. pašvaldību budžets </w:t>
            </w:r>
          </w:p>
        </w:tc>
        <w:tc>
          <w:tcPr>
            <w:tcW w:w="7618" w:type="dxa"/>
            <w:gridSpan w:val="12"/>
            <w:vMerge/>
          </w:tcPr>
          <w:p w:rsidR="0023416E" w:rsidRPr="00304314" w:rsidRDefault="0023416E" w:rsidP="00B0515F">
            <w:pPr>
              <w:jc w:val="center"/>
              <w:rPr>
                <w:sz w:val="22"/>
                <w:szCs w:val="22"/>
              </w:rPr>
            </w:pPr>
          </w:p>
        </w:tc>
      </w:tr>
      <w:tr w:rsidR="0023416E" w:rsidRPr="00304314" w:rsidTr="00B0515F">
        <w:tc>
          <w:tcPr>
            <w:tcW w:w="2518" w:type="dxa"/>
            <w:gridSpan w:val="2"/>
          </w:tcPr>
          <w:p w:rsidR="0023416E" w:rsidRPr="00304314" w:rsidRDefault="0023416E" w:rsidP="00B0515F">
            <w:pPr>
              <w:spacing w:before="120" w:after="120"/>
              <w:jc w:val="both"/>
              <w:rPr>
                <w:b/>
                <w:sz w:val="22"/>
                <w:szCs w:val="22"/>
              </w:rPr>
            </w:pPr>
            <w:r w:rsidRPr="00304314">
              <w:rPr>
                <w:b/>
                <w:sz w:val="22"/>
                <w:szCs w:val="22"/>
              </w:rPr>
              <w:t>6. Detalizēts ieņēmumu un izdevumu aprēķins (ja nepieciešams, detalizētu ieņēmumu un izdevumu aprēķinu var pievienot anotācijas pielikumā):</w:t>
            </w:r>
          </w:p>
        </w:tc>
        <w:tc>
          <w:tcPr>
            <w:tcW w:w="6978" w:type="dxa"/>
            <w:gridSpan w:val="11"/>
            <w:vMerge w:val="restart"/>
          </w:tcPr>
          <w:p w:rsidR="0023416E" w:rsidRPr="00E37F37" w:rsidRDefault="00542BDD" w:rsidP="0023416E">
            <w:pPr>
              <w:autoSpaceDE w:val="0"/>
              <w:autoSpaceDN w:val="0"/>
              <w:jc w:val="both"/>
            </w:pPr>
            <w:r>
              <w:rPr>
                <w:bCs/>
              </w:rPr>
              <w:t>Atbilstoši MK noteikumu projektam</w:t>
            </w:r>
            <w:r w:rsidR="0023416E" w:rsidRPr="00E37F37">
              <w:t xml:space="preserve"> </w:t>
            </w:r>
            <w:r w:rsidR="0047254C" w:rsidRPr="00E37F37">
              <w:t>Izglītības k</w:t>
            </w:r>
            <w:r w:rsidR="0023416E" w:rsidRPr="00E37F37">
              <w:t xml:space="preserve">valitātes </w:t>
            </w:r>
            <w:r w:rsidR="0047254C" w:rsidRPr="00E37F37">
              <w:t xml:space="preserve">valsts </w:t>
            </w:r>
            <w:r w:rsidR="0023416E" w:rsidRPr="00E37F37">
              <w:t xml:space="preserve">dienestam tiek deleģēta </w:t>
            </w:r>
            <w:r w:rsidR="0047254C" w:rsidRPr="00E37F37">
              <w:t xml:space="preserve">papildu </w:t>
            </w:r>
            <w:r w:rsidR="0023416E" w:rsidRPr="00E37F37">
              <w:t xml:space="preserve">jauna funkcija  - nodrošināt valsts un pašvaldību izglītības iestāžu (izņemot augstskolas un koledžas) vadītāju profesionālās darbības novērtēšanu. </w:t>
            </w:r>
          </w:p>
          <w:p w:rsidR="00E1500C" w:rsidRPr="00E37F37" w:rsidRDefault="00E1500C" w:rsidP="00E1500C">
            <w:pPr>
              <w:jc w:val="both"/>
            </w:pPr>
            <w:r w:rsidRPr="00E37F37">
              <w:t xml:space="preserve">10 amata vietas ir nepieciešamas, lai noteiktu vienotus principus izglītības iestādes vadītāja </w:t>
            </w:r>
            <w:proofErr w:type="spellStart"/>
            <w:r w:rsidRPr="00E37F37">
              <w:t>pašvērtēšanas</w:t>
            </w:r>
            <w:proofErr w:type="spellEnd"/>
            <w:r w:rsidRPr="00E37F37">
              <w:t xml:space="preserve"> sistēmas izveidei, izstrādāt vienotus kritērijus izglītības iestādes vadītāja darbības kvalitātes novērtēšanai, t.sk. </w:t>
            </w:r>
            <w:proofErr w:type="spellStart"/>
            <w:r w:rsidRPr="00E37F37">
              <w:t>pašvērtēšanu</w:t>
            </w:r>
            <w:proofErr w:type="spellEnd"/>
            <w:r w:rsidRPr="00E37F37">
              <w:t xml:space="preserve">, atbilstoši profesiju standartos ietvertajām zināšanām un kompetencēm, izstrādāt izglītības iestādes vadītāja darbības kvalitātes novērtēšanas metodiku un pilnveidot tiesisko regulējumu. Papildus finansējums nepieciešams, lai nodrošinātu kvalitātes novērtēšanas ekspertu izglītošanu vienotas izpratnes veidošanai par izglītības iestāžu vadītāju darbības kvalitātes vērtēšanas principiem, veicinot vienotu pieeju kvalitātes vērtēšanā un nodrošinot vienotu vērtēšanas kritēriju piemērošanu. </w:t>
            </w:r>
          </w:p>
          <w:p w:rsidR="0023416E" w:rsidRPr="00E37F37" w:rsidRDefault="0047254C" w:rsidP="003D638D">
            <w:pPr>
              <w:ind w:firstLine="360"/>
              <w:jc w:val="both"/>
            </w:pPr>
            <w:r w:rsidRPr="00E37F37">
              <w:rPr>
                <w:iCs/>
              </w:rPr>
              <w:t>MK</w:t>
            </w:r>
            <w:r w:rsidR="0023416E" w:rsidRPr="00E37F37">
              <w:rPr>
                <w:iCs/>
              </w:rPr>
              <w:t xml:space="preserve"> noteikumu projektā paredzēts, ka </w:t>
            </w:r>
            <w:r w:rsidR="0023416E" w:rsidRPr="00E37F37">
              <w:t xml:space="preserve">izglītības iestāžu vadītāju profesionālās darbības vērtēšanā Ekspertu komisijas sastāvā ietilpst arī </w:t>
            </w:r>
            <w:r w:rsidRPr="00E37F37">
              <w:t>Izglītības k</w:t>
            </w:r>
            <w:r w:rsidR="0023416E" w:rsidRPr="00E37F37">
              <w:t xml:space="preserve">valitātes </w:t>
            </w:r>
            <w:r w:rsidRPr="00E37F37">
              <w:t xml:space="preserve">valsts </w:t>
            </w:r>
            <w:r w:rsidR="0023416E" w:rsidRPr="00E37F37">
              <w:t xml:space="preserve">dienesta un izglītības iestādes dibinātāja pārstāvis. Izglītības iestāžu un izglītības programmu kvalitātes vērtēšanā šobrīd piedalās citu izglītības iestāžu vadītāji un metodiķi. Vērtēšanas procesa </w:t>
            </w:r>
            <w:proofErr w:type="spellStart"/>
            <w:r w:rsidR="0023416E" w:rsidRPr="00E37F37">
              <w:t>pārredzamības</w:t>
            </w:r>
            <w:proofErr w:type="spellEnd"/>
            <w:r w:rsidR="0023416E" w:rsidRPr="00E37F37">
              <w:t xml:space="preserve"> un objektivitātes aspektā, kā arī lai nodrošinātu korektu un vienlīdzīgu metodikas piemērošanu izglītības iestāžu vadītāju profesionālās darbības vērtēšanā nepieciešams iekļaut neitrālas un izglītības kvalitātes monitoringu nodrošināšanas iestādes – </w:t>
            </w:r>
            <w:r w:rsidRPr="00E37F37">
              <w:t xml:space="preserve">Izglītības </w:t>
            </w:r>
            <w:r w:rsidR="0023416E" w:rsidRPr="00E37F37">
              <w:t>kvalitātes</w:t>
            </w:r>
            <w:r w:rsidRPr="00E37F37">
              <w:t xml:space="preserve"> valsts</w:t>
            </w:r>
            <w:r w:rsidR="0023416E" w:rsidRPr="00E37F37">
              <w:t xml:space="preserve"> dienesta – pārstāvi.</w:t>
            </w:r>
            <w:r w:rsidR="00E1500C" w:rsidRPr="00E37F37">
              <w:t xml:space="preserve"> Papildus Izglītības kvalitātes valsts dienests vērtēs arī pirmsskolas izglītības iestāžu vadītājus, kuri nebija iekļauti akreditācijas procesā. Pirmsskolas izglītības iestādes ir jauna joma, kura nāk kā papildus slogs Izglītības kvalitātes valsts dienesta lielam darba apjomam klāt. </w:t>
            </w:r>
            <w:r w:rsidRPr="00E37F37">
              <w:t xml:space="preserve"> </w:t>
            </w:r>
            <w:r w:rsidR="0023416E" w:rsidRPr="00E37F37">
              <w:t xml:space="preserve">Lai nodrošinātu katru gadu provizoriski 320 valsts un pašvaldību izglītības iestāžu </w:t>
            </w:r>
            <w:r w:rsidR="0023416E" w:rsidRPr="00E37F37">
              <w:lastRenderedPageBreak/>
              <w:t>vadītāju profesionālās darbības novērtēšanu gadā, piedaloties valsts pārstāvjiem, nepieciešams papildus finansējums, t.sk. papildu personāla un materiāltehnisko resursu piesaistei:</w:t>
            </w:r>
          </w:p>
          <w:p w:rsidR="0023416E" w:rsidRPr="00E37F37" w:rsidRDefault="0023416E" w:rsidP="00B0515F">
            <w:pPr>
              <w:jc w:val="both"/>
            </w:pPr>
            <w:r w:rsidRPr="00E37F37">
              <w:rPr>
                <w:b/>
              </w:rPr>
              <w:t>2015.gadā</w:t>
            </w:r>
            <w:r w:rsidRPr="00E37F37">
              <w:t xml:space="preserve"> budžeta izdevumi </w:t>
            </w:r>
            <w:r w:rsidRPr="00E37F37">
              <w:rPr>
                <w:b/>
                <w:u w:val="single"/>
              </w:rPr>
              <w:t>227 756</w:t>
            </w:r>
            <w:r w:rsidRPr="00E37F37">
              <w:t xml:space="preserve"> </w:t>
            </w:r>
            <w:proofErr w:type="spellStart"/>
            <w:r w:rsidRPr="00E37F37">
              <w:t>euro</w:t>
            </w:r>
            <w:proofErr w:type="spellEnd"/>
            <w:r w:rsidRPr="00E37F37">
              <w:t xml:space="preserve"> apmērā, </w:t>
            </w:r>
          </w:p>
          <w:p w:rsidR="0023416E" w:rsidRPr="00E37F37" w:rsidRDefault="0023416E" w:rsidP="00B0515F">
            <w:pPr>
              <w:jc w:val="both"/>
            </w:pPr>
            <w:r w:rsidRPr="00E37F37">
              <w:t xml:space="preserve">tajā skaitā </w:t>
            </w:r>
            <w:r w:rsidRPr="00E37F37">
              <w:rPr>
                <w:b/>
                <w:u w:val="single"/>
              </w:rPr>
              <w:t>161 463</w:t>
            </w:r>
            <w:r w:rsidRPr="00E37F37">
              <w:t xml:space="preserve"> </w:t>
            </w:r>
            <w:proofErr w:type="spellStart"/>
            <w:r w:rsidRPr="00E37F37">
              <w:t>euro</w:t>
            </w:r>
            <w:proofErr w:type="spellEnd"/>
            <w:r w:rsidRPr="00E37F37">
              <w:t xml:space="preserve"> apmērā valsts pamatbudžetā:</w:t>
            </w:r>
          </w:p>
          <w:p w:rsidR="0023416E" w:rsidRPr="00E37F37" w:rsidRDefault="0023416E" w:rsidP="00B0515F">
            <w:pPr>
              <w:jc w:val="both"/>
              <w:rPr>
                <w:u w:val="single"/>
              </w:rPr>
            </w:pPr>
            <w:r w:rsidRPr="00E37F37">
              <w:t xml:space="preserve">10 vecākā eksperta amata vietas (35.saime, II līmenis, 9.algu grupa, 2.kategorijas maksimums 870 EUR) ar atalgojumu gadā: 10 </w:t>
            </w:r>
            <w:proofErr w:type="spellStart"/>
            <w:r w:rsidRPr="00E37F37">
              <w:t>v.eksp.x</w:t>
            </w:r>
            <w:proofErr w:type="spellEnd"/>
            <w:r w:rsidRPr="00E37F37">
              <w:t xml:space="preserve"> 870 EUR x 12 </w:t>
            </w:r>
            <w:proofErr w:type="spellStart"/>
            <w:r w:rsidRPr="00E37F37">
              <w:t>mēn</w:t>
            </w:r>
            <w:proofErr w:type="spellEnd"/>
            <w:r w:rsidRPr="00E37F37">
              <w:t xml:space="preserve">. = 104 400 EUR, darba devēja VSAOI – 24 628 EUR. Atlīdzība kopā gadā: </w:t>
            </w:r>
            <w:r w:rsidRPr="00E37F37">
              <w:rPr>
                <w:u w:val="single"/>
              </w:rPr>
              <w:t>129 028 EUR</w:t>
            </w:r>
            <w:r w:rsidRPr="00E37F37">
              <w:t xml:space="preserve">. Izdevumi par pakalpojumiem un precēm aprēķināti balstoties uz jau esošo izdevumu bāzes gada griezumā vienam cilvēkam, kā arī ņemot vērā sasniedzamos rezultātus: sakaru pakalpojumi un internets  4 440 EUR, administratīvie izdevumi 1 710 EUR, telpu uzturēšana (komunālie) 1 880 EUR, telpu noma 5 635 EUR, izdevumi par kancelejas un saimnieciskajiem materiāliem 3 415 EUR. Preces un pakalpojumi  kopā </w:t>
            </w:r>
            <w:r w:rsidRPr="00E37F37">
              <w:rPr>
                <w:u w:val="single"/>
              </w:rPr>
              <w:t>17 080 EUR.</w:t>
            </w:r>
            <w:r w:rsidRPr="00E37F37">
              <w:t xml:space="preserve">  Inventārs darba vietu iekārtošanai: monitors (10 gab.) 2 135 EUR, biroja krēsls (10 gab.) 640 EUR, atvilktņu bloks (10 gab.) 925 EUR, biroja galds (10 gab.) 1 920 EUR, dokumentu plaukts (10 gab.) 640 EUR, drēbju skapis (6 gab.) 1 170 EUR, apmeklētāju krēsls (10 gab.) 280 EUR, galda lampa (10 gab.) 425 EUR, telefona aparāti (</w:t>
            </w:r>
            <w:proofErr w:type="spellStart"/>
            <w:r w:rsidRPr="00E37F37">
              <w:t>stacionarie</w:t>
            </w:r>
            <w:proofErr w:type="spellEnd"/>
            <w:r w:rsidRPr="00E37F37">
              <w:t xml:space="preserve">, mobilie) 710 EUR, printeris (5 gab.) 1 000 EUR. Inventārs kopā </w:t>
            </w:r>
            <w:r w:rsidRPr="00E37F37">
              <w:rPr>
                <w:u w:val="single"/>
              </w:rPr>
              <w:t>9 845 EUR.</w:t>
            </w:r>
            <w:r w:rsidRPr="00E37F37">
              <w:t xml:space="preserve"> Pamatlīdzekļi darba vietu iekārtošanai: portatīvais dators (1 gab.) 600 EUR, stacionārais dators (10 gab.) 4 410 EUR, projektors (1 gab.) 500 EUR. Pamatlīdzekļi kopā </w:t>
            </w:r>
            <w:r w:rsidRPr="00E37F37">
              <w:rPr>
                <w:u w:val="single"/>
              </w:rPr>
              <w:t>5 510 EUR;</w:t>
            </w:r>
          </w:p>
          <w:p w:rsidR="0023416E" w:rsidRPr="00E37F37" w:rsidRDefault="0023416E" w:rsidP="00B0515F">
            <w:pPr>
              <w:jc w:val="both"/>
            </w:pPr>
            <w:r w:rsidRPr="00E37F37">
              <w:t xml:space="preserve">tajā skaitā </w:t>
            </w:r>
            <w:r w:rsidRPr="00E37F37">
              <w:rPr>
                <w:b/>
                <w:u w:val="single"/>
              </w:rPr>
              <w:t>6 045</w:t>
            </w:r>
            <w:r w:rsidRPr="00E37F37">
              <w:t xml:space="preserve"> </w:t>
            </w:r>
            <w:proofErr w:type="spellStart"/>
            <w:r w:rsidRPr="00E37F37">
              <w:t>euro</w:t>
            </w:r>
            <w:proofErr w:type="spellEnd"/>
            <w:r w:rsidRPr="00E37F37">
              <w:t xml:space="preserve"> apmērā valsts pamatbudžetā:</w:t>
            </w:r>
          </w:p>
          <w:p w:rsidR="0023416E" w:rsidRPr="00E37F37" w:rsidRDefault="0023416E" w:rsidP="00B0515F">
            <w:pPr>
              <w:jc w:val="both"/>
            </w:pPr>
            <w:r w:rsidRPr="00E37F37">
              <w:t xml:space="preserve">atlīdzība ekspertam par direktora vērtēšanu 111.38 EUR (40.5 h x 2.75 EUR/h, t.i. 1h likme kopā ar DD VSAOI 23.59%) x 31 plānotās vērtēšanas = </w:t>
            </w:r>
            <w:r w:rsidRPr="00E37F37">
              <w:rPr>
                <w:u w:val="single"/>
              </w:rPr>
              <w:t>3 453 EUR</w:t>
            </w:r>
            <w:r w:rsidRPr="00E37F37">
              <w:t xml:space="preserve">, t.sk. atalgojums ekspertam – 2 794 EUR un darba devēja VSAOI – 659 EUR. Izdevumi par pakalpojumiem, ņemot vērā sasniedzamos rezultātus: komandējuma dienas naudas izdevumi 372 EUR, viesnīcas izdevumi 1 333 EUR, ceļa izdevumi 887 EUR. Pakalpojumi kopā: </w:t>
            </w:r>
            <w:r w:rsidRPr="00E37F37">
              <w:rPr>
                <w:u w:val="single"/>
              </w:rPr>
              <w:t>2 592 EUR;</w:t>
            </w:r>
          </w:p>
          <w:p w:rsidR="0023416E" w:rsidRPr="00E37F37" w:rsidRDefault="0023416E" w:rsidP="00B0515F">
            <w:pPr>
              <w:jc w:val="both"/>
            </w:pPr>
            <w:r w:rsidRPr="00E37F37">
              <w:t xml:space="preserve">tajā skaitā </w:t>
            </w:r>
            <w:r w:rsidRPr="00E37F37">
              <w:rPr>
                <w:b/>
                <w:u w:val="single"/>
              </w:rPr>
              <w:t>60 248</w:t>
            </w:r>
            <w:r w:rsidRPr="00E37F37">
              <w:t xml:space="preserve"> </w:t>
            </w:r>
            <w:proofErr w:type="spellStart"/>
            <w:r w:rsidRPr="00E37F37">
              <w:t>euro</w:t>
            </w:r>
            <w:proofErr w:type="spellEnd"/>
            <w:r w:rsidRPr="00E37F37">
              <w:t xml:space="preserve"> apmērā pašvaldību budžetā:</w:t>
            </w:r>
          </w:p>
          <w:p w:rsidR="0023416E" w:rsidRPr="00E37F37" w:rsidRDefault="0023416E" w:rsidP="00B0515F">
            <w:pPr>
              <w:jc w:val="both"/>
            </w:pPr>
            <w:r w:rsidRPr="00E37F37">
              <w:t xml:space="preserve">atlīdzība ekspertam par direktora vērtēšanu 111.38 EUR (40.5 h x 2.75 EUR/h, t.i. 1h likme kopā ar DD VSAOI 23.59%) x 309 plānotās vērtēšanas = </w:t>
            </w:r>
            <w:r w:rsidRPr="00E37F37">
              <w:rPr>
                <w:u w:val="single"/>
              </w:rPr>
              <w:t>34 416 EUR</w:t>
            </w:r>
            <w:r w:rsidRPr="00E37F37">
              <w:t xml:space="preserve">, t.sk. atalgojums ekspertam – 27 847 EUR un darba devēja VSAOI – 6 569 EUR. Izdevumi par pakalpojumiem, ņemot vērā sasniedzamos rezultātus: komandējuma dienas naudas izdevumi 3 708 EUR, viesnīcas izdevumi 13 287 EUR, ceļa izdevumi 8 837 EUR. Pakalpojumi kopā: </w:t>
            </w:r>
            <w:r w:rsidRPr="00E37F37">
              <w:rPr>
                <w:u w:val="single"/>
              </w:rPr>
              <w:t>25 832 EUR.</w:t>
            </w:r>
          </w:p>
          <w:p w:rsidR="0023416E" w:rsidRPr="00E37F37" w:rsidRDefault="0023416E" w:rsidP="00B0515F">
            <w:pPr>
              <w:jc w:val="both"/>
            </w:pPr>
            <w:r w:rsidRPr="00E37F37">
              <w:rPr>
                <w:b/>
              </w:rPr>
              <w:t>2016.gadā</w:t>
            </w:r>
            <w:r w:rsidRPr="00E37F37">
              <w:t xml:space="preserve"> budžeta izdevumi </w:t>
            </w:r>
            <w:r w:rsidRPr="00E37F37">
              <w:rPr>
                <w:b/>
                <w:u w:val="single"/>
              </w:rPr>
              <w:t>216 107</w:t>
            </w:r>
            <w:r w:rsidRPr="00E37F37">
              <w:t xml:space="preserve"> </w:t>
            </w:r>
            <w:proofErr w:type="spellStart"/>
            <w:r w:rsidRPr="00E37F37">
              <w:t>euro</w:t>
            </w:r>
            <w:proofErr w:type="spellEnd"/>
            <w:r w:rsidRPr="00E37F37">
              <w:t xml:space="preserve"> apmērā, </w:t>
            </w:r>
          </w:p>
          <w:p w:rsidR="0023416E" w:rsidRPr="00E37F37" w:rsidRDefault="0023416E" w:rsidP="00B0515F">
            <w:pPr>
              <w:jc w:val="both"/>
            </w:pPr>
            <w:r w:rsidRPr="00E37F37">
              <w:t xml:space="preserve">tajā skaitā </w:t>
            </w:r>
            <w:r w:rsidRPr="00E37F37">
              <w:rPr>
                <w:b/>
                <w:u w:val="single"/>
              </w:rPr>
              <w:t>146 108</w:t>
            </w:r>
            <w:r w:rsidRPr="00E37F37">
              <w:t xml:space="preserve"> </w:t>
            </w:r>
            <w:proofErr w:type="spellStart"/>
            <w:r w:rsidRPr="00E37F37">
              <w:t>euro</w:t>
            </w:r>
            <w:proofErr w:type="spellEnd"/>
            <w:r w:rsidRPr="00E37F37">
              <w:t xml:space="preserve"> apmērā valsts pamatbudžetā:</w:t>
            </w:r>
          </w:p>
          <w:p w:rsidR="0023416E" w:rsidRPr="00E37F37" w:rsidRDefault="0023416E" w:rsidP="00B0515F">
            <w:pPr>
              <w:jc w:val="both"/>
              <w:rPr>
                <w:u w:val="single"/>
              </w:rPr>
            </w:pPr>
            <w:r w:rsidRPr="00E37F37">
              <w:t xml:space="preserve">10 vecākā eksperta amata vietas (35.saime, II līmenis, 9.algu grupa, 2.kategorijas maksimums 870 EUR) ar atalgojumu gadā: 10 </w:t>
            </w:r>
            <w:proofErr w:type="spellStart"/>
            <w:r w:rsidRPr="00E37F37">
              <w:t>v.eksp.x</w:t>
            </w:r>
            <w:proofErr w:type="spellEnd"/>
            <w:r w:rsidRPr="00E37F37">
              <w:t xml:space="preserve"> 870 EUR x 12 </w:t>
            </w:r>
            <w:proofErr w:type="spellStart"/>
            <w:r w:rsidRPr="00E37F37">
              <w:t>mēn</w:t>
            </w:r>
            <w:proofErr w:type="spellEnd"/>
            <w:r w:rsidRPr="00E37F37">
              <w:t xml:space="preserve">. = 104 400 EUR, darba devēja VSAOI – 24 628 </w:t>
            </w:r>
            <w:r w:rsidRPr="00E37F37">
              <w:lastRenderedPageBreak/>
              <w:t xml:space="preserve">EUR. Atlīdzība kopā gadā: </w:t>
            </w:r>
            <w:r w:rsidRPr="00E37F37">
              <w:rPr>
                <w:u w:val="single"/>
              </w:rPr>
              <w:t>129 028 EUR</w:t>
            </w:r>
            <w:r w:rsidRPr="00E37F37">
              <w:t xml:space="preserve">. Izdevumi par pakalpojumiem un precēm aprēķināti balstoties uz jau esošo izdevumu bāzes gada griezumā vienam cilvēkam, kā arī ņemot vērā sasniedzamos rezultātus: sakaru pakalpojumi un internets  4 440 EUR, administratīvie izdevumi 1 710 EUR, telpu uzturēšana (komunālie) 1 880 EUR, telpu noma 5 635 EUR, izdevumi par kancelejas un saimnieciskajiem materiāliem 3 415 EUR. Preces un pakalpojumi  kopā </w:t>
            </w:r>
            <w:r w:rsidRPr="00E37F37">
              <w:rPr>
                <w:u w:val="single"/>
              </w:rPr>
              <w:t>17 080 EUR;</w:t>
            </w:r>
          </w:p>
          <w:p w:rsidR="0023416E" w:rsidRPr="00E37F37" w:rsidRDefault="0023416E" w:rsidP="00B0515F">
            <w:pPr>
              <w:jc w:val="both"/>
            </w:pPr>
            <w:r w:rsidRPr="00E37F37">
              <w:t xml:space="preserve">tajā skaitā </w:t>
            </w:r>
            <w:r w:rsidRPr="00E37F37">
              <w:rPr>
                <w:b/>
                <w:u w:val="single"/>
              </w:rPr>
              <w:t>3 510</w:t>
            </w:r>
            <w:r w:rsidRPr="00E37F37">
              <w:t xml:space="preserve"> </w:t>
            </w:r>
            <w:proofErr w:type="spellStart"/>
            <w:r w:rsidRPr="00E37F37">
              <w:t>euro</w:t>
            </w:r>
            <w:proofErr w:type="spellEnd"/>
            <w:r w:rsidRPr="00E37F37">
              <w:t xml:space="preserve"> apmērā valsts pamatbudžetā:</w:t>
            </w:r>
          </w:p>
          <w:p w:rsidR="0023416E" w:rsidRPr="00E37F37" w:rsidRDefault="0023416E" w:rsidP="00B0515F">
            <w:pPr>
              <w:jc w:val="both"/>
            </w:pPr>
            <w:r w:rsidRPr="00E37F37">
              <w:t xml:space="preserve">atlīdzība ekspertam par direktora vērtēšanu 111.38 EUR (40.5 h x 2.75 EUR/h, t.i. 1h likme kopā ar DD VSAOI 23.59%) x 18 plānotās vērtēšanas = </w:t>
            </w:r>
            <w:r w:rsidRPr="00E37F37">
              <w:rPr>
                <w:u w:val="single"/>
              </w:rPr>
              <w:t>2 005 EUR</w:t>
            </w:r>
            <w:r w:rsidRPr="00E37F37">
              <w:t xml:space="preserve">, t.sk. atalgojums ekspertam – 1 622 EUR un darba devēja VSAOI – 383 EUR. Izdevumi par pakalpojumiem, ņemot vērā sasniedzamos rezultātus: komandējuma dienas naudas izdevumi 216 EUR, viesnīcas izdevumi 774 EUR, ceļa izdevumi 515 EUR. Pakalpojumi kopā: </w:t>
            </w:r>
            <w:r w:rsidRPr="00E37F37">
              <w:rPr>
                <w:u w:val="single"/>
              </w:rPr>
              <w:t>1 505 EUR;</w:t>
            </w:r>
          </w:p>
          <w:p w:rsidR="0023416E" w:rsidRPr="00E37F37" w:rsidRDefault="0023416E" w:rsidP="00B0515F">
            <w:pPr>
              <w:jc w:val="both"/>
            </w:pPr>
            <w:r w:rsidRPr="00E37F37">
              <w:t xml:space="preserve">tajā skaitā </w:t>
            </w:r>
            <w:r w:rsidRPr="00E37F37">
              <w:rPr>
                <w:b/>
                <w:u w:val="single"/>
              </w:rPr>
              <w:t>66 489</w:t>
            </w:r>
            <w:r w:rsidRPr="00E37F37">
              <w:t xml:space="preserve"> </w:t>
            </w:r>
            <w:proofErr w:type="spellStart"/>
            <w:r w:rsidRPr="00E37F37">
              <w:t>euro</w:t>
            </w:r>
            <w:proofErr w:type="spellEnd"/>
            <w:r w:rsidRPr="00E37F37">
              <w:t xml:space="preserve"> apmērā pašvaldību budžetā:</w:t>
            </w:r>
          </w:p>
          <w:p w:rsidR="0023416E" w:rsidRPr="00E37F37" w:rsidRDefault="0023416E" w:rsidP="00B0515F">
            <w:pPr>
              <w:jc w:val="both"/>
            </w:pPr>
            <w:r w:rsidRPr="00E37F37">
              <w:t xml:space="preserve">atlīdzība ekspertam par direktora vērtēšanu 111.38 EUR (40.5 h x 2.75 EUR/h, t.i. 1h likme kopā ar DD VSAOI 23.59%) x 341 plānotās vērtēšanas = </w:t>
            </w:r>
            <w:r w:rsidRPr="00E37F37">
              <w:rPr>
                <w:u w:val="single"/>
              </w:rPr>
              <w:t>37 981 EUR</w:t>
            </w:r>
            <w:r w:rsidRPr="00E37F37">
              <w:t xml:space="preserve">, t.sk. atalgojums ekspertam – 30 731 EUR un darba devēja VSAOI – 7 250 EUR. Izdevumi par pakalpojumiem, ņemot vērā sasniedzamos rezultātus: komandējuma dienas naudas izdevumi 4 092 EUR, viesnīcas izdevumi 14 663 EUR, ceļa izdevumi 9 753 EUR. Pakalpojumi kopā: </w:t>
            </w:r>
            <w:r w:rsidRPr="00E37F37">
              <w:rPr>
                <w:u w:val="single"/>
              </w:rPr>
              <w:t>28 508 EUR.</w:t>
            </w:r>
          </w:p>
          <w:p w:rsidR="0023416E" w:rsidRPr="00E37F37" w:rsidRDefault="0023416E" w:rsidP="00B0515F">
            <w:pPr>
              <w:jc w:val="both"/>
            </w:pPr>
            <w:r w:rsidRPr="00E37F37">
              <w:rPr>
                <w:b/>
              </w:rPr>
              <w:t>2017.gadā</w:t>
            </w:r>
            <w:r w:rsidRPr="00E37F37">
              <w:t xml:space="preserve"> budžeta izdevumi </w:t>
            </w:r>
            <w:r w:rsidRPr="00E37F37">
              <w:rPr>
                <w:b/>
                <w:u w:val="single"/>
              </w:rPr>
              <w:t>195 438</w:t>
            </w:r>
            <w:r w:rsidRPr="00E37F37">
              <w:t xml:space="preserve"> </w:t>
            </w:r>
            <w:proofErr w:type="spellStart"/>
            <w:r w:rsidRPr="00E37F37">
              <w:t>euro</w:t>
            </w:r>
            <w:proofErr w:type="spellEnd"/>
            <w:r w:rsidRPr="00E37F37">
              <w:t xml:space="preserve"> apmērā, </w:t>
            </w:r>
          </w:p>
          <w:p w:rsidR="0023416E" w:rsidRPr="00E37F37" w:rsidRDefault="0023416E" w:rsidP="00B0515F">
            <w:pPr>
              <w:jc w:val="both"/>
            </w:pPr>
            <w:r w:rsidRPr="00E37F37">
              <w:t xml:space="preserve">tajā skaitā </w:t>
            </w:r>
            <w:r w:rsidRPr="00E37F37">
              <w:rPr>
                <w:b/>
                <w:u w:val="single"/>
              </w:rPr>
              <w:t>146 108</w:t>
            </w:r>
            <w:r w:rsidRPr="00E37F37">
              <w:t xml:space="preserve"> </w:t>
            </w:r>
            <w:proofErr w:type="spellStart"/>
            <w:r w:rsidRPr="00E37F37">
              <w:t>euro</w:t>
            </w:r>
            <w:proofErr w:type="spellEnd"/>
            <w:r w:rsidRPr="00E37F37">
              <w:t xml:space="preserve"> apmērā valsts pamatbudžetā:</w:t>
            </w:r>
          </w:p>
          <w:p w:rsidR="0023416E" w:rsidRPr="00E37F37" w:rsidRDefault="0023416E" w:rsidP="00B0515F">
            <w:pPr>
              <w:jc w:val="both"/>
              <w:rPr>
                <w:u w:val="single"/>
              </w:rPr>
            </w:pPr>
            <w:r w:rsidRPr="00E37F37">
              <w:t xml:space="preserve">10 vecākā eksperta amata vietas (35.saime, II līmenis, 9.algu grupa, 2.kategorijas maksimums 870 EUR) ar atalgojumu gadā: 10 </w:t>
            </w:r>
            <w:proofErr w:type="spellStart"/>
            <w:r w:rsidRPr="00E37F37">
              <w:t>v.eksp.x</w:t>
            </w:r>
            <w:proofErr w:type="spellEnd"/>
            <w:r w:rsidRPr="00E37F37">
              <w:t xml:space="preserve"> 870 EUR x 12 </w:t>
            </w:r>
            <w:proofErr w:type="spellStart"/>
            <w:r w:rsidRPr="00E37F37">
              <w:t>mēn</w:t>
            </w:r>
            <w:proofErr w:type="spellEnd"/>
            <w:r w:rsidRPr="00E37F37">
              <w:t xml:space="preserve">. = 104 400 EUR, darba devēja VSAOI – 24 628 EUR. Atlīdzība kopā gadā: </w:t>
            </w:r>
            <w:r w:rsidRPr="00E37F37">
              <w:rPr>
                <w:u w:val="single"/>
              </w:rPr>
              <w:t>129 028 EUR</w:t>
            </w:r>
            <w:r w:rsidRPr="00E37F37">
              <w:t xml:space="preserve">. Izdevumi par pakalpojumiem un precēm aprēķināti balstoties uz jau esošo izdevumu bāzes gada griezumā vienam cilvēkam, kā arī ņemot vērā sasniedzamos rezultātus: sakaru pakalpojumi un internets  4 440 EUR, administratīvie izdevumi 1 710 EUR, telpu uzturēšana (komunālie) 1 880 EUR, telpu noma 5 635 EUR, izdevumi par kancelejas un saimnieciskajiem materiāliem 3 415 EUR. Preces un pakalpojumi  kopā </w:t>
            </w:r>
            <w:r w:rsidRPr="00E37F37">
              <w:rPr>
                <w:u w:val="single"/>
              </w:rPr>
              <w:t>17 080 EUR;</w:t>
            </w:r>
          </w:p>
          <w:p w:rsidR="0023416E" w:rsidRPr="00E37F37" w:rsidRDefault="0023416E" w:rsidP="00B0515F">
            <w:pPr>
              <w:jc w:val="both"/>
            </w:pPr>
            <w:r w:rsidRPr="00E37F37">
              <w:t xml:space="preserve">tajā skaitā </w:t>
            </w:r>
            <w:r w:rsidRPr="00E37F37">
              <w:rPr>
                <w:b/>
                <w:u w:val="single"/>
              </w:rPr>
              <w:t>1 950</w:t>
            </w:r>
            <w:r w:rsidRPr="00E37F37">
              <w:t xml:space="preserve"> </w:t>
            </w:r>
            <w:proofErr w:type="spellStart"/>
            <w:r w:rsidRPr="00E37F37">
              <w:t>euro</w:t>
            </w:r>
            <w:proofErr w:type="spellEnd"/>
            <w:r w:rsidRPr="00E37F37">
              <w:t xml:space="preserve"> apmērā valsts pamatbudžetā:</w:t>
            </w:r>
          </w:p>
          <w:p w:rsidR="0023416E" w:rsidRPr="00E37F37" w:rsidRDefault="0023416E" w:rsidP="00B0515F">
            <w:pPr>
              <w:jc w:val="both"/>
            </w:pPr>
            <w:r w:rsidRPr="00E37F37">
              <w:t xml:space="preserve">atlīdzība ekspertam par direktora vērtēšanu 111.38 EUR (40.5 h x 2.75 EUR/h, t.i. 1h likme kopā ar DD VSAOI 23.59%) x 10 plānotās vērtēšanas = </w:t>
            </w:r>
            <w:r w:rsidRPr="00E37F37">
              <w:rPr>
                <w:u w:val="single"/>
              </w:rPr>
              <w:t>1 114 EUR</w:t>
            </w:r>
            <w:r w:rsidRPr="00E37F37">
              <w:t xml:space="preserve">, t.sk. atalgojums ekspertam – 901 EUR un darba devēja VSAOI – 213 EUR. Izdevumi par pakalpojumiem, ņemot vērā sasniedzamos rezultātus: komandējuma dienas naudas izdevumi 120 EUR, viesnīcas izdevumi 430 EUR, ceļa izdevumi 286 EUR. Pakalpojumi kopā: </w:t>
            </w:r>
            <w:r w:rsidRPr="00E37F37">
              <w:rPr>
                <w:u w:val="single"/>
              </w:rPr>
              <w:t>836 EUR;</w:t>
            </w:r>
          </w:p>
          <w:p w:rsidR="0023416E" w:rsidRPr="00E37F37" w:rsidRDefault="0023416E" w:rsidP="00B0515F">
            <w:pPr>
              <w:jc w:val="both"/>
            </w:pPr>
            <w:r w:rsidRPr="00E37F37">
              <w:t xml:space="preserve">tajā skaitā </w:t>
            </w:r>
            <w:r w:rsidRPr="00E37F37">
              <w:rPr>
                <w:b/>
                <w:u w:val="single"/>
              </w:rPr>
              <w:t>47 380</w:t>
            </w:r>
            <w:r w:rsidRPr="00E37F37">
              <w:t xml:space="preserve"> </w:t>
            </w:r>
            <w:proofErr w:type="spellStart"/>
            <w:r w:rsidRPr="00E37F37">
              <w:t>euro</w:t>
            </w:r>
            <w:proofErr w:type="spellEnd"/>
            <w:r w:rsidRPr="00E37F37">
              <w:t xml:space="preserve"> apmērā pašvaldību budžetā:</w:t>
            </w:r>
          </w:p>
          <w:p w:rsidR="0023416E" w:rsidRPr="00E37F37" w:rsidRDefault="0023416E" w:rsidP="00B0515F">
            <w:pPr>
              <w:jc w:val="both"/>
              <w:rPr>
                <w:u w:val="single"/>
              </w:rPr>
            </w:pPr>
            <w:r w:rsidRPr="00E37F37">
              <w:lastRenderedPageBreak/>
              <w:t xml:space="preserve">atlīdzība ekspertam par direktora vērtēšanu 111.38 EUR (40.5 h x 2.75 EUR/h, t.i. 1h likme kopā ar DD VSAOI 23.59%) x 243 plānotās vērtēšanas = </w:t>
            </w:r>
            <w:r w:rsidRPr="00E37F37">
              <w:rPr>
                <w:u w:val="single"/>
              </w:rPr>
              <w:t>27 065 EUR</w:t>
            </w:r>
            <w:r w:rsidRPr="00E37F37">
              <w:t xml:space="preserve">, t.sk. atalgojums ekspertam – 21 899 EUR un darba devēja VSAOI – 5 166 EUR. Izdevumi par pakalpojumiem, ņemot vērā sasniedzamos rezultātus: komandējuma dienas naudas izdevumi 2 916 EUR, viesnīcas izdevumi 10 449 EUR, ceļa izdevumi 6 950 EUR. Pakalpojumi kopā: </w:t>
            </w:r>
            <w:r w:rsidRPr="00E37F37">
              <w:rPr>
                <w:u w:val="single"/>
              </w:rPr>
              <w:t>20 315 EUR.</w:t>
            </w:r>
          </w:p>
          <w:p w:rsidR="0023416E" w:rsidRPr="00E37F37" w:rsidRDefault="0023416E" w:rsidP="00B0515F">
            <w:pPr>
              <w:jc w:val="both"/>
            </w:pPr>
            <w:r w:rsidRPr="00E37F37">
              <w:t>MK noteikumu projektā ietvertais regulējums stājas spēkā un iestāžu vadītāju novērtēšana nodrošināma ar 2015.gada 1.janvāri.</w:t>
            </w:r>
          </w:p>
          <w:p w:rsidR="00AB46BC" w:rsidRPr="00E37F37" w:rsidRDefault="00BA0655" w:rsidP="00AB46BC">
            <w:pPr>
              <w:jc w:val="both"/>
              <w:rPr>
                <w:iCs/>
              </w:rPr>
            </w:pPr>
            <w:r w:rsidRPr="00E37F37">
              <w:t xml:space="preserve">Nepiešķirot </w:t>
            </w:r>
            <w:r w:rsidR="00AB46BC" w:rsidRPr="00E37F37">
              <w:t xml:space="preserve"> finansējum</w:t>
            </w:r>
            <w:r w:rsidRPr="00E37F37">
              <w:t>u</w:t>
            </w:r>
            <w:r w:rsidR="00AB46BC" w:rsidRPr="00E37F37">
              <w:t xml:space="preserve"> </w:t>
            </w:r>
            <w:r w:rsidRPr="00E37F37">
              <w:t xml:space="preserve">– Izglītības kvalitātes valsts </w:t>
            </w:r>
            <w:r w:rsidR="00AB46BC" w:rsidRPr="00E37F37">
              <w:t>dienest</w:t>
            </w:r>
            <w:r w:rsidRPr="00E37F37">
              <w:t>s</w:t>
            </w:r>
            <w:r w:rsidR="00AB46BC" w:rsidRPr="00E37F37">
              <w:t xml:space="preserve">  līdz šim piešķirto finanšu resursu ietvaros un apjomā nevarēs nodrošināt </w:t>
            </w:r>
            <w:r w:rsidR="00AB46BC" w:rsidRPr="00E37F37">
              <w:rPr>
                <w:bCs/>
              </w:rPr>
              <w:t>Izglītības likuma</w:t>
            </w:r>
            <w:r w:rsidR="00AB46BC" w:rsidRPr="00E37F37">
              <w:t xml:space="preserve"> 30.panta 4.</w:t>
            </w:r>
            <w:r w:rsidR="00AB46BC" w:rsidRPr="00E37F37">
              <w:rPr>
                <w:vertAlign w:val="superscript"/>
              </w:rPr>
              <w:t>1</w:t>
            </w:r>
            <w:r w:rsidR="00AB46BC" w:rsidRPr="00E37F37">
              <w:t>daļā, 14.panta 12</w:t>
            </w:r>
            <w:r w:rsidR="00AB46BC" w:rsidRPr="00E37F37">
              <w:rPr>
                <w:vertAlign w:val="superscript"/>
              </w:rPr>
              <w:t>1</w:t>
            </w:r>
            <w:r w:rsidR="00AB46BC" w:rsidRPr="00E37F37">
              <w:t>.punktā un Izglītības likuma pārejas noteikumu 36.punktā</w:t>
            </w:r>
            <w:r w:rsidR="00AB46BC" w:rsidRPr="00E37F37">
              <w:rPr>
                <w:iCs/>
              </w:rPr>
              <w:t xml:space="preserve"> noteikto izpildi</w:t>
            </w:r>
            <w:r w:rsidR="003D638D" w:rsidRPr="00E37F37">
              <w:rPr>
                <w:iCs/>
              </w:rPr>
              <w:t xml:space="preserve">, kā arī </w:t>
            </w:r>
            <w:r w:rsidR="00AB46BC" w:rsidRPr="00E37F37">
              <w:rPr>
                <w:iCs/>
              </w:rPr>
              <w:t xml:space="preserve"> </w:t>
            </w:r>
            <w:r w:rsidRPr="00E37F37">
              <w:t xml:space="preserve">Izglītības kvalitātes valsts </w:t>
            </w:r>
            <w:r w:rsidR="00AB46BC" w:rsidRPr="00E37F37">
              <w:t>dienest</w:t>
            </w:r>
            <w:r w:rsidR="003D638D" w:rsidRPr="00E37F37">
              <w:t>s</w:t>
            </w:r>
            <w:r w:rsidR="00AB46BC" w:rsidRPr="00E37F37">
              <w:t xml:space="preserve"> </w:t>
            </w:r>
            <w:r w:rsidR="003D638D" w:rsidRPr="00E37F37">
              <w:t xml:space="preserve">nevarēs </w:t>
            </w:r>
            <w:r w:rsidR="00AB46BC" w:rsidRPr="00E37F37">
              <w:t xml:space="preserve">iekļaut </w:t>
            </w:r>
            <w:r w:rsidRPr="00E37F37">
              <w:t xml:space="preserve">– Izglītības kvalitātes valsts </w:t>
            </w:r>
            <w:r w:rsidR="00AB46BC" w:rsidRPr="00E37F37">
              <w:t xml:space="preserve">dienesta pārstāvi Ekspertu komisijas sastāvā, </w:t>
            </w:r>
            <w:r w:rsidR="003D638D" w:rsidRPr="00E37F37">
              <w:t xml:space="preserve">nevarēs </w:t>
            </w:r>
            <w:r w:rsidR="00AB46BC" w:rsidRPr="00E37F37">
              <w:t>veik</w:t>
            </w:r>
            <w:r w:rsidR="003D638D" w:rsidRPr="00E37F37">
              <w:t>t</w:t>
            </w:r>
            <w:r w:rsidR="00AB46BC" w:rsidRPr="00E37F37">
              <w:t xml:space="preserve"> funkcijas administratīvi tehnisko nodrošinājumu</w:t>
            </w:r>
            <w:r w:rsidR="003D638D" w:rsidRPr="00E37F37">
              <w:t>,</w:t>
            </w:r>
            <w:r w:rsidR="00AB46BC" w:rsidRPr="00E37F37">
              <w:t xml:space="preserve"> izglītības iestāžu vadītāju profesionālās darbības novērtēšanas metodikas izstrādi un pilnveidi, novērtēšanas organizēšan</w:t>
            </w:r>
            <w:r w:rsidR="003D638D" w:rsidRPr="00E37F37">
              <w:t>u</w:t>
            </w:r>
            <w:r w:rsidR="00AB46BC" w:rsidRPr="00E37F37">
              <w:t>, rezultātu monitoring</w:t>
            </w:r>
            <w:r w:rsidR="003D638D" w:rsidRPr="00E37F37">
              <w:t>u</w:t>
            </w:r>
            <w:r w:rsidR="00AB46BC" w:rsidRPr="00E37F37">
              <w:t xml:space="preserve"> sadarbībai ar izglītības iestādēm, utt.</w:t>
            </w:r>
          </w:p>
          <w:p w:rsidR="00B80DE0" w:rsidRPr="00E37F37" w:rsidRDefault="008C74F4" w:rsidP="00BA0655">
            <w:pPr>
              <w:jc w:val="both"/>
              <w:rPr>
                <w:b/>
                <w:sz w:val="22"/>
                <w:szCs w:val="22"/>
              </w:rPr>
            </w:pPr>
            <w:r w:rsidRPr="00E37F37">
              <w:rPr>
                <w:iCs/>
              </w:rPr>
              <w:t xml:space="preserve">Minētais liecina, ka Izglītības un zinātnes ministrija nevar </w:t>
            </w:r>
            <w:r w:rsidRPr="00E37F37">
              <w:t xml:space="preserve">rast iespēju neparedzēt šī MK noteikumu projekta īstenošanai jaunas amata vietas kā tas nolemts </w:t>
            </w:r>
            <w:r w:rsidRPr="00E37F37">
              <w:rPr>
                <w:iCs/>
              </w:rPr>
              <w:t>2014.gada 14.aprīļa Ministru kabineta komitejas sēdē</w:t>
            </w:r>
            <w:r w:rsidRPr="00E37F37">
              <w:rPr>
                <w:color w:val="2A2A2A"/>
              </w:rPr>
              <w:t>.</w:t>
            </w:r>
          </w:p>
        </w:tc>
      </w:tr>
      <w:tr w:rsidR="0023416E" w:rsidRPr="00304314" w:rsidTr="00B0515F">
        <w:tc>
          <w:tcPr>
            <w:tcW w:w="2518" w:type="dxa"/>
            <w:gridSpan w:val="2"/>
          </w:tcPr>
          <w:p w:rsidR="0023416E" w:rsidRPr="00304314" w:rsidRDefault="0023416E" w:rsidP="00B0515F">
            <w:pPr>
              <w:rPr>
                <w:sz w:val="22"/>
                <w:szCs w:val="22"/>
              </w:rPr>
            </w:pPr>
            <w:r w:rsidRPr="00304314">
              <w:rPr>
                <w:sz w:val="22"/>
                <w:szCs w:val="22"/>
              </w:rPr>
              <w:t>6.1. Detalizēts ieņēmumu aprēķins</w:t>
            </w:r>
          </w:p>
        </w:tc>
        <w:tc>
          <w:tcPr>
            <w:tcW w:w="6978" w:type="dxa"/>
            <w:gridSpan w:val="11"/>
            <w:vMerge/>
            <w:vAlign w:val="center"/>
          </w:tcPr>
          <w:p w:rsidR="0023416E" w:rsidRPr="00E37F37" w:rsidRDefault="0023416E" w:rsidP="00B0515F">
            <w:pPr>
              <w:jc w:val="both"/>
            </w:pPr>
          </w:p>
        </w:tc>
      </w:tr>
      <w:tr w:rsidR="0023416E" w:rsidRPr="00304314" w:rsidTr="00B0515F">
        <w:trPr>
          <w:trHeight w:val="178"/>
        </w:trPr>
        <w:tc>
          <w:tcPr>
            <w:tcW w:w="2518" w:type="dxa"/>
            <w:gridSpan w:val="2"/>
          </w:tcPr>
          <w:p w:rsidR="0023416E" w:rsidRPr="00304314" w:rsidRDefault="0023416E" w:rsidP="00B0515F">
            <w:pPr>
              <w:rPr>
                <w:sz w:val="22"/>
                <w:szCs w:val="22"/>
              </w:rPr>
            </w:pPr>
            <w:r w:rsidRPr="00304314">
              <w:rPr>
                <w:sz w:val="22"/>
                <w:szCs w:val="22"/>
              </w:rPr>
              <w:t>6.2. Detalizēts izdevumu aprēķins</w:t>
            </w:r>
          </w:p>
        </w:tc>
        <w:tc>
          <w:tcPr>
            <w:tcW w:w="6978" w:type="dxa"/>
            <w:gridSpan w:val="11"/>
            <w:vMerge/>
          </w:tcPr>
          <w:p w:rsidR="0023416E" w:rsidRPr="00E37F37" w:rsidRDefault="0023416E" w:rsidP="00B0515F">
            <w:pPr>
              <w:jc w:val="both"/>
            </w:pPr>
          </w:p>
        </w:tc>
      </w:tr>
      <w:tr w:rsidR="0023416E" w:rsidRPr="00304314" w:rsidTr="00B0515F">
        <w:tc>
          <w:tcPr>
            <w:tcW w:w="2518" w:type="dxa"/>
            <w:gridSpan w:val="2"/>
          </w:tcPr>
          <w:p w:rsidR="0023416E" w:rsidRPr="00304314" w:rsidRDefault="0023416E" w:rsidP="00B0515F">
            <w:pPr>
              <w:jc w:val="both"/>
            </w:pPr>
            <w:r w:rsidRPr="00304314">
              <w:lastRenderedPageBreak/>
              <w:t>7. Cita informācija</w:t>
            </w:r>
          </w:p>
        </w:tc>
        <w:tc>
          <w:tcPr>
            <w:tcW w:w="6978" w:type="dxa"/>
            <w:gridSpan w:val="11"/>
          </w:tcPr>
          <w:p w:rsidR="0023416E" w:rsidRPr="000A2872" w:rsidRDefault="005B2710" w:rsidP="00391159">
            <w:pPr>
              <w:jc w:val="both"/>
              <w:rPr>
                <w:color w:val="000000"/>
                <w:highlight w:val="yellow"/>
              </w:rPr>
            </w:pPr>
            <w:r w:rsidRPr="00077CC0">
              <w:rPr>
                <w:color w:val="000000"/>
              </w:rPr>
              <w:t>Izglītības iestāžu vadītāju profesionālās darbības vērtēšanas īstenošana tiks uzsākta, ievērojot</w:t>
            </w:r>
            <w:r w:rsidR="00A01F10" w:rsidRPr="00077CC0">
              <w:rPr>
                <w:color w:val="000000"/>
              </w:rPr>
              <w:t xml:space="preserve"> 2014.gadā Izglītības un zinātnes ministrijas piešķirto</w:t>
            </w:r>
            <w:r w:rsidRPr="00077CC0">
              <w:rPr>
                <w:color w:val="000000"/>
              </w:rPr>
              <w:t>s</w:t>
            </w:r>
            <w:r w:rsidR="00A01F10" w:rsidRPr="00077CC0">
              <w:rPr>
                <w:color w:val="000000"/>
              </w:rPr>
              <w:t xml:space="preserve"> v</w:t>
            </w:r>
            <w:r w:rsidR="004049AC" w:rsidRPr="00077CC0">
              <w:rPr>
                <w:color w:val="000000"/>
              </w:rPr>
              <w:t>alsts budžeta līdzekļus. J</w:t>
            </w:r>
            <w:r w:rsidR="00A01F10" w:rsidRPr="00077CC0">
              <w:rPr>
                <w:color w:val="000000"/>
              </w:rPr>
              <w:t xml:space="preserve">autājumu par </w:t>
            </w:r>
            <w:r w:rsidRPr="00077CC0">
              <w:rPr>
                <w:color w:val="000000"/>
              </w:rPr>
              <w:t>izglītības iestāžu vadītāju profesionālās darbības vērtēšanas</w:t>
            </w:r>
            <w:r w:rsidR="00A01F10" w:rsidRPr="00077CC0">
              <w:rPr>
                <w:color w:val="000000"/>
              </w:rPr>
              <w:t xml:space="preserve"> īstenošanai papildus nepieciešamo finansējumu 2015.gadā un turpmākajos gados </w:t>
            </w:r>
            <w:r w:rsidR="00792696" w:rsidRPr="00077CC0">
              <w:rPr>
                <w:color w:val="000000"/>
              </w:rPr>
              <w:t xml:space="preserve">nepieciešams </w:t>
            </w:r>
            <w:r w:rsidR="00A01F10" w:rsidRPr="00077CC0">
              <w:rPr>
                <w:color w:val="000000"/>
              </w:rPr>
              <w:t>izskatī</w:t>
            </w:r>
            <w:r w:rsidR="00792696" w:rsidRPr="00077CC0">
              <w:rPr>
                <w:color w:val="000000"/>
              </w:rPr>
              <w:t>t</w:t>
            </w:r>
            <w:r w:rsidR="00A01F10" w:rsidRPr="00077CC0">
              <w:rPr>
                <w:color w:val="000000"/>
              </w:rPr>
              <w:t xml:space="preserve"> vidēja termiņa budžeta likumprojekta un valsts budžeta likumprojekta kārtējam gadam sagatavošanas procesā vienlaikus ar visu ministriju un citu centrālo valsts iestāžu jauno politikas iniciatīvu pieprasījumiem atbilstoši attiecīgā gada valsts budžeta finansiālajā</w:t>
            </w:r>
            <w:r w:rsidR="004049AC" w:rsidRPr="00077CC0">
              <w:rPr>
                <w:color w:val="000000"/>
              </w:rPr>
              <w:t>m iespējām. Izglītības un zinātnes ministrija</w:t>
            </w:r>
            <w:r w:rsidR="00792696" w:rsidRPr="00077CC0">
              <w:rPr>
                <w:color w:val="000000"/>
              </w:rPr>
              <w:t xml:space="preserve"> 2015.gadā</w:t>
            </w:r>
            <w:r w:rsidR="004049AC" w:rsidRPr="00077CC0">
              <w:rPr>
                <w:color w:val="000000"/>
              </w:rPr>
              <w:t xml:space="preserve"> un turpmākajos gados neredz iespēju pārdalīt sav</w:t>
            </w:r>
            <w:r w:rsidR="00792696" w:rsidRPr="00077CC0">
              <w:rPr>
                <w:color w:val="000000"/>
              </w:rPr>
              <w:t>u</w:t>
            </w:r>
            <w:r w:rsidR="004049AC" w:rsidRPr="00077CC0">
              <w:rPr>
                <w:color w:val="000000"/>
              </w:rPr>
              <w:t xml:space="preserve"> </w:t>
            </w:r>
            <w:r w:rsidR="00792696" w:rsidRPr="00077CC0">
              <w:rPr>
                <w:color w:val="000000"/>
              </w:rPr>
              <w:t xml:space="preserve">finansējumu, lai nodrošinātu </w:t>
            </w:r>
            <w:r w:rsidR="008C74F4" w:rsidRPr="00077CC0">
              <w:rPr>
                <w:bCs/>
              </w:rPr>
              <w:t>Izglītības likuma</w:t>
            </w:r>
            <w:r w:rsidR="008C74F4" w:rsidRPr="00077CC0">
              <w:t xml:space="preserve"> 30.panta 4.</w:t>
            </w:r>
            <w:r w:rsidR="008C74F4" w:rsidRPr="00077CC0">
              <w:rPr>
                <w:vertAlign w:val="superscript"/>
              </w:rPr>
              <w:t>1</w:t>
            </w:r>
            <w:r w:rsidR="008C74F4" w:rsidRPr="00077CC0">
              <w:t>daļā, 14.panta 12</w:t>
            </w:r>
            <w:r w:rsidR="008C74F4" w:rsidRPr="00077CC0">
              <w:rPr>
                <w:vertAlign w:val="superscript"/>
              </w:rPr>
              <w:t>1</w:t>
            </w:r>
            <w:r w:rsidR="008C74F4" w:rsidRPr="00077CC0">
              <w:t>.punktā un pārejas noteikumu 36.punktā</w:t>
            </w:r>
            <w:r w:rsidR="008C74F4" w:rsidRPr="00077CC0">
              <w:rPr>
                <w:iCs/>
              </w:rPr>
              <w:t xml:space="preserve"> noteikto izpildi.</w:t>
            </w:r>
            <w:r w:rsidR="008C74F4" w:rsidRPr="00077CC0">
              <w:rPr>
                <w:color w:val="000000"/>
              </w:rPr>
              <w:t xml:space="preserve"> </w:t>
            </w:r>
            <w:r w:rsidR="004049AC" w:rsidRPr="00077CC0">
              <w:rPr>
                <w:color w:val="000000"/>
              </w:rPr>
              <w:t xml:space="preserve">Līdz ar to, ja netiek piešķirts papildu </w:t>
            </w:r>
            <w:r w:rsidRPr="00077CC0">
              <w:rPr>
                <w:color w:val="000000"/>
              </w:rPr>
              <w:t xml:space="preserve">valsts budžeta </w:t>
            </w:r>
            <w:r w:rsidR="004049AC" w:rsidRPr="00077CC0">
              <w:rPr>
                <w:color w:val="000000"/>
              </w:rPr>
              <w:t xml:space="preserve">finansējums, Izglītības un zinātnes ministrija un tās padotības iestāde - Izglītības kvalitātes valsts dienests, nevarēs </w:t>
            </w:r>
            <w:r w:rsidRPr="00077CC0">
              <w:rPr>
                <w:color w:val="000000"/>
              </w:rPr>
              <w:t>nodrošināt</w:t>
            </w:r>
            <w:r w:rsidR="004049AC" w:rsidRPr="00077CC0">
              <w:rPr>
                <w:color w:val="000000"/>
              </w:rPr>
              <w:t xml:space="preserve"> izglītības iestāžu vadītāju profesionālās darbības novērtēšanu un </w:t>
            </w:r>
            <w:r w:rsidR="008C74F4" w:rsidRPr="00077CC0">
              <w:rPr>
                <w:color w:val="000000"/>
              </w:rPr>
              <w:t xml:space="preserve">papildu </w:t>
            </w:r>
            <w:r w:rsidR="004049AC" w:rsidRPr="00077CC0">
              <w:rPr>
                <w:color w:val="000000"/>
              </w:rPr>
              <w:t>speciālās izglītības programmu</w:t>
            </w:r>
            <w:r w:rsidR="008C74F4" w:rsidRPr="00077CC0">
              <w:rPr>
                <w:color w:val="000000"/>
              </w:rPr>
              <w:t>, izglītības programmu, kuru īstenošanas forma ir tālmācība,</w:t>
            </w:r>
            <w:r w:rsidR="004049AC" w:rsidRPr="00077CC0">
              <w:rPr>
                <w:color w:val="000000"/>
              </w:rPr>
              <w:t xml:space="preserve"> akreditāciju ar ekspertu komisiju.</w:t>
            </w:r>
            <w:r w:rsidR="00792696" w:rsidRPr="00077CC0">
              <w:rPr>
                <w:color w:val="000000"/>
              </w:rPr>
              <w:t xml:space="preserve"> </w:t>
            </w:r>
            <w:r w:rsidR="00391159" w:rsidRPr="00077CC0">
              <w:rPr>
                <w:color w:val="000000"/>
              </w:rPr>
              <w:t xml:space="preserve">Tādejādi būs ne tikai ievērojami apdraudēta izglītības kvalitāte un tās vērtēšana, bet finanšu līdzekļu trūkuma dēļ nebūs iespējams nodrošināt </w:t>
            </w:r>
            <w:r w:rsidR="00391159" w:rsidRPr="00077CC0">
              <w:rPr>
                <w:bCs/>
              </w:rPr>
              <w:t>Izglītības likuma</w:t>
            </w:r>
            <w:r w:rsidR="00391159" w:rsidRPr="00077CC0">
              <w:t xml:space="preserve"> 30.panta 4.</w:t>
            </w:r>
            <w:r w:rsidR="00391159" w:rsidRPr="00077CC0">
              <w:rPr>
                <w:vertAlign w:val="superscript"/>
              </w:rPr>
              <w:t>1</w:t>
            </w:r>
            <w:r w:rsidR="00391159" w:rsidRPr="00077CC0">
              <w:t>daļā noteikto.</w:t>
            </w:r>
          </w:p>
        </w:tc>
      </w:tr>
    </w:tbl>
    <w:p w:rsidR="004747C0" w:rsidRPr="00304314" w:rsidRDefault="004747C0" w:rsidP="004747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699"/>
        <w:gridCol w:w="7363"/>
      </w:tblGrid>
      <w:tr w:rsidR="004747C0" w:rsidRPr="00304314" w:rsidTr="00E83D49">
        <w:tc>
          <w:tcPr>
            <w:tcW w:w="9464" w:type="dxa"/>
            <w:gridSpan w:val="3"/>
          </w:tcPr>
          <w:p w:rsidR="004747C0" w:rsidRPr="00304314" w:rsidRDefault="004747C0" w:rsidP="00E83D49">
            <w:pPr>
              <w:jc w:val="center"/>
              <w:rPr>
                <w:b/>
              </w:rPr>
            </w:pPr>
            <w:r w:rsidRPr="00304314">
              <w:rPr>
                <w:b/>
              </w:rPr>
              <w:t>IV. Tiesību akta projekta ietekme uz spēkā esošo tiesību normu sistēmu</w:t>
            </w:r>
          </w:p>
        </w:tc>
      </w:tr>
      <w:tr w:rsidR="004747C0" w:rsidRPr="00304314" w:rsidTr="00E83D49">
        <w:tc>
          <w:tcPr>
            <w:tcW w:w="402" w:type="dxa"/>
          </w:tcPr>
          <w:p w:rsidR="004747C0" w:rsidRPr="00304314" w:rsidRDefault="004747C0" w:rsidP="00E83D49">
            <w:r w:rsidRPr="00304314">
              <w:lastRenderedPageBreak/>
              <w:t>1.</w:t>
            </w:r>
          </w:p>
        </w:tc>
        <w:tc>
          <w:tcPr>
            <w:tcW w:w="1699" w:type="dxa"/>
          </w:tcPr>
          <w:p w:rsidR="004747C0" w:rsidRPr="00304314" w:rsidRDefault="004747C0" w:rsidP="00E83D49">
            <w:r w:rsidRPr="00304314">
              <w:t>Nepieciešamie saistītie tiesību aktu projekti</w:t>
            </w:r>
          </w:p>
        </w:tc>
        <w:tc>
          <w:tcPr>
            <w:tcW w:w="7363" w:type="dxa"/>
          </w:tcPr>
          <w:p w:rsidR="004747C0" w:rsidRPr="00304314" w:rsidRDefault="004747C0" w:rsidP="00E83D49">
            <w:pPr>
              <w:jc w:val="both"/>
            </w:pPr>
            <w:r w:rsidRPr="00304314">
              <w:t xml:space="preserve">No normatīvā regulējuma izriet, ka ir nepieciešams noteikt atbildīgo institūciju valsts un pašvaldību izglītības iestāžu (izņemot augstskolas un koledžas) vadītāju profesionālās darbības novērtēšanas nodrošināšanai. </w:t>
            </w:r>
          </w:p>
          <w:p w:rsidR="004747C0" w:rsidRPr="00304314" w:rsidRDefault="004747C0" w:rsidP="00E83D49">
            <w:pPr>
              <w:jc w:val="both"/>
            </w:pPr>
            <w:r w:rsidRPr="00304314">
              <w:t>Ievērojot minēto, Izglītības kvalitātes valsts dienestam nepieciešams paplašināt funkcijas un uzdevumus, kas šobrīd noteikti Izglītības kvalitātes valsts dienesta nolikumā, t.i., Ministru kabineta 2013.gada 23.aprīļa noteikumos Nr.225 „Izglītības kvalitātes valsts dienesta nolikums</w:t>
            </w:r>
            <w:r w:rsidR="00542BDD">
              <w:t>. Ievērojot minēto</w:t>
            </w:r>
            <w:r w:rsidRPr="00304314">
              <w:t xml:space="preserve"> ir sagatavots noteikumu projekts – „Grozījumi Ministru kabineta 2013.gada 23.aprīļa noteikumos Nr.225 „Izglītības kvalitātes valsts dienesta nolikums””</w:t>
            </w:r>
            <w:r w:rsidR="00542BDD">
              <w:t>, kas izsludināts Valsts sekretāru sanāksmē 2013.gada 19.decembrī (VSS-2115)</w:t>
            </w:r>
            <w:r w:rsidRPr="00304314">
              <w:t xml:space="preserve">. </w:t>
            </w:r>
            <w:r w:rsidR="00542BDD">
              <w:t>Minētajos grozījumos</w:t>
            </w:r>
            <w:r w:rsidR="00A17D8E">
              <w:t xml:space="preserve"> </w:t>
            </w:r>
            <w:r w:rsidRPr="00304314">
              <w:t>ir papildinā</w:t>
            </w:r>
            <w:r w:rsidR="00A17D8E">
              <w:t>t</w:t>
            </w:r>
            <w:r w:rsidRPr="00304314">
              <w:t>a II. sadaļa „Dienesta funkcijas, uzdevumi un tiesības”, nosakot, ka viena no Izglītības kvalitātes valsts dienesta funkcijām un uzdevumiem ir arī nodrošināt un organizēt valsts un pašvaldību izglītības iestāžu (izņemot augstskolas un koledžas) vadītāju profesionālās darbības novērtēšanu. Šobrīd akreditācijas pakalpojumu izmaksas aprēķina</w:t>
            </w:r>
            <w:r w:rsidR="00A17D8E">
              <w:t xml:space="preserve"> atbilstoši </w:t>
            </w:r>
            <w:r w:rsidRPr="00304314">
              <w:rPr>
                <w:lang w:eastAsia="en-US"/>
              </w:rPr>
              <w:t>Ministru kabineta 2013.gada 10.septembra noteikumi</w:t>
            </w:r>
            <w:r w:rsidR="00A17D8E">
              <w:rPr>
                <w:lang w:eastAsia="en-US"/>
              </w:rPr>
              <w:t>em</w:t>
            </w:r>
            <w:r w:rsidRPr="00304314">
              <w:rPr>
                <w:lang w:eastAsia="en-US"/>
              </w:rPr>
              <w:t xml:space="preserve"> Nr.789 „Izglītības kvalitātes valsts dienesta maksas pakalpojumu cenrādis”. </w:t>
            </w:r>
          </w:p>
          <w:p w:rsidR="004747C0" w:rsidRPr="00A17D8E" w:rsidRDefault="004747C0" w:rsidP="00136C5C">
            <w:pPr>
              <w:jc w:val="both"/>
            </w:pPr>
            <w:r w:rsidRPr="00304314">
              <w:t xml:space="preserve">Ņemot vērā apstākli, ka MK noteikumu projektā paredzama valsts un pašvaldību izglītības iestāžu (izņemot interešu, pieaugušo neformālās iestādes, augstskolas un koledžas) vadītāju profesionālās darbības novērtēšanas kārtība, kā arī izglītības iestāžu (izņemot pirmsskolas, interešu, pieaugušo neformālās iestādes, augstskolas un koledžas) un eksaminācijas centru darbības un izglītības programmu īstenošanas kvalitātes vērtēšanas kārtība, </w:t>
            </w:r>
            <w:r w:rsidR="00A17D8E" w:rsidRPr="00304314">
              <w:rPr>
                <w:lang w:eastAsia="en-US"/>
              </w:rPr>
              <w:t xml:space="preserve">Ministru kabineta </w:t>
            </w:r>
            <w:r w:rsidR="00A17D8E">
              <w:rPr>
                <w:lang w:eastAsia="en-US"/>
              </w:rPr>
              <w:t xml:space="preserve">2013.gada 10.septembra noteikumos </w:t>
            </w:r>
            <w:r w:rsidR="00A17D8E" w:rsidRPr="00304314">
              <w:rPr>
                <w:lang w:eastAsia="en-US"/>
              </w:rPr>
              <w:t>Nr.789 „Izglītības kvalitātes valsts dienesta maksas pakalpojumu cenrādis”</w:t>
            </w:r>
            <w:r w:rsidR="00A17D8E">
              <w:rPr>
                <w:lang w:eastAsia="en-US"/>
              </w:rPr>
              <w:t xml:space="preserve"> </w:t>
            </w:r>
            <w:r w:rsidRPr="00304314">
              <w:t xml:space="preserve">papildus jāparedz arī </w:t>
            </w:r>
            <w:r w:rsidR="00A17D8E">
              <w:t xml:space="preserve">cenrādis par </w:t>
            </w:r>
            <w:r w:rsidRPr="00304314">
              <w:t>iestādes vadītāja novērtēšanu.</w:t>
            </w:r>
          </w:p>
        </w:tc>
      </w:tr>
      <w:tr w:rsidR="00EC2AAC" w:rsidRPr="00304314" w:rsidTr="00E83D49">
        <w:tc>
          <w:tcPr>
            <w:tcW w:w="402" w:type="dxa"/>
          </w:tcPr>
          <w:p w:rsidR="00EC2AAC" w:rsidRPr="00304314" w:rsidRDefault="00EC2AAC" w:rsidP="00E83D49">
            <w:r>
              <w:t>2.</w:t>
            </w:r>
          </w:p>
        </w:tc>
        <w:tc>
          <w:tcPr>
            <w:tcW w:w="1699" w:type="dxa"/>
          </w:tcPr>
          <w:p w:rsidR="00EC2AAC" w:rsidRPr="00304314" w:rsidRDefault="00EC2AAC" w:rsidP="00E83D49">
            <w:r>
              <w:t>Atbildīgā institūcija</w:t>
            </w:r>
          </w:p>
        </w:tc>
        <w:tc>
          <w:tcPr>
            <w:tcW w:w="7363" w:type="dxa"/>
          </w:tcPr>
          <w:p w:rsidR="00EC2AAC" w:rsidRPr="00304314" w:rsidRDefault="00EC2AAC" w:rsidP="00EB7832">
            <w:pPr>
              <w:jc w:val="both"/>
            </w:pPr>
            <w:r w:rsidRPr="009D1166">
              <w:t>Par minēto tiesību aktu projektu izstrādi atbildīgā institūcija ir Izglītības kvalitātes valsts dienests, 19.12.2013.  Valsts sekretāru sanāksmē izsludināts MK noteikumu grozījumu projekts „Grozījumi Ministru kabineta 2013.gada 23.aprīļa noteikumos Nr. 225 „Izglītības kvalitātes valsts dienesta nolikums”” (VSS-2115, 29§)</w:t>
            </w:r>
          </w:p>
        </w:tc>
      </w:tr>
      <w:tr w:rsidR="004747C0" w:rsidRPr="00304314" w:rsidTr="00E83D49">
        <w:tc>
          <w:tcPr>
            <w:tcW w:w="402" w:type="dxa"/>
          </w:tcPr>
          <w:p w:rsidR="004747C0" w:rsidRPr="00304314" w:rsidRDefault="00EC2AAC" w:rsidP="00E83D49">
            <w:r>
              <w:t>3</w:t>
            </w:r>
            <w:r w:rsidR="004747C0" w:rsidRPr="00304314">
              <w:t xml:space="preserve">. </w:t>
            </w:r>
          </w:p>
        </w:tc>
        <w:tc>
          <w:tcPr>
            <w:tcW w:w="1699" w:type="dxa"/>
          </w:tcPr>
          <w:p w:rsidR="004747C0" w:rsidRPr="00304314" w:rsidRDefault="004747C0" w:rsidP="00E83D49">
            <w:r w:rsidRPr="00304314">
              <w:t>Cita informācija</w:t>
            </w:r>
          </w:p>
        </w:tc>
        <w:tc>
          <w:tcPr>
            <w:tcW w:w="7363" w:type="dxa"/>
          </w:tcPr>
          <w:p w:rsidR="004747C0" w:rsidRPr="00304314" w:rsidRDefault="004747C0" w:rsidP="00E83D49">
            <w:pPr>
              <w:ind w:left="33"/>
              <w:jc w:val="both"/>
            </w:pPr>
            <w:r w:rsidRPr="00304314">
              <w:t xml:space="preserve">Nav </w:t>
            </w:r>
          </w:p>
        </w:tc>
      </w:tr>
    </w:tbl>
    <w:p w:rsidR="004747C0" w:rsidRPr="00304314" w:rsidRDefault="004747C0" w:rsidP="004747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8"/>
        <w:gridCol w:w="7190"/>
      </w:tblGrid>
      <w:tr w:rsidR="004747C0" w:rsidRPr="00304314" w:rsidTr="00E83D49">
        <w:tc>
          <w:tcPr>
            <w:tcW w:w="9464" w:type="dxa"/>
            <w:gridSpan w:val="3"/>
          </w:tcPr>
          <w:p w:rsidR="004747C0" w:rsidRPr="00304314" w:rsidRDefault="004747C0" w:rsidP="006C6BFE">
            <w:pPr>
              <w:jc w:val="center"/>
              <w:rPr>
                <w:b/>
              </w:rPr>
            </w:pPr>
            <w:r w:rsidRPr="00304314">
              <w:rPr>
                <w:b/>
              </w:rPr>
              <w:t xml:space="preserve">VI. Sabiedrības līdzdalība un </w:t>
            </w:r>
            <w:r w:rsidR="006C6BFE">
              <w:rPr>
                <w:b/>
              </w:rPr>
              <w:t>komunikācijas aktivitātes</w:t>
            </w:r>
          </w:p>
        </w:tc>
      </w:tr>
      <w:tr w:rsidR="004747C0" w:rsidRPr="00304314" w:rsidTr="00E83D49">
        <w:tc>
          <w:tcPr>
            <w:tcW w:w="396" w:type="dxa"/>
          </w:tcPr>
          <w:p w:rsidR="004747C0" w:rsidRPr="00304314" w:rsidRDefault="004747C0" w:rsidP="00E83D49">
            <w:r w:rsidRPr="00304314">
              <w:t xml:space="preserve">1. </w:t>
            </w:r>
          </w:p>
        </w:tc>
        <w:tc>
          <w:tcPr>
            <w:tcW w:w="1878" w:type="dxa"/>
          </w:tcPr>
          <w:p w:rsidR="004747C0" w:rsidRPr="00304314" w:rsidRDefault="006C6BFE" w:rsidP="006C6BFE">
            <w:r>
              <w:t>Plānotās s</w:t>
            </w:r>
            <w:r w:rsidR="004747C0" w:rsidRPr="00304314">
              <w:t>abiedrības</w:t>
            </w:r>
            <w:r>
              <w:t xml:space="preserve"> līdzdalības un komunikācijas aktivitātes saistībā ar projektu</w:t>
            </w:r>
            <w:r w:rsidR="004747C0" w:rsidRPr="00304314">
              <w:t xml:space="preserve"> </w:t>
            </w:r>
          </w:p>
        </w:tc>
        <w:tc>
          <w:tcPr>
            <w:tcW w:w="7190" w:type="dxa"/>
          </w:tcPr>
          <w:p w:rsidR="004747C0" w:rsidRPr="00304314" w:rsidRDefault="004747C0" w:rsidP="00E83D49">
            <w:pPr>
              <w:jc w:val="both"/>
            </w:pPr>
            <w:r w:rsidRPr="00304314">
              <w:t>MK noteikumu projekta izstrādes darba grupa izveidota saskaņā ar Izglītības kvalitātes valsts dienesta 2013.gada 2.oktobra rīkojumu Nr.1-05/29 „Par darba grupas izveidi priekšlikumu izstrādei Ministru kabineta noteikumu projektam”.</w:t>
            </w:r>
          </w:p>
          <w:p w:rsidR="004747C0" w:rsidRPr="00304314" w:rsidRDefault="004747C0" w:rsidP="00E83D49">
            <w:pPr>
              <w:ind w:left="33"/>
              <w:jc w:val="both"/>
            </w:pPr>
            <w:r w:rsidRPr="00304314">
              <w:t xml:space="preserve">2013.gada 4.septembrī notika valsts pārvaldes iestāžu, pašvaldību un citu sociālo partneru pārstāvju sākotnējā diskusija, kā arī 2013.gada 2.oktobrī un 24.oktobrī notika darba grupas sanāksmes, kurās Izglītības kvalitātes valsts dienests informēja sociālo partneru pārstāvjus par MK noteikumu projekta izstrādes nepieciešamību un sagatavoja </w:t>
            </w:r>
            <w:r w:rsidRPr="00304314">
              <w:lastRenderedPageBreak/>
              <w:t>priekšlikumus MK noteikumu projekta izstrādei.</w:t>
            </w:r>
          </w:p>
        </w:tc>
      </w:tr>
      <w:tr w:rsidR="004747C0" w:rsidRPr="00304314" w:rsidTr="00E83D49">
        <w:tc>
          <w:tcPr>
            <w:tcW w:w="396" w:type="dxa"/>
          </w:tcPr>
          <w:p w:rsidR="004747C0" w:rsidRPr="00304314" w:rsidRDefault="004747C0" w:rsidP="00E83D49">
            <w:r w:rsidRPr="00304314">
              <w:lastRenderedPageBreak/>
              <w:t>2.</w:t>
            </w:r>
          </w:p>
        </w:tc>
        <w:tc>
          <w:tcPr>
            <w:tcW w:w="1878" w:type="dxa"/>
          </w:tcPr>
          <w:p w:rsidR="004747C0" w:rsidRPr="00304314" w:rsidRDefault="004747C0" w:rsidP="00E83D49">
            <w:r w:rsidRPr="00304314">
              <w:t>Sabiedrības līdzdalība projekta izstrādē</w:t>
            </w:r>
          </w:p>
        </w:tc>
        <w:tc>
          <w:tcPr>
            <w:tcW w:w="7190" w:type="dxa"/>
          </w:tcPr>
          <w:p w:rsidR="004747C0" w:rsidRPr="00304314" w:rsidRDefault="004747C0" w:rsidP="00E83D49">
            <w:pPr>
              <w:ind w:left="33"/>
              <w:jc w:val="both"/>
            </w:pPr>
            <w:r w:rsidRPr="00304314">
              <w:t>Darba grupā par priekšlikumu izstrādi MK noteikumu projektam tika ietverti valsts pārvaldes iestāžu, pašvaldību un citu sociālo partneru pārstāvji no:</w:t>
            </w:r>
          </w:p>
          <w:p w:rsidR="004747C0" w:rsidRPr="00304314" w:rsidRDefault="004747C0" w:rsidP="004747C0">
            <w:pPr>
              <w:numPr>
                <w:ilvl w:val="0"/>
                <w:numId w:val="1"/>
              </w:numPr>
              <w:jc w:val="both"/>
            </w:pPr>
            <w:r w:rsidRPr="00304314">
              <w:t>UNESCO Latvijas Nacionālās komisijas;</w:t>
            </w:r>
          </w:p>
          <w:p w:rsidR="004747C0" w:rsidRPr="00304314" w:rsidRDefault="004747C0" w:rsidP="004747C0">
            <w:pPr>
              <w:numPr>
                <w:ilvl w:val="0"/>
                <w:numId w:val="1"/>
              </w:numPr>
              <w:jc w:val="both"/>
            </w:pPr>
            <w:r w:rsidRPr="00304314">
              <w:t>Izglītības un zinātnes ministrijas;</w:t>
            </w:r>
          </w:p>
          <w:p w:rsidR="004747C0" w:rsidRPr="00304314" w:rsidRDefault="004747C0" w:rsidP="004747C0">
            <w:pPr>
              <w:numPr>
                <w:ilvl w:val="0"/>
                <w:numId w:val="1"/>
              </w:numPr>
              <w:jc w:val="both"/>
            </w:pPr>
            <w:r w:rsidRPr="00304314">
              <w:t>Rīgas domes Izglītības, kultūras un sporta departamenta;</w:t>
            </w:r>
          </w:p>
          <w:p w:rsidR="004747C0" w:rsidRPr="00304314" w:rsidRDefault="004747C0" w:rsidP="004747C0">
            <w:pPr>
              <w:numPr>
                <w:ilvl w:val="0"/>
                <w:numId w:val="1"/>
              </w:numPr>
              <w:jc w:val="both"/>
            </w:pPr>
            <w:r w:rsidRPr="00304314">
              <w:t>Latvijas Izglītības un zinātnes darbinieku arodbiedrības;</w:t>
            </w:r>
          </w:p>
          <w:p w:rsidR="004747C0" w:rsidRPr="00304314" w:rsidRDefault="004747C0" w:rsidP="004747C0">
            <w:pPr>
              <w:numPr>
                <w:ilvl w:val="0"/>
                <w:numId w:val="1"/>
              </w:numPr>
              <w:jc w:val="both"/>
            </w:pPr>
            <w:r w:rsidRPr="00304314">
              <w:t>Latvijas Pašvaldību savienības;</w:t>
            </w:r>
          </w:p>
          <w:p w:rsidR="004747C0" w:rsidRPr="00304314" w:rsidRDefault="004747C0" w:rsidP="004747C0">
            <w:pPr>
              <w:numPr>
                <w:ilvl w:val="0"/>
                <w:numId w:val="1"/>
              </w:numPr>
              <w:jc w:val="both"/>
            </w:pPr>
            <w:r w:rsidRPr="00304314">
              <w:t>Latvijas Darba devēju konfederācijas;</w:t>
            </w:r>
          </w:p>
          <w:p w:rsidR="004747C0" w:rsidRPr="00304314" w:rsidRDefault="004747C0" w:rsidP="004747C0">
            <w:pPr>
              <w:numPr>
                <w:ilvl w:val="0"/>
                <w:numId w:val="1"/>
              </w:numPr>
              <w:jc w:val="both"/>
            </w:pPr>
            <w:r w:rsidRPr="00304314">
              <w:t>arodbiedrības „Latvijas izglītības vadītāju asociācija”;</w:t>
            </w:r>
          </w:p>
          <w:p w:rsidR="004747C0" w:rsidRPr="00304314" w:rsidRDefault="004747C0" w:rsidP="004747C0">
            <w:pPr>
              <w:numPr>
                <w:ilvl w:val="0"/>
                <w:numId w:val="1"/>
              </w:numPr>
              <w:jc w:val="both"/>
            </w:pPr>
            <w:r w:rsidRPr="00304314">
              <w:t>izglītības pārvaldēm;</w:t>
            </w:r>
          </w:p>
          <w:p w:rsidR="004747C0" w:rsidRPr="00304314" w:rsidRDefault="004747C0" w:rsidP="004747C0">
            <w:pPr>
              <w:numPr>
                <w:ilvl w:val="0"/>
                <w:numId w:val="1"/>
              </w:numPr>
              <w:jc w:val="both"/>
            </w:pPr>
            <w:r w:rsidRPr="00304314">
              <w:t>vispārējā</w:t>
            </w:r>
            <w:r w:rsidR="00EB7832">
              <w:t>s</w:t>
            </w:r>
            <w:r w:rsidRPr="00304314">
              <w:t xml:space="preserve"> un profesionālā</w:t>
            </w:r>
            <w:r w:rsidR="00EB7832">
              <w:t>s</w:t>
            </w:r>
            <w:r w:rsidRPr="00304314">
              <w:t xml:space="preserve"> izglītības iestādēm;</w:t>
            </w:r>
          </w:p>
          <w:p w:rsidR="004747C0" w:rsidRPr="00304314" w:rsidRDefault="004747C0" w:rsidP="004747C0">
            <w:pPr>
              <w:numPr>
                <w:ilvl w:val="0"/>
                <w:numId w:val="1"/>
              </w:numPr>
              <w:jc w:val="both"/>
            </w:pPr>
            <w:r w:rsidRPr="00304314">
              <w:t>Valsts izglītības satura centra;</w:t>
            </w:r>
          </w:p>
          <w:p w:rsidR="004747C0" w:rsidRPr="00304314" w:rsidRDefault="004747C0" w:rsidP="004747C0">
            <w:pPr>
              <w:numPr>
                <w:ilvl w:val="0"/>
                <w:numId w:val="1"/>
              </w:numPr>
              <w:jc w:val="both"/>
            </w:pPr>
            <w:r w:rsidRPr="00304314">
              <w:t>Latvijas Nacionālā kultūras centra;</w:t>
            </w:r>
          </w:p>
          <w:p w:rsidR="004747C0" w:rsidRPr="00304314" w:rsidRDefault="004747C0" w:rsidP="004747C0">
            <w:pPr>
              <w:numPr>
                <w:ilvl w:val="0"/>
                <w:numId w:val="1"/>
              </w:numPr>
              <w:jc w:val="both"/>
            </w:pPr>
            <w:r w:rsidRPr="00304314">
              <w:t>biedrības „Vecāki par izglītību”;</w:t>
            </w:r>
          </w:p>
          <w:p w:rsidR="004747C0" w:rsidRPr="00304314" w:rsidRDefault="004747C0" w:rsidP="004747C0">
            <w:pPr>
              <w:numPr>
                <w:ilvl w:val="0"/>
                <w:numId w:val="1"/>
              </w:numPr>
              <w:jc w:val="both"/>
            </w:pPr>
            <w:r w:rsidRPr="00304314">
              <w:t>Pirmsskolas izglītības asociācijas;</w:t>
            </w:r>
          </w:p>
          <w:p w:rsidR="004747C0" w:rsidRPr="00304314" w:rsidRDefault="004747C0" w:rsidP="004747C0">
            <w:pPr>
              <w:numPr>
                <w:ilvl w:val="0"/>
                <w:numId w:val="1"/>
              </w:numPr>
              <w:jc w:val="both"/>
            </w:pPr>
            <w:r w:rsidRPr="00304314">
              <w:t>Izglītības kvalitātes valsts dienesta.</w:t>
            </w:r>
          </w:p>
        </w:tc>
      </w:tr>
      <w:tr w:rsidR="004747C0" w:rsidRPr="00304314" w:rsidTr="00E83D49">
        <w:tc>
          <w:tcPr>
            <w:tcW w:w="396" w:type="dxa"/>
          </w:tcPr>
          <w:p w:rsidR="004747C0" w:rsidRPr="00304314" w:rsidRDefault="004747C0" w:rsidP="00E83D49">
            <w:r w:rsidRPr="00304314">
              <w:t>3.</w:t>
            </w:r>
          </w:p>
        </w:tc>
        <w:tc>
          <w:tcPr>
            <w:tcW w:w="1878" w:type="dxa"/>
          </w:tcPr>
          <w:p w:rsidR="004747C0" w:rsidRPr="00304314" w:rsidRDefault="004747C0" w:rsidP="00E83D49">
            <w:r w:rsidRPr="00304314">
              <w:t>Sabiedrības līdzdalības rezultāti</w:t>
            </w:r>
          </w:p>
        </w:tc>
        <w:tc>
          <w:tcPr>
            <w:tcW w:w="7190" w:type="dxa"/>
          </w:tcPr>
          <w:p w:rsidR="004747C0" w:rsidRPr="00304314" w:rsidRDefault="004747C0" w:rsidP="00E83D49">
            <w:pPr>
              <w:ind w:left="33"/>
              <w:jc w:val="both"/>
            </w:pPr>
            <w:r w:rsidRPr="00304314">
              <w:t>Visi darba grupā iesaistītie pārstāvji atbalsta MK noteikumu projektu.</w:t>
            </w:r>
          </w:p>
        </w:tc>
      </w:tr>
      <w:tr w:rsidR="004747C0" w:rsidRPr="00304314" w:rsidTr="00E83D49">
        <w:tc>
          <w:tcPr>
            <w:tcW w:w="396" w:type="dxa"/>
          </w:tcPr>
          <w:p w:rsidR="004747C0" w:rsidRPr="00304314" w:rsidRDefault="00C846B5" w:rsidP="00E83D49">
            <w:r>
              <w:t>4</w:t>
            </w:r>
            <w:r w:rsidR="004747C0" w:rsidRPr="00304314">
              <w:t xml:space="preserve">. </w:t>
            </w:r>
          </w:p>
        </w:tc>
        <w:tc>
          <w:tcPr>
            <w:tcW w:w="1878" w:type="dxa"/>
          </w:tcPr>
          <w:p w:rsidR="004747C0" w:rsidRPr="00304314" w:rsidRDefault="004747C0" w:rsidP="00E83D49">
            <w:r w:rsidRPr="00304314">
              <w:t>Cita informācija</w:t>
            </w:r>
          </w:p>
        </w:tc>
        <w:tc>
          <w:tcPr>
            <w:tcW w:w="7190" w:type="dxa"/>
          </w:tcPr>
          <w:p w:rsidR="004747C0" w:rsidRPr="00304314" w:rsidRDefault="004747C0" w:rsidP="00E83D49">
            <w:pPr>
              <w:jc w:val="both"/>
            </w:pPr>
            <w:r w:rsidRPr="00304314">
              <w:t>Nav</w:t>
            </w:r>
          </w:p>
        </w:tc>
      </w:tr>
    </w:tbl>
    <w:p w:rsidR="004747C0" w:rsidRPr="00304314" w:rsidRDefault="004747C0" w:rsidP="004747C0">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89"/>
        <w:gridCol w:w="6379"/>
      </w:tblGrid>
      <w:tr w:rsidR="004747C0" w:rsidRPr="00304314" w:rsidTr="00E83D49">
        <w:tc>
          <w:tcPr>
            <w:tcW w:w="9464" w:type="dxa"/>
            <w:gridSpan w:val="3"/>
          </w:tcPr>
          <w:p w:rsidR="004747C0" w:rsidRPr="00304314" w:rsidRDefault="004747C0" w:rsidP="00E83D49">
            <w:pPr>
              <w:jc w:val="center"/>
              <w:rPr>
                <w:b/>
              </w:rPr>
            </w:pPr>
            <w:r w:rsidRPr="00304314">
              <w:rPr>
                <w:b/>
              </w:rPr>
              <w:t>VII. Tiesību akta projekta izpildes nodrošināšana un tās ietekme uz institūcijām</w:t>
            </w:r>
          </w:p>
        </w:tc>
      </w:tr>
      <w:tr w:rsidR="004747C0" w:rsidRPr="00304314" w:rsidTr="00E83D49">
        <w:tc>
          <w:tcPr>
            <w:tcW w:w="396" w:type="dxa"/>
          </w:tcPr>
          <w:p w:rsidR="004747C0" w:rsidRPr="00304314" w:rsidRDefault="004747C0" w:rsidP="00E83D49">
            <w:r w:rsidRPr="00304314">
              <w:t xml:space="preserve">1. </w:t>
            </w:r>
          </w:p>
        </w:tc>
        <w:tc>
          <w:tcPr>
            <w:tcW w:w="2689" w:type="dxa"/>
          </w:tcPr>
          <w:p w:rsidR="004747C0" w:rsidRPr="00304314" w:rsidRDefault="004747C0" w:rsidP="00E83D49">
            <w:r w:rsidRPr="00304314">
              <w:t>Projekta izpildē iesaistītās institūcijas</w:t>
            </w:r>
          </w:p>
        </w:tc>
        <w:tc>
          <w:tcPr>
            <w:tcW w:w="6379" w:type="dxa"/>
          </w:tcPr>
          <w:p w:rsidR="004747C0" w:rsidRPr="00304314" w:rsidRDefault="004747C0" w:rsidP="00E83D49">
            <w:pPr>
              <w:spacing w:before="100" w:beforeAutospacing="1" w:after="100" w:afterAutospacing="1"/>
              <w:jc w:val="both"/>
            </w:pPr>
            <w:r w:rsidRPr="00304314">
              <w:t>Izglītības kvalitātes valsts dienests</w:t>
            </w:r>
          </w:p>
        </w:tc>
      </w:tr>
      <w:tr w:rsidR="004747C0" w:rsidRPr="00304314" w:rsidTr="00E83D49">
        <w:tc>
          <w:tcPr>
            <w:tcW w:w="396" w:type="dxa"/>
          </w:tcPr>
          <w:p w:rsidR="004747C0" w:rsidRPr="00304314" w:rsidRDefault="004747C0" w:rsidP="00E83D49">
            <w:r w:rsidRPr="00304314">
              <w:t xml:space="preserve">2. </w:t>
            </w:r>
          </w:p>
        </w:tc>
        <w:tc>
          <w:tcPr>
            <w:tcW w:w="2689" w:type="dxa"/>
          </w:tcPr>
          <w:p w:rsidR="004747C0" w:rsidRDefault="004747C0" w:rsidP="00E83D49">
            <w:r w:rsidRPr="00304314">
              <w:t>Projekta izpildes ietekme uz pārvaldes funkcijām</w:t>
            </w:r>
            <w:r w:rsidR="00C846B5">
              <w:t xml:space="preserve"> un institucionālo struktūru.</w:t>
            </w:r>
          </w:p>
          <w:p w:rsidR="00C846B5" w:rsidRPr="00304314" w:rsidRDefault="00C846B5" w:rsidP="00E83D49">
            <w:r>
              <w:t>Jaunu institūciju izveide, esošu institūciju likvidācija vai reorganizācija, to ietekme uz institūcijas cilvēkresursiem</w:t>
            </w:r>
          </w:p>
        </w:tc>
        <w:tc>
          <w:tcPr>
            <w:tcW w:w="6379" w:type="dxa"/>
          </w:tcPr>
          <w:p w:rsidR="004747C0" w:rsidRDefault="004747C0" w:rsidP="00E83D49">
            <w:pPr>
              <w:jc w:val="both"/>
            </w:pPr>
            <w:r w:rsidRPr="00304314">
              <w:t xml:space="preserve">Projekts paplašina Izglītības kvalitātes valsts dienesta funkciju loku, </w:t>
            </w:r>
            <w:r w:rsidRPr="00304314">
              <w:rPr>
                <w:lang w:eastAsia="en-US"/>
              </w:rPr>
              <w:t>nosakot jaunu f</w:t>
            </w:r>
            <w:r w:rsidRPr="00304314">
              <w:t>unkciju, proti, nodrošināt valsts un pašvaldību izglītības iestāžu (izņemot augstskolas un koledžas) vadītāju profesionālās darbības novērtēšanu.</w:t>
            </w:r>
          </w:p>
          <w:p w:rsidR="00C846B5" w:rsidRPr="00304314" w:rsidRDefault="00C846B5" w:rsidP="00E83D49">
            <w:pPr>
              <w:jc w:val="both"/>
            </w:pPr>
            <w:r w:rsidRPr="00304314">
              <w:t>Saistībā ar projekta izpildi nav nepieciešams veidot jaunas institūcijas.</w:t>
            </w:r>
          </w:p>
        </w:tc>
      </w:tr>
      <w:tr w:rsidR="004747C0" w:rsidRPr="00304314" w:rsidTr="00E83D49">
        <w:tc>
          <w:tcPr>
            <w:tcW w:w="396" w:type="dxa"/>
          </w:tcPr>
          <w:p w:rsidR="004747C0" w:rsidRPr="00304314" w:rsidRDefault="00C846B5" w:rsidP="00E83D49">
            <w:r>
              <w:t>3</w:t>
            </w:r>
            <w:r w:rsidR="004747C0" w:rsidRPr="00304314">
              <w:t xml:space="preserve">. </w:t>
            </w:r>
          </w:p>
        </w:tc>
        <w:tc>
          <w:tcPr>
            <w:tcW w:w="2689" w:type="dxa"/>
          </w:tcPr>
          <w:p w:rsidR="004747C0" w:rsidRPr="00304314" w:rsidRDefault="004747C0" w:rsidP="00E83D49">
            <w:r w:rsidRPr="00304314">
              <w:t>Cita informācija</w:t>
            </w:r>
          </w:p>
        </w:tc>
        <w:tc>
          <w:tcPr>
            <w:tcW w:w="6379" w:type="dxa"/>
          </w:tcPr>
          <w:p w:rsidR="004747C0" w:rsidRPr="00304314" w:rsidRDefault="004747C0" w:rsidP="00E83D49">
            <w:pPr>
              <w:jc w:val="both"/>
              <w:rPr>
                <w:iCs/>
              </w:rPr>
            </w:pPr>
            <w:r w:rsidRPr="00304314">
              <w:rPr>
                <w:iCs/>
              </w:rPr>
              <w:t>Nav</w:t>
            </w:r>
          </w:p>
        </w:tc>
      </w:tr>
    </w:tbl>
    <w:p w:rsidR="004747C0" w:rsidRPr="00304314" w:rsidRDefault="004747C0" w:rsidP="004747C0">
      <w:pPr>
        <w:rPr>
          <w:i/>
        </w:rPr>
      </w:pPr>
    </w:p>
    <w:p w:rsidR="004747C0" w:rsidRPr="00304314" w:rsidRDefault="004747C0" w:rsidP="004747C0">
      <w:pPr>
        <w:jc w:val="center"/>
        <w:rPr>
          <w:i/>
        </w:rPr>
      </w:pPr>
      <w:r w:rsidRPr="00304314">
        <w:rPr>
          <w:i/>
        </w:rPr>
        <w:t>Anotācijas V sadaļa – projekts šo jomu neskar.</w:t>
      </w:r>
    </w:p>
    <w:p w:rsidR="004747C0" w:rsidRPr="00304314" w:rsidRDefault="004747C0" w:rsidP="004747C0">
      <w:pPr>
        <w:pStyle w:val="naisf"/>
        <w:tabs>
          <w:tab w:val="left" w:pos="5760"/>
        </w:tabs>
        <w:spacing w:before="0" w:beforeAutospacing="0" w:after="0" w:afterAutospacing="0"/>
        <w:rPr>
          <w:color w:val="auto"/>
          <w:sz w:val="28"/>
          <w:szCs w:val="28"/>
        </w:rPr>
      </w:pPr>
    </w:p>
    <w:p w:rsidR="004747C0" w:rsidRPr="00304314" w:rsidRDefault="004747C0" w:rsidP="004747C0">
      <w:pPr>
        <w:pStyle w:val="naisf"/>
        <w:tabs>
          <w:tab w:val="left" w:pos="6946"/>
        </w:tabs>
        <w:spacing w:before="0" w:after="0"/>
        <w:ind w:firstLine="720"/>
        <w:rPr>
          <w:color w:val="auto"/>
          <w:sz w:val="28"/>
          <w:szCs w:val="28"/>
        </w:rPr>
      </w:pPr>
      <w:r w:rsidRPr="00304314">
        <w:rPr>
          <w:color w:val="auto"/>
          <w:sz w:val="28"/>
          <w:szCs w:val="28"/>
        </w:rPr>
        <w:t>Ministru prezident</w:t>
      </w:r>
      <w:r>
        <w:rPr>
          <w:color w:val="auto"/>
          <w:sz w:val="28"/>
          <w:szCs w:val="28"/>
        </w:rPr>
        <w:t>e</w:t>
      </w:r>
      <w:r w:rsidRPr="00304314">
        <w:rPr>
          <w:color w:val="auto"/>
          <w:sz w:val="28"/>
          <w:szCs w:val="28"/>
        </w:rPr>
        <w:t xml:space="preserve"> </w:t>
      </w:r>
      <w:r w:rsidRPr="00304314">
        <w:rPr>
          <w:color w:val="auto"/>
          <w:sz w:val="28"/>
          <w:szCs w:val="28"/>
        </w:rPr>
        <w:tab/>
      </w:r>
      <w:r>
        <w:rPr>
          <w:color w:val="auto"/>
          <w:sz w:val="28"/>
          <w:szCs w:val="28"/>
        </w:rPr>
        <w:t>L.Straujuma</w:t>
      </w:r>
    </w:p>
    <w:p w:rsidR="004747C0" w:rsidRPr="00304314" w:rsidRDefault="004747C0" w:rsidP="004747C0">
      <w:pPr>
        <w:pStyle w:val="naisf"/>
        <w:tabs>
          <w:tab w:val="left" w:pos="6946"/>
          <w:tab w:val="left" w:pos="7797"/>
        </w:tabs>
        <w:spacing w:before="0" w:after="0"/>
        <w:ind w:firstLine="720"/>
        <w:rPr>
          <w:color w:val="auto"/>
          <w:sz w:val="28"/>
          <w:szCs w:val="28"/>
        </w:rPr>
      </w:pPr>
      <w:r w:rsidRPr="00304314">
        <w:rPr>
          <w:color w:val="auto"/>
          <w:sz w:val="28"/>
          <w:szCs w:val="28"/>
        </w:rPr>
        <w:t>Izglītības un zinātnes ministr</w:t>
      </w:r>
      <w:r>
        <w:rPr>
          <w:color w:val="auto"/>
          <w:sz w:val="28"/>
          <w:szCs w:val="28"/>
        </w:rPr>
        <w:t>e</w:t>
      </w:r>
      <w:r w:rsidRPr="00304314">
        <w:rPr>
          <w:color w:val="auto"/>
          <w:sz w:val="28"/>
          <w:szCs w:val="28"/>
        </w:rPr>
        <w:tab/>
      </w:r>
      <w:proofErr w:type="spellStart"/>
      <w:r>
        <w:rPr>
          <w:color w:val="auto"/>
          <w:sz w:val="28"/>
          <w:szCs w:val="28"/>
        </w:rPr>
        <w:t>I.Druviete</w:t>
      </w:r>
      <w:proofErr w:type="spellEnd"/>
    </w:p>
    <w:p w:rsidR="004747C0" w:rsidRPr="00304314" w:rsidRDefault="004747C0" w:rsidP="004747C0">
      <w:pPr>
        <w:pStyle w:val="naisf"/>
        <w:tabs>
          <w:tab w:val="left" w:pos="4395"/>
          <w:tab w:val="left" w:pos="7371"/>
        </w:tabs>
        <w:spacing w:before="0" w:after="0"/>
        <w:ind w:firstLine="720"/>
        <w:rPr>
          <w:color w:val="auto"/>
          <w:sz w:val="28"/>
          <w:szCs w:val="28"/>
        </w:rPr>
      </w:pPr>
      <w:r w:rsidRPr="00304314">
        <w:rPr>
          <w:color w:val="auto"/>
          <w:sz w:val="28"/>
          <w:szCs w:val="28"/>
        </w:rPr>
        <w:lastRenderedPageBreak/>
        <w:t>Iesniedzējs:</w:t>
      </w:r>
    </w:p>
    <w:p w:rsidR="004747C0" w:rsidRPr="00304314" w:rsidRDefault="004747C0" w:rsidP="004747C0">
      <w:pPr>
        <w:pStyle w:val="naisf"/>
        <w:tabs>
          <w:tab w:val="left" w:pos="6946"/>
          <w:tab w:val="left" w:pos="7797"/>
        </w:tabs>
        <w:spacing w:before="0" w:after="0"/>
        <w:ind w:firstLine="720"/>
        <w:rPr>
          <w:color w:val="auto"/>
          <w:sz w:val="28"/>
          <w:szCs w:val="28"/>
        </w:rPr>
      </w:pPr>
      <w:r w:rsidRPr="00304314">
        <w:rPr>
          <w:color w:val="auto"/>
          <w:sz w:val="28"/>
          <w:szCs w:val="28"/>
        </w:rPr>
        <w:t>Izglītības un zinātnes ministr</w:t>
      </w:r>
      <w:r>
        <w:rPr>
          <w:color w:val="auto"/>
          <w:sz w:val="28"/>
          <w:szCs w:val="28"/>
        </w:rPr>
        <w:t>e</w:t>
      </w:r>
      <w:r w:rsidRPr="00304314">
        <w:rPr>
          <w:color w:val="auto"/>
          <w:sz w:val="28"/>
          <w:szCs w:val="28"/>
        </w:rPr>
        <w:tab/>
      </w:r>
      <w:proofErr w:type="spellStart"/>
      <w:r>
        <w:rPr>
          <w:color w:val="auto"/>
          <w:sz w:val="28"/>
          <w:szCs w:val="28"/>
        </w:rPr>
        <w:t>I.Druviete</w:t>
      </w:r>
      <w:proofErr w:type="spellEnd"/>
    </w:p>
    <w:p w:rsidR="004747C0" w:rsidRPr="00304314" w:rsidRDefault="004747C0" w:rsidP="004747C0">
      <w:pPr>
        <w:pStyle w:val="naisf"/>
        <w:tabs>
          <w:tab w:val="left" w:pos="4395"/>
          <w:tab w:val="left" w:pos="6946"/>
        </w:tabs>
        <w:spacing w:before="0" w:after="0"/>
        <w:ind w:firstLine="720"/>
        <w:rPr>
          <w:color w:val="auto"/>
          <w:sz w:val="28"/>
          <w:szCs w:val="28"/>
        </w:rPr>
      </w:pPr>
      <w:r w:rsidRPr="00304314">
        <w:rPr>
          <w:color w:val="auto"/>
          <w:sz w:val="28"/>
          <w:szCs w:val="28"/>
        </w:rPr>
        <w:t>Vīza: Valsts sekretāre</w:t>
      </w:r>
      <w:r w:rsidRPr="00304314">
        <w:rPr>
          <w:color w:val="auto"/>
          <w:sz w:val="28"/>
          <w:szCs w:val="28"/>
        </w:rPr>
        <w:tab/>
      </w:r>
      <w:r w:rsidRPr="00304314">
        <w:rPr>
          <w:color w:val="auto"/>
          <w:sz w:val="28"/>
          <w:szCs w:val="28"/>
        </w:rPr>
        <w:tab/>
        <w:t>S.Liepiņa</w:t>
      </w:r>
    </w:p>
    <w:p w:rsidR="00956362" w:rsidRDefault="00B25623" w:rsidP="004747C0">
      <w:pPr>
        <w:tabs>
          <w:tab w:val="left" w:pos="6663"/>
        </w:tabs>
        <w:jc w:val="both"/>
        <w:rPr>
          <w:sz w:val="20"/>
          <w:szCs w:val="20"/>
        </w:rPr>
      </w:pPr>
      <w:bookmarkStart w:id="0" w:name="OLE_LINK1"/>
      <w:bookmarkStart w:id="1" w:name="OLE_LINK2"/>
      <w:bookmarkStart w:id="2" w:name="OLE_LINK3"/>
      <w:r>
        <w:rPr>
          <w:sz w:val="20"/>
          <w:szCs w:val="20"/>
        </w:rPr>
        <w:t>10</w:t>
      </w:r>
      <w:r w:rsidR="00077CC0">
        <w:rPr>
          <w:sz w:val="20"/>
          <w:szCs w:val="20"/>
        </w:rPr>
        <w:t>.06.</w:t>
      </w:r>
      <w:r w:rsidR="00B71E51">
        <w:rPr>
          <w:sz w:val="20"/>
          <w:szCs w:val="20"/>
        </w:rPr>
        <w:t xml:space="preserve">2014. </w:t>
      </w:r>
      <w:r w:rsidR="00077CC0">
        <w:rPr>
          <w:sz w:val="20"/>
          <w:szCs w:val="20"/>
        </w:rPr>
        <w:t>09</w:t>
      </w:r>
      <w:r w:rsidR="00C91AE2">
        <w:rPr>
          <w:sz w:val="20"/>
          <w:szCs w:val="20"/>
        </w:rPr>
        <w:t>:</w:t>
      </w:r>
      <w:r>
        <w:rPr>
          <w:sz w:val="20"/>
          <w:szCs w:val="20"/>
        </w:rPr>
        <w:t>13</w:t>
      </w:r>
      <w:bookmarkStart w:id="3" w:name="_GoBack"/>
      <w:bookmarkEnd w:id="3"/>
    </w:p>
    <w:p w:rsidR="00956362" w:rsidRDefault="00B531AC" w:rsidP="004747C0">
      <w:pPr>
        <w:tabs>
          <w:tab w:val="left" w:pos="6663"/>
        </w:tabs>
        <w:jc w:val="both"/>
        <w:rPr>
          <w:sz w:val="20"/>
          <w:szCs w:val="20"/>
        </w:rPr>
      </w:pPr>
      <w:r>
        <w:rPr>
          <w:sz w:val="20"/>
          <w:szCs w:val="20"/>
        </w:rPr>
        <w:t>50</w:t>
      </w:r>
      <w:r w:rsidR="00744AC8">
        <w:rPr>
          <w:sz w:val="20"/>
          <w:szCs w:val="20"/>
        </w:rPr>
        <w:t>66</w:t>
      </w:r>
    </w:p>
    <w:p w:rsidR="00956362" w:rsidRDefault="00956362" w:rsidP="004747C0">
      <w:pPr>
        <w:tabs>
          <w:tab w:val="left" w:pos="6663"/>
        </w:tabs>
        <w:jc w:val="both"/>
        <w:rPr>
          <w:sz w:val="20"/>
          <w:szCs w:val="20"/>
        </w:rPr>
      </w:pPr>
    </w:p>
    <w:p w:rsidR="004747C0" w:rsidRPr="00304314" w:rsidRDefault="004747C0" w:rsidP="004747C0">
      <w:pPr>
        <w:tabs>
          <w:tab w:val="left" w:pos="6663"/>
        </w:tabs>
        <w:jc w:val="both"/>
        <w:rPr>
          <w:sz w:val="20"/>
          <w:szCs w:val="20"/>
        </w:rPr>
      </w:pPr>
      <w:r w:rsidRPr="00304314">
        <w:rPr>
          <w:sz w:val="20"/>
          <w:szCs w:val="20"/>
        </w:rPr>
        <w:t>I.Juhņēviča</w:t>
      </w:r>
    </w:p>
    <w:p w:rsidR="004747C0" w:rsidRPr="00304314" w:rsidRDefault="004747C0" w:rsidP="004747C0">
      <w:pPr>
        <w:tabs>
          <w:tab w:val="left" w:pos="6663"/>
        </w:tabs>
        <w:jc w:val="both"/>
        <w:rPr>
          <w:sz w:val="22"/>
          <w:szCs w:val="22"/>
          <w:u w:val="single"/>
        </w:rPr>
      </w:pPr>
      <w:r w:rsidRPr="00304314">
        <w:rPr>
          <w:sz w:val="20"/>
          <w:szCs w:val="20"/>
        </w:rPr>
        <w:t>67222504</w:t>
      </w:r>
      <w:r w:rsidRPr="00304314">
        <w:rPr>
          <w:sz w:val="20"/>
          <w:szCs w:val="22"/>
        </w:rPr>
        <w:t xml:space="preserve">, </w:t>
      </w:r>
      <w:bookmarkEnd w:id="0"/>
      <w:bookmarkEnd w:id="1"/>
      <w:bookmarkEnd w:id="2"/>
      <w:r w:rsidRPr="00304314">
        <w:rPr>
          <w:sz w:val="20"/>
          <w:u w:val="single"/>
        </w:rPr>
        <w:fldChar w:fldCharType="begin"/>
      </w:r>
      <w:r w:rsidRPr="00304314">
        <w:rPr>
          <w:sz w:val="20"/>
          <w:u w:val="single"/>
        </w:rPr>
        <w:instrText xml:space="preserve"> HYPERLINK "mailto:</w:instrText>
      </w:r>
      <w:r w:rsidRPr="00304314">
        <w:rPr>
          <w:sz w:val="20"/>
          <w:szCs w:val="22"/>
          <w:u w:val="single"/>
        </w:rPr>
        <w:instrText>inita.juhnevica@ikvd.gov.lv</w:instrText>
      </w:r>
      <w:r w:rsidRPr="00304314">
        <w:rPr>
          <w:sz w:val="20"/>
          <w:u w:val="single"/>
        </w:rPr>
        <w:instrText xml:space="preserve">" </w:instrText>
      </w:r>
      <w:r w:rsidRPr="00304314">
        <w:rPr>
          <w:sz w:val="20"/>
          <w:u w:val="single"/>
        </w:rPr>
        <w:fldChar w:fldCharType="separate"/>
      </w:r>
      <w:r w:rsidRPr="00304314">
        <w:rPr>
          <w:rStyle w:val="Hyperlink"/>
          <w:sz w:val="20"/>
        </w:rPr>
        <w:t>inita.juhnevica@ikvd.gov.lv</w:t>
      </w:r>
      <w:r w:rsidRPr="00304314">
        <w:rPr>
          <w:sz w:val="20"/>
          <w:u w:val="single"/>
        </w:rPr>
        <w:fldChar w:fldCharType="end"/>
      </w:r>
    </w:p>
    <w:p w:rsidR="004747C0" w:rsidRPr="00304314" w:rsidRDefault="004747C0" w:rsidP="004747C0">
      <w:pPr>
        <w:tabs>
          <w:tab w:val="left" w:pos="6663"/>
        </w:tabs>
        <w:jc w:val="both"/>
        <w:rPr>
          <w:sz w:val="20"/>
          <w:szCs w:val="20"/>
        </w:rPr>
      </w:pPr>
    </w:p>
    <w:p w:rsidR="004747C0" w:rsidRPr="00304314" w:rsidRDefault="004747C0" w:rsidP="004747C0">
      <w:pPr>
        <w:tabs>
          <w:tab w:val="left" w:pos="6663"/>
        </w:tabs>
        <w:jc w:val="both"/>
        <w:rPr>
          <w:sz w:val="20"/>
          <w:szCs w:val="20"/>
        </w:rPr>
      </w:pPr>
      <w:r w:rsidRPr="00304314">
        <w:rPr>
          <w:sz w:val="20"/>
          <w:szCs w:val="20"/>
        </w:rPr>
        <w:t>K.Strūberga</w:t>
      </w:r>
    </w:p>
    <w:p w:rsidR="004747C0" w:rsidRPr="00304314" w:rsidRDefault="004747C0" w:rsidP="004747C0">
      <w:pPr>
        <w:tabs>
          <w:tab w:val="left" w:pos="6663"/>
        </w:tabs>
        <w:jc w:val="both"/>
        <w:rPr>
          <w:sz w:val="20"/>
          <w:szCs w:val="20"/>
        </w:rPr>
      </w:pPr>
      <w:r w:rsidRPr="00304314">
        <w:rPr>
          <w:sz w:val="20"/>
          <w:szCs w:val="20"/>
        </w:rPr>
        <w:t xml:space="preserve">67387864; </w:t>
      </w:r>
      <w:hyperlink r:id="rId9" w:history="1">
        <w:r w:rsidRPr="00304314">
          <w:rPr>
            <w:rStyle w:val="Hyperlink"/>
            <w:sz w:val="20"/>
            <w:szCs w:val="20"/>
          </w:rPr>
          <w:t>kristine.struberga@ikvd.gov.lv</w:t>
        </w:r>
      </w:hyperlink>
    </w:p>
    <w:p w:rsidR="004747C0" w:rsidRPr="00304314" w:rsidRDefault="004747C0" w:rsidP="004747C0">
      <w:pPr>
        <w:tabs>
          <w:tab w:val="left" w:pos="6663"/>
        </w:tabs>
        <w:jc w:val="both"/>
        <w:rPr>
          <w:sz w:val="20"/>
          <w:szCs w:val="20"/>
        </w:rPr>
      </w:pPr>
    </w:p>
    <w:p w:rsidR="004747C0" w:rsidRPr="00304314" w:rsidRDefault="004747C0" w:rsidP="004747C0">
      <w:pPr>
        <w:tabs>
          <w:tab w:val="left" w:pos="6663"/>
        </w:tabs>
        <w:jc w:val="both"/>
        <w:rPr>
          <w:sz w:val="20"/>
          <w:szCs w:val="20"/>
        </w:rPr>
      </w:pPr>
      <w:r w:rsidRPr="00304314">
        <w:rPr>
          <w:sz w:val="20"/>
          <w:szCs w:val="20"/>
        </w:rPr>
        <w:t>I.Masule</w:t>
      </w:r>
    </w:p>
    <w:p w:rsidR="004747C0" w:rsidRPr="00304314" w:rsidRDefault="004747C0" w:rsidP="004747C0">
      <w:pPr>
        <w:tabs>
          <w:tab w:val="left" w:pos="6663"/>
        </w:tabs>
        <w:jc w:val="both"/>
        <w:rPr>
          <w:sz w:val="20"/>
          <w:szCs w:val="20"/>
        </w:rPr>
      </w:pPr>
      <w:r w:rsidRPr="00304314">
        <w:rPr>
          <w:sz w:val="20"/>
          <w:szCs w:val="20"/>
        </w:rPr>
        <w:t xml:space="preserve">67387866; </w:t>
      </w:r>
      <w:hyperlink r:id="rId10" w:history="1">
        <w:r w:rsidRPr="00304314">
          <w:rPr>
            <w:rStyle w:val="Hyperlink"/>
            <w:sz w:val="20"/>
            <w:szCs w:val="20"/>
          </w:rPr>
          <w:t>ina.masule@ikvd.gov.lv</w:t>
        </w:r>
      </w:hyperlink>
      <w:r w:rsidRPr="00304314">
        <w:rPr>
          <w:sz w:val="20"/>
          <w:szCs w:val="20"/>
        </w:rPr>
        <w:t xml:space="preserve"> </w:t>
      </w:r>
    </w:p>
    <w:p w:rsidR="00C82461" w:rsidRDefault="00C82461"/>
    <w:sectPr w:rsidR="00C82461" w:rsidSect="00E83D49">
      <w:headerReference w:type="even" r:id="rId11"/>
      <w:headerReference w:type="default" r:id="rId12"/>
      <w:footerReference w:type="default" r:id="rId13"/>
      <w:footerReference w:type="first" r:id="rId14"/>
      <w:pgSz w:w="11906" w:h="16838"/>
      <w:pgMar w:top="1618" w:right="92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31" w:rsidRDefault="00F56D31">
      <w:r>
        <w:separator/>
      </w:r>
    </w:p>
  </w:endnote>
  <w:endnote w:type="continuationSeparator" w:id="0">
    <w:p w:rsidR="00F56D31" w:rsidRDefault="00F5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9" w:rsidRPr="00D644CD" w:rsidRDefault="00E83D49" w:rsidP="00E83D49">
    <w:pPr>
      <w:jc w:val="both"/>
      <w:rPr>
        <w:sz w:val="20"/>
        <w:szCs w:val="20"/>
      </w:rPr>
    </w:pPr>
    <w:r w:rsidRPr="000606B0">
      <w:rPr>
        <w:sz w:val="20"/>
        <w:szCs w:val="20"/>
      </w:rPr>
      <w:t>IZMAnot_</w:t>
    </w:r>
    <w:r w:rsidR="00B25623">
      <w:rPr>
        <w:sz w:val="20"/>
        <w:szCs w:val="20"/>
      </w:rPr>
      <w:t>10</w:t>
    </w:r>
    <w:r w:rsidR="00077CC0">
      <w:rPr>
        <w:sz w:val="20"/>
        <w:szCs w:val="20"/>
      </w:rPr>
      <w:t>06</w:t>
    </w:r>
    <w:r>
      <w:rPr>
        <w:sz w:val="20"/>
        <w:szCs w:val="20"/>
      </w:rPr>
      <w:t>14</w:t>
    </w:r>
    <w:r w:rsidRPr="000606B0">
      <w:rPr>
        <w:sz w:val="20"/>
        <w:szCs w:val="20"/>
      </w:rPr>
      <w:t>_akred</w:t>
    </w:r>
    <w:r w:rsidRPr="00EA09BB">
      <w:rPr>
        <w:sz w:val="20"/>
        <w:szCs w:val="20"/>
      </w:rPr>
      <w:t xml:space="preserve">; </w:t>
    </w:r>
    <w:r w:rsidRPr="00EA09BB">
      <w:rPr>
        <w:bCs/>
        <w:sz w:val="20"/>
        <w:szCs w:val="20"/>
      </w:rPr>
      <w:t>Ministru kabineta noteikumu projekt</w:t>
    </w:r>
    <w:r>
      <w:rPr>
        <w:bCs/>
        <w:sz w:val="20"/>
        <w:szCs w:val="20"/>
      </w:rPr>
      <w:t>s</w:t>
    </w:r>
    <w:r w:rsidRPr="00EA09BB">
      <w:rPr>
        <w:bCs/>
        <w:sz w:val="20"/>
        <w:szCs w:val="20"/>
      </w:rPr>
      <w:t xml:space="preserve"> „</w:t>
    </w:r>
    <w:r w:rsidRPr="00304314">
      <w:rPr>
        <w:sz w:val="20"/>
        <w:szCs w:val="20"/>
      </w:rPr>
      <w:t>Kārtība, kādā akreditē izglītības iestādes</w:t>
    </w:r>
    <w:r>
      <w:rPr>
        <w:sz w:val="20"/>
        <w:szCs w:val="20"/>
      </w:rPr>
      <w:t>,</w:t>
    </w:r>
    <w:r w:rsidRPr="00304314">
      <w:rPr>
        <w:sz w:val="20"/>
        <w:szCs w:val="20"/>
      </w:rPr>
      <w:t xml:space="preserve"> eksaminācijas centrus un citas institūcijas, vispārējās un profesionālās izglītības programmas un novērtē valsts un pašvaldību izglītības iestāžu vadītāju profesionālo darbību</w:t>
    </w:r>
    <w:r>
      <w:rPr>
        <w:sz w:val="20"/>
        <w:szCs w:val="20"/>
      </w:rPr>
      <w:t>”</w:t>
    </w:r>
    <w:r w:rsidRPr="00EA09BB">
      <w:rPr>
        <w:sz w:val="20"/>
        <w:szCs w:val="20"/>
      </w:rPr>
      <w:t xml:space="preserve"> (anotācija)</w:t>
    </w:r>
  </w:p>
  <w:p w:rsidR="00E83D49" w:rsidRPr="00D644CD" w:rsidRDefault="00E83D49" w:rsidP="00E83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9" w:rsidRPr="00D644CD" w:rsidRDefault="00E83D49" w:rsidP="00E83D49">
    <w:pPr>
      <w:jc w:val="both"/>
      <w:rPr>
        <w:sz w:val="20"/>
        <w:szCs w:val="20"/>
      </w:rPr>
    </w:pPr>
    <w:r w:rsidRPr="000606B0">
      <w:rPr>
        <w:sz w:val="20"/>
        <w:szCs w:val="20"/>
      </w:rPr>
      <w:t>IZMAnot_</w:t>
    </w:r>
    <w:r w:rsidR="00B25623">
      <w:rPr>
        <w:sz w:val="20"/>
        <w:szCs w:val="20"/>
      </w:rPr>
      <w:t>10</w:t>
    </w:r>
    <w:r w:rsidR="00077CC0">
      <w:rPr>
        <w:sz w:val="20"/>
        <w:szCs w:val="20"/>
      </w:rPr>
      <w:t>06</w:t>
    </w:r>
    <w:r>
      <w:rPr>
        <w:sz w:val="20"/>
        <w:szCs w:val="20"/>
      </w:rPr>
      <w:t>14</w:t>
    </w:r>
    <w:r w:rsidRPr="000606B0">
      <w:rPr>
        <w:sz w:val="20"/>
        <w:szCs w:val="20"/>
      </w:rPr>
      <w:t>_akred</w:t>
    </w:r>
    <w:r w:rsidRPr="00EA09BB">
      <w:rPr>
        <w:sz w:val="20"/>
        <w:szCs w:val="20"/>
      </w:rPr>
      <w:t xml:space="preserve">; </w:t>
    </w:r>
    <w:r w:rsidRPr="00EA09BB">
      <w:rPr>
        <w:bCs/>
        <w:sz w:val="20"/>
        <w:szCs w:val="20"/>
      </w:rPr>
      <w:t>Ministru kabineta noteikumu projekt</w:t>
    </w:r>
    <w:r>
      <w:rPr>
        <w:bCs/>
        <w:sz w:val="20"/>
        <w:szCs w:val="20"/>
      </w:rPr>
      <w:t>s</w:t>
    </w:r>
    <w:r w:rsidRPr="00EA09BB">
      <w:rPr>
        <w:bCs/>
        <w:sz w:val="20"/>
        <w:szCs w:val="20"/>
      </w:rPr>
      <w:t xml:space="preserve"> „</w:t>
    </w:r>
    <w:r w:rsidRPr="00304314">
      <w:rPr>
        <w:sz w:val="20"/>
        <w:szCs w:val="20"/>
      </w:rPr>
      <w:t>Kārtība, kādā akreditē izglītības iestādes</w:t>
    </w:r>
    <w:r>
      <w:rPr>
        <w:sz w:val="20"/>
        <w:szCs w:val="20"/>
      </w:rPr>
      <w:t>,</w:t>
    </w:r>
    <w:r w:rsidRPr="00304314">
      <w:rPr>
        <w:sz w:val="20"/>
        <w:szCs w:val="20"/>
      </w:rPr>
      <w:t xml:space="preserve"> eksaminācijas centrus un citas institūcijas, vispārējās un profesionālās izglītības programmas un novērtē valsts un pašvaldību izglītības iestāžu vadītāju profesionālo darbību</w:t>
    </w:r>
    <w:r>
      <w:rPr>
        <w:sz w:val="20"/>
        <w:szCs w:val="20"/>
      </w:rPr>
      <w:t>”</w:t>
    </w:r>
    <w:r w:rsidRPr="00EA09BB">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31" w:rsidRDefault="00F56D31">
      <w:r>
        <w:separator/>
      </w:r>
    </w:p>
  </w:footnote>
  <w:footnote w:type="continuationSeparator" w:id="0">
    <w:p w:rsidR="00F56D31" w:rsidRDefault="00F56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9" w:rsidRDefault="00E83D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3D49" w:rsidRDefault="00E83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9" w:rsidRDefault="00E83D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5623">
      <w:rPr>
        <w:rStyle w:val="PageNumber"/>
        <w:noProof/>
      </w:rPr>
      <w:t>16</w:t>
    </w:r>
    <w:r>
      <w:rPr>
        <w:rStyle w:val="PageNumber"/>
      </w:rPr>
      <w:fldChar w:fldCharType="end"/>
    </w:r>
  </w:p>
  <w:p w:rsidR="00E83D49" w:rsidRDefault="00E83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C786A"/>
    <w:multiLevelType w:val="hybridMultilevel"/>
    <w:tmpl w:val="23500D2C"/>
    <w:lvl w:ilvl="0" w:tplc="03DEC2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8EA5DCC"/>
    <w:multiLevelType w:val="hybridMultilevel"/>
    <w:tmpl w:val="C1383B1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73445272"/>
    <w:multiLevelType w:val="hybridMultilevel"/>
    <w:tmpl w:val="2D78D674"/>
    <w:lvl w:ilvl="0" w:tplc="5232CF1E">
      <w:start w:val="2"/>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C0"/>
    <w:rsid w:val="00017938"/>
    <w:rsid w:val="000243C1"/>
    <w:rsid w:val="00077CC0"/>
    <w:rsid w:val="000A2872"/>
    <w:rsid w:val="00136C5C"/>
    <w:rsid w:val="0023416E"/>
    <w:rsid w:val="0023722F"/>
    <w:rsid w:val="002638A9"/>
    <w:rsid w:val="00391159"/>
    <w:rsid w:val="003D638D"/>
    <w:rsid w:val="004049AC"/>
    <w:rsid w:val="00422E1E"/>
    <w:rsid w:val="0043708B"/>
    <w:rsid w:val="0047254C"/>
    <w:rsid w:val="004747C0"/>
    <w:rsid w:val="004B30FF"/>
    <w:rsid w:val="00542BDD"/>
    <w:rsid w:val="005759CB"/>
    <w:rsid w:val="005B2710"/>
    <w:rsid w:val="00607FE8"/>
    <w:rsid w:val="00653576"/>
    <w:rsid w:val="006C6BFE"/>
    <w:rsid w:val="006F2785"/>
    <w:rsid w:val="0070240A"/>
    <w:rsid w:val="00744AC8"/>
    <w:rsid w:val="007608CB"/>
    <w:rsid w:val="00767A08"/>
    <w:rsid w:val="00792696"/>
    <w:rsid w:val="007D385D"/>
    <w:rsid w:val="00853D15"/>
    <w:rsid w:val="00884263"/>
    <w:rsid w:val="008C74F4"/>
    <w:rsid w:val="008E7516"/>
    <w:rsid w:val="00904B92"/>
    <w:rsid w:val="0091642D"/>
    <w:rsid w:val="0094496B"/>
    <w:rsid w:val="00956362"/>
    <w:rsid w:val="009F4763"/>
    <w:rsid w:val="00A01F10"/>
    <w:rsid w:val="00A17D8E"/>
    <w:rsid w:val="00A93A63"/>
    <w:rsid w:val="00AB46BC"/>
    <w:rsid w:val="00B25623"/>
    <w:rsid w:val="00B531AC"/>
    <w:rsid w:val="00B550FC"/>
    <w:rsid w:val="00B71E51"/>
    <w:rsid w:val="00B80DE0"/>
    <w:rsid w:val="00BA0655"/>
    <w:rsid w:val="00BC78CA"/>
    <w:rsid w:val="00C37672"/>
    <w:rsid w:val="00C76ADE"/>
    <w:rsid w:val="00C82461"/>
    <w:rsid w:val="00C846B5"/>
    <w:rsid w:val="00C91AE2"/>
    <w:rsid w:val="00D94E57"/>
    <w:rsid w:val="00E1500C"/>
    <w:rsid w:val="00E3167D"/>
    <w:rsid w:val="00E37F37"/>
    <w:rsid w:val="00E73DC5"/>
    <w:rsid w:val="00E83D49"/>
    <w:rsid w:val="00E96E31"/>
    <w:rsid w:val="00EB7832"/>
    <w:rsid w:val="00EC017F"/>
    <w:rsid w:val="00EC2AAC"/>
    <w:rsid w:val="00ED1252"/>
    <w:rsid w:val="00F03AB6"/>
    <w:rsid w:val="00F130C7"/>
    <w:rsid w:val="00F36CB2"/>
    <w:rsid w:val="00F548C8"/>
    <w:rsid w:val="00F56D31"/>
    <w:rsid w:val="00F77A36"/>
    <w:rsid w:val="00F947B5"/>
    <w:rsid w:val="00F950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C0"/>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BodyText"/>
    <w:link w:val="Heading3Char"/>
    <w:qFormat/>
    <w:rsid w:val="004747C0"/>
    <w:pPr>
      <w:keepNext/>
      <w:keepLines/>
      <w:spacing w:after="240" w:line="240" w:lineRule="atLeast"/>
      <w:outlineLvl w:val="2"/>
    </w:pPr>
    <w:rPr>
      <w:rFonts w:ascii="Garamond" w:hAnsi="Garamond"/>
      <w:i/>
      <w:kern w:val="2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47C0"/>
    <w:rPr>
      <w:rFonts w:ascii="Garamond" w:eastAsia="Times New Roman" w:hAnsi="Garamond" w:cs="Times New Roman"/>
      <w:i/>
      <w:kern w:val="20"/>
      <w:sz w:val="20"/>
      <w:szCs w:val="20"/>
      <w:lang w:val="x-none" w:eastAsia="x-none"/>
    </w:rPr>
  </w:style>
  <w:style w:type="paragraph" w:customStyle="1" w:styleId="naisf">
    <w:name w:val="naisf"/>
    <w:basedOn w:val="Normal"/>
    <w:link w:val="naisfChar"/>
    <w:rsid w:val="004747C0"/>
    <w:pPr>
      <w:spacing w:before="100" w:beforeAutospacing="1" w:after="100" w:afterAutospacing="1"/>
    </w:pPr>
    <w:rPr>
      <w:color w:val="000000"/>
    </w:rPr>
  </w:style>
  <w:style w:type="character" w:styleId="Hyperlink">
    <w:name w:val="Hyperlink"/>
    <w:rsid w:val="004747C0"/>
    <w:rPr>
      <w:color w:val="0000FF"/>
      <w:u w:val="single"/>
    </w:rPr>
  </w:style>
  <w:style w:type="paragraph" w:styleId="Footer">
    <w:name w:val="footer"/>
    <w:basedOn w:val="Normal"/>
    <w:link w:val="FooterChar"/>
    <w:rsid w:val="004747C0"/>
    <w:pPr>
      <w:spacing w:before="100" w:beforeAutospacing="1" w:after="100" w:afterAutospacing="1"/>
    </w:pPr>
    <w:rPr>
      <w:color w:val="000000"/>
    </w:rPr>
  </w:style>
  <w:style w:type="character" w:customStyle="1" w:styleId="FooterChar">
    <w:name w:val="Footer Char"/>
    <w:basedOn w:val="DefaultParagraphFont"/>
    <w:link w:val="Footer"/>
    <w:rsid w:val="004747C0"/>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4747C0"/>
    <w:pPr>
      <w:tabs>
        <w:tab w:val="center" w:pos="4153"/>
        <w:tab w:val="right" w:pos="8306"/>
      </w:tabs>
    </w:pPr>
  </w:style>
  <w:style w:type="character" w:customStyle="1" w:styleId="HeaderChar">
    <w:name w:val="Header Char"/>
    <w:basedOn w:val="DefaultParagraphFont"/>
    <w:link w:val="Header"/>
    <w:rsid w:val="004747C0"/>
    <w:rPr>
      <w:rFonts w:ascii="Times New Roman" w:eastAsia="Times New Roman" w:hAnsi="Times New Roman" w:cs="Times New Roman"/>
      <w:sz w:val="24"/>
      <w:szCs w:val="24"/>
      <w:lang w:eastAsia="lv-LV"/>
    </w:rPr>
  </w:style>
  <w:style w:type="character" w:styleId="PageNumber">
    <w:name w:val="page number"/>
    <w:basedOn w:val="DefaultParagraphFont"/>
    <w:rsid w:val="004747C0"/>
  </w:style>
  <w:style w:type="character" w:customStyle="1" w:styleId="naisfChar">
    <w:name w:val="naisf Char"/>
    <w:link w:val="naisf"/>
    <w:locked/>
    <w:rsid w:val="004747C0"/>
    <w:rPr>
      <w:rFonts w:ascii="Times New Roman" w:eastAsia="Times New Roman" w:hAnsi="Times New Roman" w:cs="Times New Roman"/>
      <w:color w:val="000000"/>
      <w:sz w:val="24"/>
      <w:szCs w:val="24"/>
      <w:lang w:eastAsia="lv-LV"/>
    </w:rPr>
  </w:style>
  <w:style w:type="paragraph" w:customStyle="1" w:styleId="naisc">
    <w:name w:val="naisc"/>
    <w:basedOn w:val="Normal"/>
    <w:rsid w:val="004747C0"/>
    <w:pPr>
      <w:spacing w:before="75" w:after="75"/>
      <w:jc w:val="center"/>
    </w:pPr>
  </w:style>
  <w:style w:type="paragraph" w:styleId="BodyText">
    <w:name w:val="Body Text"/>
    <w:basedOn w:val="Normal"/>
    <w:link w:val="BodyTextChar"/>
    <w:uiPriority w:val="99"/>
    <w:semiHidden/>
    <w:unhideWhenUsed/>
    <w:rsid w:val="004747C0"/>
    <w:pPr>
      <w:spacing w:after="120"/>
    </w:pPr>
  </w:style>
  <w:style w:type="character" w:customStyle="1" w:styleId="BodyTextChar">
    <w:name w:val="Body Text Char"/>
    <w:basedOn w:val="DefaultParagraphFont"/>
    <w:link w:val="BodyText"/>
    <w:uiPriority w:val="99"/>
    <w:semiHidden/>
    <w:rsid w:val="004747C0"/>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B7832"/>
    <w:pPr>
      <w:ind w:left="720"/>
      <w:contextualSpacing/>
    </w:pPr>
  </w:style>
  <w:style w:type="character" w:styleId="CommentReference">
    <w:name w:val="annotation reference"/>
    <w:basedOn w:val="DefaultParagraphFont"/>
    <w:uiPriority w:val="99"/>
    <w:semiHidden/>
    <w:unhideWhenUsed/>
    <w:rsid w:val="0043708B"/>
    <w:rPr>
      <w:sz w:val="16"/>
      <w:szCs w:val="16"/>
    </w:rPr>
  </w:style>
  <w:style w:type="paragraph" w:styleId="CommentText">
    <w:name w:val="annotation text"/>
    <w:basedOn w:val="Normal"/>
    <w:link w:val="CommentTextChar"/>
    <w:uiPriority w:val="99"/>
    <w:semiHidden/>
    <w:unhideWhenUsed/>
    <w:rsid w:val="0043708B"/>
    <w:rPr>
      <w:sz w:val="20"/>
      <w:szCs w:val="20"/>
    </w:rPr>
  </w:style>
  <w:style w:type="character" w:customStyle="1" w:styleId="CommentTextChar">
    <w:name w:val="Comment Text Char"/>
    <w:basedOn w:val="DefaultParagraphFont"/>
    <w:link w:val="CommentText"/>
    <w:uiPriority w:val="99"/>
    <w:semiHidden/>
    <w:rsid w:val="0043708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3708B"/>
    <w:rPr>
      <w:b/>
      <w:bCs/>
    </w:rPr>
  </w:style>
  <w:style w:type="character" w:customStyle="1" w:styleId="CommentSubjectChar">
    <w:name w:val="Comment Subject Char"/>
    <w:basedOn w:val="CommentTextChar"/>
    <w:link w:val="CommentSubject"/>
    <w:uiPriority w:val="99"/>
    <w:semiHidden/>
    <w:rsid w:val="0043708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3708B"/>
    <w:rPr>
      <w:rFonts w:ascii="Tahoma" w:hAnsi="Tahoma" w:cs="Tahoma"/>
      <w:sz w:val="16"/>
      <w:szCs w:val="16"/>
    </w:rPr>
  </w:style>
  <w:style w:type="character" w:customStyle="1" w:styleId="BalloonTextChar">
    <w:name w:val="Balloon Text Char"/>
    <w:basedOn w:val="DefaultParagraphFont"/>
    <w:link w:val="BalloonText"/>
    <w:uiPriority w:val="99"/>
    <w:semiHidden/>
    <w:rsid w:val="0043708B"/>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C0"/>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BodyText"/>
    <w:link w:val="Heading3Char"/>
    <w:qFormat/>
    <w:rsid w:val="004747C0"/>
    <w:pPr>
      <w:keepNext/>
      <w:keepLines/>
      <w:spacing w:after="240" w:line="240" w:lineRule="atLeast"/>
      <w:outlineLvl w:val="2"/>
    </w:pPr>
    <w:rPr>
      <w:rFonts w:ascii="Garamond" w:hAnsi="Garamond"/>
      <w:i/>
      <w:kern w:val="2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47C0"/>
    <w:rPr>
      <w:rFonts w:ascii="Garamond" w:eastAsia="Times New Roman" w:hAnsi="Garamond" w:cs="Times New Roman"/>
      <w:i/>
      <w:kern w:val="20"/>
      <w:sz w:val="20"/>
      <w:szCs w:val="20"/>
      <w:lang w:val="x-none" w:eastAsia="x-none"/>
    </w:rPr>
  </w:style>
  <w:style w:type="paragraph" w:customStyle="1" w:styleId="naisf">
    <w:name w:val="naisf"/>
    <w:basedOn w:val="Normal"/>
    <w:link w:val="naisfChar"/>
    <w:rsid w:val="004747C0"/>
    <w:pPr>
      <w:spacing w:before="100" w:beforeAutospacing="1" w:after="100" w:afterAutospacing="1"/>
    </w:pPr>
    <w:rPr>
      <w:color w:val="000000"/>
    </w:rPr>
  </w:style>
  <w:style w:type="character" w:styleId="Hyperlink">
    <w:name w:val="Hyperlink"/>
    <w:rsid w:val="004747C0"/>
    <w:rPr>
      <w:color w:val="0000FF"/>
      <w:u w:val="single"/>
    </w:rPr>
  </w:style>
  <w:style w:type="paragraph" w:styleId="Footer">
    <w:name w:val="footer"/>
    <w:basedOn w:val="Normal"/>
    <w:link w:val="FooterChar"/>
    <w:rsid w:val="004747C0"/>
    <w:pPr>
      <w:spacing w:before="100" w:beforeAutospacing="1" w:after="100" w:afterAutospacing="1"/>
    </w:pPr>
    <w:rPr>
      <w:color w:val="000000"/>
    </w:rPr>
  </w:style>
  <w:style w:type="character" w:customStyle="1" w:styleId="FooterChar">
    <w:name w:val="Footer Char"/>
    <w:basedOn w:val="DefaultParagraphFont"/>
    <w:link w:val="Footer"/>
    <w:rsid w:val="004747C0"/>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4747C0"/>
    <w:pPr>
      <w:tabs>
        <w:tab w:val="center" w:pos="4153"/>
        <w:tab w:val="right" w:pos="8306"/>
      </w:tabs>
    </w:pPr>
  </w:style>
  <w:style w:type="character" w:customStyle="1" w:styleId="HeaderChar">
    <w:name w:val="Header Char"/>
    <w:basedOn w:val="DefaultParagraphFont"/>
    <w:link w:val="Header"/>
    <w:rsid w:val="004747C0"/>
    <w:rPr>
      <w:rFonts w:ascii="Times New Roman" w:eastAsia="Times New Roman" w:hAnsi="Times New Roman" w:cs="Times New Roman"/>
      <w:sz w:val="24"/>
      <w:szCs w:val="24"/>
      <w:lang w:eastAsia="lv-LV"/>
    </w:rPr>
  </w:style>
  <w:style w:type="character" w:styleId="PageNumber">
    <w:name w:val="page number"/>
    <w:basedOn w:val="DefaultParagraphFont"/>
    <w:rsid w:val="004747C0"/>
  </w:style>
  <w:style w:type="character" w:customStyle="1" w:styleId="naisfChar">
    <w:name w:val="naisf Char"/>
    <w:link w:val="naisf"/>
    <w:locked/>
    <w:rsid w:val="004747C0"/>
    <w:rPr>
      <w:rFonts w:ascii="Times New Roman" w:eastAsia="Times New Roman" w:hAnsi="Times New Roman" w:cs="Times New Roman"/>
      <w:color w:val="000000"/>
      <w:sz w:val="24"/>
      <w:szCs w:val="24"/>
      <w:lang w:eastAsia="lv-LV"/>
    </w:rPr>
  </w:style>
  <w:style w:type="paragraph" w:customStyle="1" w:styleId="naisc">
    <w:name w:val="naisc"/>
    <w:basedOn w:val="Normal"/>
    <w:rsid w:val="004747C0"/>
    <w:pPr>
      <w:spacing w:before="75" w:after="75"/>
      <w:jc w:val="center"/>
    </w:pPr>
  </w:style>
  <w:style w:type="paragraph" w:styleId="BodyText">
    <w:name w:val="Body Text"/>
    <w:basedOn w:val="Normal"/>
    <w:link w:val="BodyTextChar"/>
    <w:uiPriority w:val="99"/>
    <w:semiHidden/>
    <w:unhideWhenUsed/>
    <w:rsid w:val="004747C0"/>
    <w:pPr>
      <w:spacing w:after="120"/>
    </w:pPr>
  </w:style>
  <w:style w:type="character" w:customStyle="1" w:styleId="BodyTextChar">
    <w:name w:val="Body Text Char"/>
    <w:basedOn w:val="DefaultParagraphFont"/>
    <w:link w:val="BodyText"/>
    <w:uiPriority w:val="99"/>
    <w:semiHidden/>
    <w:rsid w:val="004747C0"/>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B7832"/>
    <w:pPr>
      <w:ind w:left="720"/>
      <w:contextualSpacing/>
    </w:pPr>
  </w:style>
  <w:style w:type="character" w:styleId="CommentReference">
    <w:name w:val="annotation reference"/>
    <w:basedOn w:val="DefaultParagraphFont"/>
    <w:uiPriority w:val="99"/>
    <w:semiHidden/>
    <w:unhideWhenUsed/>
    <w:rsid w:val="0043708B"/>
    <w:rPr>
      <w:sz w:val="16"/>
      <w:szCs w:val="16"/>
    </w:rPr>
  </w:style>
  <w:style w:type="paragraph" w:styleId="CommentText">
    <w:name w:val="annotation text"/>
    <w:basedOn w:val="Normal"/>
    <w:link w:val="CommentTextChar"/>
    <w:uiPriority w:val="99"/>
    <w:semiHidden/>
    <w:unhideWhenUsed/>
    <w:rsid w:val="0043708B"/>
    <w:rPr>
      <w:sz w:val="20"/>
      <w:szCs w:val="20"/>
    </w:rPr>
  </w:style>
  <w:style w:type="character" w:customStyle="1" w:styleId="CommentTextChar">
    <w:name w:val="Comment Text Char"/>
    <w:basedOn w:val="DefaultParagraphFont"/>
    <w:link w:val="CommentText"/>
    <w:uiPriority w:val="99"/>
    <w:semiHidden/>
    <w:rsid w:val="0043708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3708B"/>
    <w:rPr>
      <w:b/>
      <w:bCs/>
    </w:rPr>
  </w:style>
  <w:style w:type="character" w:customStyle="1" w:styleId="CommentSubjectChar">
    <w:name w:val="Comment Subject Char"/>
    <w:basedOn w:val="CommentTextChar"/>
    <w:link w:val="CommentSubject"/>
    <w:uiPriority w:val="99"/>
    <w:semiHidden/>
    <w:rsid w:val="0043708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3708B"/>
    <w:rPr>
      <w:rFonts w:ascii="Tahoma" w:hAnsi="Tahoma" w:cs="Tahoma"/>
      <w:sz w:val="16"/>
      <w:szCs w:val="16"/>
    </w:rPr>
  </w:style>
  <w:style w:type="character" w:customStyle="1" w:styleId="BalloonTextChar">
    <w:name w:val="Balloon Text Char"/>
    <w:basedOn w:val="DefaultParagraphFont"/>
    <w:link w:val="BalloonText"/>
    <w:uiPriority w:val="99"/>
    <w:semiHidden/>
    <w:rsid w:val="0043708B"/>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a.masule@ikvd.gov.lv" TargetMode="External"/><Relationship Id="rId4" Type="http://schemas.microsoft.com/office/2007/relationships/stylesWithEffects" Target="stylesWithEffects.xml"/><Relationship Id="rId9" Type="http://schemas.openxmlformats.org/officeDocument/2006/relationships/hyperlink" Target="mailto:kristine.struberga@ik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44FB4D-01FB-447A-994F-1A3A5FC6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26721</Words>
  <Characters>15232</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renate</cp:lastModifiedBy>
  <cp:revision>17</cp:revision>
  <cp:lastPrinted>2014-05-23T11:21:00Z</cp:lastPrinted>
  <dcterms:created xsi:type="dcterms:W3CDTF">2014-04-24T08:42:00Z</dcterms:created>
  <dcterms:modified xsi:type="dcterms:W3CDTF">2014-06-10T06:13:00Z</dcterms:modified>
</cp:coreProperties>
</file>