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1E28" w14:textId="77777777" w:rsidR="009131CA" w:rsidRPr="00F5458C" w:rsidRDefault="009131CA" w:rsidP="009131CA">
      <w:pPr>
        <w:tabs>
          <w:tab w:val="left" w:pos="6804"/>
        </w:tabs>
        <w:jc w:val="both"/>
        <w:rPr>
          <w:sz w:val="28"/>
          <w:szCs w:val="28"/>
          <w:lang w:val="de-DE"/>
        </w:rPr>
      </w:pPr>
    </w:p>
    <w:p w14:paraId="78F2C3FD" w14:textId="77777777" w:rsidR="009131CA" w:rsidRPr="00F5458C" w:rsidRDefault="009131CA" w:rsidP="009131CA">
      <w:pPr>
        <w:tabs>
          <w:tab w:val="left" w:pos="6663"/>
        </w:tabs>
        <w:rPr>
          <w:sz w:val="28"/>
          <w:szCs w:val="28"/>
        </w:rPr>
      </w:pPr>
    </w:p>
    <w:p w14:paraId="1455AA7D" w14:textId="77777777" w:rsidR="009131CA" w:rsidRPr="00F5458C" w:rsidRDefault="009131CA" w:rsidP="009131CA">
      <w:pPr>
        <w:tabs>
          <w:tab w:val="left" w:pos="6663"/>
        </w:tabs>
        <w:rPr>
          <w:sz w:val="28"/>
          <w:szCs w:val="28"/>
        </w:rPr>
      </w:pPr>
    </w:p>
    <w:p w14:paraId="357A2E57" w14:textId="77777777" w:rsidR="009131CA" w:rsidRPr="00F5458C" w:rsidRDefault="009131CA" w:rsidP="009131CA">
      <w:pPr>
        <w:tabs>
          <w:tab w:val="left" w:pos="6663"/>
        </w:tabs>
        <w:rPr>
          <w:sz w:val="28"/>
          <w:szCs w:val="28"/>
        </w:rPr>
      </w:pPr>
    </w:p>
    <w:p w14:paraId="2B508A89" w14:textId="77777777" w:rsidR="009131CA" w:rsidRPr="00F5458C" w:rsidRDefault="009131CA" w:rsidP="009131CA">
      <w:pPr>
        <w:tabs>
          <w:tab w:val="left" w:pos="6663"/>
        </w:tabs>
        <w:rPr>
          <w:sz w:val="28"/>
          <w:szCs w:val="28"/>
        </w:rPr>
      </w:pPr>
    </w:p>
    <w:p w14:paraId="4BDF75D2" w14:textId="78F3B2AE" w:rsidR="009131CA" w:rsidRPr="008C4EDF" w:rsidRDefault="009131CA" w:rsidP="009131CA">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A17A8D">
        <w:rPr>
          <w:sz w:val="28"/>
          <w:szCs w:val="28"/>
        </w:rPr>
        <w:t>15. jūlijā</w:t>
      </w:r>
      <w:r w:rsidRPr="008C4EDF">
        <w:rPr>
          <w:sz w:val="28"/>
          <w:szCs w:val="28"/>
        </w:rPr>
        <w:tab/>
        <w:t>Noteikumi Nr.</w:t>
      </w:r>
      <w:r w:rsidR="00A17A8D">
        <w:rPr>
          <w:sz w:val="28"/>
          <w:szCs w:val="28"/>
        </w:rPr>
        <w:t> 398</w:t>
      </w:r>
    </w:p>
    <w:p w14:paraId="56B7E123" w14:textId="3AF624B7" w:rsidR="009131CA" w:rsidRPr="00E9501F" w:rsidRDefault="009131CA" w:rsidP="009131CA">
      <w:pPr>
        <w:tabs>
          <w:tab w:val="left" w:pos="6804"/>
        </w:tabs>
        <w:rPr>
          <w:sz w:val="28"/>
          <w:szCs w:val="28"/>
        </w:rPr>
      </w:pPr>
      <w:r w:rsidRPr="00F5458C">
        <w:rPr>
          <w:sz w:val="28"/>
          <w:szCs w:val="28"/>
        </w:rPr>
        <w:t>Rīgā</w:t>
      </w:r>
      <w:r w:rsidRPr="00F5458C">
        <w:rPr>
          <w:sz w:val="28"/>
          <w:szCs w:val="28"/>
        </w:rPr>
        <w:tab/>
        <w:t>(prot. Nr.</w:t>
      </w:r>
      <w:r>
        <w:rPr>
          <w:sz w:val="28"/>
          <w:szCs w:val="28"/>
        </w:rPr>
        <w:t> </w:t>
      </w:r>
      <w:r w:rsidR="00A17A8D">
        <w:rPr>
          <w:sz w:val="28"/>
          <w:szCs w:val="28"/>
        </w:rPr>
        <w:t>39 13</w:t>
      </w:r>
      <w:bookmarkStart w:id="0" w:name="_GoBack"/>
      <w:bookmarkEnd w:id="0"/>
      <w:r w:rsidRPr="00F5458C">
        <w:rPr>
          <w:sz w:val="28"/>
          <w:szCs w:val="28"/>
        </w:rPr>
        <w:t>.</w:t>
      </w:r>
      <w:r>
        <w:rPr>
          <w:sz w:val="28"/>
          <w:szCs w:val="28"/>
        </w:rPr>
        <w:t> </w:t>
      </w:r>
      <w:r w:rsidRPr="00F5458C">
        <w:rPr>
          <w:sz w:val="28"/>
          <w:szCs w:val="28"/>
        </w:rPr>
        <w:t>§)</w:t>
      </w:r>
    </w:p>
    <w:p w14:paraId="648521DC" w14:textId="77777777" w:rsidR="00F479D4" w:rsidRPr="00B35225" w:rsidRDefault="00F479D4" w:rsidP="009131CA">
      <w:pPr>
        <w:pStyle w:val="naisvisr"/>
        <w:spacing w:before="0" w:after="0"/>
      </w:pPr>
    </w:p>
    <w:p w14:paraId="648521DD" w14:textId="77777777" w:rsidR="00F479D4" w:rsidRPr="00F400AD" w:rsidRDefault="00F479D4" w:rsidP="009131CA">
      <w:pPr>
        <w:jc w:val="center"/>
        <w:rPr>
          <w:b/>
          <w:bCs/>
          <w:sz w:val="28"/>
          <w:szCs w:val="28"/>
        </w:rPr>
      </w:pPr>
      <w:r>
        <w:rPr>
          <w:b/>
          <w:bCs/>
          <w:sz w:val="28"/>
          <w:szCs w:val="28"/>
        </w:rPr>
        <w:t>Noteikumi par valsts pensijas apmēra pārskatīšanu</w:t>
      </w:r>
    </w:p>
    <w:p w14:paraId="648521DF" w14:textId="77777777" w:rsidR="00F479D4" w:rsidRPr="00F400AD" w:rsidRDefault="00F479D4" w:rsidP="009131CA">
      <w:pPr>
        <w:tabs>
          <w:tab w:val="left" w:pos="0"/>
        </w:tabs>
        <w:ind w:firstLine="5160"/>
        <w:jc w:val="right"/>
        <w:rPr>
          <w:sz w:val="28"/>
          <w:szCs w:val="28"/>
        </w:rPr>
      </w:pPr>
    </w:p>
    <w:p w14:paraId="648521E0" w14:textId="77777777" w:rsidR="00F479D4" w:rsidRPr="00F400AD" w:rsidRDefault="00F479D4" w:rsidP="009131CA">
      <w:pPr>
        <w:jc w:val="right"/>
        <w:rPr>
          <w:sz w:val="28"/>
          <w:szCs w:val="28"/>
        </w:rPr>
      </w:pPr>
      <w:r w:rsidRPr="00F400AD">
        <w:rPr>
          <w:sz w:val="28"/>
          <w:szCs w:val="28"/>
        </w:rPr>
        <w:t>Izdoti saskaņā ar likuma</w:t>
      </w:r>
    </w:p>
    <w:p w14:paraId="2D50A2A9" w14:textId="77777777" w:rsidR="005A3A1F" w:rsidRDefault="00AD441D" w:rsidP="009131CA">
      <w:pPr>
        <w:jc w:val="right"/>
        <w:rPr>
          <w:sz w:val="28"/>
          <w:szCs w:val="28"/>
        </w:rPr>
      </w:pPr>
      <w:r>
        <w:rPr>
          <w:sz w:val="28"/>
          <w:szCs w:val="28"/>
        </w:rPr>
        <w:t>"</w:t>
      </w:r>
      <w:r w:rsidR="00F479D4" w:rsidRPr="00F400AD">
        <w:rPr>
          <w:sz w:val="28"/>
          <w:szCs w:val="28"/>
        </w:rPr>
        <w:t>Par valsts pensijām</w:t>
      </w:r>
      <w:r>
        <w:rPr>
          <w:sz w:val="28"/>
          <w:szCs w:val="28"/>
        </w:rPr>
        <w:t>"</w:t>
      </w:r>
      <w:r w:rsidR="00F479D4" w:rsidRPr="00F400AD">
        <w:rPr>
          <w:sz w:val="28"/>
          <w:szCs w:val="28"/>
        </w:rPr>
        <w:t xml:space="preserve"> </w:t>
      </w:r>
    </w:p>
    <w:p w14:paraId="648521E1" w14:textId="6DB9226E" w:rsidR="00F479D4" w:rsidRPr="00FC51E2" w:rsidRDefault="00F479D4" w:rsidP="009131CA">
      <w:pPr>
        <w:jc w:val="right"/>
        <w:rPr>
          <w:sz w:val="28"/>
          <w:szCs w:val="28"/>
        </w:rPr>
      </w:pPr>
      <w:r w:rsidRPr="00FC51E2">
        <w:rPr>
          <w:sz w:val="28"/>
          <w:szCs w:val="28"/>
        </w:rPr>
        <w:t>26.</w:t>
      </w:r>
      <w:r w:rsidR="00AF5957">
        <w:rPr>
          <w:sz w:val="28"/>
          <w:szCs w:val="28"/>
        </w:rPr>
        <w:t> </w:t>
      </w:r>
      <w:r w:rsidRPr="00FC51E2">
        <w:rPr>
          <w:sz w:val="28"/>
          <w:szCs w:val="28"/>
        </w:rPr>
        <w:t>panta trešo daļu</w:t>
      </w:r>
      <w:r>
        <w:rPr>
          <w:sz w:val="28"/>
          <w:szCs w:val="28"/>
        </w:rPr>
        <w:t xml:space="preserve"> </w:t>
      </w:r>
    </w:p>
    <w:p w14:paraId="648521E2" w14:textId="77777777" w:rsidR="00F479D4" w:rsidRPr="00F400AD" w:rsidRDefault="00F479D4" w:rsidP="009131CA">
      <w:pPr>
        <w:pStyle w:val="naisf"/>
        <w:spacing w:before="0" w:after="0"/>
        <w:rPr>
          <w:sz w:val="28"/>
          <w:szCs w:val="28"/>
        </w:rPr>
      </w:pPr>
      <w:r w:rsidRPr="00F400AD">
        <w:rPr>
          <w:sz w:val="28"/>
          <w:szCs w:val="28"/>
        </w:rPr>
        <w:t> </w:t>
      </w:r>
    </w:p>
    <w:p w14:paraId="639ED35A" w14:textId="427CFF68" w:rsidR="009131CA" w:rsidRDefault="00F479D4" w:rsidP="00253E9A">
      <w:pPr>
        <w:pStyle w:val="naisf"/>
        <w:spacing w:before="0" w:after="0"/>
        <w:ind w:firstLine="709"/>
        <w:rPr>
          <w:sz w:val="28"/>
          <w:szCs w:val="28"/>
        </w:rPr>
      </w:pPr>
      <w:r w:rsidRPr="00253E9A">
        <w:rPr>
          <w:sz w:val="28"/>
          <w:szCs w:val="28"/>
        </w:rPr>
        <w:t>1.</w:t>
      </w:r>
      <w:r w:rsidR="00253E9A">
        <w:rPr>
          <w:sz w:val="28"/>
          <w:szCs w:val="28"/>
        </w:rPr>
        <w:t> </w:t>
      </w:r>
      <w:r w:rsidR="00253E9A" w:rsidRPr="00611C07">
        <w:rPr>
          <w:sz w:val="28"/>
          <w:szCs w:val="28"/>
        </w:rPr>
        <w:t>Noteikumi nosaka kārtību, kādā aprēķina valsts pensiju (turpmāk – pensija) pārskatīšanā piemērojamo faktiskā patēriņa cenu indeksu un apdrošināšanas iemaksu algas reālā pieauguma daļu (turpmāk arī – iemaksu algas indekss), kā arī pensiju pārskatīšanas kārtību.</w:t>
      </w:r>
    </w:p>
    <w:p w14:paraId="6642F919" w14:textId="77777777" w:rsidR="00253E9A" w:rsidRDefault="00253E9A" w:rsidP="00253E9A">
      <w:pPr>
        <w:pStyle w:val="naisf"/>
        <w:spacing w:before="0" w:after="0"/>
        <w:ind w:firstLine="709"/>
        <w:rPr>
          <w:sz w:val="28"/>
          <w:szCs w:val="28"/>
        </w:rPr>
      </w:pPr>
    </w:p>
    <w:p w14:paraId="648521E4" w14:textId="3F843E3E" w:rsidR="00F479D4" w:rsidRDefault="00F479D4" w:rsidP="009131CA">
      <w:pPr>
        <w:ind w:firstLine="709"/>
        <w:jc w:val="both"/>
        <w:rPr>
          <w:sz w:val="28"/>
          <w:szCs w:val="28"/>
        </w:rPr>
      </w:pPr>
      <w:r>
        <w:rPr>
          <w:sz w:val="28"/>
          <w:szCs w:val="28"/>
        </w:rPr>
        <w:t>2. Piešķirt</w:t>
      </w:r>
      <w:r w:rsidR="008D63B4">
        <w:rPr>
          <w:sz w:val="28"/>
          <w:szCs w:val="28"/>
        </w:rPr>
        <w:t>ās</w:t>
      </w:r>
      <w:r>
        <w:rPr>
          <w:sz w:val="28"/>
          <w:szCs w:val="28"/>
        </w:rPr>
        <w:t xml:space="preserve"> (pārrēķināt</w:t>
      </w:r>
      <w:r w:rsidR="008D63B4">
        <w:rPr>
          <w:sz w:val="28"/>
          <w:szCs w:val="28"/>
        </w:rPr>
        <w:t>ās</w:t>
      </w:r>
      <w:r>
        <w:rPr>
          <w:sz w:val="28"/>
          <w:szCs w:val="28"/>
        </w:rPr>
        <w:t>) pensij</w:t>
      </w:r>
      <w:r w:rsidR="008D63B4">
        <w:rPr>
          <w:sz w:val="28"/>
          <w:szCs w:val="28"/>
        </w:rPr>
        <w:t>as</w:t>
      </w:r>
      <w:r>
        <w:rPr>
          <w:sz w:val="28"/>
          <w:szCs w:val="28"/>
        </w:rPr>
        <w:t xml:space="preserve"> pārskat</w:t>
      </w:r>
      <w:r w:rsidR="008D63B4">
        <w:rPr>
          <w:sz w:val="28"/>
          <w:szCs w:val="28"/>
        </w:rPr>
        <w:t>a</w:t>
      </w:r>
      <w:r>
        <w:rPr>
          <w:sz w:val="28"/>
          <w:szCs w:val="28"/>
        </w:rPr>
        <w:t xml:space="preserve"> Valsts sociālās apdrošināšanas aģentūra (turpmāk – aģentūra).</w:t>
      </w:r>
    </w:p>
    <w:p w14:paraId="5F1EFEBB" w14:textId="77777777" w:rsidR="009131CA" w:rsidRDefault="009131CA" w:rsidP="009131CA">
      <w:pPr>
        <w:ind w:firstLine="709"/>
        <w:jc w:val="both"/>
        <w:rPr>
          <w:sz w:val="28"/>
          <w:szCs w:val="28"/>
        </w:rPr>
      </w:pPr>
    </w:p>
    <w:p w14:paraId="648521E5" w14:textId="77777777" w:rsidR="00F479D4" w:rsidRDefault="00F479D4" w:rsidP="009131CA">
      <w:pPr>
        <w:ind w:firstLine="709"/>
        <w:jc w:val="both"/>
        <w:rPr>
          <w:sz w:val="28"/>
          <w:szCs w:val="28"/>
        </w:rPr>
      </w:pPr>
      <w:r>
        <w:rPr>
          <w:sz w:val="28"/>
          <w:szCs w:val="28"/>
        </w:rPr>
        <w:t>3. Pensiju pārskatīšanai piemērojamo faktisko patēriņa cenu indeksu un iemaksu algas indeksu aģentūra aprēķina, pamatojoties uz tās rīcībā esošajiem datiem un Centrālās statistikas pārvaldes statistikas datiem.</w:t>
      </w:r>
    </w:p>
    <w:p w14:paraId="431F405F" w14:textId="252F6F35" w:rsidR="009131CA" w:rsidRDefault="009131CA" w:rsidP="009131CA">
      <w:pPr>
        <w:ind w:firstLine="709"/>
        <w:jc w:val="both"/>
        <w:rPr>
          <w:sz w:val="28"/>
          <w:szCs w:val="28"/>
        </w:rPr>
      </w:pPr>
    </w:p>
    <w:p w14:paraId="648521E6" w14:textId="77777777" w:rsidR="00F479D4" w:rsidRDefault="00F479D4" w:rsidP="009131CA">
      <w:pPr>
        <w:ind w:firstLine="709"/>
        <w:jc w:val="both"/>
        <w:rPr>
          <w:sz w:val="28"/>
          <w:szCs w:val="28"/>
        </w:rPr>
      </w:pPr>
      <w:r>
        <w:rPr>
          <w:sz w:val="28"/>
          <w:szCs w:val="28"/>
        </w:rPr>
        <w:t xml:space="preserve">4. Pensiju pārskatīšanai attiecīgajā gadā </w:t>
      </w:r>
      <w:r w:rsidRPr="004130C8">
        <w:rPr>
          <w:sz w:val="28"/>
          <w:szCs w:val="28"/>
        </w:rPr>
        <w:t>t</w:t>
      </w:r>
      <w:r>
        <w:rPr>
          <w:sz w:val="28"/>
          <w:szCs w:val="28"/>
        </w:rPr>
        <w:t xml:space="preserve"> piemērojamo kopējo indeksu aprēķina, izmantojot šādu formulu:</w:t>
      </w:r>
    </w:p>
    <w:p w14:paraId="4675E13F" w14:textId="77777777" w:rsidR="00AD441D" w:rsidRDefault="00AD441D" w:rsidP="009131CA">
      <w:pPr>
        <w:ind w:firstLine="709"/>
        <w:jc w:val="both"/>
        <w:rPr>
          <w:sz w:val="28"/>
          <w:szCs w:val="28"/>
        </w:rPr>
      </w:pPr>
    </w:p>
    <w:p w14:paraId="648521E7" w14:textId="77777777" w:rsidR="00F479D4" w:rsidRPr="00005627" w:rsidRDefault="00F479D4" w:rsidP="009131CA">
      <w:pPr>
        <w:jc w:val="center"/>
        <w:rPr>
          <w:bCs/>
          <w:sz w:val="28"/>
          <w:szCs w:val="28"/>
        </w:rPr>
      </w:pPr>
      <w:r w:rsidRPr="00005627">
        <w:rPr>
          <w:bCs/>
          <w:sz w:val="28"/>
          <w:szCs w:val="28"/>
        </w:rPr>
        <w:t>I</w:t>
      </w:r>
      <w:r w:rsidRPr="00005627">
        <w:rPr>
          <w:bCs/>
          <w:sz w:val="28"/>
          <w:szCs w:val="28"/>
          <w:vertAlign w:val="subscript"/>
        </w:rPr>
        <w:t>t</w:t>
      </w:r>
      <w:r w:rsidRPr="00005627">
        <w:rPr>
          <w:bCs/>
          <w:sz w:val="28"/>
          <w:szCs w:val="28"/>
        </w:rPr>
        <w:t xml:space="preserve"> = </w:t>
      </w:r>
      <w:proofErr w:type="spellStart"/>
      <w:r w:rsidRPr="00005627">
        <w:rPr>
          <w:bCs/>
          <w:sz w:val="28"/>
          <w:szCs w:val="28"/>
        </w:rPr>
        <w:t>PCI</w:t>
      </w:r>
      <w:r w:rsidRPr="00005627">
        <w:rPr>
          <w:bCs/>
          <w:sz w:val="28"/>
          <w:szCs w:val="28"/>
          <w:vertAlign w:val="subscript"/>
        </w:rPr>
        <w:t>t</w:t>
      </w:r>
      <w:proofErr w:type="spellEnd"/>
      <w:r w:rsidRPr="00005627">
        <w:rPr>
          <w:bCs/>
          <w:sz w:val="28"/>
          <w:szCs w:val="28"/>
        </w:rPr>
        <w:t xml:space="preserve"> + (</w:t>
      </w:r>
      <w:proofErr w:type="spellStart"/>
      <w:r w:rsidRPr="00005627">
        <w:rPr>
          <w:bCs/>
          <w:sz w:val="28"/>
          <w:szCs w:val="28"/>
        </w:rPr>
        <w:t>R</w:t>
      </w:r>
      <w:r w:rsidRPr="00005627">
        <w:rPr>
          <w:bCs/>
          <w:sz w:val="28"/>
          <w:szCs w:val="28"/>
          <w:vertAlign w:val="subscript"/>
        </w:rPr>
        <w:t>p</w:t>
      </w:r>
      <w:proofErr w:type="spellEnd"/>
      <w:r w:rsidRPr="00005627">
        <w:rPr>
          <w:bCs/>
          <w:sz w:val="28"/>
          <w:szCs w:val="28"/>
          <w:vertAlign w:val="subscript"/>
        </w:rPr>
        <w:t xml:space="preserve"> t</w:t>
      </w:r>
      <w:proofErr w:type="gramStart"/>
      <w:r w:rsidRPr="00005627">
        <w:rPr>
          <w:bCs/>
          <w:sz w:val="28"/>
          <w:szCs w:val="28"/>
          <w:vertAlign w:val="subscript"/>
        </w:rPr>
        <w:t xml:space="preserve">  </w:t>
      </w:r>
      <w:proofErr w:type="gramEnd"/>
      <w:r w:rsidRPr="00005627">
        <w:rPr>
          <w:bCs/>
          <w:sz w:val="28"/>
          <w:szCs w:val="28"/>
        </w:rPr>
        <w:t>x D), kur</w:t>
      </w:r>
    </w:p>
    <w:p w14:paraId="334F0DA5" w14:textId="77777777" w:rsidR="00AD441D" w:rsidRPr="00005627" w:rsidRDefault="00AD441D" w:rsidP="009131CA">
      <w:pPr>
        <w:jc w:val="both"/>
        <w:rPr>
          <w:sz w:val="28"/>
          <w:szCs w:val="28"/>
        </w:rPr>
      </w:pPr>
    </w:p>
    <w:p w14:paraId="648521E8" w14:textId="77777777" w:rsidR="00F479D4" w:rsidRDefault="00F479D4" w:rsidP="00AD441D">
      <w:pPr>
        <w:ind w:firstLine="709"/>
        <w:jc w:val="both"/>
        <w:rPr>
          <w:sz w:val="28"/>
          <w:szCs w:val="28"/>
        </w:rPr>
      </w:pPr>
      <w:r w:rsidRPr="00AF5957">
        <w:rPr>
          <w:sz w:val="28"/>
          <w:szCs w:val="28"/>
        </w:rPr>
        <w:t>I</w:t>
      </w:r>
      <w:r w:rsidRPr="00AF5957">
        <w:rPr>
          <w:bCs/>
          <w:sz w:val="28"/>
          <w:szCs w:val="28"/>
          <w:vertAlign w:val="subscript"/>
        </w:rPr>
        <w:t>t</w:t>
      </w:r>
      <w:r w:rsidRPr="00AF5957">
        <w:rPr>
          <w:sz w:val="28"/>
          <w:szCs w:val="28"/>
        </w:rPr>
        <w:t> </w:t>
      </w:r>
      <w:r>
        <w:rPr>
          <w:sz w:val="28"/>
          <w:szCs w:val="28"/>
        </w:rPr>
        <w:t xml:space="preserve">– pensiju pārskatīšanā attiecīgajā gadā </w:t>
      </w:r>
      <w:r w:rsidRPr="004130C8">
        <w:rPr>
          <w:sz w:val="28"/>
          <w:szCs w:val="28"/>
        </w:rPr>
        <w:t>t</w:t>
      </w:r>
      <w:r>
        <w:rPr>
          <w:sz w:val="28"/>
          <w:szCs w:val="28"/>
        </w:rPr>
        <w:t xml:space="preserve"> piemērojamais kopējais indekss (izteikts kā koeficients ar četrām zīmēm aiz komata);</w:t>
      </w:r>
    </w:p>
    <w:p w14:paraId="648521E9" w14:textId="73C5949E" w:rsidR="00F479D4" w:rsidRDefault="00F479D4" w:rsidP="00AD441D">
      <w:pPr>
        <w:ind w:firstLine="709"/>
        <w:jc w:val="both"/>
        <w:rPr>
          <w:sz w:val="28"/>
          <w:szCs w:val="28"/>
        </w:rPr>
      </w:pPr>
      <w:proofErr w:type="spellStart"/>
      <w:r w:rsidRPr="00AF5957">
        <w:rPr>
          <w:sz w:val="28"/>
          <w:szCs w:val="28"/>
        </w:rPr>
        <w:t>PCI</w:t>
      </w:r>
      <w:r w:rsidRPr="00AF5957">
        <w:rPr>
          <w:bCs/>
          <w:sz w:val="28"/>
          <w:szCs w:val="28"/>
          <w:vertAlign w:val="subscript"/>
        </w:rPr>
        <w:t>t</w:t>
      </w:r>
      <w:proofErr w:type="spellEnd"/>
      <w:r w:rsidRPr="00AF5957">
        <w:rPr>
          <w:sz w:val="28"/>
          <w:szCs w:val="28"/>
        </w:rPr>
        <w:t> </w:t>
      </w:r>
      <w:r>
        <w:rPr>
          <w:sz w:val="28"/>
          <w:szCs w:val="28"/>
        </w:rPr>
        <w:t>– patēriņa cenu indekss laikposm</w:t>
      </w:r>
      <w:r w:rsidR="00B6703F">
        <w:rPr>
          <w:sz w:val="28"/>
          <w:szCs w:val="28"/>
        </w:rPr>
        <w:t>ā</w:t>
      </w:r>
      <w:r>
        <w:rPr>
          <w:sz w:val="28"/>
          <w:szCs w:val="28"/>
        </w:rPr>
        <w:t xml:space="preserve"> no t</w:t>
      </w:r>
      <w:r w:rsidR="00936A12">
        <w:rPr>
          <w:sz w:val="28"/>
          <w:szCs w:val="28"/>
        </w:rPr>
        <w:t>–</w:t>
      </w:r>
      <w:r>
        <w:rPr>
          <w:sz w:val="28"/>
          <w:szCs w:val="28"/>
        </w:rPr>
        <w:t>1 gada 1.</w:t>
      </w:r>
      <w:r w:rsidR="00936A12">
        <w:rPr>
          <w:sz w:val="28"/>
          <w:szCs w:val="28"/>
        </w:rPr>
        <w:t> </w:t>
      </w:r>
      <w:r>
        <w:rPr>
          <w:sz w:val="28"/>
          <w:szCs w:val="28"/>
        </w:rPr>
        <w:t>augusta līdz t</w:t>
      </w:r>
      <w:r w:rsidR="00AD441D">
        <w:rPr>
          <w:sz w:val="28"/>
          <w:szCs w:val="28"/>
        </w:rPr>
        <w:t> </w:t>
      </w:r>
      <w:r>
        <w:rPr>
          <w:sz w:val="28"/>
          <w:szCs w:val="28"/>
        </w:rPr>
        <w:t>gada 31.</w:t>
      </w:r>
      <w:r w:rsidR="00AD441D">
        <w:rPr>
          <w:sz w:val="28"/>
          <w:szCs w:val="28"/>
        </w:rPr>
        <w:t> </w:t>
      </w:r>
      <w:r>
        <w:rPr>
          <w:sz w:val="28"/>
          <w:szCs w:val="28"/>
        </w:rPr>
        <w:t>jūlijam (izteikts kā koeficients ar četrām zīmēm aiz komata);</w:t>
      </w:r>
    </w:p>
    <w:p w14:paraId="648521EA" w14:textId="13A163CA" w:rsidR="00F479D4" w:rsidRDefault="00F479D4" w:rsidP="00AD441D">
      <w:pPr>
        <w:ind w:firstLine="709"/>
        <w:jc w:val="both"/>
        <w:rPr>
          <w:sz w:val="28"/>
          <w:szCs w:val="28"/>
        </w:rPr>
      </w:pPr>
      <w:proofErr w:type="spellStart"/>
      <w:r w:rsidRPr="00AF5957">
        <w:rPr>
          <w:sz w:val="28"/>
          <w:szCs w:val="28"/>
        </w:rPr>
        <w:t>R</w:t>
      </w:r>
      <w:r w:rsidRPr="00AF5957">
        <w:rPr>
          <w:sz w:val="28"/>
          <w:szCs w:val="28"/>
          <w:vertAlign w:val="subscript"/>
        </w:rPr>
        <w:t>p</w:t>
      </w:r>
      <w:proofErr w:type="spellEnd"/>
      <w:r w:rsidR="00936A12" w:rsidRPr="00AF5957">
        <w:rPr>
          <w:bCs/>
          <w:sz w:val="28"/>
          <w:szCs w:val="28"/>
          <w:vertAlign w:val="subscript"/>
        </w:rPr>
        <w:t> </w:t>
      </w:r>
      <w:r w:rsidRPr="00AF5957">
        <w:rPr>
          <w:bCs/>
          <w:sz w:val="28"/>
          <w:szCs w:val="28"/>
          <w:vertAlign w:val="subscript"/>
        </w:rPr>
        <w:t>t</w:t>
      </w:r>
      <w:r>
        <w:rPr>
          <w:b/>
          <w:bCs/>
          <w:sz w:val="28"/>
          <w:szCs w:val="28"/>
          <w:vertAlign w:val="subscript"/>
        </w:rPr>
        <w:t xml:space="preserve"> </w:t>
      </w:r>
      <w:r>
        <w:rPr>
          <w:sz w:val="28"/>
          <w:szCs w:val="28"/>
        </w:rPr>
        <w:t>– apdrošināšanas iemaksu algas reālais pieaugums (izteikts kā koeficients ar četrām zīmēm aiz komata);</w:t>
      </w:r>
    </w:p>
    <w:p w14:paraId="648521EB" w14:textId="4AE7F485" w:rsidR="00F479D4" w:rsidRDefault="00F479D4" w:rsidP="00AD441D">
      <w:pPr>
        <w:ind w:firstLine="709"/>
        <w:jc w:val="both"/>
        <w:rPr>
          <w:sz w:val="28"/>
          <w:szCs w:val="28"/>
        </w:rPr>
      </w:pPr>
      <w:r>
        <w:rPr>
          <w:sz w:val="28"/>
          <w:szCs w:val="28"/>
        </w:rPr>
        <w:lastRenderedPageBreak/>
        <w:t>D – daļ</w:t>
      </w:r>
      <w:r w:rsidR="00936A12">
        <w:rPr>
          <w:sz w:val="28"/>
          <w:szCs w:val="28"/>
        </w:rPr>
        <w:t>as apmērs</w:t>
      </w:r>
      <w:r>
        <w:rPr>
          <w:sz w:val="28"/>
          <w:szCs w:val="28"/>
        </w:rPr>
        <w:t>, izteikt</w:t>
      </w:r>
      <w:r w:rsidR="00936A12">
        <w:rPr>
          <w:sz w:val="28"/>
          <w:szCs w:val="28"/>
        </w:rPr>
        <w:t>s</w:t>
      </w:r>
      <w:r>
        <w:rPr>
          <w:sz w:val="28"/>
          <w:szCs w:val="28"/>
        </w:rPr>
        <w:t xml:space="preserve"> procentos, k</w:t>
      </w:r>
      <w:r w:rsidR="002D3AB0">
        <w:rPr>
          <w:sz w:val="28"/>
          <w:szCs w:val="28"/>
        </w:rPr>
        <w:t>o</w:t>
      </w:r>
      <w:r>
        <w:rPr>
          <w:sz w:val="28"/>
          <w:szCs w:val="28"/>
        </w:rPr>
        <w:t xml:space="preserve"> piemēro apdrošināšanas iemak</w:t>
      </w:r>
      <w:r w:rsidR="002D3AB0">
        <w:rPr>
          <w:sz w:val="28"/>
          <w:szCs w:val="28"/>
        </w:rPr>
        <w:t>su algas reālajam pieaugumam un</w:t>
      </w:r>
      <w:r>
        <w:rPr>
          <w:sz w:val="28"/>
          <w:szCs w:val="28"/>
        </w:rPr>
        <w:t xml:space="preserve"> kas ir noteikt</w:t>
      </w:r>
      <w:r w:rsidR="002D3AB0">
        <w:rPr>
          <w:sz w:val="28"/>
          <w:szCs w:val="28"/>
        </w:rPr>
        <w:t>s</w:t>
      </w:r>
      <w:r>
        <w:rPr>
          <w:sz w:val="28"/>
          <w:szCs w:val="28"/>
        </w:rPr>
        <w:t xml:space="preserve"> likuma </w:t>
      </w:r>
      <w:r w:rsidR="00AD441D">
        <w:rPr>
          <w:sz w:val="28"/>
          <w:szCs w:val="28"/>
        </w:rPr>
        <w:t>"</w:t>
      </w:r>
      <w:r>
        <w:rPr>
          <w:sz w:val="28"/>
          <w:szCs w:val="28"/>
        </w:rPr>
        <w:t>Par valsts pensijām</w:t>
      </w:r>
      <w:r w:rsidR="00AD441D">
        <w:rPr>
          <w:sz w:val="28"/>
          <w:szCs w:val="28"/>
        </w:rPr>
        <w:t>"</w:t>
      </w:r>
      <w:r>
        <w:rPr>
          <w:sz w:val="28"/>
          <w:szCs w:val="28"/>
        </w:rPr>
        <w:t xml:space="preserve"> 26.</w:t>
      </w:r>
      <w:r w:rsidR="00AD441D">
        <w:rPr>
          <w:sz w:val="28"/>
          <w:szCs w:val="28"/>
        </w:rPr>
        <w:t> </w:t>
      </w:r>
      <w:r>
        <w:rPr>
          <w:sz w:val="28"/>
          <w:szCs w:val="28"/>
        </w:rPr>
        <w:t>panta pirmajā daļā.</w:t>
      </w:r>
    </w:p>
    <w:p w14:paraId="75DED0A8" w14:textId="77777777" w:rsidR="00936A12" w:rsidRDefault="00936A12" w:rsidP="00AD441D">
      <w:pPr>
        <w:ind w:firstLine="709"/>
        <w:jc w:val="both"/>
        <w:rPr>
          <w:sz w:val="28"/>
          <w:szCs w:val="28"/>
        </w:rPr>
      </w:pPr>
    </w:p>
    <w:p w14:paraId="648521EC" w14:textId="77777777" w:rsidR="00F479D4" w:rsidRDefault="00F479D4" w:rsidP="00AD441D">
      <w:pPr>
        <w:ind w:firstLine="709"/>
        <w:jc w:val="both"/>
        <w:rPr>
          <w:sz w:val="28"/>
          <w:szCs w:val="28"/>
        </w:rPr>
      </w:pPr>
      <w:r>
        <w:rPr>
          <w:sz w:val="28"/>
          <w:szCs w:val="28"/>
        </w:rPr>
        <w:t>5. Apdrošināšanas iemaksu algas reālo pieaugumu aprēķina, izmantojot šādu formulu:</w:t>
      </w:r>
    </w:p>
    <w:p w14:paraId="2B544E86" w14:textId="77777777" w:rsidR="00AD441D" w:rsidRDefault="00AD441D" w:rsidP="00AD441D">
      <w:pPr>
        <w:ind w:firstLine="709"/>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276"/>
        <w:gridCol w:w="3934"/>
      </w:tblGrid>
      <w:tr w:rsidR="00CB2B39" w:rsidRPr="00CB2B39" w14:paraId="671E1127" w14:textId="77777777" w:rsidTr="005A3A1F">
        <w:tc>
          <w:tcPr>
            <w:tcW w:w="4077" w:type="dxa"/>
            <w:vMerge w:val="restart"/>
            <w:vAlign w:val="center"/>
          </w:tcPr>
          <w:p w14:paraId="59E9B059" w14:textId="1E8E4EA4" w:rsidR="005A3A1F" w:rsidRPr="00CB2B39" w:rsidRDefault="005A3A1F" w:rsidP="005A3A1F">
            <w:pPr>
              <w:jc w:val="right"/>
              <w:rPr>
                <w:sz w:val="28"/>
                <w:szCs w:val="28"/>
              </w:rPr>
            </w:pPr>
            <w:proofErr w:type="spellStart"/>
            <w:r w:rsidRPr="00CB2B39">
              <w:rPr>
                <w:bCs/>
                <w:sz w:val="28"/>
                <w:szCs w:val="28"/>
              </w:rPr>
              <w:t>R</w:t>
            </w:r>
            <w:r w:rsidRPr="00CB2B39">
              <w:rPr>
                <w:bCs/>
                <w:sz w:val="28"/>
                <w:szCs w:val="28"/>
                <w:vertAlign w:val="subscript"/>
              </w:rPr>
              <w:t>p</w:t>
            </w:r>
            <w:proofErr w:type="spellEnd"/>
            <w:r w:rsidRPr="00CB2B39">
              <w:rPr>
                <w:bCs/>
                <w:sz w:val="28"/>
                <w:szCs w:val="28"/>
                <w:vertAlign w:val="subscript"/>
              </w:rPr>
              <w:t xml:space="preserve"> t</w:t>
            </w:r>
            <w:r w:rsidRPr="00CB2B39">
              <w:rPr>
                <w:bCs/>
                <w:sz w:val="28"/>
                <w:szCs w:val="28"/>
              </w:rPr>
              <w:t xml:space="preserve"> =</w:t>
            </w:r>
          </w:p>
        </w:tc>
        <w:tc>
          <w:tcPr>
            <w:tcW w:w="1276" w:type="dxa"/>
            <w:tcBorders>
              <w:bottom w:val="single" w:sz="4" w:space="0" w:color="auto"/>
            </w:tcBorders>
          </w:tcPr>
          <w:p w14:paraId="751F3A65" w14:textId="00977EEF" w:rsidR="005A3A1F" w:rsidRPr="00CB2B39" w:rsidRDefault="005A3A1F" w:rsidP="00AF5957">
            <w:pPr>
              <w:jc w:val="center"/>
              <w:rPr>
                <w:sz w:val="28"/>
                <w:szCs w:val="28"/>
              </w:rPr>
            </w:pPr>
            <w:proofErr w:type="spellStart"/>
            <w:r w:rsidRPr="00CB2B39">
              <w:rPr>
                <w:bCs/>
                <w:sz w:val="28"/>
                <w:szCs w:val="28"/>
              </w:rPr>
              <w:t>AI</w:t>
            </w:r>
            <w:r w:rsidRPr="00CB2B39">
              <w:rPr>
                <w:bCs/>
                <w:sz w:val="28"/>
                <w:szCs w:val="28"/>
                <w:vertAlign w:val="subscript"/>
              </w:rPr>
              <w:t>t</w:t>
            </w:r>
            <w:proofErr w:type="spellEnd"/>
            <w:r w:rsidR="00AF5957">
              <w:rPr>
                <w:bCs/>
                <w:sz w:val="28"/>
                <w:szCs w:val="28"/>
                <w:vertAlign w:val="subscript"/>
              </w:rPr>
              <w:t>–</w:t>
            </w:r>
            <w:r w:rsidRPr="00CB2B39">
              <w:rPr>
                <w:bCs/>
                <w:sz w:val="28"/>
                <w:szCs w:val="28"/>
                <w:vertAlign w:val="subscript"/>
              </w:rPr>
              <w:t>1</w:t>
            </w:r>
          </w:p>
        </w:tc>
        <w:tc>
          <w:tcPr>
            <w:tcW w:w="3934" w:type="dxa"/>
            <w:vMerge w:val="restart"/>
            <w:vAlign w:val="center"/>
          </w:tcPr>
          <w:p w14:paraId="4A101C64" w14:textId="5564CF15" w:rsidR="005A3A1F" w:rsidRPr="00CB2B39" w:rsidRDefault="005A3A1F" w:rsidP="005A3A1F">
            <w:pPr>
              <w:rPr>
                <w:sz w:val="28"/>
                <w:szCs w:val="28"/>
              </w:rPr>
            </w:pPr>
            <w:r w:rsidRPr="00CB2B39">
              <w:rPr>
                <w:bCs/>
                <w:sz w:val="28"/>
                <w:szCs w:val="28"/>
              </w:rPr>
              <w:t>– 1, kur</w:t>
            </w:r>
          </w:p>
        </w:tc>
      </w:tr>
      <w:tr w:rsidR="00CB2B39" w:rsidRPr="00CB2B39" w14:paraId="733BA29A" w14:textId="77777777" w:rsidTr="005A3A1F">
        <w:tc>
          <w:tcPr>
            <w:tcW w:w="4077" w:type="dxa"/>
            <w:vMerge/>
          </w:tcPr>
          <w:p w14:paraId="0784E36E" w14:textId="77777777" w:rsidR="005A3A1F" w:rsidRPr="00CB2B39" w:rsidRDefault="005A3A1F" w:rsidP="00AD441D">
            <w:pPr>
              <w:jc w:val="both"/>
              <w:rPr>
                <w:sz w:val="28"/>
                <w:szCs w:val="28"/>
              </w:rPr>
            </w:pPr>
          </w:p>
        </w:tc>
        <w:tc>
          <w:tcPr>
            <w:tcW w:w="1276" w:type="dxa"/>
            <w:tcBorders>
              <w:top w:val="single" w:sz="4" w:space="0" w:color="auto"/>
            </w:tcBorders>
          </w:tcPr>
          <w:p w14:paraId="1015B9C5" w14:textId="7D27B1A9" w:rsidR="005A3A1F" w:rsidRPr="00CB2B39" w:rsidRDefault="005A3A1F" w:rsidP="00AF5957">
            <w:pPr>
              <w:jc w:val="center"/>
              <w:rPr>
                <w:sz w:val="28"/>
                <w:szCs w:val="28"/>
              </w:rPr>
            </w:pPr>
            <w:proofErr w:type="spellStart"/>
            <w:r w:rsidRPr="00CB2B39">
              <w:rPr>
                <w:bCs/>
                <w:sz w:val="28"/>
                <w:szCs w:val="28"/>
              </w:rPr>
              <w:t>PCI</w:t>
            </w:r>
            <w:r w:rsidRPr="00CB2B39">
              <w:rPr>
                <w:bCs/>
                <w:sz w:val="28"/>
                <w:szCs w:val="28"/>
                <w:vertAlign w:val="subscript"/>
              </w:rPr>
              <w:t>t</w:t>
            </w:r>
            <w:proofErr w:type="spellEnd"/>
            <w:r w:rsidR="00AF5957">
              <w:rPr>
                <w:bCs/>
                <w:sz w:val="28"/>
                <w:szCs w:val="28"/>
                <w:vertAlign w:val="subscript"/>
              </w:rPr>
              <w:t>–</w:t>
            </w:r>
            <w:r w:rsidRPr="00CB2B39">
              <w:rPr>
                <w:bCs/>
                <w:sz w:val="28"/>
                <w:szCs w:val="28"/>
                <w:vertAlign w:val="subscript"/>
              </w:rPr>
              <w:t>1</w:t>
            </w:r>
          </w:p>
        </w:tc>
        <w:tc>
          <w:tcPr>
            <w:tcW w:w="3934" w:type="dxa"/>
            <w:vMerge/>
          </w:tcPr>
          <w:p w14:paraId="2C8486FF" w14:textId="77777777" w:rsidR="005A3A1F" w:rsidRPr="00CB2B39" w:rsidRDefault="005A3A1F" w:rsidP="00AD441D">
            <w:pPr>
              <w:jc w:val="both"/>
              <w:rPr>
                <w:sz w:val="28"/>
                <w:szCs w:val="28"/>
              </w:rPr>
            </w:pPr>
          </w:p>
        </w:tc>
      </w:tr>
    </w:tbl>
    <w:p w14:paraId="5C552EDD" w14:textId="77777777" w:rsidR="00AD441D" w:rsidRPr="00CB2B39" w:rsidRDefault="00AD441D" w:rsidP="009131CA">
      <w:pPr>
        <w:jc w:val="center"/>
        <w:rPr>
          <w:b/>
          <w:bCs/>
          <w:sz w:val="28"/>
          <w:szCs w:val="28"/>
        </w:rPr>
      </w:pPr>
    </w:p>
    <w:p w14:paraId="648521EE" w14:textId="06B85135" w:rsidR="00F479D4" w:rsidRDefault="00F479D4" w:rsidP="00AD441D">
      <w:pPr>
        <w:ind w:firstLine="709"/>
        <w:jc w:val="both"/>
        <w:rPr>
          <w:sz w:val="28"/>
          <w:szCs w:val="28"/>
        </w:rPr>
      </w:pPr>
      <w:proofErr w:type="spellStart"/>
      <w:r>
        <w:rPr>
          <w:sz w:val="28"/>
          <w:szCs w:val="28"/>
        </w:rPr>
        <w:t>R</w:t>
      </w:r>
      <w:r>
        <w:rPr>
          <w:sz w:val="28"/>
          <w:szCs w:val="28"/>
          <w:vertAlign w:val="subscript"/>
        </w:rPr>
        <w:t>p</w:t>
      </w:r>
      <w:proofErr w:type="spellEnd"/>
      <w:r w:rsidR="00AF5957">
        <w:rPr>
          <w:sz w:val="28"/>
          <w:szCs w:val="28"/>
          <w:vertAlign w:val="subscript"/>
        </w:rPr>
        <w:t> </w:t>
      </w:r>
      <w:r>
        <w:rPr>
          <w:sz w:val="28"/>
          <w:szCs w:val="28"/>
          <w:vertAlign w:val="subscript"/>
        </w:rPr>
        <w:t>t</w:t>
      </w:r>
      <w:r>
        <w:rPr>
          <w:b/>
          <w:bCs/>
          <w:sz w:val="28"/>
          <w:szCs w:val="28"/>
          <w:vertAlign w:val="subscript"/>
        </w:rPr>
        <w:t xml:space="preserve"> </w:t>
      </w:r>
      <w:r>
        <w:rPr>
          <w:sz w:val="28"/>
          <w:szCs w:val="28"/>
        </w:rPr>
        <w:t>– apdrošināšanas iemaksu algas reālais pieaugums (izteikts kā koeficients ar četrām zīmēm aiz komata);</w:t>
      </w:r>
    </w:p>
    <w:p w14:paraId="648521EF" w14:textId="4AD2CCA0" w:rsidR="00F479D4" w:rsidRDefault="00F479D4" w:rsidP="00AD441D">
      <w:pPr>
        <w:ind w:firstLine="709"/>
        <w:jc w:val="both"/>
        <w:rPr>
          <w:sz w:val="28"/>
          <w:szCs w:val="28"/>
        </w:rPr>
      </w:pPr>
      <w:proofErr w:type="spellStart"/>
      <w:r>
        <w:rPr>
          <w:sz w:val="28"/>
          <w:szCs w:val="28"/>
        </w:rPr>
        <w:t>AI</w:t>
      </w:r>
      <w:r>
        <w:rPr>
          <w:sz w:val="28"/>
          <w:szCs w:val="28"/>
          <w:vertAlign w:val="subscript"/>
        </w:rPr>
        <w:t>t</w:t>
      </w:r>
      <w:proofErr w:type="spellEnd"/>
      <w:r w:rsidR="00AF5957">
        <w:rPr>
          <w:sz w:val="28"/>
          <w:szCs w:val="28"/>
          <w:vertAlign w:val="subscript"/>
        </w:rPr>
        <w:t>–</w:t>
      </w:r>
      <w:r>
        <w:rPr>
          <w:sz w:val="28"/>
          <w:szCs w:val="28"/>
          <w:vertAlign w:val="subscript"/>
        </w:rPr>
        <w:t>1</w:t>
      </w:r>
      <w:r>
        <w:rPr>
          <w:sz w:val="28"/>
          <w:szCs w:val="28"/>
        </w:rPr>
        <w:t> – iemaksu algas indekss t</w:t>
      </w:r>
      <w:r w:rsidR="00936A12">
        <w:rPr>
          <w:sz w:val="28"/>
          <w:szCs w:val="28"/>
        </w:rPr>
        <w:t>–</w:t>
      </w:r>
      <w:r>
        <w:rPr>
          <w:sz w:val="28"/>
          <w:szCs w:val="28"/>
        </w:rPr>
        <w:t>1 gadā (izteikts kā koeficients ar četrām zīmēm aiz komata);</w:t>
      </w:r>
    </w:p>
    <w:p w14:paraId="648521F0" w14:textId="00FD3FAF" w:rsidR="00F479D4" w:rsidRDefault="00F479D4" w:rsidP="00AD441D">
      <w:pPr>
        <w:ind w:firstLine="709"/>
        <w:jc w:val="both"/>
        <w:rPr>
          <w:sz w:val="28"/>
          <w:szCs w:val="28"/>
        </w:rPr>
      </w:pPr>
      <w:proofErr w:type="spellStart"/>
      <w:r>
        <w:rPr>
          <w:sz w:val="28"/>
          <w:szCs w:val="28"/>
        </w:rPr>
        <w:t>PCI</w:t>
      </w:r>
      <w:r>
        <w:rPr>
          <w:sz w:val="28"/>
          <w:szCs w:val="28"/>
          <w:vertAlign w:val="subscript"/>
        </w:rPr>
        <w:t>t</w:t>
      </w:r>
      <w:proofErr w:type="spellEnd"/>
      <w:r w:rsidR="00AF5957">
        <w:rPr>
          <w:sz w:val="28"/>
          <w:szCs w:val="28"/>
          <w:vertAlign w:val="subscript"/>
        </w:rPr>
        <w:t>–</w:t>
      </w:r>
      <w:r>
        <w:rPr>
          <w:sz w:val="28"/>
          <w:szCs w:val="28"/>
          <w:vertAlign w:val="subscript"/>
        </w:rPr>
        <w:t>1</w:t>
      </w:r>
      <w:r>
        <w:rPr>
          <w:sz w:val="28"/>
          <w:szCs w:val="28"/>
        </w:rPr>
        <w:t xml:space="preserve"> – patēriņa cenu indekss laikposmā no t</w:t>
      </w:r>
      <w:r w:rsidR="00936A12">
        <w:rPr>
          <w:sz w:val="28"/>
          <w:szCs w:val="28"/>
        </w:rPr>
        <w:t>–</w:t>
      </w:r>
      <w:r>
        <w:rPr>
          <w:sz w:val="28"/>
          <w:szCs w:val="28"/>
        </w:rPr>
        <w:t>1 gada 1.</w:t>
      </w:r>
      <w:r w:rsidR="00936A12">
        <w:rPr>
          <w:sz w:val="28"/>
          <w:szCs w:val="28"/>
        </w:rPr>
        <w:t> </w:t>
      </w:r>
      <w:r>
        <w:rPr>
          <w:sz w:val="28"/>
          <w:szCs w:val="28"/>
        </w:rPr>
        <w:t>janvāra līdz t</w:t>
      </w:r>
      <w:r w:rsidR="00936A12">
        <w:rPr>
          <w:sz w:val="28"/>
          <w:szCs w:val="28"/>
        </w:rPr>
        <w:t>–</w:t>
      </w:r>
      <w:r>
        <w:rPr>
          <w:sz w:val="28"/>
          <w:szCs w:val="28"/>
        </w:rPr>
        <w:t>1 gada 31.</w:t>
      </w:r>
      <w:r w:rsidR="00936A12">
        <w:rPr>
          <w:sz w:val="28"/>
          <w:szCs w:val="28"/>
        </w:rPr>
        <w:t> </w:t>
      </w:r>
      <w:r>
        <w:rPr>
          <w:sz w:val="28"/>
          <w:szCs w:val="28"/>
        </w:rPr>
        <w:t>decembrim (izteikts kā koeficients ar četrām zīmēm aiz komata)</w:t>
      </w:r>
      <w:r w:rsidR="00AD441D">
        <w:rPr>
          <w:sz w:val="28"/>
          <w:szCs w:val="28"/>
        </w:rPr>
        <w:t>.</w:t>
      </w:r>
    </w:p>
    <w:p w14:paraId="4AF3B95D" w14:textId="77777777" w:rsidR="00AD441D" w:rsidRDefault="00AD441D" w:rsidP="00AD441D">
      <w:pPr>
        <w:ind w:firstLine="709"/>
        <w:jc w:val="both"/>
        <w:rPr>
          <w:sz w:val="28"/>
          <w:szCs w:val="28"/>
        </w:rPr>
      </w:pPr>
    </w:p>
    <w:p w14:paraId="648521F1" w14:textId="77777777" w:rsidR="00F479D4" w:rsidRDefault="00F479D4" w:rsidP="00AD441D">
      <w:pPr>
        <w:ind w:firstLine="709"/>
        <w:jc w:val="both"/>
        <w:rPr>
          <w:sz w:val="28"/>
          <w:szCs w:val="28"/>
        </w:rPr>
      </w:pPr>
      <w:r>
        <w:rPr>
          <w:sz w:val="28"/>
          <w:szCs w:val="28"/>
        </w:rPr>
        <w:t>6. Iemaksu algas indeksu aprēķina, izmantojot šādu formulu:</w:t>
      </w:r>
    </w:p>
    <w:p w14:paraId="200FA0A5" w14:textId="77777777" w:rsidR="00AD441D" w:rsidRDefault="00AD441D" w:rsidP="00AD441D">
      <w:pPr>
        <w:ind w:firstLine="709"/>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217"/>
      </w:tblGrid>
      <w:tr w:rsidR="00B6703F" w14:paraId="20C0FD54" w14:textId="77777777" w:rsidTr="00B6703F">
        <w:tc>
          <w:tcPr>
            <w:tcW w:w="4077" w:type="dxa"/>
            <w:vMerge w:val="restart"/>
            <w:vAlign w:val="center"/>
          </w:tcPr>
          <w:p w14:paraId="05B288C2" w14:textId="18FA3B4E" w:rsidR="00B6703F" w:rsidRPr="00B6703F" w:rsidRDefault="00B6703F" w:rsidP="00C73014">
            <w:pPr>
              <w:jc w:val="right"/>
              <w:rPr>
                <w:sz w:val="28"/>
                <w:szCs w:val="28"/>
              </w:rPr>
            </w:pPr>
            <w:proofErr w:type="spellStart"/>
            <w:r w:rsidRPr="00B6703F">
              <w:rPr>
                <w:bCs/>
                <w:sz w:val="28"/>
                <w:szCs w:val="28"/>
              </w:rPr>
              <w:t>AI</w:t>
            </w:r>
            <w:r w:rsidRPr="00B6703F">
              <w:rPr>
                <w:bCs/>
                <w:sz w:val="28"/>
                <w:szCs w:val="28"/>
                <w:vertAlign w:val="subscript"/>
              </w:rPr>
              <w:t>t</w:t>
            </w:r>
            <w:proofErr w:type="spellEnd"/>
            <w:r w:rsidR="00C73014">
              <w:rPr>
                <w:bCs/>
                <w:sz w:val="28"/>
                <w:szCs w:val="28"/>
                <w:vertAlign w:val="subscript"/>
              </w:rPr>
              <w:t>–</w:t>
            </w:r>
            <w:r w:rsidRPr="00B6703F">
              <w:rPr>
                <w:bCs/>
                <w:sz w:val="28"/>
                <w:szCs w:val="28"/>
                <w:vertAlign w:val="subscript"/>
              </w:rPr>
              <w:t>1</w:t>
            </w:r>
            <w:r w:rsidRPr="00B6703F">
              <w:rPr>
                <w:bCs/>
                <w:sz w:val="28"/>
                <w:szCs w:val="28"/>
              </w:rPr>
              <w:t xml:space="preserve"> =</w:t>
            </w:r>
          </w:p>
        </w:tc>
        <w:tc>
          <w:tcPr>
            <w:tcW w:w="993" w:type="dxa"/>
            <w:tcBorders>
              <w:bottom w:val="single" w:sz="4" w:space="0" w:color="auto"/>
            </w:tcBorders>
          </w:tcPr>
          <w:p w14:paraId="2D35288F" w14:textId="625F6AEC" w:rsidR="00B6703F" w:rsidRPr="00B6703F" w:rsidRDefault="00B6703F" w:rsidP="00B6703F">
            <w:pPr>
              <w:jc w:val="center"/>
              <w:rPr>
                <w:sz w:val="28"/>
                <w:szCs w:val="28"/>
              </w:rPr>
            </w:pPr>
            <w:r w:rsidRPr="00B6703F">
              <w:rPr>
                <w:bCs/>
                <w:sz w:val="28"/>
                <w:szCs w:val="28"/>
              </w:rPr>
              <w:t>A</w:t>
            </w:r>
            <w:r w:rsidRPr="00B6703F">
              <w:rPr>
                <w:bCs/>
                <w:sz w:val="28"/>
                <w:szCs w:val="28"/>
                <w:vertAlign w:val="subscript"/>
              </w:rPr>
              <w:t>t</w:t>
            </w:r>
            <w:r>
              <w:rPr>
                <w:bCs/>
                <w:sz w:val="28"/>
                <w:szCs w:val="28"/>
                <w:vertAlign w:val="subscript"/>
              </w:rPr>
              <w:t>–</w:t>
            </w:r>
            <w:r w:rsidRPr="00B6703F">
              <w:rPr>
                <w:bCs/>
                <w:sz w:val="28"/>
                <w:szCs w:val="28"/>
                <w:vertAlign w:val="subscript"/>
              </w:rPr>
              <w:t>1</w:t>
            </w:r>
          </w:p>
        </w:tc>
        <w:tc>
          <w:tcPr>
            <w:tcW w:w="4217" w:type="dxa"/>
            <w:vMerge w:val="restart"/>
            <w:vAlign w:val="center"/>
          </w:tcPr>
          <w:p w14:paraId="6B61C49F" w14:textId="430D5897" w:rsidR="00B6703F" w:rsidRDefault="00B6703F" w:rsidP="00B6703F">
            <w:pPr>
              <w:rPr>
                <w:sz w:val="28"/>
                <w:szCs w:val="28"/>
              </w:rPr>
            </w:pPr>
            <w:r>
              <w:rPr>
                <w:bCs/>
                <w:sz w:val="28"/>
                <w:szCs w:val="28"/>
              </w:rPr>
              <w:t xml:space="preserve">, </w:t>
            </w:r>
            <w:r w:rsidRPr="00AD441D">
              <w:rPr>
                <w:bCs/>
                <w:sz w:val="28"/>
                <w:szCs w:val="28"/>
              </w:rPr>
              <w:t>kur</w:t>
            </w:r>
          </w:p>
        </w:tc>
      </w:tr>
      <w:tr w:rsidR="00B6703F" w14:paraId="00950A29" w14:textId="77777777" w:rsidTr="00B6703F">
        <w:tc>
          <w:tcPr>
            <w:tcW w:w="4077" w:type="dxa"/>
            <w:vMerge/>
          </w:tcPr>
          <w:p w14:paraId="26C332D8" w14:textId="77777777" w:rsidR="00B6703F" w:rsidRDefault="00B6703F" w:rsidP="00AD441D">
            <w:pPr>
              <w:jc w:val="both"/>
              <w:rPr>
                <w:sz w:val="28"/>
                <w:szCs w:val="28"/>
              </w:rPr>
            </w:pPr>
          </w:p>
        </w:tc>
        <w:tc>
          <w:tcPr>
            <w:tcW w:w="993" w:type="dxa"/>
            <w:tcBorders>
              <w:top w:val="single" w:sz="4" w:space="0" w:color="auto"/>
            </w:tcBorders>
          </w:tcPr>
          <w:p w14:paraId="29824C35" w14:textId="68CC04C3" w:rsidR="00B6703F" w:rsidRPr="00B6703F" w:rsidRDefault="00B6703F" w:rsidP="00B6703F">
            <w:pPr>
              <w:jc w:val="center"/>
              <w:rPr>
                <w:sz w:val="28"/>
                <w:szCs w:val="28"/>
              </w:rPr>
            </w:pPr>
            <w:r w:rsidRPr="00B6703F">
              <w:rPr>
                <w:bCs/>
                <w:sz w:val="28"/>
                <w:szCs w:val="28"/>
              </w:rPr>
              <w:t>A</w:t>
            </w:r>
            <w:r w:rsidRPr="00B6703F">
              <w:rPr>
                <w:bCs/>
                <w:sz w:val="28"/>
                <w:szCs w:val="28"/>
                <w:vertAlign w:val="subscript"/>
              </w:rPr>
              <w:t>t</w:t>
            </w:r>
            <w:r>
              <w:rPr>
                <w:bCs/>
                <w:sz w:val="28"/>
                <w:szCs w:val="28"/>
                <w:vertAlign w:val="subscript"/>
              </w:rPr>
              <w:t>–</w:t>
            </w:r>
            <w:r w:rsidRPr="00B6703F">
              <w:rPr>
                <w:bCs/>
                <w:sz w:val="28"/>
                <w:szCs w:val="28"/>
                <w:vertAlign w:val="subscript"/>
              </w:rPr>
              <w:t>2</w:t>
            </w:r>
          </w:p>
        </w:tc>
        <w:tc>
          <w:tcPr>
            <w:tcW w:w="4217" w:type="dxa"/>
            <w:vMerge/>
          </w:tcPr>
          <w:p w14:paraId="06B24887" w14:textId="77777777" w:rsidR="00B6703F" w:rsidRDefault="00B6703F" w:rsidP="00AD441D">
            <w:pPr>
              <w:jc w:val="both"/>
              <w:rPr>
                <w:sz w:val="28"/>
                <w:szCs w:val="28"/>
              </w:rPr>
            </w:pPr>
          </w:p>
        </w:tc>
      </w:tr>
    </w:tbl>
    <w:p w14:paraId="03C6D44D" w14:textId="77777777" w:rsidR="00B6703F" w:rsidRDefault="00B6703F" w:rsidP="00AD441D">
      <w:pPr>
        <w:ind w:firstLine="709"/>
        <w:jc w:val="both"/>
        <w:rPr>
          <w:sz w:val="28"/>
          <w:szCs w:val="28"/>
        </w:rPr>
      </w:pPr>
    </w:p>
    <w:p w14:paraId="648521F5" w14:textId="0305B081" w:rsidR="00F479D4" w:rsidRDefault="00F479D4" w:rsidP="00AD441D">
      <w:pPr>
        <w:ind w:firstLine="709"/>
        <w:jc w:val="both"/>
        <w:rPr>
          <w:sz w:val="28"/>
          <w:szCs w:val="28"/>
        </w:rPr>
      </w:pPr>
      <w:bookmarkStart w:id="1" w:name="bkm1"/>
      <w:proofErr w:type="spellStart"/>
      <w:r>
        <w:rPr>
          <w:sz w:val="28"/>
          <w:szCs w:val="28"/>
        </w:rPr>
        <w:t>AI</w:t>
      </w:r>
      <w:r>
        <w:rPr>
          <w:sz w:val="28"/>
          <w:szCs w:val="28"/>
          <w:vertAlign w:val="subscript"/>
        </w:rPr>
        <w:t>t</w:t>
      </w:r>
      <w:proofErr w:type="spellEnd"/>
      <w:r w:rsidR="00B6703F">
        <w:rPr>
          <w:sz w:val="28"/>
          <w:szCs w:val="28"/>
          <w:vertAlign w:val="subscript"/>
        </w:rPr>
        <w:t>–</w:t>
      </w:r>
      <w:r>
        <w:rPr>
          <w:sz w:val="28"/>
          <w:szCs w:val="28"/>
          <w:vertAlign w:val="subscript"/>
        </w:rPr>
        <w:t>1</w:t>
      </w:r>
      <w:r>
        <w:rPr>
          <w:sz w:val="28"/>
          <w:szCs w:val="28"/>
        </w:rPr>
        <w:t xml:space="preserve"> – iemaksu algas indekss t</w:t>
      </w:r>
      <w:r w:rsidR="00B6703F">
        <w:rPr>
          <w:sz w:val="28"/>
          <w:szCs w:val="28"/>
        </w:rPr>
        <w:t>–</w:t>
      </w:r>
      <w:r>
        <w:rPr>
          <w:sz w:val="28"/>
          <w:szCs w:val="28"/>
        </w:rPr>
        <w:t>1 gadā (izteikts kā koeficients ar četrām zīmēm aiz komata);</w:t>
      </w:r>
    </w:p>
    <w:p w14:paraId="648521F6" w14:textId="40535A96" w:rsidR="00F479D4" w:rsidRDefault="00F479D4" w:rsidP="00AD441D">
      <w:pPr>
        <w:ind w:firstLine="709"/>
        <w:jc w:val="both"/>
        <w:rPr>
          <w:sz w:val="28"/>
          <w:szCs w:val="28"/>
        </w:rPr>
      </w:pPr>
      <w:r>
        <w:rPr>
          <w:sz w:val="28"/>
          <w:szCs w:val="28"/>
        </w:rPr>
        <w:t>A</w:t>
      </w:r>
      <w:r>
        <w:rPr>
          <w:sz w:val="28"/>
          <w:szCs w:val="28"/>
          <w:vertAlign w:val="subscript"/>
        </w:rPr>
        <w:t>t</w:t>
      </w:r>
      <w:r w:rsidR="00B6703F">
        <w:rPr>
          <w:sz w:val="28"/>
          <w:szCs w:val="28"/>
          <w:vertAlign w:val="subscript"/>
        </w:rPr>
        <w:t>–</w:t>
      </w:r>
      <w:r>
        <w:rPr>
          <w:sz w:val="28"/>
          <w:szCs w:val="28"/>
          <w:vertAlign w:val="subscript"/>
        </w:rPr>
        <w:t>1 </w:t>
      </w:r>
      <w:r>
        <w:rPr>
          <w:sz w:val="28"/>
          <w:szCs w:val="28"/>
        </w:rPr>
        <w:t>– sociālās apdrošināšanas iemaksu algu summa</w:t>
      </w:r>
      <w:r w:rsidR="00B6703F">
        <w:rPr>
          <w:sz w:val="28"/>
          <w:szCs w:val="28"/>
        </w:rPr>
        <w:t xml:space="preserve"> par laikposmu</w:t>
      </w:r>
      <w:r>
        <w:rPr>
          <w:sz w:val="28"/>
          <w:szCs w:val="28"/>
        </w:rPr>
        <w:t xml:space="preserve"> no </w:t>
      </w:r>
      <w:r w:rsidR="00B6703F">
        <w:rPr>
          <w:sz w:val="28"/>
          <w:szCs w:val="28"/>
        </w:rPr>
        <w:br/>
      </w:r>
      <w:r>
        <w:rPr>
          <w:sz w:val="28"/>
          <w:szCs w:val="28"/>
        </w:rPr>
        <w:t>t</w:t>
      </w:r>
      <w:r w:rsidR="00B6703F">
        <w:rPr>
          <w:sz w:val="28"/>
          <w:szCs w:val="28"/>
        </w:rPr>
        <w:t>–</w:t>
      </w:r>
      <w:r>
        <w:rPr>
          <w:sz w:val="28"/>
          <w:szCs w:val="28"/>
        </w:rPr>
        <w:t>1 gada 1.</w:t>
      </w:r>
      <w:r w:rsidR="00AD441D">
        <w:rPr>
          <w:sz w:val="28"/>
          <w:szCs w:val="28"/>
        </w:rPr>
        <w:t> </w:t>
      </w:r>
      <w:r>
        <w:rPr>
          <w:sz w:val="28"/>
          <w:szCs w:val="28"/>
        </w:rPr>
        <w:t>janvāra līdz t</w:t>
      </w:r>
      <w:r w:rsidR="00B6703F">
        <w:rPr>
          <w:sz w:val="28"/>
          <w:szCs w:val="28"/>
        </w:rPr>
        <w:t>–</w:t>
      </w:r>
      <w:r>
        <w:rPr>
          <w:sz w:val="28"/>
          <w:szCs w:val="28"/>
        </w:rPr>
        <w:t>1</w:t>
      </w:r>
      <w:r>
        <w:rPr>
          <w:sz w:val="28"/>
          <w:szCs w:val="28"/>
          <w:vertAlign w:val="subscript"/>
        </w:rPr>
        <w:t xml:space="preserve"> </w:t>
      </w:r>
      <w:r>
        <w:rPr>
          <w:sz w:val="28"/>
          <w:szCs w:val="28"/>
        </w:rPr>
        <w:t>gada 31.</w:t>
      </w:r>
      <w:r w:rsidR="00AD441D">
        <w:rPr>
          <w:sz w:val="28"/>
          <w:szCs w:val="28"/>
        </w:rPr>
        <w:t> </w:t>
      </w:r>
      <w:r>
        <w:rPr>
          <w:sz w:val="28"/>
          <w:szCs w:val="28"/>
        </w:rPr>
        <w:t>decembrim;</w:t>
      </w:r>
    </w:p>
    <w:p w14:paraId="648521F7" w14:textId="1A512497" w:rsidR="00F479D4" w:rsidRDefault="00F479D4" w:rsidP="00AD441D">
      <w:pPr>
        <w:ind w:firstLine="709"/>
        <w:jc w:val="both"/>
        <w:rPr>
          <w:sz w:val="28"/>
          <w:szCs w:val="28"/>
        </w:rPr>
      </w:pPr>
      <w:r>
        <w:rPr>
          <w:sz w:val="28"/>
          <w:szCs w:val="28"/>
        </w:rPr>
        <w:t>A</w:t>
      </w:r>
      <w:r>
        <w:rPr>
          <w:sz w:val="28"/>
          <w:szCs w:val="28"/>
          <w:vertAlign w:val="subscript"/>
        </w:rPr>
        <w:t>t</w:t>
      </w:r>
      <w:r w:rsidR="00AF5957">
        <w:rPr>
          <w:sz w:val="28"/>
          <w:szCs w:val="28"/>
          <w:vertAlign w:val="subscript"/>
        </w:rPr>
        <w:t>–</w:t>
      </w:r>
      <w:r>
        <w:rPr>
          <w:sz w:val="28"/>
          <w:szCs w:val="28"/>
          <w:vertAlign w:val="subscript"/>
        </w:rPr>
        <w:t>2 </w:t>
      </w:r>
      <w:r>
        <w:rPr>
          <w:sz w:val="28"/>
          <w:szCs w:val="28"/>
        </w:rPr>
        <w:t xml:space="preserve">– sociālās apdrošināšanas iemaksu algu summa </w:t>
      </w:r>
      <w:r w:rsidR="00B6703F">
        <w:rPr>
          <w:sz w:val="28"/>
          <w:szCs w:val="28"/>
        </w:rPr>
        <w:t xml:space="preserve">par laikposmu </w:t>
      </w:r>
      <w:r>
        <w:rPr>
          <w:sz w:val="28"/>
          <w:szCs w:val="28"/>
        </w:rPr>
        <w:t xml:space="preserve">no </w:t>
      </w:r>
      <w:r w:rsidR="00B6703F">
        <w:rPr>
          <w:sz w:val="28"/>
          <w:szCs w:val="28"/>
        </w:rPr>
        <w:br/>
      </w:r>
      <w:r>
        <w:rPr>
          <w:sz w:val="28"/>
          <w:szCs w:val="28"/>
        </w:rPr>
        <w:t>t</w:t>
      </w:r>
      <w:r w:rsidR="00B6703F">
        <w:rPr>
          <w:sz w:val="28"/>
          <w:szCs w:val="28"/>
        </w:rPr>
        <w:t>–</w:t>
      </w:r>
      <w:r>
        <w:rPr>
          <w:sz w:val="28"/>
          <w:szCs w:val="28"/>
        </w:rPr>
        <w:t>2 gada 1.</w:t>
      </w:r>
      <w:r w:rsidR="00AD441D">
        <w:rPr>
          <w:sz w:val="28"/>
          <w:szCs w:val="28"/>
        </w:rPr>
        <w:t> </w:t>
      </w:r>
      <w:r>
        <w:rPr>
          <w:sz w:val="28"/>
          <w:szCs w:val="28"/>
        </w:rPr>
        <w:t>janvāra līdz t</w:t>
      </w:r>
      <w:r w:rsidR="00B6703F">
        <w:rPr>
          <w:sz w:val="28"/>
          <w:szCs w:val="28"/>
        </w:rPr>
        <w:t>–</w:t>
      </w:r>
      <w:r>
        <w:rPr>
          <w:sz w:val="28"/>
          <w:szCs w:val="28"/>
        </w:rPr>
        <w:t>2 gada 31.</w:t>
      </w:r>
      <w:r w:rsidR="00AF5957">
        <w:rPr>
          <w:sz w:val="28"/>
          <w:szCs w:val="28"/>
        </w:rPr>
        <w:t> </w:t>
      </w:r>
      <w:r>
        <w:rPr>
          <w:sz w:val="28"/>
          <w:szCs w:val="28"/>
        </w:rPr>
        <w:t>decembrim.</w:t>
      </w:r>
    </w:p>
    <w:p w14:paraId="525CD6BF" w14:textId="77777777" w:rsidR="00AD441D" w:rsidRDefault="00AD441D" w:rsidP="00AD441D">
      <w:pPr>
        <w:ind w:firstLine="709"/>
        <w:jc w:val="both"/>
        <w:rPr>
          <w:sz w:val="28"/>
          <w:szCs w:val="28"/>
        </w:rPr>
      </w:pPr>
    </w:p>
    <w:bookmarkEnd w:id="1"/>
    <w:p w14:paraId="648521F8" w14:textId="12918034" w:rsidR="00F479D4" w:rsidRPr="00CB2B39" w:rsidRDefault="00CB2B39" w:rsidP="00AD441D">
      <w:pPr>
        <w:ind w:firstLine="709"/>
        <w:jc w:val="both"/>
        <w:rPr>
          <w:sz w:val="28"/>
          <w:szCs w:val="28"/>
        </w:rPr>
      </w:pPr>
      <w:r w:rsidRPr="00CB2B39">
        <w:rPr>
          <w:sz w:val="28"/>
          <w:szCs w:val="28"/>
        </w:rPr>
        <w:t xml:space="preserve">7. </w:t>
      </w:r>
      <w:r w:rsidRPr="00CB2B39">
        <w:rPr>
          <w:rFonts w:eastAsia="Calibri"/>
          <w:color w:val="000000"/>
          <w:sz w:val="28"/>
          <w:szCs w:val="28"/>
          <w:lang w:eastAsia="en-US"/>
        </w:rPr>
        <w:t>Ja pensiju pārrēķina saskaņā ar likuma "Par valsts pensijām" pārejas noteikumu 23. vai 38. punktu</w:t>
      </w:r>
      <w:r>
        <w:rPr>
          <w:rFonts w:eastAsia="Calibri"/>
          <w:color w:val="000000"/>
          <w:sz w:val="28"/>
          <w:szCs w:val="28"/>
          <w:lang w:eastAsia="en-US"/>
        </w:rPr>
        <w:t xml:space="preserve"> vai</w:t>
      </w:r>
      <w:r w:rsidRPr="00CB2B39">
        <w:rPr>
          <w:rFonts w:eastAsia="Calibri"/>
          <w:color w:val="000000"/>
          <w:sz w:val="28"/>
          <w:szCs w:val="28"/>
          <w:lang w:eastAsia="en-US"/>
        </w:rPr>
        <w:t xml:space="preserve"> ja, pārrēķinot pensiju par periodu pirms pensijas piešķiršanas (pārrēķināšanas), netiek mainīta vidējā apdrošināšanas iemaksu alga, </w:t>
      </w:r>
      <w:r>
        <w:rPr>
          <w:rFonts w:eastAsia="Calibri"/>
          <w:color w:val="000000"/>
          <w:sz w:val="28"/>
          <w:szCs w:val="28"/>
          <w:lang w:eastAsia="en-US"/>
        </w:rPr>
        <w:t xml:space="preserve">pensiju </w:t>
      </w:r>
      <w:r w:rsidRPr="00CB2B39">
        <w:rPr>
          <w:rFonts w:eastAsia="Calibri"/>
          <w:color w:val="000000"/>
          <w:sz w:val="28"/>
          <w:szCs w:val="28"/>
          <w:lang w:eastAsia="en-US"/>
        </w:rPr>
        <w:t>pārskata tās pārrēķināšanas brīdī, ņemot vērā visus indeksus, kuri attiecīgajai pensijai (aprēķinātajam apmēram) piemēroti pirms tās pārrēķināšanas, ievērojot noteikto pensijas minimālo apmēru.</w:t>
      </w:r>
    </w:p>
    <w:p w14:paraId="6F9CE2F5" w14:textId="77777777" w:rsidR="00AD441D" w:rsidRDefault="00AD441D" w:rsidP="00AD441D">
      <w:pPr>
        <w:ind w:firstLine="709"/>
        <w:jc w:val="both"/>
        <w:rPr>
          <w:sz w:val="28"/>
          <w:szCs w:val="28"/>
        </w:rPr>
      </w:pPr>
    </w:p>
    <w:p w14:paraId="648521F9" w14:textId="13A21155" w:rsidR="00F479D4" w:rsidRDefault="00F479D4" w:rsidP="00AD441D">
      <w:pPr>
        <w:ind w:firstLine="709"/>
        <w:jc w:val="both"/>
        <w:rPr>
          <w:sz w:val="28"/>
          <w:szCs w:val="28"/>
        </w:rPr>
      </w:pPr>
      <w:r>
        <w:rPr>
          <w:sz w:val="28"/>
          <w:szCs w:val="28"/>
        </w:rPr>
        <w:t>8. Pārrēķinot invaliditātes pensiju</w:t>
      </w:r>
      <w:r w:rsidR="00AF5957">
        <w:rPr>
          <w:sz w:val="28"/>
          <w:szCs w:val="28"/>
        </w:rPr>
        <w:t>, ja mainījusies</w:t>
      </w:r>
      <w:r>
        <w:rPr>
          <w:sz w:val="28"/>
          <w:szCs w:val="28"/>
        </w:rPr>
        <w:t xml:space="preserve"> invaliditātes grupa</w:t>
      </w:r>
      <w:r w:rsidR="00AF5957">
        <w:rPr>
          <w:sz w:val="28"/>
          <w:szCs w:val="28"/>
        </w:rPr>
        <w:t>,</w:t>
      </w:r>
      <w:r>
        <w:rPr>
          <w:sz w:val="28"/>
          <w:szCs w:val="28"/>
        </w:rPr>
        <w:t xml:space="preserve"> saskaņā ar likuma </w:t>
      </w:r>
      <w:r w:rsidR="00AD441D">
        <w:rPr>
          <w:sz w:val="28"/>
          <w:szCs w:val="28"/>
        </w:rPr>
        <w:t>"</w:t>
      </w:r>
      <w:r>
        <w:rPr>
          <w:sz w:val="28"/>
          <w:szCs w:val="28"/>
        </w:rPr>
        <w:t>Par valsts pensijām</w:t>
      </w:r>
      <w:r w:rsidR="00AD441D">
        <w:rPr>
          <w:sz w:val="28"/>
          <w:szCs w:val="28"/>
        </w:rPr>
        <w:t>"</w:t>
      </w:r>
      <w:r>
        <w:rPr>
          <w:sz w:val="28"/>
          <w:szCs w:val="28"/>
        </w:rPr>
        <w:t xml:space="preserve"> </w:t>
      </w:r>
      <w:hyperlink r:id="rId8" w:anchor="4" w:tgtFrame="_top" w:tooltip="Par valsts pensijām" w:history="1">
        <w:r w:rsidRPr="007C198E">
          <w:rPr>
            <w:rStyle w:val="Hyperlink"/>
            <w:color w:val="auto"/>
            <w:sz w:val="28"/>
            <w:szCs w:val="28"/>
            <w:u w:val="none"/>
          </w:rPr>
          <w:t>16.</w:t>
        </w:r>
        <w:r w:rsidR="00AD441D">
          <w:rPr>
            <w:rStyle w:val="Hyperlink"/>
            <w:color w:val="auto"/>
            <w:sz w:val="28"/>
            <w:szCs w:val="28"/>
            <w:u w:val="none"/>
          </w:rPr>
          <w:t> </w:t>
        </w:r>
        <w:r w:rsidRPr="007C198E">
          <w:rPr>
            <w:rStyle w:val="Hyperlink"/>
            <w:color w:val="auto"/>
            <w:sz w:val="28"/>
            <w:szCs w:val="28"/>
            <w:u w:val="none"/>
          </w:rPr>
          <w:t>panta ceturto daļu</w:t>
        </w:r>
      </w:hyperlink>
      <w:r>
        <w:rPr>
          <w:sz w:val="28"/>
          <w:szCs w:val="28"/>
        </w:rPr>
        <w:t xml:space="preserve"> aprēķinātajam </w:t>
      </w:r>
      <w:r w:rsidR="007955BC">
        <w:rPr>
          <w:sz w:val="28"/>
          <w:szCs w:val="28"/>
        </w:rPr>
        <w:t xml:space="preserve">invaliditātes pensijas apmēram </w:t>
      </w:r>
      <w:r>
        <w:rPr>
          <w:sz w:val="28"/>
          <w:szCs w:val="28"/>
        </w:rPr>
        <w:t>piemēro indeks</w:t>
      </w:r>
      <w:r w:rsidR="007955BC">
        <w:rPr>
          <w:sz w:val="28"/>
          <w:szCs w:val="28"/>
        </w:rPr>
        <w:t>us</w:t>
      </w:r>
      <w:r>
        <w:rPr>
          <w:sz w:val="28"/>
          <w:szCs w:val="28"/>
        </w:rPr>
        <w:t xml:space="preserve">, kas bija piemēroti pensijai pirms tās pārrēķināšanas, izņemot indeksus, kas bija piemēroti vidējās apdrošināšanas iemaksu algas aktualizācijai. Ja personai nav vidējās apdrošināšanas iemaksu algas un invaliditātes pensijas apmērs ir noteikts atbilstoši likuma </w:t>
      </w:r>
      <w:r w:rsidR="00AD441D">
        <w:rPr>
          <w:sz w:val="28"/>
          <w:szCs w:val="28"/>
        </w:rPr>
        <w:t>"</w:t>
      </w:r>
      <w:r>
        <w:rPr>
          <w:sz w:val="28"/>
          <w:szCs w:val="28"/>
        </w:rPr>
        <w:t>Par valsts pensijām</w:t>
      </w:r>
      <w:r w:rsidR="00AD441D">
        <w:rPr>
          <w:sz w:val="28"/>
          <w:szCs w:val="28"/>
        </w:rPr>
        <w:t>"</w:t>
      </w:r>
      <w:r>
        <w:rPr>
          <w:sz w:val="28"/>
          <w:szCs w:val="28"/>
        </w:rPr>
        <w:t xml:space="preserve"> 16.</w:t>
      </w:r>
      <w:r w:rsidR="00CE0707">
        <w:rPr>
          <w:sz w:val="28"/>
          <w:szCs w:val="28"/>
        </w:rPr>
        <w:t> </w:t>
      </w:r>
      <w:r>
        <w:rPr>
          <w:sz w:val="28"/>
          <w:szCs w:val="28"/>
        </w:rPr>
        <w:t>panta pirmās daļas 2.</w:t>
      </w:r>
      <w:r w:rsidR="00CE0707">
        <w:rPr>
          <w:sz w:val="28"/>
          <w:szCs w:val="28"/>
        </w:rPr>
        <w:t> </w:t>
      </w:r>
      <w:r>
        <w:rPr>
          <w:sz w:val="28"/>
          <w:szCs w:val="28"/>
        </w:rPr>
        <w:t xml:space="preserve">punktam un </w:t>
      </w:r>
      <w:r>
        <w:rPr>
          <w:sz w:val="28"/>
          <w:szCs w:val="28"/>
        </w:rPr>
        <w:lastRenderedPageBreak/>
        <w:t>16.</w:t>
      </w:r>
      <w:r w:rsidR="00CE0707">
        <w:rPr>
          <w:sz w:val="28"/>
          <w:szCs w:val="28"/>
        </w:rPr>
        <w:t> </w:t>
      </w:r>
      <w:r>
        <w:rPr>
          <w:sz w:val="28"/>
          <w:szCs w:val="28"/>
        </w:rPr>
        <w:t>panta otra</w:t>
      </w:r>
      <w:r w:rsidR="00CE0707">
        <w:rPr>
          <w:sz w:val="28"/>
          <w:szCs w:val="28"/>
        </w:rPr>
        <w:t>ja</w:t>
      </w:r>
      <w:r>
        <w:rPr>
          <w:sz w:val="28"/>
          <w:szCs w:val="28"/>
        </w:rPr>
        <w:t>i daļai, tad šim apmēram netiek piemēroti indeksi, kas bija piemēroti pensijai pirms pārrēķina.</w:t>
      </w:r>
      <w:proofErr w:type="gramStart"/>
      <w:r>
        <w:rPr>
          <w:sz w:val="28"/>
          <w:szCs w:val="28"/>
        </w:rPr>
        <w:t xml:space="preserve">  </w:t>
      </w:r>
      <w:proofErr w:type="gramEnd"/>
    </w:p>
    <w:p w14:paraId="6CFA3697" w14:textId="77777777" w:rsidR="00AD441D" w:rsidRDefault="00AD441D" w:rsidP="00AD441D">
      <w:pPr>
        <w:ind w:firstLine="709"/>
        <w:jc w:val="both"/>
        <w:rPr>
          <w:sz w:val="28"/>
          <w:szCs w:val="28"/>
        </w:rPr>
      </w:pPr>
    </w:p>
    <w:p w14:paraId="648521FA" w14:textId="77777777" w:rsidR="00F479D4" w:rsidRDefault="00F479D4" w:rsidP="00AD441D">
      <w:pPr>
        <w:ind w:firstLine="709"/>
        <w:jc w:val="both"/>
        <w:rPr>
          <w:sz w:val="28"/>
          <w:szCs w:val="28"/>
        </w:rPr>
      </w:pPr>
      <w:r>
        <w:rPr>
          <w:sz w:val="28"/>
          <w:szCs w:val="28"/>
        </w:rPr>
        <w:t>9. Pārskatot apgādnieka zaudējuma pensiju, indeksē tās kopējo apmēru (ieskaitot valsts pamatbud</w:t>
      </w:r>
      <w:r w:rsidR="006629E3">
        <w:rPr>
          <w:sz w:val="28"/>
          <w:szCs w:val="28"/>
        </w:rPr>
        <w:t>žeta izmaksājamo daļu</w:t>
      </w:r>
      <w:r w:rsidR="00D22520">
        <w:rPr>
          <w:sz w:val="28"/>
          <w:szCs w:val="28"/>
        </w:rPr>
        <w:t>)</w:t>
      </w:r>
      <w:r>
        <w:rPr>
          <w:sz w:val="28"/>
          <w:szCs w:val="28"/>
        </w:rPr>
        <w:t>.</w:t>
      </w:r>
    </w:p>
    <w:p w14:paraId="560D4341" w14:textId="77777777" w:rsidR="00AD441D" w:rsidRDefault="00AD441D" w:rsidP="00AD441D">
      <w:pPr>
        <w:ind w:firstLine="709"/>
        <w:jc w:val="both"/>
        <w:rPr>
          <w:sz w:val="28"/>
          <w:szCs w:val="28"/>
        </w:rPr>
      </w:pPr>
    </w:p>
    <w:p w14:paraId="648521FB" w14:textId="64D2D241" w:rsidR="00F479D4" w:rsidRDefault="00F479D4" w:rsidP="00AD441D">
      <w:pPr>
        <w:ind w:firstLine="709"/>
        <w:jc w:val="both"/>
        <w:rPr>
          <w:sz w:val="28"/>
          <w:szCs w:val="28"/>
        </w:rPr>
      </w:pPr>
      <w:r>
        <w:rPr>
          <w:sz w:val="28"/>
          <w:szCs w:val="28"/>
        </w:rPr>
        <w:t>10. Lai nodrošinātu pensiju pārskatīšanu, Centrālā statistikas pārvalde līdz kārtējā gada 10.</w:t>
      </w:r>
      <w:r w:rsidR="00CE0707">
        <w:rPr>
          <w:sz w:val="28"/>
          <w:szCs w:val="28"/>
        </w:rPr>
        <w:t> </w:t>
      </w:r>
      <w:r>
        <w:rPr>
          <w:sz w:val="28"/>
          <w:szCs w:val="28"/>
        </w:rPr>
        <w:t xml:space="preserve">augustam sniedz aģentūrai ziņas par faktisko patēriņa cenu indeksu šo noteikumu </w:t>
      </w:r>
      <w:hyperlink r:id="rId9" w:anchor="IntPNpunkt3." w:tooltip="Vietēja saite" w:history="1">
        <w:r w:rsidRPr="007C198E">
          <w:rPr>
            <w:rStyle w:val="Hyperlink"/>
            <w:color w:val="auto"/>
            <w:sz w:val="28"/>
            <w:szCs w:val="28"/>
            <w:u w:val="none"/>
          </w:rPr>
          <w:t>4.</w:t>
        </w:r>
      </w:hyperlink>
      <w:r w:rsidRPr="007C198E">
        <w:rPr>
          <w:sz w:val="28"/>
          <w:szCs w:val="28"/>
        </w:rPr>
        <w:t xml:space="preserve"> </w:t>
      </w:r>
      <w:r>
        <w:rPr>
          <w:sz w:val="28"/>
          <w:szCs w:val="28"/>
        </w:rPr>
        <w:t>un 5.</w:t>
      </w:r>
      <w:r w:rsidR="00CE0707">
        <w:rPr>
          <w:sz w:val="28"/>
          <w:szCs w:val="28"/>
        </w:rPr>
        <w:t> </w:t>
      </w:r>
      <w:r>
        <w:rPr>
          <w:sz w:val="28"/>
          <w:szCs w:val="28"/>
        </w:rPr>
        <w:t>punktā minētajos laikposmos.</w:t>
      </w:r>
    </w:p>
    <w:p w14:paraId="55D9ECF4" w14:textId="77777777" w:rsidR="00AD441D" w:rsidRDefault="00AD441D" w:rsidP="00AD441D">
      <w:pPr>
        <w:ind w:firstLine="709"/>
        <w:jc w:val="both"/>
        <w:rPr>
          <w:sz w:val="28"/>
          <w:szCs w:val="28"/>
        </w:rPr>
      </w:pPr>
    </w:p>
    <w:p w14:paraId="648521FC" w14:textId="78DD6568" w:rsidR="00F479D4" w:rsidRDefault="00F479D4" w:rsidP="00AD441D">
      <w:pPr>
        <w:ind w:firstLine="709"/>
        <w:jc w:val="both"/>
        <w:rPr>
          <w:sz w:val="28"/>
          <w:szCs w:val="28"/>
        </w:rPr>
      </w:pPr>
      <w:r>
        <w:rPr>
          <w:sz w:val="28"/>
          <w:szCs w:val="28"/>
        </w:rPr>
        <w:t>11. Atzīt par spēku zaudējušiem Ministru kabineta 2009.</w:t>
      </w:r>
      <w:r w:rsidR="00AD441D">
        <w:rPr>
          <w:sz w:val="28"/>
          <w:szCs w:val="28"/>
        </w:rPr>
        <w:t> </w:t>
      </w:r>
      <w:r>
        <w:rPr>
          <w:sz w:val="28"/>
          <w:szCs w:val="28"/>
        </w:rPr>
        <w:t>gada 22.</w:t>
      </w:r>
      <w:r w:rsidR="00AD441D">
        <w:rPr>
          <w:sz w:val="28"/>
          <w:szCs w:val="28"/>
        </w:rPr>
        <w:t> </w:t>
      </w:r>
      <w:r>
        <w:rPr>
          <w:sz w:val="28"/>
          <w:szCs w:val="28"/>
        </w:rPr>
        <w:t>decembra noteikumus Nr.</w:t>
      </w:r>
      <w:r w:rsidR="00AD441D">
        <w:rPr>
          <w:sz w:val="28"/>
          <w:szCs w:val="28"/>
        </w:rPr>
        <w:t> </w:t>
      </w:r>
      <w:r>
        <w:rPr>
          <w:sz w:val="28"/>
          <w:szCs w:val="28"/>
        </w:rPr>
        <w:t xml:space="preserve">1581 </w:t>
      </w:r>
      <w:r w:rsidR="00AD441D">
        <w:rPr>
          <w:sz w:val="28"/>
          <w:szCs w:val="28"/>
        </w:rPr>
        <w:t>"</w:t>
      </w:r>
      <w:r>
        <w:rPr>
          <w:sz w:val="28"/>
          <w:szCs w:val="28"/>
        </w:rPr>
        <w:t>Valsts pensiju, atlīdzības par darbspēju zaudējumu un atlīdzības par apgādnieka zaudējumu apmēra pārskatīšanas kārtība</w:t>
      </w:r>
      <w:r w:rsidR="00AD441D">
        <w:rPr>
          <w:sz w:val="28"/>
          <w:szCs w:val="28"/>
        </w:rPr>
        <w:t>"</w:t>
      </w:r>
      <w:r>
        <w:rPr>
          <w:sz w:val="28"/>
          <w:szCs w:val="28"/>
        </w:rPr>
        <w:t xml:space="preserve"> (Latvijas Vēstnesis, 2009, 204.</w:t>
      </w:r>
      <w:r w:rsidR="00AD441D">
        <w:rPr>
          <w:sz w:val="28"/>
          <w:szCs w:val="28"/>
        </w:rPr>
        <w:t> </w:t>
      </w:r>
      <w:r>
        <w:rPr>
          <w:sz w:val="28"/>
          <w:szCs w:val="28"/>
        </w:rPr>
        <w:t>nr.).</w:t>
      </w:r>
    </w:p>
    <w:p w14:paraId="24642C67" w14:textId="77777777" w:rsidR="00AD441D" w:rsidRDefault="00AD441D" w:rsidP="00AD441D">
      <w:pPr>
        <w:ind w:firstLine="709"/>
        <w:jc w:val="both"/>
        <w:rPr>
          <w:sz w:val="28"/>
          <w:szCs w:val="28"/>
        </w:rPr>
      </w:pPr>
    </w:p>
    <w:p w14:paraId="648521FD" w14:textId="640186C8" w:rsidR="00F479D4" w:rsidRDefault="00F479D4" w:rsidP="00AD441D">
      <w:pPr>
        <w:pStyle w:val="naisf"/>
        <w:spacing w:before="0" w:after="0"/>
        <w:ind w:firstLine="709"/>
        <w:rPr>
          <w:sz w:val="28"/>
          <w:szCs w:val="28"/>
        </w:rPr>
      </w:pPr>
      <w:bookmarkStart w:id="2" w:name="bkm0"/>
      <w:r>
        <w:rPr>
          <w:sz w:val="28"/>
          <w:szCs w:val="28"/>
        </w:rPr>
        <w:t>12. Noteikumi stājas spēkā 2014.</w:t>
      </w:r>
      <w:r w:rsidR="00AD441D">
        <w:rPr>
          <w:sz w:val="28"/>
          <w:szCs w:val="28"/>
        </w:rPr>
        <w:t> </w:t>
      </w:r>
      <w:r>
        <w:rPr>
          <w:sz w:val="28"/>
          <w:szCs w:val="28"/>
        </w:rPr>
        <w:t>gada 1</w:t>
      </w:r>
      <w:r w:rsidR="007955BC">
        <w:rPr>
          <w:sz w:val="28"/>
          <w:szCs w:val="28"/>
        </w:rPr>
        <w:t>.</w:t>
      </w:r>
      <w:r w:rsidR="00AD441D">
        <w:rPr>
          <w:sz w:val="28"/>
          <w:szCs w:val="28"/>
        </w:rPr>
        <w:t> </w:t>
      </w:r>
      <w:r w:rsidR="007955BC">
        <w:rPr>
          <w:sz w:val="28"/>
          <w:szCs w:val="28"/>
        </w:rPr>
        <w:t>augustā</w:t>
      </w:r>
      <w:r>
        <w:rPr>
          <w:sz w:val="28"/>
          <w:szCs w:val="28"/>
        </w:rPr>
        <w:t>.</w:t>
      </w:r>
    </w:p>
    <w:p w14:paraId="648521FE" w14:textId="77777777" w:rsidR="00F479D4" w:rsidRDefault="00F479D4" w:rsidP="00AD441D">
      <w:pPr>
        <w:pStyle w:val="naisf"/>
        <w:spacing w:before="0" w:after="0"/>
        <w:ind w:firstLine="709"/>
        <w:rPr>
          <w:sz w:val="28"/>
          <w:szCs w:val="28"/>
        </w:rPr>
      </w:pPr>
    </w:p>
    <w:p w14:paraId="648521FF" w14:textId="77777777" w:rsidR="00F479D4" w:rsidRDefault="00F479D4" w:rsidP="00AD441D">
      <w:pPr>
        <w:pStyle w:val="naisf"/>
        <w:spacing w:before="0" w:after="0"/>
        <w:ind w:firstLine="709"/>
        <w:rPr>
          <w:sz w:val="28"/>
          <w:szCs w:val="28"/>
        </w:rPr>
      </w:pPr>
    </w:p>
    <w:p w14:paraId="0473705B" w14:textId="77777777" w:rsidR="00AD441D" w:rsidRDefault="00AD441D" w:rsidP="00AD441D">
      <w:pPr>
        <w:pStyle w:val="naisf"/>
        <w:spacing w:before="0" w:after="0"/>
        <w:ind w:firstLine="709"/>
        <w:rPr>
          <w:sz w:val="28"/>
          <w:szCs w:val="28"/>
        </w:rPr>
      </w:pPr>
    </w:p>
    <w:bookmarkEnd w:id="2"/>
    <w:p w14:paraId="29A18333" w14:textId="5CB5C9D2" w:rsidR="00AD441D" w:rsidRDefault="00F479D4" w:rsidP="00AD441D">
      <w:pPr>
        <w:tabs>
          <w:tab w:val="left" w:pos="6237"/>
        </w:tabs>
        <w:ind w:firstLine="709"/>
        <w:rPr>
          <w:sz w:val="28"/>
          <w:szCs w:val="28"/>
        </w:rPr>
      </w:pPr>
      <w:r>
        <w:rPr>
          <w:sz w:val="28"/>
          <w:szCs w:val="28"/>
        </w:rPr>
        <w:t>Ministru prezidente</w:t>
      </w:r>
      <w:r>
        <w:rPr>
          <w:sz w:val="28"/>
          <w:szCs w:val="28"/>
        </w:rPr>
        <w:tab/>
      </w:r>
      <w:r w:rsidR="007955BC">
        <w:rPr>
          <w:sz w:val="28"/>
          <w:szCs w:val="28"/>
        </w:rPr>
        <w:t xml:space="preserve">Laimdota </w:t>
      </w:r>
      <w:r>
        <w:rPr>
          <w:sz w:val="28"/>
          <w:szCs w:val="28"/>
        </w:rPr>
        <w:t>Straujuma</w:t>
      </w:r>
    </w:p>
    <w:p w14:paraId="3101D3E2" w14:textId="77777777" w:rsidR="00AD441D" w:rsidRDefault="00AD441D" w:rsidP="00AD441D">
      <w:pPr>
        <w:tabs>
          <w:tab w:val="left" w:pos="6237"/>
        </w:tabs>
        <w:ind w:firstLine="709"/>
        <w:rPr>
          <w:sz w:val="28"/>
          <w:szCs w:val="28"/>
        </w:rPr>
      </w:pPr>
    </w:p>
    <w:p w14:paraId="2E2A49E3" w14:textId="77777777" w:rsidR="00AD441D" w:rsidRDefault="00AD441D" w:rsidP="00AD441D">
      <w:pPr>
        <w:tabs>
          <w:tab w:val="left" w:pos="6237"/>
        </w:tabs>
        <w:ind w:firstLine="709"/>
        <w:rPr>
          <w:sz w:val="28"/>
          <w:szCs w:val="28"/>
        </w:rPr>
      </w:pPr>
    </w:p>
    <w:p w14:paraId="27615991" w14:textId="77777777" w:rsidR="00AD441D" w:rsidRDefault="00AD441D" w:rsidP="00AD441D">
      <w:pPr>
        <w:tabs>
          <w:tab w:val="left" w:pos="6237"/>
        </w:tabs>
        <w:ind w:firstLine="709"/>
        <w:rPr>
          <w:sz w:val="28"/>
          <w:szCs w:val="28"/>
        </w:rPr>
      </w:pPr>
    </w:p>
    <w:p w14:paraId="64852200" w14:textId="450C5554" w:rsidR="00F479D4" w:rsidRDefault="00F479D4" w:rsidP="00AD441D">
      <w:pPr>
        <w:tabs>
          <w:tab w:val="left" w:pos="6237"/>
        </w:tabs>
        <w:ind w:firstLine="709"/>
        <w:rPr>
          <w:sz w:val="28"/>
          <w:szCs w:val="28"/>
        </w:rPr>
      </w:pPr>
      <w:r>
        <w:rPr>
          <w:sz w:val="28"/>
          <w:szCs w:val="28"/>
        </w:rPr>
        <w:t xml:space="preserve">Labklājības ministrs </w:t>
      </w:r>
      <w:r w:rsidR="007955BC">
        <w:rPr>
          <w:sz w:val="28"/>
          <w:szCs w:val="28"/>
        </w:rPr>
        <w:tab/>
        <w:t xml:space="preserve">Uldis </w:t>
      </w:r>
      <w:r>
        <w:rPr>
          <w:sz w:val="28"/>
          <w:szCs w:val="28"/>
        </w:rPr>
        <w:t>Augulis</w:t>
      </w:r>
    </w:p>
    <w:sectPr w:rsidR="00F479D4" w:rsidSect="009131CA">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52212" w14:textId="77777777" w:rsidR="00442402" w:rsidRDefault="00442402">
      <w:r>
        <w:separator/>
      </w:r>
    </w:p>
  </w:endnote>
  <w:endnote w:type="continuationSeparator" w:id="0">
    <w:p w14:paraId="64852213" w14:textId="77777777" w:rsidR="00442402" w:rsidRDefault="0044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2219" w14:textId="5F67985E" w:rsidR="00042E21" w:rsidRPr="009131CA" w:rsidRDefault="009131CA" w:rsidP="00CB5209">
    <w:pPr>
      <w:pStyle w:val="Footer"/>
      <w:rPr>
        <w:sz w:val="16"/>
        <w:szCs w:val="16"/>
      </w:rPr>
    </w:pPr>
    <w:r w:rsidRPr="009131CA">
      <w:rPr>
        <w:sz w:val="16"/>
        <w:szCs w:val="16"/>
      </w:rPr>
      <w:t>N1351_4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221B" w14:textId="30542621" w:rsidR="00042E21" w:rsidRPr="009131CA" w:rsidRDefault="009131CA" w:rsidP="00CB5209">
    <w:pPr>
      <w:pStyle w:val="Footer"/>
      <w:jc w:val="both"/>
      <w:rPr>
        <w:sz w:val="16"/>
        <w:szCs w:val="16"/>
      </w:rPr>
    </w:pPr>
    <w:r w:rsidRPr="009131CA">
      <w:rPr>
        <w:sz w:val="16"/>
        <w:szCs w:val="16"/>
      </w:rPr>
      <w:t>N1351_4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52210" w14:textId="77777777" w:rsidR="00442402" w:rsidRDefault="00442402">
      <w:r>
        <w:separator/>
      </w:r>
    </w:p>
  </w:footnote>
  <w:footnote w:type="continuationSeparator" w:id="0">
    <w:p w14:paraId="64852211" w14:textId="77777777" w:rsidR="00442402" w:rsidRDefault="00442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2214" w14:textId="77777777" w:rsidR="00042E21" w:rsidRDefault="00F479D4" w:rsidP="00CB5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A8D">
      <w:rPr>
        <w:rStyle w:val="PageNumber"/>
        <w:noProof/>
      </w:rPr>
      <w:t>3</w:t>
    </w:r>
    <w:r>
      <w:rPr>
        <w:rStyle w:val="PageNumber"/>
      </w:rPr>
      <w:fldChar w:fldCharType="end"/>
    </w:r>
  </w:p>
  <w:p w14:paraId="64852215" w14:textId="77777777" w:rsidR="00042E21" w:rsidRDefault="00A17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308B" w14:textId="72096DE7" w:rsidR="009131CA" w:rsidRDefault="009131CA" w:rsidP="009131CA">
    <w:pPr>
      <w:pStyle w:val="Header"/>
      <w:jc w:val="center"/>
    </w:pPr>
    <w:r>
      <w:rPr>
        <w:noProof/>
      </w:rPr>
      <w:drawing>
        <wp:inline distT="0" distB="0" distL="0" distR="0" wp14:anchorId="68E093FB" wp14:editId="1FDCBB48">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D4"/>
    <w:rsid w:val="00005627"/>
    <w:rsid w:val="0003412B"/>
    <w:rsid w:val="00126844"/>
    <w:rsid w:val="00253E9A"/>
    <w:rsid w:val="002A1453"/>
    <w:rsid w:val="002D3AB0"/>
    <w:rsid w:val="003310B4"/>
    <w:rsid w:val="004130C8"/>
    <w:rsid w:val="00442402"/>
    <w:rsid w:val="00464070"/>
    <w:rsid w:val="00513228"/>
    <w:rsid w:val="00516F82"/>
    <w:rsid w:val="00525D15"/>
    <w:rsid w:val="0057769D"/>
    <w:rsid w:val="005A3A1F"/>
    <w:rsid w:val="006629E3"/>
    <w:rsid w:val="006842A5"/>
    <w:rsid w:val="007955BC"/>
    <w:rsid w:val="00850DA3"/>
    <w:rsid w:val="008C5C7C"/>
    <w:rsid w:val="008D63B4"/>
    <w:rsid w:val="009131CA"/>
    <w:rsid w:val="00930529"/>
    <w:rsid w:val="00936A12"/>
    <w:rsid w:val="00A17A8D"/>
    <w:rsid w:val="00AA3205"/>
    <w:rsid w:val="00AD441D"/>
    <w:rsid w:val="00AF5957"/>
    <w:rsid w:val="00B66569"/>
    <w:rsid w:val="00B6703F"/>
    <w:rsid w:val="00B74AB0"/>
    <w:rsid w:val="00C05905"/>
    <w:rsid w:val="00C34142"/>
    <w:rsid w:val="00C73014"/>
    <w:rsid w:val="00CA401D"/>
    <w:rsid w:val="00CB2B39"/>
    <w:rsid w:val="00CE0707"/>
    <w:rsid w:val="00D22520"/>
    <w:rsid w:val="00E2470D"/>
    <w:rsid w:val="00EC128D"/>
    <w:rsid w:val="00F479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8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D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9D4"/>
    <w:rPr>
      <w:color w:val="0000FF"/>
      <w:u w:val="single"/>
    </w:rPr>
  </w:style>
  <w:style w:type="paragraph" w:customStyle="1" w:styleId="naisf">
    <w:name w:val="naisf"/>
    <w:basedOn w:val="Normal"/>
    <w:uiPriority w:val="99"/>
    <w:rsid w:val="00F479D4"/>
    <w:pPr>
      <w:spacing w:before="50" w:after="50"/>
      <w:ind w:firstLine="250"/>
      <w:jc w:val="both"/>
    </w:pPr>
  </w:style>
  <w:style w:type="paragraph" w:customStyle="1" w:styleId="naisvisr">
    <w:name w:val="naisvisr"/>
    <w:basedOn w:val="Normal"/>
    <w:uiPriority w:val="99"/>
    <w:rsid w:val="00F479D4"/>
    <w:pPr>
      <w:spacing w:before="100" w:after="100"/>
      <w:jc w:val="center"/>
    </w:pPr>
    <w:rPr>
      <w:b/>
      <w:bCs/>
      <w:sz w:val="28"/>
      <w:szCs w:val="28"/>
    </w:rPr>
  </w:style>
  <w:style w:type="paragraph" w:styleId="Header">
    <w:name w:val="header"/>
    <w:basedOn w:val="Normal"/>
    <w:link w:val="HeaderChar"/>
    <w:uiPriority w:val="99"/>
    <w:rsid w:val="00F479D4"/>
    <w:pPr>
      <w:tabs>
        <w:tab w:val="center" w:pos="4153"/>
        <w:tab w:val="right" w:pos="8306"/>
      </w:tabs>
    </w:pPr>
  </w:style>
  <w:style w:type="character" w:customStyle="1" w:styleId="HeaderChar">
    <w:name w:val="Header Char"/>
    <w:basedOn w:val="DefaultParagraphFont"/>
    <w:link w:val="Header"/>
    <w:uiPriority w:val="99"/>
    <w:rsid w:val="00F479D4"/>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479D4"/>
    <w:pPr>
      <w:tabs>
        <w:tab w:val="center" w:pos="4153"/>
        <w:tab w:val="right" w:pos="8306"/>
      </w:tabs>
    </w:pPr>
  </w:style>
  <w:style w:type="character" w:customStyle="1" w:styleId="FooterChar">
    <w:name w:val="Footer Char"/>
    <w:basedOn w:val="DefaultParagraphFont"/>
    <w:link w:val="Footer"/>
    <w:uiPriority w:val="99"/>
    <w:rsid w:val="00F479D4"/>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479D4"/>
  </w:style>
  <w:style w:type="paragraph" w:styleId="BodyText">
    <w:name w:val="Body Text"/>
    <w:basedOn w:val="Normal"/>
    <w:link w:val="BodyTextChar"/>
    <w:uiPriority w:val="99"/>
    <w:rsid w:val="00F479D4"/>
    <w:pPr>
      <w:tabs>
        <w:tab w:val="num" w:pos="2088"/>
        <w:tab w:val="left" w:pos="2430"/>
        <w:tab w:val="left" w:pos="2790"/>
      </w:tabs>
      <w:jc w:val="both"/>
    </w:pPr>
    <w:rPr>
      <w:i/>
      <w:iCs/>
      <w:sz w:val="28"/>
      <w:szCs w:val="28"/>
      <w:lang w:eastAsia="en-US"/>
    </w:rPr>
  </w:style>
  <w:style w:type="character" w:customStyle="1" w:styleId="BodyTextChar">
    <w:name w:val="Body Text Char"/>
    <w:basedOn w:val="DefaultParagraphFont"/>
    <w:link w:val="BodyText"/>
    <w:uiPriority w:val="99"/>
    <w:rsid w:val="00F479D4"/>
    <w:rPr>
      <w:rFonts w:ascii="Times New Roman" w:eastAsia="Times New Roman" w:hAnsi="Times New Roman" w:cs="Times New Roman"/>
      <w:i/>
      <w:iCs/>
      <w:sz w:val="28"/>
      <w:szCs w:val="28"/>
    </w:rPr>
  </w:style>
  <w:style w:type="paragraph" w:styleId="BalloonText">
    <w:name w:val="Balloon Text"/>
    <w:basedOn w:val="Normal"/>
    <w:link w:val="BalloonTextChar"/>
    <w:uiPriority w:val="99"/>
    <w:semiHidden/>
    <w:unhideWhenUsed/>
    <w:rsid w:val="009131CA"/>
    <w:rPr>
      <w:rFonts w:ascii="Tahoma" w:hAnsi="Tahoma" w:cs="Tahoma"/>
      <w:sz w:val="16"/>
      <w:szCs w:val="16"/>
    </w:rPr>
  </w:style>
  <w:style w:type="character" w:customStyle="1" w:styleId="BalloonTextChar">
    <w:name w:val="Balloon Text Char"/>
    <w:basedOn w:val="DefaultParagraphFont"/>
    <w:link w:val="BalloonText"/>
    <w:uiPriority w:val="99"/>
    <w:semiHidden/>
    <w:rsid w:val="009131CA"/>
    <w:rPr>
      <w:rFonts w:ascii="Tahoma" w:eastAsia="Times New Roman" w:hAnsi="Tahoma" w:cs="Tahoma"/>
      <w:sz w:val="16"/>
      <w:szCs w:val="16"/>
      <w:lang w:eastAsia="lv-LV"/>
    </w:rPr>
  </w:style>
  <w:style w:type="table" w:styleId="TableGrid">
    <w:name w:val="Table Grid"/>
    <w:basedOn w:val="TableNormal"/>
    <w:uiPriority w:val="59"/>
    <w:rsid w:val="00B6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0B4"/>
    <w:rPr>
      <w:sz w:val="16"/>
      <w:szCs w:val="16"/>
    </w:rPr>
  </w:style>
  <w:style w:type="paragraph" w:styleId="CommentText">
    <w:name w:val="annotation text"/>
    <w:basedOn w:val="Normal"/>
    <w:link w:val="CommentTextChar"/>
    <w:uiPriority w:val="99"/>
    <w:semiHidden/>
    <w:unhideWhenUsed/>
    <w:rsid w:val="003310B4"/>
    <w:rPr>
      <w:sz w:val="20"/>
      <w:szCs w:val="20"/>
    </w:rPr>
  </w:style>
  <w:style w:type="character" w:customStyle="1" w:styleId="CommentTextChar">
    <w:name w:val="Comment Text Char"/>
    <w:basedOn w:val="DefaultParagraphFont"/>
    <w:link w:val="CommentText"/>
    <w:uiPriority w:val="99"/>
    <w:semiHidden/>
    <w:rsid w:val="003310B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310B4"/>
    <w:rPr>
      <w:b/>
      <w:bCs/>
    </w:rPr>
  </w:style>
  <w:style w:type="character" w:customStyle="1" w:styleId="CommentSubjectChar">
    <w:name w:val="Comment Subject Char"/>
    <w:basedOn w:val="CommentTextChar"/>
    <w:link w:val="CommentSubject"/>
    <w:uiPriority w:val="99"/>
    <w:semiHidden/>
    <w:rsid w:val="003310B4"/>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D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9D4"/>
    <w:rPr>
      <w:color w:val="0000FF"/>
      <w:u w:val="single"/>
    </w:rPr>
  </w:style>
  <w:style w:type="paragraph" w:customStyle="1" w:styleId="naisf">
    <w:name w:val="naisf"/>
    <w:basedOn w:val="Normal"/>
    <w:uiPriority w:val="99"/>
    <w:rsid w:val="00F479D4"/>
    <w:pPr>
      <w:spacing w:before="50" w:after="50"/>
      <w:ind w:firstLine="250"/>
      <w:jc w:val="both"/>
    </w:pPr>
  </w:style>
  <w:style w:type="paragraph" w:customStyle="1" w:styleId="naisvisr">
    <w:name w:val="naisvisr"/>
    <w:basedOn w:val="Normal"/>
    <w:uiPriority w:val="99"/>
    <w:rsid w:val="00F479D4"/>
    <w:pPr>
      <w:spacing w:before="100" w:after="100"/>
      <w:jc w:val="center"/>
    </w:pPr>
    <w:rPr>
      <w:b/>
      <w:bCs/>
      <w:sz w:val="28"/>
      <w:szCs w:val="28"/>
    </w:rPr>
  </w:style>
  <w:style w:type="paragraph" w:styleId="Header">
    <w:name w:val="header"/>
    <w:basedOn w:val="Normal"/>
    <w:link w:val="HeaderChar"/>
    <w:uiPriority w:val="99"/>
    <w:rsid w:val="00F479D4"/>
    <w:pPr>
      <w:tabs>
        <w:tab w:val="center" w:pos="4153"/>
        <w:tab w:val="right" w:pos="8306"/>
      </w:tabs>
    </w:pPr>
  </w:style>
  <w:style w:type="character" w:customStyle="1" w:styleId="HeaderChar">
    <w:name w:val="Header Char"/>
    <w:basedOn w:val="DefaultParagraphFont"/>
    <w:link w:val="Header"/>
    <w:uiPriority w:val="99"/>
    <w:rsid w:val="00F479D4"/>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479D4"/>
    <w:pPr>
      <w:tabs>
        <w:tab w:val="center" w:pos="4153"/>
        <w:tab w:val="right" w:pos="8306"/>
      </w:tabs>
    </w:pPr>
  </w:style>
  <w:style w:type="character" w:customStyle="1" w:styleId="FooterChar">
    <w:name w:val="Footer Char"/>
    <w:basedOn w:val="DefaultParagraphFont"/>
    <w:link w:val="Footer"/>
    <w:uiPriority w:val="99"/>
    <w:rsid w:val="00F479D4"/>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479D4"/>
  </w:style>
  <w:style w:type="paragraph" w:styleId="BodyText">
    <w:name w:val="Body Text"/>
    <w:basedOn w:val="Normal"/>
    <w:link w:val="BodyTextChar"/>
    <w:uiPriority w:val="99"/>
    <w:rsid w:val="00F479D4"/>
    <w:pPr>
      <w:tabs>
        <w:tab w:val="num" w:pos="2088"/>
        <w:tab w:val="left" w:pos="2430"/>
        <w:tab w:val="left" w:pos="2790"/>
      </w:tabs>
      <w:jc w:val="both"/>
    </w:pPr>
    <w:rPr>
      <w:i/>
      <w:iCs/>
      <w:sz w:val="28"/>
      <w:szCs w:val="28"/>
      <w:lang w:eastAsia="en-US"/>
    </w:rPr>
  </w:style>
  <w:style w:type="character" w:customStyle="1" w:styleId="BodyTextChar">
    <w:name w:val="Body Text Char"/>
    <w:basedOn w:val="DefaultParagraphFont"/>
    <w:link w:val="BodyText"/>
    <w:uiPriority w:val="99"/>
    <w:rsid w:val="00F479D4"/>
    <w:rPr>
      <w:rFonts w:ascii="Times New Roman" w:eastAsia="Times New Roman" w:hAnsi="Times New Roman" w:cs="Times New Roman"/>
      <w:i/>
      <w:iCs/>
      <w:sz w:val="28"/>
      <w:szCs w:val="28"/>
    </w:rPr>
  </w:style>
  <w:style w:type="paragraph" w:styleId="BalloonText">
    <w:name w:val="Balloon Text"/>
    <w:basedOn w:val="Normal"/>
    <w:link w:val="BalloonTextChar"/>
    <w:uiPriority w:val="99"/>
    <w:semiHidden/>
    <w:unhideWhenUsed/>
    <w:rsid w:val="009131CA"/>
    <w:rPr>
      <w:rFonts w:ascii="Tahoma" w:hAnsi="Tahoma" w:cs="Tahoma"/>
      <w:sz w:val="16"/>
      <w:szCs w:val="16"/>
    </w:rPr>
  </w:style>
  <w:style w:type="character" w:customStyle="1" w:styleId="BalloonTextChar">
    <w:name w:val="Balloon Text Char"/>
    <w:basedOn w:val="DefaultParagraphFont"/>
    <w:link w:val="BalloonText"/>
    <w:uiPriority w:val="99"/>
    <w:semiHidden/>
    <w:rsid w:val="009131CA"/>
    <w:rPr>
      <w:rFonts w:ascii="Tahoma" w:eastAsia="Times New Roman" w:hAnsi="Tahoma" w:cs="Tahoma"/>
      <w:sz w:val="16"/>
      <w:szCs w:val="16"/>
      <w:lang w:eastAsia="lv-LV"/>
    </w:rPr>
  </w:style>
  <w:style w:type="table" w:styleId="TableGrid">
    <w:name w:val="Table Grid"/>
    <w:basedOn w:val="TableNormal"/>
    <w:uiPriority w:val="59"/>
    <w:rsid w:val="00B6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0B4"/>
    <w:rPr>
      <w:sz w:val="16"/>
      <w:szCs w:val="16"/>
    </w:rPr>
  </w:style>
  <w:style w:type="paragraph" w:styleId="CommentText">
    <w:name w:val="annotation text"/>
    <w:basedOn w:val="Normal"/>
    <w:link w:val="CommentTextChar"/>
    <w:uiPriority w:val="99"/>
    <w:semiHidden/>
    <w:unhideWhenUsed/>
    <w:rsid w:val="003310B4"/>
    <w:rPr>
      <w:sz w:val="20"/>
      <w:szCs w:val="20"/>
    </w:rPr>
  </w:style>
  <w:style w:type="character" w:customStyle="1" w:styleId="CommentTextChar">
    <w:name w:val="Comment Text Char"/>
    <w:basedOn w:val="DefaultParagraphFont"/>
    <w:link w:val="CommentText"/>
    <w:uiPriority w:val="99"/>
    <w:semiHidden/>
    <w:rsid w:val="003310B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310B4"/>
    <w:rPr>
      <w:b/>
      <w:bCs/>
    </w:rPr>
  </w:style>
  <w:style w:type="character" w:customStyle="1" w:styleId="CommentSubjectChar">
    <w:name w:val="Comment Subject Char"/>
    <w:basedOn w:val="CommentTextChar"/>
    <w:link w:val="CommentSubject"/>
    <w:uiPriority w:val="99"/>
    <w:semiHidden/>
    <w:rsid w:val="003310B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122201581&amp;Req=0101032009122201581&amp;Key=0103011995110232778&amp;Hash=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Key=010103200912220158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986B-7B42-4C53-8E7A-CD8C7E1B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2819</Words>
  <Characters>1608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Noteikumi par valsts pensijas apmēra pārskatīšanu</vt:lpstr>
    </vt:vector>
  </TitlesOfParts>
  <Company>LM</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pensijas apmēra pārskatīšanu</dc:title>
  <dc:subject>MK noteikumu projekts</dc:subject>
  <dc:creator>Irena Salmane</dc:creator>
  <dc:description>I.Salmane_x000d_
tālr. 67021556, fakss 67021560_x000d_
irena.salmane@lm.gov.lv</dc:description>
  <cp:lastModifiedBy>Leontīne Babkina</cp:lastModifiedBy>
  <cp:revision>31</cp:revision>
  <cp:lastPrinted>2014-07-14T09:32:00Z</cp:lastPrinted>
  <dcterms:created xsi:type="dcterms:W3CDTF">2014-05-15T08:05:00Z</dcterms:created>
  <dcterms:modified xsi:type="dcterms:W3CDTF">2014-07-16T08:34:00Z</dcterms:modified>
</cp:coreProperties>
</file>