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D6" w:rsidRDefault="00613CD6" w:rsidP="00613CD6">
      <w:pPr>
        <w:jc w:val="center"/>
      </w:pPr>
      <w:r>
        <w:rPr>
          <w:b/>
        </w:rPr>
        <w:t>Likumprojekta ”</w:t>
      </w:r>
      <w:r>
        <w:rPr>
          <w:b/>
          <w:bCs/>
        </w:rPr>
        <w:t>Grozījumi likumā ”Par tautas nobalsošanu, likumu ierosināšanu un Eiropas pilsoņu iniciatīvu”</w:t>
      </w:r>
      <w:r>
        <w:rPr>
          <w:b/>
        </w:rPr>
        <w:t>” sākotnējās ietekmes novērtējuma ziņojums (anotācija)</w:t>
      </w:r>
    </w:p>
    <w:p w:rsidR="00613CD6" w:rsidRDefault="00613CD6" w:rsidP="00613CD6">
      <w:pPr>
        <w:jc w:val="center"/>
        <w:rPr>
          <w:b/>
        </w:rPr>
      </w:pPr>
    </w:p>
    <w:tbl>
      <w:tblPr>
        <w:tblW w:w="9640" w:type="dxa"/>
        <w:tblInd w:w="-289" w:type="dxa"/>
        <w:tblCellMar>
          <w:left w:w="10" w:type="dxa"/>
          <w:right w:w="10" w:type="dxa"/>
        </w:tblCellMar>
        <w:tblLook w:val="0000"/>
      </w:tblPr>
      <w:tblGrid>
        <w:gridCol w:w="550"/>
        <w:gridCol w:w="2484"/>
        <w:gridCol w:w="6606"/>
      </w:tblGrid>
      <w:tr w:rsidR="00613CD6" w:rsidTr="00CA1C1C">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13CD6" w:rsidRDefault="00613CD6" w:rsidP="00CA1C1C">
            <w:pPr>
              <w:pStyle w:val="naisnod"/>
              <w:spacing w:before="0" w:after="0"/>
            </w:pPr>
            <w:r>
              <w:t>I. Tiesību akta projekta izstrādes nepieciešamība</w:t>
            </w:r>
          </w:p>
        </w:tc>
      </w:tr>
      <w:tr w:rsidR="00613CD6" w:rsidTr="00CA1C1C">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tabs>
                <w:tab w:val="left" w:pos="1134"/>
              </w:tabs>
              <w:ind w:firstLine="510"/>
              <w:jc w:val="both"/>
            </w:pPr>
            <w:r>
              <w:t xml:space="preserve">Ar Ministru prezidenta 2012. gada 28. decembra rezolūciju Nr.12/2012-JUR-185 vides aizsardzības un reģionālās attīstības ministram tika dots uzdevums </w:t>
            </w:r>
            <w:r>
              <w:rPr>
                <w:szCs w:val="28"/>
              </w:rPr>
              <w:t xml:space="preserve">steidzami sagatavot un iesniegt noteiktā kārtībā Ministru kabinetā likuma ”Par tautas nobalsošanu, likumu ierosināšanu un Eiropas pilsoņu iniciatīvu” (2012. gada 8. novembra likuma ”Grozījumi likumā ”Par tautas nobalsošanu, likumu ierosināšanu un Eiropas pilsoņu iniciatīvu”” redakcijā) 32. panta otrajā daļā minēto tiesību akta projektu, attiecīgi nodrošinot Ministru kabinetam dotā uzdevuma izpildi (uzdevums </w:t>
            </w:r>
            <w:r>
              <w:t>Nr.2013-UZD-12</w:t>
            </w:r>
            <w:r>
              <w:rPr>
                <w:szCs w:val="28"/>
              </w:rPr>
              <w:t>).</w:t>
            </w:r>
          </w:p>
          <w:p w:rsidR="00613CD6" w:rsidRDefault="00613CD6" w:rsidP="00CA1C1C">
            <w:pPr>
              <w:tabs>
                <w:tab w:val="left" w:pos="1134"/>
              </w:tabs>
              <w:ind w:firstLine="510"/>
              <w:jc w:val="both"/>
            </w:pPr>
            <w:r>
              <w:t>Ar Ministru prezidenta 2013. gada 3. maija rezolūciju Nr.18/TA-892 vides aizsardzības un reģionālās attīstības ministram tika dots uzdevums izvērtēt iespēju jautājumus, kas skar tautas nobalsošanas, likumu ierosināšanas un Eiropas pilsoņu iniciatīvas aģitācijas materiālu izvietošanu, kā arī priekšvēlēšan</w:t>
            </w:r>
            <w:r w:rsidR="00671B67">
              <w:t>u</w:t>
            </w:r>
            <w:r>
              <w:t xml:space="preserve"> aģitācijas materiālu izvietošanu, nepielīdzināt reklāmas izvietošanai saskaņā ar normatīvajiem aktiem par reklāmas izvietošanu, un vienlaikus izvērtēt iespēju jautājumus, kas skar aģitācijas materiālu izvietošanu, regulēt nevis ar pašvaldību saistošajiem noteikumiem, bet gan Ministru kabineta līmenī. Ņemot vērā minēto, rezolūcijā arī dots uzdevums iesniegt Ministru kabinetā precizētu likumprojekta redakciju, kā arī vienlaikus sagatavot un iesniegt Ministru kabinetā grozījumus Priekšvēlēšanu aģitācijas likumā.</w:t>
            </w:r>
          </w:p>
          <w:p w:rsidR="00613CD6" w:rsidRDefault="00613CD6" w:rsidP="00CA1C1C">
            <w:pPr>
              <w:tabs>
                <w:tab w:val="left" w:pos="1134"/>
              </w:tabs>
              <w:ind w:firstLine="510"/>
              <w:jc w:val="both"/>
            </w:pPr>
            <w:r>
              <w:t>Ar Ministru prezidentes 2014. gada 14. jūnija rezolūciju Nr. 18/TA-892/6519 uzdevuma Nr. 2013-UZD-12 izpildes termiņš pagarināts līdz 2014. gada 1. decembrim.</w:t>
            </w:r>
          </w:p>
        </w:tc>
      </w:tr>
      <w:tr w:rsidR="00613CD6" w:rsidTr="00CA1C1C">
        <w:trPr>
          <w:trHeight w:val="472"/>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tabs>
                <w:tab w:val="left" w:pos="170"/>
              </w:tabs>
              <w:spacing w:before="0" w:after="0"/>
              <w:ind w:right="147"/>
            </w:pPr>
            <w:r>
              <w:t>Pašreizējā situācija un problēmas, kuru risināšanai tiesību akta projekts izstrādāts, tiesiskā regulējuma mērķis un būtība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both"/>
            </w:pPr>
            <w:r>
              <w:rPr>
                <w:bCs/>
              </w:rPr>
              <w:t>Likuma ”Par tautas nobalsošanu, likumu ierosināšanu un Eiropas pilsoņu iniciatīvu” 32. panta pirmā daļa paredz, ka a</w:t>
            </w:r>
            <w:r>
              <w:t xml:space="preserve">ģitācijas veicējam ir tiesības aģitācijas pirms tautas nobalsošanas, aģitācijas par likuma ierosināšanu vai aģitācijas par Saeimas atsaukšanas ierosināšanu veikšanai publiskās vietās izvietot aģitācijas materiālus, ierīkot stendus un galdus, kā arī uzstādīt pārvietojamas nojumes, kas nepārsniedz pašvaldības noteiktos izmērus, par to visu brīdinot attiecīgo pašvaldību vismaz trīs dienas iepriekš, savukārt valsts un pašvaldības var noteikt publiskās vietas, kur nedrīkst izvietot aģitācijas materiālus. Atbilstoši minētā likuma 32. panta trešajai daļai aģitācijas veicējs atbild par to, lai aģitācijas materiāli tiktu novākti attiecīgās pašvaldības noteiktajā kārtībā, savukārt saskaņā ar 32. panta ceturto daļu iepriekš minētie noteikumi nav attiecināmi uz gadījumiem, kad aģitācija pirms tautas nobalsošanas, aģitācija par likuma ierosināšanu vai aģitācija par Saeimas atsaukšanas ierosināšanu tiek īstenota aģitācijas veicēja organizēta svētku, piemiņas, izklaides, sporta vai atpūtas pasākuma ietvaros – šajā gadījumā jautājumus, kas saistīti ar attiecīgo pasākumu saskaņošanu un norisi, regulē Publisku izklaides un svētku pasākumu drošības likums. </w:t>
            </w:r>
            <w:r>
              <w:rPr>
                <w:bCs/>
              </w:rPr>
              <w:t xml:space="preserve"> Likuma ”Par tautas nobalsošanu, likumu ierosināšanu un Eiropas pilsoņu iniciatīvu” </w:t>
            </w:r>
            <w:r>
              <w:rPr>
                <w:bCs/>
              </w:rPr>
              <w:lastRenderedPageBreak/>
              <w:t>32. panta piektā daļa nosaka aizliegumu v</w:t>
            </w:r>
            <w:r>
              <w:t>alstij un atvasinātām publiskām personām radīt īpašas priekšrocības vai ierobežojumus kādam aģitācijas veicējam aģitācijas pirms tautas nobalsošanas materiālu, aģitācijas par likuma ierosināšanu materiālu vai aģitācijas par Saeimas atsaukšanas ierosināšan</w:t>
            </w:r>
            <w:r w:rsidR="00ED2C01">
              <w:t>u materiālu izvietošanai</w:t>
            </w:r>
            <w:r>
              <w:t xml:space="preserve"> publiskās vietās. </w:t>
            </w:r>
          </w:p>
          <w:p w:rsidR="00613CD6" w:rsidRDefault="00613CD6" w:rsidP="00CA1C1C">
            <w:pPr>
              <w:pStyle w:val="naiskr"/>
              <w:spacing w:before="0" w:after="0"/>
              <w:ind w:firstLine="420"/>
              <w:jc w:val="both"/>
            </w:pPr>
            <w:r>
              <w:t xml:space="preserve">2012. gada 29. novembrī Saeimā pieņemtā Priekšvēlēšanu aģitācijas likuma, kas stājās spēkā 2013. gada 1. janvārī, VI nodaļa (20.-23. pants) regulē </w:t>
            </w:r>
            <w:bookmarkStart w:id="0" w:name="453480"/>
            <w:r>
              <w:t>priekšvēlēšanu aģitāciju publiskās vietās</w:t>
            </w:r>
            <w:bookmarkEnd w:id="0"/>
            <w:r>
              <w:t>. Priekšvēlēšanu aģitācijas likuma 20. pants paredz t</w:t>
            </w:r>
            <w:r>
              <w:rPr>
                <w:bCs/>
              </w:rPr>
              <w:t xml:space="preserve">iesības izplatīt priekšvēlēšanu aģitācijas materiālus publiskās vietās, savukārt 21. pants nosaka kārtību galdu, telšu un pārvietojamu nojumju izmantošanai priekšvēlēšanu aģitācijai publiskās lietošanas </w:t>
            </w:r>
            <w:proofErr w:type="spellStart"/>
            <w:r>
              <w:rPr>
                <w:bCs/>
              </w:rPr>
              <w:t>ārtelpās</w:t>
            </w:r>
            <w:proofErr w:type="spellEnd"/>
            <w:r>
              <w:rPr>
                <w:bCs/>
              </w:rPr>
              <w:t xml:space="preserve">, vienlaikus paredzot, ka </w:t>
            </w:r>
            <w:r>
              <w:t xml:space="preserve">minētā kārtība netiek piemērota, ja aģitācijas veicējs rīko publisku izklaides un svētku pasākumu, kura norisi reglamentē Publisku izklaides un svētku pasākumu drošības likums, vai rīko sapulci, gājienu vai piketu atbilstoši likumam ”Par sapulcēm, gājieniem un piketiem” (attiecīgi </w:t>
            </w:r>
            <w:r>
              <w:rPr>
                <w:bCs/>
              </w:rPr>
              <w:t>likuma ”Par tautas nobalsošanu, likumu ierosināšanu un Eiropas pilsoņu iniciatīvu” 32. panta pirmā un ceturtā daļa)</w:t>
            </w:r>
            <w:r>
              <w:t xml:space="preserve">. Priekšvēlēšanu aģitācijas likuma 23. pants nosaka aizliegumu valstij un atvasinātu publisku personu institūcijām, kā arī kapitālsabiedrībām, kurās valstij vai atvasinātai publiskai personai pieder vairāk nekā 50 procenti kapitāla daļu (akciju) radīt priekšrocības vai ierobežojumus kādam aģitācijas veicējam priekšvēlēšanu </w:t>
            </w:r>
            <w:r w:rsidR="00ED2C01">
              <w:t>aģitācijas materiālu izvietošanai</w:t>
            </w:r>
            <w:r>
              <w:t xml:space="preserve"> publiskās vietās (attiecīgi</w:t>
            </w:r>
            <w:r>
              <w:rPr>
                <w:bCs/>
              </w:rPr>
              <w:t xml:space="preserve"> likuma ”Par tautas nobalsošanu, likumu ierosināšanu un Eiropas pilsoņu iniciatīvu” 32. panta piektā daļa)</w:t>
            </w:r>
            <w:r>
              <w:t>.</w:t>
            </w:r>
          </w:p>
          <w:p w:rsidR="00613CD6" w:rsidRDefault="00613CD6" w:rsidP="00CA1C1C">
            <w:pPr>
              <w:pStyle w:val="naiskr"/>
              <w:spacing w:before="0" w:after="0"/>
              <w:ind w:firstLine="420"/>
              <w:jc w:val="both"/>
            </w:pPr>
            <w:r>
              <w:t xml:space="preserve">Atbilstoši Priekšvēlēšanu aģitācijas likuma 22. panta pirmā daļa noteic, ka jautājumus, kas skar priekšvēlēšanu aģitācijas materiālu izvietošanu publiskās lietošanas </w:t>
            </w:r>
            <w:proofErr w:type="spellStart"/>
            <w:r>
              <w:t>ārtelpās</w:t>
            </w:r>
            <w:proofErr w:type="spellEnd"/>
            <w:r>
              <w:t xml:space="preserve"> vai pret publiskās lietošanas </w:t>
            </w:r>
            <w:proofErr w:type="spellStart"/>
            <w:r>
              <w:t>ārtelpām</w:t>
            </w:r>
            <w:proofErr w:type="spellEnd"/>
            <w:r>
              <w:t xml:space="preserve"> (izkārtnes, stendi, afišas, tāfeles, </w:t>
            </w:r>
            <w:proofErr w:type="spellStart"/>
            <w:r>
              <w:t>slietņi</w:t>
            </w:r>
            <w:proofErr w:type="spellEnd"/>
            <w:r>
              <w:t xml:space="preserve">, novietoti plakāti, reklāma skatlogos un citi tamlīdzīgi reklāmas objekti), reglamentē normatīvie akti par reklāmas izvietošanu. Šajā sakarā Reklāmas likuma 7. panta trešā daļa nosaka,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(attiecīgi </w:t>
            </w:r>
            <w:r>
              <w:rPr>
                <w:bCs/>
              </w:rPr>
              <w:t>likuma ”Par tautas nobalsošanu, likumu ierosināšanu un Eiropas pilsoņu iniciatīvu” 32. panta pirmā un trešā daļa)</w:t>
            </w:r>
            <w:r>
              <w:t>.</w:t>
            </w:r>
          </w:p>
          <w:p w:rsidR="00613CD6" w:rsidRDefault="00613CD6" w:rsidP="00CA1C1C">
            <w:pPr>
              <w:pStyle w:val="naiskr"/>
              <w:spacing w:before="0" w:after="0"/>
              <w:ind w:firstLine="420"/>
              <w:jc w:val="both"/>
            </w:pPr>
            <w:r>
              <w:t xml:space="preserve">Saskaņā ar Priekšvēlēšanu aģitācijas likuma 20. panta pirmo daļu publiskās lietošanas </w:t>
            </w:r>
            <w:proofErr w:type="spellStart"/>
            <w:r>
              <w:t>ārtelpas</w:t>
            </w:r>
            <w:proofErr w:type="spellEnd"/>
            <w:r>
              <w:t xml:space="preserve"> šā likuma izpratnē ir laukumi, skvēri, parki, ielas, ceļi, tilti, tuneļi un citas tamlīdzīgas vietas, kas neatkarīgi no īpašuma piederības attiecīgajā laikā bez maksas vai par maksu ir publiski pieejamas nenoteiktam personu lokam. Tajā pašā laikā arī likuma </w:t>
            </w:r>
            <w:r>
              <w:rPr>
                <w:bCs/>
              </w:rPr>
              <w:t xml:space="preserve">”Par tautas nobalsošanu, likumu ierosināšanu un Eiropas pilsoņu iniciatīvu” 34. panta piektās daļas 1. punkta ”h” apakšpunktā ir minēts, ka publiskās vietas ir laukumi, skvēri, ielas, </w:t>
            </w:r>
            <w:r>
              <w:rPr>
                <w:bCs/>
              </w:rPr>
              <w:lastRenderedPageBreak/>
              <w:t xml:space="preserve">tilti un citas tamlīdzīgas vietas. Tādējādi likumā ”Par tautas nobalsošanu, likumu ierosināšanu un Eiropas pilsoņu iniciatīvu” lietotais termina ”publiskās vietas” skaidrojums pēc būtības sakrīt ar Priekšvēlēšanu aģitācijas likumā lietoto termina ”publiskās lietošanas </w:t>
            </w:r>
            <w:proofErr w:type="spellStart"/>
            <w:r>
              <w:rPr>
                <w:bCs/>
              </w:rPr>
              <w:t>ārtelpas</w:t>
            </w:r>
            <w:proofErr w:type="spellEnd"/>
            <w:r>
              <w:rPr>
                <w:bCs/>
              </w:rPr>
              <w:t>” skaidrojumu, kas ir ietverts jaunākā tiesību normā un līdz ar to ir precīzāks</w:t>
            </w:r>
            <w:r>
              <w:t>.</w:t>
            </w:r>
          </w:p>
          <w:p w:rsidR="00613CD6" w:rsidRDefault="00613CD6" w:rsidP="00CA1C1C">
            <w:pPr>
              <w:pStyle w:val="naiskr"/>
              <w:spacing w:before="0" w:after="0"/>
              <w:ind w:firstLine="420"/>
              <w:jc w:val="both"/>
            </w:pPr>
            <w:r>
              <w:t xml:space="preserve">No minētā secināms, ka Priekšvēlēšanu aģitācijas likuma VI nodaļā ietvertais tiesiskais regulējums ir pilnveidots, taču pamatā regulē tos pašus jautājumus (aģitācija publiskās vietās) un pēc būtības ir pielīdzināms </w:t>
            </w:r>
            <w:r>
              <w:rPr>
                <w:bCs/>
              </w:rPr>
              <w:t>likuma ”Par tautas nobalsošanu, likumu ierosināšanu un Eiropas pilsoņu iniciatīvu” 32. panta regulējumam</w:t>
            </w:r>
            <w:r>
              <w:t>.</w:t>
            </w:r>
          </w:p>
          <w:p w:rsidR="00613CD6" w:rsidRDefault="00613CD6" w:rsidP="00CA1C1C">
            <w:pPr>
              <w:pStyle w:val="naiskr"/>
              <w:spacing w:before="0" w:after="0"/>
              <w:ind w:firstLine="420"/>
              <w:jc w:val="both"/>
            </w:pPr>
            <w:r>
              <w:t xml:space="preserve">2014. gada 20. martā stājās spēkā likums „Grozījumi Reklāmas likumā”, ar kuriem papildināti likuma pārejas noteikumi ar 3. punktu šādā redakcijā: „Ministru kabinets līdz 2014. gada 1. decembrim iesniedz Saeimai grozījumus </w:t>
            </w:r>
            <w:hyperlink r:id="rId8" w:history="1">
              <w:r>
                <w:t>Priekšvēlēšanu aģitācijas likumā</w:t>
              </w:r>
            </w:hyperlink>
            <w:r>
              <w:t xml:space="preserve">, kuros nosaka kārtību, kādā tiek izvietoti priekšvēlēšanu aģitācijas materiāli publiskās lietošanas </w:t>
            </w:r>
            <w:proofErr w:type="spellStart"/>
            <w:r>
              <w:t>ārtelpā</w:t>
            </w:r>
            <w:proofErr w:type="spellEnd"/>
            <w:r>
              <w:t xml:space="preserve"> vai vietās, kas vērstas pret publiskās lietošanas </w:t>
            </w:r>
            <w:proofErr w:type="spellStart"/>
            <w:r>
              <w:t>ārtelpu</w:t>
            </w:r>
            <w:proofErr w:type="spellEnd"/>
            <w:r>
              <w:t xml:space="preserve">. Līdz attiecīgo grozījumu spēkā stāšanās dienai attiecībā uz priekšvēlēšanu aģitācijas materiālu izvietošanu publiskās lietošanas </w:t>
            </w:r>
            <w:proofErr w:type="spellStart"/>
            <w:r>
              <w:t>ārtelpā</w:t>
            </w:r>
            <w:proofErr w:type="spellEnd"/>
            <w:r>
              <w:t xml:space="preserve"> vai vietās, kas vērstas pret publiskās lietošanas </w:t>
            </w:r>
            <w:proofErr w:type="spellStart"/>
            <w:r>
              <w:t>ārtelpu</w:t>
            </w:r>
            <w:proofErr w:type="spellEnd"/>
            <w:r>
              <w:t>, tiek piemēroti:</w:t>
            </w:r>
          </w:p>
          <w:p w:rsidR="00613CD6" w:rsidRDefault="00ED2C01" w:rsidP="00CA1C1C">
            <w:pPr>
              <w:pStyle w:val="naiskr"/>
              <w:numPr>
                <w:ilvl w:val="0"/>
                <w:numId w:val="1"/>
              </w:numPr>
              <w:spacing w:before="0" w:after="0"/>
              <w:jc w:val="both"/>
            </w:pPr>
            <w:r w:rsidRPr="00ED2C01">
              <w:t>Ministru kabineta 2012.</w:t>
            </w:r>
            <w:r>
              <w:t xml:space="preserve"> </w:t>
            </w:r>
            <w:r w:rsidRPr="00ED2C01">
              <w:t>gada 30.</w:t>
            </w:r>
            <w:r>
              <w:t xml:space="preserve"> </w:t>
            </w:r>
            <w:r w:rsidRPr="00ED2C01">
              <w:t xml:space="preserve">oktobra noteikumi Nr.732 </w:t>
            </w:r>
            <w:r w:rsidR="00613CD6">
              <w:t>"</w:t>
            </w:r>
            <w:hyperlink r:id="rId9" w:history="1">
              <w:r w:rsidR="00613CD6">
                <w:t>Kārtība, kādā saņemama atļauja reklāmas izvietošanai publiskās vietās vai vietās, kas vērstas pret publisku vietu</w:t>
              </w:r>
            </w:hyperlink>
            <w:r w:rsidR="00613CD6">
              <w:t>";</w:t>
            </w:r>
          </w:p>
          <w:p w:rsidR="00613CD6" w:rsidRDefault="00613CD6" w:rsidP="00CA1C1C">
            <w:pPr>
              <w:pStyle w:val="naiskr"/>
              <w:numPr>
                <w:ilvl w:val="0"/>
                <w:numId w:val="1"/>
              </w:numPr>
              <w:spacing w:before="0" w:after="0"/>
              <w:jc w:val="both"/>
            </w:pPr>
            <w:r>
              <w:t xml:space="preserve"> attiecīgās pašvaldības izdotie saistošie noteikumi tajā daļā, kas paredz reklāmas izmēru, veidu, gaismas un skaņas efektu ierobežojumus atbilstoši videi, ēku un būvju arhitektūrai.”</w:t>
            </w:r>
          </w:p>
          <w:p w:rsidR="00613CD6" w:rsidRDefault="00613CD6" w:rsidP="00CA1C1C">
            <w:pPr>
              <w:pStyle w:val="naiskr"/>
              <w:spacing w:before="0" w:after="0"/>
              <w:ind w:firstLine="420"/>
              <w:jc w:val="both"/>
            </w:pPr>
            <w:r>
              <w:t xml:space="preserve">Ņemot vērā to, kas pašvaldību saistošie noteikumi attiecībā uz priekšvēlēšanu aģitācijas materiāliem piemērojami tikai daļā, kas paredz šādu materiālu izmēru, veidu, gaismas un skaņas efektu ierobežojumus atbilstoši videi, ēku un būvju arhitektūrai, savukārt citos jautājumos, piemēram, par priekšvēlēšanu aģitācijas materiālu izvietošanas ierobežojumiem, saistošie noteikumi nav piemērojami, nepieciešams izslēgt </w:t>
            </w:r>
            <w:r>
              <w:rPr>
                <w:bCs/>
              </w:rPr>
              <w:t xml:space="preserve">likuma ”Par tautas nobalsošanu, likumu ierosināšanu un Eiropas pilsoņu iniciatīvu” pirmās daļas pēdējo teikumu. </w:t>
            </w:r>
          </w:p>
          <w:p w:rsidR="00613CD6" w:rsidRDefault="00613CD6" w:rsidP="00CA1C1C">
            <w:pPr>
              <w:pStyle w:val="naiskr"/>
              <w:spacing w:before="0" w:after="0"/>
              <w:ind w:firstLine="420"/>
              <w:jc w:val="both"/>
            </w:pPr>
            <w:r>
              <w:rPr>
                <w:bCs/>
              </w:rPr>
              <w:t xml:space="preserve">Likuma ”Par tautas nobalsošanu, likumu ierosināšanu un Eiropas pilsoņu iniciatīvu” 32. panta otrajā daļā ir ietverts pilnvarojums </w:t>
            </w:r>
            <w:r>
              <w:t xml:space="preserve">Ministru kabinetam noteikt kārtību, kādā pašvaldības aprēķina un iekasē maksu par aģitācijas pirms tautas nobalsošanas materiālu, aģitācijas par likuma ierosināšanu materiālu un aģitācijas par Saeimas atsaukšanas ierosināšanu materiālu izvietošanu. </w:t>
            </w:r>
          </w:p>
          <w:p w:rsidR="00613CD6" w:rsidRDefault="00613CD6" w:rsidP="00CA1C1C">
            <w:pPr>
              <w:pStyle w:val="naiskr"/>
              <w:spacing w:before="0" w:after="0"/>
              <w:ind w:firstLine="420"/>
              <w:jc w:val="both"/>
            </w:pPr>
            <w:r>
              <w:t xml:space="preserve">Šajā sakarībā likuma ”Par nodokļiem un nodevām” 12. panta pirmās daļas 7. punkts kā vienu no pašvaldības nodevas veidiem paredz pašvaldības nodevu par reklāmas, afišu un sludinājumu izvietošanu publiskās vietās. Ministru kabineta 2005. gada 28. jūnija noteikumu Nr.480 ”Noteikumi par kārtību, kādā pašvaldības var uzlikt pašvaldību nodevas” 12. punkts skaidro, ka nodevas par </w:t>
            </w:r>
            <w:r>
              <w:lastRenderedPageBreak/>
              <w:t xml:space="preserve">reklāmas vai reklāmas objektu izvietošanu publiskās vietās vai vietās, kas vērstas pret publisku vietu, pašvaldība ir tiesīga uzlikt personām, kuras uz vietējās pašvaldības teritorijā esošām būvēm vai zemes, kā arī citās tam atvēlētās vietās izvieto reklāmu vai reklāmas objektu. Tātad arī minētajos normatīvajos aktos termina ”publiska vieta” ar vai bez papildinājuma ”un vieta, kas vērsta pret publisku vietu” lietojums atbilst termina ”publiskas lietošanas </w:t>
            </w:r>
            <w:proofErr w:type="spellStart"/>
            <w:r>
              <w:t>ārtelpa</w:t>
            </w:r>
            <w:proofErr w:type="spellEnd"/>
            <w:r>
              <w:t xml:space="preserve">” skaidrojumam Priekšvēlēšanu aģitācijas likumā. </w:t>
            </w:r>
          </w:p>
          <w:p w:rsidR="00613CD6" w:rsidRDefault="00613CD6" w:rsidP="00CA1C1C">
            <w:pPr>
              <w:pStyle w:val="naiskr"/>
              <w:spacing w:before="0" w:after="0"/>
              <w:ind w:firstLine="420"/>
              <w:jc w:val="both"/>
            </w:pPr>
            <w:r>
              <w:t>Atbilstoši likuma ”Par nodokļiem un nodevām” 1. panta 3.</w:t>
            </w:r>
            <w:r w:rsidR="00ED2C01">
              <w:t xml:space="preserve"> </w:t>
            </w:r>
            <w:r>
              <w:t xml:space="preserve">punktam </w:t>
            </w:r>
            <w:r>
              <w:rPr>
                <w:bCs/>
              </w:rPr>
              <w:t>pašvaldības nodeva</w:t>
            </w:r>
            <w:r>
              <w:t xml:space="preserve"> ir pašvaldības domes noteikts obligāts maksājums pašvaldības pamatbudžetā vai speciālajā budžetā šajā likumā paredzētajos gadījumos. Saskaņā ar minētā likuma 10. panta trešo daļu vietējo pašvaldību saistošajos noteikumos par pašvaldības nodevu uzlikšanu jāparedz to maksāšanas kārtība, ar nodevām apliekamie objekti, likmes un atvieglojumi, kā arī citas prasības, kuras paredz citi likumi un Ministru kabineta noteikumi. Šajā sakarībā likuma </w:t>
            </w:r>
            <w:r>
              <w:rPr>
                <w:iCs/>
              </w:rPr>
              <w:t xml:space="preserve">”Par pašvaldībām” 21. panta pirmās daļas 15. un 16. punkts nosaka, ka </w:t>
            </w:r>
            <w:r>
              <w:t>pieņemt saistošos noteikumus par pašvaldības nodevu ieviešanu, kā arī apstiprināt saistošos noteikumus un noteikt administratīvo atbildību par to pārkāpšanu ir pašvaldības domes ekskluzīvā kompetencē. Vienlaikus likuma ”Par nodokļiem un nodevām” 12. panta trešā daļa nosaka, ka pašvaldību nodevu veidā apmaksājama atlīdzība tikai par šā likuma 12. pantā paredzēto pašvaldību nodrošinājumu. Līdz ar to aprēķināt atlīdzību par pašvaldības nodrošinājumu un noteikt pašvaldības nodevas, tajā skaitā pašvaldības nodevas par reklāmas izvietošanu publiskās vietās, apmēru ir vienīgi pašvaldības kompetencē. Ministru kabineta noteikumos nav nepieciešams noteikt papildus kārtību, kādā pašvaldības aprēķina un iekasē maksu par aģitācijas pirms tautas nobalsošanas materiālu, aģitācijas par likuma ierosināšanu materiālu un aģitācijas par Saeimas atsaukšanas ierosināšanu materiālu izvietošanu.</w:t>
            </w:r>
          </w:p>
          <w:p w:rsidR="00613CD6" w:rsidRDefault="00ED2C01" w:rsidP="00CA1C1C">
            <w:pPr>
              <w:pStyle w:val="naiskr"/>
              <w:spacing w:before="0" w:after="0"/>
              <w:ind w:firstLine="420"/>
              <w:jc w:val="both"/>
            </w:pPr>
            <w:r>
              <w:t>Tā kā minētā aģitācija un tās materiāli saskaņā ar to mērķi pēc būtības ir pielīdzināmi priekšvēlēšanu aģitācijai un tās materiāliem, n</w:t>
            </w:r>
            <w:r w:rsidR="00613CD6">
              <w:t xml:space="preserve">av tiesiskā pamatojuma noteikt atšķirīgu maksu un reglamentēt tās noteikšanas kārtību par aģitācijas pirms tautas nobalsošanas materiālu, aģitācijas par likuma ierosināšanu materiālu un aģitācijas par Saeimas atsaukšanas ierosināšanu materiālu izvietošanu, </w:t>
            </w:r>
          </w:p>
          <w:p w:rsidR="00613CD6" w:rsidRDefault="00613CD6" w:rsidP="00CA1C1C">
            <w:pPr>
              <w:pStyle w:val="naiskr"/>
              <w:spacing w:before="0" w:after="0"/>
              <w:ind w:firstLine="420"/>
              <w:jc w:val="both"/>
            </w:pPr>
            <w:r>
              <w:t xml:space="preserve">Attiecībā par priekšvēlēšanu aģitāciju publiskās lietošanas iekštelpās Priekšvēlēšanu aģitācijas likuma 20. panta otrā daļa </w:t>
            </w:r>
            <w:r w:rsidR="00ED2C01">
              <w:t>noteic</w:t>
            </w:r>
            <w:r>
              <w:t xml:space="preserve">, ka aģitācijas veicējam ir tiesības priekšvēlēšanu aģitācijas veikšanai publiskās lietošanas iekštelpās uzrunāt vēlētājus, dalīt bukletus, avīzes un citus priekšvēlēšanu aģitācijas materiālus, iepriekš to rakstveidā saskaņojot ar attiecīgo telpu īpašnieku (valdītāju). Tā kā likumā </w:t>
            </w:r>
            <w:r>
              <w:rPr>
                <w:bCs/>
              </w:rPr>
              <w:t>”Par tautas nobalsošanu, likumu ierosināšanu un Eiropas pilsoņu iniciatīvu” nav noteikta kārtība, kādā veicama aģitācija iekštelpās, likums ir papildināms ar attiecīgu tiesisko regulējumu atbilstoši Priekšvēlēšanu aģitācijas likumā noteiktajam.</w:t>
            </w:r>
          </w:p>
          <w:p w:rsidR="00613CD6" w:rsidRDefault="00613CD6" w:rsidP="00CA1C1C">
            <w:pPr>
              <w:ind w:firstLine="404"/>
              <w:jc w:val="both"/>
            </w:pPr>
            <w:r>
              <w:t>Likumprojekta ”</w:t>
            </w:r>
            <w:r>
              <w:rPr>
                <w:bCs/>
              </w:rPr>
              <w:t xml:space="preserve">Grozījums likumā ”Par tautas nobalsošanu, </w:t>
            </w:r>
            <w:r>
              <w:rPr>
                <w:bCs/>
              </w:rPr>
              <w:lastRenderedPageBreak/>
              <w:t>likumu ierosināšanu un Eiropas pilsoņu iniciatīvu”</w:t>
            </w:r>
            <w:r>
              <w:t xml:space="preserve">” (turpmāk – likumprojekts) mērķis ir saskaņot tiesisko regulējumu par aģitācijas pirms tautas nobalsošanas materiālu, aģitācijas par likuma ierosināšanu materiālu un aģitācijas par Saeimas atsaukšanas ierosināšanu materiālu izvietošanu publiskās vietās un aģitāciju publiskās lietošanas </w:t>
            </w:r>
            <w:proofErr w:type="spellStart"/>
            <w:r>
              <w:t>ārtelpās</w:t>
            </w:r>
            <w:proofErr w:type="spellEnd"/>
            <w:r>
              <w:t xml:space="preserve"> un iekštelpās ar Priekšvēlēšanu aģitācijas likumā ietverto tiesisko regulējumu par priekšvēlēšanu aģitācijas materiālu izvietošanu publiskās lietošanas </w:t>
            </w:r>
            <w:proofErr w:type="spellStart"/>
            <w:r>
              <w:t>ārtelpās</w:t>
            </w:r>
            <w:proofErr w:type="spellEnd"/>
            <w:r>
              <w:t xml:space="preserve"> vai pret publiskās lietošanas </w:t>
            </w:r>
            <w:proofErr w:type="spellStart"/>
            <w:r>
              <w:t>ārtelpām</w:t>
            </w:r>
            <w:proofErr w:type="spellEnd"/>
            <w:r>
              <w:t xml:space="preserve"> un publiskās lietošanas iekštelpās, paredzot vienotu maksas par aģitācijas materiālu izvietošanu publiskās vietās noteikšanas kārtību, kā arī pāreju uz jauno normatīvo regulējumu atbilstoši likumam ”</w:t>
            </w:r>
            <w:r>
              <w:rPr>
                <w:bCs/>
              </w:rPr>
              <w:t xml:space="preserve">Grozījumi </w:t>
            </w:r>
            <w:r w:rsidR="00ED2C01">
              <w:rPr>
                <w:bCs/>
              </w:rPr>
              <w:t>R</w:t>
            </w:r>
            <w:r>
              <w:rPr>
                <w:bCs/>
              </w:rPr>
              <w:t>eklāmas likumā.”</w:t>
            </w:r>
          </w:p>
          <w:p w:rsidR="00613CD6" w:rsidRDefault="00613CD6" w:rsidP="00CA1C1C">
            <w:pPr>
              <w:ind w:firstLine="404"/>
              <w:jc w:val="both"/>
            </w:pPr>
            <w:r>
              <w:t>Likumprojekts paredz izteikt jaunā redakcijā l</w:t>
            </w:r>
            <w:r>
              <w:rPr>
                <w:bCs/>
              </w:rPr>
              <w:t>ikuma ”Par tautas nobalsošanu, likumu ierosināšanu un Eiropas pilsoņu iniciatīvu” 32.  panta pirmo</w:t>
            </w:r>
            <w:r w:rsidR="00BB5482">
              <w:rPr>
                <w:bCs/>
              </w:rPr>
              <w:t xml:space="preserve"> daļu, izslēgt otro daļu un papildināt pantu ar</w:t>
            </w:r>
            <w:r>
              <w:rPr>
                <w:bCs/>
              </w:rPr>
              <w:t xml:space="preserve"> otro </w:t>
            </w:r>
            <w:proofErr w:type="spellStart"/>
            <w:r w:rsidR="00BB5482">
              <w:rPr>
                <w:bCs/>
              </w:rPr>
              <w:t>prim</w:t>
            </w:r>
            <w:proofErr w:type="spellEnd"/>
            <w:r w:rsidR="00BB5482">
              <w:rPr>
                <w:bCs/>
              </w:rPr>
              <w:t xml:space="preserve"> </w:t>
            </w:r>
            <w:r>
              <w:rPr>
                <w:bCs/>
              </w:rPr>
              <w:t>daļu, nosakot, ka a</w:t>
            </w:r>
            <w:r>
              <w:t xml:space="preserve">ģitācijas veicējam ir tiesības aģitācijas pirms tautas nobalsošanas, aģitācijas par likuma ierosināšanu un aģitācijas par Saeimas atsaukšanas ierosināšanu veikšanai publiskās lietošanas </w:t>
            </w:r>
            <w:proofErr w:type="spellStart"/>
            <w:r>
              <w:t>ārtelpās</w:t>
            </w:r>
            <w:proofErr w:type="spellEnd"/>
            <w:r>
              <w:t xml:space="preserve"> uzrunāt vēlētājus, dalīt bukletus, avīzes un citus aģitācijas materiālus bez saskaņošanas ar attiecīgo pašvaldību vai attiecīgās publiskās </w:t>
            </w:r>
            <w:proofErr w:type="spellStart"/>
            <w:r>
              <w:t>ārtelpas</w:t>
            </w:r>
            <w:proofErr w:type="spellEnd"/>
            <w:r>
              <w:t xml:space="preserve"> īpašnieku (valdītāju), kā arī ierīkot stendus un galdus, uzsliet teltis un pārvietojamas nojumes, kas nepārsniedz pašvaldības noteiktos izmērus, rakstveidā informējot par to attiecīgo pašvaldību vismaz trīs dienas iepriekš. </w:t>
            </w:r>
          </w:p>
          <w:p w:rsidR="00613CD6" w:rsidRDefault="00613CD6" w:rsidP="00CA1C1C">
            <w:pPr>
              <w:ind w:firstLine="404"/>
              <w:jc w:val="both"/>
            </w:pPr>
            <w:r>
              <w:t xml:space="preserve">Atbilstoši likumprojektam jautājumus, kas skar aģitācijas materiālu izvietošanu publiskās lietošanas </w:t>
            </w:r>
            <w:proofErr w:type="spellStart"/>
            <w:r>
              <w:t>ārtelpās</w:t>
            </w:r>
            <w:proofErr w:type="spellEnd"/>
            <w:r>
              <w:t xml:space="preserve"> vai pret publiskās lietošanas </w:t>
            </w:r>
            <w:proofErr w:type="spellStart"/>
            <w:r>
              <w:t>ārtelpām</w:t>
            </w:r>
            <w:proofErr w:type="spellEnd"/>
            <w:r>
              <w:t xml:space="preserve">, reglamentē </w:t>
            </w:r>
            <w:r w:rsidR="00BB5482">
              <w:t xml:space="preserve">normatīvie akti par priekšvēlēšanu aģitācijas materiālu izvietošanu - </w:t>
            </w:r>
            <w:r>
              <w:t>Priekšvēlēšanu aģitācijas likums</w:t>
            </w:r>
            <w:r w:rsidR="00BB5482">
              <w:t xml:space="preserve"> un Reklāmas likums</w:t>
            </w:r>
            <w:r>
              <w:t>. Tādējādi l</w:t>
            </w:r>
            <w:r>
              <w:rPr>
                <w:bCs/>
              </w:rPr>
              <w:t xml:space="preserve">ikuma ”Par tautas nobalsošanu, likumu ierosināšanu un Eiropas pilsoņu iniciatīvu” regulējums attiecībā uz aģitācijas veikšanu publiskās lietošanas </w:t>
            </w:r>
            <w:proofErr w:type="spellStart"/>
            <w:r>
              <w:rPr>
                <w:bCs/>
              </w:rPr>
              <w:t>ārtelpās</w:t>
            </w:r>
            <w:proofErr w:type="spellEnd"/>
            <w:r>
              <w:rPr>
                <w:bCs/>
              </w:rPr>
              <w:t xml:space="preserve"> tiek saskaņots ar Priekšvēlēšanu aģitācijas likumā </w:t>
            </w:r>
            <w:r w:rsidR="00BB5482">
              <w:rPr>
                <w:bCs/>
              </w:rPr>
              <w:t xml:space="preserve">un Reklāmas likumā </w:t>
            </w:r>
            <w:r>
              <w:rPr>
                <w:bCs/>
              </w:rPr>
              <w:t>noteikto</w:t>
            </w:r>
            <w:r w:rsidR="00BB5482">
              <w:rPr>
                <w:bCs/>
              </w:rPr>
              <w:t xml:space="preserve">. </w:t>
            </w:r>
            <w:r>
              <w:t xml:space="preserve"> </w:t>
            </w:r>
            <w:r w:rsidR="00BB5482">
              <w:t>N</w:t>
            </w:r>
            <w:r>
              <w:t>o likuma</w:t>
            </w:r>
            <w:r>
              <w:rPr>
                <w:bCs/>
              </w:rPr>
              <w:t xml:space="preserve"> ”Par tautas nobalsošanu, likumu ierosināšanu un Eiropas pilsoņu iniciatīvu”</w:t>
            </w:r>
            <w:r>
              <w:t xml:space="preserve"> tiek izslēgts</w:t>
            </w:r>
            <w:r>
              <w:rPr>
                <w:bCs/>
              </w:rPr>
              <w:t xml:space="preserve"> uzdevums </w:t>
            </w:r>
            <w:r>
              <w:t>Ministru kabinetam noteikt kārtību, kādā pašvaldības aprēķina un iekasē maksu par aģitācijas pirms tautas nobalsošanas materiālu, aģitācijas par likuma ierosināšanu materiālu un aģitācijas par Saeimas atsaukšanas ierosināšanu materiālu izvietošanu.</w:t>
            </w:r>
          </w:p>
          <w:p w:rsidR="00613CD6" w:rsidRDefault="00613CD6" w:rsidP="00CA1C1C">
            <w:pPr>
              <w:ind w:firstLine="404"/>
              <w:jc w:val="both"/>
            </w:pPr>
            <w:r>
              <w:t>Likumprojekts paredz papildināt l</w:t>
            </w:r>
            <w:r>
              <w:rPr>
                <w:bCs/>
              </w:rPr>
              <w:t>ikuma ”Par tautas nobalsošanu, likumu ierosināšanu un Eiropas pilsoņu iniciatīvu” 32. pantu ar 1.</w:t>
            </w:r>
            <w:r>
              <w:rPr>
                <w:bCs/>
                <w:vertAlign w:val="superscript"/>
              </w:rPr>
              <w:t xml:space="preserve">1 </w:t>
            </w:r>
            <w:r>
              <w:rPr>
                <w:bCs/>
              </w:rPr>
              <w:t>daļu, paredzot, ka a</w:t>
            </w:r>
            <w:r>
              <w:t>ģitācijas veicējam ir tiesības aģitācijas pirms tautas nobalsošanas, aģitācijas par likuma ierosināšanu un aģitācijas par Saeimas atsaukšanas ierosināšanu veikšanai publiskās lietošanas iekštelpās uzrunāt vēlētājus, dalīt bukletus, avīzes un citus aģitācijas materiālus, iepriekš to rakstveidā saskaņojot ar attiecīgo telpu īpašnieku (valdītāju).</w:t>
            </w:r>
          </w:p>
          <w:p w:rsidR="00613CD6" w:rsidRDefault="00613CD6" w:rsidP="00CA1C1C">
            <w:pPr>
              <w:pStyle w:val="naiskr"/>
              <w:spacing w:before="0" w:after="0"/>
              <w:ind w:firstLine="420"/>
              <w:jc w:val="both"/>
            </w:pPr>
            <w:r>
              <w:t>Likumprojekts atrisinās anotācijas I sadaļas 1. punktā minētās problēmas.</w:t>
            </w:r>
          </w:p>
        </w:tc>
      </w:tr>
      <w:tr w:rsidR="00613CD6" w:rsidTr="00CA1C1C">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ind w:firstLine="420"/>
              <w:jc w:val="both"/>
            </w:pPr>
            <w:r>
              <w:rPr>
                <w:lang w:eastAsia="en-US"/>
              </w:rPr>
              <w:t>Tieslietu ministrija.</w:t>
            </w:r>
          </w:p>
        </w:tc>
      </w:tr>
      <w:tr w:rsidR="00613CD6" w:rsidTr="00CA1C1C">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right="28" w:firstLine="420"/>
              <w:jc w:val="both"/>
            </w:pPr>
            <w:r>
              <w:t xml:space="preserve">Likumprojekts virzāms vienā paketē ar likumprojektu „Grozījums </w:t>
            </w:r>
            <w:hyperlink r:id="rId10" w:history="1">
              <w:r>
                <w:t>Priekšvēlēšanu aģitācijas likumā</w:t>
              </w:r>
            </w:hyperlink>
            <w:r>
              <w:t>” un likumprojektu „Grozījumi Reklāmas likumā”.</w:t>
            </w:r>
          </w:p>
        </w:tc>
      </w:tr>
    </w:tbl>
    <w:p w:rsidR="005B59F6" w:rsidRDefault="005B59F6" w:rsidP="00613CD6">
      <w:pPr>
        <w:pStyle w:val="naiskr"/>
        <w:tabs>
          <w:tab w:val="left" w:pos="2628"/>
        </w:tabs>
        <w:spacing w:before="0" w:after="120"/>
      </w:pPr>
      <w:bookmarkStart w:id="1" w:name="_GoBack"/>
    </w:p>
    <w:bookmarkEnd w:id="1"/>
    <w:p w:rsidR="00A01BAA" w:rsidRDefault="00A01BAA" w:rsidP="00613CD6">
      <w:pPr>
        <w:pStyle w:val="naiskr"/>
        <w:tabs>
          <w:tab w:val="left" w:pos="2628"/>
        </w:tabs>
        <w:spacing w:before="0" w:after="120"/>
      </w:pPr>
    </w:p>
    <w:tbl>
      <w:tblPr>
        <w:tblW w:w="9640" w:type="dxa"/>
        <w:tblInd w:w="-289" w:type="dxa"/>
        <w:tblCellMar>
          <w:left w:w="10" w:type="dxa"/>
          <w:right w:w="10" w:type="dxa"/>
        </w:tblCellMar>
        <w:tblLook w:val="0000"/>
      </w:tblPr>
      <w:tblGrid>
        <w:gridCol w:w="550"/>
        <w:gridCol w:w="2484"/>
        <w:gridCol w:w="6606"/>
      </w:tblGrid>
      <w:tr w:rsidR="00613CD6" w:rsidTr="00A01BAA">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r>
              <w:rPr>
                <w:b/>
              </w:rPr>
              <w:t>II. Tiesību akta projekta ietekme uz sabiedrību, tautsaimniecības attīstību un administratīvo slogu</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Sabiedrības mērķgrupas, kuras tiesiskais regulējums ietekmē vai varētu ietekmēt</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A37BCA">
            <w:pPr>
              <w:pStyle w:val="naiskr"/>
              <w:ind w:firstLine="420"/>
              <w:jc w:val="both"/>
            </w:pPr>
            <w:r>
              <w:t>Personas, kuras vēlēsies izvietot</w:t>
            </w:r>
            <w:r w:rsidRPr="00480881">
              <w:t xml:space="preserve"> pri</w:t>
            </w:r>
            <w:r>
              <w:t>ekšvēlēšanu aģitācijas materiālus</w:t>
            </w:r>
            <w:r w:rsidRPr="00480881">
              <w:t xml:space="preserve"> publiskās lietošanas </w:t>
            </w:r>
            <w:proofErr w:type="spellStart"/>
            <w:r w:rsidRPr="00480881">
              <w:t>ārtelpā</w:t>
            </w:r>
            <w:r>
              <w:t>s</w:t>
            </w:r>
            <w:proofErr w:type="spellEnd"/>
            <w:r w:rsidRPr="00480881">
              <w:t xml:space="preserve"> vai pret publiskās lietošanas </w:t>
            </w:r>
            <w:proofErr w:type="spellStart"/>
            <w:r w:rsidRPr="00480881">
              <w:t>ārtelpu</w:t>
            </w:r>
            <w:proofErr w:type="spellEnd"/>
            <w:r>
              <w:t>.</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Tiesiskā regulējuma ietekme uz tautsaimniecību un administratīvo slogu</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 xml:space="preserve">Projekts šo normu neskar. </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Administratīvo izmaksu monetārs novērtējums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Projekts šo normu neskar.</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E94C11">
            <w:pPr>
              <w:pStyle w:val="naiskr"/>
              <w:ind w:firstLine="420"/>
              <w:jc w:val="both"/>
            </w:pPr>
            <w:r>
              <w:rPr>
                <w:lang w:eastAsia="en-US"/>
              </w:rPr>
              <w:t>Nav</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1" w:type="dxa"/>
        <w:jc w:val="center"/>
        <w:tblCellMar>
          <w:left w:w="10" w:type="dxa"/>
          <w:right w:w="10" w:type="dxa"/>
        </w:tblCellMar>
        <w:tblLook w:val="0000"/>
      </w:tblPr>
      <w:tblGrid>
        <w:gridCol w:w="3039"/>
        <w:gridCol w:w="1273"/>
        <w:gridCol w:w="1311"/>
        <w:gridCol w:w="1339"/>
        <w:gridCol w:w="1339"/>
        <w:gridCol w:w="1340"/>
      </w:tblGrid>
      <w:tr w:rsidR="00613CD6" w:rsidTr="00CA1C1C">
        <w:trPr>
          <w:trHeight w:val="556"/>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nod"/>
              <w:spacing w:before="0" w:after="0"/>
            </w:pPr>
            <w:r>
              <w:t>III. Tiesību akta projekta ietekme uz valsts budžetu un pašvaldību budžetiem</w:t>
            </w:r>
          </w:p>
        </w:tc>
      </w:tr>
      <w:tr w:rsidR="00613CD6" w:rsidTr="00CA1C1C">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rPr>
            </w:pPr>
            <w:r>
              <w:rPr>
                <w:b/>
              </w:rPr>
              <w:t>2013. gads</w:t>
            </w:r>
          </w:p>
        </w:tc>
        <w:tc>
          <w:tcPr>
            <w:tcW w:w="4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Turpmākie trīs gadi (tūkst. latu)</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rPr>
                <w:b/>
                <w:bCs/>
              </w:rPr>
              <w:t>2016</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kārtējā gadā, salīdzinot ar budžetu kārtējam gadam</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pPr>
            <w:r>
              <w:t>Izmaiņas, salīdzinot ar kārtējo (n) gadu</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center"/>
              <w:rPr>
                <w:bCs/>
              </w:rPr>
            </w:pPr>
            <w:r>
              <w:rPr>
                <w:bCs/>
              </w:rPr>
              <w:t>6</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 Budžeta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1.3. pašvaldību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 Budžeta izdevumi: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trHeight w:val="645"/>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2.2.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lastRenderedPageBreak/>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 Finansiālā ietekme: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f"/>
              <w:spacing w:before="0" w:after="0"/>
              <w:ind w:firstLine="0"/>
              <w:jc w:val="left"/>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3.2.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Nav precīzi aprēķināms</w:t>
            </w:r>
          </w:p>
        </w:tc>
      </w:tr>
      <w:tr w:rsidR="00613CD6" w:rsidTr="00CA1C1C">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4. Finanšu līdzekļi papildu izde</w:t>
            </w:r>
            <w: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pPr>
            <w:r>
              <w:rPr>
                <w:color w:val="414142"/>
              </w:rP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5.1. valsts pamatbudžets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5.2. speciālais 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p w:rsidR="00613CD6" w:rsidRDefault="00613CD6" w:rsidP="00CA1C1C">
            <w:pPr>
              <w:pStyle w:val="naisf"/>
              <w:spacing w:before="0" w:after="0"/>
              <w:ind w:firstLine="0"/>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0"/>
            </w:pPr>
            <w:r>
              <w:t>0</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 Detalizēts ieņēmumu un izdevu</w:t>
            </w:r>
            <w: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Pr="00604AF7" w:rsidRDefault="00613CD6" w:rsidP="00CA1C1C">
            <w:pPr>
              <w:pStyle w:val="naisf"/>
              <w:spacing w:before="0" w:after="0"/>
              <w:ind w:firstLine="356"/>
              <w:jc w:val="left"/>
            </w:pPr>
            <w:r w:rsidRPr="00604AF7">
              <w:rPr>
                <w:iCs/>
              </w:rPr>
              <w:t>Projekts šo jomu neskar</w:t>
            </w: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399"/>
              <w:rPr>
                <w:b/>
                <w:i/>
              </w:rPr>
            </w:pPr>
          </w:p>
        </w:tc>
      </w:tr>
      <w:tr w:rsidR="00613CD6" w:rsidTr="00CA1C1C">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pStyle w:val="naisf"/>
              <w:spacing w:before="0" w:after="0"/>
              <w:ind w:firstLine="356"/>
            </w:pPr>
          </w:p>
        </w:tc>
      </w:tr>
      <w:tr w:rsidR="00613CD6" w:rsidTr="00CA1C1C">
        <w:trPr>
          <w:trHeight w:val="490"/>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CD6" w:rsidRDefault="00613CD6" w:rsidP="00CA1C1C">
            <w:pPr>
              <w:jc w:val="both"/>
            </w:pPr>
            <w:r>
              <w:t>7. Cita informācija</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D6" w:rsidRDefault="00613CD6" w:rsidP="00CA1C1C">
            <w:pPr>
              <w:pStyle w:val="naiskr"/>
              <w:spacing w:before="0" w:after="0"/>
              <w:ind w:left="-68" w:firstLine="425"/>
              <w:jc w:val="both"/>
            </w:pPr>
            <w:r>
              <w:t>Likuma ”Par nodokļiem un nodevām” 12. panta pirmās daļas 7. punkts kā vienu no pašvaldības nodevas veidiem paredz nodevu par reklāmas, afišu un sludinājumu izvietošanu publiskās vietās. Atbilstoši minētā likuma 12. panta trešajai daļai pašvaldību nodevu veidā apmaksājam atlīdzība tikai par šā likuma 12. pantā paredzēto pašvaldību nodrošinājumu, līdz ar to aprēķināt atlīdzību par pašvaldības nodrošinājumu un noteikt pašvaldības nodevas par reklāmas izvietošanu publiskās vietās apmēru ir vienīgi katras pašvaldības kompetencē.</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0" w:type="dxa"/>
        <w:tblInd w:w="-289" w:type="dxa"/>
        <w:tblCellMar>
          <w:left w:w="10" w:type="dxa"/>
          <w:right w:w="10" w:type="dxa"/>
        </w:tblCellMar>
        <w:tblLook w:val="0000"/>
      </w:tblPr>
      <w:tblGrid>
        <w:gridCol w:w="568"/>
        <w:gridCol w:w="2410"/>
        <w:gridCol w:w="6662"/>
      </w:tblGrid>
      <w:tr w:rsidR="00613CD6" w:rsidTr="00CA1C1C">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p>
          <w:p w:rsidR="00613CD6" w:rsidRDefault="00613CD6" w:rsidP="00CA1C1C">
            <w:pPr>
              <w:pStyle w:val="naiskr"/>
              <w:spacing w:before="0" w:after="0"/>
              <w:ind w:firstLine="420"/>
              <w:jc w:val="center"/>
              <w:rPr>
                <w:b/>
              </w:rPr>
            </w:pPr>
            <w:r>
              <w:rPr>
                <w:b/>
              </w:rPr>
              <w:t>IV. Tiesību akta projekta ietekme uz spēkā esošo tiesību normu sistēmu</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Nepieciešamie saistītie tiesību aktu projekti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CA1C1C">
            <w:pPr>
              <w:pStyle w:val="naiskr"/>
              <w:spacing w:before="0" w:after="0"/>
              <w:ind w:left="131" w:right="132" w:firstLine="284"/>
              <w:jc w:val="both"/>
            </w:pPr>
            <w:r>
              <w:t>Lai nodrošinātu normatīvo aktu vienotu izprati, vienlaikus jāveic grozījumi arī Reklāmas likumā un Priekšvēlēšanu aģitācijas likumā.</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Atbildīgā institūcija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CA1C1C">
            <w:pPr>
              <w:pStyle w:val="naiskr"/>
              <w:spacing w:before="0" w:after="0"/>
              <w:ind w:firstLine="420"/>
              <w:jc w:val="both"/>
            </w:pPr>
            <w:r>
              <w:t xml:space="preserve">Vides aizsardzības un reģionālās attīstības ministrija. </w:t>
            </w:r>
          </w:p>
        </w:tc>
      </w:tr>
      <w:tr w:rsidR="00613CD6" w:rsidTr="00CA1C1C">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rPr>
                <w:color w:val="000000"/>
              </w:rPr>
            </w:pPr>
            <w:r>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CA1C1C">
            <w:pPr>
              <w:pStyle w:val="naiskr"/>
              <w:spacing w:before="0" w:after="0"/>
              <w:ind w:firstLine="420"/>
              <w:jc w:val="both"/>
            </w:pPr>
            <w:r>
              <w:t>Nav</w:t>
            </w:r>
          </w:p>
        </w:tc>
      </w:tr>
    </w:tbl>
    <w:p w:rsidR="00613CD6" w:rsidRDefault="00613CD6"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0" w:type="dxa"/>
        <w:tblInd w:w="-289" w:type="dxa"/>
        <w:tblCellMar>
          <w:left w:w="10" w:type="dxa"/>
          <w:right w:w="10" w:type="dxa"/>
        </w:tblCellMar>
        <w:tblLook w:val="0000"/>
      </w:tblPr>
      <w:tblGrid>
        <w:gridCol w:w="9640"/>
      </w:tblGrid>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rPr>
            </w:pPr>
          </w:p>
          <w:p w:rsidR="00613CD6" w:rsidRDefault="00613CD6" w:rsidP="00CA1C1C">
            <w:pPr>
              <w:pStyle w:val="naiskr"/>
              <w:spacing w:before="0" w:after="0"/>
              <w:ind w:firstLine="420"/>
              <w:jc w:val="center"/>
              <w:rPr>
                <w:b/>
              </w:rPr>
            </w:pPr>
            <w:r>
              <w:rPr>
                <w:b/>
              </w:rPr>
              <w:t>V. Tiesību akta projekta atbilstība Latvijas Republikas starptautiskajām saistībām</w:t>
            </w:r>
          </w:p>
        </w:tc>
      </w:tr>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i/>
              </w:rPr>
            </w:pPr>
          </w:p>
          <w:p w:rsidR="00613CD6" w:rsidRDefault="00613CD6" w:rsidP="00CA1C1C">
            <w:pPr>
              <w:pStyle w:val="naiskr"/>
              <w:spacing w:before="0" w:after="0"/>
              <w:ind w:firstLine="420"/>
              <w:jc w:val="center"/>
            </w:pPr>
            <w:r>
              <w:rPr>
                <w:i/>
              </w:rPr>
              <w:t>Projekts šo jomu neskar</w:t>
            </w:r>
          </w:p>
        </w:tc>
      </w:tr>
    </w:tbl>
    <w:p w:rsidR="00613CD6" w:rsidRDefault="00613CD6" w:rsidP="00613CD6">
      <w:pPr>
        <w:pStyle w:val="naisf"/>
        <w:ind w:firstLine="0"/>
      </w:pPr>
    </w:p>
    <w:p w:rsidR="00613CD6" w:rsidRDefault="00613CD6" w:rsidP="00613CD6">
      <w:pPr>
        <w:pStyle w:val="naisf"/>
        <w:ind w:firstLine="0"/>
      </w:pPr>
    </w:p>
    <w:tbl>
      <w:tblPr>
        <w:tblW w:w="9640" w:type="dxa"/>
        <w:tblInd w:w="-289" w:type="dxa"/>
        <w:tblCellMar>
          <w:left w:w="10" w:type="dxa"/>
          <w:right w:w="10" w:type="dxa"/>
        </w:tblCellMar>
        <w:tblLook w:val="0000"/>
      </w:tblPr>
      <w:tblGrid>
        <w:gridCol w:w="9640"/>
      </w:tblGrid>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b/>
                <w:bCs/>
              </w:rPr>
            </w:pPr>
          </w:p>
          <w:p w:rsidR="00613CD6" w:rsidRDefault="00613CD6" w:rsidP="00CA1C1C">
            <w:pPr>
              <w:pStyle w:val="naiskr"/>
              <w:spacing w:before="0" w:after="0"/>
              <w:ind w:firstLine="420"/>
              <w:jc w:val="center"/>
            </w:pPr>
            <w:r>
              <w:rPr>
                <w:b/>
                <w:bCs/>
              </w:rPr>
              <w:t>VI. Sabiedrības līdzdalība un komunikācijas aktivitātes</w:t>
            </w:r>
          </w:p>
        </w:tc>
      </w:tr>
      <w:tr w:rsidR="00613CD6" w:rsidTr="00CA1C1C">
        <w:trPr>
          <w:trHeight w:val="61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CA1C1C">
            <w:pPr>
              <w:pStyle w:val="naiskr"/>
              <w:spacing w:before="0" w:after="0"/>
              <w:ind w:firstLine="420"/>
              <w:jc w:val="center"/>
              <w:rPr>
                <w:i/>
              </w:rPr>
            </w:pPr>
          </w:p>
          <w:p w:rsidR="00613CD6" w:rsidRDefault="00613CD6" w:rsidP="00CA1C1C">
            <w:pPr>
              <w:pStyle w:val="naiskr"/>
              <w:spacing w:before="0" w:after="0"/>
              <w:ind w:firstLine="420"/>
              <w:jc w:val="center"/>
            </w:pPr>
            <w:r>
              <w:rPr>
                <w:i/>
              </w:rPr>
              <w:t>Projekts šo jomu neskar</w:t>
            </w:r>
          </w:p>
        </w:tc>
      </w:tr>
    </w:tbl>
    <w:p w:rsidR="00613CD6" w:rsidRDefault="00613CD6" w:rsidP="00613CD6">
      <w:pPr>
        <w:pStyle w:val="naisf"/>
      </w:pPr>
    </w:p>
    <w:p w:rsidR="00613CD6" w:rsidRDefault="00613CD6" w:rsidP="00613CD6">
      <w:pPr>
        <w:pStyle w:val="naisf"/>
      </w:pPr>
    </w:p>
    <w:tbl>
      <w:tblPr>
        <w:tblW w:w="9762" w:type="dxa"/>
        <w:jc w:val="center"/>
        <w:tblCellMar>
          <w:left w:w="10" w:type="dxa"/>
          <w:right w:w="10" w:type="dxa"/>
        </w:tblCellMar>
        <w:tblLook w:val="0000"/>
      </w:tblPr>
      <w:tblGrid>
        <w:gridCol w:w="498"/>
        <w:gridCol w:w="2474"/>
        <w:gridCol w:w="6790"/>
      </w:tblGrid>
      <w:tr w:rsidR="00613CD6" w:rsidTr="00CA1C1C">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613CD6" w:rsidRDefault="00613CD6" w:rsidP="00CA1C1C">
            <w:pPr>
              <w:pStyle w:val="naisnod"/>
              <w:spacing w:before="0" w:after="0"/>
              <w:ind w:left="57" w:right="57"/>
            </w:pPr>
            <w:r>
              <w:t>VII. Tiesību akta projekta izpildes nodrošināšana un tās ietekme uz institūcijām</w:t>
            </w:r>
          </w:p>
        </w:tc>
      </w:tr>
      <w:tr w:rsidR="00613CD6" w:rsidTr="00CA1C1C">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f"/>
              <w:spacing w:before="0" w:after="0"/>
              <w:ind w:left="57" w:right="57" w:firstLine="0"/>
              <w:jc w:val="left"/>
            </w:pPr>
            <w:r>
              <w:t xml:space="preserve">Projekta izpildē iesaistītās institūcijas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firstLine="340"/>
              <w:jc w:val="both"/>
            </w:pPr>
            <w:r>
              <w:rPr>
                <w:b w:val="0"/>
                <w:iCs/>
              </w:rPr>
              <w:t xml:space="preserve">Likumprojekts ir saistošs katras pašvaldības domei, kas saskaņā ar likuma ”Par pašvaldībām” 21. panta pirmās daļas 15. punktu un </w:t>
            </w:r>
            <w:r>
              <w:rPr>
                <w:b w:val="0"/>
              </w:rPr>
              <w:t>likuma ”Par nodokļiem un nodevām” 10. panta trešo daļu</w:t>
            </w:r>
            <w:r>
              <w:rPr>
                <w:b w:val="0"/>
                <w:iCs/>
              </w:rPr>
              <w:t xml:space="preserve"> </w:t>
            </w:r>
            <w:r>
              <w:rPr>
                <w:b w:val="0"/>
              </w:rPr>
              <w:t>pieņem saistošos noteikumus par pašvaldības nodevu ieviešanu, kā arī tādu telpu īpašniekiem (valdītājiem), kurās aģitācijas veicējs vēlēsies veikt aģitāciju</w:t>
            </w:r>
            <w:r>
              <w:rPr>
                <w:b w:val="0"/>
                <w:iCs/>
              </w:rPr>
              <w:t>.</w:t>
            </w:r>
          </w:p>
        </w:tc>
      </w:tr>
      <w:tr w:rsidR="00613CD6" w:rsidTr="00CA1C1C">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suppressAutoHyphens w:val="0"/>
              <w:ind w:left="36"/>
              <w:textAlignment w:val="auto"/>
            </w:pPr>
            <w:r>
              <w:t>Projekta izpildes ietekme uz pārvaldes funkcijām un institucionālo struktūru</w:t>
            </w:r>
          </w:p>
          <w:p w:rsidR="00613CD6" w:rsidRDefault="00613CD6" w:rsidP="00CA1C1C">
            <w:pPr>
              <w:suppressAutoHyphens w:val="0"/>
              <w:ind w:left="36"/>
              <w:textAlignment w:val="auto"/>
            </w:pPr>
          </w:p>
          <w:p w:rsidR="00613CD6" w:rsidRDefault="00613CD6" w:rsidP="00CA1C1C">
            <w:pPr>
              <w:pStyle w:val="naisf"/>
              <w:spacing w:before="0" w:after="0"/>
              <w:ind w:left="36" w:right="57" w:firstLine="0"/>
              <w:jc w:val="left"/>
            </w:pPr>
            <w:r>
              <w:t>Jaunu institūciju izveide, esošu institūciju likvidācija vai reorganizācija, to ietekme uz institūcijas cilvēkresursiem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nod"/>
              <w:spacing w:before="0" w:after="0"/>
              <w:ind w:left="57" w:right="57" w:firstLine="340"/>
              <w:jc w:val="both"/>
            </w:pPr>
            <w:r>
              <w:rPr>
                <w:b w:val="0"/>
                <w:iCs/>
              </w:rPr>
              <w:t>Projekts šo jomu neskar</w:t>
            </w:r>
          </w:p>
        </w:tc>
      </w:tr>
      <w:tr w:rsidR="00613CD6" w:rsidTr="00CA1C1C">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pPr>
            <w:r>
              <w:t>6.</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pPr>
            <w:r>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CA1C1C">
            <w:pPr>
              <w:pStyle w:val="naiskr"/>
              <w:spacing w:before="0" w:after="0"/>
              <w:ind w:left="57" w:right="57" w:firstLine="397"/>
            </w:pPr>
            <w:r>
              <w:t>Nav</w:t>
            </w:r>
          </w:p>
        </w:tc>
      </w:tr>
    </w:tbl>
    <w:p w:rsidR="00613CD6" w:rsidRDefault="00613CD6" w:rsidP="00613CD6"/>
    <w:p w:rsidR="00613CD6" w:rsidRDefault="00A4247E" w:rsidP="00613CD6">
      <w:r>
        <w:t>v</w:t>
      </w:r>
      <w:r w:rsidR="00613CD6">
        <w:t>ides aizsardzības un reģionālās attīstības ministrs</w:t>
      </w:r>
      <w:r w:rsidR="00613CD6">
        <w:tab/>
      </w:r>
      <w:r w:rsidR="00613CD6">
        <w:tab/>
        <w:t xml:space="preserve">                                      R.Naudiņš</w:t>
      </w:r>
    </w:p>
    <w:p w:rsidR="00613CD6" w:rsidRDefault="00613CD6" w:rsidP="00613CD6">
      <w:pPr>
        <w:tabs>
          <w:tab w:val="right" w:pos="9214"/>
        </w:tabs>
      </w:pPr>
    </w:p>
    <w:p w:rsidR="00613CD6" w:rsidRDefault="00613CD6" w:rsidP="00613CD6">
      <w:pPr>
        <w:tabs>
          <w:tab w:val="right" w:pos="9214"/>
        </w:tabs>
      </w:pPr>
    </w:p>
    <w:p w:rsidR="00613CD6" w:rsidRDefault="00A4247E" w:rsidP="00613CD6">
      <w:pPr>
        <w:tabs>
          <w:tab w:val="right" w:pos="9214"/>
        </w:tabs>
      </w:pPr>
      <w:r>
        <w:t>Vīza: v</w:t>
      </w:r>
      <w:r w:rsidR="00613CD6">
        <w:t xml:space="preserve">ides aizsardzības un reģionālās attīstības </w:t>
      </w:r>
    </w:p>
    <w:p w:rsidR="00A01BAA" w:rsidRDefault="00613CD6" w:rsidP="00613CD6">
      <w:pPr>
        <w:rPr>
          <w:sz w:val="20"/>
          <w:szCs w:val="20"/>
        </w:rPr>
      </w:pPr>
      <w:r>
        <w:t xml:space="preserve">          ministrijas valsts sekretārs</w:t>
      </w:r>
      <w:r>
        <w:tab/>
      </w:r>
      <w:r>
        <w:tab/>
      </w:r>
      <w:r>
        <w:tab/>
      </w:r>
      <w:r>
        <w:tab/>
      </w:r>
      <w:r>
        <w:tab/>
      </w:r>
      <w:r>
        <w:tab/>
        <w:t xml:space="preserve">                G.Puķītis</w:t>
      </w:r>
    </w:p>
    <w:p w:rsidR="00BB5482" w:rsidRDefault="00BB5482" w:rsidP="00613CD6">
      <w:pPr>
        <w:rPr>
          <w:sz w:val="20"/>
          <w:szCs w:val="20"/>
        </w:rPr>
      </w:pPr>
    </w:p>
    <w:p w:rsidR="00BB5482" w:rsidRDefault="00BB5482" w:rsidP="00613CD6">
      <w:pPr>
        <w:rPr>
          <w:sz w:val="20"/>
          <w:szCs w:val="20"/>
        </w:rPr>
      </w:pPr>
    </w:p>
    <w:p w:rsidR="00BB5482" w:rsidRDefault="00BB5482" w:rsidP="00613CD6">
      <w:pPr>
        <w:rPr>
          <w:sz w:val="20"/>
          <w:szCs w:val="20"/>
        </w:rPr>
      </w:pPr>
    </w:p>
    <w:p w:rsidR="00A01BAA" w:rsidRDefault="00A01BAA" w:rsidP="00613CD6">
      <w:pPr>
        <w:rPr>
          <w:sz w:val="20"/>
          <w:szCs w:val="20"/>
        </w:rPr>
      </w:pPr>
    </w:p>
    <w:p w:rsidR="00613CD6" w:rsidRDefault="00613CD6" w:rsidP="00613CD6">
      <w:pPr>
        <w:rPr>
          <w:sz w:val="20"/>
          <w:szCs w:val="20"/>
        </w:rPr>
      </w:pPr>
      <w:r>
        <w:rPr>
          <w:sz w:val="20"/>
          <w:szCs w:val="20"/>
        </w:rPr>
        <w:t>21.07.2014. 14:33</w:t>
      </w:r>
    </w:p>
    <w:p w:rsidR="00613CD6" w:rsidRDefault="00A37BCA" w:rsidP="00613CD6">
      <w:pPr>
        <w:rPr>
          <w:sz w:val="20"/>
          <w:szCs w:val="20"/>
        </w:rPr>
      </w:pPr>
      <w:r>
        <w:rPr>
          <w:sz w:val="20"/>
          <w:szCs w:val="20"/>
        </w:rPr>
        <w:t>2 559</w:t>
      </w:r>
    </w:p>
    <w:p w:rsidR="00613CD6" w:rsidRDefault="00613CD6" w:rsidP="00613CD6">
      <w:pPr>
        <w:rPr>
          <w:sz w:val="20"/>
          <w:szCs w:val="20"/>
        </w:rPr>
      </w:pPr>
      <w:proofErr w:type="spellStart"/>
      <w:r>
        <w:rPr>
          <w:sz w:val="20"/>
          <w:szCs w:val="20"/>
        </w:rPr>
        <w:t>I.Logina</w:t>
      </w:r>
      <w:proofErr w:type="spellEnd"/>
      <w:r>
        <w:rPr>
          <w:sz w:val="20"/>
          <w:szCs w:val="20"/>
        </w:rPr>
        <w:t xml:space="preserve">, </w:t>
      </w:r>
      <w:r w:rsidR="00A4247E">
        <w:rPr>
          <w:sz w:val="20"/>
          <w:szCs w:val="20"/>
        </w:rPr>
        <w:t>6</w:t>
      </w:r>
      <w:bookmarkStart w:id="2" w:name="p76"/>
      <w:bookmarkEnd w:id="2"/>
      <w:r w:rsidR="00A4247E">
        <w:rPr>
          <w:bCs/>
          <w:sz w:val="20"/>
          <w:szCs w:val="20"/>
        </w:rPr>
        <w:t>6016582</w:t>
      </w:r>
    </w:p>
    <w:p w:rsidR="00613CD6" w:rsidRDefault="006D0AEF" w:rsidP="00613CD6">
      <w:hyperlink r:id="rId11" w:history="1">
        <w:r w:rsidR="00613CD6">
          <w:rPr>
            <w:rStyle w:val="Hyperlink"/>
            <w:sz w:val="20"/>
            <w:szCs w:val="20"/>
          </w:rPr>
          <w:t>ilze.logina@varam.gov.lv</w:t>
        </w:r>
      </w:hyperlink>
    </w:p>
    <w:p w:rsidR="0095458C" w:rsidRDefault="00756C0A"/>
    <w:sectPr w:rsidR="0095458C" w:rsidSect="006D0AEF">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1701" w:header="709" w:footer="5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0A" w:rsidRDefault="00756C0A" w:rsidP="00613CD6">
      <w:r>
        <w:separator/>
      </w:r>
    </w:p>
  </w:endnote>
  <w:endnote w:type="continuationSeparator" w:id="0">
    <w:p w:rsidR="00756C0A" w:rsidRDefault="00756C0A" w:rsidP="00613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1B" w:rsidRDefault="000A5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FE" w:rsidRDefault="000A5D1B" w:rsidP="00891FFE">
    <w:pPr>
      <w:pStyle w:val="Footer"/>
      <w:jc w:val="both"/>
      <w:rPr>
        <w:szCs w:val="16"/>
      </w:rPr>
    </w:pPr>
    <w:r>
      <w:rPr>
        <w:sz w:val="20"/>
        <w:szCs w:val="20"/>
      </w:rPr>
      <w:t>VARAManot</w:t>
    </w:r>
    <w:r w:rsidR="00891FFE">
      <w:rPr>
        <w:sz w:val="20"/>
        <w:szCs w:val="20"/>
      </w:rPr>
      <w:t xml:space="preserve">_21072014_nobalsosana; Likumprojekta </w:t>
    </w:r>
    <w:r w:rsidR="00891FFE" w:rsidRPr="00891FFE">
      <w:rPr>
        <w:sz w:val="20"/>
        <w:szCs w:val="20"/>
      </w:rPr>
      <w:t>”Grozījumi likumā ”Par tautas nobalsošanu, likumu ierosināšanu un Eiropas pilsoņu iniciatīvu”” sākotnējās ietekmes novērtējuma ziņojums (anotācija)</w:t>
    </w:r>
  </w:p>
  <w:p w:rsidR="00954523" w:rsidRDefault="00756C0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23" w:rsidRDefault="000A5D1B" w:rsidP="00891FFE">
    <w:pPr>
      <w:pStyle w:val="Footer"/>
      <w:jc w:val="both"/>
      <w:rPr>
        <w:szCs w:val="16"/>
      </w:rPr>
    </w:pPr>
    <w:r>
      <w:rPr>
        <w:sz w:val="20"/>
        <w:szCs w:val="20"/>
      </w:rPr>
      <w:t>VARAManot</w:t>
    </w:r>
    <w:r w:rsidR="00891FFE">
      <w:rPr>
        <w:sz w:val="20"/>
        <w:szCs w:val="20"/>
      </w:rPr>
      <w:t xml:space="preserve">_21072014_nobalsosana; </w:t>
    </w:r>
    <w:r w:rsidR="008D27D2">
      <w:rPr>
        <w:sz w:val="20"/>
        <w:szCs w:val="20"/>
      </w:rPr>
      <w:t xml:space="preserve">Likumprojekta </w:t>
    </w:r>
    <w:r w:rsidR="00891FFE" w:rsidRPr="00891FFE">
      <w:rPr>
        <w:sz w:val="20"/>
        <w:szCs w:val="20"/>
      </w:rPr>
      <w:t>”Grozījumi likumā ”Par tautas nobalsošanu, likumu ierosināšanu un Eiropas pilsoņu iniciatīvu””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0A" w:rsidRDefault="00756C0A" w:rsidP="00613CD6">
      <w:r>
        <w:separator/>
      </w:r>
    </w:p>
  </w:footnote>
  <w:footnote w:type="continuationSeparator" w:id="0">
    <w:p w:rsidR="00756C0A" w:rsidRDefault="00756C0A" w:rsidP="00613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1B" w:rsidRDefault="000A5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23" w:rsidRDefault="006D0AEF">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954523" w:rsidRDefault="006D0AEF">
                <w:pPr>
                  <w:pStyle w:val="Header"/>
                </w:pPr>
                <w:r>
                  <w:rPr>
                    <w:rStyle w:val="PageNumber"/>
                  </w:rPr>
                  <w:fldChar w:fldCharType="begin"/>
                </w:r>
                <w:r w:rsidR="008D27D2">
                  <w:rPr>
                    <w:rStyle w:val="PageNumber"/>
                  </w:rPr>
                  <w:instrText xml:space="preserve"> PAGE </w:instrText>
                </w:r>
                <w:r>
                  <w:rPr>
                    <w:rStyle w:val="PageNumber"/>
                  </w:rPr>
                  <w:fldChar w:fldCharType="separate"/>
                </w:r>
                <w:r w:rsidR="00671B67">
                  <w:rPr>
                    <w:rStyle w:val="PageNumber"/>
                    <w:noProof/>
                  </w:rPr>
                  <w:t>2</w:t>
                </w:r>
                <w:r>
                  <w:rPr>
                    <w:rStyle w:val="PageNumber"/>
                  </w:rPr>
                  <w:fldChar w:fldCharType="end"/>
                </w:r>
              </w:p>
            </w:txbxContent>
          </v:textbox>
          <w10:wrap type="square" anchorx="margin"/>
        </v:shape>
      </w:pict>
    </w:r>
  </w:p>
  <w:p w:rsidR="00954523" w:rsidRDefault="00756C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1B" w:rsidRDefault="000A5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13CD6"/>
    <w:rsid w:val="000A5D1B"/>
    <w:rsid w:val="001C627E"/>
    <w:rsid w:val="002418B2"/>
    <w:rsid w:val="00466D5D"/>
    <w:rsid w:val="005B59F6"/>
    <w:rsid w:val="00613CD6"/>
    <w:rsid w:val="00671B67"/>
    <w:rsid w:val="006D0AEF"/>
    <w:rsid w:val="00756C0A"/>
    <w:rsid w:val="00891FFE"/>
    <w:rsid w:val="008D27D2"/>
    <w:rsid w:val="008E2942"/>
    <w:rsid w:val="008E3D25"/>
    <w:rsid w:val="00A01BAA"/>
    <w:rsid w:val="00A11A09"/>
    <w:rsid w:val="00A37BCA"/>
    <w:rsid w:val="00A4247E"/>
    <w:rsid w:val="00B02806"/>
    <w:rsid w:val="00BB304A"/>
    <w:rsid w:val="00BB5482"/>
    <w:rsid w:val="00C7436B"/>
    <w:rsid w:val="00DB5EBB"/>
    <w:rsid w:val="00ED2C01"/>
    <w:rsid w:val="00F07FC5"/>
    <w:rsid w:val="00F44B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rsid w:val="00613CD6"/>
    <w:pPr>
      <w:tabs>
        <w:tab w:val="center" w:pos="4153"/>
        <w:tab w:val="right" w:pos="8306"/>
      </w:tabs>
    </w:pPr>
  </w:style>
  <w:style w:type="character" w:customStyle="1" w:styleId="FooterChar">
    <w:name w:val="Footer Char"/>
    <w:basedOn w:val="DefaultParagraphFont"/>
    <w:link w:val="Footer"/>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54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log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535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24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F516-84D5-4F97-833D-FE78F9DC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12975</Words>
  <Characters>7396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Likumprojekta ”Grozījumi likumā ”Par tautas nobalsošanu, likumu ierosināšanu un Eiropas pilsoņu iniciatīvu”” sākotnējās ietekmes novērtējuma ziņojums (anotācija)</vt:lpstr>
    </vt:vector>
  </TitlesOfParts>
  <Company>VARAM</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sākotnējās ietekmes novērtējuma ziņojums (anotācija)</dc:title>
  <dc:creator>Ilze Logina</dc:creator>
  <dc:description>I.Logina, 66016582
ilze.logina@varam.gov.lv</dc:description>
  <cp:lastModifiedBy>Administrators</cp:lastModifiedBy>
  <cp:revision>15</cp:revision>
  <cp:lastPrinted>2014-08-04T10:59:00Z</cp:lastPrinted>
  <dcterms:created xsi:type="dcterms:W3CDTF">2014-07-30T14:14:00Z</dcterms:created>
  <dcterms:modified xsi:type="dcterms:W3CDTF">2014-08-12T06:46:00Z</dcterms:modified>
</cp:coreProperties>
</file>