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1D" w:rsidRDefault="00642B1D" w:rsidP="00642B1D">
      <w:pPr>
        <w:jc w:val="center"/>
      </w:pPr>
      <w:r>
        <w:rPr>
          <w:b/>
        </w:rPr>
        <w:t>Likumprojekta ”</w:t>
      </w:r>
      <w:r>
        <w:rPr>
          <w:b/>
          <w:bCs/>
        </w:rPr>
        <w:t>Grozījumi Reklāmas likumā</w:t>
      </w:r>
      <w:r>
        <w:rPr>
          <w:b/>
        </w:rPr>
        <w:t>” sākotnējās ietekmes novērtējuma ziņojums (anotācija)</w:t>
      </w:r>
    </w:p>
    <w:p w:rsidR="00642B1D" w:rsidRDefault="00642B1D" w:rsidP="00642B1D"/>
    <w:p w:rsidR="00642B1D" w:rsidRDefault="00642B1D" w:rsidP="00642B1D">
      <w:pPr>
        <w:jc w:val="center"/>
        <w:rPr>
          <w:b/>
        </w:rPr>
      </w:pPr>
    </w:p>
    <w:tbl>
      <w:tblPr>
        <w:tblW w:w="9725" w:type="dxa"/>
        <w:tblInd w:w="-289" w:type="dxa"/>
        <w:tblCellMar>
          <w:left w:w="10" w:type="dxa"/>
          <w:right w:w="10" w:type="dxa"/>
        </w:tblCellMar>
        <w:tblLook w:val="0000"/>
      </w:tblPr>
      <w:tblGrid>
        <w:gridCol w:w="550"/>
        <w:gridCol w:w="2484"/>
        <w:gridCol w:w="6691"/>
      </w:tblGrid>
      <w:tr w:rsidR="00642B1D" w:rsidTr="00D365DF">
        <w:trPr>
          <w:trHeight w:val="558"/>
        </w:trPr>
        <w:tc>
          <w:tcPr>
            <w:tcW w:w="97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42B1D" w:rsidRDefault="00642B1D" w:rsidP="00D365DF">
            <w:pPr>
              <w:pStyle w:val="naisnod"/>
              <w:spacing w:before="0" w:after="0"/>
            </w:pPr>
            <w:r>
              <w:t>I. Tiesību akta projekta izstrādes nepieciešamība</w:t>
            </w:r>
          </w:p>
        </w:tc>
      </w:tr>
      <w:tr w:rsidR="00642B1D" w:rsidTr="00D365DF">
        <w:trPr>
          <w:trHeight w:val="63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jc w:val="center"/>
            </w:pPr>
            <w:r>
              <w:t>1.</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ind w:hanging="10"/>
            </w:pPr>
            <w:r>
              <w:t>Pamatojums</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tabs>
                <w:tab w:val="left" w:pos="1134"/>
              </w:tabs>
              <w:ind w:firstLine="510"/>
              <w:jc w:val="both"/>
            </w:pPr>
            <w:r>
              <w:t xml:space="preserve">Ar Ministru prezidenta 2012. gada 28. decembra rezolūciju Nr.12/2012-JUR-185 vides aizsardzības un reģionālās attīstības ministram tika dots uzdevums </w:t>
            </w:r>
            <w:r>
              <w:rPr>
                <w:szCs w:val="28"/>
              </w:rPr>
              <w:t xml:space="preserve">steidzami sagatavot un iesniegt noteiktā kārtībā Ministru kabinetā likuma ”Par tautas nobalsošanu, likumu ierosināšanu un Eiropas pilsoņu iniciatīvu” (2012. gada 8. novembra likuma ”Grozījumi likumā ”Par tautas nobalsošanu, likumu ierosināšanu un Eiropas pilsoņu iniciatīvu”” redakcijā) 32. panta otrajā daļā minēto tiesību akta projektu, attiecīgi nodrošinot Ministru kabinetam dotā uzdevuma izpildi (uzdevums </w:t>
            </w:r>
            <w:r>
              <w:t>Nr.2013-UZD-12</w:t>
            </w:r>
            <w:r>
              <w:rPr>
                <w:szCs w:val="28"/>
              </w:rPr>
              <w:t>).</w:t>
            </w:r>
          </w:p>
          <w:p w:rsidR="00642B1D" w:rsidRDefault="00642B1D" w:rsidP="00D365DF">
            <w:pPr>
              <w:tabs>
                <w:tab w:val="left" w:pos="1134"/>
              </w:tabs>
              <w:ind w:firstLine="510"/>
              <w:jc w:val="both"/>
            </w:pPr>
            <w:r>
              <w:t>Ar Ministru prezidenta 2013. gada 3. maija rezolūciju Nr.18/TA-892 vides aizsardzības un reģionālās attīstības ministram tika dots uzdevums izvērtēt iespēju jautājumus, kas skar tautas nobalsošanas, likumu ierosināšanas un Eiropas pilsoņu iniciatīvas aģitācijas materiālu izvietošanu, kā arī priekšvēlēšan</w:t>
            </w:r>
            <w:r w:rsidR="00C95D4F">
              <w:t>u</w:t>
            </w:r>
            <w:r>
              <w:t xml:space="preserve"> aģitācijas materiālu izvietošanu, nepielīdzināt reklāmas izvietošanai saskaņā ar normatīvajiem aktiem par reklāmas izvietošanu, un vienlaikus izvērtēt iespēju jautājumus, kas skar aģitācijas materiālu izvietošanu, regulēt nevis ar pašvaldību saistošajiem noteikumiem, bet gan Ministru kabineta līmenī. Ņemot vērā minēto, rezolūcijā arī dots uzdevums iesniegt Ministru kabinetā precizētu likumprojekta redakciju, kā arī vienlaikus sagatavot un iesniegt Ministru kabinetā grozījumus Priekšvēlēšanu aģitācijas likumā.</w:t>
            </w:r>
          </w:p>
          <w:p w:rsidR="00642B1D" w:rsidRDefault="00642B1D" w:rsidP="00D365DF">
            <w:pPr>
              <w:tabs>
                <w:tab w:val="left" w:pos="1134"/>
              </w:tabs>
              <w:ind w:firstLine="510"/>
              <w:jc w:val="both"/>
            </w:pPr>
            <w:r>
              <w:t>Ar Ministru prezidenta 2014. gada 12. marta rezolūciju Nr.12/2014-JUR-42 vides aizsardzības un reģionālās attīstības ministram ir uzdots uzdevums sagatavot un noteiktā kārtībā iesniegt Ministru kabinetā Reklāmas likuma (2014. gada 13. februāra likuma „Grozījumi Reklāmas likumā” redakcijā) pārejas noteikumu 3. punktā minētā tiesību akta projektu, attiecīgi nodrošinot Ministru kabinetam dotā uzdevuma izpildi.</w:t>
            </w:r>
          </w:p>
          <w:p w:rsidR="00642B1D" w:rsidRDefault="00642B1D" w:rsidP="00D365DF">
            <w:pPr>
              <w:tabs>
                <w:tab w:val="left" w:pos="1134"/>
              </w:tabs>
              <w:ind w:firstLine="510"/>
              <w:jc w:val="both"/>
            </w:pPr>
            <w:r>
              <w:t>Ar Ministru prezidentes 2014. gada 14. jūnija rezolūciju Nr. 18/TA-892/6519 uzdevuma Nr. 2013-UZD-12 izpildes termiņš pagarināts līdz 2014. gada 1. decembrim.</w:t>
            </w:r>
          </w:p>
          <w:p w:rsidR="00642B1D" w:rsidRDefault="00642B1D" w:rsidP="00D365DF">
            <w:pPr>
              <w:tabs>
                <w:tab w:val="left" w:pos="1134"/>
              </w:tabs>
              <w:ind w:firstLine="510"/>
              <w:jc w:val="both"/>
            </w:pPr>
            <w:r>
              <w:t xml:space="preserve">Lai saskaņotu normatīvo regulējumu un īstenotu vienotu pāreju uz jauno regulējumu, vienlaikus ar grozījumiem Priekšvēlēšanu aģitācijas likumā, nepieciešami grozījumi Reklāmas likumā un likumā </w:t>
            </w:r>
            <w:r>
              <w:rPr>
                <w:szCs w:val="28"/>
              </w:rPr>
              <w:t>”Par tautas nobalsošanu, likumu ierosināšanu un Eiropas pilsoņu iniciatīvu”</w:t>
            </w:r>
            <w:r>
              <w:t>.</w:t>
            </w:r>
          </w:p>
        </w:tc>
      </w:tr>
      <w:tr w:rsidR="00642B1D" w:rsidTr="00D365DF">
        <w:trPr>
          <w:trHeight w:val="472"/>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jc w:val="center"/>
            </w:pPr>
            <w:r>
              <w:t>2.</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tabs>
                <w:tab w:val="left" w:pos="170"/>
              </w:tabs>
              <w:spacing w:before="0" w:after="0"/>
              <w:ind w:right="147"/>
            </w:pPr>
            <w:r>
              <w:t>Pašreizējā situācija un problēmas, kuru risināšanai tiesību akta projekts izstrādāts, tiesiskā regulējuma mērķis un būtība</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ind w:firstLine="420"/>
              <w:jc w:val="both"/>
            </w:pPr>
            <w:r>
              <w:t xml:space="preserve">2014. gada 20. martā stājās spēkā likums „Grozījumi Reklāmas likumā”, ar kuriem papildināti likuma pārejas noteikumi ar 3. punktu šādā redakcijā: „Ministru kabinets līdz 2014. gada 1. decembrim iesniedz Saeimai grozījumus </w:t>
            </w:r>
            <w:hyperlink r:id="rId7" w:history="1">
              <w:r>
                <w:t>Priekšvēlēšanu aģitācijas likumā</w:t>
              </w:r>
            </w:hyperlink>
            <w:r>
              <w:t xml:space="preserve">, kuros nosaka kārtību, kādā tiek izvietoti priekšvēlēšanu aģitācijas materiāli publiskās lietošanas </w:t>
            </w:r>
            <w:proofErr w:type="spellStart"/>
            <w:r>
              <w:t>ārtelpā</w:t>
            </w:r>
            <w:proofErr w:type="spellEnd"/>
            <w:r>
              <w:t xml:space="preserve"> vai vietās, kas vērstas pret publiskās lietošanas </w:t>
            </w:r>
            <w:proofErr w:type="spellStart"/>
            <w:r>
              <w:t>ārtelpu</w:t>
            </w:r>
            <w:proofErr w:type="spellEnd"/>
            <w:r>
              <w:t xml:space="preserve">. Līdz attiecīgo grozījumu spēkā stāšanās dienai attiecībā uz priekšvēlēšanu aģitācijas </w:t>
            </w:r>
            <w:r>
              <w:lastRenderedPageBreak/>
              <w:t xml:space="preserve">materiālu izvietošanu publiskās lietošanas </w:t>
            </w:r>
            <w:proofErr w:type="spellStart"/>
            <w:r>
              <w:t>ārtelpā</w:t>
            </w:r>
            <w:proofErr w:type="spellEnd"/>
            <w:r>
              <w:t xml:space="preserve"> vai vietās, kas vērstas pret publiskās lietošanas </w:t>
            </w:r>
            <w:proofErr w:type="spellStart"/>
            <w:r>
              <w:t>ārtelpu</w:t>
            </w:r>
            <w:proofErr w:type="spellEnd"/>
            <w:r>
              <w:t>, tiek piemēroti:</w:t>
            </w:r>
          </w:p>
          <w:p w:rsidR="00642B1D" w:rsidRDefault="00642B1D" w:rsidP="00D365DF">
            <w:pPr>
              <w:pStyle w:val="naiskr"/>
              <w:numPr>
                <w:ilvl w:val="0"/>
                <w:numId w:val="1"/>
              </w:numPr>
              <w:spacing w:before="0" w:after="0"/>
              <w:jc w:val="both"/>
            </w:pPr>
            <w:r>
              <w:t>oktobra noteikumi Nr.732 "</w:t>
            </w:r>
            <w:hyperlink r:id="rId8" w:history="1">
              <w:r>
                <w:t>Kārtība, kādā saņemama atļauja reklāmas izvietošanai publiskās vietās vai vietās, kas vērstas pret publisku vietu</w:t>
              </w:r>
            </w:hyperlink>
            <w:r>
              <w:t>";</w:t>
            </w:r>
          </w:p>
          <w:p w:rsidR="00642B1D" w:rsidRDefault="00642B1D" w:rsidP="00D365DF">
            <w:pPr>
              <w:pStyle w:val="naiskr"/>
              <w:numPr>
                <w:ilvl w:val="0"/>
                <w:numId w:val="1"/>
              </w:numPr>
              <w:spacing w:before="0" w:after="0"/>
              <w:jc w:val="both"/>
            </w:pPr>
            <w:r>
              <w:t xml:space="preserve"> attiecīgās pašvaldības izdotie saistošie noteikumi tajā daļā, kas paredz reklāmas izmēru, veidu, gaismas un skaņas efektu ierobežojumus atbilstoši videi, ēku un būvju arhitektūrai.”</w:t>
            </w:r>
          </w:p>
          <w:p w:rsidR="00642B1D" w:rsidRDefault="00642B1D" w:rsidP="00D365DF">
            <w:pPr>
              <w:pStyle w:val="naiskr"/>
              <w:spacing w:before="0" w:after="0"/>
              <w:ind w:firstLine="420"/>
              <w:jc w:val="both"/>
            </w:pPr>
            <w:r>
              <w:t xml:space="preserve">Priekšvēlēšanu aģitācijas likuma 22. panta pirmā daļa noteic, ka jautājumus, kas skar priekšvēlēšanu aģitācijas materiālu izvietošanu publiskās lietošanas </w:t>
            </w:r>
            <w:proofErr w:type="spellStart"/>
            <w:r>
              <w:t>ārtelpās</w:t>
            </w:r>
            <w:proofErr w:type="spellEnd"/>
            <w:r>
              <w:t xml:space="preserve"> vai pret publiskās lietošanas </w:t>
            </w:r>
            <w:proofErr w:type="spellStart"/>
            <w:r>
              <w:t>ārtelpām</w:t>
            </w:r>
            <w:proofErr w:type="spellEnd"/>
            <w:r>
              <w:t xml:space="preserve"> (izkārtnes, stendi, afišas, tāfeles, </w:t>
            </w:r>
            <w:proofErr w:type="spellStart"/>
            <w:r>
              <w:t>slietņi</w:t>
            </w:r>
            <w:proofErr w:type="spellEnd"/>
            <w:r>
              <w:t xml:space="preserve">, novietoti plakāti, reklāma skatlogos un citi tamlīdzīgi reklāmas objekti), reglamentē normatīvie akti par reklāmas izvietošanu. </w:t>
            </w:r>
          </w:p>
          <w:p w:rsidR="00642B1D" w:rsidRDefault="00642B1D" w:rsidP="00D365DF">
            <w:pPr>
              <w:pStyle w:val="naiskr"/>
              <w:spacing w:before="0" w:after="0"/>
              <w:ind w:firstLine="420"/>
              <w:jc w:val="both"/>
            </w:pPr>
            <w:r>
              <w:t xml:space="preserve">Reklāmas likuma 7. panta otrā divi </w:t>
            </w:r>
            <w:proofErr w:type="spellStart"/>
            <w:r>
              <w:t>prim</w:t>
            </w:r>
            <w:proofErr w:type="spellEnd"/>
            <w:r>
              <w:t xml:space="preserve"> daļa noteic, ka Ministru kabinets nosaka kārtību, kādā saņemama atļauja reklāmas izvietošanai publiskās vietās vai vietās, kas vērstas pret publisku vietu. Reklāmas likuma 7. panta trešā daļa noteic, ka pašvaldībai,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 </w:t>
            </w:r>
          </w:p>
          <w:p w:rsidR="00642B1D" w:rsidRDefault="00642B1D" w:rsidP="00D365DF">
            <w:pPr>
              <w:pStyle w:val="naiskr"/>
              <w:spacing w:before="0" w:after="0"/>
              <w:ind w:firstLine="420"/>
              <w:jc w:val="both"/>
            </w:pPr>
            <w:r>
              <w:t xml:space="preserve">Ar Reklāmas likuma pārejas noteikumu 3. punktu ir aizliegts pašvaldībām izdot saistošos noteikumus un piemērot Reklāmas likuma 7. panta trešo daļu attiecībā uz reklāmas materiālu izvietošanu publiskās vietās un vietās, kas vērstas pret publisku vietu, paredzot ierobežojumus, ciktāl tas attiecas uz aģitācijas materiāliem. </w:t>
            </w:r>
          </w:p>
          <w:p w:rsidR="00642B1D" w:rsidRDefault="00642B1D" w:rsidP="00D365DF">
            <w:pPr>
              <w:pStyle w:val="naiskr"/>
              <w:spacing w:before="0" w:after="0"/>
              <w:ind w:firstLine="420"/>
              <w:jc w:val="both"/>
            </w:pPr>
            <w:r>
              <w:t>Līdz ar to pašvaldību saistošie noteikumi attiecībā uz priekšvēlēšanu aģitācijas materiāliem piemērojami tikai daļā, kas paredz šādu materiālu izmēru, veidu, gaismas un skaņas efektu ierobežojumus atbilstoši videi, ēku un būvju arhitektūrai. Pašvaldībai nav tiesību saistošajos noteikumus noteikt nosakot vietas, kurās aizliegta atsevišķu preču, preču grupu vai pakalpojumu reklāmas izplatīšana.</w:t>
            </w:r>
          </w:p>
          <w:p w:rsidR="00642B1D" w:rsidRDefault="00642B1D" w:rsidP="00B77D1D">
            <w:pPr>
              <w:pStyle w:val="naiskr"/>
              <w:spacing w:before="0" w:after="0"/>
              <w:ind w:firstLine="420"/>
              <w:jc w:val="both"/>
            </w:pPr>
            <w:r>
              <w:t>Ir izveidojusies situācija, ka ar likumu netiek grozīta Reklāmas likuma 7. panta trešā da</w:t>
            </w:r>
            <w:r w:rsidR="00B77D1D">
              <w:t>ļa, turpretī pāreja</w:t>
            </w:r>
            <w:r>
              <w:t>s noteikumos paredzēts, ka šā panta daļ</w:t>
            </w:r>
            <w:r w:rsidR="00B77D1D">
              <w:t>a konkrētā daļā nav piemērojama. Tas neatbilst</w:t>
            </w:r>
            <w:r>
              <w:t xml:space="preserve"> 2009. gada 3. februāra Ministru kabineta noteikumu Nr. 108 „Normatīvo aktu projektu sagatavošanas noteikumi” 27. p</w:t>
            </w:r>
            <w:r w:rsidR="00B77D1D">
              <w:t>unktam, kurš</w:t>
            </w:r>
            <w:r>
              <w:t xml:space="preserve"> noteic, ka pārejas noteikumos nosaka pārejas kārtību no pastāvošā tiesiskā regulējuma uz jauno tiesisko regulējumu. Pārejas noteikumos neietver normas, kas darbojas pastāvīgi.</w:t>
            </w:r>
          </w:p>
          <w:p w:rsidR="00642B1D" w:rsidRDefault="00642B1D" w:rsidP="00D365DF">
            <w:pPr>
              <w:ind w:firstLine="404"/>
              <w:jc w:val="both"/>
            </w:pPr>
            <w:r>
              <w:t>Likumprojekta ”Grozījumi Reklāmas likumā”” (turpmāk – likumprojekts) mērķis ir saskaņot tiesisko regulējumu un ieviest vienotu pāreju uz jauno normatīvo regulējumu atbilstoši 2014. gada 13. februārī pieņemtajam likumam ”Grozījumi Reklāmas likumā.”</w:t>
            </w:r>
          </w:p>
          <w:p w:rsidR="00642B1D" w:rsidRDefault="00642B1D" w:rsidP="00D365DF">
            <w:pPr>
              <w:ind w:firstLine="404"/>
              <w:jc w:val="both"/>
            </w:pPr>
            <w:r>
              <w:lastRenderedPageBreak/>
              <w:t>Likumprojekts paredz papildināt Reklāmas likuma 2.</w:t>
            </w:r>
            <w:r>
              <w:rPr>
                <w:vertAlign w:val="superscript"/>
              </w:rPr>
              <w:t>1</w:t>
            </w:r>
            <w:r>
              <w:t xml:space="preserve"> pantu ar trešo daļu, nosakot, ka šā likuma noteikumi par priekšvēlēšanu aģitācijas materiālu izvietošanu publiskās lietošanas </w:t>
            </w:r>
            <w:proofErr w:type="spellStart"/>
            <w:r>
              <w:t>ārtelpā</w:t>
            </w:r>
            <w:proofErr w:type="spellEnd"/>
            <w:r>
              <w:t xml:space="preserve"> un vietās, kas vērstas pret publiskās lietošanas </w:t>
            </w:r>
            <w:proofErr w:type="spellStart"/>
            <w:r>
              <w:t>ārtelpu</w:t>
            </w:r>
            <w:proofErr w:type="spellEnd"/>
            <w:r>
              <w:t xml:space="preserve">, piemērojami tiktāl, ciktāl </w:t>
            </w:r>
            <w:r w:rsidR="00B77D1D">
              <w:t>normatīvajos aktos par priekšvēlēšan</w:t>
            </w:r>
            <w:r w:rsidR="00C95D4F">
              <w:t>u</w:t>
            </w:r>
            <w:r w:rsidR="00B77D1D">
              <w:t xml:space="preserve"> aģitācijas materiālu izvietošanu</w:t>
            </w:r>
            <w:r>
              <w:t xml:space="preserve"> nav noteikts citādi. </w:t>
            </w:r>
          </w:p>
          <w:p w:rsidR="00642B1D" w:rsidRDefault="00642B1D" w:rsidP="00D365DF">
            <w:pPr>
              <w:ind w:firstLine="404"/>
              <w:jc w:val="both"/>
            </w:pPr>
            <w:r>
              <w:t xml:space="preserve">Likumprojekts paredz papildināt Reklāmas likuma 7. pantu ar ceturto daļu, nosakot, ka šā panta trešās daļas noteikumi nav attiecināmi uz priekšvēlēšanu aģitācijas materiālu izvietošanu publiskās lietošanas </w:t>
            </w:r>
            <w:proofErr w:type="spellStart"/>
            <w:r>
              <w:t>ārtelpās</w:t>
            </w:r>
            <w:proofErr w:type="spellEnd"/>
            <w:r>
              <w:t xml:space="preserve"> un vietās, kas vērstas pret publiskās lietošanas </w:t>
            </w:r>
            <w:proofErr w:type="spellStart"/>
            <w:r>
              <w:t>ārtelpu</w:t>
            </w:r>
            <w:proofErr w:type="spellEnd"/>
            <w:r>
              <w:t xml:space="preserve">. Kārtību, kādā tiek izvietoti priekšvēlēšanu aģitācijas materiāli publiskās lietošanas </w:t>
            </w:r>
            <w:proofErr w:type="spellStart"/>
            <w:r>
              <w:t>ārtelpā</w:t>
            </w:r>
            <w:proofErr w:type="spellEnd"/>
            <w:r>
              <w:t xml:space="preserve"> vai vietā, kas vērstas pret publiskās lietošanas </w:t>
            </w:r>
            <w:proofErr w:type="spellStart"/>
            <w:r>
              <w:t>ārtelpu</w:t>
            </w:r>
            <w:proofErr w:type="spellEnd"/>
            <w:r>
              <w:t xml:space="preserve">, nosaka </w:t>
            </w:r>
            <w:r w:rsidR="00B77D1D">
              <w:t>normatīvie akti par priekšvēlēšan</w:t>
            </w:r>
            <w:r w:rsidR="00C95D4F">
              <w:t xml:space="preserve">u </w:t>
            </w:r>
            <w:r w:rsidR="00B77D1D">
              <w:t>aģitācijas materiālu izvietošanu</w:t>
            </w:r>
            <w:r>
              <w:t xml:space="preserve">. </w:t>
            </w:r>
          </w:p>
          <w:p w:rsidR="00642B1D" w:rsidRDefault="00642B1D" w:rsidP="00D365DF">
            <w:pPr>
              <w:ind w:firstLine="404"/>
              <w:jc w:val="both"/>
            </w:pPr>
            <w:r>
              <w:t xml:space="preserve">Tādējādi Reklāmas likums tiek papildināts ar atsauces normām uz </w:t>
            </w:r>
            <w:r w:rsidR="00B77D1D">
              <w:t>normatīvajiem aktiem par priekšvēlēšan</w:t>
            </w:r>
            <w:r w:rsidR="00C95D4F">
              <w:t>u</w:t>
            </w:r>
            <w:r w:rsidR="00B77D1D">
              <w:t xml:space="preserve"> aģitācijas materiālu izvietošanu </w:t>
            </w:r>
            <w:r>
              <w:t>jautājumā par priekšvēlēšan</w:t>
            </w:r>
            <w:r w:rsidR="00C95D4F">
              <w:t>u</w:t>
            </w:r>
            <w:r>
              <w:t xml:space="preserve"> aģitācijas materiālu izvietošanu, kas darbojas pastāvīgi.</w:t>
            </w:r>
            <w:r w:rsidR="00B77D1D">
              <w:t xml:space="preserve"> Priekšvēlēšan</w:t>
            </w:r>
            <w:r w:rsidR="00C95D4F">
              <w:t>u</w:t>
            </w:r>
            <w:r w:rsidR="00B77D1D">
              <w:t xml:space="preserve"> aģitācijas materiālu izvietošanu šobrīd regulē Priekšvēlēšanu aģitācijas likums un Reklāmas likums. </w:t>
            </w:r>
          </w:p>
          <w:p w:rsidR="00642B1D" w:rsidRDefault="00642B1D" w:rsidP="00D365DF">
            <w:pPr>
              <w:pStyle w:val="naiskr"/>
              <w:spacing w:before="0" w:after="0"/>
              <w:ind w:firstLine="420"/>
              <w:jc w:val="both"/>
            </w:pPr>
            <w:r>
              <w:t>Likumprojekts atrisinās anotācijas I sadaļas 1. punktā minētās problēmas.</w:t>
            </w:r>
          </w:p>
        </w:tc>
      </w:tr>
      <w:tr w:rsidR="00642B1D" w:rsidTr="00D365DF">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jc w:val="center"/>
            </w:pPr>
            <w:r>
              <w:lastRenderedPageBreak/>
              <w:t>3.</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pPr>
            <w:r>
              <w:t>Projekta izstrādē iesaistītās institūcijas</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ind w:firstLine="420"/>
              <w:jc w:val="both"/>
            </w:pPr>
            <w:r>
              <w:rPr>
                <w:lang w:eastAsia="en-US"/>
              </w:rPr>
              <w:t>Tieslietu ministrija.</w:t>
            </w:r>
          </w:p>
        </w:tc>
      </w:tr>
      <w:tr w:rsidR="00642B1D" w:rsidTr="00D365DF">
        <w:trPr>
          <w:trHeight w:val="61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jc w:val="center"/>
            </w:pPr>
            <w:r>
              <w:t>4.</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pPr>
            <w:r>
              <w:t>Cita informācija</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ind w:firstLine="420"/>
              <w:jc w:val="both"/>
            </w:pPr>
            <w:r>
              <w:t xml:space="preserve">Likumprojekts virzāms vienā paketē ar likumprojektu „Grozījums </w:t>
            </w:r>
            <w:hyperlink r:id="rId9" w:history="1">
              <w:r>
                <w:t>Priekšvēlēšanu aģitācijas likumā</w:t>
              </w:r>
            </w:hyperlink>
            <w:r>
              <w:t>” un likumprojektu „Grozījumi likumā „</w:t>
            </w:r>
            <w:r>
              <w:rPr>
                <w:bCs/>
              </w:rPr>
              <w:t>Par tautas nobalsošanu, likumu ierosināšanu un Eiropas pilsoņu iniciatīvu</w:t>
            </w:r>
            <w:r>
              <w:t>”.</w:t>
            </w:r>
          </w:p>
        </w:tc>
      </w:tr>
    </w:tbl>
    <w:p w:rsidR="00642B1D" w:rsidRDefault="00642B1D" w:rsidP="00642B1D">
      <w:pPr>
        <w:pStyle w:val="naiskr"/>
        <w:tabs>
          <w:tab w:val="left" w:pos="2628"/>
        </w:tabs>
        <w:spacing w:before="0" w:after="120"/>
      </w:pPr>
    </w:p>
    <w:p w:rsidR="002B6E4D" w:rsidRDefault="002B6E4D" w:rsidP="00642B1D">
      <w:pPr>
        <w:pStyle w:val="naiskr"/>
        <w:tabs>
          <w:tab w:val="left" w:pos="2628"/>
        </w:tabs>
        <w:spacing w:before="0" w:after="120"/>
      </w:pPr>
    </w:p>
    <w:tbl>
      <w:tblPr>
        <w:tblW w:w="9640" w:type="dxa"/>
        <w:tblInd w:w="-289" w:type="dxa"/>
        <w:tblCellMar>
          <w:left w:w="10" w:type="dxa"/>
          <w:right w:w="10" w:type="dxa"/>
        </w:tblCellMar>
        <w:tblLook w:val="0000"/>
      </w:tblPr>
      <w:tblGrid>
        <w:gridCol w:w="550"/>
        <w:gridCol w:w="2484"/>
        <w:gridCol w:w="6606"/>
      </w:tblGrid>
      <w:tr w:rsidR="00441C70" w:rsidTr="00441C70">
        <w:trPr>
          <w:trHeight w:val="616"/>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441C70" w:rsidRDefault="00441C70" w:rsidP="004B2F34">
            <w:pPr>
              <w:pStyle w:val="naiskr"/>
              <w:spacing w:before="0" w:after="0"/>
              <w:ind w:firstLine="420"/>
              <w:jc w:val="center"/>
              <w:rPr>
                <w:b/>
              </w:rPr>
            </w:pPr>
            <w:r>
              <w:rPr>
                <w:b/>
              </w:rPr>
              <w:t>II. Tiesību akta projekta ietekme uz sabiedrību, tautsaimniecības attīstību un administratīvo slogu</w:t>
            </w:r>
          </w:p>
        </w:tc>
      </w:tr>
      <w:tr w:rsidR="00441C70" w:rsidTr="00441C70">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441C70" w:rsidRDefault="00441C70" w:rsidP="004B2F34">
            <w:pPr>
              <w:pStyle w:val="naiskr"/>
              <w:spacing w:before="0" w:after="0"/>
              <w:jc w:val="center"/>
            </w:pPr>
            <w:r>
              <w:t>1.</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441C70" w:rsidRDefault="00441C70" w:rsidP="004B2F34">
            <w:pPr>
              <w:pStyle w:val="naiskr"/>
              <w:spacing w:before="0" w:after="0"/>
            </w:pPr>
            <w:r>
              <w:t>Sabiedrības mērķgrupas, kuras tiesiskais regulējums ietekmē vai varētu ietekmēt</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441C70" w:rsidRDefault="00441C70" w:rsidP="004B2F34">
            <w:pPr>
              <w:pStyle w:val="naiskr"/>
              <w:ind w:firstLine="420"/>
              <w:jc w:val="both"/>
            </w:pPr>
            <w:r>
              <w:t>Personas, kuras vēlēsies izvietot</w:t>
            </w:r>
            <w:r w:rsidRPr="00480881">
              <w:t xml:space="preserve"> pri</w:t>
            </w:r>
            <w:r>
              <w:t>ekšvēlēšanu aģitācijas materiālus</w:t>
            </w:r>
            <w:r w:rsidRPr="00480881">
              <w:t xml:space="preserve"> publiskās lietošanas </w:t>
            </w:r>
            <w:proofErr w:type="spellStart"/>
            <w:r w:rsidRPr="00480881">
              <w:t>ārtelpā</w:t>
            </w:r>
            <w:r>
              <w:t>s</w:t>
            </w:r>
            <w:proofErr w:type="spellEnd"/>
            <w:r w:rsidRPr="00480881">
              <w:t xml:space="preserve"> vai pret publiskās lietošanas </w:t>
            </w:r>
            <w:proofErr w:type="spellStart"/>
            <w:r w:rsidRPr="00480881">
              <w:t>ārtelpu</w:t>
            </w:r>
            <w:proofErr w:type="spellEnd"/>
            <w:r>
              <w:t>.</w:t>
            </w:r>
          </w:p>
        </w:tc>
      </w:tr>
      <w:tr w:rsidR="00441C70" w:rsidTr="00441C70">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441C70" w:rsidRDefault="00441C70" w:rsidP="004B2F34">
            <w:pPr>
              <w:pStyle w:val="naiskr"/>
              <w:spacing w:before="0" w:after="0"/>
              <w:jc w:val="center"/>
            </w:pPr>
            <w:r>
              <w:t>2.</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441C70" w:rsidRDefault="00441C70" w:rsidP="004B2F34">
            <w:pPr>
              <w:pStyle w:val="naiskr"/>
              <w:spacing w:before="0" w:after="0"/>
            </w:pPr>
            <w:r>
              <w:t>Tiesiskā regulējuma ietekme uz tautsaimniecību un administratīvo slogu</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441C70" w:rsidRDefault="00441C70" w:rsidP="004B2F34">
            <w:pPr>
              <w:pStyle w:val="naiskr"/>
              <w:ind w:firstLine="420"/>
              <w:jc w:val="both"/>
            </w:pPr>
            <w:r>
              <w:rPr>
                <w:lang w:eastAsia="en-US"/>
              </w:rPr>
              <w:t xml:space="preserve">Projekts šo normu neskar. </w:t>
            </w:r>
          </w:p>
        </w:tc>
      </w:tr>
      <w:tr w:rsidR="00441C70" w:rsidTr="00441C70">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441C70" w:rsidRDefault="00441C70" w:rsidP="004B2F34">
            <w:pPr>
              <w:pStyle w:val="naiskr"/>
              <w:spacing w:before="0" w:after="0"/>
              <w:jc w:val="center"/>
            </w:pPr>
            <w:r>
              <w:t>3.</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441C70" w:rsidRDefault="00441C70" w:rsidP="004B2F34">
            <w:pPr>
              <w:pStyle w:val="naiskr"/>
              <w:spacing w:before="0" w:after="0"/>
            </w:pPr>
            <w:r>
              <w:t>Administratīvo izmaksu monetārs novērtējums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441C70" w:rsidRDefault="00441C70" w:rsidP="004B2F34">
            <w:pPr>
              <w:pStyle w:val="naiskr"/>
              <w:ind w:firstLine="420"/>
              <w:jc w:val="both"/>
            </w:pPr>
            <w:r>
              <w:rPr>
                <w:lang w:eastAsia="en-US"/>
              </w:rPr>
              <w:t>Projekts šo normu neskar.</w:t>
            </w:r>
          </w:p>
        </w:tc>
      </w:tr>
      <w:tr w:rsidR="00441C70" w:rsidTr="00441C70">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441C70" w:rsidRDefault="00441C70" w:rsidP="004B2F34">
            <w:pPr>
              <w:pStyle w:val="naiskr"/>
              <w:spacing w:before="0" w:after="0"/>
              <w:jc w:val="center"/>
            </w:pPr>
            <w:r>
              <w:t>4.</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441C70" w:rsidRDefault="00441C70" w:rsidP="004B2F34">
            <w:pPr>
              <w:pStyle w:val="naiskr"/>
              <w:spacing w:before="0" w:after="0"/>
            </w:pPr>
            <w:r>
              <w:t>Cita informācija</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441C70" w:rsidRDefault="00441C70" w:rsidP="004B2F34">
            <w:pPr>
              <w:pStyle w:val="naiskr"/>
              <w:ind w:firstLine="420"/>
              <w:jc w:val="both"/>
            </w:pPr>
            <w:r>
              <w:rPr>
                <w:lang w:eastAsia="en-US"/>
              </w:rPr>
              <w:t>Nav</w:t>
            </w:r>
          </w:p>
        </w:tc>
      </w:tr>
    </w:tbl>
    <w:p w:rsidR="00642B1D" w:rsidRDefault="00642B1D" w:rsidP="00642B1D">
      <w:pPr>
        <w:pStyle w:val="naiskr"/>
        <w:tabs>
          <w:tab w:val="left" w:pos="2628"/>
        </w:tabs>
        <w:spacing w:before="0" w:after="120"/>
      </w:pPr>
    </w:p>
    <w:tbl>
      <w:tblPr>
        <w:tblW w:w="9641" w:type="dxa"/>
        <w:jc w:val="center"/>
        <w:tblCellMar>
          <w:left w:w="10" w:type="dxa"/>
          <w:right w:w="10" w:type="dxa"/>
        </w:tblCellMar>
        <w:tblLook w:val="0000"/>
      </w:tblPr>
      <w:tblGrid>
        <w:gridCol w:w="3039"/>
        <w:gridCol w:w="1273"/>
        <w:gridCol w:w="1311"/>
        <w:gridCol w:w="1339"/>
        <w:gridCol w:w="1339"/>
        <w:gridCol w:w="1340"/>
      </w:tblGrid>
      <w:tr w:rsidR="00642B1D" w:rsidTr="00D365DF">
        <w:trPr>
          <w:trHeight w:val="556"/>
          <w:jc w:val="center"/>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nod"/>
              <w:spacing w:before="0" w:after="0"/>
            </w:pPr>
            <w:r>
              <w:t>III. Tiesību ak</w:t>
            </w:r>
            <w:bookmarkStart w:id="0" w:name="_GoBack"/>
            <w:bookmarkEnd w:id="0"/>
            <w:r>
              <w:t>ta projekta ietekme uz valsts budžetu un pašvaldību budžetiem</w:t>
            </w:r>
          </w:p>
        </w:tc>
      </w:tr>
      <w:tr w:rsidR="00642B1D" w:rsidTr="00D365DF">
        <w:trPr>
          <w:jc w:val="center"/>
        </w:trPr>
        <w:tc>
          <w:tcPr>
            <w:tcW w:w="30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rPr>
                <w:b/>
              </w:rPr>
            </w:pPr>
            <w:r>
              <w:rPr>
                <w:b/>
              </w:rPr>
              <w:t>Rādītāji</w:t>
            </w:r>
          </w:p>
        </w:tc>
        <w:tc>
          <w:tcPr>
            <w:tcW w:w="25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rPr>
                <w:b/>
              </w:rPr>
            </w:pPr>
            <w:r>
              <w:rPr>
                <w:b/>
              </w:rPr>
              <w:t>2013. gads</w:t>
            </w:r>
          </w:p>
        </w:tc>
        <w:tc>
          <w:tcPr>
            <w:tcW w:w="40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pPr>
            <w:r>
              <w:t>Turpmākie trīs gadi (tūkst. latu)</w:t>
            </w:r>
          </w:p>
        </w:tc>
      </w:tr>
      <w:tr w:rsidR="00642B1D" w:rsidTr="00D365DF">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rPr>
                <w:b/>
                <w:i/>
              </w:rPr>
            </w:pPr>
          </w:p>
        </w:tc>
        <w:tc>
          <w:tcPr>
            <w:tcW w:w="25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rPr>
                <w:b/>
                <w: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pPr>
            <w:r>
              <w:rPr>
                <w:b/>
                <w:bCs/>
              </w:rPr>
              <w:t>2014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pPr>
            <w:r>
              <w:rPr>
                <w:b/>
                <w:bCs/>
              </w:rPr>
              <w:t>2015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pPr>
            <w:r>
              <w:rPr>
                <w:b/>
                <w:bCs/>
              </w:rPr>
              <w:t>2016</w:t>
            </w:r>
          </w:p>
        </w:tc>
      </w:tr>
      <w:tr w:rsidR="00642B1D" w:rsidTr="00D365DF">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rPr>
                <w:b/>
                <w: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pPr>
            <w:r>
              <w:t>Saskaņā ar valsts budžetu kārtējam gadam</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pPr>
            <w:r>
              <w:t>Izmaiņas kārtējā gadā, salīdzinot ar budžetu kārtējam gadam</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pPr>
            <w:r>
              <w:t>Izmaiņas, salīdzinot ar kārtējo (n) gadu</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pPr>
            <w:r>
              <w:t>Izmaiņas, salīdzinot ar kārtējo (n) gadu</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pPr>
            <w:r>
              <w:t>Izmaiņas, salīdzinot ar kārtējo (n) gadu</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rPr>
                <w:bCs/>
              </w:rPr>
            </w:pPr>
            <w:r>
              <w:rPr>
                <w:bCs/>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rPr>
                <w:bCs/>
              </w:rPr>
            </w:pPr>
            <w:r>
              <w:rPr>
                <w:bCs/>
              </w:rPr>
              <w:t>2</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rPr>
                <w:bCs/>
              </w:rPr>
            </w:pPr>
            <w:r>
              <w:rPr>
                <w:bCs/>
              </w:rPr>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rPr>
                <w:bCs/>
              </w:rPr>
            </w:pPr>
            <w:r>
              <w:rPr>
                <w:bCs/>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rPr>
                <w:bCs/>
              </w:rPr>
            </w:pPr>
            <w:r>
              <w:rPr>
                <w:bCs/>
              </w:rPr>
              <w:t>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center"/>
              <w:rPr>
                <w:bCs/>
              </w:rPr>
            </w:pPr>
            <w:r>
              <w:rPr>
                <w:bCs/>
              </w:rPr>
              <w:t>6</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1. Budžeta ieņēmumi: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Nav precīzi aprēķināms</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1.1. valsts pamatbudžets, tai skaitā ieņēmumi no maksas pakalpojumiem un citi pašu ieņēmumi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1.2. valsts speciālais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1.3. pašvaldību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Nav precīzi aprēķināms</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t>2. Budžeta izdevumi: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r>
      <w:tr w:rsidR="00642B1D" w:rsidTr="00D365DF">
        <w:trPr>
          <w:trHeight w:val="645"/>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t>2.1. valsts pamatbudžets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t>2.2. valsts speciālais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t xml:space="preserve">2.3. pašvaldību budžets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t>3. Finansiālā ietekme: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f"/>
              <w:spacing w:before="0" w:after="0"/>
              <w:ind w:firstLine="0"/>
              <w:jc w:val="left"/>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Nav precīzi aprēķināms</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t>3.1. valsts pamatbudžets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t>3.2. speciālais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t xml:space="preserve">3.3. pašvaldību budžets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Nav precīzi aprēķināms</w:t>
            </w:r>
          </w:p>
        </w:tc>
      </w:tr>
      <w:tr w:rsidR="00642B1D" w:rsidTr="00D365DF">
        <w:trPr>
          <w:jc w:val="center"/>
        </w:trPr>
        <w:tc>
          <w:tcPr>
            <w:tcW w:w="30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t>4. Finanšu līdzekļi papildu izde</w:t>
            </w:r>
            <w:r>
              <w:softHyphen/>
              <w:t>vumu finansēšanai (kompensējošu izdevumu samazinājumu norāda ar "+" zīmi)</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jc w:val="center"/>
            </w:pPr>
            <w:r>
              <w:rPr>
                <w:color w:val="414142"/>
              </w:rPr>
              <w:t>X</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r>
      <w:tr w:rsidR="00642B1D" w:rsidTr="00D365DF">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r>
      <w:tr w:rsidR="00642B1D" w:rsidTr="00D365DF">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t>5. Precizēta finansiālā ietekme:</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jc w:val="center"/>
            </w:pPr>
            <w:r>
              <w:rPr>
                <w:color w:val="414142"/>
              </w:rPr>
              <w:t>X</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t>5.1. valsts pamatbudžets</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t>5.2. speciālais budžets</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t xml:space="preserve">5.3. pašvaldību budžets </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p w:rsidR="00642B1D" w:rsidRDefault="00642B1D" w:rsidP="00D365DF">
            <w:pPr>
              <w:pStyle w:val="naisf"/>
              <w:spacing w:before="0" w:after="0"/>
              <w:ind w:firstLine="0"/>
              <w:rPr>
                <w:b/>
                <w: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0"/>
            </w:pPr>
            <w:r>
              <w:t>0</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t>6. Detalizēts ieņēmumu un izdevu</w:t>
            </w:r>
            <w:r>
              <w:softHyphen/>
              <w:t>mu aprēķins (ja nepieciešams, detalizētu ieņēmumu un izdevumu aprēķinu var pievienot anotācijas pielikumā):</w:t>
            </w:r>
          </w:p>
        </w:tc>
        <w:tc>
          <w:tcPr>
            <w:tcW w:w="66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356"/>
            </w:pPr>
            <w:r>
              <w:t>Projekts šo jomu neskar</w:t>
            </w: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t>6.1. detalizēts ieņēmumu aprēķins</w:t>
            </w:r>
          </w:p>
        </w:tc>
        <w:tc>
          <w:tcPr>
            <w:tcW w:w="660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399"/>
              <w:rPr>
                <w:b/>
                <w:i/>
              </w:rPr>
            </w:pPr>
          </w:p>
        </w:tc>
      </w:tr>
      <w:tr w:rsidR="00642B1D" w:rsidTr="00D365DF">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t>6.2. detalizēts izdevumu aprēķins</w:t>
            </w:r>
          </w:p>
        </w:tc>
        <w:tc>
          <w:tcPr>
            <w:tcW w:w="660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pStyle w:val="naisf"/>
              <w:spacing w:before="0" w:after="0"/>
              <w:ind w:firstLine="356"/>
            </w:pPr>
          </w:p>
        </w:tc>
      </w:tr>
      <w:tr w:rsidR="00642B1D" w:rsidTr="00D365DF">
        <w:trPr>
          <w:trHeight w:val="490"/>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1D" w:rsidRDefault="00642B1D" w:rsidP="00D365DF">
            <w:pPr>
              <w:jc w:val="both"/>
            </w:pPr>
            <w:r>
              <w:lastRenderedPageBreak/>
              <w:t>7. Cita informācija</w:t>
            </w:r>
          </w:p>
        </w:tc>
        <w:tc>
          <w:tcPr>
            <w:tcW w:w="66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B1D" w:rsidRDefault="00642B1D" w:rsidP="00D365DF">
            <w:pPr>
              <w:pStyle w:val="naiskr"/>
              <w:spacing w:before="0" w:after="0"/>
              <w:ind w:left="-68" w:firstLine="425"/>
              <w:jc w:val="both"/>
            </w:pPr>
            <w:r>
              <w:t>Nav</w:t>
            </w:r>
          </w:p>
        </w:tc>
      </w:tr>
    </w:tbl>
    <w:p w:rsidR="00642B1D" w:rsidRDefault="00642B1D" w:rsidP="00642B1D">
      <w:pPr>
        <w:pStyle w:val="naiskr"/>
        <w:tabs>
          <w:tab w:val="left" w:pos="2628"/>
        </w:tabs>
        <w:spacing w:before="0" w:after="120"/>
      </w:pPr>
    </w:p>
    <w:p w:rsidR="00642B1D" w:rsidRDefault="00642B1D" w:rsidP="00642B1D">
      <w:pPr>
        <w:pStyle w:val="naiskr"/>
        <w:tabs>
          <w:tab w:val="left" w:pos="2628"/>
        </w:tabs>
        <w:spacing w:before="0" w:after="120"/>
      </w:pPr>
    </w:p>
    <w:tbl>
      <w:tblPr>
        <w:tblW w:w="9640" w:type="dxa"/>
        <w:tblInd w:w="-289" w:type="dxa"/>
        <w:tblCellMar>
          <w:left w:w="10" w:type="dxa"/>
          <w:right w:w="10" w:type="dxa"/>
        </w:tblCellMar>
        <w:tblLook w:val="0000"/>
      </w:tblPr>
      <w:tblGrid>
        <w:gridCol w:w="568"/>
        <w:gridCol w:w="2410"/>
        <w:gridCol w:w="6662"/>
      </w:tblGrid>
      <w:tr w:rsidR="00642B1D" w:rsidTr="00D365DF">
        <w:trPr>
          <w:trHeight w:val="616"/>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ind w:firstLine="420"/>
              <w:jc w:val="center"/>
              <w:rPr>
                <w:b/>
              </w:rPr>
            </w:pPr>
          </w:p>
          <w:p w:rsidR="00642B1D" w:rsidRDefault="00642B1D" w:rsidP="00D365DF">
            <w:pPr>
              <w:pStyle w:val="naiskr"/>
              <w:spacing w:before="0" w:after="0"/>
              <w:ind w:firstLine="420"/>
              <w:jc w:val="center"/>
              <w:rPr>
                <w:b/>
              </w:rPr>
            </w:pPr>
            <w:r>
              <w:rPr>
                <w:b/>
              </w:rPr>
              <w:t>IV. Tiesību akta projekta ietekme uz spēkā esošo tiesību normu sistēmu</w:t>
            </w:r>
          </w:p>
        </w:tc>
      </w:tr>
      <w:tr w:rsidR="00642B1D" w:rsidTr="00D365DF">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jc w:val="center"/>
              <w:rPr>
                <w:color w:val="000000"/>
              </w:rPr>
            </w:pPr>
            <w:r>
              <w:rPr>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rPr>
                <w:color w:val="000000"/>
              </w:rPr>
            </w:pPr>
            <w:r>
              <w:rPr>
                <w:color w:val="000000"/>
              </w:rPr>
              <w:t>Nepieciešamie saistītie tiesību aktu projekti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1D" w:rsidRDefault="00642B1D" w:rsidP="00B56DFE">
            <w:pPr>
              <w:pStyle w:val="naiskr"/>
              <w:spacing w:before="0" w:after="0"/>
              <w:ind w:firstLine="420"/>
              <w:jc w:val="both"/>
            </w:pPr>
            <w:r>
              <w:t xml:space="preserve">Lai nodrošinātu normatīvo aktu vienotu izprati, vienlaikus jāveic grozījumi arī </w:t>
            </w:r>
            <w:r w:rsidR="00B56DFE">
              <w:t>Priekšvēlēšanu aģitācijas likumā</w:t>
            </w:r>
            <w:r>
              <w:t xml:space="preserve"> un likumā „Par tautas nobalsošanu, likumu ierosināšanu un Eiropas pilsoņu iniciatīvu”.</w:t>
            </w:r>
          </w:p>
        </w:tc>
      </w:tr>
      <w:tr w:rsidR="00642B1D" w:rsidTr="00D365DF">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jc w:val="center"/>
              <w:rPr>
                <w:color w:val="000000"/>
              </w:rPr>
            </w:pPr>
            <w:r>
              <w:rPr>
                <w:color w:val="00000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rPr>
                <w:color w:val="000000"/>
              </w:rPr>
            </w:pPr>
            <w:r>
              <w:rPr>
                <w:color w:val="000000"/>
              </w:rPr>
              <w:t>Atbildīgā institūcija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1D" w:rsidRDefault="00642B1D" w:rsidP="00D365DF">
            <w:pPr>
              <w:pStyle w:val="naiskr"/>
              <w:spacing w:before="0" w:after="0"/>
              <w:ind w:firstLine="420"/>
              <w:jc w:val="both"/>
            </w:pPr>
            <w:r>
              <w:t xml:space="preserve">Vides aizsardzības un reģionālās attīstības ministrija. </w:t>
            </w:r>
          </w:p>
        </w:tc>
      </w:tr>
      <w:tr w:rsidR="00642B1D" w:rsidTr="00D365DF">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jc w:val="center"/>
              <w:rPr>
                <w:color w:val="000000"/>
              </w:rPr>
            </w:pPr>
            <w:r>
              <w:rPr>
                <w:color w:val="00000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rPr>
                <w:color w:val="000000"/>
              </w:rPr>
            </w:pPr>
            <w:r>
              <w:rPr>
                <w:color w:val="000000"/>
              </w:rPr>
              <w:t>Cita informācija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1D" w:rsidRDefault="00642B1D" w:rsidP="00D365DF">
            <w:pPr>
              <w:pStyle w:val="naiskr"/>
              <w:spacing w:before="0" w:after="0"/>
              <w:ind w:firstLine="420"/>
              <w:jc w:val="both"/>
            </w:pPr>
            <w:r>
              <w:t>Nav</w:t>
            </w:r>
          </w:p>
        </w:tc>
      </w:tr>
    </w:tbl>
    <w:p w:rsidR="00642B1D" w:rsidRDefault="00642B1D" w:rsidP="00642B1D">
      <w:pPr>
        <w:pStyle w:val="naiskr"/>
        <w:tabs>
          <w:tab w:val="left" w:pos="2628"/>
        </w:tabs>
        <w:spacing w:before="0" w:after="120"/>
      </w:pPr>
    </w:p>
    <w:p w:rsidR="00642B1D" w:rsidRDefault="00642B1D" w:rsidP="00642B1D">
      <w:pPr>
        <w:pStyle w:val="naiskr"/>
        <w:tabs>
          <w:tab w:val="left" w:pos="2628"/>
        </w:tabs>
        <w:spacing w:before="0" w:after="120"/>
      </w:pPr>
    </w:p>
    <w:tbl>
      <w:tblPr>
        <w:tblW w:w="9640" w:type="dxa"/>
        <w:tblInd w:w="-289" w:type="dxa"/>
        <w:tblCellMar>
          <w:left w:w="10" w:type="dxa"/>
          <w:right w:w="10" w:type="dxa"/>
        </w:tblCellMar>
        <w:tblLook w:val="0000"/>
      </w:tblPr>
      <w:tblGrid>
        <w:gridCol w:w="9640"/>
      </w:tblGrid>
      <w:tr w:rsidR="00642B1D" w:rsidTr="00D365DF">
        <w:trPr>
          <w:trHeight w:val="616"/>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ind w:firstLine="420"/>
              <w:jc w:val="center"/>
              <w:rPr>
                <w:b/>
              </w:rPr>
            </w:pPr>
          </w:p>
          <w:p w:rsidR="00642B1D" w:rsidRDefault="00642B1D" w:rsidP="00D365DF">
            <w:pPr>
              <w:pStyle w:val="naiskr"/>
              <w:spacing w:before="0" w:after="0"/>
              <w:ind w:firstLine="420"/>
              <w:jc w:val="center"/>
              <w:rPr>
                <w:b/>
              </w:rPr>
            </w:pPr>
            <w:r>
              <w:rPr>
                <w:b/>
              </w:rPr>
              <w:t>V. Tiesību akta projekta atbilstība Latvijas Republikas starptautiskajām saistībām</w:t>
            </w:r>
          </w:p>
        </w:tc>
      </w:tr>
      <w:tr w:rsidR="00642B1D" w:rsidTr="00D365DF">
        <w:trPr>
          <w:trHeight w:val="616"/>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ind w:firstLine="420"/>
              <w:jc w:val="center"/>
              <w:rPr>
                <w:i/>
              </w:rPr>
            </w:pPr>
          </w:p>
          <w:p w:rsidR="00642B1D" w:rsidRDefault="00642B1D" w:rsidP="00D365DF">
            <w:pPr>
              <w:pStyle w:val="naiskr"/>
              <w:spacing w:before="0" w:after="0"/>
              <w:ind w:firstLine="420"/>
              <w:jc w:val="center"/>
            </w:pPr>
            <w:r>
              <w:rPr>
                <w:i/>
              </w:rPr>
              <w:t>Projekts šo jomu neskar</w:t>
            </w:r>
          </w:p>
        </w:tc>
      </w:tr>
    </w:tbl>
    <w:p w:rsidR="00642B1D" w:rsidRDefault="00642B1D" w:rsidP="00642B1D">
      <w:pPr>
        <w:pStyle w:val="naisf"/>
        <w:ind w:firstLine="0"/>
      </w:pPr>
    </w:p>
    <w:p w:rsidR="00642B1D" w:rsidRDefault="00642B1D" w:rsidP="00642B1D">
      <w:pPr>
        <w:pStyle w:val="naisf"/>
        <w:ind w:firstLine="0"/>
      </w:pPr>
    </w:p>
    <w:tbl>
      <w:tblPr>
        <w:tblW w:w="9640" w:type="dxa"/>
        <w:tblInd w:w="-289" w:type="dxa"/>
        <w:tblCellMar>
          <w:left w:w="10" w:type="dxa"/>
          <w:right w:w="10" w:type="dxa"/>
        </w:tblCellMar>
        <w:tblLook w:val="0000"/>
      </w:tblPr>
      <w:tblGrid>
        <w:gridCol w:w="9640"/>
      </w:tblGrid>
      <w:tr w:rsidR="00642B1D" w:rsidTr="00D365DF">
        <w:trPr>
          <w:trHeight w:val="616"/>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ind w:firstLine="420"/>
              <w:jc w:val="center"/>
              <w:rPr>
                <w:b/>
                <w:bCs/>
              </w:rPr>
            </w:pPr>
          </w:p>
          <w:p w:rsidR="00642B1D" w:rsidRDefault="00642B1D" w:rsidP="00D365DF">
            <w:pPr>
              <w:pStyle w:val="naiskr"/>
              <w:spacing w:before="0" w:after="0"/>
              <w:ind w:firstLine="420"/>
              <w:jc w:val="center"/>
            </w:pPr>
            <w:r>
              <w:rPr>
                <w:b/>
                <w:bCs/>
              </w:rPr>
              <w:t>VI. Sabiedrības līdzdalība un komunikācijas aktivitātes</w:t>
            </w:r>
          </w:p>
        </w:tc>
      </w:tr>
      <w:tr w:rsidR="00642B1D" w:rsidTr="00D365DF">
        <w:trPr>
          <w:trHeight w:val="616"/>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42B1D" w:rsidRDefault="00642B1D" w:rsidP="00D365DF">
            <w:pPr>
              <w:pStyle w:val="naiskr"/>
              <w:spacing w:before="0" w:after="0"/>
              <w:ind w:firstLine="420"/>
              <w:jc w:val="center"/>
              <w:rPr>
                <w:i/>
              </w:rPr>
            </w:pPr>
          </w:p>
          <w:p w:rsidR="00642B1D" w:rsidRDefault="00642B1D" w:rsidP="00D365DF">
            <w:pPr>
              <w:pStyle w:val="naiskr"/>
              <w:spacing w:before="0" w:after="0"/>
              <w:ind w:firstLine="420"/>
              <w:jc w:val="center"/>
            </w:pPr>
            <w:r>
              <w:rPr>
                <w:i/>
              </w:rPr>
              <w:t>Projekts šo jomu neskar</w:t>
            </w:r>
          </w:p>
        </w:tc>
      </w:tr>
    </w:tbl>
    <w:p w:rsidR="00642B1D" w:rsidRDefault="00642B1D" w:rsidP="00642B1D">
      <w:pPr>
        <w:pStyle w:val="naisf"/>
      </w:pPr>
    </w:p>
    <w:p w:rsidR="00642B1D" w:rsidRDefault="00642B1D" w:rsidP="00642B1D">
      <w:pPr>
        <w:pStyle w:val="naisf"/>
      </w:pPr>
    </w:p>
    <w:tbl>
      <w:tblPr>
        <w:tblW w:w="9762" w:type="dxa"/>
        <w:jc w:val="center"/>
        <w:tblCellMar>
          <w:left w:w="10" w:type="dxa"/>
          <w:right w:w="10" w:type="dxa"/>
        </w:tblCellMar>
        <w:tblLook w:val="0000"/>
      </w:tblPr>
      <w:tblGrid>
        <w:gridCol w:w="498"/>
        <w:gridCol w:w="3289"/>
        <w:gridCol w:w="5975"/>
      </w:tblGrid>
      <w:tr w:rsidR="00642B1D" w:rsidTr="00D365DF">
        <w:trPr>
          <w:trHeight w:val="556"/>
          <w:jc w:val="center"/>
        </w:trPr>
        <w:tc>
          <w:tcPr>
            <w:tcW w:w="976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642B1D" w:rsidRDefault="00642B1D" w:rsidP="00D365DF">
            <w:pPr>
              <w:pStyle w:val="naisnod"/>
              <w:spacing w:before="0" w:after="0"/>
              <w:ind w:left="57" w:right="57"/>
            </w:pPr>
            <w:r>
              <w:t>VII. Tiesību akta projekta izpildes nodrošināšana un tās ietekme uz institūcijām</w:t>
            </w:r>
          </w:p>
        </w:tc>
      </w:tr>
      <w:tr w:rsidR="00642B1D" w:rsidTr="00D365DF">
        <w:trPr>
          <w:trHeight w:val="4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42B1D" w:rsidRDefault="00642B1D" w:rsidP="00D365DF">
            <w:pPr>
              <w:pStyle w:val="naisnod"/>
              <w:spacing w:before="0" w:after="0"/>
              <w:ind w:left="57" w:right="57"/>
              <w:jc w:val="left"/>
              <w:rPr>
                <w:b w:val="0"/>
              </w:rPr>
            </w:pPr>
            <w:r>
              <w:rPr>
                <w:b w:val="0"/>
              </w:rPr>
              <w:t>1.</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42B1D" w:rsidRDefault="00642B1D" w:rsidP="00D365DF">
            <w:pPr>
              <w:pStyle w:val="naisf"/>
              <w:spacing w:before="0" w:after="0"/>
              <w:ind w:left="57" w:right="57" w:firstLine="0"/>
              <w:jc w:val="left"/>
            </w:pPr>
            <w:r>
              <w:t xml:space="preserve">Projekta izpildē iesaistītās institūcijas </w:t>
            </w: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42B1D" w:rsidRDefault="00642B1D" w:rsidP="00D365DF">
            <w:pPr>
              <w:pStyle w:val="naisnod"/>
              <w:spacing w:before="0" w:after="0"/>
              <w:ind w:left="57" w:right="57" w:firstLine="340"/>
              <w:jc w:val="both"/>
            </w:pPr>
            <w:r>
              <w:rPr>
                <w:b w:val="0"/>
                <w:iCs/>
              </w:rPr>
              <w:t>Likumprojekts ir saistošs katras pašvaldības domei, kas pieņem saistošos noteikumus par priekšvēlēšanu aģitācijas materiālu izmēru, veidu, gaismas un skaņas efektu ierobežojumiem atbilstoši videi, ēku un būvju arhitektūrai</w:t>
            </w:r>
            <w:r>
              <w:rPr>
                <w:b w:val="0"/>
              </w:rPr>
              <w:t>.</w:t>
            </w:r>
          </w:p>
        </w:tc>
      </w:tr>
      <w:tr w:rsidR="00642B1D" w:rsidTr="00D365DF">
        <w:trPr>
          <w:trHeight w:val="463"/>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42B1D" w:rsidRDefault="00642B1D" w:rsidP="00D365DF">
            <w:pPr>
              <w:pStyle w:val="naisnod"/>
              <w:spacing w:before="0" w:after="0"/>
              <w:ind w:left="57" w:right="57"/>
              <w:jc w:val="left"/>
              <w:rPr>
                <w:b w:val="0"/>
              </w:rPr>
            </w:pPr>
            <w:r>
              <w:rPr>
                <w:b w:val="0"/>
              </w:rPr>
              <w:t>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42B1D" w:rsidRDefault="00642B1D" w:rsidP="00D365DF">
            <w:pPr>
              <w:suppressAutoHyphens w:val="0"/>
              <w:ind w:left="36"/>
              <w:textAlignment w:val="auto"/>
            </w:pPr>
            <w:r>
              <w:t>Projekta izpildes ietekme uz pārvaldes funkcijām un institucionālo struktūru</w:t>
            </w:r>
          </w:p>
          <w:p w:rsidR="00642B1D" w:rsidRDefault="00642B1D" w:rsidP="00D365DF">
            <w:pPr>
              <w:suppressAutoHyphens w:val="0"/>
              <w:ind w:left="36"/>
              <w:textAlignment w:val="auto"/>
            </w:pPr>
          </w:p>
          <w:p w:rsidR="00642B1D" w:rsidRDefault="00642B1D" w:rsidP="00D365DF">
            <w:pPr>
              <w:pStyle w:val="naisf"/>
              <w:spacing w:before="0" w:after="0"/>
              <w:ind w:left="36" w:right="57" w:firstLine="0"/>
              <w:jc w:val="left"/>
            </w:pPr>
            <w:r>
              <w:t>Jaunu institūciju izveide, esošu institūciju likvidācija vai reorganizācija, to ietekme uz institūcijas cilvēkresursiem</w:t>
            </w: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42B1D" w:rsidRDefault="00642B1D" w:rsidP="00D365DF">
            <w:pPr>
              <w:pStyle w:val="naisnod"/>
              <w:spacing w:before="0" w:after="0"/>
              <w:ind w:left="57" w:right="57" w:firstLine="340"/>
              <w:jc w:val="both"/>
            </w:pPr>
            <w:r>
              <w:rPr>
                <w:b w:val="0"/>
                <w:iCs/>
              </w:rPr>
              <w:t>Projekts šo jomu neskar</w:t>
            </w:r>
          </w:p>
        </w:tc>
      </w:tr>
      <w:tr w:rsidR="00642B1D" w:rsidTr="00D365DF">
        <w:trPr>
          <w:trHeight w:val="47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42B1D" w:rsidRDefault="00642B1D" w:rsidP="00D365DF">
            <w:pPr>
              <w:pStyle w:val="naiskr"/>
              <w:spacing w:before="0" w:after="0"/>
              <w:ind w:left="57" w:right="57"/>
            </w:pPr>
            <w:r>
              <w:t>6.</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42B1D" w:rsidRDefault="00642B1D" w:rsidP="00D365DF">
            <w:pPr>
              <w:pStyle w:val="naiskr"/>
              <w:spacing w:before="0" w:after="0"/>
              <w:ind w:left="57" w:right="57"/>
            </w:pPr>
            <w:r>
              <w:t>Cita informācija</w:t>
            </w: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42B1D" w:rsidRDefault="00642B1D" w:rsidP="00D365DF">
            <w:pPr>
              <w:pStyle w:val="naiskr"/>
              <w:spacing w:before="0" w:after="0"/>
              <w:ind w:left="57" w:right="57" w:firstLine="397"/>
            </w:pPr>
            <w:r>
              <w:t>Nav</w:t>
            </w:r>
          </w:p>
        </w:tc>
      </w:tr>
    </w:tbl>
    <w:p w:rsidR="00642B1D" w:rsidRDefault="00642B1D" w:rsidP="00642B1D"/>
    <w:p w:rsidR="00642B1D" w:rsidRDefault="004D317C" w:rsidP="00642B1D">
      <w:r>
        <w:lastRenderedPageBreak/>
        <w:t>v</w:t>
      </w:r>
      <w:r w:rsidR="00642B1D">
        <w:t>ides aizsardzības un reģionālās attīstības ministrs</w:t>
      </w:r>
      <w:r w:rsidR="00642B1D">
        <w:tab/>
      </w:r>
      <w:r w:rsidR="00642B1D">
        <w:tab/>
        <w:t xml:space="preserve">                                        R.Naudiņš</w:t>
      </w:r>
    </w:p>
    <w:p w:rsidR="00642B1D" w:rsidRDefault="00642B1D" w:rsidP="00642B1D">
      <w:pPr>
        <w:tabs>
          <w:tab w:val="right" w:pos="9214"/>
        </w:tabs>
      </w:pPr>
    </w:p>
    <w:p w:rsidR="00642B1D" w:rsidRDefault="00642B1D" w:rsidP="00642B1D">
      <w:pPr>
        <w:tabs>
          <w:tab w:val="right" w:pos="9214"/>
        </w:tabs>
      </w:pPr>
    </w:p>
    <w:p w:rsidR="00642B1D" w:rsidRDefault="004D317C" w:rsidP="00642B1D">
      <w:pPr>
        <w:tabs>
          <w:tab w:val="right" w:pos="9214"/>
        </w:tabs>
      </w:pPr>
      <w:r>
        <w:t>Vīza: v</w:t>
      </w:r>
      <w:r w:rsidR="00642B1D">
        <w:t xml:space="preserve">ides aizsardzības un reģionālās attīstības </w:t>
      </w:r>
    </w:p>
    <w:p w:rsidR="00642B1D" w:rsidRPr="00B77D1D" w:rsidRDefault="00642B1D" w:rsidP="00642B1D">
      <w:r>
        <w:t xml:space="preserve">          ministrijas valsts sekretārs</w:t>
      </w:r>
      <w:r>
        <w:tab/>
      </w:r>
      <w:r>
        <w:tab/>
      </w:r>
      <w:r>
        <w:tab/>
      </w:r>
      <w:r>
        <w:tab/>
      </w:r>
      <w:r>
        <w:tab/>
      </w:r>
      <w:r>
        <w:tab/>
        <w:t xml:space="preserve">                  G.Puķītis</w:t>
      </w:r>
    </w:p>
    <w:p w:rsidR="00B77D1D" w:rsidRDefault="00B77D1D" w:rsidP="00642B1D">
      <w:pPr>
        <w:rPr>
          <w:sz w:val="20"/>
          <w:szCs w:val="20"/>
        </w:rPr>
      </w:pPr>
    </w:p>
    <w:p w:rsidR="00441C70" w:rsidRDefault="00441C70" w:rsidP="00642B1D">
      <w:pPr>
        <w:rPr>
          <w:sz w:val="20"/>
          <w:szCs w:val="20"/>
        </w:rPr>
      </w:pPr>
    </w:p>
    <w:p w:rsidR="00441C70" w:rsidRDefault="00441C70" w:rsidP="00642B1D">
      <w:pPr>
        <w:rPr>
          <w:sz w:val="20"/>
          <w:szCs w:val="20"/>
        </w:rPr>
      </w:pPr>
    </w:p>
    <w:p w:rsidR="00441C70" w:rsidRDefault="00441C70" w:rsidP="00642B1D">
      <w:pPr>
        <w:rPr>
          <w:sz w:val="20"/>
          <w:szCs w:val="20"/>
        </w:rPr>
      </w:pPr>
    </w:p>
    <w:p w:rsidR="00642B1D" w:rsidRDefault="00642B1D" w:rsidP="00642B1D">
      <w:pPr>
        <w:rPr>
          <w:sz w:val="20"/>
          <w:szCs w:val="20"/>
        </w:rPr>
      </w:pPr>
      <w:r>
        <w:rPr>
          <w:sz w:val="20"/>
          <w:szCs w:val="20"/>
        </w:rPr>
        <w:t>21.07.2014. 14:33</w:t>
      </w:r>
    </w:p>
    <w:p w:rsidR="00642B1D" w:rsidRDefault="00441C70" w:rsidP="00642B1D">
      <w:pPr>
        <w:rPr>
          <w:sz w:val="20"/>
          <w:szCs w:val="20"/>
        </w:rPr>
      </w:pPr>
      <w:r>
        <w:rPr>
          <w:sz w:val="20"/>
          <w:szCs w:val="20"/>
        </w:rPr>
        <w:t>1 453</w:t>
      </w:r>
    </w:p>
    <w:p w:rsidR="00642B1D" w:rsidRDefault="00642B1D" w:rsidP="00642B1D">
      <w:pPr>
        <w:rPr>
          <w:sz w:val="20"/>
          <w:szCs w:val="20"/>
        </w:rPr>
      </w:pPr>
      <w:proofErr w:type="spellStart"/>
      <w:r>
        <w:rPr>
          <w:sz w:val="20"/>
          <w:szCs w:val="20"/>
        </w:rPr>
        <w:t>I.Logina</w:t>
      </w:r>
      <w:proofErr w:type="spellEnd"/>
      <w:r>
        <w:rPr>
          <w:sz w:val="20"/>
          <w:szCs w:val="20"/>
        </w:rPr>
        <w:t xml:space="preserve">, </w:t>
      </w:r>
      <w:r w:rsidR="00CF006E">
        <w:rPr>
          <w:sz w:val="20"/>
          <w:szCs w:val="20"/>
        </w:rPr>
        <w:t>6</w:t>
      </w:r>
      <w:bookmarkStart w:id="1" w:name="p76"/>
      <w:bookmarkEnd w:id="1"/>
      <w:r w:rsidR="00CF006E">
        <w:rPr>
          <w:bCs/>
          <w:sz w:val="20"/>
          <w:szCs w:val="20"/>
        </w:rPr>
        <w:t>6016582</w:t>
      </w:r>
    </w:p>
    <w:p w:rsidR="00642B1D" w:rsidRDefault="000A0520" w:rsidP="00642B1D">
      <w:hyperlink r:id="rId10" w:history="1">
        <w:r w:rsidR="00642B1D">
          <w:rPr>
            <w:rStyle w:val="Hyperlink"/>
            <w:sz w:val="20"/>
            <w:szCs w:val="20"/>
          </w:rPr>
          <w:t>ilze.logina@varam.gov.lv</w:t>
        </w:r>
      </w:hyperlink>
    </w:p>
    <w:p w:rsidR="00642B1D" w:rsidRDefault="00642B1D" w:rsidP="00642B1D">
      <w:pPr>
        <w:rPr>
          <w:sz w:val="20"/>
          <w:szCs w:val="20"/>
        </w:rPr>
      </w:pPr>
    </w:p>
    <w:p w:rsidR="0095458C" w:rsidRDefault="00582805"/>
    <w:sectPr w:rsidR="0095458C" w:rsidSect="000A0520">
      <w:headerReference w:type="even" r:id="rId11"/>
      <w:headerReference w:type="default" r:id="rId12"/>
      <w:footerReference w:type="even" r:id="rId13"/>
      <w:footerReference w:type="default" r:id="rId14"/>
      <w:headerReference w:type="first" r:id="rId15"/>
      <w:footerReference w:type="first" r:id="rId16"/>
      <w:pgSz w:w="11906" w:h="16838"/>
      <w:pgMar w:top="1134" w:right="991" w:bottom="1134" w:left="1701" w:header="709" w:footer="5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805" w:rsidRDefault="00582805" w:rsidP="00642B1D">
      <w:r>
        <w:separator/>
      </w:r>
    </w:p>
  </w:endnote>
  <w:endnote w:type="continuationSeparator" w:id="0">
    <w:p w:rsidR="00582805" w:rsidRDefault="00582805" w:rsidP="00642B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1D" w:rsidRDefault="00642B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F0" w:rsidRDefault="00775E93">
    <w:pPr>
      <w:pStyle w:val="Footer"/>
      <w:jc w:val="both"/>
    </w:pPr>
    <w:r>
      <w:rPr>
        <w:sz w:val="20"/>
        <w:szCs w:val="20"/>
      </w:rPr>
      <w:t>VARAManot_21072014_reklama; Likumprojekta ”Grozījumi Reklāmas likumā</w:t>
    </w:r>
    <w:r>
      <w:rPr>
        <w:bCs/>
        <w:sz w:val="20"/>
        <w:szCs w:val="20"/>
      </w:rPr>
      <w:t>”</w:t>
    </w:r>
    <w:r>
      <w:rPr>
        <w:sz w:val="20"/>
        <w:szCs w:val="20"/>
      </w:rPr>
      <w:t xml:space="preserve"> </w:t>
    </w:r>
    <w:r>
      <w:rPr>
        <w:bCs/>
        <w:sz w:val="20"/>
        <w:szCs w:val="20"/>
      </w:rPr>
      <w:t>sākotnējās ietekmes novērtējuma ziņojums</w:t>
    </w:r>
    <w:r>
      <w:rPr>
        <w:sz w:val="20"/>
        <w:szCs w:val="20"/>
      </w:rPr>
      <w:t xml:space="preserve"> (anotācija)</w:t>
    </w:r>
  </w:p>
  <w:p w:rsidR="005877F0" w:rsidRDefault="00582805">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F0" w:rsidRDefault="00775E93">
    <w:pPr>
      <w:pStyle w:val="Footer"/>
      <w:jc w:val="both"/>
    </w:pPr>
    <w:r>
      <w:rPr>
        <w:sz w:val="20"/>
        <w:szCs w:val="20"/>
      </w:rPr>
      <w:t xml:space="preserve">VARAManot_21072014_reklama; Likumprojekta ”Grozījumi Reklāmas likumā” </w:t>
    </w:r>
    <w:r>
      <w:rPr>
        <w:bCs/>
        <w:sz w:val="20"/>
        <w:szCs w:val="20"/>
      </w:rPr>
      <w:t>sākotnējās ietekmes novērtējuma ziņojums</w:t>
    </w:r>
    <w:r>
      <w:rPr>
        <w:sz w:val="20"/>
        <w:szCs w:val="20"/>
      </w:rPr>
      <w:t xml:space="preserve"> (anotācija)</w:t>
    </w:r>
  </w:p>
  <w:p w:rsidR="005877F0" w:rsidRDefault="00582805">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805" w:rsidRDefault="00582805" w:rsidP="00642B1D">
      <w:r>
        <w:separator/>
      </w:r>
    </w:p>
  </w:footnote>
  <w:footnote w:type="continuationSeparator" w:id="0">
    <w:p w:rsidR="00582805" w:rsidRDefault="00582805" w:rsidP="00642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1D" w:rsidRDefault="00642B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F0" w:rsidRDefault="000A0520">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5pt;width:0;height:0;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5877F0" w:rsidRDefault="000A0520">
                <w:pPr>
                  <w:pStyle w:val="Header"/>
                </w:pPr>
                <w:r>
                  <w:rPr>
                    <w:rStyle w:val="PageNumber"/>
                  </w:rPr>
                  <w:fldChar w:fldCharType="begin"/>
                </w:r>
                <w:r w:rsidR="00775E93">
                  <w:rPr>
                    <w:rStyle w:val="PageNumber"/>
                  </w:rPr>
                  <w:instrText xml:space="preserve"> PAGE </w:instrText>
                </w:r>
                <w:r>
                  <w:rPr>
                    <w:rStyle w:val="PageNumber"/>
                  </w:rPr>
                  <w:fldChar w:fldCharType="separate"/>
                </w:r>
                <w:r w:rsidR="00C95D4F">
                  <w:rPr>
                    <w:rStyle w:val="PageNumber"/>
                    <w:noProof/>
                  </w:rPr>
                  <w:t>3</w:t>
                </w:r>
                <w:r>
                  <w:rPr>
                    <w:rStyle w:val="PageNumber"/>
                  </w:rPr>
                  <w:fldChar w:fldCharType="end"/>
                </w:r>
              </w:p>
            </w:txbxContent>
          </v:textbox>
          <w10:wrap type="square" anchorx="margin"/>
        </v:shape>
      </w:pict>
    </w:r>
  </w:p>
  <w:p w:rsidR="005877F0" w:rsidRDefault="0058280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1D" w:rsidRDefault="00642B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B28F5"/>
    <w:multiLevelType w:val="multilevel"/>
    <w:tmpl w:val="EA7295C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42B1D"/>
    <w:rsid w:val="000A0520"/>
    <w:rsid w:val="002B6E4D"/>
    <w:rsid w:val="00441C70"/>
    <w:rsid w:val="00466D5D"/>
    <w:rsid w:val="004D317C"/>
    <w:rsid w:val="00582805"/>
    <w:rsid w:val="00607D52"/>
    <w:rsid w:val="00642B1D"/>
    <w:rsid w:val="00724B35"/>
    <w:rsid w:val="00775E93"/>
    <w:rsid w:val="0096602C"/>
    <w:rsid w:val="00B02806"/>
    <w:rsid w:val="00B56DFE"/>
    <w:rsid w:val="00B77D1D"/>
    <w:rsid w:val="00C16B69"/>
    <w:rsid w:val="00C95D4F"/>
    <w:rsid w:val="00CF006E"/>
    <w:rsid w:val="00E27BFB"/>
    <w:rsid w:val="00F81FE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B1D"/>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2B1D"/>
    <w:pPr>
      <w:tabs>
        <w:tab w:val="center" w:pos="4153"/>
        <w:tab w:val="right" w:pos="8306"/>
      </w:tabs>
    </w:pPr>
  </w:style>
  <w:style w:type="character" w:customStyle="1" w:styleId="HeaderChar">
    <w:name w:val="Header Char"/>
    <w:basedOn w:val="DefaultParagraphFont"/>
    <w:link w:val="Header"/>
    <w:rsid w:val="00642B1D"/>
    <w:rPr>
      <w:rFonts w:ascii="Times New Roman" w:eastAsia="Times New Roman" w:hAnsi="Times New Roman" w:cs="Times New Roman"/>
      <w:sz w:val="24"/>
      <w:szCs w:val="24"/>
      <w:lang w:eastAsia="lv-LV"/>
    </w:rPr>
  </w:style>
  <w:style w:type="character" w:styleId="PageNumber">
    <w:name w:val="page number"/>
    <w:basedOn w:val="DefaultParagraphFont"/>
    <w:rsid w:val="00642B1D"/>
  </w:style>
  <w:style w:type="paragraph" w:customStyle="1" w:styleId="naisf">
    <w:name w:val="naisf"/>
    <w:basedOn w:val="Normal"/>
    <w:rsid w:val="00642B1D"/>
    <w:pPr>
      <w:spacing w:before="75" w:after="75"/>
      <w:ind w:firstLine="375"/>
      <w:jc w:val="both"/>
    </w:pPr>
  </w:style>
  <w:style w:type="paragraph" w:customStyle="1" w:styleId="naisnod">
    <w:name w:val="naisnod"/>
    <w:basedOn w:val="Normal"/>
    <w:rsid w:val="00642B1D"/>
    <w:pPr>
      <w:spacing w:before="150" w:after="150"/>
      <w:jc w:val="center"/>
    </w:pPr>
    <w:rPr>
      <w:b/>
      <w:bCs/>
    </w:rPr>
  </w:style>
  <w:style w:type="paragraph" w:customStyle="1" w:styleId="naiskr">
    <w:name w:val="naiskr"/>
    <w:basedOn w:val="Normal"/>
    <w:rsid w:val="00642B1D"/>
    <w:pPr>
      <w:spacing w:before="75" w:after="75"/>
    </w:pPr>
  </w:style>
  <w:style w:type="paragraph" w:styleId="Footer">
    <w:name w:val="footer"/>
    <w:basedOn w:val="Normal"/>
    <w:link w:val="FooterChar"/>
    <w:rsid w:val="00642B1D"/>
    <w:pPr>
      <w:tabs>
        <w:tab w:val="center" w:pos="4153"/>
        <w:tab w:val="right" w:pos="8306"/>
      </w:tabs>
    </w:pPr>
  </w:style>
  <w:style w:type="character" w:customStyle="1" w:styleId="FooterChar">
    <w:name w:val="Footer Char"/>
    <w:basedOn w:val="DefaultParagraphFont"/>
    <w:link w:val="Footer"/>
    <w:rsid w:val="00642B1D"/>
    <w:rPr>
      <w:rFonts w:ascii="Times New Roman" w:eastAsia="Times New Roman" w:hAnsi="Times New Roman" w:cs="Times New Roman"/>
      <w:sz w:val="24"/>
      <w:szCs w:val="24"/>
      <w:lang w:eastAsia="lv-LV"/>
    </w:rPr>
  </w:style>
  <w:style w:type="character" w:styleId="Hyperlink">
    <w:name w:val="Hyperlink"/>
    <w:rsid w:val="00642B1D"/>
    <w:rPr>
      <w:color w:val="0000FF"/>
      <w:u w:val="single"/>
    </w:rPr>
  </w:style>
  <w:style w:type="paragraph" w:styleId="BalloonText">
    <w:name w:val="Balloon Text"/>
    <w:basedOn w:val="Normal"/>
    <w:link w:val="BalloonTextChar"/>
    <w:uiPriority w:val="99"/>
    <w:semiHidden/>
    <w:unhideWhenUsed/>
    <w:rsid w:val="004D3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17C"/>
    <w:rPr>
      <w:rFonts w:ascii="Segoe UI" w:eastAsia="Times New Roman" w:hAnsi="Segoe UI" w:cs="Segoe UI"/>
      <w:sz w:val="18"/>
      <w:szCs w:val="18"/>
      <w:lang w:eastAsia="lv-LV"/>
    </w:rPr>
  </w:style>
</w:styles>
</file>

<file path=word/webSettings.xml><?xml version="1.0" encoding="utf-8"?>
<w:webSettings xmlns:r="http://schemas.openxmlformats.org/officeDocument/2006/relationships" xmlns:w="http://schemas.openxmlformats.org/wordprocessingml/2006/main">
  <w:divs>
    <w:div w:id="12906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246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5354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lze.logina@varam.gov.lv" TargetMode="External"/><Relationship Id="rId4" Type="http://schemas.openxmlformats.org/officeDocument/2006/relationships/webSettings" Target="webSettings.xml"/><Relationship Id="rId9" Type="http://schemas.openxmlformats.org/officeDocument/2006/relationships/hyperlink" Target="http://likumi.lv/doc.php?id=25354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7353</Words>
  <Characters>4192</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Likumprojekta ”Grozījumi Reklāmas likumā” sākotnējās ietekmes novērtējuma ziņojums (anotācija)</vt:lpstr>
    </vt:vector>
  </TitlesOfParts>
  <Company>VARAM</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Reklāmas likumā” sākotnējās ietekmes novērtējuma ziņojums (anotācija)</dc:title>
  <dc:creator>Ilze Logina</dc:creator>
  <dc:description>I.Logina, 66016582
ilze.logina@varam.gov.lv</dc:description>
  <cp:lastModifiedBy>Administrators</cp:lastModifiedBy>
  <cp:revision>12</cp:revision>
  <cp:lastPrinted>2014-08-04T09:03:00Z</cp:lastPrinted>
  <dcterms:created xsi:type="dcterms:W3CDTF">2014-07-30T14:23:00Z</dcterms:created>
  <dcterms:modified xsi:type="dcterms:W3CDTF">2014-08-12T06:48:00Z</dcterms:modified>
</cp:coreProperties>
</file>