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F2" w:rsidRPr="003A3B5D" w:rsidRDefault="00DF0AF2" w:rsidP="00DF0AF2">
      <w:pPr>
        <w:spacing w:after="0" w:line="240" w:lineRule="auto"/>
        <w:ind w:firstLine="300"/>
        <w:jc w:val="center"/>
        <w:rPr>
          <w:rFonts w:ascii="Times New Roman" w:eastAsia="Times New Roman" w:hAnsi="Times New Roman" w:cs="Times New Roman"/>
          <w:b/>
          <w:bCs/>
          <w:sz w:val="28"/>
          <w:szCs w:val="28"/>
          <w:lang w:eastAsia="lv-LV"/>
        </w:rPr>
      </w:pPr>
      <w:r w:rsidRPr="003A3B5D">
        <w:rPr>
          <w:rFonts w:ascii="Times New Roman" w:eastAsia="Times New Roman" w:hAnsi="Times New Roman" w:cs="Times New Roman"/>
          <w:b/>
          <w:bCs/>
          <w:sz w:val="28"/>
          <w:szCs w:val="28"/>
          <w:lang w:eastAsia="lv-LV"/>
        </w:rPr>
        <w:t>Ministru kabineta noteikumu projekta „Grozījumi Ministru kabineta 2005.gada 28.jūnija noteikumos Nr.480 „Noteikumi par kārtību, kādā pašvaldības var uzlikt pašvaldību nodevas”” sākotnējās ietekmes novērtējuma ziņojums (anotācija)</w:t>
      </w:r>
    </w:p>
    <w:p w:rsidR="00DF0AF2" w:rsidRPr="003A3B5D" w:rsidRDefault="00DF0AF2" w:rsidP="00DF0AF2">
      <w:pPr>
        <w:spacing w:after="0" w:line="240" w:lineRule="auto"/>
        <w:ind w:firstLine="300"/>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5843"/>
      </w:tblGrid>
      <w:tr w:rsidR="00C16756" w:rsidRPr="003A3B5D" w:rsidTr="00AB532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F0AF2" w:rsidRPr="003A3B5D" w:rsidRDefault="00DF0AF2" w:rsidP="00AB532E">
            <w:pPr>
              <w:spacing w:after="0" w:line="240" w:lineRule="auto"/>
              <w:ind w:firstLine="300"/>
              <w:jc w:val="center"/>
              <w:rPr>
                <w:rFonts w:ascii="Times New Roman" w:eastAsia="Times New Roman" w:hAnsi="Times New Roman" w:cs="Times New Roman"/>
                <w:b/>
                <w:bCs/>
                <w:sz w:val="26"/>
                <w:szCs w:val="26"/>
                <w:lang w:eastAsia="lv-LV"/>
              </w:rPr>
            </w:pPr>
            <w:r w:rsidRPr="003A3B5D">
              <w:rPr>
                <w:rFonts w:ascii="Times New Roman" w:eastAsia="Times New Roman" w:hAnsi="Times New Roman" w:cs="Times New Roman"/>
                <w:b/>
                <w:bCs/>
                <w:sz w:val="26"/>
                <w:szCs w:val="26"/>
                <w:lang w:eastAsia="lv-LV"/>
              </w:rPr>
              <w:t>I. Tiesību akta projekta izstrādes nepieciešamība</w:t>
            </w:r>
          </w:p>
        </w:tc>
      </w:tr>
      <w:tr w:rsidR="00C16756" w:rsidRPr="003A3B5D" w:rsidTr="00AB532E">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 xml:space="preserve">Likuma </w:t>
            </w:r>
            <w:r w:rsidRPr="003A3B5D">
              <w:rPr>
                <w:rFonts w:ascii="Times New Roman" w:eastAsia="Times New Roman" w:hAnsi="Times New Roman" w:cs="Times New Roman"/>
                <w:iCs/>
                <w:sz w:val="26"/>
                <w:szCs w:val="26"/>
                <w:lang w:eastAsia="lv-LV"/>
              </w:rPr>
              <w:t xml:space="preserve">„Par nodokļiem un nodevām” 12.panta pirmā daļa un </w:t>
            </w:r>
            <w:r w:rsidRPr="003A3B5D">
              <w:rPr>
                <w:rFonts w:ascii="Times New Roman" w:eastAsia="Times New Roman" w:hAnsi="Times New Roman" w:cs="Times New Roman"/>
                <w:sz w:val="26"/>
                <w:szCs w:val="26"/>
                <w:lang w:eastAsia="lv-LV"/>
              </w:rPr>
              <w:t>Saeimā 2013.gada 9.jūlijā pieņemtais Būvniecības likums</w:t>
            </w:r>
          </w:p>
        </w:tc>
      </w:tr>
      <w:tr w:rsidR="00C16756" w:rsidRPr="003A3B5D" w:rsidTr="00AB532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bCs/>
                <w:sz w:val="26"/>
                <w:szCs w:val="26"/>
                <w:lang w:eastAsia="lv-LV"/>
              </w:rPr>
              <w:t>Šobrīd Ministru kabineta 2005.gada 28.jūnija noteikumu Nr.480 „Noteikumi par kārtību, kādā pašvaldības var uzlikt pašvaldību nodevas”</w:t>
            </w:r>
            <w:r w:rsidRPr="003A3B5D">
              <w:rPr>
                <w:rFonts w:ascii="Times New Roman" w:eastAsia="Times New Roman" w:hAnsi="Times New Roman" w:cs="Times New Roman"/>
                <w:sz w:val="26"/>
                <w:szCs w:val="26"/>
                <w:lang w:eastAsia="lv-LV"/>
              </w:rPr>
              <w:t xml:space="preserve">  15.punkts nosaka, kā tiek aprēķināta pašvaldības nodeva par būvatļaujas saņemšanu atbilstoši šī brīža būvniecības procesa regulējumam, kas izriet no Ministru kabineta 1997.gada 1.aprīļa noteikumos Nr.112 „Vispārīgie būvnoteikumi” noteiktajam procesam:</w:t>
            </w:r>
          </w:p>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1) iesnieguma-uzskaites kartes iesniegšana;</w:t>
            </w:r>
          </w:p>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2) plānošanas un arhitektūras uzdevuma saņemšana;</w:t>
            </w:r>
          </w:p>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3) tehnisko un īpašo noteikumu saņemšana no valsts un pašvaldību institūcijām, kā arī pieslēgšanās tehnisko noteikumu saņemšana no inženierkomunikāciju īpašniekiem;</w:t>
            </w:r>
          </w:p>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4) būvprojekta izstrāde;</w:t>
            </w:r>
          </w:p>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5) būvprojekta saskaņojums;</w:t>
            </w:r>
          </w:p>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 xml:space="preserve">6) būvprojekta akcepts; </w:t>
            </w:r>
          </w:p>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 xml:space="preserve">7) būvatļaujas saņemšana; </w:t>
            </w:r>
          </w:p>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 xml:space="preserve">8) būvdarbi; </w:t>
            </w:r>
          </w:p>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 xml:space="preserve">9) būvuzraudzība un autoruzraudzība; </w:t>
            </w:r>
          </w:p>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10) būves pieņemšana ekspluatācijā.</w:t>
            </w:r>
          </w:p>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 xml:space="preserve">Esošais process paredz būvvaldei pieņemt 3 lēmumus (plānošanas un arhitektūras izdevuma izsniegšana, būvprojekta akcepts, būvatļaujas izdošana), līdz pasūtītājam ir tiesības uzsākt būvdarbus. </w:t>
            </w:r>
          </w:p>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p>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Ar 2014.gada 1.maiju stāsies spēkā jauns būvniecības process, kas izriet no 2013.gada 9.jūlijā Saeimā pieņemtā jaunā Būvniecības likuma:</w:t>
            </w:r>
          </w:p>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 xml:space="preserve">- būvatļauja tiek izsniegta pamatojoties uz būvniecības ieceres iesniegumu un būvprojektu minimālā sastāvā, kas ir izstrādāts atbilstoši teritorijas izmantošanas un apbūves noteikumos noteiktajām prasībām, tādējādi būvvaldei nebūs jāizdod </w:t>
            </w:r>
            <w:r w:rsidRPr="003A3B5D">
              <w:rPr>
                <w:rFonts w:ascii="Times New Roman" w:eastAsia="Times New Roman" w:hAnsi="Times New Roman" w:cs="Times New Roman"/>
                <w:i/>
                <w:sz w:val="26"/>
                <w:szCs w:val="26"/>
                <w:lang w:eastAsia="lv-LV"/>
              </w:rPr>
              <w:t>plānošanas un arhitektūras uzdevums</w:t>
            </w:r>
            <w:r w:rsidRPr="003A3B5D">
              <w:rPr>
                <w:rFonts w:ascii="Times New Roman" w:eastAsia="Times New Roman" w:hAnsi="Times New Roman" w:cs="Times New Roman"/>
                <w:sz w:val="26"/>
                <w:szCs w:val="26"/>
                <w:lang w:eastAsia="lv-LV"/>
              </w:rPr>
              <w:t xml:space="preserve">, kas pēc būtības </w:t>
            </w:r>
            <w:r w:rsidRPr="003A3B5D">
              <w:rPr>
                <w:rFonts w:ascii="Times New Roman" w:eastAsia="Times New Roman" w:hAnsi="Times New Roman" w:cs="Times New Roman"/>
                <w:sz w:val="26"/>
                <w:szCs w:val="26"/>
                <w:lang w:eastAsia="lv-LV"/>
              </w:rPr>
              <w:lastRenderedPageBreak/>
              <w:t xml:space="preserve">dublē apbūves noteikumus; </w:t>
            </w:r>
          </w:p>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 xml:space="preserve">- atkarībā no plānotās būves sarežģītības pakāpes un ietekmes uz vidi, būvatļauja tiks izdota ar nosacījumiem. Nosacījumi ietvers prasības būvprojektēšanai un nepieciešamos saskaņojumus, kā arī prasības būvdarbu uzsākšanai; </w:t>
            </w:r>
          </w:p>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 būvdarbus drīkstēs uzsākt pēc tam, kad būvvalde būs izdarījusi atzīmi būvatļaujā par tajā ietverto nosacījumu izpildi un būvatļauja būs kļuvusi neapstrīdama.</w:t>
            </w:r>
          </w:p>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p>
          <w:p w:rsidR="000D0A71" w:rsidRPr="003A3B5D" w:rsidRDefault="000D0A71" w:rsidP="008C7C0A">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hAnsi="Times New Roman" w:cs="Times New Roman"/>
                <w:sz w:val="26"/>
                <w:szCs w:val="26"/>
              </w:rPr>
              <w:t>Saskaņā ar likuma „Par nodokļiem un nodevām”  12.panta (</w:t>
            </w:r>
            <w:r w:rsidRPr="003A3B5D">
              <w:rPr>
                <w:rFonts w:ascii="Times New Roman" w:hAnsi="Times New Roman" w:cs="Times New Roman"/>
                <w:bCs/>
                <w:sz w:val="26"/>
                <w:szCs w:val="26"/>
              </w:rPr>
              <w:t xml:space="preserve">Pašvaldību nodevu objekti) </w:t>
            </w:r>
            <w:r w:rsidRPr="003A3B5D">
              <w:rPr>
                <w:rFonts w:ascii="Times New Roman" w:hAnsi="Times New Roman" w:cs="Times New Roman"/>
                <w:sz w:val="26"/>
                <w:szCs w:val="26"/>
              </w:rPr>
              <w:t>pirmās daļas 10.punktu  v</w:t>
            </w:r>
            <w:r w:rsidRPr="003A3B5D">
              <w:rPr>
                <w:rFonts w:ascii="Times New Roman" w:eastAsia="Times New Roman" w:hAnsi="Times New Roman" w:cs="Times New Roman"/>
                <w:sz w:val="26"/>
                <w:szCs w:val="26"/>
                <w:lang w:eastAsia="lv-LV"/>
              </w:rPr>
              <w:t xml:space="preserve">ietējās pašvaldības domei ir tiesības Ministru kabineta noteikumos noteiktajā kārtībā savā administratīvajā teritorijā uzlikt pašvaldības nodevas par būvatļaujas saņemšanu. </w:t>
            </w:r>
          </w:p>
          <w:p w:rsidR="008C7C0A" w:rsidRPr="003A3B5D" w:rsidRDefault="008C7C0A" w:rsidP="008C7C0A">
            <w:pPr>
              <w:spacing w:after="0" w:line="240" w:lineRule="auto"/>
              <w:ind w:left="57" w:right="57" w:firstLine="284"/>
              <w:jc w:val="both"/>
              <w:rPr>
                <w:rFonts w:ascii="Times New Roman" w:hAnsi="Times New Roman"/>
                <w:sz w:val="26"/>
                <w:szCs w:val="26"/>
              </w:rPr>
            </w:pPr>
            <w:r w:rsidRPr="003A3B5D">
              <w:rPr>
                <w:rFonts w:ascii="Times New Roman" w:hAnsi="Times New Roman"/>
                <w:sz w:val="26"/>
                <w:szCs w:val="26"/>
              </w:rPr>
              <w:t xml:space="preserve">Pašvaldības nodeva ir pašvaldības domes noteikts obligāts maksājums pašvaldības pamatbudžetā vai speciālajā budžetā. Pašvaldības nodevas apmērs nav tiešā veidā saistīts ar pašvaldības vai tās iestādes veiktās darbības izmaksu segšanu. Nodeva uzskatāma par politikas veidošanas un regulēšanas instrumentu, tā tiek noteikta ar mērķi atsevišķu politikas mērķu sasniegšanai, regulējot (kontrolējot, veicinot, ierobežojot) personas darbību. </w:t>
            </w:r>
          </w:p>
          <w:p w:rsidR="00DF0AF2" w:rsidRPr="003A3B5D" w:rsidRDefault="00DF0AF2" w:rsidP="008C7C0A">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Noteikumu projekts nosaka pašvaldības nodevas par būvatļaujas izsniegšanu (turpmāk – Nodeva) maksāšanas kārtību atbilstoši jaunajam būvniecības regulējumam.</w:t>
            </w:r>
          </w:p>
          <w:p w:rsidR="000D0A71" w:rsidRPr="003A3B5D" w:rsidRDefault="00DF0AF2" w:rsidP="006F3F24">
            <w:pPr>
              <w:pStyle w:val="tv2131"/>
              <w:spacing w:before="0" w:line="240" w:lineRule="auto"/>
              <w:ind w:left="57" w:right="57" w:firstLine="284"/>
              <w:rPr>
                <w:rFonts w:ascii="Times New Roman" w:hAnsi="Times New Roman"/>
                <w:sz w:val="26"/>
                <w:szCs w:val="26"/>
              </w:rPr>
            </w:pPr>
            <w:r w:rsidRPr="003A3B5D">
              <w:rPr>
                <w:rFonts w:ascii="Times New Roman" w:hAnsi="Times New Roman"/>
                <w:sz w:val="26"/>
                <w:szCs w:val="26"/>
              </w:rPr>
              <w:t>Atbilstoši Būvniecības likuma 14.pantam, izskatot būvniecības ieceres iesniegumu, būvvalde lemj par būvatļaujas izdošanu</w:t>
            </w:r>
            <w:r w:rsidR="000D0A71" w:rsidRPr="003A3B5D">
              <w:rPr>
                <w:rFonts w:ascii="Times New Roman" w:hAnsi="Times New Roman"/>
                <w:sz w:val="26"/>
                <w:szCs w:val="26"/>
              </w:rPr>
              <w:t xml:space="preserve">. </w:t>
            </w:r>
          </w:p>
          <w:p w:rsidR="00DF0AF2" w:rsidRPr="003A3B5D" w:rsidRDefault="00DF0AF2" w:rsidP="006F3F24">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 xml:space="preserve">Noteikumu projekts  paredz, ka  </w:t>
            </w:r>
            <w:r w:rsidRPr="003A3B5D">
              <w:rPr>
                <w:rFonts w:ascii="Times New Roman" w:hAnsi="Times New Roman" w:cs="Times New Roman"/>
                <w:sz w:val="26"/>
                <w:szCs w:val="26"/>
              </w:rPr>
              <w:t xml:space="preserve">Nodeva 50% apmērā maksājama </w:t>
            </w:r>
            <w:r w:rsidR="009C183B" w:rsidRPr="003A3B5D">
              <w:rPr>
                <w:rFonts w:ascii="Times New Roman" w:hAnsi="Times New Roman" w:cs="Times New Roman"/>
                <w:sz w:val="26"/>
                <w:szCs w:val="26"/>
              </w:rPr>
              <w:t>pēc būvatļaujas saņemšanas būvvaldes noteiktajā termiņā</w:t>
            </w:r>
            <w:r w:rsidRPr="003A3B5D">
              <w:rPr>
                <w:rFonts w:ascii="Times New Roman" w:hAnsi="Times New Roman" w:cs="Times New Roman"/>
                <w:sz w:val="26"/>
                <w:szCs w:val="26"/>
              </w:rPr>
              <w:t>, savukārt atlikušos 50% no Nodevas samaksā pirms dokumentu iesniegšanas būvvaldē par būvatļaujā ietverto projektēšanas nosacījumu izpildi. Ja būvatļaujas nosacījumi netiek izpildīti</w:t>
            </w:r>
            <w:r w:rsidR="009C183B" w:rsidRPr="003A3B5D">
              <w:rPr>
                <w:rFonts w:ascii="Times New Roman" w:hAnsi="Times New Roman" w:cs="Times New Roman"/>
                <w:sz w:val="26"/>
                <w:szCs w:val="26"/>
              </w:rPr>
              <w:t xml:space="preserve"> vai būvatļauja netiek realizēta</w:t>
            </w:r>
            <w:r w:rsidRPr="003A3B5D">
              <w:rPr>
                <w:rFonts w:ascii="Times New Roman" w:hAnsi="Times New Roman" w:cs="Times New Roman"/>
                <w:sz w:val="26"/>
                <w:szCs w:val="26"/>
              </w:rPr>
              <w:t>, iekasētā pašvaldības nodeva netiek atmaksāta.</w:t>
            </w:r>
          </w:p>
          <w:p w:rsidR="009C183B" w:rsidRPr="003A3B5D" w:rsidRDefault="009C183B" w:rsidP="006F3F24">
            <w:pPr>
              <w:spacing w:after="0" w:line="240" w:lineRule="auto"/>
              <w:ind w:left="57" w:right="57" w:firstLine="284"/>
              <w:jc w:val="both"/>
              <w:rPr>
                <w:rFonts w:ascii="Times New Roman" w:hAnsi="Times New Roman" w:cs="Times New Roman"/>
                <w:sz w:val="26"/>
                <w:szCs w:val="26"/>
              </w:rPr>
            </w:pPr>
            <w:r w:rsidRPr="003A3B5D">
              <w:rPr>
                <w:rFonts w:ascii="Times New Roman" w:hAnsi="Times New Roman" w:cs="Times New Roman"/>
                <w:sz w:val="26"/>
                <w:szCs w:val="26"/>
              </w:rPr>
              <w:t xml:space="preserve">Tādējādi nodevu 50% apmērā būvniecības ierosinātājs maksā pēc būvatļaujas saņemšanas. Būvvaldei, izskatot būvniecības iesniegumu, ja tiks pieņemts lēmums par būvatļaujas izsniegšanu, vienlaicīgi ar būvatļauju ir pienākums sagatavot maksāšanas paziņojumu par nodevu, norādot 100% </w:t>
            </w:r>
            <w:r w:rsidRPr="003A3B5D">
              <w:rPr>
                <w:rFonts w:ascii="Times New Roman" w:hAnsi="Times New Roman" w:cs="Times New Roman"/>
                <w:sz w:val="26"/>
                <w:szCs w:val="26"/>
              </w:rPr>
              <w:lastRenderedPageBreak/>
              <w:t>nodevas apmēru, un maksāšanas posmus daļām – pirmos 50% maksās būvvaldes noteiktajā termiņā pēc būvatļaujas saņemšanas (ja termiņā nesamaksās, būvvalde veiks nodevas piespiedu piedziņas procedūru), otros 50% jāapmaksā pirms dokumentu iesniegšanas būvvaldē par būvatļaujā ietverto projektēšanas nosacījumu izpildi.</w:t>
            </w:r>
          </w:p>
          <w:p w:rsidR="009C183B" w:rsidRPr="003A3B5D" w:rsidRDefault="00755E84" w:rsidP="006F3F24">
            <w:pPr>
              <w:spacing w:after="0" w:line="240" w:lineRule="auto"/>
              <w:ind w:left="57" w:right="57" w:firstLine="284"/>
              <w:jc w:val="both"/>
              <w:rPr>
                <w:rFonts w:ascii="Times New Roman" w:hAnsi="Times New Roman" w:cs="Times New Roman"/>
                <w:sz w:val="26"/>
                <w:szCs w:val="26"/>
              </w:rPr>
            </w:pPr>
            <w:r w:rsidRPr="003A3B5D">
              <w:rPr>
                <w:rFonts w:ascii="Times New Roman" w:hAnsi="Times New Roman" w:cs="Times New Roman"/>
                <w:sz w:val="26"/>
                <w:szCs w:val="26"/>
              </w:rPr>
              <w:t>Iemaksātā nodevas daļa netiek atmaksāta gadījumos, ja būvatļauja netiek realizēta (bet ir izpildīti būvatļaujas nosacījumi), kā arī netiek atmaksāta nodevas otrā daļa 50% apmērā gadījumos, ja no būvvaldes saņemts atteikums veikt atzīmi būvatļaujā par projektēšanas nosacījumu izpildi. Ja būvniecības ierosinātājs (pasūtītājs) apzināti iesniegs būvprojektu bez samaksātas nodevas otrā maksājuma, un ja būs trūkumi (atteikums veikt atzīmi būvatļaujā), arī šajos gadījumos būvvaldei ir tiesības piespiedu kārtā ar piedziņas procedūru veikt šo nodevu iekasēšanu.</w:t>
            </w:r>
          </w:p>
          <w:p w:rsidR="00DF0AF2" w:rsidRPr="003A3B5D" w:rsidRDefault="00DF0AF2" w:rsidP="00755E84">
            <w:pPr>
              <w:pStyle w:val="tv2131"/>
              <w:spacing w:before="0" w:line="240" w:lineRule="auto"/>
              <w:ind w:left="57" w:right="57" w:firstLine="284"/>
              <w:rPr>
                <w:rFonts w:ascii="Times New Roman" w:hAnsi="Times New Roman"/>
                <w:sz w:val="26"/>
                <w:szCs w:val="26"/>
              </w:rPr>
            </w:pPr>
            <w:r w:rsidRPr="003A3B5D">
              <w:rPr>
                <w:rFonts w:ascii="Times New Roman" w:hAnsi="Times New Roman"/>
                <w:sz w:val="26"/>
                <w:szCs w:val="26"/>
              </w:rPr>
              <w:t xml:space="preserve">Jaunais būvniecības process paredz, ka gadījumos, kad būvniecības ieceres iesniedzējs otrās un trešās grupas būvju būvprojektā vēlas mainīt būves lietošanas veidu, kā arī būves fasādes risinājumu, novietojumu vai </w:t>
            </w:r>
            <w:proofErr w:type="spellStart"/>
            <w:r w:rsidRPr="003A3B5D">
              <w:rPr>
                <w:rFonts w:ascii="Times New Roman" w:hAnsi="Times New Roman"/>
                <w:sz w:val="26"/>
                <w:szCs w:val="26"/>
              </w:rPr>
              <w:t>būvapjomu</w:t>
            </w:r>
            <w:proofErr w:type="spellEnd"/>
            <w:r w:rsidRPr="003A3B5D">
              <w:rPr>
                <w:rFonts w:ascii="Times New Roman" w:hAnsi="Times New Roman"/>
                <w:sz w:val="26"/>
                <w:szCs w:val="26"/>
              </w:rPr>
              <w:t>, ja tas neatbilst Būvniecības likuma 16.panta 2.</w:t>
            </w:r>
            <w:r w:rsidRPr="003A3B5D">
              <w:rPr>
                <w:rFonts w:ascii="Times New Roman" w:hAnsi="Times New Roman"/>
                <w:sz w:val="26"/>
                <w:szCs w:val="26"/>
                <w:vertAlign w:val="superscript"/>
              </w:rPr>
              <w:t>2</w:t>
            </w:r>
            <w:r w:rsidRPr="003A3B5D">
              <w:rPr>
                <w:rFonts w:ascii="Times New Roman" w:hAnsi="Times New Roman"/>
                <w:sz w:val="26"/>
                <w:szCs w:val="26"/>
              </w:rPr>
              <w:t>daļā un 17.panta 2.</w:t>
            </w:r>
            <w:r w:rsidRPr="003A3B5D">
              <w:rPr>
                <w:rFonts w:ascii="Times New Roman" w:hAnsi="Times New Roman"/>
                <w:sz w:val="26"/>
                <w:szCs w:val="26"/>
                <w:vertAlign w:val="superscript"/>
              </w:rPr>
              <w:t>1</w:t>
            </w:r>
            <w:r w:rsidRPr="003A3B5D">
              <w:rPr>
                <w:rFonts w:ascii="Times New Roman" w:hAnsi="Times New Roman"/>
                <w:sz w:val="26"/>
                <w:szCs w:val="26"/>
              </w:rPr>
              <w:t xml:space="preserve">daļā noteiktajiem nosacījumiem, būvniecības ieceres dokumenti būvvaldē iesniedzami no jauna un uzsākams jauns būvniecības process. Tātad gadījumos, kad ir izdota būvatļauja, var veikt izmaiņas būvprojektā attiecībā uz būves novietojumu, ja tās pamatotas ar institūciju izdotajiem tehniskajiem vai īpašajiem noteikumiem un neskar trešo personu tiesības; ēkas </w:t>
            </w:r>
            <w:proofErr w:type="spellStart"/>
            <w:r w:rsidRPr="003A3B5D">
              <w:rPr>
                <w:rFonts w:ascii="Times New Roman" w:hAnsi="Times New Roman"/>
                <w:sz w:val="26"/>
                <w:szCs w:val="26"/>
              </w:rPr>
              <w:t>būvapjomu</w:t>
            </w:r>
            <w:proofErr w:type="spellEnd"/>
            <w:r w:rsidRPr="003A3B5D">
              <w:rPr>
                <w:rFonts w:ascii="Times New Roman" w:hAnsi="Times New Roman"/>
                <w:sz w:val="26"/>
                <w:szCs w:val="26"/>
              </w:rPr>
              <w:t>, ja netiek skartas trešo personu tiesības un izmaiņas ir saistītas ar būvizstrādājumu specifikāciju būvprojektā, ēkas konstrukciju, izolācijas un apdares materiāliem vai inženiertehniskiem risinājumiem un nerada smaku, troksni, vibrāciju vai cita veida piesārņojumu; ēkas fasādes risinājumu, ja izmaiņas neskar trešo personu tiesības. Būvniecības likums nosaka tikai atsevišķus gadījumus, kad varēs veikt izmaiņas sākotnējā iecerē, visos pārējos gadījumos būvniecības ieceres dokumenti būvvaldē iesniedzami no jauna un uzsākams jauns būvniecības process, tātad arī pašvaldības nodeva par būvatļaujas saņemšanu maksājama no jauna 50% apmērā.</w:t>
            </w:r>
          </w:p>
          <w:p w:rsidR="00DF0AF2" w:rsidRPr="003A3B5D" w:rsidRDefault="00DF0AF2" w:rsidP="00755E84">
            <w:pPr>
              <w:spacing w:after="0" w:line="240" w:lineRule="auto"/>
              <w:ind w:left="57" w:right="57" w:firstLine="284"/>
              <w:jc w:val="both"/>
              <w:rPr>
                <w:rFonts w:ascii="Times New Roman" w:hAnsi="Times New Roman" w:cs="Times New Roman"/>
                <w:sz w:val="26"/>
                <w:szCs w:val="26"/>
              </w:rPr>
            </w:pPr>
            <w:r w:rsidRPr="003A3B5D">
              <w:rPr>
                <w:rFonts w:ascii="Times New Roman" w:hAnsi="Times New Roman" w:cs="Times New Roman"/>
                <w:sz w:val="26"/>
                <w:szCs w:val="26"/>
              </w:rPr>
              <w:t xml:space="preserve"> Ņemot vērā, ka būvniecības procesi, kas uzsākti </w:t>
            </w:r>
            <w:r w:rsidRPr="003A3B5D">
              <w:rPr>
                <w:rFonts w:ascii="Times New Roman" w:hAnsi="Times New Roman" w:cs="Times New Roman"/>
                <w:sz w:val="26"/>
                <w:szCs w:val="26"/>
              </w:rPr>
              <w:lastRenderedPageBreak/>
              <w:t>pirms šo noteikumu spēkā stāšanās jau paredzēja, ka nodeva par būvatļaujas saņemšanu ir maksājama dalīti - 40 % no nodevas par būvatļaujas saņemšanu maksā pēc pozitīva būvvaldes atzinuma saņemšanas būvprojektēšanai, bet atlikušos 60 % no nodevas maksā, saņemot būvatļauju, kas neatbilst jaunajam būvniecības procesa regulējumam, līdz ar to ir paredzēts pārejas regulējums noslēguma jautājumos -</w:t>
            </w:r>
          </w:p>
          <w:p w:rsidR="00DF0AF2" w:rsidRPr="003A3B5D" w:rsidRDefault="00DF0AF2" w:rsidP="00AB532E">
            <w:pPr>
              <w:pStyle w:val="tv2131"/>
              <w:spacing w:before="0" w:line="240" w:lineRule="auto"/>
              <w:ind w:left="57" w:right="57" w:firstLine="284"/>
              <w:rPr>
                <w:rFonts w:ascii="Times New Roman" w:hAnsi="Times New Roman"/>
                <w:sz w:val="26"/>
                <w:szCs w:val="26"/>
              </w:rPr>
            </w:pPr>
            <w:r w:rsidRPr="003A3B5D">
              <w:rPr>
                <w:rFonts w:ascii="Times New Roman" w:hAnsi="Times New Roman"/>
                <w:sz w:val="26"/>
                <w:szCs w:val="26"/>
              </w:rPr>
              <w:t xml:space="preserve">pirms 2014.gada 1.oktobra uzsāktiem būvniecības procesiem nodevas par būvatļaujas saņemšanu atlikusī daļa (60% no nodevas) no iepriekš noteiktās nodevas ir maksājama gadījumos, kad būvvaldei ir pienākums izsniegt būvatļauju atbilstoši būvniecības regulējumam, kas ir spēkā no 2014.gada 1.oktobra, ja projektēšana ir likumīgi uzsākta un projekta risinājumi atbilst attiecīgā laikposmā piemēroto normatīvo aktu prasībām, un pasūtītājs jau ir samaksājis 40% no nodevas. </w:t>
            </w:r>
          </w:p>
          <w:p w:rsidR="00DF0AF2" w:rsidRPr="003A3B5D" w:rsidRDefault="00DF0AF2" w:rsidP="00AB532E">
            <w:pPr>
              <w:pStyle w:val="tv2131"/>
              <w:spacing w:before="0" w:line="240" w:lineRule="auto"/>
              <w:ind w:left="57" w:right="57" w:firstLine="284"/>
              <w:rPr>
                <w:rFonts w:ascii="Times New Roman" w:hAnsi="Times New Roman"/>
                <w:sz w:val="26"/>
                <w:szCs w:val="26"/>
              </w:rPr>
            </w:pPr>
            <w:r w:rsidRPr="003A3B5D">
              <w:rPr>
                <w:rFonts w:ascii="Times New Roman" w:hAnsi="Times New Roman"/>
                <w:sz w:val="26"/>
                <w:szCs w:val="26"/>
              </w:rPr>
              <w:t>Pārejas regulējums ir noteikts, izvērtējot Ministru kabineta noteikumu projekta „Vispārīgie būvnoteikumi” (pieņemti MK 19.08.2014. sēdē) noslēguma jautājumus, kādos gadījumos būvvaldēm būs pienākums izsniegt būvatļauju atbilstoši jaunajam regulējumam.</w:t>
            </w:r>
          </w:p>
          <w:p w:rsidR="00DF0AF2" w:rsidRPr="003A3B5D" w:rsidRDefault="00DF0AF2" w:rsidP="00AB532E">
            <w:pPr>
              <w:pStyle w:val="tv2131"/>
              <w:spacing w:before="0" w:line="240" w:lineRule="auto"/>
              <w:ind w:left="57" w:right="57" w:firstLine="284"/>
              <w:rPr>
                <w:rFonts w:ascii="Times New Roman" w:hAnsi="Times New Roman"/>
                <w:sz w:val="26"/>
                <w:szCs w:val="26"/>
              </w:rPr>
            </w:pPr>
          </w:p>
          <w:p w:rsidR="00DF0AF2" w:rsidRPr="003A3B5D" w:rsidRDefault="00DF0AF2" w:rsidP="00AB532E">
            <w:pPr>
              <w:spacing w:after="0" w:line="240" w:lineRule="auto"/>
              <w:ind w:left="57" w:right="57" w:firstLine="284"/>
              <w:jc w:val="both"/>
              <w:rPr>
                <w:rFonts w:ascii="Times New Roman" w:hAnsi="Times New Roman" w:cs="Times New Roman"/>
                <w:sz w:val="26"/>
                <w:szCs w:val="26"/>
              </w:rPr>
            </w:pPr>
            <w:r w:rsidRPr="003A3B5D">
              <w:rPr>
                <w:rFonts w:ascii="Times New Roman" w:hAnsi="Times New Roman" w:cs="Times New Roman"/>
                <w:sz w:val="26"/>
                <w:szCs w:val="26"/>
              </w:rPr>
              <w:t>Likuma “Par nodokļiem un nodevām” 12. panta pirmās daļas 10.punkts nosaka, ka pašvaldība var uzlikt pašvaldības nodevu par būvatļaujas saņemšanu.</w:t>
            </w:r>
          </w:p>
          <w:p w:rsidR="00DF0AF2" w:rsidRPr="003A3B5D" w:rsidRDefault="00DF0AF2" w:rsidP="00AB532E">
            <w:pPr>
              <w:spacing w:after="0" w:line="240" w:lineRule="auto"/>
              <w:ind w:left="57" w:right="57" w:firstLine="284"/>
              <w:jc w:val="both"/>
              <w:rPr>
                <w:rFonts w:ascii="Times New Roman" w:hAnsi="Times New Roman" w:cs="Times New Roman"/>
                <w:sz w:val="26"/>
                <w:szCs w:val="26"/>
              </w:rPr>
            </w:pPr>
            <w:r w:rsidRPr="003A3B5D">
              <w:rPr>
                <w:rFonts w:ascii="Times New Roman" w:hAnsi="Times New Roman" w:cs="Times New Roman"/>
                <w:sz w:val="26"/>
                <w:szCs w:val="26"/>
              </w:rPr>
              <w:t xml:space="preserve">Būvniecības likums paredz būvniecības veidus, kuros netiek izdota būvatļauja, taču tāpat tiek pieņemts lēmums par būvniecības saskaņošanu – paskaidrojuma raksta saskaņošana (atzīme), apliecinājuma kartes saskaņošana (atzīme) un </w:t>
            </w:r>
            <w:proofErr w:type="spellStart"/>
            <w:r w:rsidRPr="003A3B5D">
              <w:rPr>
                <w:rFonts w:ascii="Times New Roman" w:hAnsi="Times New Roman" w:cs="Times New Roman"/>
                <w:sz w:val="26"/>
                <w:szCs w:val="26"/>
              </w:rPr>
              <w:t>tml</w:t>
            </w:r>
            <w:proofErr w:type="spellEnd"/>
            <w:r w:rsidRPr="003A3B5D">
              <w:rPr>
                <w:rFonts w:ascii="Times New Roman" w:hAnsi="Times New Roman" w:cs="Times New Roman"/>
                <w:sz w:val="26"/>
                <w:szCs w:val="26"/>
              </w:rPr>
              <w:t>., taču par šādu būvniecības saskaņošanu, vadoties no esošā un plānotā normatīvā regulējuma, pašvaldība nevar uzlikt nodevu, kas nav pamatoti, jo tieši tāpat kā gadījumos, kad izdodama būvatļauja, pašvaldības institūcijām tieši tāpat rodas izmaksas par procesa nodrošināšanu, tikai mazākā apmērā. Jāpiebilst, ka vienkāršotās procedūras sastāda būtisku daļu no pieņemamajiem lēmumiem par būvniecības iecerēm.</w:t>
            </w:r>
          </w:p>
          <w:p w:rsidR="00DF0AF2" w:rsidRPr="003A3B5D" w:rsidRDefault="00DF0AF2" w:rsidP="00AB532E">
            <w:pPr>
              <w:spacing w:after="0" w:line="240" w:lineRule="auto"/>
              <w:ind w:left="57" w:right="57" w:firstLine="284"/>
              <w:jc w:val="both"/>
              <w:rPr>
                <w:rFonts w:ascii="Times New Roman" w:hAnsi="Times New Roman" w:cs="Times New Roman"/>
                <w:sz w:val="26"/>
                <w:szCs w:val="26"/>
              </w:rPr>
            </w:pPr>
            <w:r w:rsidRPr="003A3B5D">
              <w:rPr>
                <w:rFonts w:ascii="Times New Roman" w:hAnsi="Times New Roman" w:cs="Times New Roman"/>
                <w:sz w:val="26"/>
                <w:szCs w:val="26"/>
              </w:rPr>
              <w:t xml:space="preserve">Lai noteiktu, ka būvniecības procesā pašvaldības nodevas objekts ir jebkura būvniecības iecere, par kuru būvvalde pieņem lēmumu ir sagatavots Ministru kabineta sēdes </w:t>
            </w:r>
            <w:proofErr w:type="spellStart"/>
            <w:r w:rsidRPr="003A3B5D">
              <w:rPr>
                <w:rFonts w:ascii="Times New Roman" w:hAnsi="Times New Roman" w:cs="Times New Roman"/>
                <w:sz w:val="26"/>
                <w:szCs w:val="26"/>
              </w:rPr>
              <w:t>protokollēmuma</w:t>
            </w:r>
            <w:proofErr w:type="spellEnd"/>
            <w:r w:rsidRPr="003A3B5D">
              <w:rPr>
                <w:rFonts w:ascii="Times New Roman" w:hAnsi="Times New Roman" w:cs="Times New Roman"/>
                <w:sz w:val="26"/>
                <w:szCs w:val="26"/>
              </w:rPr>
              <w:t xml:space="preserve"> projekts, kas paredz uzdot Ekonomikas ministrijai sešu mēnešu laikā sagatavot un iesniegt normatīvajos aktos noteiktajā </w:t>
            </w:r>
            <w:r w:rsidRPr="003A3B5D">
              <w:rPr>
                <w:rFonts w:ascii="Times New Roman" w:hAnsi="Times New Roman" w:cs="Times New Roman"/>
                <w:sz w:val="26"/>
                <w:szCs w:val="26"/>
              </w:rPr>
              <w:lastRenderedPageBreak/>
              <w:t>kārtībā izskatīšanai Ministru kabineta sēdē grozījumus likumā „Par nodokļiem un nodevām”.</w:t>
            </w:r>
          </w:p>
          <w:p w:rsidR="00DF0AF2" w:rsidRPr="003A3B5D" w:rsidRDefault="00DF0AF2" w:rsidP="00AB532E">
            <w:pPr>
              <w:spacing w:after="0" w:line="240" w:lineRule="auto"/>
              <w:ind w:left="57" w:right="57"/>
              <w:jc w:val="both"/>
              <w:rPr>
                <w:rFonts w:ascii="Times New Roman" w:eastAsia="Times New Roman" w:hAnsi="Times New Roman" w:cs="Times New Roman"/>
                <w:sz w:val="26"/>
                <w:szCs w:val="26"/>
                <w:lang w:eastAsia="lv-LV"/>
              </w:rPr>
            </w:pPr>
          </w:p>
        </w:tc>
      </w:tr>
      <w:tr w:rsidR="00C16756" w:rsidRPr="003A3B5D" w:rsidTr="00AB532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ind w:left="57" w:right="57"/>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w:t>
            </w:r>
          </w:p>
        </w:tc>
      </w:tr>
      <w:tr w:rsidR="00C16756" w:rsidRPr="003A3B5D" w:rsidTr="00AB532E">
        <w:tc>
          <w:tcPr>
            <w:tcW w:w="250" w:type="pct"/>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Par pašvaldības nodevas par būvatļaujas saņemšanu iekasēšanas kārtību Ekonomikas ministrija lūdza izteikt viedokli  (EM 01.08.2014. vēstule Nr.411-1-11288) būvniecības nozares nevalstiskajām organizācijām. Ministrija saņēma atšķirīgus viedokļus:</w:t>
            </w:r>
          </w:p>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 </w:t>
            </w:r>
            <w:r w:rsidRPr="003A3B5D">
              <w:rPr>
                <w:rFonts w:ascii="Times New Roman" w:eastAsia="Times New Roman" w:hAnsi="Times New Roman" w:cs="Times New Roman"/>
                <w:b/>
                <w:i/>
                <w:sz w:val="26"/>
                <w:szCs w:val="26"/>
                <w:lang w:eastAsia="lv-LV"/>
              </w:rPr>
              <w:t>Latvijas Arhitektu savienība</w:t>
            </w:r>
            <w:r w:rsidRPr="003A3B5D">
              <w:rPr>
                <w:rFonts w:ascii="Times New Roman" w:eastAsia="Times New Roman" w:hAnsi="Times New Roman" w:cs="Times New Roman"/>
                <w:sz w:val="26"/>
                <w:szCs w:val="26"/>
                <w:lang w:eastAsia="lv-LV"/>
              </w:rPr>
              <w:t xml:space="preserve"> atbalsta nodevas dalījumu trīs daļās (60%, 30%, 10%);</w:t>
            </w:r>
          </w:p>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 </w:t>
            </w:r>
            <w:r w:rsidRPr="003A3B5D">
              <w:rPr>
                <w:rFonts w:ascii="Times New Roman" w:eastAsia="Times New Roman" w:hAnsi="Times New Roman" w:cs="Times New Roman"/>
                <w:b/>
                <w:i/>
                <w:sz w:val="26"/>
                <w:szCs w:val="26"/>
                <w:lang w:eastAsia="lv-LV"/>
              </w:rPr>
              <w:t>Latvijas Būvnieku asociācija</w:t>
            </w:r>
            <w:r w:rsidRPr="003A3B5D">
              <w:rPr>
                <w:rFonts w:ascii="Times New Roman" w:eastAsia="Times New Roman" w:hAnsi="Times New Roman" w:cs="Times New Roman"/>
                <w:sz w:val="26"/>
                <w:szCs w:val="26"/>
                <w:lang w:eastAsia="lv-LV"/>
              </w:rPr>
              <w:t xml:space="preserve"> (LBA), </w:t>
            </w:r>
            <w:r w:rsidRPr="003A3B5D">
              <w:rPr>
                <w:rFonts w:ascii="Times New Roman" w:eastAsia="Times New Roman" w:hAnsi="Times New Roman" w:cs="Times New Roman"/>
                <w:b/>
                <w:i/>
                <w:sz w:val="26"/>
                <w:szCs w:val="26"/>
                <w:lang w:eastAsia="lv-LV"/>
              </w:rPr>
              <w:t xml:space="preserve">Latvijas Darba devēju konfederācija </w:t>
            </w:r>
            <w:r w:rsidRPr="003A3B5D">
              <w:rPr>
                <w:rFonts w:ascii="Times New Roman" w:eastAsia="Times New Roman" w:hAnsi="Times New Roman" w:cs="Times New Roman"/>
                <w:sz w:val="26"/>
                <w:szCs w:val="26"/>
                <w:lang w:eastAsia="lv-LV"/>
              </w:rPr>
              <w:t xml:space="preserve">(LDDK) un </w:t>
            </w:r>
            <w:r w:rsidRPr="003A3B5D">
              <w:rPr>
                <w:rFonts w:ascii="Times New Roman" w:eastAsia="Times New Roman" w:hAnsi="Times New Roman" w:cs="Times New Roman"/>
                <w:b/>
                <w:i/>
                <w:sz w:val="26"/>
                <w:szCs w:val="26"/>
                <w:lang w:eastAsia="lv-LV"/>
              </w:rPr>
              <w:t>Būvniecības attīstības stratēģiskā partnerība</w:t>
            </w:r>
            <w:r w:rsidRPr="003A3B5D">
              <w:rPr>
                <w:rFonts w:ascii="Times New Roman" w:eastAsia="Times New Roman" w:hAnsi="Times New Roman" w:cs="Times New Roman"/>
                <w:sz w:val="26"/>
                <w:szCs w:val="26"/>
                <w:lang w:eastAsia="lv-LV"/>
              </w:rPr>
              <w:t xml:space="preserve"> atbalsta 100% vienreizēju nodevas maksājumu pirms atzīmes par būvdarbu uzsākšanas nosacījumu izpildes.</w:t>
            </w:r>
          </w:p>
          <w:p w:rsidR="00DF0AF2" w:rsidRPr="003A3B5D" w:rsidRDefault="00DF0AF2" w:rsidP="00AB532E">
            <w:pPr>
              <w:spacing w:after="0" w:line="240" w:lineRule="auto"/>
              <w:ind w:left="57" w:right="57" w:firstLine="284"/>
              <w:jc w:val="both"/>
              <w:rPr>
                <w:rFonts w:ascii="Times New Roman" w:eastAsia="Times New Roman" w:hAnsi="Times New Roman" w:cs="Times New Roman"/>
                <w:i/>
                <w:lang w:eastAsia="lv-LV"/>
              </w:rPr>
            </w:pPr>
            <w:r w:rsidRPr="003A3B5D">
              <w:rPr>
                <w:rFonts w:ascii="Times New Roman" w:eastAsia="Times New Roman" w:hAnsi="Times New Roman" w:cs="Times New Roman"/>
                <w:i/>
                <w:lang w:eastAsia="lv-LV"/>
              </w:rPr>
              <w:t>Argumentācija:</w:t>
            </w:r>
          </w:p>
          <w:p w:rsidR="00DF0AF2" w:rsidRPr="003A3B5D" w:rsidRDefault="00DF0AF2" w:rsidP="00AB532E">
            <w:pPr>
              <w:spacing w:after="0" w:line="240" w:lineRule="auto"/>
              <w:ind w:left="57" w:right="57" w:firstLine="284"/>
              <w:jc w:val="both"/>
              <w:rPr>
                <w:rFonts w:ascii="Times New Roman" w:hAnsi="Times New Roman" w:cs="Times New Roman"/>
              </w:rPr>
            </w:pPr>
            <w:r w:rsidRPr="003A3B5D">
              <w:rPr>
                <w:rFonts w:ascii="Times New Roman" w:eastAsia="Times New Roman" w:hAnsi="Times New Roman" w:cs="Times New Roman"/>
                <w:lang w:eastAsia="lv-LV"/>
              </w:rPr>
              <w:t xml:space="preserve">LDDK - </w:t>
            </w:r>
            <w:r w:rsidRPr="003A3B5D">
              <w:rPr>
                <w:rFonts w:ascii="Times New Roman" w:hAnsi="Times New Roman" w:cs="Times New Roman"/>
              </w:rPr>
              <w:t xml:space="preserve">LDDK </w:t>
            </w:r>
            <w:r w:rsidRPr="003A3B5D">
              <w:rPr>
                <w:rFonts w:ascii="Times New Roman" w:hAnsi="Times New Roman" w:cs="Times New Roman"/>
                <w:b/>
                <w:bCs/>
              </w:rPr>
              <w:t>iebilst pret</w:t>
            </w:r>
            <w:r w:rsidRPr="003A3B5D">
              <w:rPr>
                <w:rFonts w:ascii="Times New Roman" w:hAnsi="Times New Roman" w:cs="Times New Roman"/>
              </w:rPr>
              <w:t xml:space="preserve"> pašvaldības nodevas par būvatļaujas saņemšanu maksājuma sadalīšanu </w:t>
            </w:r>
            <w:r w:rsidRPr="003A3B5D">
              <w:rPr>
                <w:rFonts w:ascii="Times New Roman" w:hAnsi="Times New Roman" w:cs="Times New Roman"/>
                <w:b/>
                <w:bCs/>
              </w:rPr>
              <w:t>trīs daļās</w:t>
            </w:r>
            <w:r w:rsidRPr="003A3B5D">
              <w:rPr>
                <w:rFonts w:ascii="Times New Roman" w:hAnsi="Times New Roman" w:cs="Times New Roman"/>
              </w:rPr>
              <w:t xml:space="preserve">: 60% apmērā - pēc būvatļaujas saņemšanas, 30% apmērā - pirms būvvalde būvatļaujā veic atzīmi par projektēšanas nosacījumu izpildi un 10% apmērā - pirms atzīmes par būvdarbu uzsākšanas nosacījumu izpildi veikšanas būvatļaujā, kā arī </w:t>
            </w:r>
            <w:r w:rsidRPr="003A3B5D">
              <w:rPr>
                <w:rFonts w:ascii="Times New Roman" w:hAnsi="Times New Roman" w:cs="Times New Roman"/>
                <w:b/>
                <w:bCs/>
              </w:rPr>
              <w:t>iebilst pret</w:t>
            </w:r>
            <w:r w:rsidRPr="003A3B5D">
              <w:rPr>
                <w:rFonts w:ascii="Times New Roman" w:hAnsi="Times New Roman" w:cs="Times New Roman"/>
              </w:rPr>
              <w:t xml:space="preserve"> Latvijas Pašvaldību savienības priekšlikumu, ka būvatļaujas nodeva 100% apmērā ir </w:t>
            </w:r>
            <w:r w:rsidRPr="003A3B5D">
              <w:rPr>
                <w:rFonts w:ascii="Times New Roman" w:hAnsi="Times New Roman" w:cs="Times New Roman"/>
                <w:b/>
                <w:bCs/>
              </w:rPr>
              <w:t>maksājama pie būvatļaujas saņemšanas</w:t>
            </w:r>
            <w:r w:rsidRPr="003A3B5D">
              <w:rPr>
                <w:rFonts w:ascii="Times New Roman" w:hAnsi="Times New Roman" w:cs="Times New Roman"/>
              </w:rPr>
              <w:t xml:space="preserve">, neatkarīgi no to, vai tiek izpildīti būvatļaujas projektēšanas un būvdarbu uzsākšanas nosacījumi. Ņemot vērā to, ka Noteikumu 4. punkts nosaka, ka pašvaldību nodevu veidā tiek apmaksāta atlīdzība tikai par pašvaldību sniegto nodrošinājumu, LDDK uzskata, ka ir nesamērīgi prasīt 100% maksājumu pie būvatļaujas saņemšanas neatkarīgi no tā, vai tiek izpildīti būvatļaujas projektēšanas un būvdarbu uzsākšanas nosacījumi. Lai novērstu administratīvo slogu ar </w:t>
            </w:r>
            <w:proofErr w:type="spellStart"/>
            <w:r w:rsidRPr="003A3B5D">
              <w:rPr>
                <w:rFonts w:ascii="Times New Roman" w:hAnsi="Times New Roman" w:cs="Times New Roman"/>
              </w:rPr>
              <w:t>trīsreizēju</w:t>
            </w:r>
            <w:proofErr w:type="spellEnd"/>
            <w:r w:rsidRPr="003A3B5D">
              <w:rPr>
                <w:rFonts w:ascii="Times New Roman" w:hAnsi="Times New Roman" w:cs="Times New Roman"/>
              </w:rPr>
              <w:t xml:space="preserve"> maksāšanu, kā arī lai nodrošinātu visu pušu ieinteresētību būvniecības sagatavošanas kvalitatīvā procesā, LDDK rosina noteikt, ka nodeva maksājama pirms atzīmes par būvdarbu uzsākšanas nosacījumu izpildi.</w:t>
            </w:r>
          </w:p>
          <w:p w:rsidR="00DF0AF2" w:rsidRPr="003A3B5D" w:rsidRDefault="00DF0AF2" w:rsidP="00AB532E">
            <w:pPr>
              <w:spacing w:after="0" w:line="240" w:lineRule="auto"/>
              <w:ind w:left="57" w:right="57" w:firstLine="284"/>
              <w:jc w:val="both"/>
              <w:rPr>
                <w:rFonts w:ascii="Times New Roman" w:eastAsia="Times New Roman" w:hAnsi="Times New Roman" w:cs="Times New Roman"/>
                <w:lang w:eastAsia="lv-LV"/>
              </w:rPr>
            </w:pPr>
            <w:r w:rsidRPr="003A3B5D">
              <w:rPr>
                <w:rFonts w:ascii="Times New Roman" w:eastAsia="Times New Roman" w:hAnsi="Times New Roman" w:cs="Times New Roman"/>
                <w:lang w:eastAsia="lv-LV"/>
              </w:rPr>
              <w:t>LBA – Izskatot EM vēstuli un attiecīgos normatīvos aktus, LBA secina, ka šis jautājums nav viennozīmīgs. LBA ir izvērtējusi jautājuma būtību gan no būvētāja, gan valstiskā viedokļa. LBA ieskatā vārdu kopums „būvatļaujas saņemšana” pēc būtības nozīmē to, ka no pašvaldības ir saņemta atļauja projektēt un būvēt (atļauja uzsākt būvniecības procesu), bet uzsākt būvniecības darbus varēs (pēc jaunā Būvniecības likuma spēkā stāšanās) tikai tad, kad būs saņemta atzīme būvatļaujā par būvdarbu uzsākšanas nosacījumu izpildi.</w:t>
            </w:r>
          </w:p>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 </w:t>
            </w:r>
            <w:r w:rsidRPr="003A3B5D">
              <w:rPr>
                <w:rFonts w:ascii="Times New Roman" w:eastAsia="Times New Roman" w:hAnsi="Times New Roman" w:cs="Times New Roman"/>
                <w:b/>
                <w:i/>
                <w:sz w:val="26"/>
                <w:szCs w:val="26"/>
                <w:lang w:eastAsia="lv-LV"/>
              </w:rPr>
              <w:t>Inženierkomunikāciju turētāju sadarbības padome</w:t>
            </w:r>
            <w:r w:rsidRPr="003A3B5D">
              <w:rPr>
                <w:rFonts w:ascii="Times New Roman" w:eastAsia="Times New Roman" w:hAnsi="Times New Roman" w:cs="Times New Roman"/>
                <w:sz w:val="26"/>
                <w:szCs w:val="26"/>
                <w:lang w:eastAsia="lv-LV"/>
              </w:rPr>
              <w:t xml:space="preserve"> atbalsta noteikt vienreizēju maksu visās pašvaldībās 50 EUR, saņemot būvatļauju</w:t>
            </w:r>
          </w:p>
          <w:p w:rsidR="00DF0AF2" w:rsidRPr="003A3B5D" w:rsidRDefault="00DF0AF2" w:rsidP="00AB532E">
            <w:pPr>
              <w:spacing w:after="0" w:line="240" w:lineRule="auto"/>
              <w:ind w:left="57" w:right="57" w:firstLine="284"/>
              <w:jc w:val="both"/>
              <w:rPr>
                <w:rFonts w:ascii="Times New Roman" w:eastAsia="Times New Roman" w:hAnsi="Times New Roman" w:cs="Times New Roman"/>
                <w:i/>
                <w:lang w:eastAsia="lv-LV"/>
              </w:rPr>
            </w:pPr>
            <w:r w:rsidRPr="003A3B5D">
              <w:rPr>
                <w:rFonts w:ascii="Times New Roman" w:eastAsia="Times New Roman" w:hAnsi="Times New Roman" w:cs="Times New Roman"/>
                <w:i/>
                <w:lang w:eastAsia="lv-LV"/>
              </w:rPr>
              <w:lastRenderedPageBreak/>
              <w:t xml:space="preserve">Argumentācija: </w:t>
            </w:r>
          </w:p>
          <w:p w:rsidR="00DF0AF2" w:rsidRPr="003A3B5D" w:rsidRDefault="00DF0AF2" w:rsidP="00AB532E">
            <w:pPr>
              <w:spacing w:after="0" w:line="240" w:lineRule="auto"/>
              <w:ind w:left="57" w:right="57" w:firstLine="284"/>
              <w:jc w:val="both"/>
              <w:rPr>
                <w:rFonts w:ascii="Times New Roman" w:eastAsia="Times New Roman" w:hAnsi="Times New Roman" w:cs="Times New Roman"/>
                <w:lang w:eastAsia="lv-LV"/>
              </w:rPr>
            </w:pPr>
            <w:r w:rsidRPr="003A3B5D">
              <w:rPr>
                <w:rFonts w:ascii="Times New Roman" w:eastAsia="Times New Roman" w:hAnsi="Times New Roman" w:cs="Times New Roman"/>
                <w:lang w:eastAsia="lv-LV"/>
              </w:rPr>
              <w:t>Ņemot vērā, ka jauna Būvniecības likuma izstrādes mērķis, bija būvniecības procesa pilnveide tai skaitā mazinot administratīvo slogu aicinām šo principu ievērot arī nosakot nodevas maksāšanas kārtību un apmēru par būvatļaujas saņemšanu. Šobrīd spēkā esošie Ministru kabineta noteikumi Nr.243 „Elektroenerģijas pārvades un sadales būvju būvniecības kārtība” nosaka, ka licencētiem elektroapgādes komersantiem būvatļauja noteiktos gadījumos tiek izsniegta bez maksas. Šādu nosacījumu esam saglabājuši arī jaunajā energoapgādes objektu būvniecības speciālo būvnoteikumu projektā „Elektroenerģijas ražošanas, pārvades un sadales būvju būvnoteikumi”. Aicinām attiecīgi precizēt MK noteikumus Nr.480 „Noteikumi par kārtību, kādā pašvaldības var uzlikt pašvaldību nodevas”.</w:t>
            </w:r>
          </w:p>
          <w:p w:rsidR="00DF0AF2" w:rsidRPr="003A3B5D" w:rsidRDefault="00DF0AF2" w:rsidP="00AB532E">
            <w:pPr>
              <w:spacing w:after="0" w:line="240" w:lineRule="auto"/>
              <w:ind w:left="57" w:right="57" w:firstLine="284"/>
              <w:jc w:val="both"/>
              <w:rPr>
                <w:rFonts w:ascii="Times New Roman" w:eastAsia="Times New Roman" w:hAnsi="Times New Roman" w:cs="Times New Roman"/>
                <w:lang w:eastAsia="lv-LV"/>
              </w:rPr>
            </w:pPr>
            <w:r w:rsidRPr="003A3B5D">
              <w:rPr>
                <w:rFonts w:ascii="Times New Roman" w:eastAsia="Times New Roman" w:hAnsi="Times New Roman" w:cs="Times New Roman"/>
                <w:lang w:eastAsia="lv-LV"/>
              </w:rPr>
              <w:t>Aicinām MK noteikumus Nr.480 precizēt nosakot tajos maksimālo nodevas apmēru būvatļaujas izsniegšanai, lai izvairītos no situācijām, kad dažādās pašvaldībās būvatļaujas izsniegšanas nodevas apjoms atšķiras 100 kārtīgi. Ja tiek noteikta vienota maksimālā būvatļaujas izsniegšanas maksa, tad redzam iespēju atteikties no būvatļaujas maksas sadalīšanas daļās, veicot vienu maksājumu pie būvatļaujas saņemšanas.</w:t>
            </w:r>
          </w:p>
          <w:p w:rsidR="00DF0AF2" w:rsidRPr="003A3B5D" w:rsidRDefault="00DF0AF2" w:rsidP="00AB532E">
            <w:pPr>
              <w:spacing w:after="0" w:line="240" w:lineRule="auto"/>
              <w:ind w:left="57" w:right="57" w:firstLine="284"/>
              <w:jc w:val="both"/>
              <w:rPr>
                <w:rFonts w:ascii="Times New Roman" w:eastAsia="Times New Roman" w:hAnsi="Times New Roman" w:cs="Times New Roman"/>
                <w:lang w:eastAsia="lv-LV"/>
              </w:rPr>
            </w:pPr>
            <w:r w:rsidRPr="003A3B5D">
              <w:rPr>
                <w:rFonts w:ascii="Times New Roman" w:eastAsia="Times New Roman" w:hAnsi="Times New Roman" w:cs="Times New Roman"/>
                <w:lang w:eastAsia="lv-LV"/>
              </w:rPr>
              <w:t>Ņemot vērā augstāk minētos priekšlikumus aicinām MK noteikumu Nr.480 punktu izteikt sekojošā redakcijā:</w:t>
            </w:r>
          </w:p>
          <w:p w:rsidR="00DF0AF2" w:rsidRPr="003A3B5D" w:rsidRDefault="00DF0AF2" w:rsidP="00AB532E">
            <w:pPr>
              <w:spacing w:after="0" w:line="240" w:lineRule="auto"/>
              <w:ind w:left="57" w:right="57" w:firstLine="284"/>
              <w:jc w:val="both"/>
              <w:rPr>
                <w:rFonts w:ascii="Times New Roman" w:eastAsia="Times New Roman" w:hAnsi="Times New Roman" w:cs="Times New Roman"/>
                <w:lang w:eastAsia="lv-LV"/>
              </w:rPr>
            </w:pPr>
            <w:r w:rsidRPr="003A3B5D">
              <w:rPr>
                <w:rFonts w:ascii="Times New Roman" w:eastAsia="Times New Roman" w:hAnsi="Times New Roman" w:cs="Times New Roman"/>
                <w:lang w:eastAsia="lv-LV"/>
              </w:rPr>
              <w:t>„15. Nodevu par būvatļaujas saņemšanu pašvaldība ir tiesīga uzlikt personām, kuras, saskaņojot būvniecību, Būvniecības likuma noteiktajā kārtībā saņem būvatļauju no vietējās pašvaldības būvvaldes.</w:t>
            </w:r>
          </w:p>
          <w:p w:rsidR="00DF0AF2" w:rsidRPr="003A3B5D" w:rsidRDefault="00DF0AF2" w:rsidP="00AB532E">
            <w:pPr>
              <w:spacing w:after="0" w:line="240" w:lineRule="auto"/>
              <w:ind w:left="57" w:right="57" w:firstLine="284"/>
              <w:jc w:val="both"/>
              <w:rPr>
                <w:rFonts w:ascii="Times New Roman" w:eastAsia="Times New Roman" w:hAnsi="Times New Roman" w:cs="Times New Roman"/>
                <w:lang w:eastAsia="lv-LV"/>
              </w:rPr>
            </w:pPr>
            <w:r w:rsidRPr="003A3B5D">
              <w:rPr>
                <w:rFonts w:ascii="Times New Roman" w:eastAsia="Times New Roman" w:hAnsi="Times New Roman" w:cs="Times New Roman"/>
                <w:lang w:eastAsia="lv-LV"/>
              </w:rPr>
              <w:t>Nodevu par būvatļaujas saņemšanu neiekasē uz Būvniecības likuma pamata izdoto speciālo būvnoteikumu noteiktajos gadījumos.</w:t>
            </w:r>
          </w:p>
          <w:p w:rsidR="00DF0AF2" w:rsidRPr="003A3B5D" w:rsidRDefault="00DF0AF2" w:rsidP="00AB532E">
            <w:pPr>
              <w:spacing w:after="0" w:line="240" w:lineRule="auto"/>
              <w:ind w:left="57" w:right="57" w:firstLine="284"/>
              <w:jc w:val="both"/>
              <w:rPr>
                <w:rFonts w:ascii="Times New Roman" w:eastAsia="Times New Roman" w:hAnsi="Times New Roman" w:cs="Times New Roman"/>
                <w:lang w:eastAsia="lv-LV"/>
              </w:rPr>
            </w:pPr>
            <w:r w:rsidRPr="003A3B5D">
              <w:rPr>
                <w:rFonts w:ascii="Times New Roman" w:eastAsia="Times New Roman" w:hAnsi="Times New Roman" w:cs="Times New Roman"/>
                <w:lang w:eastAsia="lv-LV"/>
              </w:rPr>
              <w:t>Nodevas par būvatļaujas saņemšanu likmē ietver izmaksas, kas vietējās pašvaldības institūcijām rodas būvprojekta saskaņošanas laikā (būvprojekta saskaņošana, nepieciešamo dokumentu sagatavošana un izsniegšana, kā arī citas ar būvprojekta saskaņošanu saistītas darbības), nodevas maksimālais lielums 50 EUR.</w:t>
            </w:r>
          </w:p>
          <w:p w:rsidR="00DF0AF2" w:rsidRPr="003A3B5D" w:rsidRDefault="00DF0AF2" w:rsidP="00E059D6">
            <w:pPr>
              <w:spacing w:after="0" w:line="240" w:lineRule="auto"/>
              <w:ind w:left="57" w:right="57" w:firstLine="284"/>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lang w:eastAsia="lv-LV"/>
              </w:rPr>
              <w:t>Samaksu par būvatļaujas saņemšanu maksā saņemot būvatļauju.”</w:t>
            </w:r>
          </w:p>
        </w:tc>
      </w:tr>
      <w:tr w:rsidR="00C16756" w:rsidRPr="003A3B5D" w:rsidTr="00AB532E">
        <w:trPr>
          <w:trHeight w:val="128"/>
        </w:trPr>
        <w:tc>
          <w:tcPr>
            <w:tcW w:w="5000" w:type="pct"/>
            <w:gridSpan w:val="3"/>
            <w:tcBorders>
              <w:top w:val="outset" w:sz="6" w:space="0" w:color="414142"/>
              <w:left w:val="nil"/>
              <w:bottom w:val="nil"/>
              <w:right w:val="nil"/>
            </w:tcBorders>
          </w:tcPr>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141"/>
              <w:gridCol w:w="284"/>
              <w:gridCol w:w="2410"/>
              <w:gridCol w:w="361"/>
              <w:gridCol w:w="888"/>
              <w:gridCol w:w="4562"/>
            </w:tblGrid>
            <w:tr w:rsidR="00C16756" w:rsidRPr="003A3B5D" w:rsidTr="00AB532E">
              <w:trPr>
                <w:trHeight w:val="555"/>
              </w:trPr>
              <w:tc>
                <w:tcPr>
                  <w:tcW w:w="9064" w:type="dxa"/>
                  <w:gridSpan w:val="7"/>
                  <w:tcBorders>
                    <w:top w:val="nil"/>
                    <w:left w:val="outset" w:sz="6" w:space="0" w:color="414142"/>
                    <w:bottom w:val="outset" w:sz="6" w:space="0" w:color="414142"/>
                    <w:right w:val="outset" w:sz="6" w:space="0" w:color="414142"/>
                  </w:tcBorders>
                  <w:vAlign w:val="center"/>
                  <w:hideMark/>
                </w:tcPr>
                <w:p w:rsidR="00DF0AF2" w:rsidRPr="003A3B5D" w:rsidRDefault="00DF0AF2" w:rsidP="00AB532E">
                  <w:pPr>
                    <w:spacing w:after="0" w:line="240" w:lineRule="auto"/>
                    <w:ind w:firstLine="300"/>
                    <w:jc w:val="center"/>
                    <w:rPr>
                      <w:rFonts w:ascii="Times New Roman" w:eastAsia="Times New Roman" w:hAnsi="Times New Roman" w:cs="Times New Roman"/>
                      <w:b/>
                      <w:bCs/>
                      <w:sz w:val="26"/>
                      <w:szCs w:val="26"/>
                      <w:lang w:eastAsia="lv-LV"/>
                    </w:rPr>
                  </w:pPr>
                  <w:r w:rsidRPr="003A3B5D">
                    <w:rPr>
                      <w:rFonts w:ascii="Times New Roman" w:eastAsia="Times New Roman" w:hAnsi="Times New Roman" w:cs="Times New Roman"/>
                      <w:b/>
                      <w:bCs/>
                      <w:sz w:val="26"/>
                      <w:szCs w:val="26"/>
                      <w:lang w:eastAsia="lv-LV"/>
                    </w:rPr>
                    <w:lastRenderedPageBreak/>
                    <w:t>II. Tiesību akta projekta ietekme uz sabiedrību, tautsaimniecības attīstību un administratīvo slogu</w:t>
                  </w:r>
                </w:p>
              </w:tc>
            </w:tr>
            <w:tr w:rsidR="00C16756" w:rsidRPr="003A3B5D" w:rsidTr="00AB532E">
              <w:trPr>
                <w:trHeight w:val="465"/>
              </w:trPr>
              <w:tc>
                <w:tcPr>
                  <w:tcW w:w="418" w:type="dxa"/>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1.</w:t>
                  </w:r>
                </w:p>
              </w:tc>
              <w:tc>
                <w:tcPr>
                  <w:tcW w:w="2835" w:type="dxa"/>
                  <w:gridSpan w:val="3"/>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 xml:space="preserve">Sabiedrības </w:t>
                  </w:r>
                  <w:proofErr w:type="spellStart"/>
                  <w:r w:rsidRPr="003A3B5D">
                    <w:rPr>
                      <w:rFonts w:ascii="Times New Roman" w:eastAsia="Times New Roman" w:hAnsi="Times New Roman" w:cs="Times New Roman"/>
                      <w:sz w:val="26"/>
                      <w:szCs w:val="26"/>
                      <w:lang w:eastAsia="lv-LV"/>
                    </w:rPr>
                    <w:t>mērķgrupas</w:t>
                  </w:r>
                  <w:proofErr w:type="spellEnd"/>
                  <w:r w:rsidRPr="003A3B5D">
                    <w:rPr>
                      <w:rFonts w:ascii="Times New Roman" w:eastAsia="Times New Roman" w:hAnsi="Times New Roman" w:cs="Times New Roman"/>
                      <w:sz w:val="26"/>
                      <w:szCs w:val="26"/>
                      <w:lang w:eastAsia="lv-LV"/>
                    </w:rPr>
                    <w:t>, kuras tiesiskais regulējums ietekmē vai varētu ietekmēt</w:t>
                  </w:r>
                </w:p>
              </w:tc>
              <w:tc>
                <w:tcPr>
                  <w:tcW w:w="5811" w:type="dxa"/>
                  <w:gridSpan w:val="3"/>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ind w:left="57" w:right="57"/>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 xml:space="preserve">89 Pašvaldību būvvaldes, </w:t>
                  </w:r>
                  <w:proofErr w:type="spellStart"/>
                  <w:r w:rsidRPr="003A3B5D">
                    <w:rPr>
                      <w:rFonts w:ascii="Times New Roman" w:eastAsia="Times New Roman" w:hAnsi="Times New Roman" w:cs="Times New Roman"/>
                      <w:sz w:val="26"/>
                      <w:szCs w:val="26"/>
                      <w:lang w:eastAsia="lv-LV"/>
                    </w:rPr>
                    <w:t>t.sk</w:t>
                  </w:r>
                  <w:proofErr w:type="spellEnd"/>
                  <w:r w:rsidRPr="003A3B5D">
                    <w:rPr>
                      <w:rFonts w:ascii="Times New Roman" w:eastAsia="Times New Roman" w:hAnsi="Times New Roman" w:cs="Times New Roman"/>
                      <w:sz w:val="26"/>
                      <w:szCs w:val="26"/>
                      <w:lang w:eastAsia="lv-LV"/>
                    </w:rPr>
                    <w:t>. apvienotās būvvaldes</w:t>
                  </w:r>
                </w:p>
                <w:p w:rsidR="00DF0AF2" w:rsidRPr="003A3B5D" w:rsidRDefault="00DF0AF2" w:rsidP="00AB532E">
                  <w:pPr>
                    <w:spacing w:after="0" w:line="240" w:lineRule="auto"/>
                    <w:ind w:left="57" w:right="57"/>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 xml:space="preserve">Personas, kuras ierosinās būvniecību </w:t>
                  </w:r>
                </w:p>
                <w:p w:rsidR="00DF0AF2" w:rsidRPr="003A3B5D" w:rsidRDefault="00DF0AF2" w:rsidP="00AB532E">
                  <w:pPr>
                    <w:spacing w:after="0" w:line="240" w:lineRule="auto"/>
                    <w:ind w:left="57" w:right="57" w:firstLine="284"/>
                    <w:jc w:val="both"/>
                    <w:rPr>
                      <w:rFonts w:ascii="Times New Roman" w:eastAsia="Times New Roman" w:hAnsi="Times New Roman" w:cs="Times New Roman"/>
                      <w:sz w:val="26"/>
                      <w:szCs w:val="26"/>
                      <w:lang w:eastAsia="lv-LV"/>
                    </w:rPr>
                  </w:pPr>
                </w:p>
                <w:p w:rsidR="00DF0AF2" w:rsidRPr="003A3B5D" w:rsidRDefault="00DF0AF2" w:rsidP="00AB532E">
                  <w:pPr>
                    <w:spacing w:after="0" w:line="240" w:lineRule="auto"/>
                    <w:ind w:firstLine="284"/>
                    <w:jc w:val="both"/>
                    <w:rPr>
                      <w:rFonts w:ascii="Times New Roman" w:eastAsia="Times New Roman" w:hAnsi="Times New Roman" w:cs="Times New Roman"/>
                      <w:sz w:val="26"/>
                      <w:szCs w:val="26"/>
                      <w:lang w:eastAsia="lv-LV"/>
                    </w:rPr>
                  </w:pPr>
                </w:p>
              </w:tc>
            </w:tr>
            <w:tr w:rsidR="00C16756" w:rsidRPr="003A3B5D" w:rsidTr="00AB532E">
              <w:trPr>
                <w:trHeight w:val="510"/>
              </w:trPr>
              <w:tc>
                <w:tcPr>
                  <w:tcW w:w="418" w:type="dxa"/>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2.</w:t>
                  </w:r>
                </w:p>
              </w:tc>
              <w:tc>
                <w:tcPr>
                  <w:tcW w:w="2835" w:type="dxa"/>
                  <w:gridSpan w:val="3"/>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Tiesiskā regulējuma ietekme uz tautsaimniecību un administratīvo slogu</w:t>
                  </w:r>
                </w:p>
              </w:tc>
              <w:tc>
                <w:tcPr>
                  <w:tcW w:w="5811" w:type="dxa"/>
                  <w:gridSpan w:val="3"/>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ind w:left="57" w:right="57"/>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 xml:space="preserve">Tiesiskais regulējums nemazina administratīvo slogu </w:t>
                  </w:r>
                </w:p>
                <w:p w:rsidR="00DF0AF2" w:rsidRPr="003A3B5D" w:rsidRDefault="00DF0AF2" w:rsidP="00AB532E">
                  <w:pPr>
                    <w:spacing w:after="0" w:line="240" w:lineRule="auto"/>
                    <w:ind w:left="57" w:right="57"/>
                    <w:rPr>
                      <w:rFonts w:ascii="Times New Roman" w:eastAsia="Times New Roman" w:hAnsi="Times New Roman" w:cs="Times New Roman"/>
                      <w:sz w:val="26"/>
                      <w:szCs w:val="26"/>
                      <w:lang w:eastAsia="lv-LV"/>
                    </w:rPr>
                  </w:pPr>
                </w:p>
              </w:tc>
            </w:tr>
            <w:tr w:rsidR="00C16756" w:rsidRPr="003A3B5D" w:rsidTr="00AB532E">
              <w:trPr>
                <w:trHeight w:val="510"/>
              </w:trPr>
              <w:tc>
                <w:tcPr>
                  <w:tcW w:w="418" w:type="dxa"/>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3.</w:t>
                  </w:r>
                </w:p>
              </w:tc>
              <w:tc>
                <w:tcPr>
                  <w:tcW w:w="2835" w:type="dxa"/>
                  <w:gridSpan w:val="3"/>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Administratīvo izmaksu monetārs novērtējums</w:t>
                  </w:r>
                </w:p>
                <w:p w:rsidR="00DF0AF2" w:rsidRPr="003A3B5D" w:rsidRDefault="00DF0AF2" w:rsidP="00AB532E">
                  <w:pPr>
                    <w:spacing w:after="0" w:line="240" w:lineRule="auto"/>
                    <w:rPr>
                      <w:rFonts w:ascii="Times New Roman" w:eastAsia="Times New Roman" w:hAnsi="Times New Roman" w:cs="Times New Roman"/>
                      <w:sz w:val="26"/>
                      <w:szCs w:val="26"/>
                      <w:lang w:eastAsia="lv-LV"/>
                    </w:rPr>
                  </w:pPr>
                </w:p>
              </w:tc>
              <w:tc>
                <w:tcPr>
                  <w:tcW w:w="5811" w:type="dxa"/>
                  <w:gridSpan w:val="3"/>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ind w:left="57" w:right="57"/>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lastRenderedPageBreak/>
                    <w:t>Administratīvās izmaksas paliek līdzšinējā līmenī</w:t>
                  </w:r>
                </w:p>
              </w:tc>
            </w:tr>
            <w:tr w:rsidR="00C16756" w:rsidRPr="003A3B5D" w:rsidTr="00AB532E">
              <w:trPr>
                <w:trHeight w:val="345"/>
              </w:trPr>
              <w:tc>
                <w:tcPr>
                  <w:tcW w:w="418" w:type="dxa"/>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lastRenderedPageBreak/>
                    <w:t>4.</w:t>
                  </w:r>
                </w:p>
              </w:tc>
              <w:tc>
                <w:tcPr>
                  <w:tcW w:w="2835" w:type="dxa"/>
                  <w:gridSpan w:val="3"/>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Cita informācija</w:t>
                  </w:r>
                </w:p>
              </w:tc>
              <w:tc>
                <w:tcPr>
                  <w:tcW w:w="5811" w:type="dxa"/>
                  <w:gridSpan w:val="3"/>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ind w:left="57" w:right="57"/>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Nav</w:t>
                  </w:r>
                </w:p>
              </w:tc>
            </w:tr>
            <w:tr w:rsidR="00C16756" w:rsidRPr="003A3B5D" w:rsidTr="00AB532E">
              <w:tblPrEx>
                <w:tblCellSpacing w:w="15" w:type="dxa"/>
                <w:tblBorders>
                  <w:top w:val="outset" w:sz="6" w:space="0" w:color="auto"/>
                  <w:left w:val="outset" w:sz="6" w:space="0" w:color="auto"/>
                  <w:bottom w:val="outset" w:sz="6" w:space="0" w:color="auto"/>
                  <w:right w:val="outset" w:sz="6" w:space="0" w:color="auto"/>
                </w:tblBorders>
              </w:tblPrEx>
              <w:trPr>
                <w:trHeight w:val="450"/>
                <w:tblCellSpacing w:w="15" w:type="dxa"/>
              </w:trPr>
              <w:tc>
                <w:tcPr>
                  <w:tcW w:w="9064" w:type="dxa"/>
                  <w:gridSpan w:val="7"/>
                  <w:tcBorders>
                    <w:top w:val="outset" w:sz="6" w:space="0" w:color="auto"/>
                    <w:left w:val="outset" w:sz="6" w:space="0" w:color="auto"/>
                    <w:bottom w:val="outset" w:sz="6" w:space="0" w:color="auto"/>
                    <w:right w:val="outset" w:sz="6" w:space="0" w:color="auto"/>
                  </w:tcBorders>
                  <w:vAlign w:val="center"/>
                  <w:hideMark/>
                </w:tcPr>
                <w:p w:rsidR="00DF0AF2" w:rsidRPr="003A3B5D" w:rsidRDefault="00DF0AF2" w:rsidP="00AB532E">
                  <w:pPr>
                    <w:spacing w:after="0" w:line="240" w:lineRule="auto"/>
                    <w:ind w:firstLine="300"/>
                    <w:jc w:val="center"/>
                    <w:rPr>
                      <w:rFonts w:ascii="Times New Roman" w:eastAsia="Times New Roman" w:hAnsi="Times New Roman" w:cs="Times New Roman"/>
                      <w:b/>
                      <w:bCs/>
                      <w:sz w:val="26"/>
                      <w:szCs w:val="26"/>
                      <w:lang w:eastAsia="lv-LV"/>
                    </w:rPr>
                  </w:pPr>
                  <w:r w:rsidRPr="003A3B5D">
                    <w:rPr>
                      <w:rFonts w:ascii="Times New Roman" w:eastAsia="Times New Roman" w:hAnsi="Times New Roman" w:cs="Times New Roman"/>
                      <w:b/>
                      <w:bCs/>
                      <w:sz w:val="26"/>
                      <w:szCs w:val="26"/>
                      <w:lang w:eastAsia="lv-LV"/>
                    </w:rPr>
                    <w:t xml:space="preserve">IV. Tiesību akta projekta ietekme uz spēkā esošo </w:t>
                  </w:r>
                </w:p>
                <w:p w:rsidR="00DF0AF2" w:rsidRPr="003A3B5D" w:rsidRDefault="00DF0AF2" w:rsidP="00AB532E">
                  <w:pPr>
                    <w:spacing w:after="0" w:line="240" w:lineRule="auto"/>
                    <w:ind w:firstLine="300"/>
                    <w:jc w:val="center"/>
                    <w:rPr>
                      <w:rFonts w:ascii="Times New Roman" w:eastAsia="Times New Roman" w:hAnsi="Times New Roman" w:cs="Times New Roman"/>
                      <w:b/>
                      <w:bCs/>
                      <w:sz w:val="26"/>
                      <w:szCs w:val="26"/>
                      <w:lang w:eastAsia="lv-LV"/>
                    </w:rPr>
                  </w:pPr>
                  <w:r w:rsidRPr="003A3B5D">
                    <w:rPr>
                      <w:rFonts w:ascii="Times New Roman" w:eastAsia="Times New Roman" w:hAnsi="Times New Roman" w:cs="Times New Roman"/>
                      <w:b/>
                      <w:bCs/>
                      <w:sz w:val="26"/>
                      <w:szCs w:val="26"/>
                      <w:lang w:eastAsia="lv-LV"/>
                    </w:rPr>
                    <w:t>tiesību normu sistēmu</w:t>
                  </w:r>
                </w:p>
              </w:tc>
            </w:tr>
            <w:tr w:rsidR="00C16756" w:rsidRPr="003A3B5D" w:rsidTr="00AB532E">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43" w:type="dxa"/>
                  <w:gridSpan w:val="3"/>
                  <w:tcBorders>
                    <w:top w:val="outset" w:sz="6" w:space="0" w:color="auto"/>
                    <w:left w:val="outset" w:sz="6" w:space="0" w:color="auto"/>
                    <w:bottom w:val="outset" w:sz="6" w:space="0" w:color="auto"/>
                    <w:right w:val="outset" w:sz="6" w:space="0" w:color="auto"/>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1.</w:t>
                  </w:r>
                </w:p>
              </w:tc>
              <w:tc>
                <w:tcPr>
                  <w:tcW w:w="2771" w:type="dxa"/>
                  <w:gridSpan w:val="2"/>
                  <w:tcBorders>
                    <w:top w:val="outset" w:sz="6" w:space="0" w:color="auto"/>
                    <w:left w:val="outset" w:sz="6" w:space="0" w:color="auto"/>
                    <w:bottom w:val="outset" w:sz="6" w:space="0" w:color="auto"/>
                    <w:right w:val="outset" w:sz="6" w:space="0" w:color="auto"/>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Nepieciešamie saistītie tiesību aktu projekti</w:t>
                  </w:r>
                </w:p>
              </w:tc>
              <w:tc>
                <w:tcPr>
                  <w:tcW w:w="5450" w:type="dxa"/>
                  <w:gridSpan w:val="2"/>
                  <w:tcBorders>
                    <w:top w:val="outset" w:sz="6" w:space="0" w:color="auto"/>
                    <w:left w:val="outset" w:sz="6" w:space="0" w:color="auto"/>
                    <w:bottom w:val="outset" w:sz="6" w:space="0" w:color="auto"/>
                    <w:right w:val="outset" w:sz="6" w:space="0" w:color="auto"/>
                  </w:tcBorders>
                </w:tcPr>
                <w:p w:rsidR="00DF0AF2" w:rsidRPr="003A3B5D" w:rsidRDefault="00DF0AF2" w:rsidP="00AB532E">
                  <w:pPr>
                    <w:spacing w:after="0" w:line="240" w:lineRule="auto"/>
                    <w:ind w:left="57" w:right="57"/>
                    <w:jc w:val="both"/>
                    <w:rPr>
                      <w:rFonts w:ascii="Times New Roman" w:hAnsi="Times New Roman" w:cs="Times New Roman"/>
                      <w:sz w:val="26"/>
                      <w:szCs w:val="26"/>
                    </w:rPr>
                  </w:pPr>
                  <w:r w:rsidRPr="003A3B5D">
                    <w:rPr>
                      <w:rFonts w:ascii="Times New Roman" w:hAnsi="Times New Roman" w:cs="Times New Roman"/>
                      <w:sz w:val="26"/>
                      <w:szCs w:val="26"/>
                    </w:rPr>
                    <w:t>Lai noteiktu, ka būvniecības procesā pašvaldības nodevas objekts ir jebkura būvniecības iecere, par kuru būvvalde pieņem lēmumu ir nepieciešams veikt grozījumus likuma „Par nodokļiem un nodevām” 12.panta pirmās daļas 10.punktā.</w:t>
                  </w:r>
                </w:p>
                <w:p w:rsidR="00DF0AF2" w:rsidRPr="003A3B5D" w:rsidRDefault="00DF0AF2" w:rsidP="00AB532E">
                  <w:pPr>
                    <w:spacing w:after="0" w:line="240" w:lineRule="auto"/>
                    <w:jc w:val="both"/>
                    <w:rPr>
                      <w:rFonts w:ascii="Times New Roman" w:eastAsia="Times New Roman" w:hAnsi="Times New Roman" w:cs="Times New Roman"/>
                      <w:sz w:val="26"/>
                      <w:szCs w:val="26"/>
                      <w:lang w:eastAsia="lv-LV"/>
                    </w:rPr>
                  </w:pPr>
                </w:p>
              </w:tc>
            </w:tr>
            <w:tr w:rsidR="00C16756" w:rsidRPr="003A3B5D" w:rsidTr="00AB532E">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43" w:type="dxa"/>
                  <w:gridSpan w:val="3"/>
                  <w:tcBorders>
                    <w:top w:val="outset" w:sz="6" w:space="0" w:color="auto"/>
                    <w:left w:val="outset" w:sz="6" w:space="0" w:color="auto"/>
                    <w:bottom w:val="outset" w:sz="6" w:space="0" w:color="auto"/>
                    <w:right w:val="outset" w:sz="6" w:space="0" w:color="auto"/>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2.</w:t>
                  </w:r>
                </w:p>
              </w:tc>
              <w:tc>
                <w:tcPr>
                  <w:tcW w:w="2771" w:type="dxa"/>
                  <w:gridSpan w:val="2"/>
                  <w:tcBorders>
                    <w:top w:val="outset" w:sz="6" w:space="0" w:color="auto"/>
                    <w:left w:val="outset" w:sz="6" w:space="0" w:color="auto"/>
                    <w:bottom w:val="outset" w:sz="6" w:space="0" w:color="auto"/>
                    <w:right w:val="outset" w:sz="6" w:space="0" w:color="auto"/>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Atbildīgā institūcija</w:t>
                  </w:r>
                </w:p>
              </w:tc>
              <w:tc>
                <w:tcPr>
                  <w:tcW w:w="5450" w:type="dxa"/>
                  <w:gridSpan w:val="2"/>
                  <w:tcBorders>
                    <w:top w:val="outset" w:sz="6" w:space="0" w:color="auto"/>
                    <w:left w:val="outset" w:sz="6" w:space="0" w:color="auto"/>
                    <w:bottom w:val="outset" w:sz="6" w:space="0" w:color="auto"/>
                    <w:right w:val="outset" w:sz="6" w:space="0" w:color="auto"/>
                  </w:tcBorders>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hAnsi="Times New Roman" w:cs="Times New Roman"/>
                      <w:sz w:val="26"/>
                      <w:szCs w:val="26"/>
                      <w:lang w:eastAsia="lv-LV"/>
                    </w:rPr>
                    <w:t xml:space="preserve">Ekonomikas ministrija </w:t>
                  </w:r>
                </w:p>
              </w:tc>
            </w:tr>
            <w:tr w:rsidR="00C16756" w:rsidRPr="003A3B5D" w:rsidTr="00AB532E">
              <w:tblPrEx>
                <w:tblCellSpacing w:w="15" w:type="dxa"/>
                <w:tblBorders>
                  <w:top w:val="outset" w:sz="6" w:space="0" w:color="auto"/>
                  <w:left w:val="outset" w:sz="6" w:space="0" w:color="auto"/>
                  <w:bottom w:val="outset" w:sz="6" w:space="0" w:color="auto"/>
                  <w:right w:val="outset" w:sz="6" w:space="0" w:color="auto"/>
                </w:tblBorders>
              </w:tblPrEx>
              <w:trPr>
                <w:trHeight w:val="434"/>
                <w:tblCellSpacing w:w="15" w:type="dxa"/>
              </w:trPr>
              <w:tc>
                <w:tcPr>
                  <w:tcW w:w="843" w:type="dxa"/>
                  <w:gridSpan w:val="3"/>
                  <w:tcBorders>
                    <w:top w:val="outset" w:sz="6" w:space="0" w:color="auto"/>
                    <w:left w:val="outset" w:sz="6" w:space="0" w:color="auto"/>
                    <w:bottom w:val="outset" w:sz="6" w:space="0" w:color="auto"/>
                    <w:right w:val="outset" w:sz="6" w:space="0" w:color="auto"/>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3.</w:t>
                  </w:r>
                </w:p>
              </w:tc>
              <w:tc>
                <w:tcPr>
                  <w:tcW w:w="2771" w:type="dxa"/>
                  <w:gridSpan w:val="2"/>
                  <w:tcBorders>
                    <w:top w:val="outset" w:sz="6" w:space="0" w:color="auto"/>
                    <w:left w:val="outset" w:sz="6" w:space="0" w:color="auto"/>
                    <w:bottom w:val="outset" w:sz="6" w:space="0" w:color="auto"/>
                    <w:right w:val="outset" w:sz="6" w:space="0" w:color="auto"/>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Cita informācija</w:t>
                  </w:r>
                </w:p>
              </w:tc>
              <w:tc>
                <w:tcPr>
                  <w:tcW w:w="5450" w:type="dxa"/>
                  <w:gridSpan w:val="2"/>
                  <w:tcBorders>
                    <w:top w:val="outset" w:sz="6" w:space="0" w:color="auto"/>
                    <w:left w:val="outset" w:sz="6" w:space="0" w:color="auto"/>
                    <w:bottom w:val="outset" w:sz="6" w:space="0" w:color="auto"/>
                    <w:right w:val="outset" w:sz="6" w:space="0" w:color="auto"/>
                  </w:tcBorders>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 xml:space="preserve">Nav </w:t>
                  </w:r>
                </w:p>
              </w:tc>
            </w:tr>
            <w:tr w:rsidR="00C16756" w:rsidRPr="003A3B5D" w:rsidTr="00AB532E">
              <w:trPr>
                <w:trHeight w:val="345"/>
              </w:trPr>
              <w:tc>
                <w:tcPr>
                  <w:tcW w:w="9064" w:type="dxa"/>
                  <w:gridSpan w:val="7"/>
                  <w:tcBorders>
                    <w:top w:val="outset" w:sz="6" w:space="0" w:color="414142"/>
                    <w:left w:val="nil"/>
                    <w:bottom w:val="nil"/>
                    <w:right w:val="nil"/>
                  </w:tcBorders>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p>
              </w:tc>
            </w:tr>
            <w:tr w:rsidR="00C16756" w:rsidRPr="003A3B5D" w:rsidTr="00AB532E">
              <w:trPr>
                <w:trHeight w:val="375"/>
              </w:trPr>
              <w:tc>
                <w:tcPr>
                  <w:tcW w:w="9064" w:type="dxa"/>
                  <w:gridSpan w:val="7"/>
                  <w:tcBorders>
                    <w:top w:val="outset" w:sz="6" w:space="0" w:color="414142"/>
                    <w:left w:val="outset" w:sz="6" w:space="0" w:color="414142"/>
                    <w:bottom w:val="outset" w:sz="6" w:space="0" w:color="414142"/>
                    <w:right w:val="outset" w:sz="6" w:space="0" w:color="414142"/>
                  </w:tcBorders>
                  <w:vAlign w:val="center"/>
                  <w:hideMark/>
                </w:tcPr>
                <w:p w:rsidR="00DF0AF2" w:rsidRPr="003A3B5D" w:rsidRDefault="00DF0AF2" w:rsidP="00AB532E">
                  <w:pPr>
                    <w:spacing w:after="0" w:line="240" w:lineRule="auto"/>
                    <w:ind w:firstLine="300"/>
                    <w:jc w:val="center"/>
                    <w:rPr>
                      <w:rFonts w:ascii="Times New Roman" w:eastAsia="Times New Roman" w:hAnsi="Times New Roman" w:cs="Times New Roman"/>
                      <w:b/>
                      <w:bCs/>
                      <w:sz w:val="26"/>
                      <w:szCs w:val="26"/>
                      <w:lang w:eastAsia="lv-LV"/>
                    </w:rPr>
                  </w:pPr>
                  <w:r w:rsidRPr="003A3B5D">
                    <w:rPr>
                      <w:rFonts w:ascii="Times New Roman" w:eastAsia="Times New Roman" w:hAnsi="Times New Roman" w:cs="Times New Roman"/>
                      <w:b/>
                      <w:bCs/>
                      <w:sz w:val="26"/>
                      <w:szCs w:val="26"/>
                      <w:lang w:eastAsia="lv-LV"/>
                    </w:rPr>
                    <w:t>VII. Tiesību akta projekta izpildes nodrošināšana un tās ietekme uz institūcijām</w:t>
                  </w:r>
                </w:p>
              </w:tc>
            </w:tr>
            <w:tr w:rsidR="00C16756" w:rsidRPr="003A3B5D" w:rsidTr="00AB532E">
              <w:trPr>
                <w:trHeight w:val="420"/>
              </w:trPr>
              <w:tc>
                <w:tcPr>
                  <w:tcW w:w="559" w:type="dxa"/>
                  <w:gridSpan w:val="2"/>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1.</w:t>
                  </w:r>
                </w:p>
              </w:tc>
              <w:tc>
                <w:tcPr>
                  <w:tcW w:w="3943" w:type="dxa"/>
                  <w:gridSpan w:val="4"/>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Projekta izpildē iesaistītās institūcijas</w:t>
                  </w:r>
                </w:p>
              </w:tc>
              <w:tc>
                <w:tcPr>
                  <w:tcW w:w="4562" w:type="dxa"/>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ind w:left="57" w:right="57"/>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Pašvaldību būvvaldes</w:t>
                  </w:r>
                </w:p>
              </w:tc>
            </w:tr>
            <w:tr w:rsidR="00C16756" w:rsidRPr="003A3B5D" w:rsidTr="00AB532E">
              <w:trPr>
                <w:trHeight w:val="450"/>
              </w:trPr>
              <w:tc>
                <w:tcPr>
                  <w:tcW w:w="559" w:type="dxa"/>
                  <w:gridSpan w:val="2"/>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2.</w:t>
                  </w:r>
                </w:p>
              </w:tc>
              <w:tc>
                <w:tcPr>
                  <w:tcW w:w="3943" w:type="dxa"/>
                  <w:gridSpan w:val="4"/>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 xml:space="preserve">Projekta izpildes ietekme uz pārvaldes funkcijām un institucionālo struktūru. </w:t>
                  </w:r>
                </w:p>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4562" w:type="dxa"/>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ind w:left="57" w:right="57"/>
                    <w:jc w:val="both"/>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Projekta izpilde neietekmēs pārvaldes funkcijas vai institucionālo struktūru</w:t>
                  </w:r>
                </w:p>
              </w:tc>
            </w:tr>
            <w:tr w:rsidR="00C16756" w:rsidRPr="003A3B5D" w:rsidTr="00AB532E">
              <w:trPr>
                <w:trHeight w:val="390"/>
              </w:trPr>
              <w:tc>
                <w:tcPr>
                  <w:tcW w:w="559" w:type="dxa"/>
                  <w:gridSpan w:val="2"/>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3.</w:t>
                  </w:r>
                </w:p>
              </w:tc>
              <w:tc>
                <w:tcPr>
                  <w:tcW w:w="3943" w:type="dxa"/>
                  <w:gridSpan w:val="4"/>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Cita informācija</w:t>
                  </w:r>
                </w:p>
              </w:tc>
              <w:tc>
                <w:tcPr>
                  <w:tcW w:w="4562" w:type="dxa"/>
                  <w:tcBorders>
                    <w:top w:val="outset" w:sz="6" w:space="0" w:color="414142"/>
                    <w:left w:val="outset" w:sz="6" w:space="0" w:color="414142"/>
                    <w:bottom w:val="outset" w:sz="6" w:space="0" w:color="414142"/>
                    <w:right w:val="outset" w:sz="6" w:space="0" w:color="414142"/>
                  </w:tcBorders>
                  <w:hideMark/>
                </w:tcPr>
                <w:p w:rsidR="00DF0AF2" w:rsidRPr="003A3B5D" w:rsidRDefault="00DF0AF2" w:rsidP="00AB532E">
                  <w:pPr>
                    <w:spacing w:after="0" w:line="240" w:lineRule="auto"/>
                    <w:ind w:firstLine="284"/>
                    <w:rPr>
                      <w:rFonts w:ascii="Times New Roman" w:eastAsia="Times New Roman" w:hAnsi="Times New Roman" w:cs="Times New Roman"/>
                      <w:sz w:val="26"/>
                      <w:szCs w:val="26"/>
                      <w:lang w:eastAsia="lv-LV"/>
                    </w:rPr>
                  </w:pPr>
                  <w:r w:rsidRPr="003A3B5D">
                    <w:rPr>
                      <w:rFonts w:ascii="Times New Roman" w:eastAsia="Times New Roman" w:hAnsi="Times New Roman" w:cs="Times New Roman"/>
                      <w:sz w:val="26"/>
                      <w:szCs w:val="26"/>
                      <w:lang w:eastAsia="lv-LV"/>
                    </w:rPr>
                    <w:t>Nav</w:t>
                  </w:r>
                </w:p>
              </w:tc>
            </w:tr>
          </w:tbl>
          <w:p w:rsidR="00E059D6" w:rsidRPr="003A3B5D" w:rsidRDefault="00E059D6" w:rsidP="00AB532E">
            <w:pPr>
              <w:spacing w:after="0" w:line="240" w:lineRule="auto"/>
              <w:rPr>
                <w:rFonts w:ascii="Times New Roman" w:hAnsi="Times New Roman" w:cs="Times New Roman"/>
                <w:i/>
                <w:iCs/>
                <w:sz w:val="28"/>
                <w:szCs w:val="28"/>
              </w:rPr>
            </w:pPr>
          </w:p>
          <w:p w:rsidR="00DF0AF2" w:rsidRPr="003A3B5D" w:rsidRDefault="00DF0AF2" w:rsidP="00AB532E">
            <w:pPr>
              <w:spacing w:after="0" w:line="240" w:lineRule="auto"/>
              <w:rPr>
                <w:rFonts w:ascii="Times New Roman" w:hAnsi="Times New Roman" w:cs="Times New Roman"/>
                <w:i/>
                <w:iCs/>
                <w:sz w:val="28"/>
                <w:szCs w:val="28"/>
              </w:rPr>
            </w:pPr>
            <w:r w:rsidRPr="003A3B5D">
              <w:rPr>
                <w:rFonts w:ascii="Times New Roman" w:hAnsi="Times New Roman" w:cs="Times New Roman"/>
                <w:i/>
                <w:iCs/>
                <w:sz w:val="28"/>
                <w:szCs w:val="28"/>
              </w:rPr>
              <w:t>Anotācijas III, V un VI sadaļa – projekts šīs jomas neskar.</w:t>
            </w:r>
          </w:p>
          <w:p w:rsidR="00DF0AF2" w:rsidRPr="003A3B5D" w:rsidRDefault="00DF0AF2" w:rsidP="00AB532E">
            <w:pPr>
              <w:spacing w:after="0" w:line="240" w:lineRule="auto"/>
              <w:rPr>
                <w:rFonts w:ascii="Times New Roman" w:hAnsi="Times New Roman" w:cs="Times New Roman"/>
                <w:sz w:val="28"/>
                <w:szCs w:val="28"/>
              </w:rPr>
            </w:pPr>
          </w:p>
          <w:p w:rsidR="00DF0AF2" w:rsidRPr="003A3B5D" w:rsidRDefault="00DF0AF2" w:rsidP="00AB532E">
            <w:pPr>
              <w:tabs>
                <w:tab w:val="left" w:pos="990"/>
              </w:tabs>
              <w:spacing w:after="0" w:line="240" w:lineRule="auto"/>
              <w:rPr>
                <w:rFonts w:ascii="Times New Roman" w:eastAsia="Times New Roman" w:hAnsi="Times New Roman" w:cs="Times New Roman"/>
                <w:sz w:val="26"/>
                <w:szCs w:val="26"/>
                <w:lang w:eastAsia="lv-LV"/>
              </w:rPr>
            </w:pPr>
          </w:p>
          <w:p w:rsidR="00E059D6" w:rsidRPr="003A3B5D" w:rsidRDefault="00E059D6" w:rsidP="00AB532E">
            <w:pPr>
              <w:tabs>
                <w:tab w:val="left" w:pos="990"/>
              </w:tabs>
              <w:spacing w:after="0" w:line="240" w:lineRule="auto"/>
              <w:rPr>
                <w:rFonts w:ascii="Times New Roman" w:eastAsia="Times New Roman" w:hAnsi="Times New Roman" w:cs="Times New Roman"/>
                <w:sz w:val="26"/>
                <w:szCs w:val="26"/>
                <w:lang w:eastAsia="lv-LV"/>
              </w:rPr>
            </w:pPr>
          </w:p>
          <w:p w:rsidR="00DF0AF2" w:rsidRPr="003A3B5D" w:rsidRDefault="00DF0AF2" w:rsidP="00AB532E">
            <w:pPr>
              <w:spacing w:after="0" w:line="240" w:lineRule="auto"/>
              <w:rPr>
                <w:rFonts w:ascii="Times New Roman" w:hAnsi="Times New Roman" w:cs="Times New Roman"/>
                <w:bCs/>
                <w:iCs/>
                <w:sz w:val="28"/>
                <w:szCs w:val="28"/>
              </w:rPr>
            </w:pPr>
            <w:r w:rsidRPr="003A3B5D">
              <w:rPr>
                <w:rFonts w:ascii="Times New Roman" w:hAnsi="Times New Roman" w:cs="Times New Roman"/>
                <w:bCs/>
                <w:iCs/>
                <w:sz w:val="28"/>
                <w:szCs w:val="28"/>
              </w:rPr>
              <w:t>Ekonomikas ministrs</w:t>
            </w:r>
            <w:r w:rsidRPr="003A3B5D">
              <w:rPr>
                <w:rFonts w:ascii="Times New Roman" w:hAnsi="Times New Roman" w:cs="Times New Roman"/>
                <w:bCs/>
                <w:iCs/>
                <w:sz w:val="28"/>
                <w:szCs w:val="28"/>
              </w:rPr>
              <w:tab/>
              <w:t xml:space="preserve">                                                              </w:t>
            </w:r>
            <w:proofErr w:type="spellStart"/>
            <w:r w:rsidRPr="003A3B5D">
              <w:rPr>
                <w:rFonts w:ascii="Times New Roman" w:hAnsi="Times New Roman" w:cs="Times New Roman"/>
                <w:bCs/>
                <w:iCs/>
                <w:sz w:val="28"/>
                <w:szCs w:val="28"/>
              </w:rPr>
              <w:t>V.Dombrovskis</w:t>
            </w:r>
            <w:proofErr w:type="spellEnd"/>
          </w:p>
          <w:p w:rsidR="00DF0AF2" w:rsidRPr="003A3B5D" w:rsidRDefault="00DF0AF2" w:rsidP="00AB532E">
            <w:pPr>
              <w:spacing w:after="0" w:line="240" w:lineRule="auto"/>
              <w:rPr>
                <w:rFonts w:ascii="Times New Roman" w:hAnsi="Times New Roman" w:cs="Times New Roman"/>
                <w:bCs/>
                <w:iCs/>
                <w:sz w:val="28"/>
                <w:szCs w:val="28"/>
              </w:rPr>
            </w:pPr>
          </w:p>
          <w:p w:rsidR="00DF0AF2" w:rsidRPr="003A3B5D" w:rsidRDefault="00DF0AF2" w:rsidP="00AB532E">
            <w:pPr>
              <w:spacing w:after="0" w:line="240" w:lineRule="auto"/>
              <w:rPr>
                <w:rFonts w:ascii="Times New Roman" w:hAnsi="Times New Roman" w:cs="Times New Roman"/>
                <w:bCs/>
                <w:iCs/>
                <w:sz w:val="28"/>
                <w:szCs w:val="28"/>
              </w:rPr>
            </w:pPr>
            <w:r w:rsidRPr="003A3B5D">
              <w:rPr>
                <w:rFonts w:ascii="Times New Roman" w:hAnsi="Times New Roman" w:cs="Times New Roman"/>
                <w:bCs/>
                <w:iCs/>
                <w:sz w:val="28"/>
                <w:szCs w:val="28"/>
              </w:rPr>
              <w:t xml:space="preserve">Vīza: </w:t>
            </w:r>
          </w:p>
          <w:p w:rsidR="00DF0AF2" w:rsidRPr="003A3B5D" w:rsidRDefault="00DF0AF2" w:rsidP="00AB532E">
            <w:pPr>
              <w:spacing w:after="0" w:line="240" w:lineRule="auto"/>
              <w:rPr>
                <w:rFonts w:ascii="Times New Roman" w:hAnsi="Times New Roman" w:cs="Times New Roman"/>
                <w:bCs/>
                <w:iCs/>
                <w:sz w:val="28"/>
                <w:szCs w:val="28"/>
              </w:rPr>
            </w:pPr>
            <w:r w:rsidRPr="003A3B5D">
              <w:rPr>
                <w:rFonts w:ascii="Times New Roman" w:hAnsi="Times New Roman" w:cs="Times New Roman"/>
                <w:bCs/>
                <w:iCs/>
                <w:sz w:val="28"/>
                <w:szCs w:val="28"/>
              </w:rPr>
              <w:t xml:space="preserve">Valsts sekretārs                                                                                 </w:t>
            </w:r>
            <w:proofErr w:type="spellStart"/>
            <w:r w:rsidRPr="003A3B5D">
              <w:rPr>
                <w:rFonts w:ascii="Times New Roman" w:hAnsi="Times New Roman" w:cs="Times New Roman"/>
                <w:bCs/>
                <w:iCs/>
                <w:sz w:val="28"/>
                <w:szCs w:val="28"/>
              </w:rPr>
              <w:t>M.Lazdovskis</w:t>
            </w:r>
            <w:proofErr w:type="spellEnd"/>
          </w:p>
          <w:p w:rsidR="00DF0AF2" w:rsidRPr="003A3B5D" w:rsidRDefault="00DF0AF2" w:rsidP="00AB532E">
            <w:pPr>
              <w:tabs>
                <w:tab w:val="left" w:pos="990"/>
              </w:tabs>
              <w:spacing w:after="0" w:line="240" w:lineRule="auto"/>
              <w:rPr>
                <w:rFonts w:ascii="Times New Roman" w:eastAsia="Times New Roman" w:hAnsi="Times New Roman" w:cs="Times New Roman"/>
                <w:sz w:val="26"/>
                <w:szCs w:val="26"/>
                <w:lang w:eastAsia="lv-LV"/>
              </w:rPr>
            </w:pPr>
          </w:p>
          <w:p w:rsidR="00DF0AF2" w:rsidRPr="003A3B5D" w:rsidRDefault="00DF0AF2" w:rsidP="00AB532E">
            <w:pPr>
              <w:tabs>
                <w:tab w:val="left" w:pos="990"/>
              </w:tabs>
              <w:spacing w:after="0" w:line="240" w:lineRule="auto"/>
              <w:rPr>
                <w:rFonts w:ascii="Times New Roman" w:eastAsia="Times New Roman" w:hAnsi="Times New Roman" w:cs="Times New Roman"/>
                <w:sz w:val="26"/>
                <w:szCs w:val="26"/>
                <w:lang w:eastAsia="lv-LV"/>
              </w:rPr>
            </w:pPr>
          </w:p>
          <w:p w:rsidR="00DF0AF2" w:rsidRPr="003A3B5D" w:rsidRDefault="00DF0AF2" w:rsidP="00AB532E">
            <w:pPr>
              <w:spacing w:after="0" w:line="240" w:lineRule="auto"/>
              <w:rPr>
                <w:rFonts w:ascii="Times New Roman" w:hAnsi="Times New Roman" w:cs="Times New Roman"/>
                <w:sz w:val="20"/>
                <w:szCs w:val="20"/>
              </w:rPr>
            </w:pPr>
            <w:r w:rsidRPr="003A3B5D">
              <w:rPr>
                <w:rFonts w:ascii="Times New Roman" w:hAnsi="Times New Roman" w:cs="Times New Roman"/>
                <w:sz w:val="20"/>
                <w:szCs w:val="20"/>
              </w:rPr>
              <w:fldChar w:fldCharType="begin"/>
            </w:r>
            <w:r w:rsidRPr="003A3B5D">
              <w:rPr>
                <w:rFonts w:ascii="Times New Roman" w:hAnsi="Times New Roman" w:cs="Times New Roman"/>
                <w:sz w:val="20"/>
                <w:szCs w:val="20"/>
              </w:rPr>
              <w:instrText xml:space="preserve"> DATE  \@ "dd.MM.yyyy. H:mm"  \* MERGEFORMAT </w:instrText>
            </w:r>
            <w:r w:rsidRPr="003A3B5D">
              <w:rPr>
                <w:rFonts w:ascii="Times New Roman" w:hAnsi="Times New Roman" w:cs="Times New Roman"/>
                <w:sz w:val="20"/>
                <w:szCs w:val="20"/>
              </w:rPr>
              <w:fldChar w:fldCharType="separate"/>
            </w:r>
            <w:r w:rsidR="003A3B5D">
              <w:rPr>
                <w:rFonts w:ascii="Times New Roman" w:hAnsi="Times New Roman" w:cs="Times New Roman"/>
                <w:noProof/>
                <w:sz w:val="20"/>
                <w:szCs w:val="20"/>
              </w:rPr>
              <w:t>23.09.2014. 15:39</w:t>
            </w:r>
            <w:r w:rsidRPr="003A3B5D">
              <w:rPr>
                <w:rFonts w:ascii="Times New Roman" w:hAnsi="Times New Roman" w:cs="Times New Roman"/>
                <w:sz w:val="20"/>
                <w:szCs w:val="20"/>
              </w:rPr>
              <w:fldChar w:fldCharType="end"/>
            </w:r>
            <w:bookmarkStart w:id="0" w:name="_GoBack"/>
            <w:bookmarkEnd w:id="0"/>
          </w:p>
          <w:p w:rsidR="00DF0AF2" w:rsidRPr="003A3B5D" w:rsidRDefault="00DF0AF2" w:rsidP="00AB532E">
            <w:pPr>
              <w:spacing w:after="0" w:line="240" w:lineRule="auto"/>
              <w:rPr>
                <w:rFonts w:ascii="Times New Roman" w:hAnsi="Times New Roman" w:cs="Times New Roman"/>
                <w:sz w:val="20"/>
                <w:szCs w:val="20"/>
              </w:rPr>
            </w:pPr>
            <w:r w:rsidRPr="003A3B5D">
              <w:rPr>
                <w:rFonts w:ascii="Times New Roman" w:hAnsi="Times New Roman" w:cs="Times New Roman"/>
                <w:sz w:val="20"/>
                <w:szCs w:val="20"/>
              </w:rPr>
              <w:fldChar w:fldCharType="begin"/>
            </w:r>
            <w:r w:rsidRPr="003A3B5D">
              <w:rPr>
                <w:rFonts w:ascii="Times New Roman" w:hAnsi="Times New Roman" w:cs="Times New Roman"/>
                <w:sz w:val="20"/>
                <w:szCs w:val="20"/>
              </w:rPr>
              <w:instrText xml:space="preserve"> NUMWORDS   \* MERGEFORMAT </w:instrText>
            </w:r>
            <w:r w:rsidRPr="003A3B5D">
              <w:rPr>
                <w:rFonts w:ascii="Times New Roman" w:hAnsi="Times New Roman" w:cs="Times New Roman"/>
                <w:sz w:val="20"/>
                <w:szCs w:val="20"/>
              </w:rPr>
              <w:fldChar w:fldCharType="separate"/>
            </w:r>
            <w:r w:rsidR="00C16756" w:rsidRPr="003A3B5D">
              <w:rPr>
                <w:rFonts w:ascii="Times New Roman" w:hAnsi="Times New Roman" w:cs="Times New Roman"/>
                <w:noProof/>
                <w:sz w:val="20"/>
                <w:szCs w:val="20"/>
              </w:rPr>
              <w:t>1785</w:t>
            </w:r>
            <w:r w:rsidRPr="003A3B5D">
              <w:rPr>
                <w:rFonts w:ascii="Times New Roman" w:hAnsi="Times New Roman" w:cs="Times New Roman"/>
                <w:sz w:val="20"/>
                <w:szCs w:val="20"/>
              </w:rPr>
              <w:fldChar w:fldCharType="end"/>
            </w:r>
          </w:p>
          <w:p w:rsidR="00DF0AF2" w:rsidRPr="003A3B5D" w:rsidRDefault="00DF0AF2" w:rsidP="00AB532E">
            <w:pPr>
              <w:spacing w:after="0" w:line="240" w:lineRule="auto"/>
              <w:rPr>
                <w:rFonts w:ascii="Times New Roman" w:hAnsi="Times New Roman" w:cs="Times New Roman"/>
                <w:sz w:val="20"/>
                <w:szCs w:val="20"/>
              </w:rPr>
            </w:pPr>
            <w:r w:rsidRPr="003A3B5D">
              <w:rPr>
                <w:rFonts w:ascii="Times New Roman" w:hAnsi="Times New Roman" w:cs="Times New Roman"/>
                <w:sz w:val="20"/>
                <w:szCs w:val="20"/>
              </w:rPr>
              <w:t>E.Bučinska,</w:t>
            </w:r>
          </w:p>
          <w:p w:rsidR="00DF0AF2" w:rsidRPr="003A3B5D" w:rsidRDefault="00DF0AF2" w:rsidP="00AB532E">
            <w:pPr>
              <w:spacing w:after="0" w:line="240" w:lineRule="auto"/>
              <w:rPr>
                <w:rFonts w:ascii="Times New Roman" w:hAnsi="Times New Roman" w:cs="Times New Roman"/>
                <w:sz w:val="20"/>
                <w:szCs w:val="20"/>
              </w:rPr>
            </w:pPr>
            <w:r w:rsidRPr="003A3B5D">
              <w:rPr>
                <w:rFonts w:ascii="Times New Roman" w:hAnsi="Times New Roman" w:cs="Times New Roman"/>
                <w:sz w:val="20"/>
                <w:szCs w:val="20"/>
              </w:rPr>
              <w:t xml:space="preserve">67013032, </w:t>
            </w:r>
            <w:hyperlink r:id="rId7" w:history="1">
              <w:r w:rsidRPr="003A3B5D">
                <w:rPr>
                  <w:rStyle w:val="Hyperlink"/>
                  <w:rFonts w:ascii="Times New Roman" w:hAnsi="Times New Roman" w:cs="Times New Roman"/>
                  <w:color w:val="auto"/>
                  <w:sz w:val="20"/>
                  <w:szCs w:val="20"/>
                  <w:u w:val="none"/>
                </w:rPr>
                <w:t>Elga.Bucinska@em.gov.lv</w:t>
              </w:r>
            </w:hyperlink>
            <w:r w:rsidRPr="003A3B5D">
              <w:rPr>
                <w:rFonts w:ascii="Times New Roman" w:hAnsi="Times New Roman" w:cs="Times New Roman"/>
                <w:sz w:val="20"/>
                <w:szCs w:val="20"/>
              </w:rPr>
              <w:t xml:space="preserve"> </w:t>
            </w:r>
          </w:p>
          <w:p w:rsidR="00DF0AF2" w:rsidRPr="003A3B5D" w:rsidRDefault="00DF0AF2" w:rsidP="00AB532E">
            <w:pPr>
              <w:tabs>
                <w:tab w:val="left" w:pos="990"/>
              </w:tabs>
              <w:spacing w:after="0" w:line="240" w:lineRule="auto"/>
              <w:rPr>
                <w:rFonts w:ascii="Times New Roman" w:eastAsia="Times New Roman" w:hAnsi="Times New Roman" w:cs="Times New Roman"/>
                <w:sz w:val="26"/>
                <w:szCs w:val="26"/>
                <w:lang w:eastAsia="lv-LV"/>
              </w:rPr>
            </w:pPr>
          </w:p>
        </w:tc>
      </w:tr>
    </w:tbl>
    <w:p w:rsidR="002816C3" w:rsidRPr="003A3B5D" w:rsidRDefault="002816C3" w:rsidP="005402ED"/>
    <w:sectPr w:rsidR="002816C3" w:rsidRPr="003A3B5D" w:rsidSect="00CA5943">
      <w:headerReference w:type="default" r:id="rId8"/>
      <w:footerReference w:type="default" r:id="rId9"/>
      <w:footerReference w:type="firs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BD" w:rsidRDefault="00AE69BD" w:rsidP="007F49CB">
      <w:pPr>
        <w:spacing w:after="0" w:line="240" w:lineRule="auto"/>
      </w:pPr>
      <w:r>
        <w:separator/>
      </w:r>
    </w:p>
  </w:endnote>
  <w:endnote w:type="continuationSeparator" w:id="0">
    <w:p w:rsidR="00AE69BD" w:rsidRDefault="00AE69BD" w:rsidP="007F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925E60" w:rsidRDefault="00F963FD" w:rsidP="00925E60">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sidR="007F49CB">
      <w:rPr>
        <w:rFonts w:ascii="Times New Roman" w:hAnsi="Times New Roman" w:cs="Times New Roman"/>
        <w:noProof/>
        <w:color w:val="000000" w:themeColor="text1"/>
        <w:sz w:val="20"/>
        <w:szCs w:val="20"/>
      </w:rPr>
      <w:t>EManot_230914_groz480_buvnodeva</w:t>
    </w:r>
    <w:r>
      <w:rPr>
        <w:rFonts w:ascii="Times New Roman" w:hAnsi="Times New Roman" w:cs="Times New Roman"/>
        <w:color w:val="000000" w:themeColor="text1"/>
        <w:sz w:val="20"/>
        <w:szCs w:val="20"/>
      </w:rPr>
      <w:fldChar w:fldCharType="end"/>
    </w:r>
    <w:r w:rsidRPr="001B2880">
      <w:rPr>
        <w:rFonts w:ascii="Times New Roman" w:hAnsi="Times New Roman" w:cs="Times New Roman"/>
        <w:color w:val="000000" w:themeColor="text1"/>
        <w:sz w:val="20"/>
        <w:szCs w:val="20"/>
      </w:rPr>
      <w:t xml:space="preserve">; </w:t>
    </w:r>
    <w:r w:rsidRPr="005D1B47">
      <w:rPr>
        <w:rFonts w:ascii="Times New Roman" w:hAnsi="Times New Roman" w:cs="Times New Roman"/>
        <w:color w:val="000000" w:themeColor="text1"/>
        <w:sz w:val="20"/>
        <w:szCs w:val="20"/>
      </w:rPr>
      <w:t>Ministru kabineta noteikumu projekts “Grozījum</w:t>
    </w:r>
    <w:r>
      <w:rPr>
        <w:rFonts w:ascii="Times New Roman" w:hAnsi="Times New Roman" w:cs="Times New Roman"/>
        <w:color w:val="000000" w:themeColor="text1"/>
        <w:sz w:val="20"/>
        <w:szCs w:val="20"/>
      </w:rPr>
      <w:t>i</w:t>
    </w:r>
    <w:r w:rsidRPr="005D1B47">
      <w:rPr>
        <w:rFonts w:ascii="Times New Roman" w:hAnsi="Times New Roman" w:cs="Times New Roman"/>
        <w:color w:val="000000" w:themeColor="text1"/>
        <w:sz w:val="20"/>
        <w:szCs w:val="20"/>
      </w:rPr>
      <w:t xml:space="preserve"> Ministru kabineta 2005.gada 28.jūnija noteikumos Nr.480 „noteikumi par kārtību, kādā pašvaldības var uzlikt pašvaldību nodevas” </w:t>
    </w:r>
    <w:r>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47" w:rsidRPr="00925E60" w:rsidRDefault="00F963FD" w:rsidP="005D1B47">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sidR="007F49CB">
      <w:rPr>
        <w:rFonts w:ascii="Times New Roman" w:hAnsi="Times New Roman" w:cs="Times New Roman"/>
        <w:noProof/>
        <w:color w:val="000000" w:themeColor="text1"/>
        <w:sz w:val="20"/>
        <w:szCs w:val="20"/>
      </w:rPr>
      <w:t>EManot_230914_groz480_buvnodeva</w:t>
    </w:r>
    <w:r>
      <w:rPr>
        <w:rFonts w:ascii="Times New Roman" w:hAnsi="Times New Roman" w:cs="Times New Roman"/>
        <w:color w:val="000000" w:themeColor="text1"/>
        <w:sz w:val="20"/>
        <w:szCs w:val="20"/>
      </w:rPr>
      <w:fldChar w:fldCharType="end"/>
    </w:r>
    <w:r w:rsidRPr="001B2880">
      <w:rPr>
        <w:rFonts w:ascii="Times New Roman" w:hAnsi="Times New Roman" w:cs="Times New Roman"/>
        <w:color w:val="000000" w:themeColor="text1"/>
        <w:sz w:val="20"/>
        <w:szCs w:val="20"/>
      </w:rPr>
      <w:t xml:space="preserve">; </w:t>
    </w:r>
    <w:r w:rsidRPr="005D1B47">
      <w:rPr>
        <w:rFonts w:ascii="Times New Roman" w:hAnsi="Times New Roman" w:cs="Times New Roman"/>
        <w:color w:val="000000" w:themeColor="text1"/>
        <w:sz w:val="20"/>
        <w:szCs w:val="20"/>
      </w:rPr>
      <w:t>Ministru kabineta noteikumu projekts “Grozījum</w:t>
    </w:r>
    <w:r>
      <w:rPr>
        <w:rFonts w:ascii="Times New Roman" w:hAnsi="Times New Roman" w:cs="Times New Roman"/>
        <w:color w:val="000000" w:themeColor="text1"/>
        <w:sz w:val="20"/>
        <w:szCs w:val="20"/>
      </w:rPr>
      <w:t>i</w:t>
    </w:r>
    <w:r w:rsidRPr="005D1B47">
      <w:rPr>
        <w:rFonts w:ascii="Times New Roman" w:hAnsi="Times New Roman" w:cs="Times New Roman"/>
        <w:color w:val="000000" w:themeColor="text1"/>
        <w:sz w:val="20"/>
        <w:szCs w:val="20"/>
      </w:rPr>
      <w:t xml:space="preserve"> Ministru kabineta 2005.gada 28.jūnija noteikumos Nr.480 „noteikumi par kārtību, kādā pašvaldības var uzlikt pašvaldību nodevas” </w:t>
    </w:r>
    <w:r>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BD" w:rsidRDefault="00AE69BD" w:rsidP="007F49CB">
      <w:pPr>
        <w:spacing w:after="0" w:line="240" w:lineRule="auto"/>
      </w:pPr>
      <w:r>
        <w:separator/>
      </w:r>
    </w:p>
  </w:footnote>
  <w:footnote w:type="continuationSeparator" w:id="0">
    <w:p w:rsidR="00AE69BD" w:rsidRDefault="00AE69BD" w:rsidP="007F4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F963FD">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A3B5D">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4D15A9" w:rsidRDefault="003A3B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F2"/>
    <w:rsid w:val="00035481"/>
    <w:rsid w:val="000D0A71"/>
    <w:rsid w:val="00165095"/>
    <w:rsid w:val="002816C3"/>
    <w:rsid w:val="003A3B5D"/>
    <w:rsid w:val="003E6AE0"/>
    <w:rsid w:val="005402ED"/>
    <w:rsid w:val="006F3F24"/>
    <w:rsid w:val="00755E84"/>
    <w:rsid w:val="007F49CB"/>
    <w:rsid w:val="008C7C0A"/>
    <w:rsid w:val="009C183B"/>
    <w:rsid w:val="00AE69BD"/>
    <w:rsid w:val="00C16756"/>
    <w:rsid w:val="00DF0AF2"/>
    <w:rsid w:val="00E059D6"/>
    <w:rsid w:val="00F14D7F"/>
    <w:rsid w:val="00F963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A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0AF2"/>
  </w:style>
  <w:style w:type="paragraph" w:styleId="Footer">
    <w:name w:val="footer"/>
    <w:basedOn w:val="Normal"/>
    <w:link w:val="FooterChar"/>
    <w:uiPriority w:val="99"/>
    <w:unhideWhenUsed/>
    <w:rsid w:val="00DF0A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0AF2"/>
  </w:style>
  <w:style w:type="character" w:styleId="Hyperlink">
    <w:name w:val="Hyperlink"/>
    <w:basedOn w:val="DefaultParagraphFont"/>
    <w:uiPriority w:val="99"/>
    <w:unhideWhenUsed/>
    <w:rsid w:val="00DF0AF2"/>
    <w:rPr>
      <w:color w:val="0000FF" w:themeColor="hyperlink"/>
      <w:u w:val="single"/>
    </w:rPr>
  </w:style>
  <w:style w:type="paragraph" w:customStyle="1" w:styleId="tv2131">
    <w:name w:val="tv2131"/>
    <w:basedOn w:val="Normal"/>
    <w:rsid w:val="00DF0AF2"/>
    <w:pPr>
      <w:spacing w:before="240" w:after="0" w:line="360" w:lineRule="auto"/>
      <w:ind w:firstLine="300"/>
      <w:jc w:val="both"/>
    </w:pPr>
    <w:rPr>
      <w:rFonts w:ascii="Verdana" w:eastAsia="Times New Roman" w:hAnsi="Verdana" w:cs="Times New Roman"/>
      <w:sz w:val="18"/>
      <w:szCs w:val="18"/>
      <w:lang w:eastAsia="lv-LV"/>
    </w:rPr>
  </w:style>
  <w:style w:type="paragraph" w:styleId="BalloonText">
    <w:name w:val="Balloon Text"/>
    <w:basedOn w:val="Normal"/>
    <w:link w:val="BalloonTextChar"/>
    <w:uiPriority w:val="99"/>
    <w:semiHidden/>
    <w:unhideWhenUsed/>
    <w:rsid w:val="00DF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A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0AF2"/>
  </w:style>
  <w:style w:type="paragraph" w:styleId="Footer">
    <w:name w:val="footer"/>
    <w:basedOn w:val="Normal"/>
    <w:link w:val="FooterChar"/>
    <w:uiPriority w:val="99"/>
    <w:unhideWhenUsed/>
    <w:rsid w:val="00DF0A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0AF2"/>
  </w:style>
  <w:style w:type="character" w:styleId="Hyperlink">
    <w:name w:val="Hyperlink"/>
    <w:basedOn w:val="DefaultParagraphFont"/>
    <w:uiPriority w:val="99"/>
    <w:unhideWhenUsed/>
    <w:rsid w:val="00DF0AF2"/>
    <w:rPr>
      <w:color w:val="0000FF" w:themeColor="hyperlink"/>
      <w:u w:val="single"/>
    </w:rPr>
  </w:style>
  <w:style w:type="paragraph" w:customStyle="1" w:styleId="tv2131">
    <w:name w:val="tv2131"/>
    <w:basedOn w:val="Normal"/>
    <w:rsid w:val="00DF0AF2"/>
    <w:pPr>
      <w:spacing w:before="240" w:after="0" w:line="360" w:lineRule="auto"/>
      <w:ind w:firstLine="300"/>
      <w:jc w:val="both"/>
    </w:pPr>
    <w:rPr>
      <w:rFonts w:ascii="Verdana" w:eastAsia="Times New Roman" w:hAnsi="Verdana" w:cs="Times New Roman"/>
      <w:sz w:val="18"/>
      <w:szCs w:val="18"/>
      <w:lang w:eastAsia="lv-LV"/>
    </w:rPr>
  </w:style>
  <w:style w:type="paragraph" w:styleId="BalloonText">
    <w:name w:val="Balloon Text"/>
    <w:basedOn w:val="Normal"/>
    <w:link w:val="BalloonTextChar"/>
    <w:uiPriority w:val="99"/>
    <w:semiHidden/>
    <w:unhideWhenUsed/>
    <w:rsid w:val="00DF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00734">
      <w:bodyDiv w:val="1"/>
      <w:marLeft w:val="0"/>
      <w:marRight w:val="0"/>
      <w:marTop w:val="0"/>
      <w:marBottom w:val="0"/>
      <w:divBdr>
        <w:top w:val="none" w:sz="0" w:space="0" w:color="auto"/>
        <w:left w:val="none" w:sz="0" w:space="0" w:color="auto"/>
        <w:bottom w:val="none" w:sz="0" w:space="0" w:color="auto"/>
        <w:right w:val="none" w:sz="0" w:space="0" w:color="auto"/>
      </w:divBdr>
      <w:divsChild>
        <w:div w:id="1797874543">
          <w:marLeft w:val="0"/>
          <w:marRight w:val="0"/>
          <w:marTop w:val="0"/>
          <w:marBottom w:val="0"/>
          <w:divBdr>
            <w:top w:val="none" w:sz="0" w:space="0" w:color="auto"/>
            <w:left w:val="none" w:sz="0" w:space="0" w:color="auto"/>
            <w:bottom w:val="none" w:sz="0" w:space="0" w:color="auto"/>
            <w:right w:val="none" w:sz="0" w:space="0" w:color="auto"/>
          </w:divBdr>
          <w:divsChild>
            <w:div w:id="623659353">
              <w:marLeft w:val="0"/>
              <w:marRight w:val="0"/>
              <w:marTop w:val="0"/>
              <w:marBottom w:val="0"/>
              <w:divBdr>
                <w:top w:val="none" w:sz="0" w:space="0" w:color="auto"/>
                <w:left w:val="none" w:sz="0" w:space="0" w:color="auto"/>
                <w:bottom w:val="none" w:sz="0" w:space="0" w:color="auto"/>
                <w:right w:val="none" w:sz="0" w:space="0" w:color="auto"/>
              </w:divBdr>
              <w:divsChild>
                <w:div w:id="1047026051">
                  <w:marLeft w:val="0"/>
                  <w:marRight w:val="0"/>
                  <w:marTop w:val="0"/>
                  <w:marBottom w:val="0"/>
                  <w:divBdr>
                    <w:top w:val="none" w:sz="0" w:space="0" w:color="auto"/>
                    <w:left w:val="none" w:sz="0" w:space="0" w:color="auto"/>
                    <w:bottom w:val="none" w:sz="0" w:space="0" w:color="auto"/>
                    <w:right w:val="none" w:sz="0" w:space="0" w:color="auto"/>
                  </w:divBdr>
                  <w:divsChild>
                    <w:div w:id="1720737473">
                      <w:marLeft w:val="0"/>
                      <w:marRight w:val="0"/>
                      <w:marTop w:val="0"/>
                      <w:marBottom w:val="0"/>
                      <w:divBdr>
                        <w:top w:val="none" w:sz="0" w:space="0" w:color="auto"/>
                        <w:left w:val="none" w:sz="0" w:space="0" w:color="auto"/>
                        <w:bottom w:val="none" w:sz="0" w:space="0" w:color="auto"/>
                        <w:right w:val="none" w:sz="0" w:space="0" w:color="auto"/>
                      </w:divBdr>
                      <w:divsChild>
                        <w:div w:id="400911460">
                          <w:marLeft w:val="0"/>
                          <w:marRight w:val="0"/>
                          <w:marTop w:val="0"/>
                          <w:marBottom w:val="0"/>
                          <w:divBdr>
                            <w:top w:val="none" w:sz="0" w:space="0" w:color="auto"/>
                            <w:left w:val="none" w:sz="0" w:space="0" w:color="auto"/>
                            <w:bottom w:val="none" w:sz="0" w:space="0" w:color="auto"/>
                            <w:right w:val="none" w:sz="0" w:space="0" w:color="auto"/>
                          </w:divBdr>
                          <w:divsChild>
                            <w:div w:id="18453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ga.Bucinska@em.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9487</Words>
  <Characters>5408</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11</cp:revision>
  <dcterms:created xsi:type="dcterms:W3CDTF">2014-09-23T07:01:00Z</dcterms:created>
  <dcterms:modified xsi:type="dcterms:W3CDTF">2014-09-23T12:39:00Z</dcterms:modified>
</cp:coreProperties>
</file>