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EF" w:rsidRDefault="00F048EF" w:rsidP="009055FB">
      <w:pPr>
        <w:spacing w:after="0" w:line="240" w:lineRule="auto"/>
        <w:jc w:val="center"/>
        <w:rPr>
          <w:rFonts w:ascii="Times New Roman" w:hAnsi="Times New Roman" w:cs="Times New Roman"/>
          <w:b/>
          <w:sz w:val="32"/>
          <w:szCs w:val="32"/>
        </w:rPr>
      </w:pPr>
      <w:bookmarkStart w:id="0" w:name="_GoBack"/>
      <w:bookmarkEnd w:id="0"/>
    </w:p>
    <w:p w:rsidR="00F048EF" w:rsidRDefault="00F048EF" w:rsidP="009055FB">
      <w:pPr>
        <w:spacing w:after="0" w:line="240" w:lineRule="auto"/>
        <w:jc w:val="center"/>
        <w:rPr>
          <w:rFonts w:ascii="Times New Roman" w:hAnsi="Times New Roman" w:cs="Times New Roman"/>
          <w:b/>
          <w:sz w:val="32"/>
          <w:szCs w:val="32"/>
        </w:rPr>
      </w:pPr>
    </w:p>
    <w:p w:rsidR="00F048EF" w:rsidRDefault="00F048EF" w:rsidP="009055FB">
      <w:pPr>
        <w:spacing w:after="0" w:line="240" w:lineRule="auto"/>
        <w:jc w:val="center"/>
        <w:rPr>
          <w:rFonts w:ascii="Times New Roman" w:hAnsi="Times New Roman" w:cs="Times New Roman"/>
          <w:b/>
          <w:sz w:val="32"/>
          <w:szCs w:val="32"/>
        </w:rPr>
      </w:pPr>
    </w:p>
    <w:p w:rsidR="00F048EF" w:rsidRDefault="00F048EF" w:rsidP="009055FB">
      <w:pPr>
        <w:spacing w:after="0" w:line="240" w:lineRule="auto"/>
        <w:jc w:val="center"/>
        <w:rPr>
          <w:rFonts w:ascii="Times New Roman" w:hAnsi="Times New Roman" w:cs="Times New Roman"/>
          <w:b/>
          <w:sz w:val="32"/>
          <w:szCs w:val="32"/>
        </w:rPr>
      </w:pPr>
    </w:p>
    <w:p w:rsidR="00F048EF" w:rsidRDefault="00F048EF" w:rsidP="009055FB">
      <w:pPr>
        <w:spacing w:after="0" w:line="240" w:lineRule="auto"/>
        <w:jc w:val="center"/>
        <w:rPr>
          <w:rFonts w:ascii="Times New Roman" w:hAnsi="Times New Roman" w:cs="Times New Roman"/>
          <w:b/>
          <w:sz w:val="32"/>
          <w:szCs w:val="32"/>
        </w:rPr>
      </w:pPr>
    </w:p>
    <w:p w:rsidR="00F048EF" w:rsidRDefault="00F048EF" w:rsidP="009055FB">
      <w:pPr>
        <w:spacing w:after="0" w:line="240" w:lineRule="auto"/>
        <w:jc w:val="center"/>
        <w:rPr>
          <w:rFonts w:ascii="Times New Roman" w:hAnsi="Times New Roman" w:cs="Times New Roman"/>
          <w:b/>
          <w:sz w:val="32"/>
          <w:szCs w:val="32"/>
        </w:rPr>
      </w:pPr>
    </w:p>
    <w:p w:rsidR="00E66D8B" w:rsidRDefault="00FC713A" w:rsidP="009055F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Latvijas a</w:t>
      </w:r>
      <w:r w:rsidR="00E66D8B" w:rsidRPr="00BC7BD8">
        <w:rPr>
          <w:rFonts w:ascii="Times New Roman" w:hAnsi="Times New Roman" w:cs="Times New Roman"/>
          <w:b/>
          <w:sz w:val="32"/>
          <w:szCs w:val="32"/>
        </w:rPr>
        <w:t>ugstākās izglītības</w:t>
      </w:r>
      <w:r w:rsidR="00E66D8B">
        <w:rPr>
          <w:rFonts w:ascii="Times New Roman" w:hAnsi="Times New Roman" w:cs="Times New Roman"/>
          <w:b/>
          <w:sz w:val="32"/>
          <w:szCs w:val="32"/>
        </w:rPr>
        <w:t xml:space="preserve"> ārējās</w:t>
      </w:r>
      <w:r w:rsidR="00E66D8B" w:rsidRPr="00BC7BD8">
        <w:rPr>
          <w:rFonts w:ascii="Times New Roman" w:hAnsi="Times New Roman" w:cs="Times New Roman"/>
          <w:b/>
          <w:sz w:val="32"/>
          <w:szCs w:val="32"/>
        </w:rPr>
        <w:t xml:space="preserve"> kvalitātes nodrošināšanas sistēmas pilnveide</w:t>
      </w:r>
    </w:p>
    <w:p w:rsidR="00E66D8B" w:rsidRDefault="00E66D8B" w:rsidP="009055FB">
      <w:pPr>
        <w:spacing w:after="0" w:line="240" w:lineRule="auto"/>
        <w:jc w:val="center"/>
        <w:rPr>
          <w:rFonts w:ascii="Times New Roman" w:hAnsi="Times New Roman" w:cs="Times New Roman"/>
          <w:sz w:val="28"/>
          <w:szCs w:val="28"/>
        </w:rPr>
      </w:pPr>
      <w:r w:rsidRPr="00E66D8B">
        <w:rPr>
          <w:rFonts w:ascii="Times New Roman" w:hAnsi="Times New Roman" w:cs="Times New Roman"/>
          <w:sz w:val="28"/>
          <w:szCs w:val="28"/>
        </w:rPr>
        <w:t>Koncepcija</w:t>
      </w:r>
    </w:p>
    <w:p w:rsidR="00C90D94" w:rsidRDefault="00C90D94" w:rsidP="009055FB">
      <w:pPr>
        <w:spacing w:after="0" w:line="240" w:lineRule="auto"/>
        <w:rPr>
          <w:rFonts w:ascii="Times New Roman" w:hAnsi="Times New Roman" w:cs="Times New Roman"/>
          <w:b/>
          <w:bCs/>
          <w:noProof/>
          <w:sz w:val="32"/>
          <w:szCs w:val="32"/>
        </w:rPr>
      </w:pPr>
      <w:r>
        <w:rPr>
          <w:rFonts w:ascii="Times New Roman" w:hAnsi="Times New Roman" w:cs="Times New Roman"/>
          <w:b/>
          <w:bCs/>
          <w:noProof/>
          <w:sz w:val="32"/>
          <w:szCs w:val="32"/>
        </w:rPr>
        <w:br w:type="page"/>
      </w:r>
    </w:p>
    <w:p w:rsidR="00E66D8B" w:rsidRPr="00C90D94" w:rsidRDefault="00C90D94" w:rsidP="009055FB">
      <w:pPr>
        <w:pStyle w:val="Heading1"/>
        <w:spacing w:before="0" w:line="240" w:lineRule="auto"/>
        <w:jc w:val="center"/>
        <w:rPr>
          <w:rFonts w:ascii="Times New Roman" w:hAnsi="Times New Roman" w:cs="Times New Roman"/>
          <w:noProof/>
          <w:color w:val="auto"/>
          <w:sz w:val="32"/>
          <w:szCs w:val="32"/>
        </w:rPr>
      </w:pPr>
      <w:bookmarkStart w:id="1" w:name="_Toc395890853"/>
      <w:r w:rsidRPr="00C90D94">
        <w:rPr>
          <w:rFonts w:ascii="Times New Roman" w:hAnsi="Times New Roman" w:cs="Times New Roman"/>
          <w:noProof/>
          <w:color w:val="auto"/>
          <w:sz w:val="32"/>
          <w:szCs w:val="32"/>
        </w:rPr>
        <w:lastRenderedPageBreak/>
        <w:t>Saturs</w:t>
      </w:r>
      <w:bookmarkEnd w:id="1"/>
    </w:p>
    <w:sdt>
      <w:sdtPr>
        <w:rPr>
          <w:rFonts w:ascii="Times New Roman" w:eastAsiaTheme="minorHAnsi" w:hAnsi="Times New Roman" w:cs="Times New Roman"/>
          <w:color w:val="auto"/>
          <w:sz w:val="26"/>
          <w:szCs w:val="26"/>
          <w:lang w:val="lv-LV"/>
        </w:rPr>
        <w:id w:val="-1219278644"/>
        <w:docPartObj>
          <w:docPartGallery w:val="Table of Contents"/>
          <w:docPartUnique/>
        </w:docPartObj>
      </w:sdtPr>
      <w:sdtEndPr>
        <w:rPr>
          <w:bCs/>
          <w:noProof/>
        </w:rPr>
      </w:sdtEndPr>
      <w:sdtContent>
        <w:p w:rsidR="00C90D94" w:rsidRPr="00F10947" w:rsidRDefault="00C90D94" w:rsidP="009055FB">
          <w:pPr>
            <w:pStyle w:val="TOCHeading"/>
            <w:spacing w:before="0" w:line="240" w:lineRule="auto"/>
            <w:jc w:val="both"/>
            <w:rPr>
              <w:rFonts w:ascii="Times New Roman" w:hAnsi="Times New Roman" w:cs="Times New Roman"/>
              <w:sz w:val="26"/>
              <w:szCs w:val="26"/>
            </w:rPr>
          </w:pPr>
        </w:p>
        <w:p w:rsidR="00E11539" w:rsidRPr="00512AFA" w:rsidRDefault="00081D6C" w:rsidP="009055FB">
          <w:pPr>
            <w:pStyle w:val="TOC1"/>
            <w:spacing w:after="0" w:line="240" w:lineRule="auto"/>
            <w:rPr>
              <w:rFonts w:eastAsiaTheme="minorEastAsia"/>
              <w:b w:val="0"/>
              <w:lang w:eastAsia="lv-LV"/>
            </w:rPr>
          </w:pPr>
          <w:r w:rsidRPr="00F10947">
            <w:fldChar w:fldCharType="begin"/>
          </w:r>
          <w:r w:rsidR="00C90D94" w:rsidRPr="00F10947">
            <w:instrText xml:space="preserve"> TOC \o "1-3" \h \z \u </w:instrText>
          </w:r>
          <w:r w:rsidRPr="00F10947">
            <w:fldChar w:fldCharType="separate"/>
          </w:r>
        </w:p>
        <w:p w:rsidR="00E11539" w:rsidRPr="00512AFA" w:rsidRDefault="000E1B8B" w:rsidP="009055FB">
          <w:pPr>
            <w:pStyle w:val="TOC1"/>
            <w:spacing w:after="0" w:line="240" w:lineRule="auto"/>
            <w:rPr>
              <w:rFonts w:eastAsiaTheme="minorEastAsia"/>
              <w:b w:val="0"/>
              <w:lang w:eastAsia="lv-LV"/>
            </w:rPr>
          </w:pPr>
          <w:hyperlink w:anchor="_Toc395890854" w:history="1">
            <w:r w:rsidR="00E11539" w:rsidRPr="00512AFA">
              <w:rPr>
                <w:rStyle w:val="Hyperlink"/>
                <w:b w:val="0"/>
              </w:rPr>
              <w:t>Saīsinājumi un skaidrojumi</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_Toc395890854 \h </w:instrText>
            </w:r>
            <w:r w:rsidR="00081D6C" w:rsidRPr="00512AFA">
              <w:rPr>
                <w:b w:val="0"/>
                <w:webHidden/>
              </w:rPr>
            </w:r>
            <w:r w:rsidR="00081D6C" w:rsidRPr="00512AFA">
              <w:rPr>
                <w:b w:val="0"/>
                <w:webHidden/>
              </w:rPr>
              <w:fldChar w:fldCharType="separate"/>
            </w:r>
            <w:r w:rsidR="00562A1E">
              <w:rPr>
                <w:b w:val="0"/>
                <w:webHidden/>
              </w:rPr>
              <w:t>3</w:t>
            </w:r>
            <w:r w:rsidR="00081D6C" w:rsidRPr="00512AFA">
              <w:rPr>
                <w:b w:val="0"/>
                <w:webHidden/>
              </w:rPr>
              <w:fldChar w:fldCharType="end"/>
            </w:r>
          </w:hyperlink>
        </w:p>
        <w:p w:rsidR="00E11539" w:rsidRPr="00512AFA" w:rsidRDefault="000E1B8B" w:rsidP="009055FB">
          <w:pPr>
            <w:pStyle w:val="TOC1"/>
            <w:spacing w:after="0" w:line="240" w:lineRule="auto"/>
            <w:rPr>
              <w:rFonts w:eastAsiaTheme="minorEastAsia"/>
              <w:b w:val="0"/>
              <w:lang w:eastAsia="lv-LV"/>
            </w:rPr>
          </w:pPr>
          <w:hyperlink w:anchor="_Toc395890855" w:history="1">
            <w:r w:rsidR="00E11539" w:rsidRPr="00512AFA">
              <w:rPr>
                <w:rStyle w:val="Hyperlink"/>
                <w:b w:val="0"/>
              </w:rPr>
              <w:t>Ievads</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_Toc395890855 \h </w:instrText>
            </w:r>
            <w:r w:rsidR="00081D6C" w:rsidRPr="00512AFA">
              <w:rPr>
                <w:b w:val="0"/>
                <w:webHidden/>
              </w:rPr>
            </w:r>
            <w:r w:rsidR="00081D6C" w:rsidRPr="00512AFA">
              <w:rPr>
                <w:b w:val="0"/>
                <w:webHidden/>
              </w:rPr>
              <w:fldChar w:fldCharType="separate"/>
            </w:r>
            <w:r w:rsidR="00562A1E">
              <w:rPr>
                <w:b w:val="0"/>
                <w:webHidden/>
              </w:rPr>
              <w:t>4</w:t>
            </w:r>
            <w:r w:rsidR="00081D6C" w:rsidRPr="00512AFA">
              <w:rPr>
                <w:b w:val="0"/>
                <w:webHidden/>
              </w:rPr>
              <w:fldChar w:fldCharType="end"/>
            </w:r>
          </w:hyperlink>
        </w:p>
        <w:p w:rsidR="00E11539" w:rsidRPr="00512AFA" w:rsidRDefault="000E1B8B" w:rsidP="009055FB">
          <w:pPr>
            <w:pStyle w:val="TOC1"/>
            <w:spacing w:after="0" w:line="240" w:lineRule="auto"/>
            <w:rPr>
              <w:rFonts w:eastAsiaTheme="minorEastAsia"/>
              <w:b w:val="0"/>
              <w:lang w:eastAsia="lv-LV"/>
            </w:rPr>
          </w:pPr>
          <w:hyperlink w:anchor="_Toc395890856" w:history="1">
            <w:r w:rsidR="00E11539" w:rsidRPr="00512AFA">
              <w:rPr>
                <w:rStyle w:val="Hyperlink"/>
                <w:b w:val="0"/>
              </w:rPr>
              <w:t>1.</w:t>
            </w:r>
            <w:r w:rsidR="00E11539" w:rsidRPr="00512AFA">
              <w:rPr>
                <w:rFonts w:eastAsiaTheme="minorEastAsia"/>
                <w:b w:val="0"/>
                <w:lang w:eastAsia="lv-LV"/>
              </w:rPr>
              <w:tab/>
            </w:r>
            <w:r w:rsidR="00E11539" w:rsidRPr="00512AFA">
              <w:rPr>
                <w:rStyle w:val="Hyperlink"/>
                <w:b w:val="0"/>
              </w:rPr>
              <w:t>Koncepcijas mērķis</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_Toc395890856 \h </w:instrText>
            </w:r>
            <w:r w:rsidR="00081D6C" w:rsidRPr="00512AFA">
              <w:rPr>
                <w:b w:val="0"/>
                <w:webHidden/>
              </w:rPr>
            </w:r>
            <w:r w:rsidR="00081D6C" w:rsidRPr="00512AFA">
              <w:rPr>
                <w:b w:val="0"/>
                <w:webHidden/>
              </w:rPr>
              <w:fldChar w:fldCharType="separate"/>
            </w:r>
            <w:r w:rsidR="00562A1E">
              <w:rPr>
                <w:b w:val="0"/>
                <w:webHidden/>
              </w:rPr>
              <w:t>6</w:t>
            </w:r>
            <w:r w:rsidR="00081D6C" w:rsidRPr="00512AFA">
              <w:rPr>
                <w:b w:val="0"/>
                <w:webHidden/>
              </w:rPr>
              <w:fldChar w:fldCharType="end"/>
            </w:r>
          </w:hyperlink>
        </w:p>
        <w:p w:rsidR="00E11539" w:rsidRPr="00512AFA" w:rsidRDefault="000E1B8B" w:rsidP="009055FB">
          <w:pPr>
            <w:pStyle w:val="TOC1"/>
            <w:spacing w:after="0" w:line="240" w:lineRule="auto"/>
            <w:rPr>
              <w:rFonts w:eastAsiaTheme="minorEastAsia"/>
              <w:b w:val="0"/>
              <w:lang w:eastAsia="lv-LV"/>
            </w:rPr>
          </w:pPr>
          <w:hyperlink w:anchor="_Toc395890857" w:history="1">
            <w:r w:rsidR="00E11539" w:rsidRPr="00512AFA">
              <w:rPr>
                <w:rStyle w:val="Hyperlink"/>
                <w:b w:val="0"/>
              </w:rPr>
              <w:t>2.</w:t>
            </w:r>
            <w:r w:rsidR="00E11539" w:rsidRPr="00512AFA">
              <w:rPr>
                <w:rFonts w:eastAsiaTheme="minorEastAsia"/>
                <w:b w:val="0"/>
                <w:lang w:eastAsia="lv-LV"/>
              </w:rPr>
              <w:tab/>
            </w:r>
            <w:r w:rsidR="00E11539" w:rsidRPr="00512AFA">
              <w:rPr>
                <w:rStyle w:val="Hyperlink"/>
                <w:b w:val="0"/>
              </w:rPr>
              <w:t>Latvijas un EAIT augstākās izglītības kvalitātes nodrošināšanas sistēmas</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_Toc395890857 \h </w:instrText>
            </w:r>
            <w:r w:rsidR="00081D6C" w:rsidRPr="00512AFA">
              <w:rPr>
                <w:b w:val="0"/>
                <w:webHidden/>
              </w:rPr>
            </w:r>
            <w:r w:rsidR="00081D6C" w:rsidRPr="00512AFA">
              <w:rPr>
                <w:b w:val="0"/>
                <w:webHidden/>
              </w:rPr>
              <w:fldChar w:fldCharType="separate"/>
            </w:r>
            <w:r w:rsidR="00562A1E">
              <w:rPr>
                <w:b w:val="0"/>
                <w:webHidden/>
              </w:rPr>
              <w:t>7</w:t>
            </w:r>
            <w:r w:rsidR="00081D6C" w:rsidRPr="00512AFA">
              <w:rPr>
                <w:b w:val="0"/>
                <w:webHidden/>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58" w:history="1">
            <w:r w:rsidR="00E11539" w:rsidRPr="00512AFA">
              <w:rPr>
                <w:rStyle w:val="Hyperlink"/>
                <w:rFonts w:ascii="Times New Roman" w:hAnsi="Times New Roman" w:cs="Times New Roman"/>
                <w:noProof/>
                <w:sz w:val="26"/>
                <w:szCs w:val="26"/>
              </w:rPr>
              <w:t>2.1. Ārējās kvalitātes nodrošināšanas sistēma Latvijā</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_Toc395890858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7</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3"/>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59" w:history="1">
            <w:r w:rsidR="00E11539" w:rsidRPr="00512AFA">
              <w:rPr>
                <w:rStyle w:val="Hyperlink"/>
                <w:rFonts w:ascii="Times New Roman" w:hAnsi="Times New Roman" w:cs="Times New Roman"/>
                <w:noProof/>
                <w:sz w:val="26"/>
                <w:szCs w:val="26"/>
              </w:rPr>
              <w:t>2.1.1. Akreditācijas organizēšana</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_Toc395890859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7</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3"/>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0" w:history="1">
            <w:r w:rsidR="00E11539" w:rsidRPr="00512AFA">
              <w:rPr>
                <w:rStyle w:val="Hyperlink"/>
                <w:rFonts w:ascii="Times New Roman" w:hAnsi="Times New Roman" w:cs="Times New Roman"/>
                <w:noProof/>
                <w:sz w:val="26"/>
                <w:szCs w:val="26"/>
              </w:rPr>
              <w:t>2.1.2. Studiju programmu licencēšana</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_Toc395890860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9</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1" w:history="1">
            <w:r w:rsidR="00E11539" w:rsidRPr="00512AFA">
              <w:rPr>
                <w:rStyle w:val="Hyperlink"/>
                <w:rFonts w:ascii="Times New Roman" w:hAnsi="Times New Roman" w:cs="Times New Roman"/>
                <w:noProof/>
                <w:sz w:val="26"/>
                <w:szCs w:val="26"/>
              </w:rPr>
              <w:t>2.2. Ārējās kvalitātes nodrošināšanas sistēma Eiropā</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_Toc395890861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10</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2" w:history="1">
            <w:r w:rsidR="00E11539" w:rsidRPr="00512AFA">
              <w:rPr>
                <w:rStyle w:val="Hyperlink"/>
                <w:rFonts w:ascii="Times New Roman" w:hAnsi="Times New Roman" w:cs="Times New Roman"/>
                <w:noProof/>
                <w:sz w:val="26"/>
                <w:szCs w:val="26"/>
              </w:rPr>
              <w:t>2.3. Eiropas augstākās izglītības kvalitātes nodrošināšanas reģistrs</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_Toc395890862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13</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1"/>
            <w:spacing w:after="0" w:line="240" w:lineRule="auto"/>
            <w:rPr>
              <w:rFonts w:eastAsiaTheme="minorEastAsia"/>
              <w:b w:val="0"/>
              <w:lang w:eastAsia="lv-LV"/>
            </w:rPr>
          </w:pPr>
          <w:hyperlink w:anchor="_Toc395890863" w:history="1">
            <w:r w:rsidR="00E11539" w:rsidRPr="00512AFA">
              <w:rPr>
                <w:rStyle w:val="Hyperlink"/>
                <w:b w:val="0"/>
              </w:rPr>
              <w:t>3.</w:t>
            </w:r>
            <w:r w:rsidR="00E11539" w:rsidRPr="00512AFA">
              <w:rPr>
                <w:rFonts w:eastAsiaTheme="minorEastAsia"/>
                <w:b w:val="0"/>
                <w:lang w:eastAsia="lv-LV"/>
              </w:rPr>
              <w:tab/>
            </w:r>
            <w:r w:rsidR="00E11539" w:rsidRPr="00512AFA">
              <w:rPr>
                <w:rStyle w:val="Hyperlink"/>
                <w:b w:val="0"/>
              </w:rPr>
              <w:t>Latvijas augstākās izglītības kvalitātes nodrošināšanas sistēmas izvērtējums</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_Toc395890863 \h </w:instrText>
            </w:r>
            <w:r w:rsidR="00081D6C" w:rsidRPr="00512AFA">
              <w:rPr>
                <w:b w:val="0"/>
                <w:webHidden/>
              </w:rPr>
            </w:r>
            <w:r w:rsidR="00081D6C" w:rsidRPr="00512AFA">
              <w:rPr>
                <w:b w:val="0"/>
                <w:webHidden/>
              </w:rPr>
              <w:fldChar w:fldCharType="separate"/>
            </w:r>
            <w:r w:rsidR="00562A1E">
              <w:rPr>
                <w:b w:val="0"/>
                <w:webHidden/>
              </w:rPr>
              <w:t>16</w:t>
            </w:r>
            <w:r w:rsidR="00081D6C" w:rsidRPr="00512AFA">
              <w:rPr>
                <w:b w:val="0"/>
                <w:webHidden/>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4" w:history="1">
            <w:r w:rsidR="00E11539" w:rsidRPr="00512AFA">
              <w:rPr>
                <w:rStyle w:val="Hyperlink"/>
                <w:rFonts w:ascii="Times New Roman" w:hAnsi="Times New Roman" w:cs="Times New Roman"/>
                <w:noProof/>
                <w:sz w:val="26"/>
                <w:szCs w:val="26"/>
              </w:rPr>
              <w:t>3.1. Administratīvais slogs</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_Toc395890864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17</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5" w:history="1">
            <w:r w:rsidR="00E11539" w:rsidRPr="00512AFA">
              <w:rPr>
                <w:rStyle w:val="Hyperlink"/>
                <w:rFonts w:ascii="Times New Roman" w:hAnsi="Times New Roman" w:cs="Times New Roman"/>
                <w:noProof/>
                <w:sz w:val="26"/>
                <w:szCs w:val="26"/>
              </w:rPr>
              <w:t>3.2. Informācijas pieejamība</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_Toc395890865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17</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6" w:history="1">
            <w:r w:rsidR="00E11539" w:rsidRPr="00512AFA">
              <w:rPr>
                <w:rStyle w:val="Hyperlink"/>
                <w:rFonts w:ascii="Times New Roman" w:hAnsi="Times New Roman" w:cs="Times New Roman"/>
                <w:noProof/>
                <w:sz w:val="26"/>
                <w:szCs w:val="26"/>
              </w:rPr>
              <w:t>3.3. Efektivitāte</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_Toc395890866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17</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7" w:history="1">
            <w:r w:rsidR="00E11539" w:rsidRPr="00512AFA">
              <w:rPr>
                <w:rStyle w:val="Hyperlink"/>
                <w:rFonts w:ascii="Times New Roman" w:hAnsi="Times New Roman" w:cs="Times New Roman"/>
                <w:noProof/>
                <w:sz w:val="26"/>
                <w:szCs w:val="26"/>
              </w:rPr>
              <w:t>3.4. Caurskatamība</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_Toc395890867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18</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8" w:history="1">
            <w:r w:rsidR="00E11539" w:rsidRPr="00512AFA">
              <w:rPr>
                <w:rStyle w:val="Hyperlink"/>
                <w:rFonts w:ascii="Times New Roman" w:hAnsi="Times New Roman" w:cs="Times New Roman"/>
                <w:noProof/>
                <w:sz w:val="26"/>
                <w:szCs w:val="26"/>
              </w:rPr>
              <w:t>3.5. Normatīvais un metodiskais slogs</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_Toc395890868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18</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69" w:history="1">
            <w:r w:rsidR="00E11539" w:rsidRPr="00512AFA">
              <w:rPr>
                <w:rStyle w:val="Hyperlink"/>
                <w:rFonts w:ascii="Times New Roman" w:hAnsi="Times New Roman" w:cs="Times New Roman"/>
                <w:noProof/>
                <w:sz w:val="26"/>
                <w:szCs w:val="26"/>
              </w:rPr>
              <w:t>3.6. Pārvaldība</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_Toc395890869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18</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0" w:history="1">
            <w:r w:rsidR="00E11539" w:rsidRPr="00512AFA">
              <w:rPr>
                <w:rStyle w:val="Hyperlink"/>
                <w:rFonts w:ascii="Times New Roman" w:hAnsi="Times New Roman" w:cs="Times New Roman"/>
                <w:noProof/>
                <w:sz w:val="26"/>
                <w:szCs w:val="26"/>
              </w:rPr>
              <w:t>3.7. Monitorings</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_Toc395890870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19</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1"/>
            <w:spacing w:after="0" w:line="240" w:lineRule="auto"/>
            <w:rPr>
              <w:rFonts w:eastAsiaTheme="minorEastAsia"/>
              <w:b w:val="0"/>
              <w:lang w:eastAsia="lv-LV"/>
            </w:rPr>
          </w:pPr>
          <w:hyperlink w:anchor="_Toc395890871" w:history="1">
            <w:r w:rsidR="00E11539" w:rsidRPr="00512AFA">
              <w:rPr>
                <w:rStyle w:val="Hyperlink"/>
                <w:b w:val="0"/>
              </w:rPr>
              <w:t>4.</w:t>
            </w:r>
            <w:r w:rsidR="00E11539" w:rsidRPr="00512AFA">
              <w:rPr>
                <w:rFonts w:eastAsiaTheme="minorEastAsia"/>
                <w:b w:val="0"/>
                <w:lang w:eastAsia="lv-LV"/>
              </w:rPr>
              <w:tab/>
            </w:r>
            <w:r w:rsidR="00E11539" w:rsidRPr="00512AFA">
              <w:rPr>
                <w:rStyle w:val="Hyperlink"/>
                <w:b w:val="0"/>
              </w:rPr>
              <w:t>Alternatīvu izvērtējums augstākās izglītības kvalitātes nodrošināšanas institūcijas izveidei</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_Toc395890871 \h </w:instrText>
            </w:r>
            <w:r w:rsidR="00081D6C" w:rsidRPr="00512AFA">
              <w:rPr>
                <w:b w:val="0"/>
                <w:webHidden/>
              </w:rPr>
            </w:r>
            <w:r w:rsidR="00081D6C" w:rsidRPr="00512AFA">
              <w:rPr>
                <w:b w:val="0"/>
                <w:webHidden/>
              </w:rPr>
              <w:fldChar w:fldCharType="separate"/>
            </w:r>
            <w:r w:rsidR="00562A1E">
              <w:rPr>
                <w:b w:val="0"/>
                <w:webHidden/>
              </w:rPr>
              <w:t>19</w:t>
            </w:r>
            <w:r w:rsidR="00081D6C" w:rsidRPr="00512AFA">
              <w:rPr>
                <w:b w:val="0"/>
                <w:webHidden/>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2" w:history="1">
            <w:r w:rsidR="00E11539" w:rsidRPr="00512AFA">
              <w:rPr>
                <w:rStyle w:val="Hyperlink"/>
                <w:rFonts w:ascii="Times New Roman" w:hAnsi="Times New Roman" w:cs="Times New Roman"/>
                <w:noProof/>
                <w:sz w:val="26"/>
                <w:szCs w:val="26"/>
              </w:rPr>
              <w:t>4.1. Kvalitātes nodrošināšanas institūcijas izveide (jaundibināta)</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_Toc395890872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21</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3" w:history="1">
            <w:r w:rsidR="00E11539" w:rsidRPr="00512AFA">
              <w:rPr>
                <w:rStyle w:val="Hyperlink"/>
                <w:rFonts w:ascii="Times New Roman" w:hAnsi="Times New Roman" w:cs="Times New Roman"/>
                <w:noProof/>
                <w:sz w:val="26"/>
                <w:szCs w:val="26"/>
              </w:rPr>
              <w:t>4.2. Kvalitātes nodrošināšanas (akreditācijas un licencēšanas) funkciju nodošana Izglītības kvalitātes valsts dienestam</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_Toc395890873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22</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4" w:history="1">
            <w:r w:rsidR="00E11539" w:rsidRPr="00512AFA">
              <w:rPr>
                <w:rStyle w:val="Hyperlink"/>
                <w:rFonts w:ascii="Times New Roman" w:hAnsi="Times New Roman" w:cs="Times New Roman"/>
                <w:noProof/>
                <w:sz w:val="26"/>
                <w:szCs w:val="26"/>
              </w:rPr>
              <w:t>4.3. Kvalitātes nodrošināšanas (akreditācijas un licencēšanas) funkciju nodošana Augstākās izglītības padomei</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_Toc395890874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23</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5" w:history="1">
            <w:r w:rsidR="00E11539" w:rsidRPr="00512AFA">
              <w:rPr>
                <w:rStyle w:val="Hyperlink"/>
                <w:rFonts w:ascii="Times New Roman" w:hAnsi="Times New Roman" w:cs="Times New Roman"/>
                <w:noProof/>
                <w:sz w:val="26"/>
                <w:szCs w:val="26"/>
              </w:rPr>
              <w:t>4.4. Kvalitātes nodrošināšanas (akreditācijas un licencēšanas) funkciju nodošana Akadēmiskās informācijas centram</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_Toc395890875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24</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6" w:history="1">
            <w:r w:rsidR="00E11539" w:rsidRPr="00512AFA">
              <w:rPr>
                <w:rStyle w:val="Hyperlink"/>
                <w:rFonts w:ascii="Times New Roman" w:hAnsi="Times New Roman" w:cs="Times New Roman"/>
                <w:noProof/>
                <w:sz w:val="26"/>
                <w:szCs w:val="26"/>
              </w:rPr>
              <w:t>4.5. Piedāvāto variantu problēmu risinājumam kopsavilkums</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_Toc395890876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26</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1"/>
            <w:spacing w:after="0" w:line="240" w:lineRule="auto"/>
            <w:rPr>
              <w:rFonts w:eastAsiaTheme="minorEastAsia"/>
              <w:b w:val="0"/>
              <w:lang w:eastAsia="lv-LV"/>
            </w:rPr>
          </w:pPr>
          <w:hyperlink w:anchor="_Toc395890877" w:history="1">
            <w:r w:rsidR="00E11539" w:rsidRPr="00512AFA">
              <w:rPr>
                <w:rStyle w:val="Hyperlink"/>
                <w:b w:val="0"/>
              </w:rPr>
              <w:t>5.</w:t>
            </w:r>
            <w:r w:rsidR="00E11539" w:rsidRPr="00512AFA">
              <w:rPr>
                <w:rFonts w:eastAsiaTheme="minorEastAsia"/>
                <w:b w:val="0"/>
                <w:lang w:eastAsia="lv-LV"/>
              </w:rPr>
              <w:tab/>
            </w:r>
            <w:r w:rsidR="00E11539" w:rsidRPr="00512AFA">
              <w:rPr>
                <w:rStyle w:val="Hyperlink"/>
                <w:b w:val="0"/>
              </w:rPr>
              <w:t>Veicamie pasākumi un to īstenošanas termiņi</w:t>
            </w:r>
            <w:r w:rsidR="00E11539" w:rsidRPr="00512AFA">
              <w:rPr>
                <w:b w:val="0"/>
                <w:webHidden/>
              </w:rPr>
              <w:tab/>
            </w:r>
            <w:r w:rsidR="00512AFA" w:rsidRPr="00512AFA">
              <w:rPr>
                <w:b w:val="0"/>
                <w:webHidden/>
              </w:rPr>
              <w:t>…..</w:t>
            </w:r>
            <w:r w:rsidR="00081D6C" w:rsidRPr="00512AFA">
              <w:rPr>
                <w:b w:val="0"/>
                <w:webHidden/>
              </w:rPr>
              <w:fldChar w:fldCharType="begin"/>
            </w:r>
            <w:r w:rsidR="00E11539" w:rsidRPr="00512AFA">
              <w:rPr>
                <w:b w:val="0"/>
                <w:webHidden/>
              </w:rPr>
              <w:instrText xml:space="preserve"> PAGEREF _Toc395890877 \h </w:instrText>
            </w:r>
            <w:r w:rsidR="00081D6C" w:rsidRPr="00512AFA">
              <w:rPr>
                <w:b w:val="0"/>
                <w:webHidden/>
              </w:rPr>
            </w:r>
            <w:r w:rsidR="00081D6C" w:rsidRPr="00512AFA">
              <w:rPr>
                <w:b w:val="0"/>
                <w:webHidden/>
              </w:rPr>
              <w:fldChar w:fldCharType="separate"/>
            </w:r>
            <w:r w:rsidR="00562A1E">
              <w:rPr>
                <w:b w:val="0"/>
                <w:webHidden/>
              </w:rPr>
              <w:t>28</w:t>
            </w:r>
            <w:r w:rsidR="00081D6C" w:rsidRPr="00512AFA">
              <w:rPr>
                <w:b w:val="0"/>
                <w:webHidden/>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8" w:history="1">
            <w:r w:rsidR="00E11539" w:rsidRPr="000441B8">
              <w:rPr>
                <w:rStyle w:val="Hyperlink"/>
                <w:rFonts w:ascii="Times New Roman" w:hAnsi="Times New Roman" w:cs="Times New Roman"/>
                <w:noProof/>
                <w:sz w:val="26"/>
                <w:szCs w:val="26"/>
              </w:rPr>
              <w:t xml:space="preserve">5.1. </w:t>
            </w:r>
            <w:r w:rsidR="000441B8" w:rsidRPr="00654249">
              <w:rPr>
                <w:rFonts w:ascii="Times New Roman" w:hAnsi="Times New Roman" w:cs="Times New Roman"/>
                <w:noProof/>
                <w:sz w:val="26"/>
                <w:szCs w:val="26"/>
              </w:rPr>
              <w:t>Akreditācijas un licencēšanas funkcijas turpmāka īstenošana AIC</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_Toc395890878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28</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79" w:history="1">
            <w:r w:rsidR="00E11539" w:rsidRPr="00512AFA">
              <w:rPr>
                <w:rStyle w:val="Hyperlink"/>
                <w:rFonts w:ascii="Times New Roman" w:hAnsi="Times New Roman" w:cs="Times New Roman"/>
                <w:noProof/>
                <w:sz w:val="26"/>
                <w:szCs w:val="26"/>
              </w:rPr>
              <w:t xml:space="preserve">5.2. </w:t>
            </w:r>
            <w:r w:rsidR="006679DA">
              <w:rPr>
                <w:rStyle w:val="Hyperlink"/>
                <w:rFonts w:ascii="Times New Roman" w:hAnsi="Times New Roman" w:cs="Times New Roman"/>
                <w:noProof/>
                <w:sz w:val="26"/>
                <w:szCs w:val="26"/>
              </w:rPr>
              <w:t>Veicamie pasākumi un a</w:t>
            </w:r>
            <w:r w:rsidR="00E11539" w:rsidRPr="00512AFA">
              <w:rPr>
                <w:rStyle w:val="Hyperlink"/>
                <w:rFonts w:ascii="Times New Roman" w:hAnsi="Times New Roman" w:cs="Times New Roman"/>
                <w:noProof/>
                <w:sz w:val="26"/>
                <w:szCs w:val="26"/>
              </w:rPr>
              <w:t>tbildīgās institūcijas</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_Toc395890879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31</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2"/>
            <w:tabs>
              <w:tab w:val="right" w:leader="dot" w:pos="9061"/>
            </w:tabs>
            <w:spacing w:after="0" w:line="240" w:lineRule="auto"/>
            <w:rPr>
              <w:rFonts w:ascii="Times New Roman" w:eastAsiaTheme="minorEastAsia" w:hAnsi="Times New Roman" w:cs="Times New Roman"/>
              <w:noProof/>
              <w:sz w:val="26"/>
              <w:szCs w:val="26"/>
              <w:lang w:eastAsia="lv-LV"/>
            </w:rPr>
          </w:pPr>
          <w:hyperlink w:anchor="_Toc395890880" w:history="1">
            <w:r w:rsidR="00E11539" w:rsidRPr="00512AFA">
              <w:rPr>
                <w:rStyle w:val="Hyperlink"/>
                <w:rFonts w:ascii="Times New Roman" w:hAnsi="Times New Roman" w:cs="Times New Roman"/>
                <w:noProof/>
                <w:sz w:val="26"/>
                <w:szCs w:val="26"/>
              </w:rPr>
              <w:t>5.3. Politikas dokumenti un tiesību akti</w:t>
            </w:r>
            <w:r w:rsidR="00E11539" w:rsidRPr="00512AFA">
              <w:rPr>
                <w:rFonts w:ascii="Times New Roman" w:hAnsi="Times New Roman" w:cs="Times New Roman"/>
                <w:noProof/>
                <w:webHidden/>
                <w:sz w:val="26"/>
                <w:szCs w:val="26"/>
              </w:rPr>
              <w:tab/>
            </w:r>
            <w:r w:rsidR="00081D6C" w:rsidRPr="00512AFA">
              <w:rPr>
                <w:rFonts w:ascii="Times New Roman" w:hAnsi="Times New Roman" w:cs="Times New Roman"/>
                <w:noProof/>
                <w:webHidden/>
                <w:sz w:val="26"/>
                <w:szCs w:val="26"/>
              </w:rPr>
              <w:fldChar w:fldCharType="begin"/>
            </w:r>
            <w:r w:rsidR="00E11539" w:rsidRPr="00512AFA">
              <w:rPr>
                <w:rFonts w:ascii="Times New Roman" w:hAnsi="Times New Roman" w:cs="Times New Roman"/>
                <w:noProof/>
                <w:webHidden/>
                <w:sz w:val="26"/>
                <w:szCs w:val="26"/>
              </w:rPr>
              <w:instrText xml:space="preserve"> PAGEREF _Toc395890880 \h </w:instrText>
            </w:r>
            <w:r w:rsidR="00081D6C" w:rsidRPr="00512AFA">
              <w:rPr>
                <w:rFonts w:ascii="Times New Roman" w:hAnsi="Times New Roman" w:cs="Times New Roman"/>
                <w:noProof/>
                <w:webHidden/>
                <w:sz w:val="26"/>
                <w:szCs w:val="26"/>
              </w:rPr>
            </w:r>
            <w:r w:rsidR="00081D6C" w:rsidRPr="00512AFA">
              <w:rPr>
                <w:rFonts w:ascii="Times New Roman" w:hAnsi="Times New Roman" w:cs="Times New Roman"/>
                <w:noProof/>
                <w:webHidden/>
                <w:sz w:val="26"/>
                <w:szCs w:val="26"/>
              </w:rPr>
              <w:fldChar w:fldCharType="separate"/>
            </w:r>
            <w:r w:rsidR="00562A1E">
              <w:rPr>
                <w:rFonts w:ascii="Times New Roman" w:hAnsi="Times New Roman" w:cs="Times New Roman"/>
                <w:noProof/>
                <w:webHidden/>
                <w:sz w:val="26"/>
                <w:szCs w:val="26"/>
              </w:rPr>
              <w:t>32</w:t>
            </w:r>
            <w:r w:rsidR="00081D6C" w:rsidRPr="00512AFA">
              <w:rPr>
                <w:rFonts w:ascii="Times New Roman" w:hAnsi="Times New Roman" w:cs="Times New Roman"/>
                <w:noProof/>
                <w:webHidden/>
                <w:sz w:val="26"/>
                <w:szCs w:val="26"/>
              </w:rPr>
              <w:fldChar w:fldCharType="end"/>
            </w:r>
          </w:hyperlink>
        </w:p>
        <w:p w:rsidR="00E11539" w:rsidRPr="00512AFA" w:rsidRDefault="000E1B8B" w:rsidP="009055FB">
          <w:pPr>
            <w:pStyle w:val="TOC1"/>
            <w:spacing w:after="0" w:line="240" w:lineRule="auto"/>
            <w:rPr>
              <w:rFonts w:eastAsiaTheme="minorEastAsia"/>
              <w:b w:val="0"/>
              <w:lang w:eastAsia="lv-LV"/>
            </w:rPr>
          </w:pPr>
          <w:hyperlink w:anchor="_Toc395890881" w:history="1">
            <w:r w:rsidR="00E11539" w:rsidRPr="00512AFA">
              <w:rPr>
                <w:rStyle w:val="Hyperlink"/>
                <w:b w:val="0"/>
              </w:rPr>
              <w:t>6.</w:t>
            </w:r>
            <w:r w:rsidR="00E11539" w:rsidRPr="00512AFA">
              <w:rPr>
                <w:rFonts w:eastAsiaTheme="minorEastAsia"/>
                <w:b w:val="0"/>
                <w:lang w:eastAsia="lv-LV"/>
              </w:rPr>
              <w:tab/>
            </w:r>
            <w:r w:rsidR="00E11539" w:rsidRPr="00512AFA">
              <w:rPr>
                <w:rStyle w:val="Hyperlink"/>
                <w:b w:val="0"/>
              </w:rPr>
              <w:t>Augstākās izglītības kvalitātes nodrošināšanas institūcijas darbības ilgtspējas nodrošinājums</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_Toc395890881 \h </w:instrText>
            </w:r>
            <w:r w:rsidR="00081D6C" w:rsidRPr="00512AFA">
              <w:rPr>
                <w:b w:val="0"/>
                <w:webHidden/>
              </w:rPr>
            </w:r>
            <w:r w:rsidR="00081D6C" w:rsidRPr="00512AFA">
              <w:rPr>
                <w:b w:val="0"/>
                <w:webHidden/>
              </w:rPr>
              <w:fldChar w:fldCharType="separate"/>
            </w:r>
            <w:r w:rsidR="00562A1E">
              <w:rPr>
                <w:b w:val="0"/>
                <w:webHidden/>
              </w:rPr>
              <w:t>33</w:t>
            </w:r>
            <w:r w:rsidR="00081D6C" w:rsidRPr="00512AFA">
              <w:rPr>
                <w:b w:val="0"/>
                <w:webHidden/>
              </w:rPr>
              <w:fldChar w:fldCharType="end"/>
            </w:r>
          </w:hyperlink>
        </w:p>
        <w:p w:rsidR="00E11539" w:rsidRPr="00AC6833" w:rsidRDefault="000E1B8B" w:rsidP="009055FB">
          <w:pPr>
            <w:pStyle w:val="TOC1"/>
            <w:spacing w:after="0" w:line="240" w:lineRule="auto"/>
            <w:rPr>
              <w:rFonts w:asciiTheme="minorHAnsi" w:eastAsiaTheme="minorEastAsia" w:hAnsiTheme="minorHAnsi" w:cstheme="minorBidi"/>
              <w:sz w:val="22"/>
              <w:szCs w:val="22"/>
              <w:lang w:eastAsia="lv-LV"/>
            </w:rPr>
          </w:pPr>
          <w:hyperlink w:anchor="_Toc395890882" w:history="1">
            <w:r w:rsidR="00E11539" w:rsidRPr="00512AFA">
              <w:rPr>
                <w:rStyle w:val="Hyperlink"/>
                <w:b w:val="0"/>
              </w:rPr>
              <w:t>7.</w:t>
            </w:r>
            <w:r w:rsidR="00E11539" w:rsidRPr="00512AFA">
              <w:rPr>
                <w:rFonts w:eastAsiaTheme="minorEastAsia"/>
                <w:b w:val="0"/>
                <w:lang w:eastAsia="lv-LV"/>
              </w:rPr>
              <w:tab/>
            </w:r>
            <w:r w:rsidR="00E11539" w:rsidRPr="00512AFA">
              <w:rPr>
                <w:rStyle w:val="Hyperlink"/>
                <w:b w:val="0"/>
              </w:rPr>
              <w:t>Prognozes par sekām, ja netiks risinātas problēmas</w:t>
            </w:r>
            <w:r w:rsidR="00E11539" w:rsidRPr="00512AFA">
              <w:rPr>
                <w:b w:val="0"/>
                <w:webHidden/>
              </w:rPr>
              <w:tab/>
            </w:r>
            <w:r w:rsidR="00081D6C" w:rsidRPr="00512AFA">
              <w:rPr>
                <w:b w:val="0"/>
                <w:webHidden/>
              </w:rPr>
              <w:fldChar w:fldCharType="begin"/>
            </w:r>
            <w:r w:rsidR="00E11539" w:rsidRPr="00512AFA">
              <w:rPr>
                <w:b w:val="0"/>
                <w:webHidden/>
              </w:rPr>
              <w:instrText xml:space="preserve"> PAGEREF _Toc395890882 \h </w:instrText>
            </w:r>
            <w:r w:rsidR="00081D6C" w:rsidRPr="00512AFA">
              <w:rPr>
                <w:b w:val="0"/>
                <w:webHidden/>
              </w:rPr>
            </w:r>
            <w:r w:rsidR="00081D6C" w:rsidRPr="00512AFA">
              <w:rPr>
                <w:b w:val="0"/>
                <w:webHidden/>
              </w:rPr>
              <w:fldChar w:fldCharType="separate"/>
            </w:r>
            <w:r w:rsidR="00562A1E">
              <w:rPr>
                <w:b w:val="0"/>
                <w:webHidden/>
              </w:rPr>
              <w:t>37</w:t>
            </w:r>
            <w:r w:rsidR="00081D6C" w:rsidRPr="00512AFA">
              <w:rPr>
                <w:b w:val="0"/>
                <w:webHidden/>
              </w:rPr>
              <w:fldChar w:fldCharType="end"/>
            </w:r>
          </w:hyperlink>
        </w:p>
        <w:p w:rsidR="00C90D94" w:rsidRPr="00F10947" w:rsidRDefault="00081D6C" w:rsidP="009055FB">
          <w:pPr>
            <w:spacing w:after="0" w:line="240" w:lineRule="auto"/>
            <w:jc w:val="both"/>
            <w:rPr>
              <w:rFonts w:ascii="Times New Roman" w:hAnsi="Times New Roman" w:cs="Times New Roman"/>
              <w:sz w:val="26"/>
              <w:szCs w:val="26"/>
            </w:rPr>
          </w:pPr>
          <w:r w:rsidRPr="00F10947">
            <w:rPr>
              <w:rFonts w:ascii="Times New Roman" w:hAnsi="Times New Roman" w:cs="Times New Roman"/>
              <w:bCs/>
              <w:noProof/>
              <w:sz w:val="26"/>
              <w:szCs w:val="26"/>
            </w:rPr>
            <w:fldChar w:fldCharType="end"/>
          </w:r>
        </w:p>
      </w:sdtContent>
    </w:sdt>
    <w:p w:rsidR="00C90D94" w:rsidRPr="00F10947" w:rsidRDefault="00C90D94" w:rsidP="009055FB">
      <w:pPr>
        <w:spacing w:after="0" w:line="240" w:lineRule="auto"/>
        <w:jc w:val="center"/>
        <w:rPr>
          <w:rFonts w:ascii="Times New Roman" w:hAnsi="Times New Roman" w:cs="Times New Roman"/>
          <w:bCs/>
          <w:noProof/>
          <w:sz w:val="26"/>
          <w:szCs w:val="26"/>
        </w:rPr>
      </w:pPr>
    </w:p>
    <w:p w:rsidR="00C90D94" w:rsidRDefault="00C90D94" w:rsidP="009055FB">
      <w:pPr>
        <w:spacing w:after="0" w:line="240" w:lineRule="auto"/>
        <w:jc w:val="center"/>
        <w:rPr>
          <w:rFonts w:ascii="Times New Roman" w:hAnsi="Times New Roman" w:cs="Times New Roman"/>
          <w:b/>
          <w:bCs/>
          <w:noProof/>
          <w:sz w:val="32"/>
          <w:szCs w:val="32"/>
        </w:rPr>
      </w:pPr>
    </w:p>
    <w:p w:rsidR="00C90D94" w:rsidRDefault="00C90D94" w:rsidP="009055FB">
      <w:pPr>
        <w:spacing w:after="0" w:line="240" w:lineRule="auto"/>
        <w:rPr>
          <w:rFonts w:ascii="Times New Roman" w:hAnsi="Times New Roman" w:cs="Times New Roman"/>
          <w:bCs/>
          <w:noProof/>
          <w:sz w:val="26"/>
          <w:szCs w:val="26"/>
        </w:rPr>
      </w:pPr>
      <w:r>
        <w:rPr>
          <w:rFonts w:ascii="Times New Roman" w:hAnsi="Times New Roman" w:cs="Times New Roman"/>
          <w:bCs/>
          <w:noProof/>
          <w:sz w:val="26"/>
          <w:szCs w:val="26"/>
        </w:rPr>
        <w:br w:type="page"/>
      </w:r>
    </w:p>
    <w:p w:rsidR="00C90D94" w:rsidRDefault="00FB0D23" w:rsidP="009055FB">
      <w:pPr>
        <w:pStyle w:val="Heading1"/>
        <w:spacing w:before="0" w:line="240" w:lineRule="auto"/>
        <w:jc w:val="both"/>
        <w:rPr>
          <w:rFonts w:ascii="Times New Roman" w:hAnsi="Times New Roman" w:cs="Times New Roman"/>
          <w:noProof/>
          <w:color w:val="auto"/>
          <w:sz w:val="32"/>
          <w:szCs w:val="32"/>
        </w:rPr>
      </w:pPr>
      <w:bookmarkStart w:id="2" w:name="_Toc395890854"/>
      <w:r>
        <w:rPr>
          <w:rFonts w:ascii="Times New Roman" w:hAnsi="Times New Roman" w:cs="Times New Roman"/>
          <w:noProof/>
          <w:color w:val="auto"/>
          <w:sz w:val="32"/>
          <w:szCs w:val="32"/>
        </w:rPr>
        <w:lastRenderedPageBreak/>
        <w:t>Saīsinājumi</w:t>
      </w:r>
      <w:r w:rsidR="006E5454" w:rsidRPr="00C90D94">
        <w:rPr>
          <w:rFonts w:ascii="Times New Roman" w:hAnsi="Times New Roman" w:cs="Times New Roman"/>
          <w:noProof/>
          <w:color w:val="auto"/>
          <w:sz w:val="32"/>
          <w:szCs w:val="32"/>
        </w:rPr>
        <w:t xml:space="preserve"> un skaidrojumi</w:t>
      </w:r>
      <w:bookmarkEnd w:id="2"/>
    </w:p>
    <w:p w:rsidR="00694927" w:rsidRPr="00694927" w:rsidRDefault="00694927" w:rsidP="009055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3"/>
      </w:tblGrid>
      <w:tr w:rsidR="00A45BA9" w:rsidRPr="00A45BA9" w:rsidTr="00FB0D23">
        <w:tc>
          <w:tcPr>
            <w:tcW w:w="1838" w:type="dxa"/>
          </w:tcPr>
          <w:p w:rsidR="00A45BA9" w:rsidRPr="00A45BA9" w:rsidRDefault="00A45BA9" w:rsidP="009055FB">
            <w:pPr>
              <w:rPr>
                <w:rFonts w:ascii="Times New Roman" w:hAnsi="Times New Roman"/>
                <w:sz w:val="26"/>
                <w:szCs w:val="26"/>
              </w:rPr>
            </w:pPr>
            <w:r>
              <w:rPr>
                <w:rFonts w:ascii="Times New Roman" w:hAnsi="Times New Roman"/>
                <w:sz w:val="26"/>
                <w:szCs w:val="26"/>
              </w:rPr>
              <w:t>AIC</w:t>
            </w:r>
          </w:p>
        </w:tc>
        <w:tc>
          <w:tcPr>
            <w:tcW w:w="7223" w:type="dxa"/>
          </w:tcPr>
          <w:p w:rsidR="00A45BA9" w:rsidRDefault="00A45BA9" w:rsidP="009055FB">
            <w:pPr>
              <w:rPr>
                <w:rFonts w:ascii="Times New Roman" w:hAnsi="Times New Roman"/>
                <w:sz w:val="26"/>
                <w:szCs w:val="26"/>
              </w:rPr>
            </w:pPr>
            <w:r>
              <w:rPr>
                <w:rFonts w:ascii="Times New Roman" w:hAnsi="Times New Roman"/>
                <w:sz w:val="26"/>
                <w:szCs w:val="26"/>
              </w:rPr>
              <w:t>Akadēmiskās informācijas centrs</w:t>
            </w:r>
          </w:p>
          <w:p w:rsidR="00FB0D23" w:rsidRPr="00A45BA9" w:rsidRDefault="00FB0D23" w:rsidP="009055FB">
            <w:pPr>
              <w:rPr>
                <w:rFonts w:ascii="Times New Roman" w:hAnsi="Times New Roman"/>
                <w:sz w:val="26"/>
                <w:szCs w:val="26"/>
              </w:rPr>
            </w:pPr>
          </w:p>
        </w:tc>
      </w:tr>
      <w:tr w:rsidR="00EC0709" w:rsidRPr="00A45BA9" w:rsidTr="00FB0D23">
        <w:tc>
          <w:tcPr>
            <w:tcW w:w="1838" w:type="dxa"/>
          </w:tcPr>
          <w:p w:rsidR="00400BC7" w:rsidRDefault="00EC0709" w:rsidP="009055FB">
            <w:pPr>
              <w:rPr>
                <w:rFonts w:ascii="Times New Roman" w:hAnsi="Times New Roman"/>
                <w:sz w:val="26"/>
                <w:szCs w:val="26"/>
              </w:rPr>
            </w:pPr>
            <w:r>
              <w:rPr>
                <w:rFonts w:ascii="Times New Roman" w:hAnsi="Times New Roman"/>
                <w:sz w:val="26"/>
                <w:szCs w:val="26"/>
              </w:rPr>
              <w:t>augstskolas</w:t>
            </w:r>
          </w:p>
          <w:p w:rsidR="00400BC7" w:rsidRDefault="00400BC7" w:rsidP="009055FB">
            <w:pPr>
              <w:rPr>
                <w:rFonts w:ascii="Times New Roman" w:hAnsi="Times New Roman"/>
                <w:sz w:val="26"/>
                <w:szCs w:val="26"/>
              </w:rPr>
            </w:pPr>
          </w:p>
          <w:p w:rsidR="00400BC7" w:rsidRDefault="00400BC7" w:rsidP="009055FB">
            <w:pPr>
              <w:rPr>
                <w:rFonts w:ascii="Times New Roman" w:hAnsi="Times New Roman"/>
                <w:sz w:val="26"/>
                <w:szCs w:val="26"/>
              </w:rPr>
            </w:pPr>
            <w:r>
              <w:rPr>
                <w:rFonts w:ascii="Times New Roman" w:hAnsi="Times New Roman"/>
                <w:sz w:val="26"/>
                <w:szCs w:val="26"/>
              </w:rPr>
              <w:t>AII</w:t>
            </w:r>
          </w:p>
          <w:p w:rsidR="00400BC7" w:rsidRDefault="00400BC7" w:rsidP="009055FB">
            <w:pPr>
              <w:rPr>
                <w:rFonts w:ascii="Times New Roman" w:hAnsi="Times New Roman"/>
                <w:sz w:val="26"/>
                <w:szCs w:val="26"/>
              </w:rPr>
            </w:pPr>
          </w:p>
          <w:p w:rsidR="00EC0709" w:rsidRPr="00400BC7" w:rsidRDefault="00400BC7" w:rsidP="009055FB">
            <w:pPr>
              <w:rPr>
                <w:rFonts w:ascii="Times New Roman" w:hAnsi="Times New Roman"/>
                <w:sz w:val="26"/>
                <w:szCs w:val="26"/>
              </w:rPr>
            </w:pPr>
            <w:r>
              <w:rPr>
                <w:rFonts w:ascii="Times New Roman" w:hAnsi="Times New Roman"/>
                <w:sz w:val="26"/>
                <w:szCs w:val="26"/>
              </w:rPr>
              <w:t>AIKNC</w:t>
            </w:r>
          </w:p>
        </w:tc>
        <w:tc>
          <w:tcPr>
            <w:tcW w:w="7223" w:type="dxa"/>
          </w:tcPr>
          <w:p w:rsidR="00EC0709" w:rsidRDefault="00EC0709" w:rsidP="009055FB">
            <w:pPr>
              <w:rPr>
                <w:rFonts w:ascii="Times New Roman" w:hAnsi="Times New Roman"/>
                <w:sz w:val="26"/>
                <w:szCs w:val="26"/>
              </w:rPr>
            </w:pPr>
            <w:r>
              <w:rPr>
                <w:rFonts w:ascii="Times New Roman" w:hAnsi="Times New Roman"/>
                <w:sz w:val="26"/>
                <w:szCs w:val="26"/>
              </w:rPr>
              <w:t xml:space="preserve">Universitātes, akadēmijas, </w:t>
            </w:r>
            <w:r w:rsidRPr="00EC0709">
              <w:rPr>
                <w:rFonts w:ascii="Times New Roman" w:hAnsi="Times New Roman"/>
                <w:sz w:val="26"/>
                <w:szCs w:val="26"/>
              </w:rPr>
              <w:t>augstskolas</w:t>
            </w:r>
            <w:r>
              <w:rPr>
                <w:rFonts w:ascii="Times New Roman" w:hAnsi="Times New Roman"/>
                <w:sz w:val="26"/>
                <w:szCs w:val="26"/>
              </w:rPr>
              <w:t xml:space="preserve"> un koledžas</w:t>
            </w:r>
          </w:p>
          <w:p w:rsidR="00400BC7" w:rsidRDefault="00400BC7" w:rsidP="009055FB">
            <w:pPr>
              <w:rPr>
                <w:rFonts w:ascii="Times New Roman" w:hAnsi="Times New Roman"/>
                <w:sz w:val="26"/>
                <w:szCs w:val="26"/>
              </w:rPr>
            </w:pPr>
          </w:p>
          <w:p w:rsidR="00400BC7" w:rsidRDefault="00400BC7" w:rsidP="009055FB">
            <w:pPr>
              <w:rPr>
                <w:rFonts w:ascii="Times New Roman" w:hAnsi="Times New Roman"/>
                <w:sz w:val="26"/>
                <w:szCs w:val="26"/>
              </w:rPr>
            </w:pPr>
            <w:r>
              <w:rPr>
                <w:rFonts w:ascii="Times New Roman" w:hAnsi="Times New Roman"/>
                <w:sz w:val="26"/>
                <w:szCs w:val="26"/>
              </w:rPr>
              <w:t>Augstākās izglītības iestāde</w:t>
            </w:r>
          </w:p>
          <w:p w:rsidR="00400BC7" w:rsidRDefault="00400BC7" w:rsidP="009055FB">
            <w:pPr>
              <w:rPr>
                <w:rFonts w:ascii="Times New Roman" w:hAnsi="Times New Roman"/>
                <w:sz w:val="26"/>
                <w:szCs w:val="26"/>
              </w:rPr>
            </w:pPr>
          </w:p>
          <w:p w:rsidR="00400BC7" w:rsidRDefault="00400BC7" w:rsidP="009055FB">
            <w:pPr>
              <w:rPr>
                <w:rFonts w:ascii="Times New Roman" w:hAnsi="Times New Roman"/>
                <w:sz w:val="26"/>
                <w:szCs w:val="26"/>
              </w:rPr>
            </w:pPr>
            <w:r>
              <w:rPr>
                <w:rFonts w:ascii="Times New Roman" w:hAnsi="Times New Roman"/>
                <w:sz w:val="26"/>
                <w:szCs w:val="26"/>
              </w:rPr>
              <w:t>Augstākās izglītības kvalitātes novērtēšanas centrs</w:t>
            </w:r>
          </w:p>
          <w:p w:rsidR="00FB0D23" w:rsidRDefault="00FB0D23" w:rsidP="009055FB">
            <w:pPr>
              <w:rPr>
                <w:rFonts w:ascii="Times New Roman" w:hAnsi="Times New Roman"/>
                <w:sz w:val="26"/>
                <w:szCs w:val="26"/>
              </w:rPr>
            </w:pPr>
          </w:p>
        </w:tc>
      </w:tr>
      <w:tr w:rsidR="00A45BA9" w:rsidRPr="00A45BA9" w:rsidTr="00FB0D23">
        <w:tc>
          <w:tcPr>
            <w:tcW w:w="1838" w:type="dxa"/>
          </w:tcPr>
          <w:p w:rsidR="00A45BA9" w:rsidRPr="00A45BA9" w:rsidRDefault="00A45BA9" w:rsidP="009055FB">
            <w:pPr>
              <w:rPr>
                <w:rFonts w:ascii="Times New Roman" w:hAnsi="Times New Roman"/>
                <w:sz w:val="26"/>
                <w:szCs w:val="26"/>
              </w:rPr>
            </w:pPr>
            <w:r w:rsidRPr="00A45BA9">
              <w:rPr>
                <w:rFonts w:ascii="Times New Roman" w:hAnsi="Times New Roman"/>
                <w:sz w:val="26"/>
                <w:szCs w:val="26"/>
              </w:rPr>
              <w:t>AIP</w:t>
            </w:r>
          </w:p>
        </w:tc>
        <w:tc>
          <w:tcPr>
            <w:tcW w:w="7223" w:type="dxa"/>
          </w:tcPr>
          <w:p w:rsidR="00A45BA9" w:rsidRPr="00A45BA9" w:rsidRDefault="00A45BA9" w:rsidP="009055FB">
            <w:pPr>
              <w:rPr>
                <w:rFonts w:ascii="Times New Roman" w:hAnsi="Times New Roman"/>
                <w:sz w:val="26"/>
                <w:szCs w:val="26"/>
              </w:rPr>
            </w:pPr>
            <w:r>
              <w:rPr>
                <w:rFonts w:ascii="Times New Roman" w:hAnsi="Times New Roman"/>
                <w:sz w:val="26"/>
                <w:szCs w:val="26"/>
              </w:rPr>
              <w:t>Augstākās izglītības padome</w:t>
            </w:r>
          </w:p>
        </w:tc>
      </w:tr>
      <w:tr w:rsidR="0033444A" w:rsidRPr="00A45BA9" w:rsidTr="00FB0D23">
        <w:tc>
          <w:tcPr>
            <w:tcW w:w="1838" w:type="dxa"/>
          </w:tcPr>
          <w:p w:rsidR="0033444A" w:rsidRPr="00A45BA9" w:rsidRDefault="0033444A" w:rsidP="009055FB">
            <w:pPr>
              <w:rPr>
                <w:rFonts w:ascii="Times New Roman" w:hAnsi="Times New Roman"/>
                <w:sz w:val="26"/>
                <w:szCs w:val="26"/>
              </w:rPr>
            </w:pPr>
          </w:p>
        </w:tc>
        <w:tc>
          <w:tcPr>
            <w:tcW w:w="7223" w:type="dxa"/>
          </w:tcPr>
          <w:p w:rsidR="0033444A" w:rsidRDefault="0033444A" w:rsidP="009055FB">
            <w:pPr>
              <w:rPr>
                <w:rFonts w:ascii="Times New Roman" w:hAnsi="Times New Roman"/>
                <w:sz w:val="26"/>
                <w:szCs w:val="26"/>
              </w:rPr>
            </w:pPr>
          </w:p>
        </w:tc>
      </w:tr>
      <w:tr w:rsidR="00B75A1B" w:rsidRPr="00A45BA9" w:rsidTr="00FB0D23">
        <w:tc>
          <w:tcPr>
            <w:tcW w:w="1838" w:type="dxa"/>
          </w:tcPr>
          <w:p w:rsidR="00B75A1B" w:rsidRPr="00A45BA9" w:rsidRDefault="00B75A1B" w:rsidP="009055FB">
            <w:pPr>
              <w:rPr>
                <w:rFonts w:ascii="Times New Roman" w:hAnsi="Times New Roman"/>
                <w:sz w:val="26"/>
                <w:szCs w:val="26"/>
              </w:rPr>
            </w:pPr>
            <w:r>
              <w:rPr>
                <w:rFonts w:ascii="Times New Roman" w:hAnsi="Times New Roman"/>
                <w:sz w:val="26"/>
                <w:szCs w:val="26"/>
              </w:rPr>
              <w:t>EAIT</w:t>
            </w:r>
          </w:p>
        </w:tc>
        <w:tc>
          <w:tcPr>
            <w:tcW w:w="7223" w:type="dxa"/>
          </w:tcPr>
          <w:p w:rsidR="00DC508E" w:rsidRDefault="00B75A1B" w:rsidP="009055FB">
            <w:pPr>
              <w:rPr>
                <w:rFonts w:ascii="Times New Roman" w:hAnsi="Times New Roman"/>
                <w:sz w:val="26"/>
                <w:szCs w:val="26"/>
              </w:rPr>
            </w:pPr>
            <w:r w:rsidRPr="00B75A1B">
              <w:rPr>
                <w:rFonts w:ascii="Times New Roman" w:hAnsi="Times New Roman"/>
                <w:sz w:val="26"/>
                <w:szCs w:val="26"/>
              </w:rPr>
              <w:t>Eiropas Augstākās izglītības telpa</w:t>
            </w:r>
          </w:p>
          <w:p w:rsidR="00B75A1B" w:rsidRDefault="00B75A1B" w:rsidP="009055FB">
            <w:pPr>
              <w:rPr>
                <w:rFonts w:ascii="Times New Roman" w:hAnsi="Times New Roman"/>
                <w:i/>
                <w:sz w:val="26"/>
                <w:szCs w:val="26"/>
              </w:rPr>
            </w:pPr>
            <w:r w:rsidRPr="00B75A1B">
              <w:rPr>
                <w:rFonts w:ascii="Times New Roman" w:hAnsi="Times New Roman"/>
                <w:i/>
                <w:sz w:val="26"/>
                <w:szCs w:val="26"/>
              </w:rPr>
              <w:t>(</w:t>
            </w:r>
            <w:r>
              <w:rPr>
                <w:rFonts w:ascii="Times New Roman" w:hAnsi="Times New Roman"/>
                <w:i/>
                <w:sz w:val="26"/>
                <w:szCs w:val="26"/>
              </w:rPr>
              <w:t>European</w:t>
            </w:r>
            <w:r w:rsidRPr="00B75A1B">
              <w:rPr>
                <w:rFonts w:ascii="Times New Roman" w:hAnsi="Times New Roman"/>
                <w:i/>
                <w:sz w:val="26"/>
                <w:szCs w:val="26"/>
              </w:rPr>
              <w:t xml:space="preserve"> Higher Education Area)</w:t>
            </w:r>
          </w:p>
          <w:p w:rsidR="00FB0D23" w:rsidRDefault="00FB0D23" w:rsidP="009055FB">
            <w:pPr>
              <w:rPr>
                <w:rFonts w:ascii="Times New Roman" w:hAnsi="Times New Roman"/>
                <w:sz w:val="26"/>
                <w:szCs w:val="26"/>
              </w:rPr>
            </w:pPr>
          </w:p>
        </w:tc>
      </w:tr>
      <w:tr w:rsidR="0033444A" w:rsidRPr="00A45BA9" w:rsidTr="00FB0D23">
        <w:tc>
          <w:tcPr>
            <w:tcW w:w="1838" w:type="dxa"/>
          </w:tcPr>
          <w:p w:rsidR="0033444A" w:rsidRDefault="00FA7566" w:rsidP="009055FB">
            <w:pPr>
              <w:rPr>
                <w:rFonts w:ascii="Times New Roman" w:hAnsi="Times New Roman"/>
                <w:sz w:val="26"/>
                <w:szCs w:val="26"/>
              </w:rPr>
            </w:pPr>
            <w:r>
              <w:rPr>
                <w:rFonts w:ascii="Times New Roman" w:hAnsi="Times New Roman"/>
                <w:sz w:val="26"/>
                <w:szCs w:val="26"/>
              </w:rPr>
              <w:t>EQAR</w:t>
            </w:r>
          </w:p>
        </w:tc>
        <w:tc>
          <w:tcPr>
            <w:tcW w:w="7223" w:type="dxa"/>
          </w:tcPr>
          <w:p w:rsidR="00FA7566" w:rsidRDefault="00FA7566" w:rsidP="009055FB">
            <w:pPr>
              <w:rPr>
                <w:rFonts w:ascii="Times New Roman" w:hAnsi="Times New Roman"/>
                <w:sz w:val="26"/>
                <w:szCs w:val="26"/>
              </w:rPr>
            </w:pPr>
            <w:r w:rsidRPr="00CC6E2E">
              <w:rPr>
                <w:rFonts w:ascii="Times New Roman" w:hAnsi="Times New Roman"/>
                <w:sz w:val="26"/>
                <w:szCs w:val="26"/>
              </w:rPr>
              <w:t>Eiropas augstākās izglītības kvalitātes nodrošināšanas reģistr</w:t>
            </w:r>
            <w:r>
              <w:rPr>
                <w:rFonts w:ascii="Times New Roman" w:hAnsi="Times New Roman"/>
                <w:sz w:val="26"/>
                <w:szCs w:val="26"/>
              </w:rPr>
              <w:t>s</w:t>
            </w:r>
          </w:p>
          <w:p w:rsidR="0033444A" w:rsidRDefault="00FA7566" w:rsidP="009055FB">
            <w:pPr>
              <w:rPr>
                <w:rFonts w:ascii="Times New Roman" w:hAnsi="Times New Roman"/>
                <w:i/>
                <w:sz w:val="26"/>
                <w:szCs w:val="26"/>
              </w:rPr>
            </w:pPr>
            <w:r w:rsidRPr="00CC6E2E">
              <w:rPr>
                <w:rFonts w:ascii="Times New Roman" w:hAnsi="Times New Roman"/>
                <w:i/>
                <w:sz w:val="26"/>
                <w:szCs w:val="26"/>
              </w:rPr>
              <w:t xml:space="preserve">(The European Quality Assurance Register for Higher Education) </w:t>
            </w:r>
          </w:p>
          <w:p w:rsidR="00FB0D23" w:rsidRPr="00B75A1B" w:rsidRDefault="00FB0D23" w:rsidP="009055FB">
            <w:pPr>
              <w:rPr>
                <w:rFonts w:ascii="Times New Roman" w:hAnsi="Times New Roman"/>
                <w:sz w:val="26"/>
                <w:szCs w:val="26"/>
              </w:rPr>
            </w:pPr>
          </w:p>
        </w:tc>
      </w:tr>
      <w:tr w:rsidR="00DC508E" w:rsidRPr="00A45BA9" w:rsidTr="00FB0D23">
        <w:tc>
          <w:tcPr>
            <w:tcW w:w="1838" w:type="dxa"/>
          </w:tcPr>
          <w:p w:rsidR="00DC508E" w:rsidRDefault="00DC508E" w:rsidP="009055FB">
            <w:pPr>
              <w:rPr>
                <w:rFonts w:ascii="Times New Roman" w:hAnsi="Times New Roman"/>
                <w:sz w:val="26"/>
                <w:szCs w:val="26"/>
              </w:rPr>
            </w:pPr>
            <w:r>
              <w:rPr>
                <w:rFonts w:ascii="Times New Roman" w:hAnsi="Times New Roman"/>
                <w:sz w:val="26"/>
                <w:szCs w:val="26"/>
              </w:rPr>
              <w:t>ENQA</w:t>
            </w:r>
          </w:p>
        </w:tc>
        <w:tc>
          <w:tcPr>
            <w:tcW w:w="7223" w:type="dxa"/>
          </w:tcPr>
          <w:p w:rsidR="00DC508E" w:rsidRDefault="00DC508E" w:rsidP="009055FB">
            <w:pPr>
              <w:rPr>
                <w:rFonts w:ascii="Times New Roman" w:hAnsi="Times New Roman"/>
                <w:i/>
                <w:sz w:val="26"/>
                <w:szCs w:val="26"/>
              </w:rPr>
            </w:pPr>
            <w:r>
              <w:rPr>
                <w:rFonts w:ascii="Times New Roman" w:hAnsi="Times New Roman"/>
                <w:sz w:val="26"/>
                <w:szCs w:val="26"/>
              </w:rPr>
              <w:t>Eiropas asociācija</w:t>
            </w:r>
            <w:r w:rsidRPr="00CC6E2E">
              <w:rPr>
                <w:rFonts w:ascii="Times New Roman" w:hAnsi="Times New Roman"/>
                <w:sz w:val="26"/>
                <w:szCs w:val="26"/>
              </w:rPr>
              <w:t xml:space="preserve"> kvalitātes nodrošināšanai augstākajā izglītībā </w:t>
            </w:r>
            <w:r w:rsidRPr="00CC6E2E">
              <w:rPr>
                <w:rFonts w:ascii="Times New Roman" w:hAnsi="Times New Roman"/>
                <w:i/>
                <w:sz w:val="26"/>
                <w:szCs w:val="26"/>
              </w:rPr>
              <w:t xml:space="preserve">(European Association for Quality Assurance in Higher </w:t>
            </w:r>
            <w:r>
              <w:rPr>
                <w:rFonts w:ascii="Times New Roman" w:hAnsi="Times New Roman"/>
                <w:i/>
                <w:sz w:val="26"/>
                <w:szCs w:val="26"/>
              </w:rPr>
              <w:t>Education)</w:t>
            </w:r>
          </w:p>
          <w:p w:rsidR="00FB0D23" w:rsidRPr="00B75A1B" w:rsidRDefault="00FB0D23" w:rsidP="009055FB">
            <w:pPr>
              <w:rPr>
                <w:rFonts w:ascii="Times New Roman" w:hAnsi="Times New Roman"/>
                <w:sz w:val="26"/>
                <w:szCs w:val="26"/>
              </w:rPr>
            </w:pPr>
          </w:p>
        </w:tc>
      </w:tr>
      <w:tr w:rsidR="0033444A" w:rsidRPr="00A45BA9" w:rsidTr="00FB0D23">
        <w:tc>
          <w:tcPr>
            <w:tcW w:w="1838" w:type="dxa"/>
          </w:tcPr>
          <w:p w:rsidR="0033444A" w:rsidRDefault="000E6F61" w:rsidP="009055FB">
            <w:pPr>
              <w:rPr>
                <w:rFonts w:ascii="Times New Roman" w:hAnsi="Times New Roman"/>
                <w:sz w:val="26"/>
                <w:szCs w:val="26"/>
              </w:rPr>
            </w:pPr>
            <w:r>
              <w:rPr>
                <w:rFonts w:ascii="Times New Roman" w:hAnsi="Times New Roman"/>
                <w:sz w:val="26"/>
                <w:szCs w:val="26"/>
              </w:rPr>
              <w:t>ESG</w:t>
            </w:r>
          </w:p>
        </w:tc>
        <w:tc>
          <w:tcPr>
            <w:tcW w:w="7223" w:type="dxa"/>
          </w:tcPr>
          <w:p w:rsidR="000E6F61" w:rsidRDefault="000E6F61" w:rsidP="009055FB">
            <w:pPr>
              <w:rPr>
                <w:rFonts w:ascii="Times New Roman" w:hAnsi="Times New Roman"/>
                <w:sz w:val="26"/>
                <w:szCs w:val="26"/>
              </w:rPr>
            </w:pPr>
            <w:r w:rsidRPr="00095317">
              <w:rPr>
                <w:rFonts w:ascii="Times New Roman" w:hAnsi="Times New Roman"/>
                <w:sz w:val="26"/>
                <w:szCs w:val="26"/>
              </w:rPr>
              <w:t xml:space="preserve">ENQA </w:t>
            </w:r>
            <w:r>
              <w:rPr>
                <w:rFonts w:ascii="Times New Roman" w:hAnsi="Times New Roman"/>
                <w:sz w:val="26"/>
                <w:szCs w:val="26"/>
              </w:rPr>
              <w:t>izstrādātie standarti</w:t>
            </w:r>
            <w:r w:rsidRPr="00095317">
              <w:rPr>
                <w:rFonts w:ascii="Times New Roman" w:hAnsi="Times New Roman"/>
                <w:sz w:val="26"/>
                <w:szCs w:val="26"/>
              </w:rPr>
              <w:t xml:space="preserve"> un vadlīnijas kvalitātes nodrošināšanai Eiro</w:t>
            </w:r>
            <w:r>
              <w:rPr>
                <w:rFonts w:ascii="Times New Roman" w:hAnsi="Times New Roman"/>
                <w:sz w:val="26"/>
                <w:szCs w:val="26"/>
              </w:rPr>
              <w:t xml:space="preserve">pas Augstākās izglītības telpā </w:t>
            </w:r>
          </w:p>
          <w:p w:rsidR="0033444A" w:rsidRDefault="000E6F61" w:rsidP="009055FB">
            <w:pPr>
              <w:rPr>
                <w:rFonts w:ascii="Times New Roman" w:hAnsi="Times New Roman"/>
                <w:i/>
                <w:sz w:val="26"/>
                <w:szCs w:val="26"/>
              </w:rPr>
            </w:pPr>
            <w:r w:rsidRPr="001852E9">
              <w:rPr>
                <w:rFonts w:ascii="Times New Roman" w:hAnsi="Times New Roman"/>
                <w:i/>
                <w:sz w:val="26"/>
                <w:szCs w:val="26"/>
              </w:rPr>
              <w:t>(European Standards and Guidelines for Quality Assura</w:t>
            </w:r>
            <w:r>
              <w:rPr>
                <w:rFonts w:ascii="Times New Roman" w:hAnsi="Times New Roman"/>
                <w:i/>
                <w:sz w:val="26"/>
                <w:szCs w:val="26"/>
              </w:rPr>
              <w:t>nce)</w:t>
            </w:r>
          </w:p>
          <w:p w:rsidR="00FB0D23" w:rsidRPr="00CC6E2E" w:rsidRDefault="00FB0D23" w:rsidP="009055FB">
            <w:pPr>
              <w:rPr>
                <w:rFonts w:ascii="Times New Roman" w:hAnsi="Times New Roman"/>
                <w:iCs/>
                <w:sz w:val="26"/>
                <w:szCs w:val="26"/>
              </w:rPr>
            </w:pPr>
          </w:p>
        </w:tc>
      </w:tr>
      <w:tr w:rsidR="008B4EE2" w:rsidRPr="00A45BA9" w:rsidTr="00FB0D23">
        <w:tc>
          <w:tcPr>
            <w:tcW w:w="1838" w:type="dxa"/>
          </w:tcPr>
          <w:p w:rsidR="008B4EE2" w:rsidRDefault="00477D1F" w:rsidP="009055FB">
            <w:pPr>
              <w:rPr>
                <w:rFonts w:ascii="Times New Roman" w:hAnsi="Times New Roman"/>
                <w:sz w:val="26"/>
                <w:szCs w:val="26"/>
              </w:rPr>
            </w:pPr>
            <w:r>
              <w:rPr>
                <w:rFonts w:ascii="Times New Roman" w:hAnsi="Times New Roman"/>
                <w:sz w:val="26"/>
                <w:szCs w:val="26"/>
              </w:rPr>
              <w:t>ESU</w:t>
            </w:r>
          </w:p>
        </w:tc>
        <w:tc>
          <w:tcPr>
            <w:tcW w:w="7223" w:type="dxa"/>
          </w:tcPr>
          <w:p w:rsidR="00477D1F" w:rsidRDefault="00477D1F" w:rsidP="009055FB">
            <w:pPr>
              <w:rPr>
                <w:rFonts w:ascii="Times New Roman" w:hAnsi="Times New Roman"/>
                <w:i/>
                <w:sz w:val="26"/>
                <w:szCs w:val="26"/>
              </w:rPr>
            </w:pPr>
            <w:r>
              <w:rPr>
                <w:rFonts w:ascii="Times New Roman" w:hAnsi="Times New Roman"/>
                <w:sz w:val="26"/>
                <w:szCs w:val="26"/>
              </w:rPr>
              <w:t>Eiropas Studentu apvienība</w:t>
            </w:r>
            <w:r w:rsidR="00FB0D23">
              <w:rPr>
                <w:rFonts w:ascii="Times New Roman" w:hAnsi="Times New Roman"/>
                <w:sz w:val="26"/>
                <w:szCs w:val="26"/>
              </w:rPr>
              <w:t xml:space="preserve"> </w:t>
            </w:r>
            <w:r w:rsidRPr="00477D1F">
              <w:rPr>
                <w:rFonts w:ascii="Times New Roman" w:hAnsi="Times New Roman"/>
                <w:i/>
                <w:sz w:val="26"/>
                <w:szCs w:val="26"/>
              </w:rPr>
              <w:t>(European Students Union)</w:t>
            </w:r>
          </w:p>
          <w:p w:rsidR="00FB0D23" w:rsidRPr="00477D1F" w:rsidRDefault="00FB0D23" w:rsidP="009055FB">
            <w:pPr>
              <w:rPr>
                <w:rFonts w:ascii="Times New Roman" w:hAnsi="Times New Roman"/>
                <w:i/>
                <w:sz w:val="26"/>
                <w:szCs w:val="26"/>
              </w:rPr>
            </w:pPr>
          </w:p>
        </w:tc>
      </w:tr>
      <w:tr w:rsidR="000E6F61" w:rsidRPr="00A45BA9" w:rsidTr="00FB0D23">
        <w:tc>
          <w:tcPr>
            <w:tcW w:w="1838" w:type="dxa"/>
          </w:tcPr>
          <w:p w:rsidR="000E6F61" w:rsidRDefault="008B4EE2" w:rsidP="009055FB">
            <w:pPr>
              <w:rPr>
                <w:rFonts w:ascii="Times New Roman" w:hAnsi="Times New Roman"/>
                <w:sz w:val="26"/>
                <w:szCs w:val="26"/>
              </w:rPr>
            </w:pPr>
            <w:r>
              <w:rPr>
                <w:rFonts w:ascii="Times New Roman" w:hAnsi="Times New Roman"/>
                <w:sz w:val="26"/>
                <w:szCs w:val="26"/>
              </w:rPr>
              <w:t>EUA</w:t>
            </w:r>
          </w:p>
        </w:tc>
        <w:tc>
          <w:tcPr>
            <w:tcW w:w="7223" w:type="dxa"/>
          </w:tcPr>
          <w:p w:rsidR="000E6F61" w:rsidRDefault="008B4EE2" w:rsidP="009055FB">
            <w:pPr>
              <w:rPr>
                <w:rFonts w:ascii="Times New Roman" w:hAnsi="Times New Roman"/>
                <w:i/>
                <w:iCs/>
                <w:sz w:val="26"/>
                <w:szCs w:val="26"/>
              </w:rPr>
            </w:pPr>
            <w:r>
              <w:rPr>
                <w:rFonts w:ascii="Times New Roman" w:hAnsi="Times New Roman"/>
                <w:iCs/>
                <w:sz w:val="26"/>
                <w:szCs w:val="26"/>
              </w:rPr>
              <w:t xml:space="preserve">Eiropas Universitāšu asociācija </w:t>
            </w:r>
            <w:r w:rsidR="00FB0D23">
              <w:rPr>
                <w:rFonts w:ascii="Times New Roman" w:hAnsi="Times New Roman"/>
                <w:iCs/>
                <w:sz w:val="26"/>
                <w:szCs w:val="26"/>
              </w:rPr>
              <w:t xml:space="preserve"> </w:t>
            </w:r>
            <w:r w:rsidRPr="008B4EE2">
              <w:rPr>
                <w:rFonts w:ascii="Times New Roman" w:hAnsi="Times New Roman"/>
                <w:i/>
                <w:iCs/>
                <w:sz w:val="26"/>
                <w:szCs w:val="26"/>
              </w:rPr>
              <w:t>(</w:t>
            </w:r>
            <w:r>
              <w:rPr>
                <w:rFonts w:ascii="Times New Roman" w:hAnsi="Times New Roman"/>
                <w:i/>
                <w:iCs/>
                <w:sz w:val="26"/>
                <w:szCs w:val="26"/>
              </w:rPr>
              <w:t>European University Association</w:t>
            </w:r>
            <w:r w:rsidRPr="008B4EE2">
              <w:rPr>
                <w:rFonts w:ascii="Times New Roman" w:hAnsi="Times New Roman"/>
                <w:i/>
                <w:iCs/>
                <w:sz w:val="26"/>
                <w:szCs w:val="26"/>
              </w:rPr>
              <w:t>)</w:t>
            </w:r>
          </w:p>
          <w:p w:rsidR="00FB0D23" w:rsidRPr="008B4EE2" w:rsidRDefault="00FB0D23" w:rsidP="009055FB">
            <w:pPr>
              <w:rPr>
                <w:rFonts w:ascii="Times New Roman" w:hAnsi="Times New Roman"/>
                <w:i/>
                <w:iCs/>
                <w:sz w:val="26"/>
                <w:szCs w:val="26"/>
              </w:rPr>
            </w:pPr>
          </w:p>
        </w:tc>
      </w:tr>
      <w:tr w:rsidR="000E6F61" w:rsidRPr="00A45BA9" w:rsidTr="00FB0D23">
        <w:tc>
          <w:tcPr>
            <w:tcW w:w="1838" w:type="dxa"/>
          </w:tcPr>
          <w:p w:rsidR="000E6F61" w:rsidRDefault="008B4EE2" w:rsidP="009055FB">
            <w:pPr>
              <w:rPr>
                <w:rFonts w:ascii="Times New Roman" w:hAnsi="Times New Roman"/>
                <w:sz w:val="26"/>
                <w:szCs w:val="26"/>
              </w:rPr>
            </w:pPr>
            <w:r>
              <w:rPr>
                <w:rFonts w:ascii="Times New Roman" w:hAnsi="Times New Roman"/>
                <w:sz w:val="26"/>
                <w:szCs w:val="26"/>
              </w:rPr>
              <w:t>EURASHE</w:t>
            </w:r>
          </w:p>
        </w:tc>
        <w:tc>
          <w:tcPr>
            <w:tcW w:w="7223" w:type="dxa"/>
          </w:tcPr>
          <w:p w:rsidR="008B4EE2" w:rsidRDefault="00640D31" w:rsidP="009055FB">
            <w:pPr>
              <w:rPr>
                <w:rFonts w:ascii="Times New Roman" w:hAnsi="Times New Roman"/>
                <w:iCs/>
                <w:sz w:val="26"/>
                <w:szCs w:val="26"/>
              </w:rPr>
            </w:pPr>
            <w:r>
              <w:rPr>
                <w:rFonts w:ascii="Times New Roman" w:hAnsi="Times New Roman"/>
                <w:iCs/>
                <w:sz w:val="26"/>
                <w:szCs w:val="26"/>
              </w:rPr>
              <w:t>Eiropas augstākās izglītības institūciju asociācija</w:t>
            </w:r>
          </w:p>
          <w:p w:rsidR="000E6F61" w:rsidRPr="00640D31" w:rsidRDefault="00640D31" w:rsidP="009055FB">
            <w:pPr>
              <w:rPr>
                <w:rFonts w:ascii="Times New Roman" w:hAnsi="Times New Roman"/>
                <w:i/>
                <w:iCs/>
                <w:sz w:val="26"/>
                <w:szCs w:val="26"/>
              </w:rPr>
            </w:pPr>
            <w:r w:rsidRPr="00640D31">
              <w:rPr>
                <w:rFonts w:ascii="Times New Roman" w:hAnsi="Times New Roman"/>
                <w:i/>
                <w:iCs/>
                <w:sz w:val="26"/>
                <w:szCs w:val="26"/>
              </w:rPr>
              <w:t>(</w:t>
            </w:r>
            <w:r w:rsidR="008B4EE2" w:rsidRPr="00640D31">
              <w:rPr>
                <w:rFonts w:ascii="Times New Roman" w:hAnsi="Times New Roman"/>
                <w:i/>
                <w:iCs/>
                <w:sz w:val="26"/>
                <w:szCs w:val="26"/>
              </w:rPr>
              <w:t>European association of Higher Education Institutions</w:t>
            </w:r>
            <w:r w:rsidRPr="00640D31">
              <w:rPr>
                <w:rFonts w:ascii="Times New Roman" w:hAnsi="Times New Roman"/>
                <w:i/>
                <w:iCs/>
                <w:sz w:val="26"/>
                <w:szCs w:val="26"/>
              </w:rPr>
              <w:t>)</w:t>
            </w:r>
          </w:p>
        </w:tc>
      </w:tr>
      <w:tr w:rsidR="000E6F61" w:rsidRPr="00A45BA9" w:rsidTr="00FB0D23">
        <w:tc>
          <w:tcPr>
            <w:tcW w:w="1838" w:type="dxa"/>
          </w:tcPr>
          <w:p w:rsidR="000E6F61" w:rsidRDefault="000E6F61" w:rsidP="009055FB">
            <w:pPr>
              <w:rPr>
                <w:rFonts w:ascii="Times New Roman" w:hAnsi="Times New Roman"/>
                <w:sz w:val="26"/>
                <w:szCs w:val="26"/>
              </w:rPr>
            </w:pPr>
          </w:p>
        </w:tc>
        <w:tc>
          <w:tcPr>
            <w:tcW w:w="7223" w:type="dxa"/>
          </w:tcPr>
          <w:p w:rsidR="000E6F61" w:rsidRPr="00CC6E2E" w:rsidRDefault="000E6F61" w:rsidP="009055FB">
            <w:pPr>
              <w:rPr>
                <w:rFonts w:ascii="Times New Roman" w:hAnsi="Times New Roman"/>
                <w:iCs/>
                <w:sz w:val="26"/>
                <w:szCs w:val="26"/>
              </w:rPr>
            </w:pPr>
          </w:p>
        </w:tc>
      </w:tr>
      <w:tr w:rsidR="00A45BA9" w:rsidRPr="00A45BA9" w:rsidTr="00FB0D23">
        <w:tc>
          <w:tcPr>
            <w:tcW w:w="1838" w:type="dxa"/>
          </w:tcPr>
          <w:p w:rsidR="00A45BA9" w:rsidRPr="00A45BA9" w:rsidRDefault="00A45BA9" w:rsidP="009055FB">
            <w:pPr>
              <w:rPr>
                <w:rFonts w:ascii="Times New Roman" w:hAnsi="Times New Roman"/>
                <w:sz w:val="26"/>
                <w:szCs w:val="26"/>
              </w:rPr>
            </w:pPr>
            <w:r>
              <w:rPr>
                <w:rFonts w:ascii="Times New Roman" w:hAnsi="Times New Roman"/>
                <w:sz w:val="26"/>
                <w:szCs w:val="26"/>
              </w:rPr>
              <w:t>IKVD</w:t>
            </w:r>
          </w:p>
        </w:tc>
        <w:tc>
          <w:tcPr>
            <w:tcW w:w="7223" w:type="dxa"/>
          </w:tcPr>
          <w:p w:rsidR="00A45BA9" w:rsidRPr="00A45BA9" w:rsidRDefault="00A45BA9" w:rsidP="009055FB">
            <w:pPr>
              <w:rPr>
                <w:rFonts w:ascii="Times New Roman" w:hAnsi="Times New Roman"/>
                <w:sz w:val="26"/>
                <w:szCs w:val="26"/>
              </w:rPr>
            </w:pPr>
            <w:r>
              <w:rPr>
                <w:rFonts w:ascii="Times New Roman" w:hAnsi="Times New Roman"/>
                <w:sz w:val="26"/>
                <w:szCs w:val="26"/>
              </w:rPr>
              <w:t>Izglītības kvalitātes valsts dienests</w:t>
            </w:r>
          </w:p>
        </w:tc>
      </w:tr>
      <w:tr w:rsidR="00DC508E" w:rsidRPr="00A45BA9" w:rsidTr="00FB0D23">
        <w:tc>
          <w:tcPr>
            <w:tcW w:w="1838" w:type="dxa"/>
          </w:tcPr>
          <w:p w:rsidR="00DC508E" w:rsidRDefault="00DC508E" w:rsidP="009055FB">
            <w:pPr>
              <w:rPr>
                <w:rFonts w:ascii="Times New Roman" w:hAnsi="Times New Roman"/>
                <w:sz w:val="26"/>
                <w:szCs w:val="26"/>
              </w:rPr>
            </w:pPr>
          </w:p>
        </w:tc>
        <w:tc>
          <w:tcPr>
            <w:tcW w:w="7223" w:type="dxa"/>
          </w:tcPr>
          <w:p w:rsidR="00DC508E" w:rsidRPr="00DC508E" w:rsidRDefault="00DC508E" w:rsidP="009055FB">
            <w:pPr>
              <w:rPr>
                <w:rFonts w:ascii="Times New Roman" w:hAnsi="Times New Roman"/>
                <w:i/>
                <w:sz w:val="26"/>
                <w:szCs w:val="26"/>
              </w:rPr>
            </w:pPr>
          </w:p>
        </w:tc>
      </w:tr>
      <w:tr w:rsidR="00A45BA9" w:rsidRPr="00A45BA9" w:rsidTr="00FB0D23">
        <w:tc>
          <w:tcPr>
            <w:tcW w:w="1838" w:type="dxa"/>
          </w:tcPr>
          <w:p w:rsidR="00A45BA9" w:rsidRDefault="00D90FE2" w:rsidP="009055FB">
            <w:pPr>
              <w:rPr>
                <w:rFonts w:ascii="Times New Roman" w:hAnsi="Times New Roman"/>
                <w:sz w:val="26"/>
                <w:szCs w:val="26"/>
              </w:rPr>
            </w:pPr>
            <w:r>
              <w:rPr>
                <w:rFonts w:ascii="Times New Roman" w:hAnsi="Times New Roman"/>
                <w:sz w:val="26"/>
                <w:szCs w:val="26"/>
              </w:rPr>
              <w:t>IZM</w:t>
            </w:r>
          </w:p>
        </w:tc>
        <w:tc>
          <w:tcPr>
            <w:tcW w:w="7223" w:type="dxa"/>
          </w:tcPr>
          <w:p w:rsidR="00A45BA9" w:rsidRDefault="00D90FE2" w:rsidP="009055FB">
            <w:pPr>
              <w:rPr>
                <w:rFonts w:ascii="Times New Roman" w:hAnsi="Times New Roman"/>
                <w:sz w:val="26"/>
                <w:szCs w:val="26"/>
              </w:rPr>
            </w:pPr>
            <w:r>
              <w:rPr>
                <w:rFonts w:ascii="Times New Roman" w:hAnsi="Times New Roman"/>
                <w:sz w:val="26"/>
                <w:szCs w:val="26"/>
              </w:rPr>
              <w:t>Izglītības un zinātnes ministrija</w:t>
            </w:r>
          </w:p>
          <w:p w:rsidR="00FB0D23" w:rsidRDefault="00FB0D23" w:rsidP="009055FB">
            <w:pPr>
              <w:rPr>
                <w:rFonts w:ascii="Times New Roman" w:hAnsi="Times New Roman"/>
                <w:sz w:val="26"/>
                <w:szCs w:val="26"/>
              </w:rPr>
            </w:pPr>
          </w:p>
        </w:tc>
      </w:tr>
      <w:tr w:rsidR="00A45BA9" w:rsidRPr="00A45BA9" w:rsidTr="00FB0D23">
        <w:tc>
          <w:tcPr>
            <w:tcW w:w="1838" w:type="dxa"/>
          </w:tcPr>
          <w:p w:rsidR="00A45BA9" w:rsidRPr="00A45BA9" w:rsidRDefault="00D90FE2" w:rsidP="009055FB">
            <w:pPr>
              <w:rPr>
                <w:rFonts w:ascii="Times New Roman" w:hAnsi="Times New Roman"/>
                <w:sz w:val="26"/>
                <w:szCs w:val="26"/>
              </w:rPr>
            </w:pPr>
            <w:r>
              <w:rPr>
                <w:rFonts w:ascii="Times New Roman" w:hAnsi="Times New Roman"/>
                <w:sz w:val="26"/>
                <w:szCs w:val="26"/>
              </w:rPr>
              <w:t>LDDK</w:t>
            </w:r>
          </w:p>
        </w:tc>
        <w:tc>
          <w:tcPr>
            <w:tcW w:w="7223" w:type="dxa"/>
          </w:tcPr>
          <w:p w:rsidR="00A45BA9" w:rsidRDefault="00D90FE2" w:rsidP="009055FB">
            <w:pPr>
              <w:rPr>
                <w:rFonts w:ascii="Times New Roman" w:hAnsi="Times New Roman"/>
                <w:sz w:val="26"/>
                <w:szCs w:val="26"/>
              </w:rPr>
            </w:pPr>
            <w:r>
              <w:rPr>
                <w:rFonts w:ascii="Times New Roman" w:hAnsi="Times New Roman"/>
                <w:sz w:val="26"/>
                <w:szCs w:val="26"/>
              </w:rPr>
              <w:t>Latvijas Darba devēju konfederācija</w:t>
            </w:r>
          </w:p>
          <w:p w:rsidR="00FB0D23" w:rsidRPr="00A45BA9" w:rsidRDefault="00FB0D23" w:rsidP="009055FB">
            <w:pPr>
              <w:rPr>
                <w:rFonts w:ascii="Times New Roman" w:hAnsi="Times New Roman"/>
                <w:sz w:val="26"/>
                <w:szCs w:val="26"/>
              </w:rPr>
            </w:pPr>
          </w:p>
        </w:tc>
      </w:tr>
      <w:tr w:rsidR="00D90FE2" w:rsidRPr="00A45BA9" w:rsidTr="00FB0D23">
        <w:tc>
          <w:tcPr>
            <w:tcW w:w="1838" w:type="dxa"/>
          </w:tcPr>
          <w:p w:rsidR="00D90FE2" w:rsidRDefault="00D90FE2" w:rsidP="009055FB">
            <w:pPr>
              <w:rPr>
                <w:rFonts w:ascii="Times New Roman" w:hAnsi="Times New Roman"/>
                <w:sz w:val="26"/>
                <w:szCs w:val="26"/>
              </w:rPr>
            </w:pPr>
            <w:r>
              <w:rPr>
                <w:rFonts w:ascii="Times New Roman" w:hAnsi="Times New Roman"/>
                <w:sz w:val="26"/>
                <w:szCs w:val="26"/>
              </w:rPr>
              <w:t>LSA</w:t>
            </w:r>
          </w:p>
        </w:tc>
        <w:tc>
          <w:tcPr>
            <w:tcW w:w="7223" w:type="dxa"/>
          </w:tcPr>
          <w:p w:rsidR="00D90FE2" w:rsidRDefault="00D90FE2" w:rsidP="009055FB">
            <w:pPr>
              <w:rPr>
                <w:rFonts w:ascii="Times New Roman" w:hAnsi="Times New Roman"/>
                <w:sz w:val="26"/>
                <w:szCs w:val="26"/>
              </w:rPr>
            </w:pPr>
            <w:r>
              <w:rPr>
                <w:rFonts w:ascii="Times New Roman" w:hAnsi="Times New Roman"/>
                <w:sz w:val="26"/>
                <w:szCs w:val="26"/>
              </w:rPr>
              <w:t>Latvijas Studentu apvienība</w:t>
            </w:r>
          </w:p>
          <w:p w:rsidR="00FB0D23" w:rsidRDefault="00FB0D23" w:rsidP="009055FB">
            <w:pPr>
              <w:rPr>
                <w:rFonts w:ascii="Times New Roman" w:hAnsi="Times New Roman"/>
                <w:sz w:val="26"/>
                <w:szCs w:val="26"/>
              </w:rPr>
            </w:pPr>
          </w:p>
        </w:tc>
      </w:tr>
      <w:tr w:rsidR="00A45BA9" w:rsidRPr="00A45BA9" w:rsidTr="00FB0D23">
        <w:tc>
          <w:tcPr>
            <w:tcW w:w="1838" w:type="dxa"/>
          </w:tcPr>
          <w:p w:rsidR="00A45BA9" w:rsidRPr="00A45BA9" w:rsidRDefault="00D90FE2" w:rsidP="009055FB">
            <w:pPr>
              <w:rPr>
                <w:rFonts w:ascii="Times New Roman" w:hAnsi="Times New Roman"/>
                <w:sz w:val="26"/>
                <w:szCs w:val="26"/>
              </w:rPr>
            </w:pPr>
            <w:r>
              <w:rPr>
                <w:rFonts w:ascii="Times New Roman" w:hAnsi="Times New Roman"/>
                <w:sz w:val="26"/>
                <w:szCs w:val="26"/>
              </w:rPr>
              <w:t>LTRK</w:t>
            </w:r>
          </w:p>
        </w:tc>
        <w:tc>
          <w:tcPr>
            <w:tcW w:w="7223" w:type="dxa"/>
          </w:tcPr>
          <w:p w:rsidR="00A45BA9" w:rsidRDefault="00D90FE2" w:rsidP="009055FB">
            <w:pPr>
              <w:rPr>
                <w:rFonts w:ascii="Times New Roman" w:hAnsi="Times New Roman"/>
                <w:sz w:val="26"/>
                <w:szCs w:val="26"/>
              </w:rPr>
            </w:pPr>
            <w:r>
              <w:rPr>
                <w:rFonts w:ascii="Times New Roman" w:hAnsi="Times New Roman"/>
                <w:sz w:val="26"/>
                <w:szCs w:val="26"/>
              </w:rPr>
              <w:t>Latvijas Tirdzniecības un rūpniecības kamera</w:t>
            </w:r>
          </w:p>
          <w:p w:rsidR="00FB0D23" w:rsidRPr="00A45BA9" w:rsidRDefault="00FB0D23" w:rsidP="009055FB">
            <w:pPr>
              <w:rPr>
                <w:rFonts w:ascii="Times New Roman" w:hAnsi="Times New Roman"/>
                <w:sz w:val="26"/>
                <w:szCs w:val="26"/>
              </w:rPr>
            </w:pPr>
          </w:p>
        </w:tc>
      </w:tr>
      <w:tr w:rsidR="004114F0" w:rsidRPr="00A45BA9" w:rsidTr="00FB0D23">
        <w:tc>
          <w:tcPr>
            <w:tcW w:w="1838" w:type="dxa"/>
          </w:tcPr>
          <w:p w:rsidR="004114F0" w:rsidRDefault="004114F0" w:rsidP="009055FB">
            <w:pPr>
              <w:rPr>
                <w:rFonts w:ascii="Times New Roman" w:hAnsi="Times New Roman"/>
                <w:sz w:val="26"/>
                <w:szCs w:val="26"/>
              </w:rPr>
            </w:pPr>
            <w:r>
              <w:rPr>
                <w:rFonts w:ascii="Times New Roman" w:hAnsi="Times New Roman"/>
                <w:sz w:val="26"/>
                <w:szCs w:val="26"/>
              </w:rPr>
              <w:t>MK</w:t>
            </w:r>
          </w:p>
        </w:tc>
        <w:tc>
          <w:tcPr>
            <w:tcW w:w="7223" w:type="dxa"/>
          </w:tcPr>
          <w:p w:rsidR="004114F0" w:rsidRDefault="004114F0" w:rsidP="009055FB">
            <w:pPr>
              <w:rPr>
                <w:rFonts w:ascii="Times New Roman" w:hAnsi="Times New Roman"/>
                <w:sz w:val="26"/>
                <w:szCs w:val="26"/>
              </w:rPr>
            </w:pPr>
            <w:r>
              <w:rPr>
                <w:rFonts w:ascii="Times New Roman" w:hAnsi="Times New Roman"/>
                <w:sz w:val="26"/>
                <w:szCs w:val="26"/>
              </w:rPr>
              <w:t>Ministru kabinets</w:t>
            </w:r>
          </w:p>
        </w:tc>
      </w:tr>
    </w:tbl>
    <w:p w:rsidR="00A45BA9" w:rsidRPr="00A45BA9" w:rsidRDefault="00A45BA9" w:rsidP="009055FB">
      <w:pPr>
        <w:spacing w:after="0" w:line="240" w:lineRule="auto"/>
        <w:rPr>
          <w:rFonts w:ascii="Times New Roman" w:hAnsi="Times New Roman" w:cs="Times New Roman"/>
          <w:sz w:val="26"/>
          <w:szCs w:val="26"/>
        </w:rPr>
      </w:pPr>
    </w:p>
    <w:p w:rsidR="00C90D94" w:rsidRDefault="006E5454" w:rsidP="009055FB">
      <w:pPr>
        <w:pStyle w:val="Heading1"/>
        <w:spacing w:before="0" w:line="240" w:lineRule="auto"/>
        <w:jc w:val="center"/>
        <w:rPr>
          <w:rFonts w:ascii="Times New Roman" w:hAnsi="Times New Roman" w:cs="Times New Roman"/>
          <w:noProof/>
          <w:color w:val="auto"/>
          <w:sz w:val="32"/>
          <w:szCs w:val="32"/>
        </w:rPr>
      </w:pPr>
      <w:bookmarkStart w:id="3" w:name="_Toc395890855"/>
      <w:r w:rsidRPr="00C90D94">
        <w:rPr>
          <w:rFonts w:ascii="Times New Roman" w:hAnsi="Times New Roman" w:cs="Times New Roman"/>
          <w:noProof/>
          <w:color w:val="auto"/>
          <w:sz w:val="32"/>
          <w:szCs w:val="32"/>
        </w:rPr>
        <w:lastRenderedPageBreak/>
        <w:t>Ievads</w:t>
      </w:r>
      <w:bookmarkEnd w:id="3"/>
    </w:p>
    <w:p w:rsidR="002977BD" w:rsidRPr="002977BD" w:rsidRDefault="002977BD" w:rsidP="009055FB">
      <w:pPr>
        <w:spacing w:after="0" w:line="240" w:lineRule="auto"/>
      </w:pPr>
    </w:p>
    <w:p w:rsidR="002767E9" w:rsidRDefault="002767E9"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Koncepcija </w:t>
      </w:r>
      <w:r w:rsidRPr="003F55CE">
        <w:rPr>
          <w:rFonts w:ascii="Times New Roman" w:hAnsi="Times New Roman" w:cs="Times New Roman"/>
          <w:bCs/>
          <w:noProof/>
          <w:sz w:val="26"/>
          <w:szCs w:val="26"/>
        </w:rPr>
        <w:t>"</w:t>
      </w:r>
      <w:r w:rsidR="00FC713A">
        <w:rPr>
          <w:rFonts w:ascii="Times New Roman" w:hAnsi="Times New Roman" w:cs="Times New Roman"/>
          <w:bCs/>
          <w:noProof/>
          <w:sz w:val="26"/>
          <w:szCs w:val="26"/>
        </w:rPr>
        <w:t>Latvijas a</w:t>
      </w:r>
      <w:r w:rsidRPr="003F55CE">
        <w:rPr>
          <w:rFonts w:ascii="Times New Roman" w:hAnsi="Times New Roman" w:cs="Times New Roman"/>
          <w:bCs/>
          <w:noProof/>
          <w:sz w:val="26"/>
          <w:szCs w:val="26"/>
        </w:rPr>
        <w:t>ugstākās izglītības</w:t>
      </w:r>
      <w:r w:rsidR="00FC713A">
        <w:rPr>
          <w:rFonts w:ascii="Times New Roman" w:hAnsi="Times New Roman" w:cs="Times New Roman"/>
          <w:bCs/>
          <w:noProof/>
          <w:sz w:val="26"/>
          <w:szCs w:val="26"/>
        </w:rPr>
        <w:t xml:space="preserve"> ārējās</w:t>
      </w:r>
      <w:r w:rsidRPr="003F55CE">
        <w:rPr>
          <w:rFonts w:ascii="Times New Roman" w:hAnsi="Times New Roman" w:cs="Times New Roman"/>
          <w:bCs/>
          <w:noProof/>
          <w:sz w:val="26"/>
          <w:szCs w:val="26"/>
        </w:rPr>
        <w:t xml:space="preserve"> kvalitātes nodrošināšanas sistēmas pilnveide"</w:t>
      </w:r>
      <w:r w:rsidR="008F3B3E">
        <w:rPr>
          <w:rFonts w:ascii="Times New Roman" w:hAnsi="Times New Roman" w:cs="Times New Roman"/>
          <w:bCs/>
          <w:noProof/>
          <w:sz w:val="26"/>
          <w:szCs w:val="26"/>
        </w:rPr>
        <w:t xml:space="preserve"> (turpmāk - koncepcija)</w:t>
      </w:r>
      <w:r>
        <w:rPr>
          <w:rFonts w:ascii="Times New Roman" w:hAnsi="Times New Roman" w:cs="Times New Roman"/>
          <w:bCs/>
          <w:noProof/>
          <w:sz w:val="26"/>
          <w:szCs w:val="26"/>
        </w:rPr>
        <w:t xml:space="preserve"> ir ar sociālajiem partneriem saskaņots redzējums</w:t>
      </w:r>
      <w:r w:rsidR="00B16272">
        <w:rPr>
          <w:rFonts w:ascii="Times New Roman" w:hAnsi="Times New Roman" w:cs="Times New Roman"/>
          <w:bCs/>
          <w:noProof/>
          <w:sz w:val="26"/>
          <w:szCs w:val="26"/>
        </w:rPr>
        <w:t xml:space="preserve"> </w:t>
      </w:r>
      <w:r>
        <w:rPr>
          <w:rFonts w:ascii="Times New Roman" w:hAnsi="Times New Roman" w:cs="Times New Roman"/>
          <w:bCs/>
          <w:noProof/>
          <w:sz w:val="26"/>
          <w:szCs w:val="26"/>
        </w:rPr>
        <w:t>augstākās izglītības ilgtspējīgas kvalitātes nodrošināšanas institucionālas sistēmas izveidei, paredzot izveidot nacionālo augstākās izglītības kvalitātes nodrošināšanas institūciju kā aktuālo augstākās izglītības kvalitātes nodrošināšanas principu ieviešanas un akreditācijas un licencēšanas organizēšanas centru.</w:t>
      </w:r>
      <w:r w:rsidR="00B16272">
        <w:rPr>
          <w:rFonts w:ascii="Times New Roman" w:hAnsi="Times New Roman" w:cs="Times New Roman"/>
          <w:bCs/>
          <w:noProof/>
          <w:sz w:val="26"/>
          <w:szCs w:val="26"/>
        </w:rPr>
        <w:t xml:space="preserve"> </w:t>
      </w:r>
    </w:p>
    <w:p w:rsidR="00B16272" w:rsidRDefault="00B16272"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Koncepcija ir izstrādāta, </w:t>
      </w:r>
      <w:r w:rsidR="00F929AC">
        <w:rPr>
          <w:rFonts w:ascii="Times New Roman" w:hAnsi="Times New Roman" w:cs="Times New Roman"/>
          <w:bCs/>
          <w:noProof/>
          <w:sz w:val="26"/>
          <w:szCs w:val="26"/>
        </w:rPr>
        <w:t>izpildot šādus uzdevumus:</w:t>
      </w:r>
    </w:p>
    <w:p w:rsidR="00F15465" w:rsidRDefault="00B16272" w:rsidP="009055FB">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B16272">
        <w:rPr>
          <w:rFonts w:ascii="Times New Roman" w:hAnsi="Times New Roman" w:cs="Times New Roman"/>
          <w:bCs/>
          <w:noProof/>
          <w:sz w:val="26"/>
          <w:szCs w:val="26"/>
        </w:rPr>
        <w:t>v</w:t>
      </w:r>
      <w:r w:rsidR="005737F7" w:rsidRPr="00B16272">
        <w:rPr>
          <w:rFonts w:ascii="Times New Roman" w:hAnsi="Times New Roman" w:cs="Times New Roman"/>
          <w:bCs/>
          <w:noProof/>
          <w:sz w:val="26"/>
          <w:szCs w:val="26"/>
        </w:rPr>
        <w:t>iens no Deklarācijas par Laimdotas Straujumas vadītā Ministru kabineta iecerēto darbību 23.punktā iekļautajiem uzdevumiem ir turpināt veidot Nacionālo akreditācijas aģentūru augstākās izglītības programmu akreditācijas organizēšanai.</w:t>
      </w:r>
      <w:r w:rsidR="003F55CE" w:rsidRPr="00B16272">
        <w:rPr>
          <w:rFonts w:ascii="Times New Roman" w:hAnsi="Times New Roman" w:cs="Times New Roman"/>
          <w:bCs/>
          <w:noProof/>
          <w:sz w:val="26"/>
          <w:szCs w:val="26"/>
        </w:rPr>
        <w:t xml:space="preserve"> Līdz ar to valdības rīcības plānā ir iekļauts uzdevums sagatavot koncepciju "Latvijas augstākās izglītības kvalitātes nodrošināšanas sistēmas pilnveide", sniedzot priekšlikumus Nacionālās augstākās izglītības ārējās kvalitātes no</w:t>
      </w:r>
      <w:r w:rsidR="00512AFA">
        <w:rPr>
          <w:rFonts w:ascii="Times New Roman" w:hAnsi="Times New Roman" w:cs="Times New Roman"/>
          <w:bCs/>
          <w:noProof/>
          <w:sz w:val="26"/>
          <w:szCs w:val="26"/>
        </w:rPr>
        <w:t>drošināšanas aģentūras izveidei;</w:t>
      </w:r>
      <w:r w:rsidR="003F55CE" w:rsidRPr="00B16272">
        <w:rPr>
          <w:rFonts w:ascii="Times New Roman" w:hAnsi="Times New Roman" w:cs="Times New Roman"/>
          <w:bCs/>
          <w:noProof/>
          <w:sz w:val="26"/>
          <w:szCs w:val="26"/>
        </w:rPr>
        <w:t xml:space="preserve"> </w:t>
      </w:r>
    </w:p>
    <w:p w:rsidR="00F15465" w:rsidRPr="00F15465" w:rsidRDefault="007A7B6A" w:rsidP="009055FB">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F15465">
        <w:rPr>
          <w:rFonts w:ascii="Times New Roman" w:hAnsi="Times New Roman" w:cs="Times New Roman"/>
          <w:bCs/>
          <w:noProof/>
          <w:sz w:val="26"/>
          <w:szCs w:val="26"/>
        </w:rPr>
        <w:t>ES Padomes i</w:t>
      </w:r>
      <w:r w:rsidR="000203DD" w:rsidRPr="00F15465">
        <w:rPr>
          <w:rFonts w:ascii="Times New Roman" w:hAnsi="Times New Roman" w:cs="Times New Roman"/>
          <w:bCs/>
          <w:noProof/>
          <w:sz w:val="26"/>
          <w:szCs w:val="26"/>
        </w:rPr>
        <w:t>eteikums par L</w:t>
      </w:r>
      <w:r w:rsidRPr="00F15465">
        <w:rPr>
          <w:rFonts w:ascii="Times New Roman" w:hAnsi="Times New Roman" w:cs="Times New Roman"/>
          <w:bCs/>
          <w:noProof/>
          <w:sz w:val="26"/>
          <w:szCs w:val="26"/>
        </w:rPr>
        <w:t>atvija</w:t>
      </w:r>
      <w:r w:rsidR="000203DD" w:rsidRPr="00F15465">
        <w:rPr>
          <w:rFonts w:ascii="Times New Roman" w:hAnsi="Times New Roman" w:cs="Times New Roman"/>
          <w:bCs/>
          <w:noProof/>
          <w:sz w:val="26"/>
          <w:szCs w:val="26"/>
        </w:rPr>
        <w:t>s</w:t>
      </w:r>
      <w:r w:rsidRPr="00F15465">
        <w:rPr>
          <w:rFonts w:ascii="Times New Roman" w:hAnsi="Times New Roman" w:cs="Times New Roman"/>
          <w:bCs/>
          <w:noProof/>
          <w:sz w:val="26"/>
          <w:szCs w:val="26"/>
        </w:rPr>
        <w:t xml:space="preserve"> 2014.gada valsts reformu programmu </w:t>
      </w:r>
      <w:r w:rsidR="000203DD" w:rsidRPr="00F15465">
        <w:rPr>
          <w:rFonts w:ascii="Times New Roman" w:hAnsi="Times New Roman" w:cs="Times New Roman"/>
          <w:bCs/>
          <w:noProof/>
          <w:sz w:val="26"/>
          <w:szCs w:val="26"/>
        </w:rPr>
        <w:t>un ar ko sniedz Padomes atzinumu par Latvijas 2014.gada stabilitātes programmu</w:t>
      </w:r>
      <w:r w:rsidR="00F15465" w:rsidRPr="00F15465">
        <w:rPr>
          <w:rFonts w:ascii="Times New Roman" w:hAnsi="Times New Roman" w:cs="Times New Roman"/>
          <w:bCs/>
          <w:noProof/>
          <w:sz w:val="26"/>
          <w:szCs w:val="26"/>
        </w:rPr>
        <w:t xml:space="preserve"> Latvijai laikposmā no 2014. gada līdz 2015. gadam nosaka paātrināt augstākās izglītības reformas īstenošanu, jo īpaši izveidojot neatkarīgu akreditācijas aģentūru</w:t>
      </w:r>
      <w:r w:rsidR="002D3F19">
        <w:rPr>
          <w:rFonts w:ascii="Times New Roman" w:hAnsi="Times New Roman" w:cs="Times New Roman"/>
          <w:bCs/>
          <w:noProof/>
          <w:sz w:val="26"/>
          <w:szCs w:val="26"/>
        </w:rPr>
        <w:t>, kas stimulētu augstākās izglītības kvalitāti</w:t>
      </w:r>
      <w:r w:rsidR="002D3F19">
        <w:rPr>
          <w:rStyle w:val="FootnoteReference"/>
          <w:rFonts w:ascii="Times New Roman" w:hAnsi="Times New Roman" w:cs="Times New Roman"/>
          <w:bCs/>
          <w:noProof/>
          <w:sz w:val="26"/>
          <w:szCs w:val="26"/>
        </w:rPr>
        <w:t xml:space="preserve"> </w:t>
      </w:r>
      <w:r w:rsidR="00F15465">
        <w:rPr>
          <w:rStyle w:val="FootnoteReference"/>
          <w:rFonts w:ascii="Times New Roman" w:hAnsi="Times New Roman" w:cs="Times New Roman"/>
          <w:bCs/>
          <w:noProof/>
          <w:sz w:val="26"/>
          <w:szCs w:val="26"/>
        </w:rPr>
        <w:footnoteReference w:id="1"/>
      </w:r>
      <w:r w:rsidR="00512AFA">
        <w:rPr>
          <w:rFonts w:ascii="Times New Roman" w:hAnsi="Times New Roman" w:cs="Times New Roman"/>
          <w:bCs/>
          <w:noProof/>
          <w:sz w:val="26"/>
          <w:szCs w:val="26"/>
        </w:rPr>
        <w:t>;</w:t>
      </w:r>
    </w:p>
    <w:p w:rsidR="00684F09" w:rsidRDefault="002D3F19" w:rsidP="009055FB">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0754A4">
        <w:rPr>
          <w:rFonts w:ascii="Times New Roman" w:hAnsi="Times New Roman" w:cs="Times New Roman"/>
          <w:sz w:val="26"/>
          <w:szCs w:val="26"/>
        </w:rPr>
        <w:t>2014.gada 20.jūnijā Eiropas Komisijas apstiprinātais Latvijas Partnerības līgumu Eiropas Savienības investīciju fondu 2014. - 2020.gada plānošanas periodam</w:t>
      </w:r>
      <w:r w:rsidRPr="000754A4">
        <w:rPr>
          <w:sz w:val="26"/>
          <w:szCs w:val="26"/>
        </w:rPr>
        <w:t xml:space="preserve"> </w:t>
      </w:r>
      <w:r w:rsidR="00684F09">
        <w:rPr>
          <w:rFonts w:ascii="Times New Roman" w:hAnsi="Times New Roman" w:cs="Times New Roman"/>
          <w:bCs/>
          <w:noProof/>
          <w:sz w:val="26"/>
          <w:szCs w:val="26"/>
        </w:rPr>
        <w:t xml:space="preserve">nosaka, </w:t>
      </w:r>
      <w:r w:rsidR="00B16272" w:rsidRPr="00684F09">
        <w:rPr>
          <w:rFonts w:ascii="Times New Roman" w:hAnsi="Times New Roman" w:cs="Times New Roman"/>
          <w:bCs/>
          <w:noProof/>
          <w:sz w:val="26"/>
          <w:szCs w:val="26"/>
        </w:rPr>
        <w:t>ka “(170)... Nacionālo aģentūru plānots izveidot 2015.gadā, izveides izmaksas sedzot no valsts budžeta līdzekļiem. EQAR aģentūras izmantošana akreditācijā veicinās augstākās izglītības kvalitātes kultūras attīstību atbilstoši labākajiem standartiem EAIT, vienlaikus palielinās uzticamību Latvijas augstākajai izglītībai un tajā iegūtajiem diplomiem, kā arī palīdzēs veidot kontaktus ar partneriem ārvalstīs, tādejādi sekmējot starptautisko sadarbību.” Eiropas Sociālā fonda finansējumu plānots novirzīt nacionālās augstākās izglītības kvalitātes nodrošināšanas institūcijas sākotnējās darbības kvalitātes atbalsta pasākumiem un kapacitātes sti</w:t>
      </w:r>
      <w:r w:rsidR="00512AFA">
        <w:rPr>
          <w:rFonts w:ascii="Times New Roman" w:hAnsi="Times New Roman" w:cs="Times New Roman"/>
          <w:bCs/>
          <w:noProof/>
          <w:sz w:val="26"/>
          <w:szCs w:val="26"/>
        </w:rPr>
        <w:t>prināšanai ar mērķi iekļūt EQAR;</w:t>
      </w:r>
      <w:r w:rsidR="00B16272" w:rsidRPr="00684F09">
        <w:rPr>
          <w:rFonts w:ascii="Times New Roman" w:hAnsi="Times New Roman" w:cs="Times New Roman"/>
          <w:bCs/>
          <w:noProof/>
          <w:sz w:val="26"/>
          <w:szCs w:val="26"/>
        </w:rPr>
        <w:t xml:space="preserve"> </w:t>
      </w:r>
    </w:p>
    <w:p w:rsidR="006D5EDF" w:rsidRPr="006D5EDF" w:rsidRDefault="006D5EDF" w:rsidP="009055FB">
      <w:pPr>
        <w:pStyle w:val="ListParagraph"/>
        <w:numPr>
          <w:ilvl w:val="0"/>
          <w:numId w:val="32"/>
        </w:numPr>
        <w:spacing w:after="0" w:line="240" w:lineRule="auto"/>
        <w:ind w:firstLine="720"/>
        <w:jc w:val="both"/>
        <w:rPr>
          <w:rFonts w:ascii="Times New Roman" w:hAnsi="Times New Roman" w:cs="Times New Roman"/>
          <w:sz w:val="26"/>
          <w:szCs w:val="26"/>
        </w:rPr>
      </w:pPr>
      <w:r w:rsidRPr="000754A4">
        <w:rPr>
          <w:rFonts w:ascii="Times New Roman" w:hAnsi="Times New Roman" w:cs="Times New Roman"/>
          <w:color w:val="000000"/>
          <w:sz w:val="26"/>
          <w:szCs w:val="26"/>
        </w:rPr>
        <w:t>2014.gada 2.septembra Ministru kabineta sēdē apstiprināt</w:t>
      </w:r>
      <w:r>
        <w:rPr>
          <w:rFonts w:ascii="Times New Roman" w:hAnsi="Times New Roman" w:cs="Times New Roman"/>
          <w:color w:val="000000"/>
          <w:sz w:val="26"/>
          <w:szCs w:val="26"/>
        </w:rPr>
        <w:t>ā</w:t>
      </w:r>
      <w:r w:rsidRPr="000754A4">
        <w:rPr>
          <w:rFonts w:ascii="Times New Roman" w:hAnsi="Times New Roman" w:cs="Times New Roman"/>
          <w:color w:val="000000"/>
          <w:sz w:val="26"/>
          <w:szCs w:val="26"/>
        </w:rPr>
        <w:t xml:space="preserve"> ES struktūrfondu un Kohēzijas fonda 2014.–2020.gada plānošanas perioda Darbības programma „Izaugsme un nodarbinātība”</w:t>
      </w:r>
      <w:r>
        <w:rPr>
          <w:rFonts w:ascii="Times New Roman" w:hAnsi="Times New Roman" w:cs="Times New Roman"/>
          <w:color w:val="000000"/>
          <w:sz w:val="26"/>
          <w:szCs w:val="26"/>
        </w:rPr>
        <w:t>, kas</w:t>
      </w:r>
      <w:r w:rsidRPr="000754A4">
        <w:rPr>
          <w:rFonts w:ascii="Times New Roman" w:hAnsi="Times New Roman" w:cs="Times New Roman"/>
          <w:color w:val="000000"/>
          <w:sz w:val="26"/>
          <w:szCs w:val="26"/>
        </w:rPr>
        <w:t xml:space="preserve"> paredz atbalstu</w:t>
      </w:r>
      <w:r w:rsidRPr="000754A4">
        <w:rPr>
          <w:rFonts w:ascii="Times New Roman" w:hAnsi="Times New Roman" w:cs="Times New Roman"/>
          <w:sz w:val="26"/>
          <w:szCs w:val="26"/>
        </w:rPr>
        <w:t xml:space="preserve">  nacionālās augstākās izglītības kvalitātes nodrošināšanas aģentūras sākotnējās darbības kvalitātes atbalsta pasākumiem un personāla apmācībai. Eiropas Sociālā fonda investīciju rezultātā plānots izveidot institūciju Latvijā, kas atbilst EQAR aģentūrai izvirzītajām prasībām.</w:t>
      </w:r>
    </w:p>
    <w:p w:rsidR="003F55CE" w:rsidRPr="00684F09" w:rsidRDefault="00684F09" w:rsidP="009055FB">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684F09">
        <w:rPr>
          <w:rFonts w:ascii="Times New Roman" w:hAnsi="Times New Roman" w:cs="Times New Roman"/>
          <w:sz w:val="26"/>
          <w:szCs w:val="26"/>
        </w:rPr>
        <w:t>MK 2012.gada 25.septembra sēdes protokollēmuma (prot. Nr.53 45.§) „Noteikumu projekts „Augstskolu, koledžu un studiju virzienu akreditācijas noteikumi”” 5.punktā dot</w:t>
      </w:r>
      <w:r>
        <w:rPr>
          <w:rFonts w:ascii="Times New Roman" w:hAnsi="Times New Roman" w:cs="Times New Roman"/>
          <w:sz w:val="26"/>
          <w:szCs w:val="26"/>
        </w:rPr>
        <w:t>ais uzdevums</w:t>
      </w:r>
      <w:r w:rsidRPr="00684F09">
        <w:rPr>
          <w:rFonts w:ascii="Times New Roman" w:hAnsi="Times New Roman" w:cs="Times New Roman"/>
          <w:sz w:val="26"/>
          <w:szCs w:val="26"/>
        </w:rPr>
        <w:t xml:space="preserve"> (Nr.2012-UZD-3401)</w:t>
      </w:r>
      <w:r>
        <w:rPr>
          <w:rFonts w:ascii="Times New Roman" w:hAnsi="Times New Roman" w:cs="Times New Roman"/>
          <w:sz w:val="26"/>
          <w:szCs w:val="26"/>
        </w:rPr>
        <w:t xml:space="preserve"> sniegt </w:t>
      </w:r>
      <w:r>
        <w:rPr>
          <w:rFonts w:ascii="Times New Roman" w:hAnsi="Times New Roman" w:cs="Times New Roman"/>
          <w:sz w:val="26"/>
          <w:szCs w:val="26"/>
        </w:rPr>
        <w:lastRenderedPageBreak/>
        <w:t xml:space="preserve">informāciju </w:t>
      </w:r>
      <w:r w:rsidR="003F55CE" w:rsidRPr="00684F09">
        <w:rPr>
          <w:rFonts w:ascii="Times New Roman" w:hAnsi="Times New Roman" w:cs="Times New Roman"/>
          <w:sz w:val="26"/>
          <w:szCs w:val="26"/>
        </w:rPr>
        <w:t xml:space="preserve">par Eiropas augstākās izglītības kvalitātes nodrošināšanas </w:t>
      </w:r>
      <w:r w:rsidR="003D171E" w:rsidRPr="00684F09">
        <w:rPr>
          <w:rFonts w:ascii="Times New Roman" w:hAnsi="Times New Roman" w:cs="Times New Roman"/>
          <w:sz w:val="26"/>
          <w:szCs w:val="26"/>
        </w:rPr>
        <w:t>reģistra darbību, tai skaitā par to, kā</w:t>
      </w:r>
      <w:r w:rsidR="003F55CE" w:rsidRPr="00684F09">
        <w:rPr>
          <w:rFonts w:ascii="Times New Roman" w:hAnsi="Times New Roman" w:cs="Times New Roman"/>
          <w:sz w:val="26"/>
          <w:szCs w:val="26"/>
        </w:rPr>
        <w:t xml:space="preserve"> Latvijas Republikas institū</w:t>
      </w:r>
      <w:r w:rsidR="003D171E" w:rsidRPr="00684F09">
        <w:rPr>
          <w:rFonts w:ascii="Times New Roman" w:hAnsi="Times New Roman" w:cs="Times New Roman"/>
          <w:sz w:val="26"/>
          <w:szCs w:val="26"/>
        </w:rPr>
        <w:t>cija</w:t>
      </w:r>
      <w:r w:rsidR="003F55CE" w:rsidRPr="00684F09">
        <w:rPr>
          <w:rFonts w:ascii="Times New Roman" w:hAnsi="Times New Roman" w:cs="Times New Roman"/>
          <w:sz w:val="26"/>
          <w:szCs w:val="26"/>
        </w:rPr>
        <w:t xml:space="preserve"> </w:t>
      </w:r>
      <w:r w:rsidR="003D171E" w:rsidRPr="00684F09">
        <w:rPr>
          <w:rFonts w:ascii="Times New Roman" w:hAnsi="Times New Roman" w:cs="Times New Roman"/>
          <w:sz w:val="26"/>
          <w:szCs w:val="26"/>
        </w:rPr>
        <w:t xml:space="preserve">varētu </w:t>
      </w:r>
      <w:r w:rsidR="003F55CE" w:rsidRPr="00684F09">
        <w:rPr>
          <w:rFonts w:ascii="Times New Roman" w:hAnsi="Times New Roman" w:cs="Times New Roman"/>
          <w:sz w:val="26"/>
          <w:szCs w:val="26"/>
        </w:rPr>
        <w:t>iekļ</w:t>
      </w:r>
      <w:r w:rsidR="003D171E" w:rsidRPr="00684F09">
        <w:rPr>
          <w:rFonts w:ascii="Times New Roman" w:hAnsi="Times New Roman" w:cs="Times New Roman"/>
          <w:sz w:val="26"/>
          <w:szCs w:val="26"/>
        </w:rPr>
        <w:t>ūt</w:t>
      </w:r>
      <w:r>
        <w:rPr>
          <w:rFonts w:ascii="Times New Roman" w:hAnsi="Times New Roman" w:cs="Times New Roman"/>
          <w:sz w:val="26"/>
          <w:szCs w:val="26"/>
        </w:rPr>
        <w:t xml:space="preserve"> šajā reģistrā</w:t>
      </w:r>
      <w:r w:rsidR="003F55CE" w:rsidRPr="00684F09">
        <w:rPr>
          <w:rFonts w:ascii="Times New Roman" w:hAnsi="Times New Roman" w:cs="Times New Roman"/>
          <w:sz w:val="26"/>
          <w:szCs w:val="26"/>
        </w:rPr>
        <w:t>.</w:t>
      </w:r>
    </w:p>
    <w:p w:rsidR="00640D31" w:rsidRDefault="00F929AC"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Koncepcija sastāv no esošās situācijas par augstākās izglītības kvalitātes nodrošināšanas jautājumiem Latvijā un EAIT valstīs raksturojuma, Latvijas augstākās izglītības kvalitātes nodrošināšnas sistēmas izvērtējuma, izskatot iespējamos variantus augstākās izglītības kvalitātes nodrošināšanas institūcijas izveidei  un sniedzot priekšlikumu šādas institūcijas izveidei ar mērķi uzlabot augstākās izglītības kvalitātes nodrošināšanas sistēmu.</w:t>
      </w:r>
    </w:p>
    <w:p w:rsidR="00640D31" w:rsidRDefault="00640D31"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Augstākās izglītības ārējās kvalitātes nodrošināšanā principiāli svarīgs ir arī kvalitātes nodrošināšanas process – noteikumi, procedūras, lēmumu pieņemš</w:t>
      </w:r>
      <w:r w:rsidR="00377B12">
        <w:rPr>
          <w:rFonts w:ascii="Times New Roman" w:hAnsi="Times New Roman" w:cs="Times New Roman"/>
          <w:bCs/>
          <w:noProof/>
          <w:sz w:val="26"/>
          <w:szCs w:val="26"/>
        </w:rPr>
        <w:t>a</w:t>
      </w:r>
      <w:r>
        <w:rPr>
          <w:rFonts w:ascii="Times New Roman" w:hAnsi="Times New Roman" w:cs="Times New Roman"/>
          <w:bCs/>
          <w:noProof/>
          <w:sz w:val="26"/>
          <w:szCs w:val="26"/>
        </w:rPr>
        <w:t>nas kārtība. Pašlaik</w:t>
      </w:r>
      <w:r w:rsidR="00377B12">
        <w:rPr>
          <w:rFonts w:ascii="Times New Roman" w:hAnsi="Times New Roman" w:cs="Times New Roman"/>
          <w:bCs/>
          <w:noProof/>
          <w:sz w:val="26"/>
          <w:szCs w:val="26"/>
        </w:rPr>
        <w:t xml:space="preserve"> to nosaka vairāki tiesību </w:t>
      </w:r>
      <w:r>
        <w:rPr>
          <w:rFonts w:ascii="Times New Roman" w:hAnsi="Times New Roman" w:cs="Times New Roman"/>
          <w:bCs/>
          <w:noProof/>
          <w:sz w:val="26"/>
          <w:szCs w:val="26"/>
        </w:rPr>
        <w:t>a</w:t>
      </w:r>
      <w:r w:rsidR="00377B12">
        <w:rPr>
          <w:rFonts w:ascii="Times New Roman" w:hAnsi="Times New Roman" w:cs="Times New Roman"/>
          <w:bCs/>
          <w:noProof/>
          <w:sz w:val="26"/>
          <w:szCs w:val="26"/>
        </w:rPr>
        <w:t>k</w:t>
      </w:r>
      <w:r>
        <w:rPr>
          <w:rFonts w:ascii="Times New Roman" w:hAnsi="Times New Roman" w:cs="Times New Roman"/>
          <w:bCs/>
          <w:noProof/>
          <w:sz w:val="26"/>
          <w:szCs w:val="26"/>
        </w:rPr>
        <w:t>ti,</w:t>
      </w:r>
      <w:r w:rsidR="00377B12">
        <w:rPr>
          <w:rFonts w:ascii="Times New Roman" w:hAnsi="Times New Roman" w:cs="Times New Roman"/>
          <w:bCs/>
          <w:noProof/>
          <w:sz w:val="26"/>
          <w:szCs w:val="26"/>
        </w:rPr>
        <w:t xml:space="preserve"> tai skaitā, </w:t>
      </w:r>
      <w:r>
        <w:rPr>
          <w:rFonts w:ascii="Times New Roman" w:hAnsi="Times New Roman" w:cs="Times New Roman"/>
          <w:bCs/>
          <w:noProof/>
          <w:sz w:val="26"/>
          <w:szCs w:val="26"/>
        </w:rPr>
        <w:t>MK 2012.gada 25.septembra noteikumi Nr.668 “Augstskolu, koledžu un studiju virzienu akreditācijas noteikumi” un MK 2013.gada 25.aprīļa noteikumi nr.230 “Studiju programmu licencēšanas noteikumi”</w:t>
      </w:r>
      <w:r w:rsidR="00377B12">
        <w:rPr>
          <w:rFonts w:ascii="Times New Roman" w:hAnsi="Times New Roman" w:cs="Times New Roman"/>
          <w:bCs/>
          <w:noProof/>
          <w:sz w:val="26"/>
          <w:szCs w:val="26"/>
        </w:rPr>
        <w:t xml:space="preserve">. Koncepcijas īstenošanai ir paredzēts veikt grozījumus normatīvajos aktos. </w:t>
      </w:r>
    </w:p>
    <w:p w:rsidR="00543D41" w:rsidRPr="00543D41" w:rsidRDefault="00543D41" w:rsidP="009055FB">
      <w:pPr>
        <w:spacing w:after="0" w:line="240" w:lineRule="auto"/>
        <w:ind w:firstLine="357"/>
        <w:jc w:val="both"/>
        <w:rPr>
          <w:rFonts w:ascii="Times New Roman" w:hAnsi="Times New Roman" w:cs="Times New Roman"/>
          <w:sz w:val="26"/>
          <w:szCs w:val="26"/>
          <w:lang w:eastAsia="lv-LV"/>
        </w:rPr>
      </w:pPr>
      <w:r w:rsidRPr="00543D41">
        <w:rPr>
          <w:rFonts w:ascii="Times New Roman" w:hAnsi="Times New Roman" w:cs="Times New Roman"/>
          <w:sz w:val="26"/>
          <w:szCs w:val="26"/>
        </w:rPr>
        <w:t>Informatīvais ziņojums „Par studiju virzienu akreditācijas gaitu un par kārtību, kādā no 2014.gada 1.janvāra tiks organizēta un veikta augstskolu un koledžu, kā arī studiju virzienu akreditācija, izmantojot Eiropas augstākās izglītības kvalitātes nodrošināšanas reģistrā (EQAR) reģistrētas Eiropas kvalitātes nodrošināšanas aģentūras” (turpmāk – informatīvais ziņojums), kas tika izstrādāts un 2013.gada 10.oktobrī izsludināts Valsts sekretāru sanāksmē (</w:t>
      </w:r>
      <w:r w:rsidRPr="00543D41">
        <w:rPr>
          <w:rFonts w:ascii="Times New Roman" w:hAnsi="Times New Roman" w:cs="Times New Roman"/>
          <w:color w:val="2A2A2A"/>
          <w:sz w:val="26"/>
          <w:szCs w:val="26"/>
        </w:rPr>
        <w:t>VSS-1852)</w:t>
      </w:r>
      <w:r w:rsidRPr="00543D41">
        <w:rPr>
          <w:rFonts w:ascii="Times New Roman" w:hAnsi="Times New Roman" w:cs="Times New Roman"/>
          <w:sz w:val="26"/>
          <w:szCs w:val="26"/>
        </w:rPr>
        <w:t xml:space="preserve"> saskaņā ar Ministru kabineta 2013.gada 25.aprīļa ārkārtas sēdes protokollēmuma „Noteikumu projekts „Grozījumi Ministru kabineta 2012.gada 25.septembra noteikumos Nr.668 „Augstskolu, koledžu un studiju virzienu akreditācijas noteikumi”” (prot.Nr.24 4.§) 5.punktu, kas paredz </w:t>
      </w:r>
      <w:r w:rsidRPr="00543D41">
        <w:rPr>
          <w:rFonts w:ascii="Times New Roman" w:eastAsia="Times New Roman" w:hAnsi="Times New Roman" w:cs="Times New Roman"/>
          <w:sz w:val="26"/>
          <w:szCs w:val="26"/>
          <w:lang w:eastAsia="lv-LV"/>
        </w:rPr>
        <w:t xml:space="preserve">Izglītības un zinātnes ministrijai </w:t>
      </w:r>
      <w:r w:rsidRPr="00543D41">
        <w:rPr>
          <w:rStyle w:val="spelle"/>
          <w:rFonts w:ascii="Times New Roman" w:hAnsi="Times New Roman" w:cs="Times New Roman"/>
          <w:sz w:val="26"/>
          <w:szCs w:val="26"/>
        </w:rPr>
        <w:t>līdz 2013.gada 1.jūlijam iesniegt izskatīšanai MK sēdē informatīvo ziņojumu par akreditācijas procesa gaitu</w:t>
      </w:r>
      <w:r w:rsidRPr="00543D41">
        <w:rPr>
          <w:rFonts w:ascii="Times New Roman" w:eastAsia="Times New Roman" w:hAnsi="Times New Roman" w:cs="Times New Roman"/>
          <w:sz w:val="26"/>
          <w:szCs w:val="26"/>
          <w:lang w:eastAsia="lv-LV"/>
        </w:rPr>
        <w:t xml:space="preserve"> un 2. punktu, kas paredz ministrijai līdz 2013.gada 1.augustam iesniegt informatīvo ziņojumu par to, ka no 2014.gada 1.janvāra, pamatojoties uz augstskolas vai koledžas iesniegumu, tiks organizēta un veikta augstskolu un koledžu, kā arī studiju virzienu akreditācija, izmantojot Eiropas augstākās izglītības kvalitātes nodrošināšanas reģistrā </w:t>
      </w:r>
      <w:r w:rsidRPr="00543D41">
        <w:rPr>
          <w:rFonts w:ascii="Times New Roman" w:eastAsia="Times New Roman" w:hAnsi="Times New Roman" w:cs="Times New Roman"/>
          <w:i/>
          <w:sz w:val="26"/>
          <w:szCs w:val="26"/>
          <w:lang w:eastAsia="lv-LV"/>
        </w:rPr>
        <w:t>(The European Quality Assurance Register for Higher Education)</w:t>
      </w:r>
      <w:r w:rsidRPr="00543D41">
        <w:rPr>
          <w:rFonts w:ascii="Times New Roman" w:eastAsia="Times New Roman" w:hAnsi="Times New Roman" w:cs="Times New Roman"/>
          <w:sz w:val="26"/>
          <w:szCs w:val="26"/>
          <w:lang w:eastAsia="lv-LV"/>
        </w:rPr>
        <w:t xml:space="preserve"> (EQAR) reģistrētas Eiropas kvalitātes nodrošināšanas aģentūras. Jāņem vērā, ka šos uzdevumus izpildīt Ministru kabinets uzdeva, pastāvot bažām par </w:t>
      </w:r>
      <w:r w:rsidRPr="00543D41">
        <w:rPr>
          <w:rFonts w:ascii="Times New Roman" w:hAnsi="Times New Roman" w:cs="Times New Roman"/>
          <w:iCs/>
          <w:sz w:val="26"/>
          <w:szCs w:val="26"/>
        </w:rPr>
        <w:t xml:space="preserve">trūkumiem </w:t>
      </w:r>
      <w:r w:rsidRPr="00543D41">
        <w:rPr>
          <w:rFonts w:ascii="Times New Roman" w:hAnsi="Times New Roman" w:cs="Times New Roman"/>
          <w:sz w:val="26"/>
          <w:szCs w:val="26"/>
          <w:lang w:eastAsia="lv-LV"/>
        </w:rPr>
        <w:t>Eiropas Sociālā fonda projekta „Augstākās izglītības studiju programmu izvērtēšana un priekšlikumi kvalitātes paaugstināšanai” (Vienošanās Nr.- 2011/0012/1DP/1.1.2.2.1/11 /IPIA/VIAA/011) īstenošanā un ekspertu ziņojumos. Veiktās pārbaudes ir konstatējušas, ka, kaut arī ir atklātas nepilnības, tās “nav klasificējamas kā neatbilstības ar finansiālu ietekmi, ņemot vērā faktisko situāciju, tajā skaitā faktu, ka Projekta rezultāti tika sasniegti un izmantoti augstākās izglītības studiju virzienu akreditācijas procesā un valsts budžeta finansēto studiju vietu sadalē un pārdalē</w:t>
      </w:r>
      <w:r w:rsidRPr="00543D41">
        <w:rPr>
          <w:rStyle w:val="FootnoteReference"/>
          <w:rFonts w:ascii="Times New Roman" w:hAnsi="Times New Roman" w:cs="Times New Roman"/>
          <w:sz w:val="26"/>
          <w:szCs w:val="26"/>
          <w:lang w:eastAsia="lv-LV"/>
        </w:rPr>
        <w:footnoteReference w:id="2"/>
      </w:r>
      <w:r w:rsidRPr="00543D41">
        <w:rPr>
          <w:rFonts w:ascii="Times New Roman" w:hAnsi="Times New Roman" w:cs="Times New Roman"/>
          <w:sz w:val="26"/>
          <w:szCs w:val="26"/>
          <w:lang w:eastAsia="lv-LV"/>
        </w:rPr>
        <w:t xml:space="preserve">” (MK 01.07.2014. sēdes protokols nr. 36.,  </w:t>
      </w:r>
      <w:r w:rsidRPr="00543D41">
        <w:rPr>
          <w:rFonts w:ascii="Times New Roman" w:eastAsia="Times New Roman" w:hAnsi="Times New Roman" w:cs="Times New Roman"/>
          <w:sz w:val="26"/>
          <w:szCs w:val="26"/>
          <w:lang w:eastAsia="lv-LV"/>
        </w:rPr>
        <w:t xml:space="preserve">56.§ Informatīvais ziņojums "Par Eiropas Sociālā fonda projektā "Augstākās izglītības studiju programmu izvērtēšana un priekšlikumi kvalitātes uzlabošanai" veikto pārbaužu rezultātiem un pieņemtajiem </w:t>
      </w:r>
      <w:r w:rsidRPr="00543D41">
        <w:rPr>
          <w:rFonts w:ascii="Times New Roman" w:eastAsia="Times New Roman" w:hAnsi="Times New Roman" w:cs="Times New Roman"/>
          <w:sz w:val="26"/>
          <w:szCs w:val="26"/>
          <w:lang w:eastAsia="lv-LV"/>
        </w:rPr>
        <w:lastRenderedPageBreak/>
        <w:t xml:space="preserve">lēmumiem). </w:t>
      </w:r>
      <w:r w:rsidRPr="00543D41">
        <w:rPr>
          <w:rFonts w:ascii="Times New Roman" w:hAnsi="Times New Roman" w:cs="Times New Roman"/>
          <w:sz w:val="26"/>
          <w:szCs w:val="26"/>
        </w:rPr>
        <w:t>Informatīvajā ziņojumā un koncepcijā iekļautā informācija ir tematiski saistīta, pārklājas, tā virzīšana izskatīšanai palielinātu administratīvo slogu. Koncepcijā ir pēc būtības izpildīts Ministru kabineta dotais galvenais uzdevums – izstrādāt kārtību starptautiski atzītas Latvijas augstākās izglītības ārējās kvalitātes nodrošināšanas sistēmas izveidošanai, paredzot pasākumu kopu Latvijas nacionālas akreditācijas aģentūras izveidošanai un tās iekļaušanai EQAR reģistrā. Līdz ar to uzskatāms, ka uzdevums ir paveikts.</w:t>
      </w:r>
    </w:p>
    <w:p w:rsidR="0076340B" w:rsidRDefault="0076340B" w:rsidP="009055FB">
      <w:pPr>
        <w:pStyle w:val="Heading1"/>
        <w:numPr>
          <w:ilvl w:val="0"/>
          <w:numId w:val="4"/>
        </w:numPr>
        <w:spacing w:before="0" w:line="240" w:lineRule="auto"/>
        <w:jc w:val="center"/>
        <w:rPr>
          <w:rFonts w:ascii="Times New Roman" w:hAnsi="Times New Roman" w:cs="Times New Roman"/>
          <w:color w:val="auto"/>
          <w:sz w:val="32"/>
          <w:szCs w:val="32"/>
        </w:rPr>
      </w:pPr>
      <w:bookmarkStart w:id="4" w:name="_Toc395890856"/>
      <w:r w:rsidRPr="00AE7266">
        <w:rPr>
          <w:rFonts w:ascii="Times New Roman" w:hAnsi="Times New Roman" w:cs="Times New Roman"/>
          <w:color w:val="auto"/>
          <w:sz w:val="32"/>
          <w:szCs w:val="32"/>
        </w:rPr>
        <w:t>Ko</w:t>
      </w:r>
      <w:r w:rsidR="00684F09">
        <w:rPr>
          <w:rFonts w:ascii="Times New Roman" w:hAnsi="Times New Roman" w:cs="Times New Roman"/>
          <w:color w:val="auto"/>
          <w:sz w:val="32"/>
          <w:szCs w:val="32"/>
        </w:rPr>
        <w:t>n</w:t>
      </w:r>
      <w:r w:rsidRPr="00AE7266">
        <w:rPr>
          <w:rFonts w:ascii="Times New Roman" w:hAnsi="Times New Roman" w:cs="Times New Roman"/>
          <w:color w:val="auto"/>
          <w:sz w:val="32"/>
          <w:szCs w:val="32"/>
        </w:rPr>
        <w:t>cepcijas mērķis</w:t>
      </w:r>
      <w:bookmarkEnd w:id="4"/>
    </w:p>
    <w:p w:rsidR="00684F09" w:rsidRPr="00684F09" w:rsidRDefault="00684F09" w:rsidP="009055FB">
      <w:pPr>
        <w:spacing w:after="0" w:line="240" w:lineRule="auto"/>
      </w:pPr>
    </w:p>
    <w:p w:rsidR="0076340B" w:rsidRDefault="0076340B" w:rsidP="009055FB">
      <w:pPr>
        <w:spacing w:after="0" w:line="240" w:lineRule="auto"/>
        <w:ind w:firstLine="357"/>
        <w:jc w:val="both"/>
        <w:rPr>
          <w:rFonts w:ascii="Times New Roman" w:hAnsi="Times New Roman" w:cs="Times New Roman"/>
          <w:sz w:val="26"/>
          <w:szCs w:val="26"/>
        </w:rPr>
      </w:pPr>
      <w:r w:rsidRPr="0070281A">
        <w:rPr>
          <w:rFonts w:ascii="Times New Roman" w:hAnsi="Times New Roman" w:cs="Times New Roman"/>
          <w:b/>
          <w:sz w:val="26"/>
          <w:szCs w:val="26"/>
        </w:rPr>
        <w:t>Izveidot Latvijas nacionālās kvalitātes nodrošināšanas institūciju</w:t>
      </w:r>
      <w:r>
        <w:rPr>
          <w:rFonts w:ascii="Times New Roman" w:hAnsi="Times New Roman" w:cs="Times New Roman"/>
          <w:sz w:val="26"/>
          <w:szCs w:val="26"/>
        </w:rPr>
        <w:t xml:space="preserve">, </w:t>
      </w:r>
      <w:r w:rsidRPr="00C56EF1">
        <w:rPr>
          <w:rFonts w:ascii="Times New Roman" w:hAnsi="Times New Roman" w:cs="Times New Roman"/>
          <w:b/>
          <w:sz w:val="26"/>
          <w:szCs w:val="26"/>
        </w:rPr>
        <w:t>lai pilnveidotu Latvijas augstākās izglītības ārējās kvalitātes nodrošināšanas sistēmu</w:t>
      </w:r>
      <w:r>
        <w:rPr>
          <w:rFonts w:ascii="Times New Roman" w:hAnsi="Times New Roman" w:cs="Times New Roman"/>
          <w:sz w:val="26"/>
          <w:szCs w:val="26"/>
        </w:rPr>
        <w:t xml:space="preserve">, kas darbotos </w:t>
      </w:r>
      <w:r w:rsidRPr="00DE067A">
        <w:rPr>
          <w:rFonts w:ascii="Times New Roman" w:hAnsi="Times New Roman" w:cs="Times New Roman"/>
          <w:sz w:val="26"/>
          <w:szCs w:val="26"/>
        </w:rPr>
        <w:t>atbilstoši Ei</w:t>
      </w:r>
      <w:r>
        <w:rPr>
          <w:rFonts w:ascii="Times New Roman" w:hAnsi="Times New Roman" w:cs="Times New Roman"/>
          <w:sz w:val="26"/>
          <w:szCs w:val="26"/>
        </w:rPr>
        <w:t>ropas kvalitātes standartiem un vadlīnijām un veicinātu Latvijas augstākās izglītības kvalitāti, atpazīstamību un starptautisku atzīšanu.</w:t>
      </w:r>
    </w:p>
    <w:p w:rsidR="0076340B" w:rsidRDefault="0076340B" w:rsidP="009055FB">
      <w:pPr>
        <w:spacing w:after="0" w:line="240" w:lineRule="auto"/>
        <w:ind w:firstLine="357"/>
        <w:jc w:val="both"/>
        <w:rPr>
          <w:rFonts w:ascii="Times New Roman" w:hAnsi="Times New Roman" w:cs="Times New Roman"/>
          <w:sz w:val="26"/>
          <w:szCs w:val="26"/>
        </w:rPr>
      </w:pPr>
    </w:p>
    <w:p w:rsidR="0076340B" w:rsidRDefault="00512AFA" w:rsidP="009055FB">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 xml:space="preserve">2005.gadā Eiropas valstu izglītības ministri, </w:t>
      </w:r>
      <w:r w:rsidR="0076340B">
        <w:rPr>
          <w:rFonts w:ascii="Times New Roman" w:hAnsi="Times New Roman" w:cs="Times New Roman"/>
          <w:sz w:val="26"/>
          <w:szCs w:val="26"/>
        </w:rPr>
        <w:t>t.sk.</w:t>
      </w:r>
      <w:r>
        <w:rPr>
          <w:rFonts w:ascii="Times New Roman" w:hAnsi="Times New Roman" w:cs="Times New Roman"/>
          <w:sz w:val="26"/>
          <w:szCs w:val="26"/>
        </w:rPr>
        <w:t>,</w:t>
      </w:r>
      <w:r w:rsidR="0076340B">
        <w:rPr>
          <w:rFonts w:ascii="Times New Roman" w:hAnsi="Times New Roman" w:cs="Times New Roman"/>
          <w:sz w:val="26"/>
          <w:szCs w:val="26"/>
        </w:rPr>
        <w:t xml:space="preserve"> Latvijas</w:t>
      </w:r>
      <w:r>
        <w:rPr>
          <w:rFonts w:ascii="Times New Roman" w:hAnsi="Times New Roman" w:cs="Times New Roman"/>
          <w:sz w:val="26"/>
          <w:szCs w:val="26"/>
        </w:rPr>
        <w:t>,</w:t>
      </w:r>
      <w:r w:rsidR="0076340B">
        <w:rPr>
          <w:rFonts w:ascii="Times New Roman" w:hAnsi="Times New Roman" w:cs="Times New Roman"/>
          <w:sz w:val="26"/>
          <w:szCs w:val="26"/>
        </w:rPr>
        <w:t xml:space="preserve"> p</w:t>
      </w:r>
      <w:r w:rsidR="0076340B" w:rsidRPr="00095317">
        <w:rPr>
          <w:rFonts w:ascii="Times New Roman" w:hAnsi="Times New Roman" w:cs="Times New Roman"/>
          <w:sz w:val="26"/>
          <w:szCs w:val="26"/>
        </w:rPr>
        <w:t>ieņ</w:t>
      </w:r>
      <w:r w:rsidR="0076340B">
        <w:rPr>
          <w:rFonts w:ascii="Times New Roman" w:hAnsi="Times New Roman" w:cs="Times New Roman"/>
          <w:sz w:val="26"/>
          <w:szCs w:val="26"/>
        </w:rPr>
        <w:t>ēma</w:t>
      </w:r>
      <w:r w:rsidR="0076340B" w:rsidRPr="00095317">
        <w:rPr>
          <w:rFonts w:ascii="Times New Roman" w:hAnsi="Times New Roman" w:cs="Times New Roman"/>
          <w:sz w:val="26"/>
          <w:szCs w:val="26"/>
        </w:rPr>
        <w:t xml:space="preserve"> ENQA izvirzītos standartus un vadlīnijas kvalitātes nodrošināšanai</w:t>
      </w:r>
      <w:r w:rsidR="00BF480B">
        <w:rPr>
          <w:rFonts w:ascii="Times New Roman" w:hAnsi="Times New Roman" w:cs="Times New Roman"/>
          <w:sz w:val="26"/>
          <w:szCs w:val="26"/>
        </w:rPr>
        <w:t xml:space="preserve"> (ESG)</w:t>
      </w:r>
      <w:r w:rsidR="00BF480B" w:rsidRPr="001852E9">
        <w:rPr>
          <w:rStyle w:val="FootnoteReference"/>
          <w:rFonts w:ascii="Times New Roman" w:hAnsi="Times New Roman" w:cs="Times New Roman"/>
          <w:sz w:val="26"/>
          <w:szCs w:val="26"/>
          <w:lang w:eastAsia="lv-LV"/>
        </w:rPr>
        <w:footnoteReference w:id="3"/>
      </w:r>
      <w:r w:rsidR="00BF480B" w:rsidRPr="001852E9">
        <w:rPr>
          <w:rFonts w:ascii="Times New Roman" w:hAnsi="Times New Roman" w:cs="Times New Roman"/>
          <w:sz w:val="26"/>
          <w:szCs w:val="26"/>
          <w:lang w:eastAsia="lv-LV"/>
        </w:rPr>
        <w:t xml:space="preserve"> </w:t>
      </w:r>
      <w:r w:rsidR="0076340B" w:rsidRPr="00095317">
        <w:rPr>
          <w:rFonts w:ascii="Times New Roman" w:hAnsi="Times New Roman" w:cs="Times New Roman"/>
          <w:sz w:val="26"/>
          <w:szCs w:val="26"/>
        </w:rPr>
        <w:t xml:space="preserve"> </w:t>
      </w:r>
      <w:r w:rsidR="00BF480B">
        <w:rPr>
          <w:rFonts w:ascii="Times New Roman" w:hAnsi="Times New Roman" w:cs="Times New Roman"/>
          <w:sz w:val="26"/>
          <w:szCs w:val="26"/>
        </w:rPr>
        <w:t>EAIT</w:t>
      </w:r>
      <w:r w:rsidR="0076340B" w:rsidRPr="001852E9">
        <w:rPr>
          <w:rFonts w:ascii="Times New Roman" w:hAnsi="Times New Roman" w:cs="Times New Roman"/>
          <w:sz w:val="26"/>
          <w:szCs w:val="26"/>
          <w:lang w:eastAsia="lv-LV"/>
        </w:rPr>
        <w:t xml:space="preserve"> </w:t>
      </w:r>
      <w:r w:rsidR="0076340B">
        <w:rPr>
          <w:rFonts w:ascii="Times New Roman" w:hAnsi="Times New Roman" w:cs="Times New Roman"/>
          <w:sz w:val="26"/>
          <w:szCs w:val="26"/>
        </w:rPr>
        <w:t>un apņēmās</w:t>
      </w:r>
      <w:r w:rsidR="0076340B" w:rsidRPr="00095317">
        <w:rPr>
          <w:rFonts w:ascii="Times New Roman" w:hAnsi="Times New Roman" w:cs="Times New Roman"/>
          <w:sz w:val="26"/>
          <w:szCs w:val="26"/>
        </w:rPr>
        <w:t xml:space="preserve"> ieviest ierosināto modeli </w:t>
      </w:r>
      <w:r w:rsidR="000917C3">
        <w:rPr>
          <w:rFonts w:ascii="Times New Roman" w:hAnsi="Times New Roman" w:cs="Times New Roman"/>
          <w:sz w:val="26"/>
          <w:szCs w:val="26"/>
        </w:rPr>
        <w:t>ārēja</w:t>
      </w:r>
      <w:r w:rsidR="0076340B">
        <w:rPr>
          <w:rFonts w:ascii="Times New Roman" w:hAnsi="Times New Roman" w:cs="Times New Roman"/>
          <w:sz w:val="26"/>
          <w:szCs w:val="26"/>
        </w:rPr>
        <w:t xml:space="preserve">m novērtējumam, ko pielieto </w:t>
      </w:r>
      <w:r w:rsidR="0076340B" w:rsidRPr="00095317">
        <w:rPr>
          <w:rFonts w:ascii="Times New Roman" w:hAnsi="Times New Roman" w:cs="Times New Roman"/>
          <w:sz w:val="26"/>
          <w:szCs w:val="26"/>
        </w:rPr>
        <w:t>kvalitātes nodrošināšanas aģentūr</w:t>
      </w:r>
      <w:r w:rsidR="0076340B">
        <w:rPr>
          <w:rFonts w:ascii="Times New Roman" w:hAnsi="Times New Roman" w:cs="Times New Roman"/>
          <w:sz w:val="26"/>
          <w:szCs w:val="26"/>
        </w:rPr>
        <w:t>as</w:t>
      </w:r>
      <w:r w:rsidR="00BF480B">
        <w:rPr>
          <w:rFonts w:ascii="Times New Roman" w:hAnsi="Times New Roman" w:cs="Times New Roman"/>
          <w:sz w:val="26"/>
          <w:szCs w:val="26"/>
        </w:rPr>
        <w:t>. Līdz ar to</w:t>
      </w:r>
      <w:r w:rsidR="0076340B">
        <w:rPr>
          <w:rFonts w:ascii="Times New Roman" w:hAnsi="Times New Roman" w:cs="Times New Roman"/>
          <w:sz w:val="26"/>
          <w:szCs w:val="26"/>
        </w:rPr>
        <w:t xml:space="preserve"> Latvijas augstākās izglītības kvalitātes nodrošināšanas institūcijai savā darbībā ir jāievēro ESG noteiktos standartus un vadlīnijas. </w:t>
      </w:r>
      <w:r w:rsidR="008E0A75">
        <w:rPr>
          <w:rFonts w:ascii="Times New Roman" w:hAnsi="Times New Roman" w:cs="Times New Roman"/>
          <w:sz w:val="26"/>
          <w:szCs w:val="26"/>
        </w:rPr>
        <w:t xml:space="preserve">Institūciju darbības </w:t>
      </w:r>
      <w:r w:rsidR="008E0A75" w:rsidRPr="008E0A75">
        <w:rPr>
          <w:rFonts w:ascii="Times New Roman" w:hAnsi="Times New Roman" w:cs="Times New Roman"/>
          <w:sz w:val="26"/>
          <w:szCs w:val="26"/>
        </w:rPr>
        <w:t>atbilstību ESG apliecina to piederība ENQA un EQAR. A</w:t>
      </w:r>
      <w:r w:rsidR="0076340B" w:rsidRPr="008E0A75">
        <w:rPr>
          <w:rFonts w:ascii="Times New Roman" w:hAnsi="Times New Roman" w:cs="Times New Roman"/>
          <w:sz w:val="26"/>
          <w:szCs w:val="26"/>
        </w:rPr>
        <w:t>ugstākās izglītības kvalitātes nodrošināšanas institūcijai, lai kļūtu par ENQA biedru, ir jāatbilst ENQA izstrādāto kritēriju prasībām (ESG kritēriji plus viens papildus kritērijs), bet, lai iekļūtu EQAR reģistrā</w:t>
      </w:r>
      <w:r w:rsidR="008E0A75">
        <w:rPr>
          <w:rFonts w:ascii="Times New Roman" w:hAnsi="Times New Roman" w:cs="Times New Roman"/>
          <w:sz w:val="26"/>
          <w:szCs w:val="26"/>
        </w:rPr>
        <w:t>,</w:t>
      </w:r>
      <w:r w:rsidR="0076340B" w:rsidRPr="008E0A75">
        <w:rPr>
          <w:rFonts w:ascii="Times New Roman" w:hAnsi="Times New Roman" w:cs="Times New Roman"/>
          <w:sz w:val="26"/>
          <w:szCs w:val="26"/>
        </w:rPr>
        <w:t xml:space="preserve"> ir jānodrošina institucionālā atbilstība </w:t>
      </w:r>
      <w:r w:rsidR="0076340B" w:rsidRPr="008E0A75">
        <w:rPr>
          <w:rFonts w:ascii="Times New Roman" w:hAnsi="Times New Roman" w:cs="Times New Roman"/>
          <w:i/>
          <w:sz w:val="26"/>
          <w:szCs w:val="26"/>
        </w:rPr>
        <w:t>(organisational eligibility)</w:t>
      </w:r>
      <w:r w:rsidR="0076340B" w:rsidRPr="008E0A75">
        <w:rPr>
          <w:rFonts w:ascii="Times New Roman" w:hAnsi="Times New Roman" w:cs="Times New Roman"/>
          <w:sz w:val="26"/>
          <w:szCs w:val="26"/>
        </w:rPr>
        <w:t xml:space="preserve"> un atbilstība (pēc būtības) ESG standartiem un vadlīnijām, t.i. institūcijai ar savām funkcijām un darbību tas ir jāpierāda (skatīt</w:t>
      </w:r>
      <w:r w:rsidR="0076340B">
        <w:rPr>
          <w:rFonts w:ascii="Times New Roman" w:hAnsi="Times New Roman" w:cs="Times New Roman"/>
          <w:sz w:val="26"/>
          <w:szCs w:val="26"/>
        </w:rPr>
        <w:t xml:space="preserve"> pielikumu).</w:t>
      </w:r>
      <w:r w:rsidR="0076340B" w:rsidRPr="00022C3D">
        <w:rPr>
          <w:rFonts w:ascii="Times New Roman" w:hAnsi="Times New Roman" w:cs="Times New Roman"/>
          <w:sz w:val="26"/>
          <w:szCs w:val="26"/>
        </w:rPr>
        <w:t xml:space="preserve"> </w:t>
      </w:r>
    </w:p>
    <w:p w:rsidR="0076340B" w:rsidRPr="00FD1A4C" w:rsidRDefault="00955541" w:rsidP="009055FB">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ESG ir</w:t>
      </w:r>
      <w:r w:rsidR="0076340B" w:rsidRPr="00FD1A4C">
        <w:rPr>
          <w:rFonts w:ascii="Times New Roman" w:hAnsi="Times New Roman" w:cs="Times New Roman"/>
          <w:sz w:val="26"/>
          <w:szCs w:val="26"/>
        </w:rPr>
        <w:t xml:space="preserve"> </w:t>
      </w:r>
      <w:r>
        <w:rPr>
          <w:rFonts w:ascii="Times New Roman" w:hAnsi="Times New Roman" w:cs="Times New Roman"/>
          <w:sz w:val="26"/>
          <w:szCs w:val="26"/>
        </w:rPr>
        <w:t>izstrādāti un pieņemti</w:t>
      </w:r>
      <w:r w:rsidR="0076340B" w:rsidRPr="00FD1A4C">
        <w:rPr>
          <w:rFonts w:ascii="Times New Roman" w:hAnsi="Times New Roman" w:cs="Times New Roman"/>
          <w:sz w:val="26"/>
          <w:szCs w:val="26"/>
        </w:rPr>
        <w:t xml:space="preserve">, lai </w:t>
      </w:r>
      <w:r w:rsidR="00C470D3">
        <w:rPr>
          <w:rFonts w:ascii="Times New Roman" w:hAnsi="Times New Roman" w:cs="Times New Roman"/>
          <w:sz w:val="26"/>
          <w:szCs w:val="26"/>
        </w:rPr>
        <w:t>radītu</w:t>
      </w:r>
      <w:r w:rsidR="0076340B" w:rsidRPr="00FD1A4C">
        <w:rPr>
          <w:rFonts w:ascii="Times New Roman" w:hAnsi="Times New Roman" w:cs="Times New Roman"/>
          <w:sz w:val="26"/>
          <w:szCs w:val="26"/>
        </w:rPr>
        <w:t xml:space="preserve"> vienotu ietvaru augstākās izglītības kvalitātes novērtēšanas procesiem Eiropā. Tieši šobrīd </w:t>
      </w:r>
      <w:r w:rsidR="00C470D3">
        <w:rPr>
          <w:rFonts w:ascii="Times New Roman" w:hAnsi="Times New Roman" w:cs="Times New Roman"/>
          <w:sz w:val="26"/>
          <w:szCs w:val="26"/>
        </w:rPr>
        <w:t>notiek darbs pie</w:t>
      </w:r>
      <w:r w:rsidR="0076340B" w:rsidRPr="00FD1A4C">
        <w:rPr>
          <w:rFonts w:ascii="Times New Roman" w:hAnsi="Times New Roman" w:cs="Times New Roman"/>
          <w:sz w:val="26"/>
          <w:szCs w:val="26"/>
        </w:rPr>
        <w:t xml:space="preserve"> </w:t>
      </w:r>
      <w:r w:rsidR="00C470D3">
        <w:rPr>
          <w:rFonts w:ascii="Times New Roman" w:hAnsi="Times New Roman" w:cs="Times New Roman"/>
          <w:sz w:val="26"/>
          <w:szCs w:val="26"/>
        </w:rPr>
        <w:t>ESG aktualizācijas un pilnveidošanas,</w:t>
      </w:r>
      <w:r w:rsidR="0076340B" w:rsidRPr="00FD1A4C">
        <w:rPr>
          <w:rFonts w:ascii="Times New Roman" w:hAnsi="Times New Roman" w:cs="Times New Roman"/>
          <w:sz w:val="26"/>
          <w:szCs w:val="26"/>
        </w:rPr>
        <w:t xml:space="preserve"> un </w:t>
      </w:r>
      <w:r w:rsidR="0076340B">
        <w:rPr>
          <w:rFonts w:ascii="Times New Roman" w:hAnsi="Times New Roman" w:cs="Times New Roman"/>
          <w:sz w:val="26"/>
          <w:szCs w:val="26"/>
        </w:rPr>
        <w:t xml:space="preserve">ir plānots, ka </w:t>
      </w:r>
      <w:r w:rsidR="0076340B" w:rsidRPr="00FD1A4C">
        <w:rPr>
          <w:rFonts w:ascii="Times New Roman" w:hAnsi="Times New Roman" w:cs="Times New Roman"/>
          <w:sz w:val="26"/>
          <w:szCs w:val="26"/>
        </w:rPr>
        <w:t>2015.gada Boloņas procesa ministru sanāksmē šīs izmaiņas tiks apstiprinātas, tāpēc ir nepieciešams turpmāko Latvijas augstākās izglītības kvalitātes novērtēšanas darbu veidot, ņemot vērā jaunās iestrādnes</w:t>
      </w:r>
      <w:r w:rsidR="002A03C2">
        <w:rPr>
          <w:rStyle w:val="FootnoteReference"/>
          <w:rFonts w:ascii="Times New Roman" w:hAnsi="Times New Roman" w:cs="Times New Roman"/>
          <w:sz w:val="26"/>
          <w:szCs w:val="26"/>
        </w:rPr>
        <w:footnoteReference w:id="4"/>
      </w:r>
      <w:r w:rsidR="0076340B" w:rsidRPr="00FD1A4C">
        <w:rPr>
          <w:rFonts w:ascii="Times New Roman" w:hAnsi="Times New Roman" w:cs="Times New Roman"/>
          <w:sz w:val="26"/>
          <w:szCs w:val="26"/>
        </w:rPr>
        <w:t xml:space="preserve">. </w:t>
      </w:r>
      <w:r w:rsidR="008C7A96">
        <w:rPr>
          <w:rFonts w:ascii="Times New Roman" w:hAnsi="Times New Roman" w:cs="Times New Roman"/>
          <w:sz w:val="26"/>
          <w:szCs w:val="26"/>
        </w:rPr>
        <w:t>ESG</w:t>
      </w:r>
      <w:r w:rsidR="0076340B" w:rsidRPr="00FD1A4C">
        <w:rPr>
          <w:rFonts w:ascii="Times New Roman" w:hAnsi="Times New Roman" w:cs="Times New Roman"/>
          <w:sz w:val="26"/>
          <w:szCs w:val="26"/>
        </w:rPr>
        <w:t xml:space="preserve"> sastāv no trim daļām: Standarti un vadlīnijas i</w:t>
      </w:r>
      <w:r w:rsidR="008C7A96">
        <w:rPr>
          <w:rFonts w:ascii="Times New Roman" w:hAnsi="Times New Roman" w:cs="Times New Roman"/>
          <w:sz w:val="26"/>
          <w:szCs w:val="26"/>
        </w:rPr>
        <w:t>ekšējai kvalitātes novērtēšanai,</w:t>
      </w:r>
      <w:r w:rsidR="0076340B" w:rsidRPr="00FD1A4C">
        <w:rPr>
          <w:rFonts w:ascii="Times New Roman" w:hAnsi="Times New Roman" w:cs="Times New Roman"/>
          <w:sz w:val="26"/>
          <w:szCs w:val="26"/>
        </w:rPr>
        <w:t xml:space="preserve"> Standarti un vadlīnijas</w:t>
      </w:r>
      <w:r w:rsidR="008C7A96">
        <w:rPr>
          <w:rFonts w:ascii="Times New Roman" w:hAnsi="Times New Roman" w:cs="Times New Roman"/>
          <w:sz w:val="26"/>
          <w:szCs w:val="26"/>
        </w:rPr>
        <w:t xml:space="preserve"> ārējai kvalitātes novērtēšanai,</w:t>
      </w:r>
      <w:r w:rsidR="0076340B" w:rsidRPr="00FD1A4C">
        <w:rPr>
          <w:rFonts w:ascii="Times New Roman" w:hAnsi="Times New Roman" w:cs="Times New Roman"/>
          <w:sz w:val="26"/>
          <w:szCs w:val="26"/>
        </w:rPr>
        <w:t xml:space="preserve"> Standarti un vadlīnijas kvalitātes novērtēšanas aģentūrām.</w:t>
      </w:r>
    </w:p>
    <w:p w:rsidR="0076340B" w:rsidRPr="00FD1A4C" w:rsidRDefault="0076340B" w:rsidP="009055F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Kvalitātes novērtēšanas aģentūrai ir jāņem vērā visi standarti un vadlīnijas, tomēr tieši otrajā un trešajā daļā minētie ļoti ti</w:t>
      </w:r>
      <w:r w:rsidR="00502C73">
        <w:rPr>
          <w:rFonts w:ascii="Times New Roman" w:hAnsi="Times New Roman" w:cs="Times New Roman"/>
          <w:sz w:val="26"/>
          <w:szCs w:val="26"/>
        </w:rPr>
        <w:t>eši ietekmē aģentūras struktūru</w:t>
      </w:r>
      <w:r w:rsidRPr="00FD1A4C">
        <w:rPr>
          <w:rFonts w:ascii="Times New Roman" w:hAnsi="Times New Roman" w:cs="Times New Roman"/>
          <w:sz w:val="26"/>
          <w:szCs w:val="26"/>
        </w:rPr>
        <w:t xml:space="preserve"> un darbību. Kā galvenie jaunie akcenti </w:t>
      </w:r>
      <w:r w:rsidR="00502C73">
        <w:rPr>
          <w:rFonts w:ascii="Times New Roman" w:hAnsi="Times New Roman" w:cs="Times New Roman"/>
          <w:sz w:val="26"/>
          <w:szCs w:val="26"/>
        </w:rPr>
        <w:t>ESG</w:t>
      </w:r>
      <w:r w:rsidRPr="00FD1A4C">
        <w:rPr>
          <w:rFonts w:ascii="Times New Roman" w:hAnsi="Times New Roman" w:cs="Times New Roman"/>
          <w:sz w:val="26"/>
          <w:szCs w:val="26"/>
        </w:rPr>
        <w:t xml:space="preserve"> otrās un trešās daļas izmaiņām jāmin: </w:t>
      </w:r>
    </w:p>
    <w:p w:rsidR="0076340B" w:rsidRPr="00FD1A4C" w:rsidRDefault="0076340B" w:rsidP="009055F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ekspertu atlases un apmācību nozīme; </w:t>
      </w:r>
    </w:p>
    <w:p w:rsidR="0076340B" w:rsidRPr="00FD1A4C" w:rsidRDefault="0076340B" w:rsidP="009055F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sūdzību un apelāciju procesa kvalitāte; </w:t>
      </w:r>
    </w:p>
    <w:p w:rsidR="0076340B" w:rsidRPr="00FD1A4C" w:rsidRDefault="0076340B" w:rsidP="009055F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vēlama ārvalstu institūciju iesaiste aģentūras darbā; </w:t>
      </w:r>
    </w:p>
    <w:p w:rsidR="0076340B" w:rsidRPr="00FD1A4C" w:rsidRDefault="0076340B" w:rsidP="009055F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atskaišu un pārskatu par aģentūras darbību nozīme; </w:t>
      </w:r>
    </w:p>
    <w:p w:rsidR="0076340B" w:rsidRPr="00FD1A4C" w:rsidRDefault="0076340B" w:rsidP="009055F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t>•</w:t>
      </w:r>
      <w:r w:rsidRPr="00FD1A4C">
        <w:rPr>
          <w:rFonts w:ascii="Times New Roman" w:hAnsi="Times New Roman" w:cs="Times New Roman"/>
          <w:sz w:val="26"/>
          <w:szCs w:val="26"/>
        </w:rPr>
        <w:tab/>
        <w:t xml:space="preserve">aģentūras iekšējās kvalitātes novērtēšanas procesu pilnveide; </w:t>
      </w:r>
    </w:p>
    <w:p w:rsidR="0076340B" w:rsidRPr="00022C3D" w:rsidRDefault="0076340B" w:rsidP="009055FB">
      <w:pPr>
        <w:spacing w:after="0" w:line="240" w:lineRule="auto"/>
        <w:ind w:firstLine="357"/>
        <w:jc w:val="both"/>
        <w:rPr>
          <w:rFonts w:ascii="Times New Roman" w:hAnsi="Times New Roman" w:cs="Times New Roman"/>
          <w:sz w:val="26"/>
          <w:szCs w:val="26"/>
        </w:rPr>
      </w:pPr>
      <w:r w:rsidRPr="00FD1A4C">
        <w:rPr>
          <w:rFonts w:ascii="Times New Roman" w:hAnsi="Times New Roman" w:cs="Times New Roman"/>
          <w:sz w:val="26"/>
          <w:szCs w:val="26"/>
        </w:rPr>
        <w:lastRenderedPageBreak/>
        <w:t>•</w:t>
      </w:r>
      <w:r w:rsidRPr="00FD1A4C">
        <w:rPr>
          <w:rFonts w:ascii="Times New Roman" w:hAnsi="Times New Roman" w:cs="Times New Roman"/>
          <w:sz w:val="26"/>
          <w:szCs w:val="26"/>
        </w:rPr>
        <w:tab/>
        <w:t>aģentūru ārējās kvalitātes novērtēšanas nozīme.</w:t>
      </w:r>
    </w:p>
    <w:p w:rsidR="0076340B" w:rsidRDefault="0076340B" w:rsidP="009055FB">
      <w:pPr>
        <w:spacing w:after="0" w:line="240" w:lineRule="auto"/>
        <w:jc w:val="both"/>
        <w:rPr>
          <w:rFonts w:ascii="Times New Roman" w:hAnsi="Times New Roman" w:cs="Times New Roman"/>
          <w:bCs/>
          <w:noProof/>
          <w:sz w:val="26"/>
          <w:szCs w:val="26"/>
        </w:rPr>
      </w:pPr>
    </w:p>
    <w:p w:rsidR="00DF5E61" w:rsidRPr="00C90D94" w:rsidRDefault="003B7BF4" w:rsidP="009055FB">
      <w:pPr>
        <w:pStyle w:val="Heading1"/>
        <w:numPr>
          <w:ilvl w:val="0"/>
          <w:numId w:val="4"/>
        </w:numPr>
        <w:spacing w:before="0" w:line="240" w:lineRule="auto"/>
        <w:jc w:val="center"/>
        <w:rPr>
          <w:rFonts w:ascii="Times New Roman" w:hAnsi="Times New Roman" w:cs="Times New Roman"/>
          <w:i/>
          <w:noProof/>
          <w:color w:val="auto"/>
          <w:sz w:val="32"/>
          <w:szCs w:val="32"/>
        </w:rPr>
      </w:pPr>
      <w:bookmarkStart w:id="5" w:name="_Toc395890857"/>
      <w:r>
        <w:rPr>
          <w:rFonts w:ascii="Times New Roman" w:hAnsi="Times New Roman" w:cs="Times New Roman"/>
          <w:noProof/>
          <w:color w:val="auto"/>
          <w:sz w:val="32"/>
          <w:szCs w:val="32"/>
        </w:rPr>
        <w:t>Latvijas un EAIT augstākās izglītības kvalitātes nodrošināšanas sistēmas</w:t>
      </w:r>
      <w:bookmarkEnd w:id="5"/>
    </w:p>
    <w:p w:rsidR="00172AFB" w:rsidRPr="00DF5E61" w:rsidRDefault="00172AFB" w:rsidP="009055FB">
      <w:pPr>
        <w:pStyle w:val="ListParagraph"/>
        <w:spacing w:after="0" w:line="240" w:lineRule="auto"/>
        <w:ind w:left="360"/>
        <w:rPr>
          <w:rFonts w:ascii="Times New Roman" w:hAnsi="Times New Roman" w:cs="Times New Roman"/>
          <w:bCs/>
          <w:i/>
          <w:noProof/>
          <w:sz w:val="26"/>
          <w:szCs w:val="26"/>
        </w:rPr>
      </w:pPr>
    </w:p>
    <w:p w:rsidR="006E5454" w:rsidRPr="00C90D94" w:rsidRDefault="0076340B" w:rsidP="009055FB">
      <w:pPr>
        <w:pStyle w:val="Heading2"/>
        <w:spacing w:before="0" w:line="240" w:lineRule="auto"/>
        <w:ind w:firstLine="360"/>
        <w:jc w:val="both"/>
        <w:rPr>
          <w:rFonts w:ascii="Times New Roman" w:hAnsi="Times New Roman" w:cs="Times New Roman"/>
          <w:b/>
          <w:noProof/>
          <w:color w:val="auto"/>
          <w:sz w:val="28"/>
          <w:szCs w:val="28"/>
        </w:rPr>
      </w:pPr>
      <w:bookmarkStart w:id="6" w:name="_Toc395890858"/>
      <w:r>
        <w:rPr>
          <w:rFonts w:ascii="Times New Roman" w:hAnsi="Times New Roman" w:cs="Times New Roman"/>
          <w:b/>
          <w:noProof/>
          <w:color w:val="auto"/>
          <w:sz w:val="28"/>
          <w:szCs w:val="28"/>
        </w:rPr>
        <w:t>2</w:t>
      </w:r>
      <w:r w:rsidR="00C90D94">
        <w:rPr>
          <w:rFonts w:ascii="Times New Roman" w:hAnsi="Times New Roman" w:cs="Times New Roman"/>
          <w:b/>
          <w:noProof/>
          <w:color w:val="auto"/>
          <w:sz w:val="28"/>
          <w:szCs w:val="28"/>
        </w:rPr>
        <w:t xml:space="preserve">.1. </w:t>
      </w:r>
      <w:r w:rsidR="00E66D8B" w:rsidRPr="00C90D94">
        <w:rPr>
          <w:rFonts w:ascii="Times New Roman" w:hAnsi="Times New Roman" w:cs="Times New Roman"/>
          <w:b/>
          <w:noProof/>
          <w:color w:val="auto"/>
          <w:sz w:val="28"/>
          <w:szCs w:val="28"/>
        </w:rPr>
        <w:t>Ārējās k</w:t>
      </w:r>
      <w:r w:rsidR="006E5454" w:rsidRPr="00C90D94">
        <w:rPr>
          <w:rFonts w:ascii="Times New Roman" w:hAnsi="Times New Roman" w:cs="Times New Roman"/>
          <w:b/>
          <w:noProof/>
          <w:color w:val="auto"/>
          <w:sz w:val="28"/>
          <w:szCs w:val="28"/>
        </w:rPr>
        <w:t>va</w:t>
      </w:r>
      <w:r w:rsidR="00E66D8B" w:rsidRPr="00C90D94">
        <w:rPr>
          <w:rFonts w:ascii="Times New Roman" w:hAnsi="Times New Roman" w:cs="Times New Roman"/>
          <w:b/>
          <w:noProof/>
          <w:color w:val="auto"/>
          <w:sz w:val="28"/>
          <w:szCs w:val="28"/>
        </w:rPr>
        <w:t>litātes nodrošināšanas sistēma L</w:t>
      </w:r>
      <w:r w:rsidR="006E5454" w:rsidRPr="00C90D94">
        <w:rPr>
          <w:rFonts w:ascii="Times New Roman" w:hAnsi="Times New Roman" w:cs="Times New Roman"/>
          <w:b/>
          <w:noProof/>
          <w:color w:val="auto"/>
          <w:sz w:val="28"/>
          <w:szCs w:val="28"/>
        </w:rPr>
        <w:t>atvijā</w:t>
      </w:r>
      <w:bookmarkEnd w:id="6"/>
    </w:p>
    <w:p w:rsidR="00684F09" w:rsidRDefault="00684F09" w:rsidP="009055FB">
      <w:pPr>
        <w:pStyle w:val="Heading3"/>
        <w:spacing w:before="0" w:line="240" w:lineRule="auto"/>
        <w:ind w:firstLine="360"/>
        <w:jc w:val="both"/>
        <w:rPr>
          <w:rFonts w:ascii="Times New Roman" w:hAnsi="Times New Roman" w:cs="Times New Roman"/>
          <w:b/>
          <w:noProof/>
          <w:color w:val="auto"/>
          <w:sz w:val="26"/>
          <w:szCs w:val="26"/>
        </w:rPr>
      </w:pPr>
    </w:p>
    <w:p w:rsidR="006E5454" w:rsidRDefault="0076340B" w:rsidP="009055FB">
      <w:pPr>
        <w:pStyle w:val="Heading3"/>
        <w:spacing w:before="0" w:line="240" w:lineRule="auto"/>
        <w:ind w:firstLine="360"/>
        <w:jc w:val="both"/>
        <w:rPr>
          <w:rFonts w:ascii="Times New Roman" w:hAnsi="Times New Roman" w:cs="Times New Roman"/>
          <w:b/>
          <w:noProof/>
          <w:color w:val="auto"/>
          <w:sz w:val="26"/>
          <w:szCs w:val="26"/>
        </w:rPr>
      </w:pPr>
      <w:bookmarkStart w:id="7" w:name="_Toc395890859"/>
      <w:r>
        <w:rPr>
          <w:rFonts w:ascii="Times New Roman" w:hAnsi="Times New Roman" w:cs="Times New Roman"/>
          <w:b/>
          <w:noProof/>
          <w:color w:val="auto"/>
          <w:sz w:val="26"/>
          <w:szCs w:val="26"/>
        </w:rPr>
        <w:t>2</w:t>
      </w:r>
      <w:r w:rsidR="001857F4">
        <w:rPr>
          <w:rFonts w:ascii="Times New Roman" w:hAnsi="Times New Roman" w:cs="Times New Roman"/>
          <w:b/>
          <w:noProof/>
          <w:color w:val="auto"/>
          <w:sz w:val="26"/>
          <w:szCs w:val="26"/>
        </w:rPr>
        <w:t>.1.</w:t>
      </w:r>
      <w:r w:rsidR="009067CF">
        <w:rPr>
          <w:rFonts w:ascii="Times New Roman" w:hAnsi="Times New Roman" w:cs="Times New Roman"/>
          <w:b/>
          <w:noProof/>
          <w:color w:val="auto"/>
          <w:sz w:val="26"/>
          <w:szCs w:val="26"/>
        </w:rPr>
        <w:t>1</w:t>
      </w:r>
      <w:r w:rsidR="001857F4">
        <w:rPr>
          <w:rFonts w:ascii="Times New Roman" w:hAnsi="Times New Roman" w:cs="Times New Roman"/>
          <w:b/>
          <w:noProof/>
          <w:color w:val="auto"/>
          <w:sz w:val="26"/>
          <w:szCs w:val="26"/>
        </w:rPr>
        <w:t xml:space="preserve">. </w:t>
      </w:r>
      <w:r w:rsidR="006E5454" w:rsidRPr="001857F4">
        <w:rPr>
          <w:rFonts w:ascii="Times New Roman" w:hAnsi="Times New Roman" w:cs="Times New Roman"/>
          <w:b/>
          <w:noProof/>
          <w:color w:val="auto"/>
          <w:sz w:val="26"/>
          <w:szCs w:val="26"/>
        </w:rPr>
        <w:t>Akreditācijas organizēšana</w:t>
      </w:r>
      <w:bookmarkEnd w:id="7"/>
      <w:r w:rsidR="006E5454" w:rsidRPr="001857F4">
        <w:rPr>
          <w:rFonts w:ascii="Times New Roman" w:hAnsi="Times New Roman" w:cs="Times New Roman"/>
          <w:b/>
          <w:noProof/>
          <w:color w:val="auto"/>
          <w:sz w:val="26"/>
          <w:szCs w:val="26"/>
        </w:rPr>
        <w:t xml:space="preserve"> </w:t>
      </w:r>
    </w:p>
    <w:p w:rsidR="00771474" w:rsidRPr="00771474" w:rsidRDefault="00377E8C"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Kopš 2013.gada 25.aprīļa</w:t>
      </w:r>
      <w:r w:rsidR="003B7BF4">
        <w:rPr>
          <w:rFonts w:ascii="Times New Roman" w:hAnsi="Times New Roman" w:cs="Times New Roman"/>
          <w:sz w:val="26"/>
          <w:szCs w:val="26"/>
        </w:rPr>
        <w:t xml:space="preserve"> a</w:t>
      </w:r>
      <w:r w:rsidR="004114F0">
        <w:rPr>
          <w:rFonts w:ascii="Times New Roman" w:hAnsi="Times New Roman" w:cs="Times New Roman"/>
          <w:sz w:val="26"/>
          <w:szCs w:val="26"/>
        </w:rPr>
        <w:t>ugstskolu</w:t>
      </w:r>
      <w:r w:rsidR="00771474" w:rsidRPr="00771474">
        <w:rPr>
          <w:rFonts w:ascii="Times New Roman" w:hAnsi="Times New Roman" w:cs="Times New Roman"/>
          <w:sz w:val="26"/>
          <w:szCs w:val="26"/>
        </w:rPr>
        <w:t xml:space="preserve"> un studiju programmu akreditāciju Latvijā organizē</w:t>
      </w:r>
      <w:r w:rsidR="00771474">
        <w:rPr>
          <w:rFonts w:ascii="Times New Roman" w:hAnsi="Times New Roman" w:cs="Times New Roman"/>
          <w:sz w:val="26"/>
          <w:szCs w:val="26"/>
        </w:rPr>
        <w:t xml:space="preserve"> </w:t>
      </w:r>
      <w:r w:rsidR="004114F0">
        <w:rPr>
          <w:rFonts w:ascii="Times New Roman" w:hAnsi="Times New Roman" w:cs="Times New Roman"/>
          <w:sz w:val="26"/>
          <w:szCs w:val="26"/>
        </w:rPr>
        <w:t>IZM</w:t>
      </w:r>
      <w:r w:rsidR="00771474" w:rsidRPr="00771474">
        <w:rPr>
          <w:rFonts w:ascii="Times New Roman" w:hAnsi="Times New Roman" w:cs="Times New Roman"/>
          <w:sz w:val="26"/>
          <w:szCs w:val="26"/>
        </w:rPr>
        <w:t>.</w:t>
      </w:r>
    </w:p>
    <w:p w:rsidR="00771474" w:rsidRDefault="00771474" w:rsidP="009055FB">
      <w:pPr>
        <w:spacing w:after="0" w:line="240" w:lineRule="auto"/>
        <w:ind w:firstLine="720"/>
        <w:jc w:val="both"/>
        <w:rPr>
          <w:rFonts w:ascii="Times New Roman" w:hAnsi="Times New Roman" w:cs="Times New Roman"/>
          <w:sz w:val="26"/>
          <w:szCs w:val="26"/>
        </w:rPr>
      </w:pPr>
      <w:r w:rsidRPr="00771474">
        <w:rPr>
          <w:rFonts w:ascii="Times New Roman" w:hAnsi="Times New Roman" w:cs="Times New Roman"/>
          <w:sz w:val="26"/>
          <w:szCs w:val="26"/>
        </w:rPr>
        <w:t xml:space="preserve">Lēmumu par </w:t>
      </w:r>
      <w:r w:rsidR="004114F0">
        <w:rPr>
          <w:rFonts w:ascii="Times New Roman" w:hAnsi="Times New Roman" w:cs="Times New Roman"/>
          <w:sz w:val="26"/>
          <w:szCs w:val="26"/>
        </w:rPr>
        <w:t>augstskolu</w:t>
      </w:r>
      <w:r w:rsidRPr="00771474">
        <w:rPr>
          <w:rFonts w:ascii="Times New Roman" w:hAnsi="Times New Roman" w:cs="Times New Roman"/>
          <w:sz w:val="26"/>
          <w:szCs w:val="26"/>
        </w:rPr>
        <w:t xml:space="preserve"> akreditāciju pieņ</w:t>
      </w:r>
      <w:r>
        <w:rPr>
          <w:rFonts w:ascii="Times New Roman" w:hAnsi="Times New Roman" w:cs="Times New Roman"/>
          <w:sz w:val="26"/>
          <w:szCs w:val="26"/>
        </w:rPr>
        <w:t>em</w:t>
      </w:r>
      <w:r w:rsidRPr="00771474">
        <w:rPr>
          <w:rFonts w:ascii="Times New Roman" w:hAnsi="Times New Roman" w:cs="Times New Roman"/>
          <w:sz w:val="26"/>
          <w:szCs w:val="26"/>
        </w:rPr>
        <w:t xml:space="preserve"> </w:t>
      </w:r>
      <w:r w:rsidR="004114F0">
        <w:rPr>
          <w:rFonts w:ascii="Times New Roman" w:hAnsi="Times New Roman" w:cs="Times New Roman"/>
          <w:sz w:val="26"/>
          <w:szCs w:val="26"/>
        </w:rPr>
        <w:t>AIP</w:t>
      </w:r>
      <w:r w:rsidRPr="00771474">
        <w:rPr>
          <w:rFonts w:ascii="Times New Roman" w:hAnsi="Times New Roman" w:cs="Times New Roman"/>
          <w:sz w:val="26"/>
          <w:szCs w:val="26"/>
        </w:rPr>
        <w:t xml:space="preserve">, savukārt par studiju </w:t>
      </w:r>
      <w:r>
        <w:rPr>
          <w:rFonts w:ascii="Times New Roman" w:hAnsi="Times New Roman" w:cs="Times New Roman"/>
          <w:sz w:val="26"/>
          <w:szCs w:val="26"/>
        </w:rPr>
        <w:t>virzienu</w:t>
      </w:r>
      <w:r w:rsidRPr="00771474">
        <w:rPr>
          <w:rFonts w:ascii="Times New Roman" w:hAnsi="Times New Roman" w:cs="Times New Roman"/>
          <w:sz w:val="26"/>
          <w:szCs w:val="26"/>
        </w:rPr>
        <w:t xml:space="preserve"> akreditāciju – </w:t>
      </w:r>
      <w:r>
        <w:rPr>
          <w:rFonts w:ascii="Times New Roman" w:hAnsi="Times New Roman" w:cs="Times New Roman"/>
          <w:sz w:val="26"/>
          <w:szCs w:val="26"/>
        </w:rPr>
        <w:t>Studiju</w:t>
      </w:r>
      <w:r w:rsidRPr="00771474">
        <w:rPr>
          <w:rFonts w:ascii="Times New Roman" w:hAnsi="Times New Roman" w:cs="Times New Roman"/>
          <w:sz w:val="26"/>
          <w:szCs w:val="26"/>
        </w:rPr>
        <w:t xml:space="preserve"> akreditācijas komisija.</w:t>
      </w:r>
    </w:p>
    <w:p w:rsidR="00C04CD9" w:rsidRDefault="000F7B87" w:rsidP="009055FB">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2011.gadā veiktie grozījumi Augstskolu likumā noteica pāreju no studiju programmu uz studiju virzienu akreditāciju. MK 2012.gada 25.septembra noteikumi Nr.668 „Augstskolu, koledžu un studiju virzienu akreditācijas noteikumi” (turpmāk – Akreditācijas noteikumi) tika noteikts, ka </w:t>
      </w:r>
      <w:r w:rsidR="004114F0">
        <w:rPr>
          <w:rFonts w:ascii="Times New Roman" w:hAnsi="Times New Roman" w:cs="Times New Roman"/>
          <w:sz w:val="26"/>
          <w:szCs w:val="26"/>
        </w:rPr>
        <w:t>augstskolu</w:t>
      </w:r>
      <w:r w:rsidRPr="000F7B87">
        <w:rPr>
          <w:rFonts w:ascii="Times New Roman" w:hAnsi="Times New Roman" w:cs="Times New Roman"/>
          <w:sz w:val="26"/>
          <w:szCs w:val="26"/>
        </w:rPr>
        <w:t xml:space="preserve"> un studiju virzienu novērtēšanu organizē pilnvarotā institūcija. </w:t>
      </w:r>
    </w:p>
    <w:p w:rsidR="000F7B87" w:rsidRDefault="000F7B87" w:rsidP="009055FB">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MK 2013.gada 25.aprīlī pieņēma noteikumus Nr.229 „Grozījumi Ministru kabineta 2012.gada 25.septembra noteikumos Nr.668 „Augstskolu, koledžu un studiju virzienu akreditācijas noteikumi”, nosakot, ka augstskolu un studiju virzienu akreditāciju var organizēt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vai tās pilnvarota institūcija, ar kuru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noslēdz deleģēšanas līgumu. </w:t>
      </w:r>
      <w:r w:rsidR="00377E8C">
        <w:rPr>
          <w:rFonts w:ascii="Times New Roman" w:hAnsi="Times New Roman" w:cs="Times New Roman"/>
          <w:sz w:val="26"/>
          <w:szCs w:val="26"/>
        </w:rPr>
        <w:t>Ņ</w:t>
      </w:r>
      <w:r w:rsidRPr="000F7B87">
        <w:rPr>
          <w:rFonts w:ascii="Times New Roman" w:hAnsi="Times New Roman" w:cs="Times New Roman"/>
          <w:sz w:val="26"/>
          <w:szCs w:val="26"/>
        </w:rPr>
        <w:t xml:space="preserve">emot vērā to, ka liela daļa </w:t>
      </w:r>
      <w:r w:rsidR="004114F0">
        <w:rPr>
          <w:rFonts w:ascii="Times New Roman" w:hAnsi="Times New Roman" w:cs="Times New Roman"/>
          <w:sz w:val="26"/>
          <w:szCs w:val="26"/>
        </w:rPr>
        <w:t>augstskolu</w:t>
      </w:r>
      <w:r w:rsidRPr="000F7B87">
        <w:rPr>
          <w:rFonts w:ascii="Times New Roman" w:hAnsi="Times New Roman" w:cs="Times New Roman"/>
          <w:sz w:val="26"/>
          <w:szCs w:val="26"/>
        </w:rPr>
        <w:t xml:space="preserve"> piedalījās Eiropas Sociālā fonda projektā „Augstākās izglītības studiju programmu izvērtēšana un priekšlikumi kvalitātes paaugstināšanai” (Vienošanās Nr.- 2011/0012/1DP/1.1.2.2.1/11 /IPIA/VIAA/011) (turpmāk – projekts), kuru koordinēja AIP un kura laikā tika izvērtētas </w:t>
      </w:r>
      <w:r w:rsidR="004114F0">
        <w:rPr>
          <w:rFonts w:ascii="Times New Roman" w:hAnsi="Times New Roman" w:cs="Times New Roman"/>
          <w:sz w:val="26"/>
          <w:szCs w:val="26"/>
        </w:rPr>
        <w:t>augstskolu studiju programmas pa</w:t>
      </w:r>
      <w:r w:rsidRPr="000F7B87">
        <w:rPr>
          <w:rFonts w:ascii="Times New Roman" w:hAnsi="Times New Roman" w:cs="Times New Roman"/>
          <w:sz w:val="26"/>
          <w:szCs w:val="26"/>
        </w:rPr>
        <w:t xml:space="preserve"> studiju virzieniem, šajos grozījumos tika atrunāts, ka lēmums par to studiju virzienu akreditāciju, kuri izvērtēti projekta ietvaros, jāpieņem, pamatojoties uz projekta ekspertu </w:t>
      </w:r>
      <w:r w:rsidR="004301AB">
        <w:rPr>
          <w:rFonts w:ascii="Times New Roman" w:hAnsi="Times New Roman" w:cs="Times New Roman"/>
          <w:sz w:val="26"/>
          <w:szCs w:val="26"/>
        </w:rPr>
        <w:t>atzinumu par studiju virzienu valstī, atzinumu par studiju virzienu attiecīgajās augstskolā vai koledžā un atzinumu (anketu) par attiecīgo studiju</w:t>
      </w:r>
      <w:r w:rsidR="004114F0">
        <w:rPr>
          <w:rFonts w:ascii="Times New Roman" w:hAnsi="Times New Roman" w:cs="Times New Roman"/>
          <w:sz w:val="26"/>
          <w:szCs w:val="26"/>
        </w:rPr>
        <w:t xml:space="preserve"> </w:t>
      </w:r>
      <w:r w:rsidR="004301AB" w:rsidRPr="004301AB">
        <w:rPr>
          <w:rFonts w:ascii="Times New Roman" w:hAnsi="Times New Roman" w:cs="Times New Roman"/>
          <w:sz w:val="26"/>
          <w:szCs w:val="26"/>
        </w:rPr>
        <w:t>programmu</w:t>
      </w:r>
      <w:r w:rsidRPr="004301AB">
        <w:rPr>
          <w:rFonts w:ascii="Times New Roman" w:hAnsi="Times New Roman" w:cs="Times New Roman"/>
          <w:sz w:val="26"/>
          <w:szCs w:val="26"/>
        </w:rPr>
        <w:t>.</w:t>
      </w:r>
    </w:p>
    <w:p w:rsidR="000F7B87" w:rsidRDefault="000F7B87" w:rsidP="009055FB">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Vienlaikus </w:t>
      </w:r>
      <w:r w:rsidR="004114F0">
        <w:rPr>
          <w:rFonts w:ascii="Times New Roman" w:hAnsi="Times New Roman" w:cs="Times New Roman"/>
          <w:sz w:val="26"/>
          <w:szCs w:val="26"/>
        </w:rPr>
        <w:t>MK</w:t>
      </w:r>
      <w:r w:rsidRPr="000F7B87">
        <w:rPr>
          <w:rFonts w:ascii="Times New Roman" w:hAnsi="Times New Roman" w:cs="Times New Roman"/>
          <w:sz w:val="26"/>
          <w:szCs w:val="26"/>
        </w:rPr>
        <w:t xml:space="preserve"> nolēma, ka augstskolu un studiju virzienu akreditācija ir jāorganizē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ar MK 2013.gada 25.aprīļa sēdes protokollēmuma „Noteikumu projekts „Grozījumi Ministru kabineta 2012.gada 25.septembra noteikumos Nr.668 „Augstskolu, koledžu un studiju virzienu akreditācijas noteikumi”” (prot. Nr.24 4.§) 4.punktu, uzdodot </w:t>
      </w:r>
      <w:r w:rsidR="004114F0">
        <w:rPr>
          <w:rFonts w:ascii="Times New Roman" w:hAnsi="Times New Roman" w:cs="Times New Roman"/>
          <w:sz w:val="26"/>
          <w:szCs w:val="26"/>
        </w:rPr>
        <w:t>IZM</w:t>
      </w:r>
      <w:r w:rsidRPr="000F7B87">
        <w:rPr>
          <w:rFonts w:ascii="Times New Roman" w:hAnsi="Times New Roman" w:cs="Times New Roman"/>
          <w:sz w:val="26"/>
          <w:szCs w:val="26"/>
        </w:rPr>
        <w:t xml:space="preserve"> nekavējoties uzsākt darbu un nodrošināt ekspertu savlaicīgu piesaisti to studiju programmu vērtēšanā, kuras nav iekļautas projekta rezultātos, kā arī nodrošināt lēmumu pieņemšanu par studiju virzieniem, kuriem atbilst neakreditētas studiju programmas.</w:t>
      </w:r>
    </w:p>
    <w:p w:rsidR="000F7B87" w:rsidRDefault="004114F0"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IZM</w:t>
      </w:r>
      <w:r w:rsidR="000F7B87" w:rsidRPr="000F7B87">
        <w:rPr>
          <w:rFonts w:ascii="Times New Roman" w:hAnsi="Times New Roman" w:cs="Times New Roman"/>
          <w:sz w:val="26"/>
          <w:szCs w:val="26"/>
        </w:rPr>
        <w:t xml:space="preserve"> Augstākās izglītības, zinātnes un inovāciju departamentā ir izveidots Studiju akreditācijas sekretariāts (turpmāk – sekretariāts), kurā uz laiku tika izveidotas (šobrīd ir divas) darbavietas. Sekretariāts sagatavo akreditācijas procesa nodrošināšanai paredzēto dokumentāciju, piedalās komisijas lēmumu projektu sagatavošanā, kā arī to pirmspārbaudē atbilstoši Administratīvā procesa likumā noteiktajam un organizē ekspertu darbu. Vienlaikus papildu</w:t>
      </w:r>
      <w:r>
        <w:rPr>
          <w:rFonts w:ascii="Times New Roman" w:hAnsi="Times New Roman" w:cs="Times New Roman"/>
          <w:sz w:val="26"/>
          <w:szCs w:val="26"/>
        </w:rPr>
        <w:t>s</w:t>
      </w:r>
      <w:r w:rsidR="000F7B87" w:rsidRPr="000F7B87">
        <w:rPr>
          <w:rFonts w:ascii="Times New Roman" w:hAnsi="Times New Roman" w:cs="Times New Roman"/>
          <w:sz w:val="26"/>
          <w:szCs w:val="26"/>
        </w:rPr>
        <w:t xml:space="preserve"> pienākumus augstākās izglītības studiju akreditācijas procesa nodrošināšanai 2013. un 2014.gadā veic arī atsevišķi ministrijas ierēdņi.</w:t>
      </w:r>
    </w:p>
    <w:p w:rsidR="000F7B87" w:rsidRDefault="004114F0"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IKVD</w:t>
      </w:r>
      <w:r w:rsidR="000F7B87" w:rsidRPr="000F7B87">
        <w:rPr>
          <w:rFonts w:ascii="Times New Roman" w:hAnsi="Times New Roman" w:cs="Times New Roman"/>
          <w:sz w:val="26"/>
          <w:szCs w:val="26"/>
        </w:rPr>
        <w:t xml:space="preserve"> ir izveidota proj</w:t>
      </w:r>
      <w:r>
        <w:rPr>
          <w:rFonts w:ascii="Times New Roman" w:hAnsi="Times New Roman" w:cs="Times New Roman"/>
          <w:sz w:val="26"/>
          <w:szCs w:val="26"/>
        </w:rPr>
        <w:t>ekta studiju virzienu datu bāze</w:t>
      </w:r>
      <w:r w:rsidR="000F7B87" w:rsidRPr="000F7B87">
        <w:rPr>
          <w:rFonts w:ascii="Times New Roman" w:hAnsi="Times New Roman" w:cs="Times New Roman"/>
          <w:sz w:val="26"/>
          <w:szCs w:val="26"/>
        </w:rPr>
        <w:t>, kas</w:t>
      </w:r>
      <w:r w:rsidR="009D7386">
        <w:rPr>
          <w:rFonts w:ascii="Times New Roman" w:hAnsi="Times New Roman" w:cs="Times New Roman"/>
          <w:sz w:val="26"/>
          <w:szCs w:val="26"/>
        </w:rPr>
        <w:t xml:space="preserve"> daļēji</w:t>
      </w:r>
      <w:r w:rsidR="000F7B87" w:rsidRPr="000F7B87">
        <w:rPr>
          <w:rFonts w:ascii="Times New Roman" w:hAnsi="Times New Roman" w:cs="Times New Roman"/>
          <w:sz w:val="26"/>
          <w:szCs w:val="26"/>
        </w:rPr>
        <w:t xml:space="preserve"> ir papildinā</w:t>
      </w:r>
      <w:r>
        <w:rPr>
          <w:rFonts w:ascii="Times New Roman" w:hAnsi="Times New Roman" w:cs="Times New Roman"/>
          <w:sz w:val="26"/>
          <w:szCs w:val="26"/>
        </w:rPr>
        <w:t xml:space="preserve">ta ar informāciju no </w:t>
      </w:r>
      <w:r w:rsidR="00516386" w:rsidRPr="00625425">
        <w:rPr>
          <w:rFonts w:ascii="Times New Roman" w:hAnsi="Times New Roman" w:cs="Times New Roman"/>
          <w:sz w:val="26"/>
          <w:szCs w:val="26"/>
        </w:rPr>
        <w:t>Augstākās izglītības kvalitātes novērtēšanas centra (turpmāk – AIKNC)</w:t>
      </w:r>
      <w:r w:rsidR="000F7B87" w:rsidRPr="00625425">
        <w:rPr>
          <w:rFonts w:ascii="Times New Roman" w:hAnsi="Times New Roman" w:cs="Times New Roman"/>
          <w:sz w:val="26"/>
          <w:szCs w:val="26"/>
        </w:rPr>
        <w:t xml:space="preserve"> </w:t>
      </w:r>
      <w:r w:rsidR="000F7B87" w:rsidRPr="000F7B87">
        <w:rPr>
          <w:rFonts w:ascii="Times New Roman" w:hAnsi="Times New Roman" w:cs="Times New Roman"/>
          <w:sz w:val="26"/>
          <w:szCs w:val="26"/>
        </w:rPr>
        <w:t>datu bāzes par augstskolu</w:t>
      </w:r>
      <w:r>
        <w:rPr>
          <w:rFonts w:ascii="Times New Roman" w:hAnsi="Times New Roman" w:cs="Times New Roman"/>
          <w:sz w:val="26"/>
          <w:szCs w:val="26"/>
        </w:rPr>
        <w:t xml:space="preserve"> un </w:t>
      </w:r>
      <w:r w:rsidR="000F7B87" w:rsidRPr="000F7B87">
        <w:rPr>
          <w:rFonts w:ascii="Times New Roman" w:hAnsi="Times New Roman" w:cs="Times New Roman"/>
          <w:sz w:val="26"/>
          <w:szCs w:val="26"/>
        </w:rPr>
        <w:t xml:space="preserve">studiju programmu licencēšanu un akreditāciju Latvijā, kā arī publiski pieejama informācija par akreditētajiem studiju virzieniem. </w:t>
      </w:r>
    </w:p>
    <w:p w:rsidR="000F7B87" w:rsidRPr="000F7B87" w:rsidRDefault="000F7B87" w:rsidP="009055FB">
      <w:pPr>
        <w:spacing w:after="0" w:line="240" w:lineRule="auto"/>
        <w:ind w:firstLine="720"/>
        <w:jc w:val="both"/>
        <w:rPr>
          <w:rFonts w:ascii="Times New Roman" w:hAnsi="Times New Roman" w:cs="Times New Roman"/>
          <w:sz w:val="26"/>
          <w:szCs w:val="26"/>
        </w:rPr>
      </w:pPr>
      <w:r w:rsidRPr="000F7B87">
        <w:rPr>
          <w:rFonts w:ascii="Times New Roman" w:hAnsi="Times New Roman" w:cs="Times New Roman"/>
          <w:sz w:val="26"/>
          <w:szCs w:val="26"/>
        </w:rPr>
        <w:t xml:space="preserve">Lai organizētu studiju virzienu </w:t>
      </w:r>
      <w:r w:rsidR="009D7386">
        <w:rPr>
          <w:rFonts w:ascii="Times New Roman" w:hAnsi="Times New Roman" w:cs="Times New Roman"/>
          <w:sz w:val="26"/>
          <w:szCs w:val="26"/>
        </w:rPr>
        <w:t xml:space="preserve">un studiju programmu </w:t>
      </w:r>
      <w:r w:rsidRPr="000F7B87">
        <w:rPr>
          <w:rFonts w:ascii="Times New Roman" w:hAnsi="Times New Roman" w:cs="Times New Roman"/>
          <w:sz w:val="26"/>
          <w:szCs w:val="26"/>
        </w:rPr>
        <w:t xml:space="preserve">kvalitātes novērtēšanu, ir izveidota ekspertu datu bāze, kas nodrošina ekspertu </w:t>
      </w:r>
      <w:r w:rsidR="00E102F3">
        <w:rPr>
          <w:rFonts w:ascii="Times New Roman" w:hAnsi="Times New Roman" w:cs="Times New Roman"/>
          <w:sz w:val="26"/>
          <w:szCs w:val="26"/>
        </w:rPr>
        <w:t>atlasi</w:t>
      </w:r>
      <w:r w:rsidR="00E102F3" w:rsidRPr="000F7B87">
        <w:rPr>
          <w:rFonts w:ascii="Times New Roman" w:hAnsi="Times New Roman" w:cs="Times New Roman"/>
          <w:sz w:val="26"/>
          <w:szCs w:val="26"/>
        </w:rPr>
        <w:t xml:space="preserve"> </w:t>
      </w:r>
      <w:r w:rsidRPr="000F7B87">
        <w:rPr>
          <w:rFonts w:ascii="Times New Roman" w:hAnsi="Times New Roman" w:cs="Times New Roman"/>
          <w:sz w:val="26"/>
          <w:szCs w:val="26"/>
        </w:rPr>
        <w:t xml:space="preserve">pēc uzvārda, 29 studiju virzieniem, zinātnes nozares, kā arī pēc pārstāvniecības – ārzemju akadēmiskais personāls, Latvijas akadēmiskais personāls, studentu pārstāvji, darba devēju pārstāvji. Izveidotajā datu bāzē, kuru uztur </w:t>
      </w:r>
      <w:r w:rsidR="008B6701">
        <w:rPr>
          <w:rFonts w:ascii="Times New Roman" w:hAnsi="Times New Roman" w:cs="Times New Roman"/>
          <w:sz w:val="26"/>
          <w:szCs w:val="26"/>
        </w:rPr>
        <w:t>IZM</w:t>
      </w:r>
      <w:r w:rsidRPr="000F7B87">
        <w:rPr>
          <w:rFonts w:ascii="Times New Roman" w:hAnsi="Times New Roman" w:cs="Times New Roman"/>
          <w:sz w:val="26"/>
          <w:szCs w:val="26"/>
        </w:rPr>
        <w:t xml:space="preserve">, ir iekļauti vairāk nekā 1000 eksperti, tā tiek pastāvīgi atjaunota. </w:t>
      </w:r>
    </w:p>
    <w:p w:rsidR="009067CF" w:rsidRDefault="009067CF" w:rsidP="009055FB">
      <w:pPr>
        <w:spacing w:after="0" w:line="240" w:lineRule="auto"/>
        <w:ind w:firstLine="720"/>
        <w:jc w:val="both"/>
        <w:rPr>
          <w:rFonts w:ascii="Times New Roman" w:hAnsi="Times New Roman" w:cs="Times New Roman"/>
          <w:iCs/>
          <w:sz w:val="26"/>
          <w:szCs w:val="26"/>
        </w:rPr>
      </w:pPr>
    </w:p>
    <w:p w:rsidR="009067CF" w:rsidRDefault="009067CF" w:rsidP="009055FB">
      <w:pPr>
        <w:spacing w:after="0" w:line="240" w:lineRule="auto"/>
        <w:ind w:firstLine="720"/>
        <w:jc w:val="both"/>
        <w:rPr>
          <w:rFonts w:ascii="Times New Roman" w:hAnsi="Times New Roman" w:cs="Times New Roman"/>
          <w:iCs/>
          <w:sz w:val="26"/>
          <w:szCs w:val="26"/>
        </w:rPr>
      </w:pPr>
      <w:r w:rsidRPr="00CC6E2E">
        <w:rPr>
          <w:rFonts w:ascii="Times New Roman" w:hAnsi="Times New Roman" w:cs="Times New Roman"/>
          <w:iCs/>
          <w:sz w:val="26"/>
          <w:szCs w:val="26"/>
        </w:rPr>
        <w:t xml:space="preserve">Laika posmā no 1996.gada līdz 2012.gadam </w:t>
      </w:r>
      <w:r>
        <w:rPr>
          <w:rFonts w:ascii="Times New Roman" w:hAnsi="Times New Roman" w:cs="Times New Roman"/>
          <w:iCs/>
          <w:sz w:val="26"/>
          <w:szCs w:val="26"/>
        </w:rPr>
        <w:t>augstskolu</w:t>
      </w:r>
      <w:r w:rsidRPr="00CC6E2E">
        <w:rPr>
          <w:rFonts w:ascii="Times New Roman" w:hAnsi="Times New Roman" w:cs="Times New Roman"/>
          <w:iCs/>
          <w:sz w:val="26"/>
          <w:szCs w:val="26"/>
        </w:rPr>
        <w:t xml:space="preserve"> un studiju programmu </w:t>
      </w:r>
      <w:r w:rsidR="00065B6B">
        <w:rPr>
          <w:rFonts w:ascii="Times New Roman" w:hAnsi="Times New Roman" w:cs="Times New Roman"/>
          <w:iCs/>
          <w:sz w:val="26"/>
          <w:szCs w:val="26"/>
        </w:rPr>
        <w:t>novērtēšanu</w:t>
      </w:r>
      <w:r w:rsidR="00065B6B" w:rsidRPr="00CC6E2E">
        <w:rPr>
          <w:rFonts w:ascii="Times New Roman" w:hAnsi="Times New Roman" w:cs="Times New Roman"/>
          <w:iCs/>
          <w:sz w:val="26"/>
          <w:szCs w:val="26"/>
        </w:rPr>
        <w:t xml:space="preserve"> </w:t>
      </w:r>
      <w:r w:rsidRPr="00CC6E2E">
        <w:rPr>
          <w:rFonts w:ascii="Times New Roman" w:hAnsi="Times New Roman" w:cs="Times New Roman"/>
          <w:iCs/>
          <w:sz w:val="26"/>
          <w:szCs w:val="26"/>
        </w:rPr>
        <w:t>Latvijā organizēja</w:t>
      </w:r>
      <w:r w:rsidRPr="00CC6E2E">
        <w:rPr>
          <w:rFonts w:ascii="Times New Roman" w:hAnsi="Times New Roman" w:cs="Times New Roman"/>
          <w:b/>
          <w:iCs/>
          <w:sz w:val="26"/>
          <w:szCs w:val="26"/>
        </w:rPr>
        <w:t xml:space="preserve"> </w:t>
      </w:r>
      <w:r>
        <w:rPr>
          <w:rFonts w:ascii="Times New Roman" w:hAnsi="Times New Roman" w:cs="Times New Roman"/>
          <w:iCs/>
          <w:sz w:val="26"/>
          <w:szCs w:val="26"/>
        </w:rPr>
        <w:t xml:space="preserve"> AIKNC.</w:t>
      </w:r>
    </w:p>
    <w:p w:rsidR="009067CF" w:rsidRDefault="009067CF"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iCs/>
          <w:sz w:val="26"/>
          <w:szCs w:val="26"/>
        </w:rPr>
        <w:t>Lēmumu par augstskolu akreditāciju p</w:t>
      </w:r>
      <w:r>
        <w:rPr>
          <w:rFonts w:ascii="Times New Roman" w:hAnsi="Times New Roman" w:cs="Times New Roman"/>
          <w:bCs/>
          <w:noProof/>
          <w:sz w:val="26"/>
          <w:szCs w:val="26"/>
        </w:rPr>
        <w:t>ieņēma AIP, savukārt par studiju programmu akreditāciju – Augstākās izglītības programmu akreditācijas komisija.</w:t>
      </w:r>
    </w:p>
    <w:p w:rsidR="009067CF" w:rsidRDefault="009067CF" w:rsidP="009055FB">
      <w:pPr>
        <w:spacing w:after="0" w:line="240" w:lineRule="auto"/>
        <w:ind w:firstLine="720"/>
        <w:jc w:val="both"/>
        <w:rPr>
          <w:rFonts w:ascii="Times New Roman" w:hAnsi="Times New Roman" w:cs="Times New Roman"/>
          <w:iCs/>
          <w:sz w:val="26"/>
          <w:szCs w:val="26"/>
        </w:rPr>
      </w:pPr>
      <w:r>
        <w:rPr>
          <w:rFonts w:ascii="Times New Roman" w:hAnsi="Times New Roman" w:cs="Times New Roman"/>
          <w:iCs/>
          <w:sz w:val="26"/>
          <w:szCs w:val="26"/>
        </w:rPr>
        <w:t xml:space="preserve">AIKNC </w:t>
      </w:r>
      <w:r w:rsidRPr="00CC6E2E">
        <w:rPr>
          <w:rFonts w:ascii="Times New Roman" w:hAnsi="Times New Roman" w:cs="Times New Roman"/>
          <w:iCs/>
          <w:sz w:val="26"/>
          <w:szCs w:val="26"/>
        </w:rPr>
        <w:t xml:space="preserve">kā bezpeļņas organizācija tika izveidota 1994.gada 28.decembrī, sadarbojoties </w:t>
      </w:r>
      <w:r>
        <w:rPr>
          <w:rFonts w:ascii="Times New Roman" w:hAnsi="Times New Roman" w:cs="Times New Roman"/>
          <w:iCs/>
          <w:sz w:val="26"/>
          <w:szCs w:val="26"/>
        </w:rPr>
        <w:t>IZM</w:t>
      </w:r>
      <w:r w:rsidRPr="00CC6E2E">
        <w:rPr>
          <w:rFonts w:ascii="Times New Roman" w:hAnsi="Times New Roman" w:cs="Times New Roman"/>
          <w:iCs/>
          <w:sz w:val="26"/>
          <w:szCs w:val="26"/>
        </w:rPr>
        <w:t xml:space="preserve"> un </w:t>
      </w:r>
      <w:r w:rsidRPr="006E786A">
        <w:rPr>
          <w:rFonts w:ascii="Times New Roman" w:hAnsi="Times New Roman" w:cs="Times New Roman"/>
          <w:iCs/>
          <w:sz w:val="26"/>
          <w:szCs w:val="26"/>
        </w:rPr>
        <w:t>Rektoru padomei.</w:t>
      </w:r>
      <w:r w:rsidRPr="00CC6E2E">
        <w:rPr>
          <w:rFonts w:ascii="Times New Roman" w:hAnsi="Times New Roman" w:cs="Times New Roman"/>
          <w:iCs/>
          <w:sz w:val="26"/>
          <w:szCs w:val="26"/>
        </w:rPr>
        <w:t xml:space="preserve"> AIKNC dibinātāji ir </w:t>
      </w:r>
      <w:r>
        <w:rPr>
          <w:rFonts w:ascii="Times New Roman" w:hAnsi="Times New Roman" w:cs="Times New Roman"/>
          <w:iCs/>
          <w:sz w:val="26"/>
          <w:szCs w:val="26"/>
        </w:rPr>
        <w:t>IZM</w:t>
      </w:r>
      <w:r w:rsidRPr="00CC6E2E">
        <w:rPr>
          <w:rFonts w:ascii="Times New Roman" w:hAnsi="Times New Roman" w:cs="Times New Roman"/>
          <w:iCs/>
          <w:sz w:val="26"/>
          <w:szCs w:val="26"/>
        </w:rPr>
        <w:t>, Latvijas Universitāte, Rīgas Tehniskā universitāte, Daugavpils Universitāte, Rīgas Stradiņa universitāte, SIA "Biznesa augstskola Turība". AIKNC kopš tā dibināšanas 1994.gadā nav saņēmis tiešo finansējumu no valsts budžeta. 2004.gada jūlijā saskaņā ar Komerclikuma prasībām AIKNC tika pārveidots no bezpeļņas organizācijas SIA par nodibinājumu.</w:t>
      </w:r>
    </w:p>
    <w:p w:rsidR="00E102F3" w:rsidRDefault="00E102F3" w:rsidP="009055FB">
      <w:pPr>
        <w:spacing w:after="0" w:line="240" w:lineRule="auto"/>
        <w:ind w:firstLine="720"/>
        <w:jc w:val="both"/>
        <w:rPr>
          <w:rFonts w:ascii="Times New Roman" w:hAnsi="Times New Roman" w:cs="Times New Roman"/>
          <w:iCs/>
          <w:sz w:val="26"/>
          <w:szCs w:val="26"/>
        </w:rPr>
      </w:pPr>
      <w:r w:rsidRPr="00E102F3">
        <w:rPr>
          <w:rFonts w:ascii="Times New Roman" w:hAnsi="Times New Roman" w:cs="Times New Roman"/>
          <w:iCs/>
          <w:sz w:val="26"/>
          <w:szCs w:val="26"/>
        </w:rPr>
        <w:t>Saskaņā ar AIKNC statūtiem</w:t>
      </w:r>
      <w:r>
        <w:rPr>
          <w:rStyle w:val="FootnoteReference"/>
          <w:rFonts w:ascii="Times New Roman" w:hAnsi="Times New Roman" w:cs="Times New Roman"/>
          <w:iCs/>
          <w:sz w:val="26"/>
          <w:szCs w:val="26"/>
        </w:rPr>
        <w:footnoteReference w:id="5"/>
      </w:r>
      <w:r>
        <w:rPr>
          <w:rFonts w:ascii="Times New Roman" w:hAnsi="Times New Roman" w:cs="Times New Roman"/>
          <w:iCs/>
          <w:sz w:val="26"/>
          <w:szCs w:val="26"/>
        </w:rPr>
        <w:t>, tā v</w:t>
      </w:r>
      <w:r w:rsidRPr="00E102F3">
        <w:rPr>
          <w:rFonts w:ascii="Times New Roman" w:hAnsi="Times New Roman" w:cs="Times New Roman"/>
          <w:iCs/>
          <w:sz w:val="26"/>
          <w:szCs w:val="26"/>
        </w:rPr>
        <w:t xml:space="preserve">alde sastāv no astoņiem </w:t>
      </w:r>
      <w:r>
        <w:rPr>
          <w:rFonts w:ascii="Times New Roman" w:hAnsi="Times New Roman" w:cs="Times New Roman"/>
          <w:iCs/>
          <w:sz w:val="26"/>
          <w:szCs w:val="26"/>
        </w:rPr>
        <w:t>v</w:t>
      </w:r>
      <w:r w:rsidRPr="00E102F3">
        <w:rPr>
          <w:rFonts w:ascii="Times New Roman" w:hAnsi="Times New Roman" w:cs="Times New Roman"/>
          <w:iCs/>
          <w:sz w:val="26"/>
          <w:szCs w:val="26"/>
        </w:rPr>
        <w:t>aldes</w:t>
      </w:r>
      <w:r>
        <w:rPr>
          <w:rFonts w:ascii="Times New Roman" w:hAnsi="Times New Roman" w:cs="Times New Roman"/>
          <w:iCs/>
          <w:sz w:val="26"/>
          <w:szCs w:val="26"/>
        </w:rPr>
        <w:t xml:space="preserve"> locekļiem. Valdes locekļus uz trim</w:t>
      </w:r>
      <w:r w:rsidRPr="00E102F3">
        <w:rPr>
          <w:rFonts w:ascii="Times New Roman" w:hAnsi="Times New Roman" w:cs="Times New Roman"/>
          <w:iCs/>
          <w:sz w:val="26"/>
          <w:szCs w:val="26"/>
        </w:rPr>
        <w:t xml:space="preserve"> gadiem ieceļ ar AIKNC padomes, kuras sastāvā ir 12 dalībnieki no Latvijas Universitātes, Rīgas Tehniskā</w:t>
      </w:r>
      <w:r>
        <w:rPr>
          <w:rFonts w:ascii="Times New Roman" w:hAnsi="Times New Roman" w:cs="Times New Roman"/>
          <w:iCs/>
          <w:sz w:val="26"/>
          <w:szCs w:val="26"/>
        </w:rPr>
        <w:t>s</w:t>
      </w:r>
      <w:r w:rsidRPr="00E102F3">
        <w:rPr>
          <w:rFonts w:ascii="Times New Roman" w:hAnsi="Times New Roman" w:cs="Times New Roman"/>
          <w:iCs/>
          <w:sz w:val="26"/>
          <w:szCs w:val="26"/>
        </w:rPr>
        <w:t xml:space="preserve"> universitātes, Daugavpils Universitātes, Rīgas Stradiņa universitātes, SIA „Biznesa augstskola Turība”, Latvijas Studentu apvienības, Latvijas Augstskolu profesoru asociācijas, Latvijas Zinātnieku savienības, Privāto augstskolu asociācijas, Latvijas Izglītības un zinātnes darbinieku arodbiedrības, Latvijas Brīvo arodbiedrību savienības, Latvijas Tirdzniecības un rūpniecības kameras (turpmāk tekstā – </w:t>
      </w:r>
      <w:r>
        <w:rPr>
          <w:rFonts w:ascii="Times New Roman" w:hAnsi="Times New Roman" w:cs="Times New Roman"/>
          <w:iCs/>
          <w:sz w:val="26"/>
          <w:szCs w:val="26"/>
        </w:rPr>
        <w:t>padome),  lēmumu. Pieci</w:t>
      </w:r>
      <w:r w:rsidRPr="00E102F3">
        <w:rPr>
          <w:rFonts w:ascii="Times New Roman" w:hAnsi="Times New Roman" w:cs="Times New Roman"/>
          <w:iCs/>
          <w:sz w:val="26"/>
          <w:szCs w:val="26"/>
        </w:rPr>
        <w:t xml:space="preserve"> valdes locekļ</w:t>
      </w:r>
      <w:r>
        <w:rPr>
          <w:rFonts w:ascii="Times New Roman" w:hAnsi="Times New Roman" w:cs="Times New Roman"/>
          <w:iCs/>
          <w:sz w:val="26"/>
          <w:szCs w:val="26"/>
        </w:rPr>
        <w:t>i</w:t>
      </w:r>
      <w:r w:rsidRPr="00E102F3">
        <w:rPr>
          <w:rFonts w:ascii="Times New Roman" w:hAnsi="Times New Roman" w:cs="Times New Roman"/>
          <w:iCs/>
          <w:sz w:val="26"/>
          <w:szCs w:val="26"/>
        </w:rPr>
        <w:t>, pa vienam kandidātam no katras augstskolas, deleģē</w:t>
      </w:r>
      <w:r>
        <w:rPr>
          <w:rFonts w:ascii="Times New Roman" w:hAnsi="Times New Roman" w:cs="Times New Roman"/>
          <w:iCs/>
          <w:sz w:val="26"/>
          <w:szCs w:val="26"/>
        </w:rPr>
        <w:t>ti no</w:t>
      </w:r>
      <w:r w:rsidRPr="00E102F3">
        <w:rPr>
          <w:rFonts w:ascii="Times New Roman" w:hAnsi="Times New Roman" w:cs="Times New Roman"/>
          <w:iCs/>
          <w:sz w:val="26"/>
          <w:szCs w:val="26"/>
        </w:rPr>
        <w:t xml:space="preserve"> Latvijas Universitāte</w:t>
      </w:r>
      <w:r>
        <w:rPr>
          <w:rFonts w:ascii="Times New Roman" w:hAnsi="Times New Roman" w:cs="Times New Roman"/>
          <w:iCs/>
          <w:sz w:val="26"/>
          <w:szCs w:val="26"/>
        </w:rPr>
        <w:t>s</w:t>
      </w:r>
      <w:r w:rsidRPr="00E102F3">
        <w:rPr>
          <w:rFonts w:ascii="Times New Roman" w:hAnsi="Times New Roman" w:cs="Times New Roman"/>
          <w:iCs/>
          <w:sz w:val="26"/>
          <w:szCs w:val="26"/>
        </w:rPr>
        <w:t>, Rīgas Tehniskā</w:t>
      </w:r>
      <w:r>
        <w:rPr>
          <w:rFonts w:ascii="Times New Roman" w:hAnsi="Times New Roman" w:cs="Times New Roman"/>
          <w:iCs/>
          <w:sz w:val="26"/>
          <w:szCs w:val="26"/>
        </w:rPr>
        <w:t>s</w:t>
      </w:r>
      <w:r w:rsidRPr="00E102F3">
        <w:rPr>
          <w:rFonts w:ascii="Times New Roman" w:hAnsi="Times New Roman" w:cs="Times New Roman"/>
          <w:iCs/>
          <w:sz w:val="26"/>
          <w:szCs w:val="26"/>
        </w:rPr>
        <w:t xml:space="preserve"> universitāte</w:t>
      </w:r>
      <w:r>
        <w:rPr>
          <w:rFonts w:ascii="Times New Roman" w:hAnsi="Times New Roman" w:cs="Times New Roman"/>
          <w:iCs/>
          <w:sz w:val="26"/>
          <w:szCs w:val="26"/>
        </w:rPr>
        <w:t>s</w:t>
      </w:r>
      <w:r w:rsidRPr="00E102F3">
        <w:rPr>
          <w:rFonts w:ascii="Times New Roman" w:hAnsi="Times New Roman" w:cs="Times New Roman"/>
          <w:iCs/>
          <w:sz w:val="26"/>
          <w:szCs w:val="26"/>
        </w:rPr>
        <w:t>, Daugavpils Universitāte</w:t>
      </w:r>
      <w:r>
        <w:rPr>
          <w:rFonts w:ascii="Times New Roman" w:hAnsi="Times New Roman" w:cs="Times New Roman"/>
          <w:iCs/>
          <w:sz w:val="26"/>
          <w:szCs w:val="26"/>
        </w:rPr>
        <w:t>s</w:t>
      </w:r>
      <w:r w:rsidRPr="00E102F3">
        <w:rPr>
          <w:rFonts w:ascii="Times New Roman" w:hAnsi="Times New Roman" w:cs="Times New Roman"/>
          <w:iCs/>
          <w:sz w:val="26"/>
          <w:szCs w:val="26"/>
        </w:rPr>
        <w:t xml:space="preserve">, Rīgas Stradiņa </w:t>
      </w:r>
      <w:r>
        <w:rPr>
          <w:rFonts w:ascii="Times New Roman" w:hAnsi="Times New Roman" w:cs="Times New Roman"/>
          <w:iCs/>
          <w:sz w:val="26"/>
          <w:szCs w:val="26"/>
        </w:rPr>
        <w:t>u</w:t>
      </w:r>
      <w:r w:rsidRPr="00E102F3">
        <w:rPr>
          <w:rFonts w:ascii="Times New Roman" w:hAnsi="Times New Roman" w:cs="Times New Roman"/>
          <w:iCs/>
          <w:sz w:val="26"/>
          <w:szCs w:val="26"/>
        </w:rPr>
        <w:t>niversitāte</w:t>
      </w:r>
      <w:r>
        <w:rPr>
          <w:rFonts w:ascii="Times New Roman" w:hAnsi="Times New Roman" w:cs="Times New Roman"/>
          <w:iCs/>
          <w:sz w:val="26"/>
          <w:szCs w:val="26"/>
        </w:rPr>
        <w:t>s</w:t>
      </w:r>
      <w:r w:rsidRPr="00E102F3">
        <w:rPr>
          <w:rFonts w:ascii="Times New Roman" w:hAnsi="Times New Roman" w:cs="Times New Roman"/>
          <w:iCs/>
          <w:sz w:val="26"/>
          <w:szCs w:val="26"/>
        </w:rPr>
        <w:t>, SIA „Biznesa augstskola Turība”.</w:t>
      </w:r>
    </w:p>
    <w:p w:rsidR="00E102F3" w:rsidRDefault="00E102F3" w:rsidP="009055FB">
      <w:pPr>
        <w:spacing w:after="0" w:line="240" w:lineRule="auto"/>
        <w:ind w:firstLine="720"/>
        <w:jc w:val="both"/>
        <w:rPr>
          <w:rFonts w:ascii="Times New Roman" w:hAnsi="Times New Roman" w:cs="Times New Roman"/>
          <w:iCs/>
          <w:sz w:val="26"/>
          <w:szCs w:val="26"/>
        </w:rPr>
      </w:pPr>
    </w:p>
    <w:p w:rsidR="009067CF" w:rsidRDefault="009067CF" w:rsidP="009055FB">
      <w:pPr>
        <w:spacing w:after="0" w:line="240" w:lineRule="auto"/>
        <w:ind w:firstLine="720"/>
        <w:jc w:val="both"/>
        <w:rPr>
          <w:rFonts w:ascii="Times New Roman" w:hAnsi="Times New Roman" w:cs="Times New Roman"/>
          <w:iCs/>
          <w:sz w:val="26"/>
          <w:szCs w:val="26"/>
        </w:rPr>
      </w:pPr>
      <w:r>
        <w:rPr>
          <w:rFonts w:ascii="Times New Roman" w:hAnsi="Times New Roman" w:cs="Times New Roman"/>
          <w:iCs/>
          <w:sz w:val="26"/>
          <w:szCs w:val="26"/>
        </w:rPr>
        <w:t>IZM</w:t>
      </w:r>
      <w:r w:rsidRPr="00CC6E2E">
        <w:rPr>
          <w:rFonts w:ascii="Times New Roman" w:hAnsi="Times New Roman" w:cs="Times New Roman"/>
          <w:iCs/>
          <w:sz w:val="26"/>
          <w:szCs w:val="26"/>
        </w:rPr>
        <w:t xml:space="preserve"> ar AIKNC </w:t>
      </w:r>
      <w:r w:rsidR="00065B6B">
        <w:rPr>
          <w:rFonts w:ascii="Times New Roman" w:hAnsi="Times New Roman" w:cs="Times New Roman"/>
          <w:iCs/>
          <w:sz w:val="26"/>
          <w:szCs w:val="26"/>
        </w:rPr>
        <w:t>bija</w:t>
      </w:r>
      <w:r w:rsidR="00065B6B" w:rsidRPr="00CC6E2E">
        <w:rPr>
          <w:rFonts w:ascii="Times New Roman" w:hAnsi="Times New Roman" w:cs="Times New Roman"/>
          <w:iCs/>
          <w:sz w:val="26"/>
          <w:szCs w:val="26"/>
        </w:rPr>
        <w:t xml:space="preserve"> </w:t>
      </w:r>
      <w:r w:rsidRPr="00CC6E2E">
        <w:rPr>
          <w:rFonts w:ascii="Times New Roman" w:hAnsi="Times New Roman" w:cs="Times New Roman"/>
          <w:iCs/>
          <w:sz w:val="26"/>
          <w:szCs w:val="26"/>
        </w:rPr>
        <w:t>noslēgusi Deleģēšanas līgumu</w:t>
      </w:r>
      <w:r w:rsidR="00065B6B">
        <w:rPr>
          <w:rFonts w:ascii="Times New Roman" w:hAnsi="Times New Roman" w:cs="Times New Roman"/>
          <w:iCs/>
          <w:sz w:val="26"/>
          <w:szCs w:val="26"/>
        </w:rPr>
        <w:t xml:space="preserve"> uz trim gadiem</w:t>
      </w:r>
      <w:r w:rsidRPr="00CC6E2E">
        <w:rPr>
          <w:rFonts w:ascii="Times New Roman" w:hAnsi="Times New Roman" w:cs="Times New Roman"/>
          <w:iCs/>
          <w:sz w:val="26"/>
          <w:szCs w:val="26"/>
        </w:rPr>
        <w:t xml:space="preserve"> (2010.gada 6.oktobra līgums Nr.1-27/202), saskaņā ar kuru, AIKNC organizēja studiju programmu un </w:t>
      </w:r>
      <w:r>
        <w:rPr>
          <w:rFonts w:ascii="Times New Roman" w:hAnsi="Times New Roman" w:cs="Times New Roman"/>
          <w:iCs/>
          <w:sz w:val="26"/>
          <w:szCs w:val="26"/>
        </w:rPr>
        <w:t>augstskolu</w:t>
      </w:r>
      <w:r w:rsidRPr="00CC6E2E">
        <w:rPr>
          <w:rFonts w:ascii="Times New Roman" w:hAnsi="Times New Roman" w:cs="Times New Roman"/>
          <w:iCs/>
          <w:sz w:val="26"/>
          <w:szCs w:val="26"/>
        </w:rPr>
        <w:t xml:space="preserve"> akreditācijas procesu. AIKNC saņēma un pārbaudīja akreditācijai iesniegtos pieteikumus un pašnovērtējuma ziņojumus, no ārzemju un Latvijas ekspertiem veidoja novērtēšanas komisijas, kuras apstiprināja Augstākās izglītības programmu akreditācijas komisija vai/un</w:t>
      </w:r>
      <w:r>
        <w:rPr>
          <w:rFonts w:ascii="Times New Roman" w:hAnsi="Times New Roman" w:cs="Times New Roman"/>
          <w:iCs/>
          <w:sz w:val="26"/>
          <w:szCs w:val="26"/>
        </w:rPr>
        <w:t xml:space="preserve"> AIP</w:t>
      </w:r>
      <w:r w:rsidRPr="00CC6E2E">
        <w:rPr>
          <w:rFonts w:ascii="Times New Roman" w:hAnsi="Times New Roman" w:cs="Times New Roman"/>
          <w:iCs/>
          <w:sz w:val="26"/>
          <w:szCs w:val="26"/>
        </w:rPr>
        <w:t xml:space="preserve">, slēdza līgumus ar </w:t>
      </w:r>
      <w:r>
        <w:rPr>
          <w:rFonts w:ascii="Times New Roman" w:hAnsi="Times New Roman" w:cs="Times New Roman"/>
          <w:iCs/>
          <w:sz w:val="26"/>
          <w:szCs w:val="26"/>
        </w:rPr>
        <w:t>augstskolām</w:t>
      </w:r>
      <w:r w:rsidRPr="00CC6E2E">
        <w:rPr>
          <w:rFonts w:ascii="Times New Roman" w:hAnsi="Times New Roman" w:cs="Times New Roman"/>
          <w:iCs/>
          <w:sz w:val="26"/>
          <w:szCs w:val="26"/>
        </w:rPr>
        <w:t xml:space="preserve"> par novērtēšanas organizēšanu, organizēja novērtēšanas komisiju darbu, sagatavoja un iesniedza nepieciešamos dokumentus lēmuma pieņemšanai par augstskolas vai studiju programmas akreditāciju. Turklāt AIKNC nodrošināja akreditācijas komisijas darbu, </w:t>
      </w:r>
      <w:r w:rsidRPr="00CC6E2E">
        <w:rPr>
          <w:rFonts w:ascii="Times New Roman" w:hAnsi="Times New Roman" w:cs="Times New Roman"/>
          <w:iCs/>
          <w:sz w:val="26"/>
          <w:szCs w:val="26"/>
        </w:rPr>
        <w:lastRenderedPageBreak/>
        <w:t>sagatavoja izglītības un zinātnes ministram parakstīšanai un reģistrēja akreditācijas lapas.</w:t>
      </w:r>
    </w:p>
    <w:p w:rsidR="001C41D9" w:rsidRDefault="009067CF" w:rsidP="009055FB">
      <w:pPr>
        <w:pStyle w:val="Default"/>
        <w:ind w:firstLine="720"/>
        <w:jc w:val="both"/>
        <w:rPr>
          <w:sz w:val="26"/>
          <w:szCs w:val="26"/>
        </w:rPr>
      </w:pPr>
      <w:r w:rsidRPr="00CC6E2E">
        <w:rPr>
          <w:sz w:val="26"/>
          <w:szCs w:val="26"/>
        </w:rPr>
        <w:t>2010.gadā tika veikts AIKNC darbības starptautisks izvērtējums.</w:t>
      </w:r>
      <w:r>
        <w:rPr>
          <w:sz w:val="26"/>
          <w:szCs w:val="26"/>
        </w:rPr>
        <w:t xml:space="preserve"> </w:t>
      </w:r>
      <w:r w:rsidRPr="00CC6E2E">
        <w:rPr>
          <w:iCs/>
          <w:sz w:val="26"/>
          <w:szCs w:val="26"/>
        </w:rPr>
        <w:t xml:space="preserve">AIKNC novērtēšanu veica </w:t>
      </w:r>
      <w:r w:rsidRPr="00CC6E2E">
        <w:rPr>
          <w:sz w:val="26"/>
          <w:szCs w:val="26"/>
        </w:rPr>
        <w:t>starptautisku ekspertu grupa un</w:t>
      </w:r>
      <w:r w:rsidRPr="00CC6E2E">
        <w:rPr>
          <w:iCs/>
          <w:sz w:val="26"/>
          <w:szCs w:val="26"/>
        </w:rPr>
        <w:t xml:space="preserve"> koordinēja LDDK. Novērtēšanas gaitā, vienlaikus izsakot AIKNC atzinību par lielo ieguldījumu Latvijas augstākās izglītības kvalitātes </w:t>
      </w:r>
      <w:r w:rsidR="00467B7B">
        <w:rPr>
          <w:iCs/>
          <w:sz w:val="26"/>
          <w:szCs w:val="26"/>
        </w:rPr>
        <w:t>no</w:t>
      </w:r>
      <w:r w:rsidRPr="00CC6E2E">
        <w:rPr>
          <w:iCs/>
          <w:sz w:val="26"/>
          <w:szCs w:val="26"/>
        </w:rPr>
        <w:t>vērtēšanas sistēmas attīstībā, tika</w:t>
      </w:r>
      <w:r w:rsidRPr="00CC6E2E">
        <w:rPr>
          <w:sz w:val="26"/>
          <w:szCs w:val="26"/>
        </w:rPr>
        <w:t xml:space="preserve"> atzīts, ka AIKNC pilnībā izpilda tikai 2 no 8 izvirzītajiem kritērijiem</w:t>
      </w:r>
      <w:r w:rsidRPr="002D6CC1">
        <w:rPr>
          <w:rStyle w:val="FootnoteReference"/>
          <w:sz w:val="26"/>
          <w:szCs w:val="26"/>
        </w:rPr>
        <w:footnoteReference w:id="6"/>
      </w:r>
      <w:r w:rsidRPr="00CC6E2E">
        <w:rPr>
          <w:sz w:val="26"/>
          <w:szCs w:val="26"/>
        </w:rPr>
        <w:t xml:space="preserve">, līdz ar to EQAR reģistrā tas netika iekļauts, norādot uz tādiem trūkumiem, kā, piemēram, nepilnības ekspertu izvēles </w:t>
      </w:r>
      <w:r>
        <w:rPr>
          <w:sz w:val="26"/>
          <w:szCs w:val="26"/>
        </w:rPr>
        <w:t>procedūrā</w:t>
      </w:r>
      <w:r w:rsidRPr="00CC6E2E">
        <w:rPr>
          <w:sz w:val="26"/>
          <w:szCs w:val="26"/>
        </w:rPr>
        <w:t>, ieskaitot potenciālu interešu konfliktu iespējas un pieļautais formālisms šo ekspertu darbā</w:t>
      </w:r>
      <w:r w:rsidR="00467B7B">
        <w:rPr>
          <w:sz w:val="26"/>
          <w:szCs w:val="26"/>
        </w:rPr>
        <w:t xml:space="preserve"> un ekspertu darba kontroles trūkums</w:t>
      </w:r>
      <w:r w:rsidRPr="00CC6E2E">
        <w:rPr>
          <w:sz w:val="26"/>
          <w:szCs w:val="26"/>
        </w:rPr>
        <w:t>, kā arī tika norādīts uz finanšu un cilvēkresursu nepietiekamību.</w:t>
      </w:r>
    </w:p>
    <w:p w:rsidR="001C41D9" w:rsidRPr="00F95550" w:rsidRDefault="005757EE" w:rsidP="009055FB">
      <w:pPr>
        <w:pStyle w:val="Default"/>
        <w:ind w:firstLine="720"/>
        <w:jc w:val="both"/>
      </w:pPr>
      <w:r>
        <w:rPr>
          <w:sz w:val="26"/>
          <w:szCs w:val="26"/>
        </w:rPr>
        <w:t>AIKNC darbība jāvērtē kopējā Latvijas augstākās izglītības ārējās kvalitātes nodrošināšanas sistēmas</w:t>
      </w:r>
      <w:r w:rsidR="00FF4233">
        <w:rPr>
          <w:sz w:val="26"/>
          <w:szCs w:val="26"/>
        </w:rPr>
        <w:t xml:space="preserve"> retrospektīvā un perspektīvā</w:t>
      </w:r>
      <w:r>
        <w:rPr>
          <w:sz w:val="26"/>
          <w:szCs w:val="26"/>
        </w:rPr>
        <w:t xml:space="preserve"> attīstībā. Eiropas</w:t>
      </w:r>
      <w:r w:rsidR="00E07C8E">
        <w:rPr>
          <w:sz w:val="26"/>
          <w:szCs w:val="26"/>
        </w:rPr>
        <w:t xml:space="preserve"> Savienības</w:t>
      </w:r>
      <w:r>
        <w:rPr>
          <w:sz w:val="26"/>
          <w:szCs w:val="26"/>
        </w:rPr>
        <w:t xml:space="preserve"> padomes ieteikums Latvijai </w:t>
      </w:r>
      <w:r w:rsidR="00081D6C" w:rsidRPr="00F95550">
        <w:rPr>
          <w:bCs/>
          <w:sz w:val="26"/>
          <w:szCs w:val="26"/>
        </w:rPr>
        <w:t>(2014. gada 8. j</w:t>
      </w:r>
      <w:r w:rsidR="00081D6C" w:rsidRPr="00F95550">
        <w:rPr>
          <w:sz w:val="26"/>
          <w:szCs w:val="26"/>
        </w:rPr>
        <w:t>ūlijs</w:t>
      </w:r>
      <w:r w:rsidR="00081D6C" w:rsidRPr="00F95550">
        <w:rPr>
          <w:bCs/>
          <w:sz w:val="26"/>
          <w:szCs w:val="26"/>
        </w:rPr>
        <w:t>)</w:t>
      </w:r>
      <w:r w:rsidR="00081D6C" w:rsidRPr="00F95550">
        <w:rPr>
          <w:sz w:val="26"/>
          <w:szCs w:val="26"/>
        </w:rPr>
        <w:t xml:space="preserve"> </w:t>
      </w:r>
      <w:r w:rsidR="00081D6C" w:rsidRPr="00F95550">
        <w:rPr>
          <w:bCs/>
          <w:sz w:val="26"/>
          <w:szCs w:val="26"/>
        </w:rPr>
        <w:t>par Latvijas 2014. gada valsts reformu programmu un ar ko sniedz Padomes atzinumu par Latvijas 2014. gada stabilitātes programmu</w:t>
      </w:r>
      <w:r w:rsidR="00081D6C" w:rsidRPr="00F95550">
        <w:rPr>
          <w:sz w:val="26"/>
          <w:szCs w:val="26"/>
        </w:rPr>
        <w:t xml:space="preserve"> (2014/C 247/12)</w:t>
      </w:r>
      <w:r>
        <w:rPr>
          <w:sz w:val="26"/>
          <w:szCs w:val="26"/>
        </w:rPr>
        <w:t>,</w:t>
      </w:r>
      <w:r w:rsidR="00081D6C" w:rsidRPr="00F95550">
        <w:rPr>
          <w:sz w:val="26"/>
          <w:szCs w:val="26"/>
        </w:rPr>
        <w:t xml:space="preserve"> publicēts Eiropas Savienības Oficiālajā Vēstnesī C 247/63, (11) punktā atzīts, ka  Latvija nav guvusi panākumus starptautiski atzītas akreditācijas sistēmas izveidē</w:t>
      </w:r>
      <w:r w:rsidR="00E07C8E">
        <w:rPr>
          <w:rStyle w:val="FootnoteReference"/>
          <w:sz w:val="26"/>
          <w:szCs w:val="26"/>
        </w:rPr>
        <w:footnoteReference w:id="7"/>
      </w:r>
      <w:r w:rsidR="00081D6C" w:rsidRPr="00F95550">
        <w:rPr>
          <w:sz w:val="26"/>
          <w:szCs w:val="26"/>
        </w:rPr>
        <w:t xml:space="preserve">, līdz ar to akreditācijas funkciju atkārtota deleģēšana institūcijai, kuras darbības starptautiski ir neatzīta, radītu draudus augstākās izglītības ārējās kvalitātes nodrošināšanas sistēmas attīstībai.   </w:t>
      </w:r>
    </w:p>
    <w:p w:rsidR="009067CF" w:rsidRPr="00CC6E2E" w:rsidRDefault="009067CF" w:rsidP="009055FB">
      <w:pPr>
        <w:spacing w:after="0" w:line="240" w:lineRule="auto"/>
        <w:ind w:firstLine="720"/>
        <w:jc w:val="both"/>
        <w:rPr>
          <w:rFonts w:ascii="Times New Roman" w:hAnsi="Times New Roman" w:cs="Times New Roman"/>
          <w:iCs/>
          <w:sz w:val="26"/>
          <w:szCs w:val="26"/>
        </w:rPr>
      </w:pPr>
    </w:p>
    <w:p w:rsidR="00771474" w:rsidRDefault="0076340B" w:rsidP="009055FB">
      <w:pPr>
        <w:pStyle w:val="Heading3"/>
        <w:spacing w:before="0" w:line="240" w:lineRule="auto"/>
        <w:ind w:firstLine="720"/>
        <w:jc w:val="both"/>
        <w:rPr>
          <w:rFonts w:ascii="Times New Roman" w:hAnsi="Times New Roman" w:cs="Times New Roman"/>
          <w:b/>
          <w:noProof/>
          <w:color w:val="auto"/>
          <w:sz w:val="26"/>
          <w:szCs w:val="26"/>
        </w:rPr>
      </w:pPr>
      <w:bookmarkStart w:id="8" w:name="_Toc395890860"/>
      <w:r>
        <w:rPr>
          <w:rFonts w:ascii="Times New Roman" w:hAnsi="Times New Roman" w:cs="Times New Roman"/>
          <w:b/>
          <w:noProof/>
          <w:color w:val="auto"/>
          <w:sz w:val="26"/>
          <w:szCs w:val="26"/>
        </w:rPr>
        <w:t>2</w:t>
      </w:r>
      <w:r w:rsidR="001857F4">
        <w:rPr>
          <w:rFonts w:ascii="Times New Roman" w:hAnsi="Times New Roman" w:cs="Times New Roman"/>
          <w:b/>
          <w:noProof/>
          <w:color w:val="auto"/>
          <w:sz w:val="26"/>
          <w:szCs w:val="26"/>
        </w:rPr>
        <w:t>.1.</w:t>
      </w:r>
      <w:r w:rsidR="00985355">
        <w:rPr>
          <w:rFonts w:ascii="Times New Roman" w:hAnsi="Times New Roman" w:cs="Times New Roman"/>
          <w:b/>
          <w:noProof/>
          <w:color w:val="auto"/>
          <w:sz w:val="26"/>
          <w:szCs w:val="26"/>
        </w:rPr>
        <w:t>2</w:t>
      </w:r>
      <w:r w:rsidR="001857F4">
        <w:rPr>
          <w:rFonts w:ascii="Times New Roman" w:hAnsi="Times New Roman" w:cs="Times New Roman"/>
          <w:b/>
          <w:noProof/>
          <w:color w:val="auto"/>
          <w:sz w:val="26"/>
          <w:szCs w:val="26"/>
        </w:rPr>
        <w:t xml:space="preserve">. </w:t>
      </w:r>
      <w:r w:rsidR="003B7BF4">
        <w:rPr>
          <w:rFonts w:ascii="Times New Roman" w:hAnsi="Times New Roman" w:cs="Times New Roman"/>
          <w:b/>
          <w:noProof/>
          <w:color w:val="auto"/>
          <w:sz w:val="26"/>
          <w:szCs w:val="26"/>
        </w:rPr>
        <w:t>Studiju programmu l</w:t>
      </w:r>
      <w:r w:rsidR="006E5454" w:rsidRPr="001857F4">
        <w:rPr>
          <w:rFonts w:ascii="Times New Roman" w:hAnsi="Times New Roman" w:cs="Times New Roman"/>
          <w:b/>
          <w:noProof/>
          <w:color w:val="auto"/>
          <w:sz w:val="26"/>
          <w:szCs w:val="26"/>
        </w:rPr>
        <w:t>icencēšana</w:t>
      </w:r>
      <w:bookmarkEnd w:id="8"/>
      <w:r w:rsidR="006E5454" w:rsidRPr="001857F4">
        <w:rPr>
          <w:rFonts w:ascii="Times New Roman" w:hAnsi="Times New Roman" w:cs="Times New Roman"/>
          <w:b/>
          <w:noProof/>
          <w:color w:val="auto"/>
          <w:sz w:val="26"/>
          <w:szCs w:val="26"/>
        </w:rPr>
        <w:t xml:space="preserve"> </w:t>
      </w:r>
    </w:p>
    <w:p w:rsidR="00771474" w:rsidRDefault="0077147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2013.gada 25.aprīlī stājās spēkā </w:t>
      </w:r>
      <w:r w:rsidR="004F1E09">
        <w:rPr>
          <w:rFonts w:ascii="Times New Roman" w:hAnsi="Times New Roman" w:cs="Times New Roman"/>
          <w:bCs/>
          <w:noProof/>
          <w:sz w:val="26"/>
          <w:szCs w:val="26"/>
        </w:rPr>
        <w:t>MK</w:t>
      </w:r>
      <w:r>
        <w:rPr>
          <w:rFonts w:ascii="Times New Roman" w:hAnsi="Times New Roman" w:cs="Times New Roman"/>
          <w:bCs/>
          <w:noProof/>
          <w:sz w:val="26"/>
          <w:szCs w:val="26"/>
        </w:rPr>
        <w:t xml:space="preserve"> noteikumi Nr.230 “Studiju programmu licencēšanas noteikumi”</w:t>
      </w:r>
      <w:r w:rsidR="002C5558">
        <w:rPr>
          <w:rFonts w:ascii="Times New Roman" w:hAnsi="Times New Roman" w:cs="Times New Roman"/>
          <w:bCs/>
          <w:noProof/>
          <w:sz w:val="26"/>
          <w:szCs w:val="26"/>
        </w:rPr>
        <w:t xml:space="preserve"> (turpmāk – Licencēšanas noteikumi)</w:t>
      </w:r>
      <w:r>
        <w:rPr>
          <w:rFonts w:ascii="Times New Roman" w:hAnsi="Times New Roman" w:cs="Times New Roman"/>
          <w:bCs/>
          <w:noProof/>
          <w:sz w:val="26"/>
          <w:szCs w:val="26"/>
        </w:rPr>
        <w:t>, kuri</w:t>
      </w:r>
      <w:r w:rsidR="00F07634">
        <w:rPr>
          <w:rFonts w:ascii="Times New Roman" w:hAnsi="Times New Roman" w:cs="Times New Roman"/>
          <w:bCs/>
          <w:noProof/>
          <w:sz w:val="26"/>
          <w:szCs w:val="26"/>
        </w:rPr>
        <w:t xml:space="preserve"> </w:t>
      </w:r>
      <w:r>
        <w:rPr>
          <w:rFonts w:ascii="Times New Roman" w:hAnsi="Times New Roman" w:cs="Times New Roman"/>
          <w:bCs/>
          <w:noProof/>
          <w:sz w:val="26"/>
          <w:szCs w:val="26"/>
        </w:rPr>
        <w:t>noteica jaunu studiju programmu licencēšanas kārt</w:t>
      </w:r>
      <w:r w:rsidR="00F07634">
        <w:rPr>
          <w:rFonts w:ascii="Times New Roman" w:hAnsi="Times New Roman" w:cs="Times New Roman"/>
          <w:bCs/>
          <w:noProof/>
          <w:sz w:val="26"/>
          <w:szCs w:val="26"/>
        </w:rPr>
        <w:t>ību:</w:t>
      </w:r>
    </w:p>
    <w:p w:rsidR="00F07634" w:rsidRDefault="00F0763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1) studiju programmu licencēšanu organizē </w:t>
      </w:r>
      <w:r w:rsidR="004F1E09">
        <w:rPr>
          <w:rFonts w:ascii="Times New Roman" w:hAnsi="Times New Roman" w:cs="Times New Roman"/>
          <w:bCs/>
          <w:noProof/>
          <w:sz w:val="26"/>
          <w:szCs w:val="26"/>
        </w:rPr>
        <w:t>IZM</w:t>
      </w:r>
      <w:r>
        <w:rPr>
          <w:rFonts w:ascii="Times New Roman" w:hAnsi="Times New Roman" w:cs="Times New Roman"/>
          <w:bCs/>
          <w:noProof/>
          <w:sz w:val="26"/>
          <w:szCs w:val="26"/>
        </w:rPr>
        <w:t>;</w:t>
      </w:r>
    </w:p>
    <w:p w:rsidR="00771474" w:rsidRDefault="00F0763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2) lēmumu par licencēšanu pieņem Studiju programmu licencēšanas komisija, kuras sastāvā ir tie paši Studiju akred</w:t>
      </w:r>
      <w:r w:rsidR="003B7BF4">
        <w:rPr>
          <w:rFonts w:ascii="Times New Roman" w:hAnsi="Times New Roman" w:cs="Times New Roman"/>
          <w:bCs/>
          <w:noProof/>
          <w:sz w:val="26"/>
          <w:szCs w:val="26"/>
        </w:rPr>
        <w:t>itācijas komisijas locekļi, tād</w:t>
      </w:r>
      <w:r w:rsidR="00D54186">
        <w:rPr>
          <w:rFonts w:ascii="Times New Roman" w:hAnsi="Times New Roman" w:cs="Times New Roman"/>
          <w:bCs/>
          <w:noProof/>
          <w:sz w:val="26"/>
          <w:szCs w:val="26"/>
        </w:rPr>
        <w:t>ē</w:t>
      </w:r>
      <w:r>
        <w:rPr>
          <w:rFonts w:ascii="Times New Roman" w:hAnsi="Times New Roman" w:cs="Times New Roman"/>
          <w:bCs/>
          <w:noProof/>
          <w:sz w:val="26"/>
          <w:szCs w:val="26"/>
        </w:rPr>
        <w:t>jādi apliecinot licencēšanas un akreditācijas tiešo sasaisti;</w:t>
      </w:r>
    </w:p>
    <w:p w:rsidR="00F07634" w:rsidRDefault="00F0763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3) </w:t>
      </w:r>
      <w:r w:rsidR="004F1E09">
        <w:rPr>
          <w:rFonts w:ascii="Times New Roman" w:hAnsi="Times New Roman" w:cs="Times New Roman"/>
          <w:bCs/>
          <w:noProof/>
          <w:sz w:val="26"/>
          <w:szCs w:val="26"/>
        </w:rPr>
        <w:t>l</w:t>
      </w:r>
      <w:r>
        <w:rPr>
          <w:rFonts w:ascii="Times New Roman" w:hAnsi="Times New Roman" w:cs="Times New Roman"/>
          <w:bCs/>
          <w:noProof/>
          <w:sz w:val="26"/>
          <w:szCs w:val="26"/>
        </w:rPr>
        <w:t>icencējot studiju programmu akreditētajā studiju virzienu, tā atbilst akreditētās studiju programmas nosacījumam;</w:t>
      </w:r>
    </w:p>
    <w:p w:rsidR="00F07634" w:rsidRDefault="00F0763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4) licence ir beztermiņa</w:t>
      </w:r>
      <w:r w:rsidR="00BF3936">
        <w:rPr>
          <w:rFonts w:ascii="Times New Roman" w:hAnsi="Times New Roman" w:cs="Times New Roman"/>
          <w:bCs/>
          <w:noProof/>
          <w:sz w:val="26"/>
          <w:szCs w:val="26"/>
        </w:rPr>
        <w:t xml:space="preserve"> </w:t>
      </w:r>
      <w:r w:rsidR="00BF3936" w:rsidRPr="00BF3936">
        <w:rPr>
          <w:rFonts w:ascii="Times New Roman" w:hAnsi="Times New Roman" w:cs="Times New Roman"/>
          <w:bCs/>
          <w:noProof/>
          <w:sz w:val="26"/>
          <w:szCs w:val="26"/>
        </w:rPr>
        <w:t>vai ir spēkā līdz tās anulēšanai Augstskolu likumā noteiktajos gadījumos</w:t>
      </w:r>
      <w:r>
        <w:rPr>
          <w:rFonts w:ascii="Times New Roman" w:hAnsi="Times New Roman" w:cs="Times New Roman"/>
          <w:bCs/>
          <w:noProof/>
          <w:sz w:val="26"/>
          <w:szCs w:val="26"/>
        </w:rPr>
        <w:t>;</w:t>
      </w:r>
    </w:p>
    <w:p w:rsidR="00F07634" w:rsidRDefault="00F0763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5) iesniedzot licencēšanai studiju programmu, kura atbilst </w:t>
      </w:r>
      <w:r w:rsidR="004F1E09">
        <w:rPr>
          <w:rFonts w:ascii="Times New Roman" w:hAnsi="Times New Roman" w:cs="Times New Roman"/>
          <w:bCs/>
          <w:noProof/>
          <w:sz w:val="26"/>
          <w:szCs w:val="26"/>
        </w:rPr>
        <w:t>augstskolas</w:t>
      </w:r>
      <w:r>
        <w:rPr>
          <w:rFonts w:ascii="Times New Roman" w:hAnsi="Times New Roman" w:cs="Times New Roman"/>
          <w:bCs/>
          <w:noProof/>
          <w:sz w:val="26"/>
          <w:szCs w:val="26"/>
        </w:rPr>
        <w:t xml:space="preserve"> jaunajam studiju virzienam, vispirms </w:t>
      </w:r>
      <w:r w:rsidR="004F1E09">
        <w:rPr>
          <w:rFonts w:ascii="Times New Roman" w:hAnsi="Times New Roman" w:cs="Times New Roman"/>
          <w:bCs/>
          <w:noProof/>
          <w:sz w:val="26"/>
          <w:szCs w:val="26"/>
        </w:rPr>
        <w:t>MK</w:t>
      </w:r>
      <w:r>
        <w:rPr>
          <w:rFonts w:ascii="Times New Roman" w:hAnsi="Times New Roman" w:cs="Times New Roman"/>
          <w:bCs/>
          <w:noProof/>
          <w:sz w:val="26"/>
          <w:szCs w:val="26"/>
        </w:rPr>
        <w:t xml:space="preserve"> pieņem lēmumu par jauna studiju virziena atvēršanu vai par atteikumu atvērt studiju</w:t>
      </w:r>
      <w:r w:rsidR="00BF3936">
        <w:rPr>
          <w:rFonts w:ascii="Times New Roman" w:hAnsi="Times New Roman" w:cs="Times New Roman"/>
          <w:bCs/>
          <w:noProof/>
          <w:sz w:val="26"/>
          <w:szCs w:val="26"/>
        </w:rPr>
        <w:t xml:space="preserve"> </w:t>
      </w:r>
      <w:r>
        <w:rPr>
          <w:rFonts w:ascii="Times New Roman" w:hAnsi="Times New Roman" w:cs="Times New Roman"/>
          <w:bCs/>
          <w:noProof/>
          <w:sz w:val="26"/>
          <w:szCs w:val="26"/>
        </w:rPr>
        <w:t>virzienu, un tikai pēc MK lēmuma Studiju programmu licencēšanas komisija lemj par studiju programmas licencēšanu;</w:t>
      </w:r>
    </w:p>
    <w:p w:rsidR="00F07634" w:rsidRDefault="00F0763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6) studiju programmas izvērtēšanai tiek nozīmēts eksperts;</w:t>
      </w:r>
    </w:p>
    <w:p w:rsidR="00F07634" w:rsidRDefault="00F07634"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7) licencēšanas izdevumus, t.sk. eksperta darba samaksu, sedz no attiecīgās augstākās izglītības institūcijas līdzekļiem.</w:t>
      </w:r>
    </w:p>
    <w:p w:rsidR="00C856B3" w:rsidRPr="00625425" w:rsidRDefault="00C856B3" w:rsidP="009055FB">
      <w:pPr>
        <w:spacing w:after="0" w:line="240" w:lineRule="auto"/>
        <w:ind w:firstLine="284"/>
        <w:jc w:val="both"/>
        <w:rPr>
          <w:rFonts w:ascii="Times New Roman" w:hAnsi="Times New Roman" w:cs="Times New Roman"/>
          <w:bCs/>
          <w:noProof/>
          <w:sz w:val="26"/>
          <w:szCs w:val="26"/>
        </w:rPr>
      </w:pPr>
      <w:r w:rsidRPr="00625425">
        <w:rPr>
          <w:rFonts w:ascii="Times New Roman" w:hAnsi="Times New Roman" w:cs="Times New Roman"/>
          <w:bCs/>
          <w:noProof/>
          <w:sz w:val="26"/>
          <w:szCs w:val="26"/>
        </w:rPr>
        <w:lastRenderedPageBreak/>
        <w:t>Jaunā studiju programmu licencēšanas kārtība nosaka stingrākas prasības studiju programmu licencēšanai, jo jaunais regulējums paredz, ka studiju programma pēc licencēšanas tiek iekļauta akreditētā studiju virzienā</w:t>
      </w:r>
      <w:r w:rsidR="001971A6" w:rsidRPr="00625425">
        <w:rPr>
          <w:rFonts w:ascii="Times New Roman" w:hAnsi="Times New Roman" w:cs="Times New Roman"/>
          <w:bCs/>
          <w:noProof/>
          <w:sz w:val="26"/>
          <w:szCs w:val="26"/>
        </w:rPr>
        <w:t>.</w:t>
      </w:r>
      <w:r w:rsidRPr="00625425">
        <w:rPr>
          <w:rFonts w:ascii="Times New Roman" w:hAnsi="Times New Roman" w:cs="Times New Roman"/>
          <w:bCs/>
          <w:noProof/>
          <w:sz w:val="26"/>
          <w:szCs w:val="26"/>
        </w:rPr>
        <w:t xml:space="preserve"> </w:t>
      </w:r>
      <w:r w:rsidR="001971A6" w:rsidRPr="00625425">
        <w:rPr>
          <w:rFonts w:ascii="Times New Roman" w:hAnsi="Times New Roman" w:cs="Times New Roman"/>
          <w:bCs/>
          <w:noProof/>
          <w:sz w:val="26"/>
          <w:szCs w:val="26"/>
        </w:rPr>
        <w:t>Tā kā</w:t>
      </w:r>
      <w:r w:rsidRPr="00625425">
        <w:rPr>
          <w:rFonts w:ascii="Times New Roman" w:hAnsi="Times New Roman" w:cs="Times New Roman"/>
          <w:bCs/>
          <w:noProof/>
          <w:sz w:val="26"/>
          <w:szCs w:val="26"/>
        </w:rPr>
        <w:t xml:space="preserve"> studiju programmu akreditācija</w:t>
      </w:r>
      <w:r w:rsidR="001971A6" w:rsidRPr="00625425">
        <w:rPr>
          <w:rFonts w:ascii="Times New Roman" w:hAnsi="Times New Roman" w:cs="Times New Roman"/>
          <w:bCs/>
          <w:noProof/>
          <w:sz w:val="26"/>
          <w:szCs w:val="26"/>
        </w:rPr>
        <w:t xml:space="preserve"> ir atcelta</w:t>
      </w:r>
      <w:r w:rsidRPr="00625425">
        <w:rPr>
          <w:rFonts w:ascii="Times New Roman" w:hAnsi="Times New Roman" w:cs="Times New Roman"/>
          <w:bCs/>
          <w:noProof/>
          <w:sz w:val="26"/>
          <w:szCs w:val="26"/>
        </w:rPr>
        <w:t>, bet katru studiju virzienu akreditēt no jauna pēc jaunas studiju programm</w:t>
      </w:r>
      <w:r w:rsidR="001971A6" w:rsidRPr="00625425">
        <w:rPr>
          <w:rFonts w:ascii="Times New Roman" w:hAnsi="Times New Roman" w:cs="Times New Roman"/>
          <w:bCs/>
          <w:noProof/>
          <w:sz w:val="26"/>
          <w:szCs w:val="26"/>
        </w:rPr>
        <w:t>as</w:t>
      </w:r>
      <w:r w:rsidRPr="00625425">
        <w:rPr>
          <w:rFonts w:ascii="Times New Roman" w:hAnsi="Times New Roman" w:cs="Times New Roman"/>
          <w:bCs/>
          <w:noProof/>
          <w:sz w:val="26"/>
          <w:szCs w:val="26"/>
        </w:rPr>
        <w:t xml:space="preserve"> licencēšanas n</w:t>
      </w:r>
      <w:r w:rsidR="001971A6" w:rsidRPr="00625425">
        <w:rPr>
          <w:rFonts w:ascii="Times New Roman" w:hAnsi="Times New Roman" w:cs="Times New Roman"/>
          <w:bCs/>
          <w:noProof/>
          <w:sz w:val="26"/>
          <w:szCs w:val="26"/>
        </w:rPr>
        <w:t xml:space="preserve">av </w:t>
      </w:r>
      <w:r w:rsidRPr="00625425">
        <w:rPr>
          <w:rFonts w:ascii="Times New Roman" w:hAnsi="Times New Roman" w:cs="Times New Roman"/>
          <w:bCs/>
          <w:noProof/>
          <w:sz w:val="26"/>
          <w:szCs w:val="26"/>
        </w:rPr>
        <w:t>paredzē</w:t>
      </w:r>
      <w:r w:rsidR="001971A6" w:rsidRPr="00625425">
        <w:rPr>
          <w:rFonts w:ascii="Times New Roman" w:hAnsi="Times New Roman" w:cs="Times New Roman"/>
          <w:bCs/>
          <w:noProof/>
          <w:sz w:val="26"/>
          <w:szCs w:val="26"/>
        </w:rPr>
        <w:t>ts</w:t>
      </w:r>
      <w:r w:rsidRPr="00625425">
        <w:rPr>
          <w:rFonts w:ascii="Times New Roman" w:hAnsi="Times New Roman" w:cs="Times New Roman"/>
          <w:bCs/>
          <w:noProof/>
          <w:sz w:val="26"/>
          <w:szCs w:val="26"/>
        </w:rPr>
        <w:t>.</w:t>
      </w:r>
    </w:p>
    <w:p w:rsidR="00771474" w:rsidRDefault="00C856B3" w:rsidP="00270A10">
      <w:pPr>
        <w:spacing w:after="0" w:line="240" w:lineRule="auto"/>
        <w:ind w:firstLine="360"/>
        <w:jc w:val="both"/>
        <w:rPr>
          <w:rFonts w:ascii="Times New Roman" w:hAnsi="Times New Roman" w:cs="Times New Roman"/>
          <w:bCs/>
          <w:noProof/>
          <w:sz w:val="26"/>
          <w:szCs w:val="26"/>
        </w:rPr>
      </w:pPr>
      <w:r w:rsidRPr="00625425">
        <w:rPr>
          <w:rFonts w:ascii="Times New Roman" w:hAnsi="Times New Roman" w:cs="Times New Roman"/>
          <w:bCs/>
          <w:noProof/>
          <w:sz w:val="26"/>
          <w:szCs w:val="26"/>
        </w:rPr>
        <w:t>Sākotnēji studiju programmu licencēšana bija tiesības uzsākt īstenot studiju programmu, jaunais regulējums paredz ne tikai piešķirt tiesības īstenot studiju programmu, bet arī paredzēt studiju programmai noteiktu kvalitāti, jo studiju programmai tiek piešķirta akreditācija, kas ir studiju virzienam, k</w:t>
      </w:r>
      <w:r w:rsidR="00270A10">
        <w:rPr>
          <w:rFonts w:ascii="Times New Roman" w:hAnsi="Times New Roman" w:cs="Times New Roman"/>
          <w:bCs/>
          <w:noProof/>
          <w:sz w:val="26"/>
          <w:szCs w:val="26"/>
        </w:rPr>
        <w:t>uram studiju programma atbilst.</w:t>
      </w:r>
    </w:p>
    <w:p w:rsidR="009067CF" w:rsidRDefault="009067CF"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Studiju programmu licencēšanas kārtība līdz 2013.gada aprīlim tika noteikta MK noteikumos Nr.650 “Augstākās izglītības programmu licencēšanas kārtība”. Saskaņā ar šiem noteikumiem licencēšanu organizēja IZM un lēmumu pieņēma Augstākās izglītības programmu licencēšan</w:t>
      </w:r>
      <w:r w:rsidR="008155BD">
        <w:rPr>
          <w:rFonts w:ascii="Times New Roman" w:hAnsi="Times New Roman" w:cs="Times New Roman"/>
          <w:bCs/>
          <w:noProof/>
          <w:sz w:val="26"/>
          <w:szCs w:val="26"/>
        </w:rPr>
        <w:t>a</w:t>
      </w:r>
      <w:r>
        <w:rPr>
          <w:rFonts w:ascii="Times New Roman" w:hAnsi="Times New Roman" w:cs="Times New Roman"/>
          <w:bCs/>
          <w:noProof/>
          <w:sz w:val="26"/>
          <w:szCs w:val="26"/>
        </w:rPr>
        <w:t xml:space="preserve">s komisija, kuras sastāvā bija tikai  IZM pārstāvji. </w:t>
      </w:r>
      <w:r w:rsidR="00BE2840">
        <w:rPr>
          <w:rFonts w:ascii="Times New Roman" w:hAnsi="Times New Roman" w:cs="Times New Roman"/>
          <w:bCs/>
          <w:noProof/>
          <w:sz w:val="26"/>
          <w:szCs w:val="26"/>
        </w:rPr>
        <w:t xml:space="preserve">Licence tika izsniegta uz trim gadiem un pēc licences saņemšanas divu gadu laikā bija nepiciešams studiju programmu akreditēt. Savukārt </w:t>
      </w:r>
      <w:r w:rsidR="005E495C">
        <w:rPr>
          <w:rFonts w:ascii="Times New Roman" w:hAnsi="Times New Roman" w:cs="Times New Roman"/>
          <w:bCs/>
          <w:noProof/>
          <w:sz w:val="26"/>
          <w:szCs w:val="26"/>
        </w:rPr>
        <w:t xml:space="preserve">šobrīd spēkā </w:t>
      </w:r>
      <w:r w:rsidR="00BE2840">
        <w:rPr>
          <w:rFonts w:ascii="Times New Roman" w:hAnsi="Times New Roman" w:cs="Times New Roman"/>
          <w:bCs/>
          <w:noProof/>
          <w:sz w:val="26"/>
          <w:szCs w:val="26"/>
        </w:rPr>
        <w:t xml:space="preserve">esošie </w:t>
      </w:r>
      <w:r w:rsidR="002C5558">
        <w:rPr>
          <w:rFonts w:ascii="Times New Roman" w:hAnsi="Times New Roman" w:cs="Times New Roman"/>
          <w:bCs/>
          <w:noProof/>
          <w:sz w:val="26"/>
          <w:szCs w:val="26"/>
        </w:rPr>
        <w:t xml:space="preserve">Licencēšanas </w:t>
      </w:r>
      <w:r w:rsidR="00BE2840">
        <w:rPr>
          <w:rFonts w:ascii="Times New Roman" w:hAnsi="Times New Roman" w:cs="Times New Roman"/>
          <w:bCs/>
          <w:noProof/>
          <w:sz w:val="26"/>
          <w:szCs w:val="26"/>
        </w:rPr>
        <w:t>noteikumi nosaka, ka licence ir beztermiņa un</w:t>
      </w:r>
      <w:r w:rsidR="005E495C">
        <w:rPr>
          <w:rFonts w:ascii="Times New Roman" w:hAnsi="Times New Roman" w:cs="Times New Roman"/>
          <w:bCs/>
          <w:noProof/>
          <w:sz w:val="26"/>
          <w:szCs w:val="26"/>
        </w:rPr>
        <w:t>,</w:t>
      </w:r>
      <w:r w:rsidR="00BE2840">
        <w:rPr>
          <w:rFonts w:ascii="Times New Roman" w:hAnsi="Times New Roman" w:cs="Times New Roman"/>
          <w:bCs/>
          <w:noProof/>
          <w:sz w:val="26"/>
          <w:szCs w:val="26"/>
        </w:rPr>
        <w:t xml:space="preserve"> licencējot studiju programmu akreditētajā studiju virzienā, nav nepieciešam</w:t>
      </w:r>
      <w:r w:rsidR="005E495C">
        <w:rPr>
          <w:rFonts w:ascii="Times New Roman" w:hAnsi="Times New Roman" w:cs="Times New Roman"/>
          <w:bCs/>
          <w:noProof/>
          <w:sz w:val="26"/>
          <w:szCs w:val="26"/>
        </w:rPr>
        <w:t>a</w:t>
      </w:r>
      <w:r w:rsidR="00BE2840">
        <w:rPr>
          <w:rFonts w:ascii="Times New Roman" w:hAnsi="Times New Roman" w:cs="Times New Roman"/>
          <w:bCs/>
          <w:noProof/>
          <w:sz w:val="26"/>
          <w:szCs w:val="26"/>
        </w:rPr>
        <w:t xml:space="preserve"> </w:t>
      </w:r>
      <w:r w:rsidR="005E495C">
        <w:rPr>
          <w:rFonts w:ascii="Times New Roman" w:hAnsi="Times New Roman" w:cs="Times New Roman"/>
          <w:bCs/>
          <w:noProof/>
          <w:sz w:val="26"/>
          <w:szCs w:val="26"/>
        </w:rPr>
        <w:t>šīs</w:t>
      </w:r>
      <w:r w:rsidR="00BE2840">
        <w:rPr>
          <w:rFonts w:ascii="Times New Roman" w:hAnsi="Times New Roman" w:cs="Times New Roman"/>
          <w:bCs/>
          <w:noProof/>
          <w:sz w:val="26"/>
          <w:szCs w:val="26"/>
        </w:rPr>
        <w:t xml:space="preserve"> studiju programm</w:t>
      </w:r>
      <w:r w:rsidR="005E495C">
        <w:rPr>
          <w:rFonts w:ascii="Times New Roman" w:hAnsi="Times New Roman" w:cs="Times New Roman"/>
          <w:bCs/>
          <w:noProof/>
          <w:sz w:val="26"/>
          <w:szCs w:val="26"/>
        </w:rPr>
        <w:t>as</w:t>
      </w:r>
      <w:r w:rsidR="00BE2840">
        <w:rPr>
          <w:rFonts w:ascii="Times New Roman" w:hAnsi="Times New Roman" w:cs="Times New Roman"/>
          <w:bCs/>
          <w:noProof/>
          <w:sz w:val="26"/>
          <w:szCs w:val="26"/>
        </w:rPr>
        <w:t xml:space="preserve"> </w:t>
      </w:r>
      <w:r w:rsidR="005E495C">
        <w:rPr>
          <w:rFonts w:ascii="Times New Roman" w:hAnsi="Times New Roman" w:cs="Times New Roman"/>
          <w:bCs/>
          <w:noProof/>
          <w:sz w:val="26"/>
          <w:szCs w:val="26"/>
        </w:rPr>
        <w:t xml:space="preserve"> akreditācija</w:t>
      </w:r>
      <w:r w:rsidR="00BE2840">
        <w:rPr>
          <w:rFonts w:ascii="Times New Roman" w:hAnsi="Times New Roman" w:cs="Times New Roman"/>
          <w:bCs/>
          <w:noProof/>
          <w:sz w:val="26"/>
          <w:szCs w:val="26"/>
        </w:rPr>
        <w:t>, jo tai ir tās pašas tiesības kā akreditētajai studiju programmai</w:t>
      </w:r>
      <w:r w:rsidR="005E495C">
        <w:rPr>
          <w:rFonts w:ascii="Times New Roman" w:hAnsi="Times New Roman" w:cs="Times New Roman"/>
          <w:bCs/>
          <w:noProof/>
          <w:sz w:val="26"/>
          <w:szCs w:val="26"/>
        </w:rPr>
        <w:t xml:space="preserve"> līdz studiju virziena akreditācijas termiņa beigām</w:t>
      </w:r>
      <w:r w:rsidR="002C5558">
        <w:rPr>
          <w:rFonts w:ascii="Times New Roman" w:hAnsi="Times New Roman" w:cs="Times New Roman"/>
          <w:bCs/>
          <w:noProof/>
          <w:sz w:val="26"/>
          <w:szCs w:val="26"/>
        </w:rPr>
        <w:t>.</w:t>
      </w:r>
      <w:r w:rsidR="00BE2840">
        <w:rPr>
          <w:rFonts w:ascii="Times New Roman" w:hAnsi="Times New Roman" w:cs="Times New Roman"/>
          <w:bCs/>
          <w:noProof/>
          <w:sz w:val="26"/>
          <w:szCs w:val="26"/>
        </w:rPr>
        <w:t xml:space="preserve"> </w:t>
      </w:r>
      <w:r w:rsidR="002C5558">
        <w:rPr>
          <w:rFonts w:ascii="Times New Roman" w:hAnsi="Times New Roman" w:cs="Times New Roman"/>
          <w:bCs/>
          <w:noProof/>
          <w:sz w:val="26"/>
          <w:szCs w:val="26"/>
        </w:rPr>
        <w:t>L</w:t>
      </w:r>
      <w:r w:rsidR="00BE2840">
        <w:rPr>
          <w:rFonts w:ascii="Times New Roman" w:hAnsi="Times New Roman" w:cs="Times New Roman"/>
          <w:bCs/>
          <w:noProof/>
          <w:sz w:val="26"/>
          <w:szCs w:val="26"/>
        </w:rPr>
        <w:t xml:space="preserve">īdz ar to licencēšanas un akreditācijas procesi ir </w:t>
      </w:r>
      <w:r w:rsidR="005E495C">
        <w:rPr>
          <w:rFonts w:ascii="Times New Roman" w:hAnsi="Times New Roman" w:cs="Times New Roman"/>
          <w:bCs/>
          <w:noProof/>
          <w:sz w:val="26"/>
          <w:szCs w:val="26"/>
        </w:rPr>
        <w:t xml:space="preserve">sapludināti </w:t>
      </w:r>
      <w:r w:rsidR="00BE2840">
        <w:rPr>
          <w:rFonts w:ascii="Times New Roman" w:hAnsi="Times New Roman" w:cs="Times New Roman"/>
          <w:bCs/>
          <w:noProof/>
          <w:sz w:val="26"/>
          <w:szCs w:val="26"/>
        </w:rPr>
        <w:t xml:space="preserve">un nepastāv kā divi atsevišķi procesi. </w:t>
      </w:r>
    </w:p>
    <w:p w:rsidR="00771474" w:rsidRDefault="00771474" w:rsidP="009055FB">
      <w:pPr>
        <w:spacing w:after="0" w:line="240" w:lineRule="auto"/>
        <w:ind w:firstLine="360"/>
        <w:jc w:val="both"/>
        <w:rPr>
          <w:rFonts w:ascii="Times New Roman" w:hAnsi="Times New Roman" w:cs="Times New Roman"/>
          <w:bCs/>
          <w:noProof/>
          <w:sz w:val="26"/>
          <w:szCs w:val="26"/>
        </w:rPr>
      </w:pPr>
    </w:p>
    <w:p w:rsidR="00925D37" w:rsidRPr="00771474" w:rsidRDefault="00925D37" w:rsidP="009055FB">
      <w:pPr>
        <w:spacing w:after="0" w:line="240" w:lineRule="auto"/>
        <w:ind w:firstLine="360"/>
        <w:jc w:val="both"/>
        <w:rPr>
          <w:rFonts w:ascii="Times New Roman" w:hAnsi="Times New Roman" w:cs="Times New Roman"/>
          <w:bCs/>
          <w:noProof/>
          <w:sz w:val="26"/>
          <w:szCs w:val="26"/>
        </w:rPr>
      </w:pPr>
    </w:p>
    <w:p w:rsidR="006E5454" w:rsidRPr="001857F4" w:rsidRDefault="0076340B" w:rsidP="009055FB">
      <w:pPr>
        <w:pStyle w:val="Heading2"/>
        <w:spacing w:before="0" w:line="240" w:lineRule="auto"/>
        <w:jc w:val="both"/>
        <w:rPr>
          <w:rFonts w:ascii="Times New Roman" w:hAnsi="Times New Roman" w:cs="Times New Roman"/>
          <w:b/>
          <w:color w:val="auto"/>
          <w:sz w:val="28"/>
          <w:szCs w:val="28"/>
        </w:rPr>
      </w:pPr>
      <w:bookmarkStart w:id="9" w:name="_Toc395890861"/>
      <w:r>
        <w:rPr>
          <w:rFonts w:ascii="Times New Roman" w:hAnsi="Times New Roman" w:cs="Times New Roman"/>
          <w:b/>
          <w:color w:val="auto"/>
          <w:sz w:val="28"/>
          <w:szCs w:val="28"/>
        </w:rPr>
        <w:t>2</w:t>
      </w:r>
      <w:r w:rsidR="001857F4">
        <w:rPr>
          <w:rFonts w:ascii="Times New Roman" w:hAnsi="Times New Roman" w:cs="Times New Roman"/>
          <w:b/>
          <w:color w:val="auto"/>
          <w:sz w:val="28"/>
          <w:szCs w:val="28"/>
        </w:rPr>
        <w:t xml:space="preserve">.2. </w:t>
      </w:r>
      <w:r w:rsidR="00E66D8B" w:rsidRPr="001857F4">
        <w:rPr>
          <w:rFonts w:ascii="Times New Roman" w:hAnsi="Times New Roman" w:cs="Times New Roman"/>
          <w:b/>
          <w:color w:val="auto"/>
          <w:sz w:val="28"/>
          <w:szCs w:val="28"/>
        </w:rPr>
        <w:t>Ārējās k</w:t>
      </w:r>
      <w:r w:rsidR="006E5454" w:rsidRPr="001857F4">
        <w:rPr>
          <w:rFonts w:ascii="Times New Roman" w:hAnsi="Times New Roman" w:cs="Times New Roman"/>
          <w:b/>
          <w:color w:val="auto"/>
          <w:sz w:val="28"/>
          <w:szCs w:val="28"/>
        </w:rPr>
        <w:t>valitātes nodrošināšanas sistēma Eiropā</w:t>
      </w:r>
      <w:bookmarkEnd w:id="9"/>
    </w:p>
    <w:p w:rsidR="002977BD" w:rsidRDefault="002977BD" w:rsidP="009055FB">
      <w:pPr>
        <w:autoSpaceDE w:val="0"/>
        <w:autoSpaceDN w:val="0"/>
        <w:adjustRightInd w:val="0"/>
        <w:spacing w:after="0" w:line="240" w:lineRule="auto"/>
        <w:ind w:firstLine="567"/>
        <w:jc w:val="both"/>
        <w:rPr>
          <w:rFonts w:ascii="Times New Roman" w:hAnsi="Times New Roman" w:cs="Times New Roman"/>
          <w:sz w:val="26"/>
          <w:szCs w:val="26"/>
          <w:lang w:eastAsia="lv-LV"/>
        </w:rPr>
      </w:pPr>
    </w:p>
    <w:p w:rsidR="00D02539" w:rsidRPr="00666FF4" w:rsidRDefault="00242531" w:rsidP="009055FB">
      <w:pPr>
        <w:autoSpaceDE w:val="0"/>
        <w:autoSpaceDN w:val="0"/>
        <w:adjustRightInd w:val="0"/>
        <w:spacing w:after="0" w:line="240" w:lineRule="auto"/>
        <w:ind w:firstLine="567"/>
        <w:jc w:val="both"/>
        <w:rPr>
          <w:rFonts w:ascii="Times New Roman" w:hAnsi="Times New Roman" w:cs="Times New Roman"/>
          <w:sz w:val="26"/>
          <w:szCs w:val="26"/>
        </w:rPr>
      </w:pPr>
      <w:r w:rsidRPr="001852E9">
        <w:rPr>
          <w:rFonts w:ascii="Times New Roman" w:hAnsi="Times New Roman" w:cs="Times New Roman"/>
          <w:sz w:val="26"/>
          <w:szCs w:val="26"/>
          <w:lang w:eastAsia="lv-LV"/>
        </w:rPr>
        <w:t>1990.gados daudzas Ei</w:t>
      </w:r>
      <w:r>
        <w:rPr>
          <w:rFonts w:ascii="Times New Roman" w:hAnsi="Times New Roman" w:cs="Times New Roman"/>
          <w:sz w:val="26"/>
          <w:szCs w:val="26"/>
          <w:lang w:eastAsia="lv-LV"/>
        </w:rPr>
        <w:t xml:space="preserve">ropas valstis, t.sk. Latvija, </w:t>
      </w:r>
      <w:r w:rsidRPr="001852E9">
        <w:rPr>
          <w:rFonts w:ascii="Times New Roman" w:hAnsi="Times New Roman" w:cs="Times New Roman"/>
          <w:sz w:val="26"/>
          <w:szCs w:val="26"/>
          <w:lang w:eastAsia="lv-LV"/>
        </w:rPr>
        <w:t xml:space="preserve">sāka veidot savas augstākās izglītības kvalitāti </w:t>
      </w:r>
      <w:r>
        <w:rPr>
          <w:rFonts w:ascii="Times New Roman" w:hAnsi="Times New Roman" w:cs="Times New Roman"/>
          <w:sz w:val="26"/>
          <w:szCs w:val="26"/>
          <w:lang w:eastAsia="lv-LV"/>
        </w:rPr>
        <w:t>nodrošināšanas</w:t>
      </w:r>
      <w:r w:rsidRPr="001852E9">
        <w:rPr>
          <w:rFonts w:ascii="Times New Roman" w:hAnsi="Times New Roman" w:cs="Times New Roman"/>
          <w:sz w:val="26"/>
          <w:szCs w:val="26"/>
          <w:lang w:eastAsia="lv-LV"/>
        </w:rPr>
        <w:t xml:space="preserve"> sistēmas kā atbildi uz augstākās izglītības strauju masveida attīstību, privāto augstākā</w:t>
      </w:r>
      <w:r>
        <w:rPr>
          <w:rFonts w:ascii="Times New Roman" w:hAnsi="Times New Roman" w:cs="Times New Roman"/>
          <w:sz w:val="26"/>
          <w:szCs w:val="26"/>
          <w:lang w:eastAsia="lv-LV"/>
        </w:rPr>
        <w:t>s izglītības iestāžu veidošanas</w:t>
      </w:r>
      <w:r w:rsidRPr="001852E9">
        <w:rPr>
          <w:rFonts w:ascii="Times New Roman" w:hAnsi="Times New Roman" w:cs="Times New Roman"/>
          <w:sz w:val="26"/>
          <w:szCs w:val="26"/>
          <w:lang w:eastAsia="lv-LV"/>
        </w:rPr>
        <w:t xml:space="preserve"> un citiem apsvērumiem. </w:t>
      </w:r>
      <w:r w:rsidR="00D02539" w:rsidRPr="00666FF4">
        <w:rPr>
          <w:rFonts w:ascii="Times New Roman" w:hAnsi="Times New Roman" w:cs="Times New Roman"/>
          <w:sz w:val="26"/>
          <w:szCs w:val="26"/>
        </w:rPr>
        <w:t xml:space="preserve">Globalizācija, ekonomikas integrācija un lielāka mobilitāte augstākās izglītības un profesionālajā jomā radīja nepieciešamību atzīt kvalifikāciju ārpus tās valsts robežām, kurā tā iegūta. Mūsdienās augstākajai izglītībai izzūd telpiskas robežas, tāpēc aizvien lielāka uzmanība tiek pievērsta starptautiski atzītai kvalitātes nodrošināšanai, tādejādi radot skaidrāku priekšstatu par augstāko izglītību un tās uzticamību. Arī viens no Boloņas procesa mērķiem ir augstākās izglītības kvalitātes nodrošināšana, veidojot viendabīgu, saderīgu un pievilcīgu </w:t>
      </w:r>
      <w:r w:rsidR="00CD7BFA">
        <w:rPr>
          <w:rFonts w:ascii="Times New Roman" w:hAnsi="Times New Roman" w:cs="Times New Roman"/>
          <w:sz w:val="26"/>
          <w:szCs w:val="26"/>
        </w:rPr>
        <w:t>E</w:t>
      </w:r>
      <w:r w:rsidR="00CD7BFA">
        <w:rPr>
          <w:rFonts w:ascii="Times New Roman" w:hAnsi="Times New Roman" w:cs="Times New Roman"/>
          <w:iCs/>
          <w:sz w:val="26"/>
          <w:szCs w:val="26"/>
        </w:rPr>
        <w:t>AIT</w:t>
      </w:r>
      <w:r w:rsidR="00D02539" w:rsidRPr="00666FF4">
        <w:rPr>
          <w:rFonts w:ascii="Times New Roman" w:hAnsi="Times New Roman" w:cs="Times New Roman"/>
          <w:sz w:val="26"/>
          <w:szCs w:val="26"/>
        </w:rPr>
        <w:t>.</w:t>
      </w:r>
    </w:p>
    <w:p w:rsidR="00242531" w:rsidRPr="001852E9" w:rsidRDefault="00242531" w:rsidP="009055FB">
      <w:pPr>
        <w:pStyle w:val="ListParagraph"/>
        <w:spacing w:after="0" w:line="240" w:lineRule="auto"/>
        <w:ind w:left="0" w:firstLine="709"/>
        <w:jc w:val="both"/>
        <w:rPr>
          <w:rFonts w:ascii="Times New Roman" w:hAnsi="Times New Roman" w:cs="Times New Roman"/>
          <w:sz w:val="26"/>
          <w:szCs w:val="26"/>
          <w:lang w:eastAsia="lv-LV"/>
        </w:rPr>
      </w:pPr>
      <w:r w:rsidRPr="001852E9">
        <w:rPr>
          <w:rFonts w:ascii="Times New Roman" w:hAnsi="Times New Roman" w:cs="Times New Roman"/>
          <w:sz w:val="26"/>
          <w:szCs w:val="26"/>
          <w:lang w:eastAsia="lv-LV"/>
        </w:rPr>
        <w:t>1999. gada jūnijā sākās vienotās</w:t>
      </w:r>
      <w:r w:rsidR="00D02539">
        <w:rPr>
          <w:rFonts w:ascii="Times New Roman" w:hAnsi="Times New Roman" w:cs="Times New Roman"/>
          <w:sz w:val="26"/>
          <w:szCs w:val="26"/>
          <w:lang w:eastAsia="lv-LV"/>
        </w:rPr>
        <w:t xml:space="preserve"> EAIT </w:t>
      </w:r>
      <w:r w:rsidRPr="001852E9">
        <w:rPr>
          <w:rFonts w:ascii="Times New Roman" w:hAnsi="Times New Roman" w:cs="Times New Roman"/>
          <w:sz w:val="26"/>
          <w:szCs w:val="26"/>
          <w:lang w:eastAsia="lv-LV"/>
        </w:rPr>
        <w:t>veidošanas process, 29 Eiropas valstu izglītības ministri</w:t>
      </w:r>
      <w:r w:rsidR="008155BD">
        <w:rPr>
          <w:rFonts w:ascii="Times New Roman" w:hAnsi="Times New Roman" w:cs="Times New Roman"/>
          <w:sz w:val="26"/>
          <w:szCs w:val="26"/>
          <w:lang w:eastAsia="lv-LV"/>
        </w:rPr>
        <w:t>em</w:t>
      </w:r>
      <w:r w:rsidRPr="001852E9">
        <w:rPr>
          <w:rFonts w:ascii="Times New Roman" w:hAnsi="Times New Roman" w:cs="Times New Roman"/>
          <w:sz w:val="26"/>
          <w:szCs w:val="26"/>
          <w:lang w:eastAsia="lv-LV"/>
        </w:rPr>
        <w:t xml:space="preserve"> parakst</w:t>
      </w:r>
      <w:r w:rsidR="008155BD">
        <w:rPr>
          <w:rFonts w:ascii="Times New Roman" w:hAnsi="Times New Roman" w:cs="Times New Roman"/>
          <w:sz w:val="26"/>
          <w:szCs w:val="26"/>
          <w:lang w:eastAsia="lv-LV"/>
        </w:rPr>
        <w:t>ot</w:t>
      </w:r>
      <w:r w:rsidRPr="001852E9">
        <w:rPr>
          <w:rFonts w:ascii="Times New Roman" w:hAnsi="Times New Roman" w:cs="Times New Roman"/>
          <w:sz w:val="26"/>
          <w:szCs w:val="26"/>
          <w:lang w:eastAsia="lv-LV"/>
        </w:rPr>
        <w:t xml:space="preserve"> Boloņas deklarāciju. A</w:t>
      </w:r>
      <w:r w:rsidRPr="001852E9">
        <w:rPr>
          <w:rFonts w:ascii="Times New Roman" w:hAnsi="Times New Roman" w:cs="Times New Roman"/>
          <w:iCs/>
          <w:sz w:val="26"/>
          <w:szCs w:val="26"/>
        </w:rPr>
        <w:t xml:space="preserve">ugstākās izglītības kvalitātes nodrošināšana ir kļuvusi par vienu no </w:t>
      </w:r>
      <w:r w:rsidRPr="001852E9">
        <w:rPr>
          <w:rFonts w:ascii="Times New Roman" w:hAnsi="Times New Roman" w:cs="Times New Roman"/>
          <w:sz w:val="26"/>
          <w:szCs w:val="26"/>
          <w:lang w:eastAsia="lv-LV"/>
        </w:rPr>
        <w:t>Boloņas procesa</w:t>
      </w:r>
      <w:r w:rsidRPr="001852E9">
        <w:rPr>
          <w:rStyle w:val="FootnoteReference"/>
          <w:rFonts w:ascii="Times New Roman" w:hAnsi="Times New Roman" w:cs="Times New Roman"/>
          <w:sz w:val="26"/>
          <w:szCs w:val="26"/>
          <w:lang w:eastAsia="lv-LV"/>
        </w:rPr>
        <w:footnoteReference w:id="8"/>
      </w:r>
      <w:r w:rsidRPr="001852E9">
        <w:rPr>
          <w:rFonts w:ascii="Times New Roman" w:hAnsi="Times New Roman" w:cs="Times New Roman"/>
          <w:sz w:val="26"/>
          <w:szCs w:val="26"/>
          <w:lang w:eastAsia="lv-LV"/>
        </w:rPr>
        <w:t xml:space="preserve"> </w:t>
      </w:r>
      <w:r w:rsidRPr="001852E9">
        <w:rPr>
          <w:rFonts w:ascii="Times New Roman" w:hAnsi="Times New Roman" w:cs="Times New Roman"/>
          <w:iCs/>
          <w:sz w:val="26"/>
          <w:szCs w:val="26"/>
        </w:rPr>
        <w:t xml:space="preserve">EAIT veidošanas </w:t>
      </w:r>
      <w:r w:rsidRPr="001852E9">
        <w:rPr>
          <w:rFonts w:ascii="Times New Roman" w:hAnsi="Times New Roman" w:cs="Times New Roman"/>
          <w:sz w:val="26"/>
          <w:szCs w:val="26"/>
          <w:lang w:eastAsia="lv-LV"/>
        </w:rPr>
        <w:t>galvenajiem stūrakmeņiem</w:t>
      </w:r>
      <w:r w:rsidRPr="001852E9">
        <w:rPr>
          <w:rStyle w:val="FootnoteReference"/>
          <w:rFonts w:ascii="Times New Roman" w:hAnsi="Times New Roman" w:cs="Times New Roman"/>
          <w:sz w:val="26"/>
          <w:szCs w:val="26"/>
          <w:lang w:eastAsia="lv-LV"/>
        </w:rPr>
        <w:footnoteReference w:id="9"/>
      </w:r>
      <w:r w:rsidR="00872228">
        <w:rPr>
          <w:rFonts w:ascii="Times New Roman" w:hAnsi="Times New Roman" w:cs="Times New Roman"/>
          <w:sz w:val="26"/>
          <w:szCs w:val="26"/>
          <w:lang w:eastAsia="lv-LV"/>
        </w:rPr>
        <w:t>, kas ikvienā turpmākajā Boloņas procesa ministru konferencē iegūst arvien lielāku ievērību</w:t>
      </w:r>
      <w:r w:rsidR="002E6F10">
        <w:rPr>
          <w:rFonts w:ascii="Times New Roman" w:hAnsi="Times New Roman" w:cs="Times New Roman"/>
          <w:sz w:val="26"/>
          <w:szCs w:val="26"/>
          <w:lang w:eastAsia="lv-LV"/>
        </w:rPr>
        <w:t xml:space="preserve"> pieņemtajos komunikē</w:t>
      </w:r>
      <w:r w:rsidR="002C2798">
        <w:rPr>
          <w:rStyle w:val="FootnoteReference"/>
          <w:rFonts w:ascii="Times New Roman" w:hAnsi="Times New Roman" w:cs="Times New Roman"/>
          <w:sz w:val="26"/>
          <w:szCs w:val="26"/>
          <w:lang w:eastAsia="lv-LV"/>
        </w:rPr>
        <w:footnoteReference w:id="10"/>
      </w:r>
      <w:r w:rsidRPr="001852E9">
        <w:rPr>
          <w:rFonts w:ascii="Times New Roman" w:hAnsi="Times New Roman" w:cs="Times New Roman"/>
          <w:sz w:val="26"/>
          <w:szCs w:val="26"/>
          <w:lang w:eastAsia="lv-LV"/>
        </w:rPr>
        <w:t>.</w:t>
      </w:r>
    </w:p>
    <w:p w:rsidR="00242531" w:rsidRDefault="00242531"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2001.gadā izglītības m</w:t>
      </w:r>
      <w:r w:rsidRPr="000B0D40">
        <w:rPr>
          <w:rFonts w:ascii="Times New Roman" w:hAnsi="Times New Roman" w:cs="Times New Roman"/>
          <w:sz w:val="26"/>
          <w:szCs w:val="26"/>
        </w:rPr>
        <w:t>inistri atzina</w:t>
      </w:r>
      <w:r w:rsidR="00872228">
        <w:rPr>
          <w:rFonts w:ascii="Times New Roman" w:hAnsi="Times New Roman" w:cs="Times New Roman"/>
          <w:sz w:val="26"/>
          <w:szCs w:val="26"/>
        </w:rPr>
        <w:t>, ka</w:t>
      </w:r>
      <w:r w:rsidRPr="000B0D40">
        <w:rPr>
          <w:rFonts w:ascii="Times New Roman" w:hAnsi="Times New Roman" w:cs="Times New Roman"/>
          <w:sz w:val="26"/>
          <w:szCs w:val="26"/>
        </w:rPr>
        <w:t xml:space="preserve"> </w:t>
      </w:r>
      <w:r w:rsidR="00872228">
        <w:rPr>
          <w:rFonts w:ascii="Times New Roman" w:hAnsi="Times New Roman" w:cs="Times New Roman"/>
          <w:sz w:val="26"/>
          <w:szCs w:val="26"/>
        </w:rPr>
        <w:t xml:space="preserve">augstākās izglītības </w:t>
      </w:r>
      <w:r w:rsidRPr="000B0D40">
        <w:rPr>
          <w:rFonts w:ascii="Times New Roman" w:hAnsi="Times New Roman" w:cs="Times New Roman"/>
          <w:sz w:val="26"/>
          <w:szCs w:val="26"/>
        </w:rPr>
        <w:t>kvalitātes nodrošināšanas sistēm</w:t>
      </w:r>
      <w:r w:rsidR="00872228">
        <w:rPr>
          <w:rFonts w:ascii="Times New Roman" w:hAnsi="Times New Roman" w:cs="Times New Roman"/>
          <w:sz w:val="26"/>
          <w:szCs w:val="26"/>
        </w:rPr>
        <w:t>ām ir nozīmīga loma</w:t>
      </w:r>
      <w:r w:rsidRPr="000B0D40">
        <w:rPr>
          <w:rFonts w:ascii="Times New Roman" w:hAnsi="Times New Roman" w:cs="Times New Roman"/>
          <w:sz w:val="26"/>
          <w:szCs w:val="26"/>
        </w:rPr>
        <w:t xml:space="preserve"> augstu kvalitātes</w:t>
      </w:r>
      <w:r>
        <w:rPr>
          <w:rFonts w:ascii="Times New Roman" w:hAnsi="Times New Roman" w:cs="Times New Roman"/>
          <w:sz w:val="26"/>
          <w:szCs w:val="26"/>
        </w:rPr>
        <w:t xml:space="preserve"> </w:t>
      </w:r>
      <w:r w:rsidRPr="000B0D40">
        <w:rPr>
          <w:rFonts w:ascii="Times New Roman" w:hAnsi="Times New Roman" w:cs="Times New Roman"/>
          <w:sz w:val="26"/>
          <w:szCs w:val="26"/>
        </w:rPr>
        <w:t xml:space="preserve">standartu nodrošināšanā un kvalifikāciju salīdzināmības veicināšanā visā Eiropā. </w:t>
      </w:r>
      <w:r w:rsidR="00D02539">
        <w:rPr>
          <w:rFonts w:ascii="Times New Roman" w:hAnsi="Times New Roman" w:cs="Times New Roman"/>
          <w:sz w:val="26"/>
          <w:szCs w:val="26"/>
        </w:rPr>
        <w:t xml:space="preserve">Tika </w:t>
      </w:r>
      <w:r w:rsidRPr="000B0D40">
        <w:rPr>
          <w:rFonts w:ascii="Times New Roman" w:hAnsi="Times New Roman" w:cs="Times New Roman"/>
          <w:sz w:val="26"/>
          <w:szCs w:val="26"/>
        </w:rPr>
        <w:t>uzsvēr</w:t>
      </w:r>
      <w:r w:rsidR="00D02539">
        <w:rPr>
          <w:rFonts w:ascii="Times New Roman" w:hAnsi="Times New Roman" w:cs="Times New Roman"/>
          <w:sz w:val="26"/>
          <w:szCs w:val="26"/>
        </w:rPr>
        <w:t>t</w:t>
      </w:r>
      <w:r w:rsidRPr="000B0D40">
        <w:rPr>
          <w:rFonts w:ascii="Times New Roman" w:hAnsi="Times New Roman" w:cs="Times New Roman"/>
          <w:sz w:val="26"/>
          <w:szCs w:val="26"/>
        </w:rPr>
        <w:t>a arī</w:t>
      </w:r>
      <w:r>
        <w:rPr>
          <w:rFonts w:ascii="Times New Roman" w:hAnsi="Times New Roman" w:cs="Times New Roman"/>
          <w:sz w:val="26"/>
          <w:szCs w:val="26"/>
        </w:rPr>
        <w:t xml:space="preserve"> </w:t>
      </w:r>
      <w:r w:rsidRPr="000B0D40">
        <w:rPr>
          <w:rFonts w:ascii="Times New Roman" w:hAnsi="Times New Roman" w:cs="Times New Roman"/>
          <w:sz w:val="26"/>
          <w:szCs w:val="26"/>
        </w:rPr>
        <w:t>nepieciešamīb</w:t>
      </w:r>
      <w:r w:rsidR="00D02539">
        <w:rPr>
          <w:rFonts w:ascii="Times New Roman" w:hAnsi="Times New Roman" w:cs="Times New Roman"/>
          <w:sz w:val="26"/>
          <w:szCs w:val="26"/>
        </w:rPr>
        <w:t>a</w:t>
      </w:r>
      <w:r w:rsidRPr="000B0D40">
        <w:rPr>
          <w:rFonts w:ascii="Times New Roman" w:hAnsi="Times New Roman" w:cs="Times New Roman"/>
          <w:sz w:val="26"/>
          <w:szCs w:val="26"/>
        </w:rPr>
        <w:t xml:space="preserve"> pēc ciešas sadarbības, savstarpējas uzticēšanās un savstarpējas pieņemšanas</w:t>
      </w:r>
      <w:r>
        <w:rPr>
          <w:rFonts w:ascii="Times New Roman" w:hAnsi="Times New Roman" w:cs="Times New Roman"/>
          <w:sz w:val="26"/>
          <w:szCs w:val="26"/>
        </w:rPr>
        <w:t xml:space="preserve"> </w:t>
      </w:r>
      <w:r w:rsidRPr="000B0D40">
        <w:rPr>
          <w:rFonts w:ascii="Times New Roman" w:hAnsi="Times New Roman" w:cs="Times New Roman"/>
          <w:sz w:val="26"/>
          <w:szCs w:val="26"/>
        </w:rPr>
        <w:t>valstu kvalitātes</w:t>
      </w:r>
      <w:r w:rsidR="000E6F61">
        <w:rPr>
          <w:rFonts w:ascii="Times New Roman" w:hAnsi="Times New Roman" w:cs="Times New Roman"/>
          <w:sz w:val="26"/>
          <w:szCs w:val="26"/>
        </w:rPr>
        <w:t xml:space="preserve"> nodrošināšanas sistēmu starpā.</w:t>
      </w:r>
      <w:r>
        <w:rPr>
          <w:rFonts w:ascii="Times New Roman" w:hAnsi="Times New Roman" w:cs="Times New Roman"/>
          <w:sz w:val="26"/>
          <w:szCs w:val="26"/>
        </w:rPr>
        <w:t xml:space="preserve"> </w:t>
      </w:r>
      <w:r w:rsidRPr="000B0D40">
        <w:rPr>
          <w:rFonts w:ascii="Times New Roman" w:hAnsi="Times New Roman" w:cs="Times New Roman"/>
          <w:sz w:val="26"/>
          <w:szCs w:val="26"/>
        </w:rPr>
        <w:t>Ministri</w:t>
      </w:r>
      <w:r w:rsidR="00D02539">
        <w:rPr>
          <w:rFonts w:ascii="Times New Roman" w:hAnsi="Times New Roman" w:cs="Times New Roman"/>
          <w:sz w:val="26"/>
          <w:szCs w:val="26"/>
        </w:rPr>
        <w:t xml:space="preserve"> aicināja </w:t>
      </w:r>
      <w:r w:rsidRPr="000B0D40">
        <w:rPr>
          <w:rFonts w:ascii="Times New Roman" w:hAnsi="Times New Roman" w:cs="Times New Roman"/>
          <w:sz w:val="26"/>
          <w:szCs w:val="26"/>
        </w:rPr>
        <w:t>universitātes un citas augstākās izglītības iestādes, nacionālās aģentūras, kā arī</w:t>
      </w:r>
      <w:r>
        <w:rPr>
          <w:rFonts w:ascii="Times New Roman" w:hAnsi="Times New Roman" w:cs="Times New Roman"/>
          <w:sz w:val="26"/>
          <w:szCs w:val="26"/>
        </w:rPr>
        <w:t xml:space="preserve"> </w:t>
      </w:r>
      <w:r w:rsidR="000E6F61">
        <w:rPr>
          <w:rFonts w:ascii="Times New Roman" w:hAnsi="Times New Roman" w:cs="Times New Roman"/>
          <w:sz w:val="26"/>
          <w:szCs w:val="26"/>
        </w:rPr>
        <w:t>ENQA</w:t>
      </w:r>
      <w:r w:rsidRPr="000B0D40">
        <w:rPr>
          <w:rFonts w:ascii="Times New Roman" w:hAnsi="Times New Roman" w:cs="Times New Roman"/>
          <w:sz w:val="26"/>
          <w:szCs w:val="26"/>
        </w:rPr>
        <w:t xml:space="preserve"> sadarbībā ar citiem</w:t>
      </w:r>
      <w:r>
        <w:rPr>
          <w:rFonts w:ascii="Times New Roman" w:hAnsi="Times New Roman" w:cs="Times New Roman"/>
          <w:sz w:val="26"/>
          <w:szCs w:val="26"/>
        </w:rPr>
        <w:t xml:space="preserve"> </w:t>
      </w:r>
      <w:r w:rsidRPr="000B0D40">
        <w:rPr>
          <w:rFonts w:ascii="Times New Roman" w:hAnsi="Times New Roman" w:cs="Times New Roman"/>
          <w:sz w:val="26"/>
          <w:szCs w:val="26"/>
        </w:rPr>
        <w:t>atbilstošiem orgāniem valstīs, kuras nav ENQA dalībnieces, sadarboties, lai veidotu kopīgu</w:t>
      </w:r>
      <w:r>
        <w:rPr>
          <w:rFonts w:ascii="Times New Roman" w:hAnsi="Times New Roman" w:cs="Times New Roman"/>
          <w:sz w:val="26"/>
          <w:szCs w:val="26"/>
        </w:rPr>
        <w:t xml:space="preserve"> </w:t>
      </w:r>
      <w:r w:rsidRPr="000B0D40">
        <w:rPr>
          <w:rFonts w:ascii="Times New Roman" w:hAnsi="Times New Roman" w:cs="Times New Roman"/>
          <w:sz w:val="26"/>
          <w:szCs w:val="26"/>
        </w:rPr>
        <w:t>izpratni un izplatītu pozitīvu praksi.</w:t>
      </w:r>
      <w:r>
        <w:rPr>
          <w:rStyle w:val="FootnoteReference"/>
          <w:rFonts w:ascii="Times New Roman" w:hAnsi="Times New Roman" w:cs="Times New Roman"/>
          <w:sz w:val="26"/>
          <w:szCs w:val="26"/>
        </w:rPr>
        <w:footnoteReference w:id="11"/>
      </w:r>
    </w:p>
    <w:p w:rsidR="00242531" w:rsidRPr="00357936" w:rsidRDefault="00242531"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Berlīnes komunikē</w:t>
      </w:r>
      <w:r w:rsidR="00EB1051">
        <w:rPr>
          <w:rFonts w:ascii="Times New Roman" w:hAnsi="Times New Roman" w:cs="Times New Roman"/>
          <w:sz w:val="26"/>
          <w:szCs w:val="26"/>
        </w:rPr>
        <w:t xml:space="preserve"> (2003.g.)</w:t>
      </w:r>
      <w:r>
        <w:rPr>
          <w:rFonts w:ascii="Times New Roman" w:hAnsi="Times New Roman" w:cs="Times New Roman"/>
          <w:sz w:val="26"/>
          <w:szCs w:val="26"/>
        </w:rPr>
        <w:t xml:space="preserve"> m</w:t>
      </w:r>
      <w:r w:rsidRPr="00357936">
        <w:rPr>
          <w:rFonts w:ascii="Times New Roman" w:hAnsi="Times New Roman" w:cs="Times New Roman"/>
          <w:sz w:val="26"/>
          <w:szCs w:val="26"/>
        </w:rPr>
        <w:t xml:space="preserve">inistri </w:t>
      </w:r>
      <w:r>
        <w:rPr>
          <w:rFonts w:ascii="Times New Roman" w:hAnsi="Times New Roman" w:cs="Times New Roman"/>
          <w:sz w:val="26"/>
          <w:szCs w:val="26"/>
        </w:rPr>
        <w:t>piekrita</w:t>
      </w:r>
      <w:r w:rsidRPr="00357936">
        <w:rPr>
          <w:rFonts w:ascii="Times New Roman" w:hAnsi="Times New Roman" w:cs="Times New Roman"/>
          <w:sz w:val="26"/>
          <w:szCs w:val="26"/>
        </w:rPr>
        <w:t>, ka līdz 2005. gadam kvalitātes nodrošināšanas sistēmām jāietver sekojošais:</w:t>
      </w:r>
    </w:p>
    <w:p w:rsidR="00242531" w:rsidRPr="00357936" w:rsidRDefault="00242531" w:rsidP="009055FB">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t>• Ir noteikti visu iesaistīto organizāciju un institūciju uzdevumi un atbildība;</w:t>
      </w:r>
    </w:p>
    <w:p w:rsidR="00242531" w:rsidRPr="00357936" w:rsidRDefault="00242531" w:rsidP="009055FB">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t>• Notiek programmu vai augstskolu novērtēšana, ietverot iekšējo pašvērtējumu, ārējo vērtējumu, studentu iesaisti vērtēšanas p</w:t>
      </w:r>
      <w:r>
        <w:rPr>
          <w:rFonts w:ascii="Times New Roman" w:hAnsi="Times New Roman" w:cs="Times New Roman"/>
          <w:sz w:val="26"/>
          <w:szCs w:val="26"/>
        </w:rPr>
        <w:t>rocesā un rezultātu publicēšanu;</w:t>
      </w:r>
    </w:p>
    <w:p w:rsidR="00242531" w:rsidRPr="00357936" w:rsidRDefault="00242531" w:rsidP="009055FB">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t>• Pastāv sistēma kurā tiek veikta akreditācija, sertifikācija va</w:t>
      </w:r>
      <w:r>
        <w:rPr>
          <w:rFonts w:ascii="Times New Roman" w:hAnsi="Times New Roman" w:cs="Times New Roman"/>
          <w:sz w:val="26"/>
          <w:szCs w:val="26"/>
        </w:rPr>
        <w:t>i citas salīdzināmas procedūras;</w:t>
      </w:r>
    </w:p>
    <w:p w:rsidR="00242531" w:rsidRDefault="00242531" w:rsidP="009055FB">
      <w:pPr>
        <w:spacing w:after="0" w:line="240" w:lineRule="auto"/>
        <w:ind w:firstLine="720"/>
        <w:jc w:val="both"/>
        <w:rPr>
          <w:rFonts w:ascii="Times New Roman" w:hAnsi="Times New Roman" w:cs="Times New Roman"/>
          <w:sz w:val="26"/>
          <w:szCs w:val="26"/>
        </w:rPr>
      </w:pPr>
      <w:r w:rsidRPr="00357936">
        <w:rPr>
          <w:rFonts w:ascii="Times New Roman" w:hAnsi="Times New Roman" w:cs="Times New Roman"/>
          <w:sz w:val="26"/>
          <w:szCs w:val="26"/>
        </w:rPr>
        <w:t>• Notiek starptautiska iesaiste, sadarbība un sadarbība caur sadarbības tīkliem.</w:t>
      </w:r>
      <w:r>
        <w:rPr>
          <w:rStyle w:val="FootnoteReference"/>
          <w:rFonts w:ascii="Times New Roman" w:hAnsi="Times New Roman" w:cs="Times New Roman"/>
          <w:sz w:val="26"/>
          <w:szCs w:val="26"/>
        </w:rPr>
        <w:footnoteReference w:id="12"/>
      </w:r>
    </w:p>
    <w:p w:rsidR="00242531" w:rsidRDefault="00D02539"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Savukārt </w:t>
      </w:r>
      <w:r w:rsidR="00EB1051">
        <w:rPr>
          <w:rFonts w:ascii="Times New Roman" w:hAnsi="Times New Roman" w:cs="Times New Roman"/>
          <w:sz w:val="26"/>
          <w:szCs w:val="26"/>
        </w:rPr>
        <w:t xml:space="preserve">Bergenā </w:t>
      </w:r>
      <w:r>
        <w:rPr>
          <w:rFonts w:ascii="Times New Roman" w:hAnsi="Times New Roman" w:cs="Times New Roman"/>
          <w:sz w:val="26"/>
          <w:szCs w:val="26"/>
        </w:rPr>
        <w:t>2005.gadā ministri p</w:t>
      </w:r>
      <w:r w:rsidR="00242531" w:rsidRPr="00095317">
        <w:rPr>
          <w:rFonts w:ascii="Times New Roman" w:hAnsi="Times New Roman" w:cs="Times New Roman"/>
          <w:sz w:val="26"/>
          <w:szCs w:val="26"/>
        </w:rPr>
        <w:t>ieņ</w:t>
      </w:r>
      <w:r>
        <w:rPr>
          <w:rFonts w:ascii="Times New Roman" w:hAnsi="Times New Roman" w:cs="Times New Roman"/>
          <w:sz w:val="26"/>
          <w:szCs w:val="26"/>
        </w:rPr>
        <w:t>ēma</w:t>
      </w:r>
      <w:r w:rsidR="00242531" w:rsidRPr="00095317">
        <w:rPr>
          <w:rFonts w:ascii="Times New Roman" w:hAnsi="Times New Roman" w:cs="Times New Roman"/>
          <w:sz w:val="26"/>
          <w:szCs w:val="26"/>
        </w:rPr>
        <w:t xml:space="preserve"> ENQA izvirzītos standartus un vadlīnijas kvalitātes nodrošināšanai Eiro</w:t>
      </w:r>
      <w:r>
        <w:rPr>
          <w:rFonts w:ascii="Times New Roman" w:hAnsi="Times New Roman" w:cs="Times New Roman"/>
          <w:sz w:val="26"/>
          <w:szCs w:val="26"/>
        </w:rPr>
        <w:t xml:space="preserve">pas Augstākās izglītības telpā </w:t>
      </w:r>
      <w:r w:rsidR="008B4EE2">
        <w:rPr>
          <w:rFonts w:ascii="Times New Roman" w:hAnsi="Times New Roman" w:cs="Times New Roman"/>
          <w:i/>
          <w:sz w:val="26"/>
          <w:szCs w:val="26"/>
          <w:lang w:eastAsia="lv-LV"/>
        </w:rPr>
        <w:t>(</w:t>
      </w:r>
      <w:r w:rsidRPr="001852E9">
        <w:rPr>
          <w:rFonts w:ascii="Times New Roman" w:hAnsi="Times New Roman" w:cs="Times New Roman"/>
          <w:i/>
          <w:sz w:val="26"/>
          <w:szCs w:val="26"/>
          <w:lang w:eastAsia="lv-LV"/>
        </w:rPr>
        <w:t>ESG)</w:t>
      </w:r>
      <w:r w:rsidRPr="001852E9">
        <w:rPr>
          <w:rStyle w:val="FootnoteReference"/>
          <w:rFonts w:ascii="Times New Roman" w:hAnsi="Times New Roman" w:cs="Times New Roman"/>
          <w:sz w:val="26"/>
          <w:szCs w:val="26"/>
          <w:lang w:eastAsia="lv-LV"/>
        </w:rPr>
        <w:footnoteReference w:id="13"/>
      </w:r>
      <w:r w:rsidRPr="001852E9">
        <w:rPr>
          <w:rFonts w:ascii="Times New Roman" w:hAnsi="Times New Roman" w:cs="Times New Roman"/>
          <w:sz w:val="26"/>
          <w:szCs w:val="26"/>
          <w:lang w:eastAsia="lv-LV"/>
        </w:rPr>
        <w:t xml:space="preserve">  </w:t>
      </w:r>
      <w:r>
        <w:rPr>
          <w:rFonts w:ascii="Times New Roman" w:hAnsi="Times New Roman" w:cs="Times New Roman"/>
          <w:sz w:val="26"/>
          <w:szCs w:val="26"/>
        </w:rPr>
        <w:t xml:space="preserve"> un apņēmās</w:t>
      </w:r>
      <w:r w:rsidR="00242531" w:rsidRPr="00095317">
        <w:rPr>
          <w:rFonts w:ascii="Times New Roman" w:hAnsi="Times New Roman" w:cs="Times New Roman"/>
          <w:sz w:val="26"/>
          <w:szCs w:val="26"/>
        </w:rPr>
        <w:t xml:space="preserve"> ieviest ierosināto modeli kvalitātes nodrošināšanas aģentūru ārējam novērtējumam </w:t>
      </w:r>
      <w:r w:rsidR="00014F4A">
        <w:rPr>
          <w:rFonts w:ascii="Times New Roman" w:hAnsi="Times New Roman" w:cs="Times New Roman"/>
          <w:sz w:val="26"/>
          <w:szCs w:val="26"/>
        </w:rPr>
        <w:t>dalībvalstīs</w:t>
      </w:r>
      <w:r w:rsidR="00242531" w:rsidRPr="00095317">
        <w:rPr>
          <w:rFonts w:ascii="Times New Roman" w:hAnsi="Times New Roman" w:cs="Times New Roman"/>
          <w:sz w:val="26"/>
          <w:szCs w:val="26"/>
        </w:rPr>
        <w:t xml:space="preserve">, šajā novērtējumā balstoties uz kopīgi pieņemtajām vadlīnijām un kritērijiem. </w:t>
      </w:r>
      <w:r>
        <w:rPr>
          <w:rFonts w:ascii="Times New Roman" w:hAnsi="Times New Roman" w:cs="Times New Roman"/>
          <w:sz w:val="26"/>
          <w:szCs w:val="26"/>
        </w:rPr>
        <w:t>Vienlaikus tika atbalstīts</w:t>
      </w:r>
      <w:r w:rsidR="00242531" w:rsidRPr="00095317">
        <w:rPr>
          <w:rFonts w:ascii="Times New Roman" w:hAnsi="Times New Roman" w:cs="Times New Roman"/>
          <w:sz w:val="26"/>
          <w:szCs w:val="26"/>
        </w:rPr>
        <w:t xml:space="preserve"> princip</w:t>
      </w:r>
      <w:r>
        <w:rPr>
          <w:rFonts w:ascii="Times New Roman" w:hAnsi="Times New Roman" w:cs="Times New Roman"/>
          <w:sz w:val="26"/>
          <w:szCs w:val="26"/>
        </w:rPr>
        <w:t>s</w:t>
      </w:r>
      <w:r w:rsidR="00242531" w:rsidRPr="00095317">
        <w:rPr>
          <w:rFonts w:ascii="Times New Roman" w:hAnsi="Times New Roman" w:cs="Times New Roman"/>
          <w:sz w:val="26"/>
          <w:szCs w:val="26"/>
        </w:rPr>
        <w:t xml:space="preserve"> par vienotu Eiropas nacionālā novērtējumā balstītu kvalitātes aģentūru reģistru</w:t>
      </w:r>
      <w:r>
        <w:rPr>
          <w:rFonts w:ascii="Times New Roman" w:hAnsi="Times New Roman" w:cs="Times New Roman"/>
          <w:sz w:val="26"/>
          <w:szCs w:val="26"/>
        </w:rPr>
        <w:t>. Tika uzsvērta n</w:t>
      </w:r>
      <w:r w:rsidR="00242531" w:rsidRPr="00095317">
        <w:rPr>
          <w:rFonts w:ascii="Times New Roman" w:hAnsi="Times New Roman" w:cs="Times New Roman"/>
          <w:sz w:val="26"/>
          <w:szCs w:val="26"/>
        </w:rPr>
        <w:t>acionāli atzītu kvalitātes nodrošināšanas aģentūr</w:t>
      </w:r>
      <w:r>
        <w:rPr>
          <w:rFonts w:ascii="Times New Roman" w:hAnsi="Times New Roman" w:cs="Times New Roman"/>
          <w:sz w:val="26"/>
          <w:szCs w:val="26"/>
        </w:rPr>
        <w:t>u savstarpējās sadarbības nozīme</w:t>
      </w:r>
      <w:r w:rsidR="00242531" w:rsidRPr="00095317">
        <w:rPr>
          <w:rFonts w:ascii="Times New Roman" w:hAnsi="Times New Roman" w:cs="Times New Roman"/>
          <w:sz w:val="26"/>
          <w:szCs w:val="26"/>
        </w:rPr>
        <w:t xml:space="preserve"> akreditācijas vai kvalitātes nodrošināšanas lēmumu savstarpējā atzīšanā.</w:t>
      </w:r>
      <w:r w:rsidR="00242531">
        <w:rPr>
          <w:rStyle w:val="FootnoteReference"/>
          <w:rFonts w:ascii="Times New Roman" w:hAnsi="Times New Roman" w:cs="Times New Roman"/>
          <w:sz w:val="26"/>
          <w:szCs w:val="26"/>
        </w:rPr>
        <w:footnoteReference w:id="14"/>
      </w:r>
    </w:p>
    <w:p w:rsidR="00242531" w:rsidRPr="00566A0E" w:rsidRDefault="00242531" w:rsidP="009055FB">
      <w:pPr>
        <w:pStyle w:val="ListParagraph"/>
        <w:spacing w:after="0" w:line="240" w:lineRule="auto"/>
        <w:ind w:left="0" w:firstLine="709"/>
        <w:jc w:val="both"/>
        <w:rPr>
          <w:rFonts w:ascii="Times New Roman" w:hAnsi="Times New Roman" w:cs="Times New Roman"/>
          <w:sz w:val="26"/>
          <w:szCs w:val="26"/>
          <w:lang w:eastAsia="lv-LV"/>
        </w:rPr>
      </w:pPr>
      <w:r w:rsidRPr="00566A0E">
        <w:rPr>
          <w:rFonts w:ascii="Times New Roman" w:hAnsi="Times New Roman" w:cs="Times New Roman"/>
          <w:sz w:val="26"/>
          <w:szCs w:val="26"/>
          <w:lang w:eastAsia="lv-LV"/>
        </w:rPr>
        <w:t>2012.gadā EAIT izglītības ministru pieņemtā Bukarestes komunikē</w:t>
      </w:r>
      <w:r w:rsidRPr="00566A0E">
        <w:rPr>
          <w:rStyle w:val="FootnoteReference"/>
          <w:rFonts w:ascii="Times New Roman" w:hAnsi="Times New Roman" w:cs="Times New Roman"/>
          <w:sz w:val="26"/>
          <w:szCs w:val="26"/>
          <w:lang w:eastAsia="lv-LV"/>
        </w:rPr>
        <w:footnoteReference w:id="15"/>
      </w:r>
      <w:r w:rsidRPr="00566A0E">
        <w:rPr>
          <w:rFonts w:ascii="Times New Roman" w:hAnsi="Times New Roman" w:cs="Times New Roman"/>
          <w:sz w:val="26"/>
          <w:szCs w:val="26"/>
          <w:lang w:eastAsia="lv-LV"/>
        </w:rPr>
        <w:t xml:space="preserve"> to uzsver kā vienu no būtiskākajām EAIT turpmākās attīstības aktualitātēm, panākot vienošanās atļaut EQAR reģistrētām aģentūrām veikt savu darbību visā EAIT, vienlaikus ievērojot nacionālās prasības”.  </w:t>
      </w:r>
    </w:p>
    <w:p w:rsidR="00D836F8" w:rsidRPr="001852E9" w:rsidRDefault="00242531" w:rsidP="009055FB">
      <w:pPr>
        <w:pStyle w:val="ListParagraph"/>
        <w:spacing w:after="0" w:line="240" w:lineRule="auto"/>
        <w:ind w:left="0" w:firstLine="709"/>
        <w:jc w:val="both"/>
        <w:rPr>
          <w:rFonts w:ascii="Times New Roman" w:hAnsi="Times New Roman" w:cs="Times New Roman"/>
          <w:sz w:val="26"/>
          <w:szCs w:val="26"/>
          <w:lang w:eastAsia="lv-LV"/>
        </w:rPr>
      </w:pPr>
      <w:r w:rsidRPr="001852E9">
        <w:rPr>
          <w:rFonts w:ascii="Times New Roman" w:hAnsi="Times New Roman" w:cs="Times New Roman"/>
          <w:sz w:val="26"/>
          <w:szCs w:val="26"/>
          <w:lang w:eastAsia="lv-LV"/>
        </w:rPr>
        <w:t xml:space="preserve">Kopumā pēdējā gadu desmitā augstākās izglītības kvalitātes nodrošināšanas sistēmas EAIT ir attīstījušās ļoti dinamiski, bet atšķirīgi nacionālo valstu līmenī (skat. </w:t>
      </w:r>
      <w:r w:rsidR="002977BD">
        <w:rPr>
          <w:rFonts w:ascii="Times New Roman" w:hAnsi="Times New Roman" w:cs="Times New Roman"/>
          <w:sz w:val="26"/>
          <w:szCs w:val="26"/>
          <w:lang w:eastAsia="lv-LV"/>
        </w:rPr>
        <w:t>1</w:t>
      </w:r>
      <w:r w:rsidRPr="001852E9">
        <w:rPr>
          <w:rFonts w:ascii="Times New Roman" w:hAnsi="Times New Roman" w:cs="Times New Roman"/>
          <w:sz w:val="26"/>
          <w:szCs w:val="26"/>
          <w:lang w:eastAsia="lv-LV"/>
        </w:rPr>
        <w:t>.tabulu).</w:t>
      </w:r>
      <w:r w:rsidRPr="001852E9">
        <w:rPr>
          <w:rStyle w:val="FootnoteReference"/>
          <w:rFonts w:ascii="Times New Roman" w:hAnsi="Times New Roman" w:cs="Times New Roman"/>
          <w:sz w:val="26"/>
          <w:szCs w:val="26"/>
          <w:lang w:eastAsia="lv-LV"/>
        </w:rPr>
        <w:footnoteReference w:id="16"/>
      </w:r>
      <w:r w:rsidRPr="001852E9">
        <w:rPr>
          <w:rFonts w:ascii="Times New Roman" w:hAnsi="Times New Roman" w:cs="Times New Roman"/>
          <w:sz w:val="26"/>
          <w:szCs w:val="26"/>
          <w:lang w:eastAsia="lv-LV"/>
        </w:rPr>
        <w:t xml:space="preserve"> Galvenais kritērijs augstākās izglītības kvalitātes nodrošināšanai ir Eiropas kvalitātes standartu ievērošana nacionālajā politikā, tāpēc akreditācija nav piemērojama viendabīgi: dažās valstīs tiek akreditētas studiju programmas vai programmu grupas, dažās – augstākās izglītības institūcijas un dažās – studiju programmas un augstākās izglītības institūcijas. Ir valstis (piemēram, Īrija, Lielbritānija), kuras atzinušas, ka </w:t>
      </w:r>
      <w:r w:rsidRPr="001852E9">
        <w:rPr>
          <w:rFonts w:ascii="Times New Roman" w:hAnsi="Times New Roman" w:cs="Times New Roman"/>
          <w:sz w:val="26"/>
          <w:szCs w:val="26"/>
          <w:lang w:eastAsia="lv-LV"/>
        </w:rPr>
        <w:lastRenderedPageBreak/>
        <w:t>studiju programmu akreditācija ir liels administratīvs slogs un savās procedūrās tiecas vienkāršot tās norisi.</w:t>
      </w:r>
      <w:r w:rsidRPr="001852E9">
        <w:rPr>
          <w:rStyle w:val="FootnoteReference"/>
          <w:rFonts w:ascii="Times New Roman" w:hAnsi="Times New Roman" w:cs="Times New Roman"/>
          <w:sz w:val="26"/>
          <w:szCs w:val="26"/>
          <w:lang w:eastAsia="lv-LV"/>
        </w:rPr>
        <w:footnoteReference w:id="17"/>
      </w:r>
      <w:r w:rsidRPr="001852E9">
        <w:rPr>
          <w:rFonts w:ascii="Times New Roman" w:hAnsi="Times New Roman" w:cs="Times New Roman"/>
          <w:sz w:val="26"/>
          <w:szCs w:val="26"/>
          <w:lang w:eastAsia="lv-LV"/>
        </w:rPr>
        <w:t xml:space="preserve"> </w:t>
      </w:r>
    </w:p>
    <w:p w:rsidR="003425CE" w:rsidRDefault="003425CE" w:rsidP="009055FB">
      <w:pPr>
        <w:pStyle w:val="ListParagraph"/>
        <w:spacing w:after="0" w:line="240" w:lineRule="auto"/>
        <w:ind w:left="0" w:firstLine="709"/>
        <w:jc w:val="right"/>
        <w:rPr>
          <w:rFonts w:ascii="Times New Roman" w:hAnsi="Times New Roman" w:cs="Times New Roman"/>
          <w:i/>
          <w:sz w:val="26"/>
          <w:szCs w:val="26"/>
        </w:rPr>
      </w:pPr>
    </w:p>
    <w:p w:rsidR="00D836F8" w:rsidRPr="001852E9" w:rsidRDefault="002977BD" w:rsidP="009055FB">
      <w:pPr>
        <w:pStyle w:val="ListParagraph"/>
        <w:spacing w:after="0" w:line="240" w:lineRule="auto"/>
        <w:ind w:left="0" w:firstLine="709"/>
        <w:jc w:val="right"/>
        <w:rPr>
          <w:rFonts w:ascii="Times New Roman" w:hAnsi="Times New Roman" w:cs="Times New Roman"/>
          <w:sz w:val="26"/>
          <w:szCs w:val="26"/>
        </w:rPr>
      </w:pPr>
      <w:r>
        <w:rPr>
          <w:rFonts w:ascii="Times New Roman" w:hAnsi="Times New Roman" w:cs="Times New Roman"/>
          <w:i/>
          <w:sz w:val="26"/>
          <w:szCs w:val="26"/>
        </w:rPr>
        <w:t>1</w:t>
      </w:r>
      <w:r w:rsidR="00D836F8" w:rsidRPr="001852E9">
        <w:rPr>
          <w:rFonts w:ascii="Times New Roman" w:hAnsi="Times New Roman" w:cs="Times New Roman"/>
          <w:i/>
          <w:sz w:val="26"/>
          <w:szCs w:val="26"/>
        </w:rPr>
        <w:t>.tabula</w:t>
      </w:r>
      <w:r w:rsidR="00D836F8" w:rsidRPr="001852E9">
        <w:rPr>
          <w:rFonts w:ascii="Times New Roman" w:hAnsi="Times New Roman" w:cs="Times New Roman"/>
          <w:sz w:val="26"/>
          <w:szCs w:val="26"/>
        </w:rPr>
        <w:t xml:space="preserve"> </w:t>
      </w:r>
    </w:p>
    <w:p w:rsidR="00D836F8" w:rsidRDefault="00D836F8" w:rsidP="009055FB">
      <w:pPr>
        <w:pStyle w:val="ListParagraph"/>
        <w:spacing w:after="0" w:line="240" w:lineRule="auto"/>
        <w:ind w:left="0" w:firstLine="709"/>
        <w:jc w:val="center"/>
        <w:rPr>
          <w:rFonts w:ascii="Times New Roman" w:hAnsi="Times New Roman" w:cs="Times New Roman"/>
          <w:b/>
          <w:sz w:val="26"/>
          <w:szCs w:val="26"/>
        </w:rPr>
      </w:pPr>
      <w:r w:rsidRPr="001852E9">
        <w:rPr>
          <w:rFonts w:ascii="Times New Roman" w:hAnsi="Times New Roman" w:cs="Times New Roman"/>
          <w:b/>
          <w:sz w:val="26"/>
          <w:szCs w:val="26"/>
        </w:rPr>
        <w:t>EAIT Augstākās izglītības kvalitātes nodrošināšanas nacionālo sistēmu atsevišķu rādītāju salīdzinājums</w:t>
      </w:r>
      <w:r w:rsidR="004F4EDC" w:rsidRPr="003C6DB9">
        <w:rPr>
          <w:rStyle w:val="FootnoteReference"/>
          <w:rFonts w:ascii="Times New Roman" w:hAnsi="Times New Roman" w:cs="Times New Roman"/>
        </w:rPr>
        <w:footnoteReference w:id="18"/>
      </w:r>
      <w:r w:rsidRPr="001852E9">
        <w:rPr>
          <w:rFonts w:ascii="Times New Roman" w:hAnsi="Times New Roman" w:cs="Times New Roman"/>
          <w:b/>
          <w:sz w:val="26"/>
          <w:szCs w:val="26"/>
        </w:rPr>
        <w:t xml:space="preserve"> </w:t>
      </w:r>
    </w:p>
    <w:p w:rsidR="00D836F8" w:rsidRPr="001852E9" w:rsidRDefault="00D836F8" w:rsidP="009055FB">
      <w:pPr>
        <w:pStyle w:val="ListParagraph"/>
        <w:spacing w:after="0" w:line="240" w:lineRule="auto"/>
        <w:ind w:left="0" w:firstLine="709"/>
        <w:jc w:val="center"/>
        <w:rPr>
          <w:rFonts w:ascii="Times New Roman" w:hAnsi="Times New Roman" w:cs="Times New Roman"/>
          <w:b/>
          <w:sz w:val="26"/>
          <w:szCs w:val="26"/>
        </w:rPr>
      </w:pPr>
    </w:p>
    <w:tbl>
      <w:tblPr>
        <w:tblStyle w:val="TableGrid"/>
        <w:tblW w:w="0" w:type="auto"/>
        <w:tblLayout w:type="fixed"/>
        <w:tblLook w:val="04A0" w:firstRow="1" w:lastRow="0" w:firstColumn="1" w:lastColumn="0" w:noHBand="0" w:noVBand="1"/>
      </w:tblPr>
      <w:tblGrid>
        <w:gridCol w:w="2660"/>
        <w:gridCol w:w="1559"/>
        <w:gridCol w:w="728"/>
        <w:gridCol w:w="831"/>
        <w:gridCol w:w="378"/>
        <w:gridCol w:w="1032"/>
        <w:gridCol w:w="433"/>
        <w:gridCol w:w="1666"/>
      </w:tblGrid>
      <w:tr w:rsidR="00D836F8" w:rsidRPr="001852E9" w:rsidTr="00F048EF">
        <w:tc>
          <w:tcPr>
            <w:tcW w:w="2660" w:type="dxa"/>
            <w:shd w:val="clear" w:color="auto" w:fill="F2F2F2" w:themeFill="background1" w:themeFillShade="F2"/>
          </w:tcPr>
          <w:p w:rsidR="00D836F8" w:rsidRPr="003C6DB9" w:rsidRDefault="00D836F8" w:rsidP="009055FB">
            <w:pPr>
              <w:pStyle w:val="ListParagraph"/>
              <w:ind w:left="0" w:firstLine="709"/>
              <w:rPr>
                <w:rFonts w:ascii="Times New Roman" w:hAnsi="Times New Roman"/>
                <w:i/>
                <w:sz w:val="22"/>
                <w:szCs w:val="22"/>
              </w:rPr>
            </w:pPr>
            <w:r w:rsidRPr="003C6DB9">
              <w:rPr>
                <w:rFonts w:ascii="Times New Roman" w:hAnsi="Times New Roman"/>
                <w:i/>
                <w:sz w:val="22"/>
                <w:szCs w:val="22"/>
              </w:rPr>
              <w:t>Rādītājs</w:t>
            </w:r>
          </w:p>
        </w:tc>
        <w:tc>
          <w:tcPr>
            <w:tcW w:w="3496" w:type="dxa"/>
            <w:gridSpan w:val="4"/>
            <w:shd w:val="clear" w:color="auto" w:fill="F2F2F2" w:themeFill="background1" w:themeFillShade="F2"/>
          </w:tcPr>
          <w:p w:rsidR="00D836F8" w:rsidRPr="003C6DB9" w:rsidRDefault="00D836F8" w:rsidP="009055FB">
            <w:pPr>
              <w:pStyle w:val="ListParagraph"/>
              <w:ind w:left="0" w:firstLine="709"/>
              <w:rPr>
                <w:rFonts w:ascii="Times New Roman" w:hAnsi="Times New Roman"/>
                <w:i/>
                <w:sz w:val="22"/>
                <w:szCs w:val="22"/>
              </w:rPr>
            </w:pPr>
          </w:p>
        </w:tc>
        <w:tc>
          <w:tcPr>
            <w:tcW w:w="3131" w:type="dxa"/>
            <w:gridSpan w:val="3"/>
            <w:shd w:val="clear" w:color="auto" w:fill="F2F2F2" w:themeFill="background1" w:themeFillShade="F2"/>
          </w:tcPr>
          <w:p w:rsidR="00D836F8" w:rsidRPr="003C6DB9" w:rsidRDefault="00D836F8" w:rsidP="009055FB">
            <w:pPr>
              <w:pStyle w:val="ListParagraph"/>
              <w:ind w:left="0" w:firstLine="709"/>
              <w:rPr>
                <w:rFonts w:ascii="Times New Roman" w:hAnsi="Times New Roman"/>
                <w:i/>
                <w:sz w:val="22"/>
                <w:szCs w:val="22"/>
              </w:rPr>
            </w:pPr>
          </w:p>
        </w:tc>
      </w:tr>
      <w:tr w:rsidR="00D836F8" w:rsidRPr="001852E9" w:rsidTr="00F048EF">
        <w:trPr>
          <w:trHeight w:val="451"/>
        </w:trPr>
        <w:tc>
          <w:tcPr>
            <w:tcW w:w="2660" w:type="dxa"/>
            <w:vMerge w:val="restart"/>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Vai nacionāla kvalitātes nodrošināšanas aģentūra ir ENQA locekle?</w:t>
            </w:r>
          </w:p>
        </w:tc>
        <w:tc>
          <w:tcPr>
            <w:tcW w:w="3496" w:type="dxa"/>
            <w:gridSpan w:val="4"/>
          </w:tcPr>
          <w:p w:rsidR="00D836F8" w:rsidRPr="003C6DB9" w:rsidRDefault="00D836F8" w:rsidP="009055FB">
            <w:pPr>
              <w:pStyle w:val="ListParagraph"/>
              <w:ind w:left="0" w:firstLine="709"/>
              <w:rPr>
                <w:rFonts w:ascii="Times New Roman" w:hAnsi="Times New Roman"/>
                <w:sz w:val="22"/>
                <w:szCs w:val="22"/>
              </w:rPr>
            </w:pPr>
            <w:r w:rsidRPr="003C6DB9">
              <w:rPr>
                <w:rFonts w:ascii="Times New Roman" w:hAnsi="Times New Roman"/>
                <w:sz w:val="22"/>
                <w:szCs w:val="22"/>
              </w:rPr>
              <w:t xml:space="preserve">Ir: </w:t>
            </w:r>
          </w:p>
        </w:tc>
        <w:tc>
          <w:tcPr>
            <w:tcW w:w="3131" w:type="dxa"/>
            <w:gridSpan w:val="3"/>
          </w:tcPr>
          <w:p w:rsidR="00D836F8" w:rsidRPr="003C6DB9" w:rsidRDefault="00D836F8" w:rsidP="009055FB">
            <w:pPr>
              <w:pStyle w:val="ListParagraph"/>
              <w:ind w:left="0" w:firstLine="709"/>
              <w:rPr>
                <w:rFonts w:ascii="Times New Roman" w:hAnsi="Times New Roman"/>
                <w:sz w:val="22"/>
                <w:szCs w:val="22"/>
              </w:rPr>
            </w:pPr>
            <w:r w:rsidRPr="003C6DB9">
              <w:rPr>
                <w:rFonts w:ascii="Times New Roman" w:hAnsi="Times New Roman"/>
                <w:sz w:val="22"/>
                <w:szCs w:val="22"/>
              </w:rPr>
              <w:t xml:space="preserve">Nav: </w:t>
            </w:r>
          </w:p>
        </w:tc>
      </w:tr>
      <w:tr w:rsidR="00D836F8" w:rsidRPr="001852E9" w:rsidTr="00F048EF">
        <w:trPr>
          <w:trHeight w:val="1080"/>
        </w:trPr>
        <w:tc>
          <w:tcPr>
            <w:tcW w:w="2660" w:type="dxa"/>
            <w:vMerge/>
            <w:tcBorders>
              <w:bottom w:val="single" w:sz="12" w:space="0" w:color="auto"/>
            </w:tcBorders>
          </w:tcPr>
          <w:p w:rsidR="00D836F8" w:rsidRPr="003C6DB9" w:rsidRDefault="00D836F8" w:rsidP="009055FB">
            <w:pPr>
              <w:pStyle w:val="ListParagraph"/>
              <w:ind w:left="0" w:firstLine="709"/>
              <w:rPr>
                <w:rFonts w:ascii="Times New Roman" w:hAnsi="Times New Roman"/>
                <w:sz w:val="22"/>
                <w:szCs w:val="22"/>
              </w:rPr>
            </w:pPr>
          </w:p>
        </w:tc>
        <w:tc>
          <w:tcPr>
            <w:tcW w:w="3496" w:type="dxa"/>
            <w:gridSpan w:val="4"/>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Austrija, Beļģija, Bulgārija, Horvātija, Čehija, Dānija, Igaunija, Somija, Francija, Vācija, Ungārija, Īrija, Itālija, Lietuva, Nīderlande, Norvēģija, Polija, Rumānija, Krievija, Serbija, Spānija, Zviedrija, Šveice, Lielbritānija</w:t>
            </w:r>
          </w:p>
        </w:tc>
        <w:tc>
          <w:tcPr>
            <w:tcW w:w="3131" w:type="dxa"/>
            <w:gridSpan w:val="3"/>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Andora, Albānija, Armēnija, Azerbaidžāna, Bosnija un Hercegovina, Kipra, Grieķija, Gruzija, Islande, Kazahstāna, Lihtenšteina, Luksemburga, Latvija, Moldova, Melnkalne, Maķedonija, Malta, Portugāle, Slovēnija, Slovākija, Turcija, Ukraina, Svētais Krēsls</w:t>
            </w:r>
          </w:p>
        </w:tc>
      </w:tr>
      <w:tr w:rsidR="00D836F8" w:rsidRPr="001852E9" w:rsidTr="00F048EF">
        <w:trPr>
          <w:trHeight w:val="376"/>
        </w:trPr>
        <w:tc>
          <w:tcPr>
            <w:tcW w:w="2660" w:type="dxa"/>
            <w:vMerge w:val="restart"/>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Vai nacionāla kvalitātes nodrošināšanas aģentūra ir EQAR locekle?</w:t>
            </w:r>
            <w:r w:rsidR="004F4EDC">
              <w:rPr>
                <w:rStyle w:val="FootnoteReference"/>
                <w:rFonts w:ascii="Times New Roman" w:hAnsi="Times New Roman"/>
                <w:sz w:val="22"/>
                <w:szCs w:val="22"/>
              </w:rPr>
              <w:footnoteReference w:id="19"/>
            </w:r>
          </w:p>
        </w:tc>
        <w:tc>
          <w:tcPr>
            <w:tcW w:w="3496" w:type="dxa"/>
            <w:gridSpan w:val="4"/>
            <w:tcBorders>
              <w:top w:val="single" w:sz="12" w:space="0" w:color="auto"/>
            </w:tcBorders>
          </w:tcPr>
          <w:p w:rsidR="00D836F8" w:rsidRPr="003C6DB9" w:rsidRDefault="00D836F8" w:rsidP="009055FB">
            <w:pPr>
              <w:pStyle w:val="ListParagraph"/>
              <w:ind w:left="0" w:firstLine="709"/>
              <w:rPr>
                <w:rFonts w:ascii="Times New Roman" w:hAnsi="Times New Roman"/>
                <w:sz w:val="22"/>
                <w:szCs w:val="22"/>
              </w:rPr>
            </w:pPr>
            <w:r w:rsidRPr="003C6DB9">
              <w:rPr>
                <w:rFonts w:ascii="Times New Roman" w:hAnsi="Times New Roman"/>
                <w:sz w:val="22"/>
                <w:szCs w:val="22"/>
              </w:rPr>
              <w:t>Ir</w:t>
            </w:r>
          </w:p>
        </w:tc>
        <w:tc>
          <w:tcPr>
            <w:tcW w:w="3131" w:type="dxa"/>
            <w:gridSpan w:val="3"/>
            <w:tcBorders>
              <w:top w:val="single" w:sz="12" w:space="0" w:color="auto"/>
            </w:tcBorders>
          </w:tcPr>
          <w:p w:rsidR="00D836F8" w:rsidRPr="003C6DB9" w:rsidRDefault="00D836F8" w:rsidP="009055FB">
            <w:pPr>
              <w:pStyle w:val="ListParagraph"/>
              <w:ind w:left="0" w:firstLine="709"/>
              <w:rPr>
                <w:rFonts w:ascii="Times New Roman" w:hAnsi="Times New Roman"/>
                <w:sz w:val="22"/>
                <w:szCs w:val="22"/>
              </w:rPr>
            </w:pPr>
            <w:r w:rsidRPr="003C6DB9">
              <w:rPr>
                <w:rFonts w:ascii="Times New Roman" w:hAnsi="Times New Roman"/>
                <w:sz w:val="22"/>
                <w:szCs w:val="22"/>
              </w:rPr>
              <w:t>Nav</w:t>
            </w:r>
          </w:p>
        </w:tc>
      </w:tr>
      <w:tr w:rsidR="00D836F8" w:rsidRPr="001852E9" w:rsidTr="00F048EF">
        <w:trPr>
          <w:trHeight w:val="1080"/>
        </w:trPr>
        <w:tc>
          <w:tcPr>
            <w:tcW w:w="2660" w:type="dxa"/>
            <w:vMerge/>
          </w:tcPr>
          <w:p w:rsidR="00D836F8" w:rsidRPr="003C6DB9" w:rsidRDefault="00D836F8" w:rsidP="009055FB">
            <w:pPr>
              <w:pStyle w:val="ListParagraph"/>
              <w:ind w:left="0" w:firstLine="709"/>
              <w:rPr>
                <w:rFonts w:ascii="Times New Roman" w:hAnsi="Times New Roman"/>
                <w:sz w:val="22"/>
                <w:szCs w:val="22"/>
              </w:rPr>
            </w:pPr>
          </w:p>
        </w:tc>
        <w:tc>
          <w:tcPr>
            <w:tcW w:w="3496" w:type="dxa"/>
            <w:gridSpan w:val="4"/>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Beļģija, Bulgārija, Šveice, Vācija, Dānija, Spānija, Somija, Francija, Horvātija, Lietuva, Igaunija, Nīderlande, Polija, Rumānija</w:t>
            </w:r>
            <w:r w:rsidR="004F4EDC">
              <w:rPr>
                <w:rFonts w:ascii="Times New Roman" w:hAnsi="Times New Roman"/>
                <w:sz w:val="22"/>
                <w:szCs w:val="22"/>
              </w:rPr>
              <w:t>, Norvēģija, Slovēnija, Lielbritānija</w:t>
            </w:r>
          </w:p>
        </w:tc>
        <w:tc>
          <w:tcPr>
            <w:tcW w:w="3131" w:type="dxa"/>
            <w:gridSpan w:val="3"/>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Andora, Albānija, Armēnija, Austrija, Azerbaidžāna, Bosnija un Hercegovina, Kipra, Čehija,  Grieķija, Gruzija, Ungārija, Īrija, Islande, Itālija, Kazahstāna, Lihtenšteina, Luksemburga, Latvija, Moldova, Melnkalne, Maķedonija, Malta, Portugāle, Serbija, Krievija, Zviedrija,  Slovākija, Turcija, Ukraina, Svētais Krēsls</w:t>
            </w:r>
          </w:p>
        </w:tc>
      </w:tr>
      <w:tr w:rsidR="00D836F8" w:rsidRPr="001852E9" w:rsidTr="00F048EF">
        <w:trPr>
          <w:trHeight w:val="712"/>
        </w:trPr>
        <w:tc>
          <w:tcPr>
            <w:tcW w:w="2660" w:type="dxa"/>
            <w:vMerge w:val="restart"/>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Vai kvalitātes nodrošināšanas aģentūrai ir lēmumu pieņēmēja vai konsultatīva funkcija?</w:t>
            </w:r>
          </w:p>
        </w:tc>
        <w:tc>
          <w:tcPr>
            <w:tcW w:w="2287" w:type="dxa"/>
            <w:gridSpan w:val="2"/>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Lēmuma pieņēmēja</w:t>
            </w:r>
          </w:p>
        </w:tc>
        <w:tc>
          <w:tcPr>
            <w:tcW w:w="2241" w:type="dxa"/>
            <w:gridSpan w:val="3"/>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Konsultatīva funkcija</w:t>
            </w:r>
          </w:p>
        </w:tc>
        <w:tc>
          <w:tcPr>
            <w:tcW w:w="2099" w:type="dxa"/>
            <w:gridSpan w:val="2"/>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Dažādām aģentūrām atšķirīgi</w:t>
            </w:r>
          </w:p>
        </w:tc>
      </w:tr>
      <w:tr w:rsidR="00D836F8" w:rsidRPr="001852E9" w:rsidTr="00F048EF">
        <w:trPr>
          <w:trHeight w:val="1214"/>
        </w:trPr>
        <w:tc>
          <w:tcPr>
            <w:tcW w:w="2660" w:type="dxa"/>
            <w:vMerge/>
            <w:tcBorders>
              <w:bottom w:val="single" w:sz="12" w:space="0" w:color="auto"/>
            </w:tcBorders>
          </w:tcPr>
          <w:p w:rsidR="00D836F8" w:rsidRPr="003C6DB9" w:rsidRDefault="00D836F8" w:rsidP="009055FB">
            <w:pPr>
              <w:pStyle w:val="ListParagraph"/>
              <w:ind w:left="0" w:firstLine="709"/>
              <w:rPr>
                <w:rFonts w:ascii="Times New Roman" w:hAnsi="Times New Roman"/>
                <w:sz w:val="22"/>
                <w:szCs w:val="22"/>
              </w:rPr>
            </w:pPr>
          </w:p>
        </w:tc>
        <w:tc>
          <w:tcPr>
            <w:tcW w:w="2287" w:type="dxa"/>
            <w:gridSpan w:val="2"/>
            <w:tcBorders>
              <w:bottom w:val="single" w:sz="12" w:space="0" w:color="auto"/>
            </w:tcBorders>
          </w:tcPr>
          <w:p w:rsidR="00D836F8" w:rsidRPr="003C6DB9" w:rsidRDefault="00D836F8" w:rsidP="009055FB">
            <w:pPr>
              <w:pStyle w:val="ListParagraph"/>
              <w:ind w:left="0" w:firstLine="709"/>
              <w:rPr>
                <w:rFonts w:ascii="Times New Roman" w:hAnsi="Times New Roman"/>
                <w:sz w:val="22"/>
                <w:szCs w:val="22"/>
              </w:rPr>
            </w:pPr>
            <w:r w:rsidRPr="003C6DB9">
              <w:rPr>
                <w:rFonts w:ascii="Times New Roman" w:hAnsi="Times New Roman"/>
                <w:sz w:val="22"/>
                <w:szCs w:val="22"/>
              </w:rPr>
              <w:t>21 valsts</w:t>
            </w:r>
          </w:p>
        </w:tc>
        <w:tc>
          <w:tcPr>
            <w:tcW w:w="2241" w:type="dxa"/>
            <w:gridSpan w:val="3"/>
            <w:tcBorders>
              <w:bottom w:val="single" w:sz="12" w:space="0" w:color="auto"/>
            </w:tcBorders>
          </w:tcPr>
          <w:p w:rsidR="00D836F8" w:rsidRPr="003C6DB9" w:rsidRDefault="00D836F8" w:rsidP="009055FB">
            <w:pPr>
              <w:pStyle w:val="ListParagraph"/>
              <w:ind w:left="0" w:firstLine="709"/>
              <w:rPr>
                <w:rFonts w:ascii="Times New Roman" w:hAnsi="Times New Roman"/>
                <w:sz w:val="22"/>
                <w:szCs w:val="22"/>
              </w:rPr>
            </w:pPr>
            <w:r w:rsidRPr="003C6DB9">
              <w:rPr>
                <w:rFonts w:ascii="Times New Roman" w:hAnsi="Times New Roman"/>
                <w:sz w:val="22"/>
                <w:szCs w:val="22"/>
              </w:rPr>
              <w:t>11 valstis</w:t>
            </w:r>
          </w:p>
        </w:tc>
        <w:tc>
          <w:tcPr>
            <w:tcW w:w="2099" w:type="dxa"/>
            <w:gridSpan w:val="2"/>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4 valstis (Austrija, Lihtenšteina, Malta, Šveice)</w:t>
            </w:r>
          </w:p>
        </w:tc>
      </w:tr>
      <w:tr w:rsidR="00D836F8" w:rsidRPr="001852E9" w:rsidTr="00F048EF">
        <w:trPr>
          <w:trHeight w:val="457"/>
        </w:trPr>
        <w:tc>
          <w:tcPr>
            <w:tcW w:w="2660" w:type="dxa"/>
            <w:vMerge w:val="restart"/>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Vai kvalitātes nodrošināšanas aģentūras lēmumam ir ietekme uz finansējuma piešķiršanu augstākās izglītības programmām?</w:t>
            </w:r>
          </w:p>
        </w:tc>
        <w:tc>
          <w:tcPr>
            <w:tcW w:w="3496" w:type="dxa"/>
            <w:gridSpan w:val="4"/>
            <w:tcBorders>
              <w:top w:val="single" w:sz="12" w:space="0" w:color="auto"/>
            </w:tcBorders>
          </w:tcPr>
          <w:p w:rsidR="00D836F8" w:rsidRPr="003C6DB9" w:rsidRDefault="00D836F8" w:rsidP="009055FB">
            <w:pPr>
              <w:rPr>
                <w:rFonts w:ascii="Times New Roman" w:hAnsi="Times New Roman"/>
                <w:sz w:val="22"/>
                <w:szCs w:val="22"/>
              </w:rPr>
            </w:pPr>
            <w:r w:rsidRPr="003C6DB9">
              <w:rPr>
                <w:rFonts w:ascii="Times New Roman" w:hAnsi="Times New Roman"/>
                <w:sz w:val="22"/>
                <w:szCs w:val="22"/>
              </w:rPr>
              <w:t xml:space="preserve">Ir ietekme: </w:t>
            </w:r>
          </w:p>
        </w:tc>
        <w:tc>
          <w:tcPr>
            <w:tcW w:w="3131" w:type="dxa"/>
            <w:gridSpan w:val="3"/>
            <w:tcBorders>
              <w:top w:val="single" w:sz="12" w:space="0" w:color="auto"/>
            </w:tcBorders>
          </w:tcPr>
          <w:p w:rsidR="00D836F8" w:rsidRPr="003C6DB9" w:rsidRDefault="00D836F8" w:rsidP="009055FB">
            <w:pPr>
              <w:pStyle w:val="ListParagraph"/>
              <w:ind w:left="0" w:firstLine="709"/>
              <w:rPr>
                <w:rFonts w:ascii="Times New Roman" w:hAnsi="Times New Roman"/>
                <w:sz w:val="22"/>
                <w:szCs w:val="22"/>
              </w:rPr>
            </w:pPr>
            <w:r w:rsidRPr="003C6DB9">
              <w:rPr>
                <w:rFonts w:ascii="Times New Roman" w:hAnsi="Times New Roman"/>
                <w:sz w:val="22"/>
                <w:szCs w:val="22"/>
              </w:rPr>
              <w:t>Nav ietekmes:</w:t>
            </w:r>
          </w:p>
        </w:tc>
      </w:tr>
      <w:tr w:rsidR="00D836F8" w:rsidRPr="001852E9" w:rsidTr="00F048EF">
        <w:trPr>
          <w:trHeight w:val="1214"/>
        </w:trPr>
        <w:tc>
          <w:tcPr>
            <w:tcW w:w="2660" w:type="dxa"/>
            <w:vMerge/>
            <w:tcBorders>
              <w:bottom w:val="single" w:sz="12" w:space="0" w:color="auto"/>
            </w:tcBorders>
          </w:tcPr>
          <w:p w:rsidR="00D836F8" w:rsidRPr="003C6DB9" w:rsidRDefault="00D836F8" w:rsidP="009055FB">
            <w:pPr>
              <w:pStyle w:val="ListParagraph"/>
              <w:ind w:left="0" w:firstLine="709"/>
              <w:rPr>
                <w:rFonts w:ascii="Times New Roman" w:hAnsi="Times New Roman"/>
                <w:sz w:val="22"/>
                <w:szCs w:val="22"/>
              </w:rPr>
            </w:pPr>
          </w:p>
        </w:tc>
        <w:tc>
          <w:tcPr>
            <w:tcW w:w="3496" w:type="dxa"/>
            <w:gridSpan w:val="4"/>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Piemēram, Francija, Luksemburga, Lielbritānija</w:t>
            </w:r>
          </w:p>
        </w:tc>
        <w:tc>
          <w:tcPr>
            <w:tcW w:w="3131" w:type="dxa"/>
            <w:gridSpan w:val="3"/>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Piemēram, Bulgārija, Kipra, Vācija, Lihtenšteina, Polija</w:t>
            </w:r>
          </w:p>
        </w:tc>
      </w:tr>
      <w:tr w:rsidR="00D836F8" w:rsidRPr="001852E9" w:rsidTr="00F048EF">
        <w:trPr>
          <w:trHeight w:val="1214"/>
        </w:trPr>
        <w:tc>
          <w:tcPr>
            <w:tcW w:w="2660" w:type="dxa"/>
            <w:vMerge w:val="restart"/>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lastRenderedPageBreak/>
              <w:t>Vai AII ārējās kvalitātes novērtēšanu var veikt citas valsts kvalitātes nodrošināšanas aģentūrai?</w:t>
            </w:r>
          </w:p>
        </w:tc>
        <w:tc>
          <w:tcPr>
            <w:tcW w:w="2287" w:type="dxa"/>
            <w:gridSpan w:val="2"/>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Valstis, kurās AII novērtēšanu var veikt citas valsts kvalitātes nodrošināšanas aģentūra</w:t>
            </w:r>
          </w:p>
        </w:tc>
        <w:tc>
          <w:tcPr>
            <w:tcW w:w="2241" w:type="dxa"/>
            <w:gridSpan w:val="3"/>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Valstis, kurās AII novērtēšanu nevar veikt citas valsts kvalitātes nodrošināšanas aģentūra</w:t>
            </w:r>
          </w:p>
        </w:tc>
        <w:tc>
          <w:tcPr>
            <w:tcW w:w="2099" w:type="dxa"/>
            <w:gridSpan w:val="2"/>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Valstis, kurās AII novērtēšanu atsevišķos gadījumos, piemēram, noslēdzot līgumu ar AII un nacionālo aģentūru kā Igaunijā,  var veikt citas valsts kvalitātes nodrošināšanas aģentūra</w:t>
            </w:r>
          </w:p>
        </w:tc>
      </w:tr>
      <w:tr w:rsidR="00D836F8" w:rsidRPr="001852E9" w:rsidTr="00F048EF">
        <w:trPr>
          <w:trHeight w:val="1214"/>
        </w:trPr>
        <w:tc>
          <w:tcPr>
            <w:tcW w:w="2660" w:type="dxa"/>
            <w:vMerge/>
            <w:tcBorders>
              <w:top w:val="single" w:sz="12" w:space="0" w:color="auto"/>
              <w:bottom w:val="single" w:sz="12" w:space="0" w:color="auto"/>
            </w:tcBorders>
          </w:tcPr>
          <w:p w:rsidR="00D836F8" w:rsidRPr="003C6DB9" w:rsidRDefault="00D836F8" w:rsidP="009055FB">
            <w:pPr>
              <w:pStyle w:val="ListParagraph"/>
              <w:ind w:left="0" w:firstLine="709"/>
              <w:rPr>
                <w:rFonts w:ascii="Times New Roman" w:hAnsi="Times New Roman"/>
                <w:sz w:val="22"/>
                <w:szCs w:val="22"/>
              </w:rPr>
            </w:pPr>
          </w:p>
        </w:tc>
        <w:tc>
          <w:tcPr>
            <w:tcW w:w="2287" w:type="dxa"/>
            <w:gridSpan w:val="2"/>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Albānija, Armēnija, Azerbaidžāna, Igaunija, Somija, Horvātija, Kazahstāna, Lihtenšteina, Lietuva, Melnkalne, Nīderlande, Rumānija, Turcija</w:t>
            </w:r>
          </w:p>
        </w:tc>
        <w:tc>
          <w:tcPr>
            <w:tcW w:w="2241" w:type="dxa"/>
            <w:gridSpan w:val="3"/>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Andora, Austrija, Bulgārija, Čehija, Grieķija, Spānija, Francija, Gruzija, Ungārija, Īrija, Islande, Itālija, Luksemburga, Latvija, Malta, Norvēģija, Polija, Serbija, Zviedrija, Slovēnija, Slovākija, Ukraina, Lielbritānija</w:t>
            </w:r>
          </w:p>
        </w:tc>
        <w:tc>
          <w:tcPr>
            <w:tcW w:w="2099" w:type="dxa"/>
            <w:gridSpan w:val="2"/>
            <w:tcBorders>
              <w:bottom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Bosnija un Hercegovina, Beļģija, Šveice, Kipra, Vācija, Dānija, Portugāle, Svētais Krēsls</w:t>
            </w:r>
          </w:p>
        </w:tc>
      </w:tr>
      <w:tr w:rsidR="00D836F8" w:rsidRPr="001852E9" w:rsidTr="00F048EF">
        <w:trPr>
          <w:trHeight w:val="1486"/>
        </w:trPr>
        <w:tc>
          <w:tcPr>
            <w:tcW w:w="2660" w:type="dxa"/>
            <w:vMerge w:val="restart"/>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 xml:space="preserve">Ārējo kvalitātes vērtēšanas sistēmu attīstības pakāpes (2010./2011.) atkarībā no tā, vai kvalitātes nodrošināšanas aģentūru darbs ir novērtēts atbilstoši Eiropas kvalitātes standartiem </w:t>
            </w:r>
          </w:p>
        </w:tc>
        <w:tc>
          <w:tcPr>
            <w:tcW w:w="1559" w:type="dxa"/>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I kategorija – visaugstāk attīstītās sistēmas</w:t>
            </w:r>
          </w:p>
        </w:tc>
        <w:tc>
          <w:tcPr>
            <w:tcW w:w="1559" w:type="dxa"/>
            <w:gridSpan w:val="2"/>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 xml:space="preserve">II kategorija </w:t>
            </w:r>
          </w:p>
        </w:tc>
        <w:tc>
          <w:tcPr>
            <w:tcW w:w="1843" w:type="dxa"/>
            <w:gridSpan w:val="3"/>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III kategorija</w:t>
            </w:r>
          </w:p>
        </w:tc>
        <w:tc>
          <w:tcPr>
            <w:tcW w:w="1666" w:type="dxa"/>
            <w:tcBorders>
              <w:top w:val="single" w:sz="12" w:space="0" w:color="auto"/>
            </w:tcBorders>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IV kategorija – salīdzinoši viszemāk attīstītās sistēmas</w:t>
            </w:r>
          </w:p>
        </w:tc>
      </w:tr>
      <w:tr w:rsidR="00D836F8" w:rsidRPr="001852E9" w:rsidTr="00F048EF">
        <w:trPr>
          <w:trHeight w:val="1214"/>
        </w:trPr>
        <w:tc>
          <w:tcPr>
            <w:tcW w:w="2660" w:type="dxa"/>
            <w:vMerge/>
          </w:tcPr>
          <w:p w:rsidR="00D836F8" w:rsidRPr="003C6DB9" w:rsidRDefault="00D836F8" w:rsidP="009055FB">
            <w:pPr>
              <w:pStyle w:val="ListParagraph"/>
              <w:ind w:left="0" w:firstLine="709"/>
              <w:rPr>
                <w:rFonts w:ascii="Times New Roman" w:hAnsi="Times New Roman"/>
                <w:sz w:val="22"/>
                <w:szCs w:val="22"/>
              </w:rPr>
            </w:pPr>
          </w:p>
        </w:tc>
        <w:tc>
          <w:tcPr>
            <w:tcW w:w="1559" w:type="dxa"/>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Piemēram, Somija, Zviedrija, Norvēģija, Dānija, Polija Čehija, Bulgārija, Rumānija, Horvātija, Austrija, Šveice, Francija, Beļģija, Nīderlande, Īrija, Skotija</w:t>
            </w:r>
          </w:p>
        </w:tc>
        <w:tc>
          <w:tcPr>
            <w:tcW w:w="1559" w:type="dxa"/>
            <w:gridSpan w:val="2"/>
          </w:tcPr>
          <w:p w:rsidR="00D836F8"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Piemēram, Vācija, Spānija, Luksemburga</w:t>
            </w:r>
          </w:p>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Svētais krēsls</w:t>
            </w:r>
          </w:p>
        </w:tc>
        <w:tc>
          <w:tcPr>
            <w:tcW w:w="1843" w:type="dxa"/>
            <w:gridSpan w:val="3"/>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 xml:space="preserve">Piemēram, Igaunija, </w:t>
            </w:r>
            <w:r w:rsidRPr="003C6DB9">
              <w:rPr>
                <w:rFonts w:ascii="Times New Roman" w:hAnsi="Times New Roman"/>
                <w:b/>
                <w:sz w:val="22"/>
                <w:szCs w:val="22"/>
              </w:rPr>
              <w:t>Latvija,</w:t>
            </w:r>
            <w:r w:rsidRPr="003C6DB9">
              <w:rPr>
                <w:rFonts w:ascii="Times New Roman" w:hAnsi="Times New Roman"/>
                <w:sz w:val="22"/>
                <w:szCs w:val="22"/>
              </w:rPr>
              <w:t xml:space="preserve"> Lietuva, Serbija, Gruzija, Malta Armēnija, Turcija, Grieķija, Albānija, Melnkalne, Slovēnija, Portugāle, Islande, Andora, Lihtenšteina</w:t>
            </w:r>
          </w:p>
        </w:tc>
        <w:tc>
          <w:tcPr>
            <w:tcW w:w="1666" w:type="dxa"/>
          </w:tcPr>
          <w:p w:rsidR="00D836F8" w:rsidRPr="003C6DB9" w:rsidRDefault="00D836F8" w:rsidP="009055FB">
            <w:pPr>
              <w:pStyle w:val="ListParagraph"/>
              <w:ind w:left="0"/>
              <w:rPr>
                <w:rFonts w:ascii="Times New Roman" w:hAnsi="Times New Roman"/>
                <w:sz w:val="22"/>
                <w:szCs w:val="22"/>
              </w:rPr>
            </w:pPr>
            <w:r w:rsidRPr="003C6DB9">
              <w:rPr>
                <w:rFonts w:ascii="Times New Roman" w:hAnsi="Times New Roman"/>
                <w:sz w:val="22"/>
                <w:szCs w:val="22"/>
              </w:rPr>
              <w:t>Turcija, Azerbaidžāna, Ukraina, Slovākija, Bosnija un Hercegovina, Itālija, Kazahstāna</w:t>
            </w:r>
          </w:p>
        </w:tc>
      </w:tr>
    </w:tbl>
    <w:p w:rsidR="00D836F8" w:rsidRPr="001852E9" w:rsidRDefault="00D836F8" w:rsidP="009055FB">
      <w:pPr>
        <w:spacing w:after="0" w:line="240" w:lineRule="auto"/>
        <w:jc w:val="both"/>
        <w:rPr>
          <w:rFonts w:ascii="Times New Roman" w:hAnsi="Times New Roman" w:cs="Times New Roman"/>
          <w:sz w:val="26"/>
          <w:szCs w:val="26"/>
        </w:rPr>
      </w:pPr>
    </w:p>
    <w:p w:rsidR="00D02539" w:rsidRPr="00242531" w:rsidRDefault="00D02539" w:rsidP="009055FB">
      <w:pPr>
        <w:spacing w:after="0" w:line="240" w:lineRule="auto"/>
        <w:jc w:val="both"/>
        <w:rPr>
          <w:rFonts w:ascii="Times New Roman" w:hAnsi="Times New Roman" w:cs="Times New Roman"/>
          <w:sz w:val="24"/>
          <w:szCs w:val="24"/>
        </w:rPr>
      </w:pPr>
    </w:p>
    <w:p w:rsidR="006E5454" w:rsidRDefault="0076340B" w:rsidP="009055FB">
      <w:pPr>
        <w:pStyle w:val="Heading2"/>
        <w:spacing w:before="0" w:line="240" w:lineRule="auto"/>
        <w:rPr>
          <w:rFonts w:ascii="Times New Roman" w:hAnsi="Times New Roman" w:cs="Times New Roman"/>
          <w:b/>
          <w:noProof/>
          <w:color w:val="auto"/>
          <w:sz w:val="28"/>
          <w:szCs w:val="28"/>
        </w:rPr>
      </w:pPr>
      <w:bookmarkStart w:id="10" w:name="_Toc395890862"/>
      <w:r>
        <w:rPr>
          <w:rFonts w:ascii="Times New Roman" w:hAnsi="Times New Roman" w:cs="Times New Roman"/>
          <w:b/>
          <w:noProof/>
          <w:color w:val="auto"/>
          <w:sz w:val="28"/>
          <w:szCs w:val="28"/>
        </w:rPr>
        <w:t>2</w:t>
      </w:r>
      <w:r w:rsidR="00EC60AE">
        <w:rPr>
          <w:rFonts w:ascii="Times New Roman" w:hAnsi="Times New Roman" w:cs="Times New Roman"/>
          <w:b/>
          <w:noProof/>
          <w:color w:val="auto"/>
          <w:sz w:val="28"/>
          <w:szCs w:val="28"/>
        </w:rPr>
        <w:t xml:space="preserve">.3. </w:t>
      </w:r>
      <w:r w:rsidR="006E5454" w:rsidRPr="00EC60AE">
        <w:rPr>
          <w:rFonts w:ascii="Times New Roman" w:hAnsi="Times New Roman" w:cs="Times New Roman"/>
          <w:b/>
          <w:noProof/>
          <w:color w:val="auto"/>
          <w:sz w:val="28"/>
          <w:szCs w:val="28"/>
        </w:rPr>
        <w:t>Eiropas augstākās izglītības kvalitātes nodrošināšanas reģistrs</w:t>
      </w:r>
      <w:bookmarkEnd w:id="10"/>
    </w:p>
    <w:p w:rsidR="00684F09" w:rsidRPr="00684F09" w:rsidRDefault="00684F09" w:rsidP="009055FB">
      <w:pPr>
        <w:spacing w:after="0" w:line="240" w:lineRule="auto"/>
      </w:pPr>
    </w:p>
    <w:p w:rsidR="006D7794" w:rsidRPr="00666FF4" w:rsidRDefault="006D7794" w:rsidP="009055FB">
      <w:pPr>
        <w:autoSpaceDE w:val="0"/>
        <w:autoSpaceDN w:val="0"/>
        <w:adjustRightInd w:val="0"/>
        <w:spacing w:after="0" w:line="240" w:lineRule="auto"/>
        <w:ind w:firstLine="567"/>
        <w:jc w:val="both"/>
        <w:rPr>
          <w:rFonts w:ascii="Times New Roman" w:hAnsi="Times New Roman" w:cs="Times New Roman"/>
          <w:sz w:val="26"/>
          <w:szCs w:val="26"/>
        </w:rPr>
      </w:pPr>
      <w:r w:rsidRPr="00666FF4">
        <w:rPr>
          <w:rFonts w:ascii="Times New Roman" w:hAnsi="Times New Roman" w:cs="Times New Roman"/>
          <w:sz w:val="26"/>
          <w:szCs w:val="26"/>
        </w:rPr>
        <w:t>Eiropas Parlaments un Eiropas Savienības Padome (turpmāk – Padome) vairākkārt nāca klajā ar ieteikumiem EAIT dalībniekiem, kā veicināt kvalitātes nodrošināš</w:t>
      </w:r>
      <w:r>
        <w:rPr>
          <w:rFonts w:ascii="Times New Roman" w:hAnsi="Times New Roman" w:cs="Times New Roman"/>
          <w:sz w:val="26"/>
          <w:szCs w:val="26"/>
        </w:rPr>
        <w:t>anu augstākajā izglītībā. 1998.</w:t>
      </w:r>
      <w:r w:rsidRPr="00666FF4">
        <w:rPr>
          <w:rFonts w:ascii="Times New Roman" w:hAnsi="Times New Roman" w:cs="Times New Roman"/>
          <w:sz w:val="26"/>
          <w:szCs w:val="26"/>
        </w:rPr>
        <w:t xml:space="preserve">gada ieteikums aicināja atbalstīt pārredzamas kvalitātes </w:t>
      </w:r>
      <w:r w:rsidRPr="00666FF4">
        <w:rPr>
          <w:rFonts w:ascii="Times New Roman" w:hAnsi="Times New Roman" w:cs="Times New Roman"/>
          <w:sz w:val="26"/>
          <w:szCs w:val="26"/>
        </w:rPr>
        <w:lastRenderedPageBreak/>
        <w:t>sistēmas, kā arī nepieciešamības gadījumā tās izveidot</w:t>
      </w:r>
      <w:r w:rsidRPr="00666FF4">
        <w:rPr>
          <w:rStyle w:val="FootnoteReference"/>
          <w:rFonts w:ascii="Times New Roman" w:hAnsi="Times New Roman" w:cs="Times New Roman"/>
          <w:sz w:val="26"/>
          <w:szCs w:val="26"/>
        </w:rPr>
        <w:footnoteReference w:id="20"/>
      </w:r>
      <w:r w:rsidR="00477D1F">
        <w:rPr>
          <w:rFonts w:ascii="Times New Roman" w:hAnsi="Times New Roman" w:cs="Times New Roman"/>
          <w:sz w:val="26"/>
          <w:szCs w:val="26"/>
        </w:rPr>
        <w:t>. Savukārt 2006.</w:t>
      </w:r>
      <w:r w:rsidRPr="00666FF4">
        <w:rPr>
          <w:rFonts w:ascii="Times New Roman" w:hAnsi="Times New Roman" w:cs="Times New Roman"/>
          <w:sz w:val="26"/>
          <w:szCs w:val="26"/>
        </w:rPr>
        <w:t>gada februāra ieteikums aplūkoja turpmāko Eiropas sadarbību augstākās izglītības kvalitātes nodrošināšanā</w:t>
      </w:r>
      <w:r w:rsidRPr="00666FF4">
        <w:rPr>
          <w:rStyle w:val="FootnoteReference"/>
          <w:rFonts w:ascii="Times New Roman" w:hAnsi="Times New Roman" w:cs="Times New Roman"/>
          <w:sz w:val="26"/>
          <w:szCs w:val="26"/>
        </w:rPr>
        <w:footnoteReference w:id="21"/>
      </w:r>
      <w:r w:rsidR="00477D1F">
        <w:rPr>
          <w:rFonts w:ascii="Times New Roman" w:hAnsi="Times New Roman" w:cs="Times New Roman"/>
          <w:sz w:val="26"/>
          <w:szCs w:val="26"/>
        </w:rPr>
        <w:t>. 2006.</w:t>
      </w:r>
      <w:r w:rsidRPr="00666FF4">
        <w:rPr>
          <w:rFonts w:ascii="Times New Roman" w:hAnsi="Times New Roman" w:cs="Times New Roman"/>
          <w:sz w:val="26"/>
          <w:szCs w:val="26"/>
        </w:rPr>
        <w:t xml:space="preserve">gada ieteikuma nolūks bija mudināt </w:t>
      </w:r>
      <w:r w:rsidR="00477D1F">
        <w:rPr>
          <w:rFonts w:ascii="Times New Roman" w:hAnsi="Times New Roman" w:cs="Times New Roman"/>
          <w:sz w:val="26"/>
          <w:szCs w:val="26"/>
        </w:rPr>
        <w:t>augstskolas</w:t>
      </w:r>
      <w:r w:rsidRPr="00666FF4">
        <w:rPr>
          <w:rFonts w:ascii="Times New Roman" w:hAnsi="Times New Roman" w:cs="Times New Roman"/>
          <w:sz w:val="26"/>
          <w:szCs w:val="26"/>
        </w:rPr>
        <w:t xml:space="preserve"> ieviest vai izstrādāt iekšējās kvalitātes nodrošināšanas sistēmas, savukārt kvalitātes nodrošināšanas vai akreditācijas aģentūrām piemērot Eiropas standartus un pamatnostādnes attiecībā uz izglītības kvalitātes nodrošināšanu šajā jomā. Eiropas Parlaments un Padome aicināja valsts institūciju, augstākās izglītības jomas, kvalitātes nodrošināšanas un akreditācijas aģentūru pārstāvjus un sociālos partnerus kopīgi izveidot “Eiropas kvalitātes nodrošināšanas aģentūru reģistru”, kas atļautu </w:t>
      </w:r>
      <w:r w:rsidR="00477D1F">
        <w:rPr>
          <w:rFonts w:ascii="Times New Roman" w:hAnsi="Times New Roman" w:cs="Times New Roman"/>
          <w:sz w:val="26"/>
          <w:szCs w:val="26"/>
        </w:rPr>
        <w:t>augstskolām</w:t>
      </w:r>
      <w:r w:rsidRPr="00666FF4">
        <w:rPr>
          <w:rFonts w:ascii="Times New Roman" w:hAnsi="Times New Roman" w:cs="Times New Roman"/>
          <w:sz w:val="26"/>
          <w:szCs w:val="26"/>
        </w:rPr>
        <w:t xml:space="preserve"> no reģistrētajām aģentūrām izraudzīties vienu, kura atbilst to vajadzībām un profilam. Ieteikums arī aicināja dalībvalstis atļaut </w:t>
      </w:r>
      <w:r w:rsidR="00477D1F">
        <w:rPr>
          <w:rFonts w:ascii="Times New Roman" w:hAnsi="Times New Roman" w:cs="Times New Roman"/>
          <w:sz w:val="26"/>
          <w:szCs w:val="26"/>
        </w:rPr>
        <w:t>augstskolām</w:t>
      </w:r>
      <w:r w:rsidRPr="00666FF4">
        <w:rPr>
          <w:rFonts w:ascii="Times New Roman" w:hAnsi="Times New Roman" w:cs="Times New Roman"/>
          <w:sz w:val="26"/>
          <w:szCs w:val="26"/>
        </w:rPr>
        <w:t xml:space="preserve"> pieprasīt akreditāciju arī no tām reģistrētajām aģentūrām, kas atrodas ārvalstīs, savukārt kvalitātes nodrošināšanas aģentūras tika aicinātas sadarboties, lai vairotu uzticēšanos, kā arī aģentūras tika aicinātas uz to, lai to veiktie novērtējumi būtu atklāti</w:t>
      </w:r>
      <w:r w:rsidRPr="00666FF4">
        <w:rPr>
          <w:rStyle w:val="FootnoteReference"/>
          <w:rFonts w:ascii="Times New Roman" w:hAnsi="Times New Roman" w:cs="Times New Roman"/>
          <w:sz w:val="26"/>
          <w:szCs w:val="26"/>
        </w:rPr>
        <w:footnoteReference w:id="22"/>
      </w:r>
      <w:r w:rsidRPr="00666FF4">
        <w:rPr>
          <w:rFonts w:ascii="Times New Roman" w:hAnsi="Times New Roman" w:cs="Times New Roman"/>
          <w:sz w:val="26"/>
          <w:szCs w:val="26"/>
        </w:rPr>
        <w:t xml:space="preserve">. </w:t>
      </w:r>
    </w:p>
    <w:p w:rsidR="006D7794" w:rsidRPr="00666FF4" w:rsidRDefault="006D7794" w:rsidP="009055FB">
      <w:pPr>
        <w:spacing w:after="0" w:line="240" w:lineRule="auto"/>
        <w:ind w:firstLine="567"/>
        <w:jc w:val="both"/>
        <w:textAlignment w:val="top"/>
        <w:rPr>
          <w:rFonts w:ascii="Times New Roman" w:eastAsia="Times New Roman" w:hAnsi="Times New Roman" w:cs="Times New Roman"/>
          <w:sz w:val="26"/>
          <w:szCs w:val="26"/>
          <w:lang w:eastAsia="lv-LV"/>
        </w:rPr>
      </w:pPr>
      <w:r w:rsidRPr="00D00B6D">
        <w:rPr>
          <w:rFonts w:ascii="Times New Roman" w:eastAsia="Times New Roman" w:hAnsi="Times New Roman" w:cs="Times New Roman"/>
          <w:b/>
          <w:sz w:val="26"/>
          <w:szCs w:val="26"/>
          <w:lang w:eastAsia="lv-LV"/>
        </w:rPr>
        <w:t xml:space="preserve">Iepriekšminēto </w:t>
      </w:r>
      <w:r w:rsidRPr="00D00B6D">
        <w:rPr>
          <w:rFonts w:ascii="Times New Roman" w:hAnsi="Times New Roman" w:cs="Times New Roman"/>
          <w:b/>
          <w:sz w:val="26"/>
          <w:szCs w:val="26"/>
        </w:rPr>
        <w:t xml:space="preserve">Eiropas Parlamenta un Padomes </w:t>
      </w:r>
      <w:r w:rsidRPr="00D00B6D">
        <w:rPr>
          <w:rFonts w:ascii="Times New Roman" w:eastAsia="Times New Roman" w:hAnsi="Times New Roman" w:cs="Times New Roman"/>
          <w:b/>
          <w:sz w:val="26"/>
          <w:szCs w:val="26"/>
          <w:lang w:eastAsia="lv-LV"/>
        </w:rPr>
        <w:t xml:space="preserve">ieteikumu rezultātā 2008.gada martā tika izveidots </w:t>
      </w:r>
      <w:r w:rsidR="00477D1F">
        <w:rPr>
          <w:rFonts w:ascii="Times New Roman" w:eastAsia="Times New Roman" w:hAnsi="Times New Roman" w:cs="Times New Roman"/>
          <w:b/>
          <w:sz w:val="26"/>
          <w:szCs w:val="26"/>
          <w:lang w:eastAsia="lv-LV"/>
        </w:rPr>
        <w:t>EQAR</w:t>
      </w:r>
      <w:r w:rsidRPr="00D00B6D">
        <w:rPr>
          <w:rFonts w:ascii="Times New Roman" w:eastAsia="Times New Roman" w:hAnsi="Times New Roman" w:cs="Times New Roman"/>
          <w:b/>
          <w:sz w:val="26"/>
          <w:szCs w:val="26"/>
          <w:lang w:eastAsia="lv-LV"/>
        </w:rPr>
        <w:t>,</w:t>
      </w:r>
      <w:r w:rsidRPr="00666FF4">
        <w:rPr>
          <w:rFonts w:ascii="Times New Roman" w:eastAsia="Times New Roman" w:hAnsi="Times New Roman" w:cs="Times New Roman"/>
          <w:sz w:val="26"/>
          <w:szCs w:val="26"/>
          <w:lang w:eastAsia="lv-LV"/>
        </w:rPr>
        <w:t xml:space="preserve"> kura galvenais uzdevums ir sniegt sabiedrībai skaidru un ticamu informāciju par Eiropas kvalitātes nodrošināšanas aģentūru (turpmāk – aģentūras) </w:t>
      </w:r>
      <w:r w:rsidR="00117E18">
        <w:rPr>
          <w:rFonts w:ascii="Times New Roman" w:eastAsia="Times New Roman" w:hAnsi="Times New Roman" w:cs="Times New Roman"/>
          <w:sz w:val="26"/>
          <w:szCs w:val="26"/>
          <w:lang w:eastAsia="lv-LV"/>
        </w:rPr>
        <w:t>atbilstību ESG</w:t>
      </w:r>
      <w:r w:rsidRPr="00666FF4">
        <w:rPr>
          <w:rFonts w:ascii="Times New Roman" w:eastAsia="Times New Roman" w:hAnsi="Times New Roman" w:cs="Times New Roman"/>
          <w:sz w:val="26"/>
          <w:szCs w:val="26"/>
          <w:lang w:eastAsia="lv-LV"/>
        </w:rPr>
        <w:t>, tādejādi, veicinot uzticamību Eiropas augstākajai izglītībai. Reģistrs ir publiski pieejams tīmekļa vietnē http://www.eqar.eu.</w:t>
      </w:r>
    </w:p>
    <w:p w:rsidR="006D7794" w:rsidRPr="00666FF4" w:rsidRDefault="006D7794" w:rsidP="009055FB">
      <w:pPr>
        <w:spacing w:after="0" w:line="240" w:lineRule="auto"/>
        <w:ind w:firstLine="567"/>
        <w:jc w:val="both"/>
        <w:rPr>
          <w:rFonts w:ascii="Times New Roman" w:hAnsi="Times New Roman" w:cs="Times New Roman"/>
          <w:sz w:val="26"/>
          <w:szCs w:val="26"/>
        </w:rPr>
      </w:pPr>
      <w:r w:rsidRPr="00666FF4">
        <w:rPr>
          <w:rFonts w:ascii="Times New Roman" w:eastAsia="Times New Roman" w:hAnsi="Times New Roman" w:cs="Times New Roman"/>
          <w:sz w:val="26"/>
          <w:szCs w:val="26"/>
          <w:lang w:eastAsia="lv-LV"/>
        </w:rPr>
        <w:t>Saskaņā ar Boloņas procesa 46 dalībvalstu ministru pilnvarojumu</w:t>
      </w:r>
      <w:r w:rsidRPr="00666FF4">
        <w:rPr>
          <w:rStyle w:val="FootnoteReference"/>
          <w:rFonts w:ascii="Times New Roman" w:eastAsia="Times New Roman" w:hAnsi="Times New Roman" w:cs="Times New Roman"/>
          <w:sz w:val="26"/>
          <w:szCs w:val="26"/>
          <w:lang w:eastAsia="lv-LV"/>
        </w:rPr>
        <w:footnoteReference w:id="23"/>
      </w:r>
      <w:r w:rsidRPr="00666FF4">
        <w:rPr>
          <w:rFonts w:ascii="Times New Roman" w:eastAsia="Times New Roman" w:hAnsi="Times New Roman" w:cs="Times New Roman"/>
          <w:sz w:val="26"/>
          <w:szCs w:val="26"/>
          <w:lang w:eastAsia="lv-LV"/>
        </w:rPr>
        <w:t xml:space="preserve">, </w:t>
      </w:r>
      <w:r w:rsidR="00477D1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izveidoja tā saucamā E4 grupa, kuras sastāvā ir pārstāvji no </w:t>
      </w:r>
      <w:r w:rsidR="00477D1F">
        <w:rPr>
          <w:rFonts w:ascii="Times New Roman" w:eastAsia="Times New Roman" w:hAnsi="Times New Roman" w:cs="Times New Roman"/>
          <w:sz w:val="26"/>
          <w:szCs w:val="26"/>
          <w:lang w:eastAsia="lv-LV"/>
        </w:rPr>
        <w:t>ENQA</w:t>
      </w:r>
      <w:r w:rsidRPr="00666FF4">
        <w:rPr>
          <w:rFonts w:ascii="Times New Roman" w:eastAsia="Times New Roman" w:hAnsi="Times New Roman" w:cs="Times New Roman"/>
          <w:sz w:val="26"/>
          <w:szCs w:val="26"/>
          <w:lang w:eastAsia="lv-LV"/>
        </w:rPr>
        <w:t>,</w:t>
      </w:r>
      <w:r w:rsidR="00477D1F">
        <w:rPr>
          <w:rFonts w:ascii="Times New Roman" w:eastAsia="Times New Roman" w:hAnsi="Times New Roman" w:cs="Times New Roman"/>
          <w:sz w:val="26"/>
          <w:szCs w:val="26"/>
          <w:lang w:eastAsia="lv-LV"/>
        </w:rPr>
        <w:t xml:space="preserve"> ESU</w:t>
      </w:r>
      <w:r w:rsidRPr="00666FF4">
        <w:rPr>
          <w:rFonts w:ascii="Times New Roman" w:eastAsia="Times New Roman" w:hAnsi="Times New Roman" w:cs="Times New Roman"/>
          <w:sz w:val="26"/>
          <w:szCs w:val="26"/>
          <w:lang w:eastAsia="lv-LV"/>
        </w:rPr>
        <w:t>,</w:t>
      </w:r>
      <w:r w:rsidR="00477D1F">
        <w:rPr>
          <w:rFonts w:ascii="Times New Roman" w:eastAsia="Times New Roman" w:hAnsi="Times New Roman" w:cs="Times New Roman"/>
          <w:sz w:val="26"/>
          <w:szCs w:val="26"/>
          <w:lang w:eastAsia="lv-LV"/>
        </w:rPr>
        <w:t xml:space="preserve"> EUA, </w:t>
      </w:r>
      <w:r w:rsidRPr="00666FF4">
        <w:rPr>
          <w:rFonts w:ascii="Times New Roman" w:eastAsia="Times New Roman" w:hAnsi="Times New Roman" w:cs="Times New Roman"/>
          <w:sz w:val="26"/>
          <w:szCs w:val="26"/>
          <w:lang w:eastAsia="lv-LV"/>
        </w:rPr>
        <w:t>EURASHE un</w:t>
      </w:r>
      <w:r w:rsidRPr="00666FF4">
        <w:rPr>
          <w:rFonts w:ascii="Times New Roman" w:hAnsi="Times New Roman" w:cs="Times New Roman"/>
          <w:sz w:val="26"/>
          <w:szCs w:val="26"/>
        </w:rPr>
        <w:t xml:space="preserve"> </w:t>
      </w:r>
      <w:r w:rsidRPr="00666FF4">
        <w:rPr>
          <w:rFonts w:ascii="Times New Roman" w:eastAsia="Times New Roman" w:hAnsi="Times New Roman" w:cs="Times New Roman"/>
          <w:sz w:val="26"/>
          <w:szCs w:val="26"/>
          <w:lang w:eastAsia="lv-LV"/>
        </w:rPr>
        <w:t xml:space="preserve">Eiropas kvalitātes nodrošināšanas aģentūru pārstāvošajām organizācijām, kā arī studentu, universitāšu un citu </w:t>
      </w:r>
      <w:r w:rsidR="00516386" w:rsidRPr="00625425">
        <w:rPr>
          <w:rFonts w:ascii="Times New Roman" w:eastAsia="Times New Roman" w:hAnsi="Times New Roman" w:cs="Times New Roman"/>
          <w:sz w:val="26"/>
          <w:szCs w:val="26"/>
          <w:lang w:eastAsia="lv-LV"/>
        </w:rPr>
        <w:t xml:space="preserve">augstākās izglītības iestāžu (turpmāk –  AII) </w:t>
      </w:r>
      <w:r w:rsidRPr="00625425">
        <w:rPr>
          <w:rFonts w:ascii="Times New Roman" w:eastAsia="Times New Roman" w:hAnsi="Times New Roman" w:cs="Times New Roman"/>
          <w:sz w:val="26"/>
          <w:szCs w:val="26"/>
          <w:lang w:eastAsia="lv-LV"/>
        </w:rPr>
        <w:t xml:space="preserve"> </w:t>
      </w:r>
      <w:r w:rsidRPr="00666FF4">
        <w:rPr>
          <w:rFonts w:ascii="Times New Roman" w:eastAsia="Times New Roman" w:hAnsi="Times New Roman" w:cs="Times New Roman"/>
          <w:sz w:val="26"/>
          <w:szCs w:val="26"/>
          <w:lang w:eastAsia="lv-LV"/>
        </w:rPr>
        <w:t xml:space="preserve">pārstāvji. </w:t>
      </w:r>
    </w:p>
    <w:p w:rsidR="006D7794" w:rsidRPr="00666FF4" w:rsidRDefault="00924452" w:rsidP="009055FB">
      <w:pPr>
        <w:spacing w:after="0" w:line="240" w:lineRule="auto"/>
        <w:ind w:firstLine="567"/>
        <w:jc w:val="both"/>
        <w:textAlignment w:val="top"/>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w:t>
      </w:r>
      <w:r w:rsidR="006D7794" w:rsidRPr="00666FF4">
        <w:rPr>
          <w:rFonts w:ascii="Times New Roman" w:eastAsia="Times New Roman" w:hAnsi="Times New Roman" w:cs="Times New Roman"/>
          <w:sz w:val="26"/>
          <w:szCs w:val="26"/>
          <w:lang w:eastAsia="lv-LV"/>
        </w:rPr>
        <w:t xml:space="preserve">ir šādi mērķi: </w:t>
      </w:r>
    </w:p>
    <w:p w:rsidR="006D7794" w:rsidRPr="00666FF4" w:rsidRDefault="006D7794" w:rsidP="009055FB">
      <w:pPr>
        <w:pStyle w:val="ListParagraph"/>
        <w:numPr>
          <w:ilvl w:val="0"/>
          <w:numId w:val="6"/>
        </w:numPr>
        <w:tabs>
          <w:tab w:val="left" w:pos="1985"/>
        </w:tabs>
        <w:spacing w:after="0" w:line="240" w:lineRule="auto"/>
        <w:ind w:left="1077"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uzlabot aģentūru sniegto pakalpojumu kvalitāti;</w:t>
      </w:r>
    </w:p>
    <w:p w:rsidR="006D7794" w:rsidRPr="00666FF4" w:rsidRDefault="006D7794" w:rsidP="009055FB">
      <w:pPr>
        <w:pStyle w:val="ListParagraph"/>
        <w:numPr>
          <w:ilvl w:val="0"/>
          <w:numId w:val="6"/>
        </w:numPr>
        <w:tabs>
          <w:tab w:val="left" w:pos="1985"/>
        </w:tabs>
        <w:spacing w:after="0" w:line="240" w:lineRule="auto"/>
        <w:ind w:left="1077"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veicināt aģentūru savstarpēju uzticību un paļāvību; </w:t>
      </w:r>
    </w:p>
    <w:p w:rsidR="006D7794" w:rsidRPr="00666FF4" w:rsidRDefault="006D7794" w:rsidP="009055FB">
      <w:pPr>
        <w:pStyle w:val="ListParagraph"/>
        <w:numPr>
          <w:ilvl w:val="0"/>
          <w:numId w:val="6"/>
        </w:numPr>
        <w:tabs>
          <w:tab w:val="left" w:pos="1985"/>
        </w:tabs>
        <w:spacing w:after="0" w:line="240" w:lineRule="auto"/>
        <w:ind w:left="1077"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nodrošināt iespēju AII izvēlēties starp dažādām aģentūrām  (ja tas nav pretrunā ar nacionālo normatīvo regulējumu);</w:t>
      </w:r>
    </w:p>
    <w:p w:rsidR="006D7794" w:rsidRPr="00666FF4" w:rsidRDefault="006D7794" w:rsidP="009055FB">
      <w:pPr>
        <w:pStyle w:val="ListParagraph"/>
        <w:numPr>
          <w:ilvl w:val="0"/>
          <w:numId w:val="6"/>
        </w:numPr>
        <w:tabs>
          <w:tab w:val="left" w:pos="1985"/>
        </w:tabs>
        <w:spacing w:after="0" w:line="240" w:lineRule="auto"/>
        <w:ind w:left="1077" w:firstLine="567"/>
        <w:jc w:val="both"/>
        <w:textAlignment w:val="top"/>
        <w:rPr>
          <w:rFonts w:ascii="Times New Roman" w:hAnsi="Times New Roman" w:cs="Times New Roman"/>
          <w:sz w:val="26"/>
          <w:szCs w:val="26"/>
        </w:rPr>
      </w:pPr>
      <w:r w:rsidRPr="00666FF4">
        <w:rPr>
          <w:rFonts w:ascii="Times New Roman" w:eastAsia="Times New Roman" w:hAnsi="Times New Roman" w:cs="Times New Roman"/>
          <w:sz w:val="26"/>
          <w:szCs w:val="26"/>
          <w:lang w:eastAsia="lv-LV"/>
        </w:rPr>
        <w:t>palielināt uzticību AII kvalitātes garantijām, tādējādi, veicinot arī studentu mobilitāti un savstarpējo grādu un kvalifikāciju atzīšanu.</w:t>
      </w:r>
    </w:p>
    <w:p w:rsidR="006D7794" w:rsidRPr="00666FF4" w:rsidRDefault="006D7794" w:rsidP="009055FB">
      <w:pPr>
        <w:shd w:val="clear" w:color="auto" w:fill="FFFFFF"/>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Aģentūrām, kas vēlas iekļauties </w:t>
      </w:r>
      <w:r w:rsidR="00F41AF4">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ir jāpierāda, ka tās darbojas saskaņā ar </w:t>
      </w:r>
      <w:r w:rsidR="00F41AF4">
        <w:rPr>
          <w:rFonts w:ascii="Times New Roman" w:eastAsia="Times New Roman" w:hAnsi="Times New Roman" w:cs="Times New Roman"/>
          <w:sz w:val="26"/>
          <w:szCs w:val="26"/>
          <w:lang w:eastAsia="lv-LV"/>
        </w:rPr>
        <w:t>ESG</w:t>
      </w:r>
      <w:r w:rsidRPr="00666FF4">
        <w:rPr>
          <w:rFonts w:ascii="Times New Roman" w:eastAsia="Times New Roman" w:hAnsi="Times New Roman" w:cs="Times New Roman"/>
          <w:sz w:val="26"/>
          <w:szCs w:val="26"/>
          <w:lang w:eastAsia="lv-LV"/>
        </w:rPr>
        <w:t xml:space="preserve">. </w:t>
      </w:r>
      <w:r w:rsidR="00F41AF4">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asociācija neiesaistās aģentūru atbilstības </w:t>
      </w:r>
      <w:r w:rsidR="00F41AF4">
        <w:rPr>
          <w:rFonts w:ascii="Times New Roman" w:eastAsia="Times New Roman" w:hAnsi="Times New Roman" w:cs="Times New Roman"/>
          <w:sz w:val="26"/>
          <w:szCs w:val="26"/>
          <w:lang w:eastAsia="lv-LV"/>
        </w:rPr>
        <w:t>ESG</w:t>
      </w:r>
      <w:r w:rsidRPr="00666FF4">
        <w:rPr>
          <w:rFonts w:ascii="Times New Roman" w:eastAsia="Times New Roman" w:hAnsi="Times New Roman" w:cs="Times New Roman"/>
          <w:sz w:val="26"/>
          <w:szCs w:val="26"/>
          <w:lang w:eastAsia="lv-LV"/>
        </w:rPr>
        <w:t xml:space="preserve"> novērtēšanas procesā. Pretendenti tiek aicināti kopā ar uzņemšanas pieteikumu iesniegt </w:t>
      </w:r>
      <w:r w:rsidR="00F41AF4">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arī ārējā, neatkarīgā eksperta (institūcijas) ziņojumu par aģentūras atbilstību </w:t>
      </w:r>
      <w:r w:rsidR="00F41AF4">
        <w:rPr>
          <w:rFonts w:ascii="Times New Roman" w:eastAsia="Times New Roman" w:hAnsi="Times New Roman" w:cs="Times New Roman"/>
          <w:sz w:val="26"/>
          <w:szCs w:val="26"/>
          <w:lang w:eastAsia="lv-LV"/>
        </w:rPr>
        <w:t>ESG</w:t>
      </w:r>
      <w:r w:rsidRPr="00666FF4">
        <w:rPr>
          <w:rFonts w:ascii="Times New Roman" w:eastAsia="Times New Roman" w:hAnsi="Times New Roman" w:cs="Times New Roman"/>
          <w:sz w:val="26"/>
          <w:szCs w:val="26"/>
          <w:lang w:eastAsia="lv-LV"/>
        </w:rPr>
        <w:t xml:space="preserve">. </w:t>
      </w:r>
    </w:p>
    <w:p w:rsidR="006D7794" w:rsidRDefault="00F41AF4" w:rsidP="009055FB">
      <w:pPr>
        <w:spacing w:after="0" w:line="240" w:lineRule="auto"/>
        <w:ind w:firstLine="567"/>
        <w:jc w:val="both"/>
        <w:textAlignment w:val="top"/>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EQAR</w:t>
      </w:r>
      <w:r w:rsidR="006D7794" w:rsidRPr="00666FF4">
        <w:rPr>
          <w:rFonts w:ascii="Times New Roman" w:eastAsia="Times New Roman" w:hAnsi="Times New Roman" w:cs="Times New Roman"/>
          <w:sz w:val="26"/>
          <w:szCs w:val="26"/>
          <w:lang w:eastAsia="lv-LV"/>
        </w:rPr>
        <w:t xml:space="preserve"> lēmējinstitūcija ir </w:t>
      </w:r>
      <w:r>
        <w:rPr>
          <w:rFonts w:ascii="Times New Roman" w:eastAsia="Times New Roman" w:hAnsi="Times New Roman" w:cs="Times New Roman"/>
          <w:sz w:val="26"/>
          <w:szCs w:val="26"/>
          <w:lang w:eastAsia="lv-LV"/>
        </w:rPr>
        <w:t>EQAR</w:t>
      </w:r>
      <w:r w:rsidR="006D7794" w:rsidRPr="00666FF4">
        <w:rPr>
          <w:rFonts w:ascii="Times New Roman" w:eastAsia="Times New Roman" w:hAnsi="Times New Roman" w:cs="Times New Roman"/>
          <w:sz w:val="26"/>
          <w:szCs w:val="26"/>
          <w:lang w:eastAsia="lv-LV"/>
        </w:rPr>
        <w:t xml:space="preserve"> komisija, kas arī pieņem lēmumu par uzņ</w:t>
      </w:r>
      <w:r>
        <w:rPr>
          <w:rFonts w:ascii="Times New Roman" w:eastAsia="Times New Roman" w:hAnsi="Times New Roman" w:cs="Times New Roman"/>
          <w:sz w:val="26"/>
          <w:szCs w:val="26"/>
          <w:lang w:eastAsia="lv-LV"/>
        </w:rPr>
        <w:t>emšanu</w:t>
      </w:r>
      <w:r w:rsidR="006D7794" w:rsidRPr="00666FF4">
        <w:rPr>
          <w:rFonts w:ascii="Times New Roman" w:eastAsia="Times New Roman" w:hAnsi="Times New Roman" w:cs="Times New Roman"/>
          <w:sz w:val="26"/>
          <w:szCs w:val="26"/>
          <w:lang w:eastAsia="lv-LV"/>
        </w:rPr>
        <w:t>, pamatojoties uz ekspert</w:t>
      </w:r>
      <w:r w:rsidR="00924452">
        <w:rPr>
          <w:rFonts w:ascii="Times New Roman" w:eastAsia="Times New Roman" w:hAnsi="Times New Roman" w:cs="Times New Roman"/>
          <w:sz w:val="26"/>
          <w:szCs w:val="26"/>
          <w:lang w:eastAsia="lv-LV"/>
        </w:rPr>
        <w:t>u</w:t>
      </w:r>
      <w:r w:rsidR="006D7794" w:rsidRPr="00666FF4">
        <w:rPr>
          <w:rFonts w:ascii="Times New Roman" w:eastAsia="Times New Roman" w:hAnsi="Times New Roman" w:cs="Times New Roman"/>
          <w:sz w:val="26"/>
          <w:szCs w:val="26"/>
          <w:lang w:eastAsia="lv-LV"/>
        </w:rPr>
        <w:t xml:space="preserve"> ziņojumu un aģentūras sniegto informāciju. Vienlaikus aģentūras pilntiesīgā dalība </w:t>
      </w:r>
      <w:r w:rsidR="006D7794" w:rsidRPr="00D31AA4">
        <w:rPr>
          <w:rFonts w:ascii="Times New Roman" w:eastAsia="Times New Roman" w:hAnsi="Times New Roman" w:cs="Times New Roman"/>
          <w:sz w:val="26"/>
          <w:szCs w:val="26"/>
          <w:lang w:eastAsia="lv-LV"/>
        </w:rPr>
        <w:t>ENQA</w:t>
      </w:r>
      <w:r w:rsidR="006D7794" w:rsidRPr="00666FF4">
        <w:rPr>
          <w:rFonts w:ascii="Times New Roman" w:eastAsia="Times New Roman" w:hAnsi="Times New Roman" w:cs="Times New Roman"/>
          <w:sz w:val="26"/>
          <w:szCs w:val="26"/>
          <w:lang w:eastAsia="lv-LV"/>
        </w:rPr>
        <w:t>, parasti arī ir pa</w:t>
      </w:r>
      <w:r>
        <w:rPr>
          <w:rFonts w:ascii="Times New Roman" w:eastAsia="Times New Roman" w:hAnsi="Times New Roman" w:cs="Times New Roman"/>
          <w:sz w:val="26"/>
          <w:szCs w:val="26"/>
          <w:lang w:eastAsia="lv-LV"/>
        </w:rPr>
        <w:t>matojums aģentūras iekļaušanai EQAR</w:t>
      </w:r>
      <w:r w:rsidR="006D7794" w:rsidRPr="00666FF4">
        <w:rPr>
          <w:rFonts w:ascii="Times New Roman" w:eastAsia="Times New Roman" w:hAnsi="Times New Roman" w:cs="Times New Roman"/>
          <w:sz w:val="26"/>
          <w:szCs w:val="26"/>
          <w:lang w:eastAsia="lv-LV"/>
        </w:rPr>
        <w:t xml:space="preserve">. </w:t>
      </w:r>
    </w:p>
    <w:p w:rsidR="000A7CD0" w:rsidRPr="000A7CD0" w:rsidRDefault="000A7CD0" w:rsidP="009055FB">
      <w:pPr>
        <w:spacing w:after="0" w:line="240" w:lineRule="auto"/>
        <w:ind w:firstLine="567"/>
        <w:jc w:val="both"/>
        <w:textAlignment w:val="top"/>
        <w:rPr>
          <w:rFonts w:ascii="Times New Roman" w:eastAsia="Times New Roman" w:hAnsi="Times New Roman" w:cs="Times New Roman"/>
          <w:sz w:val="26"/>
          <w:szCs w:val="26"/>
          <w:lang w:eastAsia="lv-LV"/>
        </w:rPr>
      </w:pPr>
      <w:r w:rsidRPr="000A7CD0">
        <w:rPr>
          <w:rFonts w:ascii="Times New Roman" w:eastAsia="Times New Roman" w:hAnsi="Times New Roman" w:cs="Times New Roman"/>
          <w:sz w:val="26"/>
          <w:szCs w:val="26"/>
          <w:lang w:eastAsia="lv-LV"/>
        </w:rPr>
        <w:t xml:space="preserve">ENQA - Eiropas asociācija kvalitātes nodrošināšanai augstākajā izglītībā (European Association for Quality Assurance in Higher Education) ir organizācija, kas pārstāv savus biedrus Eiropas līmenī un starptautiski, jo īpaši politisko lēmumu </w:t>
      </w:r>
      <w:r w:rsidRPr="000A7CD0">
        <w:rPr>
          <w:rFonts w:ascii="Times New Roman" w:eastAsia="Times New Roman" w:hAnsi="Times New Roman" w:cs="Times New Roman"/>
          <w:sz w:val="26"/>
          <w:szCs w:val="26"/>
          <w:lang w:eastAsia="lv-LV"/>
        </w:rPr>
        <w:lastRenderedPageBreak/>
        <w:t xml:space="preserve">pieņemšanas procesos un sadarbībā ar ieinteresēto personu organizācijām. Asociācijas mērķis ir saglabāt un uzlabot Eiropas augstākās izglītības kvalitāti augstā līmenī, un darboties kā galvenais virzītājspēks attīstībai kvalitātes nodrošināšanas jautājumos visās Boloņas procesa valstīs. </w:t>
      </w:r>
    </w:p>
    <w:p w:rsidR="000A7CD0" w:rsidRPr="00666FF4" w:rsidRDefault="000A7CD0" w:rsidP="009055FB">
      <w:pPr>
        <w:spacing w:after="0" w:line="240" w:lineRule="auto"/>
        <w:ind w:firstLine="567"/>
        <w:jc w:val="both"/>
        <w:textAlignment w:val="top"/>
        <w:rPr>
          <w:rFonts w:ascii="Times New Roman" w:eastAsia="Times New Roman" w:hAnsi="Times New Roman" w:cs="Times New Roman"/>
          <w:sz w:val="26"/>
          <w:szCs w:val="26"/>
          <w:lang w:eastAsia="lv-LV"/>
        </w:rPr>
      </w:pPr>
      <w:r w:rsidRPr="000A7CD0">
        <w:rPr>
          <w:rFonts w:ascii="Times New Roman" w:eastAsia="Times New Roman" w:hAnsi="Times New Roman" w:cs="Times New Roman"/>
          <w:sz w:val="26"/>
          <w:szCs w:val="26"/>
          <w:lang w:eastAsia="lv-LV"/>
        </w:rPr>
        <w:t>ENQA sekmē šī mērķa sasniegšanu, jo īpaši veicinot Eiropas sadarbību kvalitātes nodrošināšanas augstākajā izglītībā jomā un izplatot informāciju un ekspertīzi starp tās biedriem un ieinteresētajām personām, daloties ar labas prakses piemēriem, tādejādi veicinot Eiropas dimensiju kvalitātes nodrošināšanai.</w:t>
      </w:r>
    </w:p>
    <w:p w:rsidR="00925D37" w:rsidRDefault="00925D37" w:rsidP="009055FB">
      <w:pPr>
        <w:spacing w:after="0" w:line="240" w:lineRule="auto"/>
        <w:ind w:firstLine="567"/>
        <w:jc w:val="right"/>
        <w:textAlignment w:val="top"/>
        <w:rPr>
          <w:rFonts w:ascii="Times New Roman" w:eastAsia="Times New Roman" w:hAnsi="Times New Roman" w:cs="Times New Roman"/>
          <w:i/>
          <w:sz w:val="26"/>
          <w:szCs w:val="26"/>
          <w:lang w:eastAsia="lv-LV"/>
        </w:rPr>
      </w:pPr>
    </w:p>
    <w:p w:rsidR="006D7794" w:rsidRPr="006D7794" w:rsidRDefault="002977BD" w:rsidP="009055FB">
      <w:pPr>
        <w:spacing w:after="0" w:line="240" w:lineRule="auto"/>
        <w:ind w:firstLine="567"/>
        <w:jc w:val="right"/>
        <w:textAlignment w:val="top"/>
        <w:rPr>
          <w:rFonts w:ascii="Times New Roman" w:eastAsia="Times New Roman" w:hAnsi="Times New Roman" w:cs="Times New Roman"/>
          <w:i/>
          <w:sz w:val="26"/>
          <w:szCs w:val="26"/>
          <w:lang w:eastAsia="lv-LV"/>
        </w:rPr>
      </w:pPr>
      <w:r>
        <w:rPr>
          <w:rFonts w:ascii="Times New Roman" w:eastAsia="Times New Roman" w:hAnsi="Times New Roman" w:cs="Times New Roman"/>
          <w:i/>
          <w:sz w:val="26"/>
          <w:szCs w:val="26"/>
          <w:lang w:eastAsia="lv-LV"/>
        </w:rPr>
        <w:t>1</w:t>
      </w:r>
      <w:r w:rsidR="006D7794" w:rsidRPr="006D7794">
        <w:rPr>
          <w:rFonts w:ascii="Times New Roman" w:eastAsia="Times New Roman" w:hAnsi="Times New Roman" w:cs="Times New Roman"/>
          <w:i/>
          <w:sz w:val="26"/>
          <w:szCs w:val="26"/>
          <w:lang w:eastAsia="lv-LV"/>
        </w:rPr>
        <w:t>.attēls</w:t>
      </w:r>
    </w:p>
    <w:p w:rsidR="006D7794" w:rsidRPr="00666FF4" w:rsidRDefault="006D7794" w:rsidP="009055FB">
      <w:pPr>
        <w:spacing w:after="0" w:line="240" w:lineRule="auto"/>
        <w:ind w:firstLine="567"/>
        <w:jc w:val="both"/>
        <w:textAlignment w:val="top"/>
        <w:rPr>
          <w:rFonts w:ascii="Times New Roman" w:eastAsia="Times New Roman" w:hAnsi="Times New Roman" w:cs="Times New Roman"/>
          <w:sz w:val="26"/>
          <w:szCs w:val="26"/>
          <w:lang w:eastAsia="lv-LV"/>
        </w:rPr>
      </w:pPr>
    </w:p>
    <w:p w:rsidR="006D7794" w:rsidRDefault="006D7794" w:rsidP="009055FB">
      <w:pPr>
        <w:spacing w:after="0" w:line="240" w:lineRule="auto"/>
        <w:ind w:firstLine="567"/>
        <w:jc w:val="center"/>
        <w:textAlignment w:val="top"/>
        <w:rPr>
          <w:rFonts w:ascii="Times New Roman" w:eastAsia="Times New Roman" w:hAnsi="Times New Roman" w:cs="Times New Roman"/>
          <w:noProof/>
          <w:sz w:val="26"/>
          <w:szCs w:val="26"/>
          <w:lang w:eastAsia="lv-LV"/>
        </w:rPr>
      </w:pPr>
      <w:r w:rsidRPr="00666FF4">
        <w:rPr>
          <w:rFonts w:ascii="Times New Roman" w:eastAsia="Times New Roman" w:hAnsi="Times New Roman" w:cs="Times New Roman"/>
          <w:b/>
          <w:i/>
          <w:sz w:val="26"/>
          <w:szCs w:val="26"/>
          <w:lang w:eastAsia="lv-LV"/>
        </w:rPr>
        <w:t xml:space="preserve">Pieteikuma par uzņemšanu </w:t>
      </w:r>
      <w:r w:rsidR="00F41AF4">
        <w:rPr>
          <w:rFonts w:ascii="Times New Roman" w:eastAsia="Times New Roman" w:hAnsi="Times New Roman" w:cs="Times New Roman"/>
          <w:b/>
          <w:i/>
          <w:sz w:val="26"/>
          <w:szCs w:val="26"/>
          <w:lang w:eastAsia="lv-LV"/>
        </w:rPr>
        <w:t>EQAR</w:t>
      </w:r>
      <w:r w:rsidRPr="00666FF4">
        <w:rPr>
          <w:rFonts w:ascii="Times New Roman" w:eastAsia="Times New Roman" w:hAnsi="Times New Roman" w:cs="Times New Roman"/>
          <w:b/>
          <w:i/>
          <w:sz w:val="26"/>
          <w:szCs w:val="26"/>
          <w:lang w:eastAsia="lv-LV"/>
        </w:rPr>
        <w:t xml:space="preserve"> iesniegšanas un virzīšanas procedūra</w:t>
      </w:r>
      <w:r w:rsidRPr="00666FF4">
        <w:rPr>
          <w:rFonts w:ascii="Times New Roman" w:eastAsia="Times New Roman" w:hAnsi="Times New Roman" w:cs="Times New Roman"/>
          <w:sz w:val="26"/>
          <w:szCs w:val="26"/>
          <w:lang w:eastAsia="lv-LV"/>
        </w:rPr>
        <w:t xml:space="preserve"> </w:t>
      </w:r>
    </w:p>
    <w:p w:rsidR="002977BD" w:rsidRDefault="002977BD" w:rsidP="009055FB">
      <w:pPr>
        <w:spacing w:after="0" w:line="240" w:lineRule="auto"/>
        <w:ind w:firstLine="567"/>
        <w:jc w:val="center"/>
        <w:textAlignment w:val="top"/>
        <w:rPr>
          <w:rFonts w:ascii="Times New Roman" w:eastAsia="Times New Roman" w:hAnsi="Times New Roman" w:cs="Times New Roman"/>
          <w:noProof/>
          <w:sz w:val="26"/>
          <w:szCs w:val="26"/>
          <w:lang w:eastAsia="lv-LV"/>
        </w:rPr>
      </w:pPr>
    </w:p>
    <w:p w:rsidR="002977BD" w:rsidRDefault="002977BD" w:rsidP="009055FB">
      <w:pPr>
        <w:spacing w:after="0" w:line="240" w:lineRule="auto"/>
        <w:ind w:firstLine="567"/>
        <w:jc w:val="center"/>
        <w:textAlignment w:val="top"/>
        <w:rPr>
          <w:rFonts w:ascii="Times New Roman" w:eastAsia="Times New Roman" w:hAnsi="Times New Roman" w:cs="Times New Roman"/>
          <w:noProof/>
          <w:sz w:val="26"/>
          <w:szCs w:val="26"/>
          <w:lang w:eastAsia="lv-LV"/>
        </w:rPr>
      </w:pPr>
      <w:r>
        <w:rPr>
          <w:rFonts w:ascii="Times New Roman" w:eastAsia="Times New Roman" w:hAnsi="Times New Roman" w:cs="Times New Roman"/>
          <w:noProof/>
          <w:sz w:val="26"/>
          <w:szCs w:val="26"/>
          <w:lang w:eastAsia="lv-LV"/>
        </w:rPr>
        <w:drawing>
          <wp:inline distT="0" distB="0" distL="0" distR="0" wp14:anchorId="292028F6" wp14:editId="51D03BAF">
            <wp:extent cx="5762625" cy="4410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410075"/>
                    </a:xfrm>
                    <a:prstGeom prst="rect">
                      <a:avLst/>
                    </a:prstGeom>
                    <a:noFill/>
                    <a:ln>
                      <a:noFill/>
                    </a:ln>
                  </pic:spPr>
                </pic:pic>
              </a:graphicData>
            </a:graphic>
          </wp:inline>
        </w:drawing>
      </w:r>
    </w:p>
    <w:p w:rsidR="002977BD" w:rsidRPr="00666FF4" w:rsidRDefault="002977BD" w:rsidP="009055FB">
      <w:pPr>
        <w:spacing w:after="0" w:line="240" w:lineRule="auto"/>
        <w:ind w:firstLine="567"/>
        <w:jc w:val="center"/>
        <w:textAlignment w:val="top"/>
        <w:rPr>
          <w:rFonts w:ascii="Times New Roman" w:eastAsia="Times New Roman" w:hAnsi="Times New Roman" w:cs="Times New Roman"/>
          <w:sz w:val="26"/>
          <w:szCs w:val="26"/>
          <w:lang w:eastAsia="lv-LV"/>
        </w:rPr>
      </w:pPr>
    </w:p>
    <w:p w:rsidR="006D7794" w:rsidRPr="00641305" w:rsidRDefault="006D7794" w:rsidP="009055FB">
      <w:pPr>
        <w:autoSpaceDE w:val="0"/>
        <w:autoSpaceDN w:val="0"/>
        <w:adjustRightInd w:val="0"/>
        <w:spacing w:after="0" w:line="240" w:lineRule="auto"/>
        <w:ind w:firstLine="567"/>
        <w:rPr>
          <w:rFonts w:ascii="Times New Roman" w:eastAsia="Times New Roman" w:hAnsi="Times New Roman" w:cs="Times New Roman"/>
          <w:i/>
          <w:lang w:eastAsia="lv-LV"/>
        </w:rPr>
      </w:pPr>
      <w:r w:rsidRPr="00641305">
        <w:rPr>
          <w:rFonts w:ascii="Times New Roman" w:hAnsi="Times New Roman" w:cs="Times New Roman"/>
          <w:color w:val="000000"/>
        </w:rPr>
        <w:t>Avots: EQAR informatīvais materiāls, pieejams http://www.eqar.eu/</w:t>
      </w:r>
    </w:p>
    <w:p w:rsidR="006D7794" w:rsidRPr="00666FF4" w:rsidRDefault="006D7794" w:rsidP="009055FB">
      <w:pPr>
        <w:spacing w:after="0" w:line="240" w:lineRule="auto"/>
        <w:ind w:firstLine="567"/>
        <w:jc w:val="both"/>
        <w:textAlignment w:val="top"/>
        <w:rPr>
          <w:rFonts w:ascii="Times New Roman" w:eastAsia="Times New Roman" w:hAnsi="Times New Roman" w:cs="Times New Roman"/>
          <w:sz w:val="26"/>
          <w:szCs w:val="26"/>
          <w:lang w:eastAsia="lv-LV"/>
        </w:rPr>
      </w:pPr>
    </w:p>
    <w:p w:rsidR="006D7794" w:rsidRPr="00666FF4" w:rsidRDefault="006D7794" w:rsidP="009055FB">
      <w:pPr>
        <w:spacing w:after="0" w:line="240" w:lineRule="auto"/>
        <w:ind w:firstLine="567"/>
        <w:jc w:val="both"/>
        <w:textAlignment w:val="top"/>
        <w:rPr>
          <w:rFonts w:ascii="Times New Roman" w:eastAsia="Times New Roman" w:hAnsi="Times New Roman" w:cs="Times New Roman"/>
          <w:i/>
          <w:sz w:val="26"/>
          <w:szCs w:val="26"/>
          <w:lang w:eastAsia="lv-LV"/>
        </w:rPr>
      </w:pPr>
      <w:r w:rsidRPr="00666FF4">
        <w:rPr>
          <w:rFonts w:ascii="Times New Roman" w:eastAsia="Times New Roman" w:hAnsi="Times New Roman" w:cs="Times New Roman"/>
          <w:sz w:val="26"/>
          <w:szCs w:val="26"/>
          <w:lang w:eastAsia="lv-LV"/>
        </w:rPr>
        <w:t xml:space="preserve">Pieteikuma iesniedzējs var pārsūdzēt nelabvēlīgo </w:t>
      </w:r>
      <w:r w:rsidR="000D143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komisijas lēmumu, iesniedzot apelāciju Apelācijas komisijā. </w:t>
      </w:r>
      <w:r w:rsidR="000D143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komisijas lēmumu var pārsūdzēt gadījumā, ja ir aizdomas par lēmuma pieņemšanas procedūras neievērošanu vai neobjektīvo lēmumu.</w:t>
      </w:r>
    </w:p>
    <w:p w:rsidR="006D7794" w:rsidRPr="00666FF4" w:rsidRDefault="006D7794" w:rsidP="009055FB">
      <w:pPr>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Uzņemšana </w:t>
      </w:r>
      <w:r w:rsidR="000D143F">
        <w:rPr>
          <w:rFonts w:ascii="Times New Roman" w:eastAsia="Times New Roman" w:hAnsi="Times New Roman" w:cs="Times New Roman"/>
          <w:sz w:val="26"/>
          <w:szCs w:val="26"/>
          <w:lang w:eastAsia="lv-LV"/>
        </w:rPr>
        <w:t>EQAR</w:t>
      </w:r>
      <w:r w:rsidRPr="00666FF4">
        <w:rPr>
          <w:rFonts w:ascii="Times New Roman" w:eastAsia="Times New Roman" w:hAnsi="Times New Roman" w:cs="Times New Roman"/>
          <w:sz w:val="26"/>
          <w:szCs w:val="26"/>
          <w:lang w:eastAsia="lv-LV"/>
        </w:rPr>
        <w:t xml:space="preserve"> ir maksas pakalpojums, kas sastāv no:</w:t>
      </w:r>
    </w:p>
    <w:p w:rsidR="006D7794" w:rsidRPr="00666FF4" w:rsidRDefault="006D7794" w:rsidP="009055FB">
      <w:pPr>
        <w:pStyle w:val="ListParagraph"/>
        <w:numPr>
          <w:ilvl w:val="0"/>
          <w:numId w:val="5"/>
        </w:numPr>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 xml:space="preserve">pieteikuma maksas; </w:t>
      </w:r>
    </w:p>
    <w:p w:rsidR="00924452" w:rsidRDefault="006D7794" w:rsidP="009055FB">
      <w:pPr>
        <w:pStyle w:val="ListParagraph"/>
        <w:numPr>
          <w:ilvl w:val="0"/>
          <w:numId w:val="5"/>
        </w:numPr>
        <w:spacing w:after="0" w:line="240" w:lineRule="auto"/>
        <w:ind w:left="760"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ikgadējās dalības maksas.</w:t>
      </w:r>
    </w:p>
    <w:p w:rsidR="006D7794" w:rsidRPr="00924452" w:rsidRDefault="00924452" w:rsidP="009055FB">
      <w:pPr>
        <w:spacing w:after="0" w:line="240" w:lineRule="auto"/>
        <w:jc w:val="both"/>
        <w:textAlignment w:val="top"/>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Jāatzīmē, ka pirms uzņemšanas EQAR aģentūrai ir jāiziet ārējā novērtēšana, ko veic ekspertu grupa un kas ir finansiāli jānodrošina pašai aģentūrai. </w:t>
      </w:r>
      <w:r w:rsidR="006D7794" w:rsidRPr="00924452">
        <w:rPr>
          <w:rFonts w:ascii="Times New Roman" w:eastAsia="Times New Roman" w:hAnsi="Times New Roman" w:cs="Times New Roman"/>
          <w:sz w:val="26"/>
          <w:szCs w:val="26"/>
          <w:lang w:eastAsia="lv-LV"/>
        </w:rPr>
        <w:t xml:space="preserve"> </w:t>
      </w:r>
    </w:p>
    <w:p w:rsidR="006D7794" w:rsidRPr="00666FF4" w:rsidRDefault="006D7794" w:rsidP="009055FB">
      <w:pPr>
        <w:spacing w:after="0" w:line="240" w:lineRule="auto"/>
        <w:ind w:firstLine="567"/>
        <w:jc w:val="both"/>
        <w:textAlignment w:val="top"/>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Aģentūrām, kuru juridiskā adrese ir reģistrēta vienā no Eiropas kultūras konvencijas</w:t>
      </w:r>
      <w:r w:rsidRPr="00666FF4">
        <w:rPr>
          <w:rStyle w:val="FootnoteReference"/>
          <w:rFonts w:ascii="Times New Roman" w:eastAsia="Times New Roman" w:hAnsi="Times New Roman" w:cs="Times New Roman"/>
          <w:sz w:val="26"/>
          <w:szCs w:val="26"/>
          <w:lang w:eastAsia="lv-LV"/>
        </w:rPr>
        <w:footnoteReference w:id="24"/>
      </w:r>
      <w:r w:rsidRPr="00666FF4">
        <w:rPr>
          <w:rFonts w:ascii="Times New Roman" w:eastAsia="Times New Roman" w:hAnsi="Times New Roman" w:cs="Times New Roman"/>
          <w:sz w:val="26"/>
          <w:szCs w:val="26"/>
          <w:lang w:eastAsia="lv-LV"/>
        </w:rPr>
        <w:t xml:space="preserve"> dalībvalstīm, pieteikuma un dalības maksa tiek aprēķināta pēc pazeminātas –„</w:t>
      </w:r>
      <w:r w:rsidR="00C31CE3">
        <w:rPr>
          <w:rFonts w:ascii="Times New Roman" w:eastAsia="Times New Roman" w:hAnsi="Times New Roman" w:cs="Times New Roman"/>
          <w:sz w:val="26"/>
          <w:szCs w:val="26"/>
          <w:lang w:eastAsia="lv-LV"/>
        </w:rPr>
        <w:t>EAIT</w:t>
      </w:r>
      <w:r w:rsidRPr="00666FF4">
        <w:rPr>
          <w:rFonts w:ascii="Times New Roman" w:eastAsia="Times New Roman" w:hAnsi="Times New Roman" w:cs="Times New Roman"/>
          <w:sz w:val="26"/>
          <w:szCs w:val="26"/>
          <w:lang w:eastAsia="lv-LV"/>
        </w:rPr>
        <w:t>” – likmes. Pārējiem pretendentiem ir jāmaksā pilna summa.</w:t>
      </w:r>
    </w:p>
    <w:p w:rsidR="00D54186" w:rsidRDefault="00D54186" w:rsidP="009055FB">
      <w:pPr>
        <w:spacing w:after="0" w:line="240" w:lineRule="auto"/>
        <w:ind w:firstLine="567"/>
        <w:jc w:val="right"/>
        <w:textAlignment w:val="top"/>
        <w:rPr>
          <w:rFonts w:ascii="Times New Roman" w:eastAsia="Times New Roman" w:hAnsi="Times New Roman" w:cs="Times New Roman"/>
          <w:i/>
          <w:sz w:val="26"/>
          <w:szCs w:val="26"/>
          <w:lang w:eastAsia="lv-LV"/>
        </w:rPr>
      </w:pPr>
    </w:p>
    <w:p w:rsidR="006D7794" w:rsidRPr="00315B1C" w:rsidRDefault="002977BD" w:rsidP="009055FB">
      <w:pPr>
        <w:spacing w:after="0" w:line="240" w:lineRule="auto"/>
        <w:ind w:firstLine="567"/>
        <w:jc w:val="right"/>
        <w:textAlignment w:val="top"/>
        <w:rPr>
          <w:rFonts w:ascii="Times New Roman" w:eastAsia="Times New Roman" w:hAnsi="Times New Roman" w:cs="Times New Roman"/>
          <w:i/>
          <w:sz w:val="26"/>
          <w:szCs w:val="26"/>
          <w:lang w:eastAsia="lv-LV"/>
        </w:rPr>
      </w:pPr>
      <w:r>
        <w:rPr>
          <w:rFonts w:ascii="Times New Roman" w:eastAsia="Times New Roman" w:hAnsi="Times New Roman" w:cs="Times New Roman"/>
          <w:i/>
          <w:sz w:val="26"/>
          <w:szCs w:val="26"/>
          <w:lang w:eastAsia="lv-LV"/>
        </w:rPr>
        <w:t>2</w:t>
      </w:r>
      <w:r w:rsidR="006D7794" w:rsidRPr="00315B1C">
        <w:rPr>
          <w:rFonts w:ascii="Times New Roman" w:eastAsia="Times New Roman" w:hAnsi="Times New Roman" w:cs="Times New Roman"/>
          <w:i/>
          <w:sz w:val="26"/>
          <w:szCs w:val="26"/>
          <w:lang w:eastAsia="lv-LV"/>
        </w:rPr>
        <w:t>.tabula</w:t>
      </w:r>
    </w:p>
    <w:p w:rsidR="006D7794" w:rsidRPr="00315B1C" w:rsidRDefault="006D7794" w:rsidP="009055FB">
      <w:pPr>
        <w:spacing w:after="0" w:line="240" w:lineRule="auto"/>
        <w:ind w:firstLine="567"/>
        <w:jc w:val="center"/>
        <w:textAlignment w:val="top"/>
        <w:rPr>
          <w:rFonts w:ascii="Times New Roman" w:eastAsia="Times New Roman" w:hAnsi="Times New Roman" w:cs="Times New Roman"/>
          <w:b/>
          <w:sz w:val="26"/>
          <w:szCs w:val="26"/>
          <w:lang w:eastAsia="lv-LV"/>
        </w:rPr>
      </w:pPr>
      <w:r w:rsidRPr="00315B1C">
        <w:rPr>
          <w:rFonts w:ascii="Times New Roman" w:eastAsia="Times New Roman" w:hAnsi="Times New Roman" w:cs="Times New Roman"/>
          <w:b/>
          <w:sz w:val="26"/>
          <w:szCs w:val="26"/>
          <w:lang w:eastAsia="lv-LV"/>
        </w:rPr>
        <w:t>Reģistra pakalpojumu cenas</w:t>
      </w:r>
    </w:p>
    <w:p w:rsidR="006D7794" w:rsidRPr="00666FF4" w:rsidRDefault="006D7794" w:rsidP="009055FB">
      <w:pPr>
        <w:spacing w:after="0" w:line="240" w:lineRule="auto"/>
        <w:ind w:firstLine="567"/>
        <w:jc w:val="center"/>
        <w:textAlignment w:val="top"/>
        <w:rPr>
          <w:rFonts w:ascii="Times New Roman" w:eastAsia="Times New Roman" w:hAnsi="Times New Roman" w:cs="Times New Roman"/>
          <w:sz w:val="26"/>
          <w:szCs w:val="26"/>
          <w:lang w:eastAsia="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33"/>
        <w:gridCol w:w="1694"/>
        <w:gridCol w:w="1535"/>
        <w:gridCol w:w="1398"/>
      </w:tblGrid>
      <w:tr w:rsidR="006D7794" w:rsidRPr="00666FF4" w:rsidTr="002C1512">
        <w:tc>
          <w:tcPr>
            <w:tcW w:w="2235" w:type="dxa"/>
            <w:vMerge w:val="restart"/>
            <w:tcBorders>
              <w:top w:val="nil"/>
              <w:left w:val="nil"/>
            </w:tcBorders>
            <w:shd w:val="clear" w:color="auto" w:fill="auto"/>
          </w:tcPr>
          <w:p w:rsidR="006D7794" w:rsidRPr="00666FF4" w:rsidRDefault="006D7794" w:rsidP="009055FB">
            <w:pPr>
              <w:spacing w:after="0" w:line="240" w:lineRule="auto"/>
              <w:ind w:firstLine="567"/>
              <w:jc w:val="both"/>
              <w:rPr>
                <w:rFonts w:ascii="Times New Roman" w:eastAsia="Times New Roman" w:hAnsi="Times New Roman" w:cs="Times New Roman"/>
                <w:sz w:val="26"/>
                <w:szCs w:val="26"/>
                <w:lang w:eastAsia="lv-LV"/>
              </w:rPr>
            </w:pPr>
          </w:p>
        </w:tc>
        <w:tc>
          <w:tcPr>
            <w:tcW w:w="3354" w:type="dxa"/>
            <w:gridSpan w:val="2"/>
            <w:shd w:val="clear" w:color="auto" w:fill="auto"/>
          </w:tcPr>
          <w:p w:rsidR="006D7794" w:rsidRPr="002C1512" w:rsidRDefault="00C31CE3" w:rsidP="009055FB">
            <w:pPr>
              <w:spacing w:after="0" w:line="240" w:lineRule="auto"/>
              <w:ind w:firstLine="567"/>
              <w:jc w:val="center"/>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EAIT</w:t>
            </w:r>
            <w:r w:rsidR="006D7794" w:rsidRPr="002C1512">
              <w:rPr>
                <w:rFonts w:ascii="Times New Roman" w:eastAsia="Times New Roman" w:hAnsi="Times New Roman" w:cs="Times New Roman"/>
                <w:i/>
                <w:sz w:val="26"/>
                <w:szCs w:val="26"/>
                <w:lang w:eastAsia="lv-LV"/>
              </w:rPr>
              <w:t xml:space="preserve"> </w:t>
            </w:r>
            <w:r w:rsidR="001538A4">
              <w:rPr>
                <w:rFonts w:ascii="Times New Roman" w:eastAsia="Times New Roman" w:hAnsi="Times New Roman" w:cs="Times New Roman"/>
                <w:i/>
                <w:sz w:val="26"/>
                <w:szCs w:val="26"/>
                <w:lang w:eastAsia="lv-LV"/>
              </w:rPr>
              <w:t>valstīm</w:t>
            </w:r>
            <w:r w:rsidR="001969D7" w:rsidRPr="002C1512">
              <w:rPr>
                <w:rFonts w:ascii="Times New Roman" w:eastAsia="Times New Roman" w:hAnsi="Times New Roman" w:cs="Times New Roman"/>
                <w:i/>
                <w:sz w:val="26"/>
                <w:szCs w:val="26"/>
                <w:lang w:eastAsia="lv-LV"/>
              </w:rPr>
              <w:t xml:space="preserve"> (EUR</w:t>
            </w:r>
            <w:r w:rsidR="006D7794" w:rsidRPr="002C1512">
              <w:rPr>
                <w:rFonts w:ascii="Times New Roman" w:eastAsia="Times New Roman" w:hAnsi="Times New Roman" w:cs="Times New Roman"/>
                <w:i/>
                <w:sz w:val="26"/>
                <w:szCs w:val="26"/>
                <w:lang w:eastAsia="lv-LV"/>
              </w:rPr>
              <w:t>)</w:t>
            </w:r>
          </w:p>
        </w:tc>
        <w:tc>
          <w:tcPr>
            <w:tcW w:w="2933" w:type="dxa"/>
            <w:gridSpan w:val="2"/>
            <w:shd w:val="clear" w:color="auto" w:fill="auto"/>
          </w:tcPr>
          <w:p w:rsidR="006D7794" w:rsidRPr="002C1512" w:rsidRDefault="006D7794" w:rsidP="009055FB">
            <w:pPr>
              <w:spacing w:after="0" w:line="240" w:lineRule="auto"/>
              <w:ind w:firstLine="567"/>
              <w:jc w:val="center"/>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Pilna cena (</w:t>
            </w:r>
            <w:r w:rsidR="001969D7" w:rsidRPr="002C1512">
              <w:rPr>
                <w:rFonts w:ascii="Times New Roman" w:eastAsia="Times New Roman" w:hAnsi="Times New Roman" w:cs="Times New Roman"/>
                <w:i/>
                <w:sz w:val="26"/>
                <w:szCs w:val="26"/>
                <w:lang w:eastAsia="lv-LV"/>
              </w:rPr>
              <w:t>EUR</w:t>
            </w:r>
            <w:r w:rsidRPr="002C1512">
              <w:rPr>
                <w:rFonts w:ascii="Times New Roman" w:eastAsia="Times New Roman" w:hAnsi="Times New Roman" w:cs="Times New Roman"/>
                <w:i/>
                <w:sz w:val="26"/>
                <w:szCs w:val="26"/>
                <w:lang w:eastAsia="lv-LV"/>
              </w:rPr>
              <w:t>)</w:t>
            </w:r>
          </w:p>
        </w:tc>
      </w:tr>
      <w:tr w:rsidR="006D7794" w:rsidRPr="00666FF4" w:rsidTr="002C1512">
        <w:tc>
          <w:tcPr>
            <w:tcW w:w="2235" w:type="dxa"/>
            <w:vMerge/>
            <w:tcBorders>
              <w:left w:val="nil"/>
            </w:tcBorders>
            <w:shd w:val="clear" w:color="auto" w:fill="auto"/>
          </w:tcPr>
          <w:p w:rsidR="006D7794" w:rsidRPr="00666FF4" w:rsidRDefault="006D7794" w:rsidP="009055FB">
            <w:pPr>
              <w:spacing w:after="0" w:line="240" w:lineRule="auto"/>
              <w:ind w:firstLine="567"/>
              <w:jc w:val="both"/>
              <w:rPr>
                <w:rFonts w:ascii="Times New Roman" w:eastAsia="Times New Roman" w:hAnsi="Times New Roman" w:cs="Times New Roman"/>
                <w:sz w:val="26"/>
                <w:szCs w:val="26"/>
                <w:lang w:eastAsia="lv-LV"/>
              </w:rPr>
            </w:pPr>
          </w:p>
        </w:tc>
        <w:tc>
          <w:tcPr>
            <w:tcW w:w="1733" w:type="dxa"/>
            <w:shd w:val="clear" w:color="auto" w:fill="auto"/>
          </w:tcPr>
          <w:p w:rsidR="006D7794" w:rsidRPr="002C1512" w:rsidRDefault="006D7794" w:rsidP="009055FB">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bez PVN</w:t>
            </w:r>
          </w:p>
        </w:tc>
        <w:tc>
          <w:tcPr>
            <w:tcW w:w="1621" w:type="dxa"/>
            <w:shd w:val="clear" w:color="auto" w:fill="auto"/>
          </w:tcPr>
          <w:p w:rsidR="006D7794" w:rsidRPr="002C1512" w:rsidRDefault="006D7794" w:rsidP="009055FB">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ar PVN</w:t>
            </w:r>
          </w:p>
        </w:tc>
        <w:tc>
          <w:tcPr>
            <w:tcW w:w="1535" w:type="dxa"/>
            <w:shd w:val="clear" w:color="auto" w:fill="auto"/>
          </w:tcPr>
          <w:p w:rsidR="006D7794" w:rsidRPr="002C1512" w:rsidRDefault="006D7794" w:rsidP="009055FB">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bez PVN</w:t>
            </w:r>
          </w:p>
        </w:tc>
        <w:tc>
          <w:tcPr>
            <w:tcW w:w="1398" w:type="dxa"/>
            <w:shd w:val="clear" w:color="auto" w:fill="auto"/>
          </w:tcPr>
          <w:p w:rsidR="006D7794" w:rsidRPr="002C1512" w:rsidRDefault="006D7794" w:rsidP="009055FB">
            <w:pPr>
              <w:spacing w:after="0" w:line="240" w:lineRule="auto"/>
              <w:rPr>
                <w:rFonts w:ascii="Times New Roman" w:eastAsia="Times New Roman" w:hAnsi="Times New Roman" w:cs="Times New Roman"/>
                <w:i/>
                <w:sz w:val="26"/>
                <w:szCs w:val="26"/>
                <w:lang w:eastAsia="lv-LV"/>
              </w:rPr>
            </w:pPr>
            <w:r w:rsidRPr="002C1512">
              <w:rPr>
                <w:rFonts w:ascii="Times New Roman" w:eastAsia="Times New Roman" w:hAnsi="Times New Roman" w:cs="Times New Roman"/>
                <w:i/>
                <w:sz w:val="26"/>
                <w:szCs w:val="26"/>
                <w:lang w:eastAsia="lv-LV"/>
              </w:rPr>
              <w:t>ar PVN</w:t>
            </w:r>
          </w:p>
        </w:tc>
      </w:tr>
      <w:tr w:rsidR="006D7794" w:rsidRPr="00666FF4" w:rsidTr="001969D7">
        <w:tc>
          <w:tcPr>
            <w:tcW w:w="2235" w:type="dxa"/>
          </w:tcPr>
          <w:p w:rsidR="006D7794" w:rsidRPr="00666FF4" w:rsidRDefault="006D7794" w:rsidP="009055FB">
            <w:pPr>
              <w:spacing w:after="0" w:line="240" w:lineRule="auto"/>
              <w:jc w:val="both"/>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Pieteikuma maksa</w:t>
            </w:r>
          </w:p>
        </w:tc>
        <w:tc>
          <w:tcPr>
            <w:tcW w:w="1733" w:type="dxa"/>
          </w:tcPr>
          <w:p w:rsidR="006D7794" w:rsidRPr="00666FF4" w:rsidRDefault="001969D7" w:rsidP="009055FB">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1 032,00</w:t>
            </w:r>
          </w:p>
        </w:tc>
        <w:tc>
          <w:tcPr>
            <w:tcW w:w="1621" w:type="dxa"/>
          </w:tcPr>
          <w:p w:rsidR="006D7794" w:rsidRPr="00666FF4" w:rsidRDefault="001969D7" w:rsidP="009055FB">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1 248,72</w:t>
            </w:r>
          </w:p>
        </w:tc>
        <w:tc>
          <w:tcPr>
            <w:tcW w:w="1535" w:type="dxa"/>
          </w:tcPr>
          <w:p w:rsidR="006D7794" w:rsidRPr="00666FF4" w:rsidRDefault="001969D7" w:rsidP="009055FB">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2 064,00</w:t>
            </w:r>
          </w:p>
        </w:tc>
        <w:tc>
          <w:tcPr>
            <w:tcW w:w="1398" w:type="dxa"/>
          </w:tcPr>
          <w:p w:rsidR="006D7794" w:rsidRPr="00666FF4" w:rsidRDefault="001969D7" w:rsidP="009055FB">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2 497,44</w:t>
            </w:r>
          </w:p>
        </w:tc>
      </w:tr>
      <w:tr w:rsidR="006D7794" w:rsidRPr="00666FF4" w:rsidTr="001969D7">
        <w:tc>
          <w:tcPr>
            <w:tcW w:w="2235" w:type="dxa"/>
          </w:tcPr>
          <w:p w:rsidR="006D7794" w:rsidRPr="00666FF4" w:rsidRDefault="006D7794" w:rsidP="009055FB">
            <w:pPr>
              <w:spacing w:after="0" w:line="240" w:lineRule="auto"/>
              <w:jc w:val="both"/>
              <w:rPr>
                <w:rFonts w:ascii="Times New Roman" w:eastAsia="Times New Roman" w:hAnsi="Times New Roman" w:cs="Times New Roman"/>
                <w:sz w:val="26"/>
                <w:szCs w:val="26"/>
                <w:lang w:eastAsia="lv-LV"/>
              </w:rPr>
            </w:pPr>
            <w:r w:rsidRPr="00666FF4">
              <w:rPr>
                <w:rFonts w:ascii="Times New Roman" w:eastAsia="Times New Roman" w:hAnsi="Times New Roman" w:cs="Times New Roman"/>
                <w:sz w:val="26"/>
                <w:szCs w:val="26"/>
                <w:lang w:eastAsia="lv-LV"/>
              </w:rPr>
              <w:t>Dalības maksa</w:t>
            </w:r>
            <w:r w:rsidR="001969D7">
              <w:rPr>
                <w:rFonts w:ascii="Times New Roman" w:eastAsia="Times New Roman" w:hAnsi="Times New Roman" w:cs="Times New Roman"/>
                <w:sz w:val="26"/>
                <w:szCs w:val="26"/>
                <w:lang w:eastAsia="lv-LV"/>
              </w:rPr>
              <w:t xml:space="preserve"> (ikmēnesi)</w:t>
            </w:r>
          </w:p>
        </w:tc>
        <w:tc>
          <w:tcPr>
            <w:tcW w:w="1733" w:type="dxa"/>
          </w:tcPr>
          <w:p w:rsidR="006D7794" w:rsidRPr="00666FF4" w:rsidRDefault="001969D7" w:rsidP="009055FB">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86,00</w:t>
            </w:r>
          </w:p>
        </w:tc>
        <w:tc>
          <w:tcPr>
            <w:tcW w:w="1621" w:type="dxa"/>
          </w:tcPr>
          <w:p w:rsidR="006D7794" w:rsidRPr="00666FF4" w:rsidRDefault="001969D7" w:rsidP="009055FB">
            <w:pPr>
              <w:spacing w:after="0" w:line="240" w:lineRule="auto"/>
              <w:ind w:firstLine="567"/>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104,06</w:t>
            </w:r>
          </w:p>
        </w:tc>
        <w:tc>
          <w:tcPr>
            <w:tcW w:w="1535" w:type="dxa"/>
          </w:tcPr>
          <w:p w:rsidR="006D7794" w:rsidRPr="00666FF4" w:rsidRDefault="001969D7" w:rsidP="009055FB">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172,00</w:t>
            </w:r>
          </w:p>
        </w:tc>
        <w:tc>
          <w:tcPr>
            <w:tcW w:w="1398" w:type="dxa"/>
          </w:tcPr>
          <w:p w:rsidR="006D7794" w:rsidRPr="00666FF4" w:rsidRDefault="001969D7" w:rsidP="009055FB">
            <w:pPr>
              <w:spacing w:after="0" w:line="240" w:lineRule="auto"/>
              <w:jc w:val="righ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208,12</w:t>
            </w:r>
          </w:p>
        </w:tc>
      </w:tr>
    </w:tbl>
    <w:p w:rsidR="00EC60AE" w:rsidRDefault="00EC60AE" w:rsidP="009055FB">
      <w:pPr>
        <w:pStyle w:val="ListParagraph"/>
        <w:spacing w:after="0" w:line="240" w:lineRule="auto"/>
        <w:ind w:left="792"/>
        <w:rPr>
          <w:rFonts w:ascii="Times New Roman" w:hAnsi="Times New Roman" w:cs="Times New Roman"/>
          <w:bCs/>
          <w:noProof/>
          <w:sz w:val="26"/>
          <w:szCs w:val="26"/>
        </w:rPr>
      </w:pPr>
    </w:p>
    <w:p w:rsidR="00D02539" w:rsidRPr="001852E9" w:rsidRDefault="00D02539" w:rsidP="009055FB">
      <w:pPr>
        <w:pStyle w:val="ListParagraph"/>
        <w:spacing w:after="0" w:line="240" w:lineRule="auto"/>
        <w:ind w:left="0" w:firstLine="709"/>
        <w:jc w:val="both"/>
        <w:rPr>
          <w:rFonts w:ascii="Times New Roman" w:hAnsi="Times New Roman" w:cs="Times New Roman"/>
          <w:sz w:val="26"/>
          <w:szCs w:val="26"/>
          <w:lang w:eastAsia="lv-LV"/>
        </w:rPr>
      </w:pPr>
      <w:r w:rsidRPr="001852E9">
        <w:rPr>
          <w:rFonts w:ascii="Times New Roman" w:hAnsi="Times New Roman" w:cs="Times New Roman"/>
          <w:sz w:val="26"/>
          <w:szCs w:val="26"/>
          <w:lang w:eastAsia="lv-LV"/>
        </w:rPr>
        <w:t xml:space="preserve">EQAR galvenais uzdevums ir sniegt sabiedrībai skaidru un ticamu informāciju par Eiropas kvalitātes nodrošināšanas aģentūru darbību, tādejādi, veicinot uzticamību Eiropas augstākajai izglītībai un kas ir Eiropā pirmais mehānisms </w:t>
      </w:r>
      <w:r w:rsidRPr="001852E9">
        <w:rPr>
          <w:rFonts w:ascii="Times New Roman" w:hAnsi="Times New Roman" w:cs="Times New Roman"/>
          <w:i/>
          <w:sz w:val="26"/>
          <w:szCs w:val="26"/>
          <w:lang w:eastAsia="lv-LV"/>
        </w:rPr>
        <w:t>bona fide</w:t>
      </w:r>
      <w:r w:rsidRPr="001852E9">
        <w:rPr>
          <w:rFonts w:ascii="Times New Roman" w:hAnsi="Times New Roman" w:cs="Times New Roman"/>
          <w:sz w:val="26"/>
          <w:szCs w:val="26"/>
          <w:lang w:eastAsia="lv-LV"/>
        </w:rPr>
        <w:t xml:space="preserve"> kvalitātes nodrošināšanas aģentūru identificēšanai neatkarīgi no to statusa (publiska vai privāta) un izcelsmes (EAIT vai ārpus tās)</w:t>
      </w:r>
      <w:r w:rsidRPr="001852E9">
        <w:rPr>
          <w:rStyle w:val="FootnoteReference"/>
          <w:rFonts w:ascii="Times New Roman" w:hAnsi="Times New Roman" w:cs="Times New Roman"/>
          <w:sz w:val="26"/>
          <w:szCs w:val="26"/>
          <w:lang w:eastAsia="lv-LV"/>
        </w:rPr>
        <w:footnoteReference w:id="25"/>
      </w:r>
      <w:r w:rsidRPr="001852E9">
        <w:rPr>
          <w:rFonts w:ascii="Times New Roman" w:hAnsi="Times New Roman" w:cs="Times New Roman"/>
          <w:sz w:val="26"/>
          <w:szCs w:val="26"/>
          <w:lang w:eastAsia="lv-LV"/>
        </w:rPr>
        <w:t xml:space="preserve">. Starp būtiskākajiem uzstādījumiem EAIT veidošanā ir savstarpējas uzticēšanās starp dažādu valstu sistēmām veidošana, tādēļ tik liela simboliska un praktiska nozīme ir piederībai pie ENQA un EQAR, kā arī Eiropas kvalitātes standartu pieņemšanai, kas norāda uz nacionālo sistēmu atbilstību Eiropas augstākajā izglītībā pieņemtiem principiem kvalitatīva novērtējuma pēc salīdzināmiem kritērijiem rezultātā.    </w:t>
      </w:r>
    </w:p>
    <w:p w:rsidR="00D02539" w:rsidRDefault="00D02539" w:rsidP="009055FB">
      <w:pPr>
        <w:pStyle w:val="ListParagraph"/>
        <w:spacing w:after="0" w:line="240" w:lineRule="auto"/>
        <w:ind w:left="792"/>
        <w:rPr>
          <w:rFonts w:ascii="Times New Roman" w:hAnsi="Times New Roman" w:cs="Times New Roman"/>
          <w:bCs/>
          <w:noProof/>
          <w:sz w:val="26"/>
          <w:szCs w:val="26"/>
        </w:rPr>
      </w:pPr>
    </w:p>
    <w:p w:rsidR="006E5454" w:rsidRDefault="00754393" w:rsidP="009055FB">
      <w:pPr>
        <w:pStyle w:val="Heading1"/>
        <w:numPr>
          <w:ilvl w:val="0"/>
          <w:numId w:val="4"/>
        </w:numPr>
        <w:spacing w:before="0" w:line="240" w:lineRule="auto"/>
        <w:jc w:val="center"/>
        <w:rPr>
          <w:rFonts w:ascii="Times New Roman" w:hAnsi="Times New Roman" w:cs="Times New Roman"/>
          <w:color w:val="auto"/>
          <w:sz w:val="32"/>
          <w:szCs w:val="32"/>
        </w:rPr>
      </w:pPr>
      <w:bookmarkStart w:id="11" w:name="_Toc395890863"/>
      <w:r>
        <w:rPr>
          <w:rFonts w:ascii="Times New Roman" w:hAnsi="Times New Roman" w:cs="Times New Roman"/>
          <w:color w:val="auto"/>
          <w:sz w:val="32"/>
          <w:szCs w:val="32"/>
        </w:rPr>
        <w:t>Latvijas augstākās izglītības kvalitātes nodrošināšanas sistēmas izvērtējums</w:t>
      </w:r>
      <w:bookmarkEnd w:id="11"/>
    </w:p>
    <w:p w:rsidR="00852E86" w:rsidRDefault="00852E86" w:rsidP="009055FB">
      <w:pPr>
        <w:spacing w:after="0" w:line="240" w:lineRule="auto"/>
        <w:ind w:firstLine="360"/>
        <w:jc w:val="both"/>
        <w:rPr>
          <w:rFonts w:ascii="Times New Roman" w:hAnsi="Times New Roman" w:cs="Times New Roman"/>
          <w:bCs/>
          <w:noProof/>
          <w:sz w:val="26"/>
          <w:szCs w:val="26"/>
        </w:rPr>
      </w:pPr>
    </w:p>
    <w:p w:rsidR="00513A2F" w:rsidRDefault="00852E86"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1990.gados Latvija bija viena no tām Boloņas procesa valstīm, kas izveidoja augstākās izglītības akreditācijas sistēmu, tādējādi ierindojoties starp augstākās izglītības nacionālo sistēmu attīstības līderiem EAIT</w:t>
      </w:r>
      <w:r w:rsidR="00E43DBE">
        <w:rPr>
          <w:rFonts w:ascii="Times New Roman" w:hAnsi="Times New Roman" w:cs="Times New Roman"/>
          <w:bCs/>
          <w:noProof/>
          <w:sz w:val="26"/>
          <w:szCs w:val="26"/>
        </w:rPr>
        <w:t>.</w:t>
      </w:r>
      <w:r w:rsidR="003C1AF7" w:rsidRPr="00625425">
        <w:rPr>
          <w:rFonts w:ascii="Times New Roman" w:hAnsi="Times New Roman" w:cs="Times New Roman"/>
          <w:bCs/>
          <w:noProof/>
          <w:sz w:val="26"/>
          <w:szCs w:val="26"/>
        </w:rPr>
        <w:t xml:space="preserve"> </w:t>
      </w:r>
      <w:r w:rsidR="00FA6CA3" w:rsidRPr="00625425">
        <w:rPr>
          <w:rFonts w:ascii="Times New Roman" w:hAnsi="Times New Roman" w:cs="Times New Roman"/>
          <w:bCs/>
          <w:noProof/>
          <w:sz w:val="26"/>
          <w:szCs w:val="26"/>
        </w:rPr>
        <w:t xml:space="preserve">Sākot ar 1993.gadu Latvija piedalījās Eiropas un pasaules kvalitātes nodrošināšanas institūciju apvienību un asociāciju dibināšanā un darbībā, tai skaitā, CEEENQA, INQAAHE, ENQA, EQANIE, EAQAN. </w:t>
      </w:r>
      <w:r w:rsidR="001425EF">
        <w:rPr>
          <w:rFonts w:ascii="Times New Roman" w:hAnsi="Times New Roman" w:cs="Times New Roman"/>
          <w:bCs/>
          <w:noProof/>
          <w:sz w:val="26"/>
          <w:szCs w:val="26"/>
        </w:rPr>
        <w:t>Turklāt Latvija ir ratificējusi Lisabonas konvenciju un parakstījusi Boloņas deklarāciju, ar kuru apņemas izveidot ārējās kvalitātes nodrošināšanas sistēmu atbilstoši ESG</w:t>
      </w:r>
      <w:r w:rsidR="001425EF">
        <w:rPr>
          <w:rFonts w:ascii="Times New Roman" w:hAnsi="Times New Roman" w:cs="Times New Roman"/>
          <w:bCs/>
          <w:i/>
          <w:noProof/>
          <w:sz w:val="26"/>
          <w:szCs w:val="26"/>
        </w:rPr>
        <w:t xml:space="preserve">. </w:t>
      </w:r>
      <w:r w:rsidR="00E43DBE">
        <w:rPr>
          <w:rFonts w:ascii="Times New Roman" w:hAnsi="Times New Roman" w:cs="Times New Roman"/>
          <w:bCs/>
          <w:noProof/>
          <w:sz w:val="26"/>
          <w:szCs w:val="26"/>
        </w:rPr>
        <w:t>N</w:t>
      </w:r>
      <w:r w:rsidR="003C1AF7">
        <w:rPr>
          <w:rFonts w:ascii="Times New Roman" w:hAnsi="Times New Roman" w:cs="Times New Roman"/>
          <w:bCs/>
          <w:noProof/>
          <w:sz w:val="26"/>
          <w:szCs w:val="26"/>
        </w:rPr>
        <w:t xml:space="preserve">eskatoties uz to, </w:t>
      </w:r>
      <w:r w:rsidR="003C1AF7" w:rsidRPr="003C1AF7">
        <w:rPr>
          <w:rFonts w:ascii="Times New Roman" w:hAnsi="Times New Roman" w:cs="Times New Roman"/>
          <w:bCs/>
          <w:noProof/>
          <w:sz w:val="26"/>
          <w:szCs w:val="26"/>
        </w:rPr>
        <w:t xml:space="preserve">atšķirībā no citvalstu prakses, Latvijā valsts finansējums ārējās kvalitātes nodrošināšanas aģentūrai netika piešķirts, AIKNC darbu padarot atkarīgu tikai no augstskolu finansējuma. </w:t>
      </w:r>
      <w:r w:rsidR="000A7CD0">
        <w:rPr>
          <w:rFonts w:ascii="Times New Roman" w:hAnsi="Times New Roman" w:cs="Times New Roman"/>
          <w:bCs/>
          <w:noProof/>
          <w:sz w:val="26"/>
          <w:szCs w:val="26"/>
        </w:rPr>
        <w:t>P</w:t>
      </w:r>
      <w:r w:rsidR="004C7B97" w:rsidRPr="004C7B97">
        <w:rPr>
          <w:rFonts w:ascii="Times New Roman" w:hAnsi="Times New Roman" w:cs="Times New Roman"/>
          <w:bCs/>
          <w:noProof/>
          <w:sz w:val="26"/>
          <w:szCs w:val="26"/>
        </w:rPr>
        <w:t xml:space="preserve">ašreiz pastāv </w:t>
      </w:r>
      <w:r>
        <w:rPr>
          <w:rFonts w:ascii="Times New Roman" w:hAnsi="Times New Roman" w:cs="Times New Roman"/>
          <w:bCs/>
          <w:noProof/>
          <w:sz w:val="26"/>
          <w:szCs w:val="26"/>
        </w:rPr>
        <w:t xml:space="preserve">tikai </w:t>
      </w:r>
      <w:r w:rsidR="009B21A5">
        <w:rPr>
          <w:rFonts w:ascii="Times New Roman" w:hAnsi="Times New Roman" w:cs="Times New Roman"/>
          <w:bCs/>
          <w:noProof/>
          <w:sz w:val="26"/>
          <w:szCs w:val="26"/>
        </w:rPr>
        <w:t>atsevišķi kvalitātes nodrošināšanas</w:t>
      </w:r>
      <w:r w:rsidR="004C7B97" w:rsidRPr="004C7B97">
        <w:rPr>
          <w:rFonts w:ascii="Times New Roman" w:hAnsi="Times New Roman" w:cs="Times New Roman"/>
          <w:bCs/>
          <w:noProof/>
          <w:sz w:val="26"/>
          <w:szCs w:val="26"/>
        </w:rPr>
        <w:t xml:space="preserve"> sistēmas elementi</w:t>
      </w:r>
      <w:r>
        <w:rPr>
          <w:rFonts w:ascii="Times New Roman" w:hAnsi="Times New Roman" w:cs="Times New Roman"/>
          <w:bCs/>
          <w:noProof/>
          <w:sz w:val="26"/>
          <w:szCs w:val="26"/>
        </w:rPr>
        <w:t xml:space="preserve"> un </w:t>
      </w:r>
      <w:r w:rsidR="00E66D8B">
        <w:rPr>
          <w:rFonts w:ascii="Times New Roman" w:hAnsi="Times New Roman" w:cs="Times New Roman"/>
          <w:bCs/>
          <w:noProof/>
          <w:sz w:val="26"/>
          <w:szCs w:val="26"/>
        </w:rPr>
        <w:t xml:space="preserve">to nevar nosaukt par vienotu </w:t>
      </w:r>
      <w:r>
        <w:rPr>
          <w:rFonts w:ascii="Times New Roman" w:hAnsi="Times New Roman" w:cs="Times New Roman"/>
          <w:bCs/>
          <w:noProof/>
          <w:sz w:val="26"/>
          <w:szCs w:val="26"/>
        </w:rPr>
        <w:t>sistēmu</w:t>
      </w:r>
      <w:r w:rsidR="00E43DBE">
        <w:rPr>
          <w:rFonts w:ascii="Times New Roman" w:hAnsi="Times New Roman" w:cs="Times New Roman"/>
          <w:bCs/>
          <w:noProof/>
          <w:sz w:val="26"/>
          <w:szCs w:val="26"/>
        </w:rPr>
        <w:t>, kas atbilstu ESG prasībām</w:t>
      </w:r>
      <w:r w:rsidR="00E66D8B">
        <w:rPr>
          <w:rFonts w:ascii="Times New Roman" w:hAnsi="Times New Roman" w:cs="Times New Roman"/>
          <w:bCs/>
          <w:noProof/>
          <w:sz w:val="26"/>
          <w:szCs w:val="26"/>
        </w:rPr>
        <w:t>.</w:t>
      </w:r>
    </w:p>
    <w:p w:rsidR="00C53D8D" w:rsidRDefault="00C53D8D" w:rsidP="009055FB">
      <w:pPr>
        <w:spacing w:after="0" w:line="240" w:lineRule="auto"/>
        <w:jc w:val="both"/>
        <w:rPr>
          <w:rFonts w:ascii="Times New Roman" w:hAnsi="Times New Roman" w:cs="Times New Roman"/>
          <w:bCs/>
          <w:noProof/>
          <w:sz w:val="26"/>
          <w:szCs w:val="26"/>
        </w:rPr>
      </w:pPr>
    </w:p>
    <w:p w:rsidR="00C53D8D" w:rsidRDefault="00C53D8D" w:rsidP="009055FB">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lastRenderedPageBreak/>
        <w:t>Šajā koncepcijas sadaļā ir sniegts būtiskāko risināmo problēmu (izaicinājumu) izklāsts.</w:t>
      </w:r>
    </w:p>
    <w:p w:rsidR="00C53D8D" w:rsidRDefault="00C53D8D" w:rsidP="009055FB">
      <w:pPr>
        <w:spacing w:after="0" w:line="240" w:lineRule="auto"/>
        <w:ind w:firstLine="360"/>
        <w:jc w:val="both"/>
        <w:rPr>
          <w:rFonts w:ascii="Times New Roman" w:hAnsi="Times New Roman" w:cs="Times New Roman"/>
          <w:bCs/>
          <w:noProof/>
          <w:sz w:val="26"/>
          <w:szCs w:val="26"/>
        </w:rPr>
      </w:pPr>
    </w:p>
    <w:p w:rsidR="00C53D8D" w:rsidRPr="00AE7266" w:rsidRDefault="0076340B" w:rsidP="009055FB">
      <w:pPr>
        <w:pStyle w:val="Heading2"/>
        <w:spacing w:before="0" w:line="240" w:lineRule="auto"/>
        <w:rPr>
          <w:rFonts w:ascii="Times New Roman" w:hAnsi="Times New Roman" w:cs="Times New Roman"/>
          <w:b/>
          <w:noProof/>
          <w:color w:val="auto"/>
          <w:sz w:val="28"/>
          <w:szCs w:val="28"/>
        </w:rPr>
      </w:pPr>
      <w:bookmarkStart w:id="12" w:name="_Toc395890864"/>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.1. </w:t>
      </w:r>
      <w:r w:rsidR="00C53D8D" w:rsidRPr="00AE7266">
        <w:rPr>
          <w:rFonts w:ascii="Times New Roman" w:hAnsi="Times New Roman" w:cs="Times New Roman"/>
          <w:b/>
          <w:noProof/>
          <w:color w:val="auto"/>
          <w:sz w:val="28"/>
          <w:szCs w:val="28"/>
        </w:rPr>
        <w:t>Administratīvais slogs</w:t>
      </w:r>
      <w:bookmarkEnd w:id="12"/>
    </w:p>
    <w:p w:rsidR="005A0ED8" w:rsidRDefault="00FD2293"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Bieži akreditācijas un licencēšanas nodrošināšanas process ietver nelietderīgus soļus un darbības, kas primāri saistītas ar starpinstitūciju sadarbības trūkumu.</w:t>
      </w:r>
    </w:p>
    <w:p w:rsidR="00606F65" w:rsidRDefault="009B21A5" w:rsidP="009055FB">
      <w:pPr>
        <w:spacing w:after="0" w:line="240" w:lineRule="auto"/>
        <w:ind w:firstLine="720"/>
        <w:jc w:val="both"/>
        <w:rPr>
          <w:rFonts w:ascii="Times New Roman" w:hAnsi="Times New Roman"/>
          <w:bCs/>
          <w:noProof/>
          <w:sz w:val="26"/>
          <w:szCs w:val="26"/>
        </w:rPr>
      </w:pPr>
      <w:r>
        <w:rPr>
          <w:rFonts w:ascii="Times New Roman" w:hAnsi="Times New Roman" w:cs="Times New Roman"/>
          <w:bCs/>
          <w:noProof/>
          <w:sz w:val="26"/>
          <w:szCs w:val="26"/>
        </w:rPr>
        <w:t xml:space="preserve">Saskaņā ar spēkā esošajiem normatīvajiem aktiem pastāv studiju virzienu akreditācija, kuras laikā tiek izvērtēts gan studiju virziens kopumā, gan tam atbilstošas studiju programmas. Savukārt, licencējot studiju programmu, kas atbilst augstskolā akreditētajam studiju virzienam, tā </w:t>
      </w:r>
      <w:r w:rsidR="005E3A6C">
        <w:rPr>
          <w:rFonts w:ascii="Times New Roman" w:hAnsi="Times New Roman" w:cs="Times New Roman"/>
          <w:bCs/>
          <w:noProof/>
          <w:sz w:val="26"/>
          <w:szCs w:val="26"/>
        </w:rPr>
        <w:t xml:space="preserve">atbilst akreditētās studiju programmas nosacījumam līdz attiecīgā studiju virziena akreditācijai. Tātad, ja studiju virziens jau ir akreditēts, t.sk. novērtēts atbilstoši visiem noteiktajiem kritērijiem, tas nozīmē, ka augstskola jau ir iepriekš sniegusi visu informāciju, kas nepieciešama novērtēšanai, līdz ar to, nevajadzētu atkārtoti sniegt to pašu informāciju, vai atkāroti pārbaudīt to, kas jau tikko tika pārbaudīts. </w:t>
      </w:r>
      <w:r w:rsidR="00EA06DD">
        <w:rPr>
          <w:rFonts w:ascii="Times New Roman" w:hAnsi="Times New Roman" w:cs="Times New Roman"/>
          <w:bCs/>
          <w:noProof/>
          <w:sz w:val="26"/>
          <w:szCs w:val="26"/>
        </w:rPr>
        <w:t xml:space="preserve">Attiecībā uz esošo prasību augstskolām sagatavot ikgadējus pašnovērtējuma ziņojumus, būtu jāizvērtē </w:t>
      </w:r>
      <w:r w:rsidR="00606F65">
        <w:rPr>
          <w:rFonts w:ascii="Times New Roman" w:hAnsi="Times New Roman" w:cs="Times New Roman"/>
          <w:bCs/>
          <w:noProof/>
          <w:sz w:val="26"/>
          <w:szCs w:val="26"/>
        </w:rPr>
        <w:t xml:space="preserve">to </w:t>
      </w:r>
      <w:r w:rsidR="00606F65">
        <w:rPr>
          <w:rFonts w:ascii="Times New Roman" w:hAnsi="Times New Roman"/>
          <w:bCs/>
          <w:noProof/>
          <w:sz w:val="26"/>
          <w:szCs w:val="26"/>
        </w:rPr>
        <w:t>saturu un izstrādes procesu. Jāatsakās no formālu prasību ikgadējas atkārtošanas pašnovērtējumu ziņojumos, uzsvaru liekot uz studiju virziena kvalitātes novērtēšanas ekspertu sniegto ieteikumu ieviešanu, absolventu nodarbinātības monitoringu un citiem būtiskiem indikatoriem.</w:t>
      </w:r>
    </w:p>
    <w:p w:rsidR="005E3A6C" w:rsidRDefault="005E3A6C"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Vienlaikus jāuzsver, ka starpinstitūciju sadarbībai ir jābūt efektīvākai, lai īsākā laika posmā iegūtu vispusīgu informāciju.</w:t>
      </w:r>
    </w:p>
    <w:p w:rsidR="00C53D8D" w:rsidRDefault="00C53D8D" w:rsidP="009055FB">
      <w:pPr>
        <w:pStyle w:val="ListParagraph"/>
        <w:spacing w:after="0" w:line="240" w:lineRule="auto"/>
        <w:ind w:left="792"/>
        <w:jc w:val="both"/>
        <w:rPr>
          <w:rFonts w:ascii="Times New Roman" w:hAnsi="Times New Roman" w:cs="Times New Roman"/>
          <w:bCs/>
          <w:noProof/>
          <w:sz w:val="26"/>
          <w:szCs w:val="26"/>
        </w:rPr>
      </w:pPr>
    </w:p>
    <w:p w:rsidR="00A63A10" w:rsidRPr="00AE7266" w:rsidRDefault="0076340B" w:rsidP="009055FB">
      <w:pPr>
        <w:pStyle w:val="Heading2"/>
        <w:spacing w:before="0" w:line="240" w:lineRule="auto"/>
        <w:rPr>
          <w:rFonts w:ascii="Times New Roman" w:hAnsi="Times New Roman" w:cs="Times New Roman"/>
          <w:b/>
          <w:noProof/>
          <w:color w:val="auto"/>
          <w:sz w:val="28"/>
          <w:szCs w:val="28"/>
        </w:rPr>
      </w:pPr>
      <w:bookmarkStart w:id="13" w:name="_Toc395890865"/>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.2. </w:t>
      </w:r>
      <w:r w:rsidR="00852E86">
        <w:rPr>
          <w:rFonts w:ascii="Times New Roman" w:hAnsi="Times New Roman" w:cs="Times New Roman"/>
          <w:b/>
          <w:noProof/>
          <w:color w:val="auto"/>
          <w:sz w:val="28"/>
          <w:szCs w:val="28"/>
        </w:rPr>
        <w:t>Informācijas p</w:t>
      </w:r>
      <w:r w:rsidR="003B5F73" w:rsidRPr="00AE7266">
        <w:rPr>
          <w:rFonts w:ascii="Times New Roman" w:hAnsi="Times New Roman" w:cs="Times New Roman"/>
          <w:b/>
          <w:noProof/>
          <w:color w:val="auto"/>
          <w:sz w:val="28"/>
          <w:szCs w:val="28"/>
        </w:rPr>
        <w:t>ieejamība</w:t>
      </w:r>
      <w:bookmarkEnd w:id="13"/>
    </w:p>
    <w:p w:rsidR="003C1AF7" w:rsidRPr="003C1AF7" w:rsidRDefault="003C1AF7" w:rsidP="009055FB">
      <w:pPr>
        <w:spacing w:after="0" w:line="240" w:lineRule="auto"/>
        <w:ind w:firstLine="720"/>
        <w:jc w:val="both"/>
        <w:rPr>
          <w:rFonts w:ascii="Times New Roman" w:hAnsi="Times New Roman" w:cs="Times New Roman"/>
          <w:bCs/>
          <w:noProof/>
          <w:sz w:val="26"/>
          <w:szCs w:val="26"/>
        </w:rPr>
      </w:pPr>
      <w:r w:rsidRPr="003C1AF7">
        <w:rPr>
          <w:rFonts w:ascii="Times New Roman" w:hAnsi="Times New Roman" w:cs="Times New Roman"/>
          <w:bCs/>
          <w:noProof/>
          <w:sz w:val="26"/>
          <w:szCs w:val="26"/>
        </w:rPr>
        <w:t>Šobrīd nav vienas institūcijas, kas pilnībā nodrošina akredītaciju un licencēšanu, kas rada neizpratni par to, kur jāvēršas. Trūkst vienuviet pieejamas pilnīgas un ticamas informācijas.</w:t>
      </w:r>
    </w:p>
    <w:p w:rsidR="003C1AF7" w:rsidRPr="003C1AF7" w:rsidRDefault="003C1AF7" w:rsidP="009055FB">
      <w:pPr>
        <w:spacing w:after="0" w:line="240" w:lineRule="auto"/>
        <w:ind w:firstLine="720"/>
        <w:jc w:val="both"/>
        <w:rPr>
          <w:rFonts w:ascii="Times New Roman" w:hAnsi="Times New Roman" w:cs="Times New Roman"/>
          <w:bCs/>
          <w:noProof/>
          <w:sz w:val="26"/>
          <w:szCs w:val="26"/>
        </w:rPr>
      </w:pPr>
      <w:r w:rsidRPr="003C1AF7">
        <w:rPr>
          <w:rFonts w:ascii="Times New Roman" w:hAnsi="Times New Roman" w:cs="Times New Roman"/>
          <w:bCs/>
          <w:noProof/>
          <w:sz w:val="26"/>
          <w:szCs w:val="26"/>
        </w:rPr>
        <w:t xml:space="preserve">Saskaņā ar  spēkā esošajiem normatīvajiem aktiem akreditācijas un licencēšanas procesu organizē IZM. Lēmumu par studiju virzienu akreditāciju pieņem Studiju akreditācijas komisija, kuras sastāvs ir tas pats, kas ir Studiju programmu licencēšanas komisijā, kas pieņem lēmumu par licences izsniegšanu studiju programmai. Savukārt par augstskolu akreditāciju pieņem lēmumu AIP. Ja studiju programmu licencēšanas un studiju virzienu akreditācijas gadījumā ir vērojama sasaiste un konsekvence, jo komisiju sastāvs ir vienāds, tad augstskolu akreditācijas gadījumā tas ir nedaudz atšķirts process. </w:t>
      </w:r>
    </w:p>
    <w:p w:rsidR="005A0ED8" w:rsidRDefault="003C1AF7" w:rsidP="009055FB">
      <w:pPr>
        <w:spacing w:after="0" w:line="240" w:lineRule="auto"/>
        <w:jc w:val="both"/>
        <w:rPr>
          <w:rFonts w:ascii="Times New Roman" w:hAnsi="Times New Roman" w:cs="Times New Roman"/>
          <w:bCs/>
          <w:noProof/>
          <w:sz w:val="26"/>
          <w:szCs w:val="26"/>
        </w:rPr>
      </w:pPr>
      <w:r w:rsidRPr="003C1AF7">
        <w:rPr>
          <w:rFonts w:ascii="Times New Roman" w:hAnsi="Times New Roman" w:cs="Times New Roman"/>
          <w:bCs/>
          <w:noProof/>
          <w:sz w:val="26"/>
          <w:szCs w:val="26"/>
        </w:rPr>
        <w:t xml:space="preserve">Savukārt, publiski pieejama informācija par akreditāciju un licencēšanu ir pieejama ministrijas mājas lapā, IKVD izveidotajā reģistrā, kā arī AIKNC mājas lapā. Jāatzīmē, ka vēsturiskā informācija AIKNC mājas lapā www.aiknc.lv ir svarīga diplomu atzīšanā un šo informāciju </w:t>
      </w:r>
      <w:r w:rsidRPr="00625425">
        <w:rPr>
          <w:rFonts w:ascii="Times New Roman" w:hAnsi="Times New Roman" w:cs="Times New Roman"/>
          <w:bCs/>
          <w:noProof/>
          <w:sz w:val="26"/>
          <w:szCs w:val="26"/>
        </w:rPr>
        <w:t xml:space="preserve">ir </w:t>
      </w:r>
      <w:r w:rsidR="000A7CD0" w:rsidRPr="00625425">
        <w:rPr>
          <w:rFonts w:ascii="Times New Roman" w:hAnsi="Times New Roman" w:cs="Times New Roman"/>
          <w:bCs/>
          <w:noProof/>
          <w:sz w:val="26"/>
          <w:szCs w:val="26"/>
        </w:rPr>
        <w:t xml:space="preserve">ilgstoši </w:t>
      </w:r>
      <w:r w:rsidRPr="003C1AF7">
        <w:rPr>
          <w:rFonts w:ascii="Times New Roman" w:hAnsi="Times New Roman" w:cs="Times New Roman"/>
          <w:bCs/>
          <w:noProof/>
          <w:sz w:val="26"/>
          <w:szCs w:val="26"/>
        </w:rPr>
        <w:t>jāsaglabā.  Ņemot vērā minēto, interesentiem nav īsti skaidrs, kur meklēt ticamo informāciju un kur vērsties jautājumu noskaidrošanai.</w:t>
      </w:r>
    </w:p>
    <w:p w:rsidR="005E3A6C" w:rsidRPr="00FD2293" w:rsidRDefault="005E3A6C" w:rsidP="009055FB">
      <w:pPr>
        <w:spacing w:after="0" w:line="240" w:lineRule="auto"/>
        <w:jc w:val="both"/>
        <w:rPr>
          <w:rFonts w:ascii="Times New Roman" w:hAnsi="Times New Roman" w:cs="Times New Roman"/>
          <w:bCs/>
          <w:noProof/>
          <w:sz w:val="26"/>
          <w:szCs w:val="26"/>
        </w:rPr>
      </w:pPr>
    </w:p>
    <w:p w:rsidR="003B5F73" w:rsidRPr="00AE7266" w:rsidRDefault="0076340B" w:rsidP="009055FB">
      <w:pPr>
        <w:pStyle w:val="Heading2"/>
        <w:spacing w:before="0" w:line="240" w:lineRule="auto"/>
        <w:rPr>
          <w:rFonts w:ascii="Times New Roman" w:hAnsi="Times New Roman" w:cs="Times New Roman"/>
          <w:b/>
          <w:noProof/>
          <w:color w:val="auto"/>
          <w:sz w:val="28"/>
          <w:szCs w:val="28"/>
        </w:rPr>
      </w:pPr>
      <w:bookmarkStart w:id="14" w:name="_Toc395890866"/>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.3. </w:t>
      </w:r>
      <w:r w:rsidR="00F12397" w:rsidRPr="00AE7266">
        <w:rPr>
          <w:rFonts w:ascii="Times New Roman" w:hAnsi="Times New Roman" w:cs="Times New Roman"/>
          <w:b/>
          <w:noProof/>
          <w:color w:val="auto"/>
          <w:sz w:val="28"/>
          <w:szCs w:val="28"/>
        </w:rPr>
        <w:t>E</w:t>
      </w:r>
      <w:r w:rsidR="003B5F73" w:rsidRPr="00AE7266">
        <w:rPr>
          <w:rFonts w:ascii="Times New Roman" w:hAnsi="Times New Roman" w:cs="Times New Roman"/>
          <w:b/>
          <w:noProof/>
          <w:color w:val="auto"/>
          <w:sz w:val="28"/>
          <w:szCs w:val="28"/>
        </w:rPr>
        <w:t>fektivitāte</w:t>
      </w:r>
      <w:bookmarkEnd w:id="14"/>
    </w:p>
    <w:p w:rsidR="00D87CE5" w:rsidRDefault="00F12397"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K</w:t>
      </w:r>
      <w:r w:rsidRPr="00F12397">
        <w:rPr>
          <w:rFonts w:ascii="Times New Roman" w:hAnsi="Times New Roman" w:cs="Times New Roman"/>
          <w:bCs/>
          <w:noProof/>
          <w:sz w:val="26"/>
          <w:szCs w:val="26"/>
        </w:rPr>
        <w:t>valitātes nodrošināšanas procesu efektivitāte</w:t>
      </w:r>
      <w:r>
        <w:rPr>
          <w:rFonts w:ascii="Times New Roman" w:hAnsi="Times New Roman" w:cs="Times New Roman"/>
          <w:bCs/>
          <w:noProof/>
          <w:sz w:val="26"/>
          <w:szCs w:val="26"/>
        </w:rPr>
        <w:t xml:space="preserve">. </w:t>
      </w:r>
      <w:r w:rsidR="00FD2293">
        <w:rPr>
          <w:rFonts w:ascii="Times New Roman" w:hAnsi="Times New Roman" w:cs="Times New Roman"/>
          <w:bCs/>
          <w:noProof/>
          <w:sz w:val="26"/>
          <w:szCs w:val="26"/>
        </w:rPr>
        <w:t>Trūkst vienota redzējuma uz a</w:t>
      </w:r>
      <w:r w:rsidR="00F278E2">
        <w:rPr>
          <w:rFonts w:ascii="Times New Roman" w:hAnsi="Times New Roman" w:cs="Times New Roman"/>
          <w:bCs/>
          <w:noProof/>
          <w:sz w:val="26"/>
          <w:szCs w:val="26"/>
        </w:rPr>
        <w:t>ugstskolu vai studiju virzienu un pastāv f</w:t>
      </w:r>
      <w:r w:rsidR="00FD2293">
        <w:rPr>
          <w:rFonts w:ascii="Times New Roman" w:hAnsi="Times New Roman" w:cs="Times New Roman"/>
          <w:bCs/>
          <w:noProof/>
          <w:sz w:val="26"/>
          <w:szCs w:val="26"/>
        </w:rPr>
        <w:t>ragmentācija</w:t>
      </w:r>
      <w:r w:rsidR="00EA06DD">
        <w:rPr>
          <w:rFonts w:ascii="Times New Roman" w:hAnsi="Times New Roman" w:cs="Times New Roman"/>
          <w:bCs/>
          <w:noProof/>
          <w:sz w:val="26"/>
          <w:szCs w:val="26"/>
        </w:rPr>
        <w:t>, ņemot vērā, ka trūkst vienotas procesa vadības</w:t>
      </w:r>
      <w:r>
        <w:rPr>
          <w:rFonts w:ascii="Times New Roman" w:hAnsi="Times New Roman" w:cs="Times New Roman"/>
          <w:bCs/>
          <w:noProof/>
          <w:sz w:val="26"/>
          <w:szCs w:val="26"/>
        </w:rPr>
        <w:t xml:space="preserve"> </w:t>
      </w:r>
      <w:r w:rsidR="00D87CE5">
        <w:rPr>
          <w:rFonts w:ascii="Times New Roman" w:hAnsi="Times New Roman" w:cs="Times New Roman"/>
          <w:bCs/>
          <w:noProof/>
          <w:sz w:val="26"/>
          <w:szCs w:val="26"/>
        </w:rPr>
        <w:t>Ņemot vērā, ka kvalitātes nodrošināšanas procesi ir atrauti viens no otra, trūkst skaidru kvalitātes novērtēšanas procedūru, kas ir vērstas uz pastāvīgu kvalitātes uzlabošanu.</w:t>
      </w:r>
      <w:r w:rsidR="00473C17">
        <w:rPr>
          <w:rFonts w:ascii="Times New Roman" w:hAnsi="Times New Roman" w:cs="Times New Roman"/>
          <w:bCs/>
          <w:noProof/>
          <w:sz w:val="26"/>
          <w:szCs w:val="26"/>
        </w:rPr>
        <w:t xml:space="preserve"> </w:t>
      </w:r>
    </w:p>
    <w:p w:rsidR="00F12397" w:rsidRDefault="00F12397" w:rsidP="009055FB">
      <w:pPr>
        <w:spacing w:after="0" w:line="240" w:lineRule="auto"/>
        <w:ind w:firstLine="720"/>
        <w:jc w:val="both"/>
        <w:rPr>
          <w:rFonts w:ascii="Times New Roman" w:hAnsi="Times New Roman" w:cs="Times New Roman"/>
          <w:bCs/>
          <w:noProof/>
          <w:sz w:val="26"/>
          <w:szCs w:val="26"/>
        </w:rPr>
      </w:pPr>
      <w:r w:rsidRPr="00F12397">
        <w:rPr>
          <w:rFonts w:ascii="Times New Roman" w:hAnsi="Times New Roman" w:cs="Times New Roman"/>
          <w:bCs/>
          <w:noProof/>
          <w:sz w:val="26"/>
          <w:szCs w:val="26"/>
        </w:rPr>
        <w:lastRenderedPageBreak/>
        <w:t xml:space="preserve">Lai nodrošinātu maksimālu ārējo kvalitātes nodrošināšanas procesu efektivitāti, ir būtiski, lai ziņojumi atbilstu paredzētās auditorijas vajadzībām. </w:t>
      </w:r>
      <w:r w:rsidR="00D87CE5">
        <w:rPr>
          <w:rFonts w:ascii="Times New Roman" w:hAnsi="Times New Roman" w:cs="Times New Roman"/>
          <w:bCs/>
          <w:noProof/>
          <w:sz w:val="26"/>
          <w:szCs w:val="26"/>
        </w:rPr>
        <w:t xml:space="preserve">Tāpēc ir nepieciešama </w:t>
      </w:r>
      <w:r w:rsidR="00852E86">
        <w:rPr>
          <w:rFonts w:ascii="Times New Roman" w:hAnsi="Times New Roman" w:cs="Times New Roman"/>
          <w:bCs/>
          <w:noProof/>
          <w:sz w:val="26"/>
          <w:szCs w:val="26"/>
        </w:rPr>
        <w:t>atbalsta sniegšana augstskolā</w:t>
      </w:r>
      <w:r w:rsidR="00EA06DD">
        <w:rPr>
          <w:rFonts w:ascii="Times New Roman" w:hAnsi="Times New Roman" w:cs="Times New Roman"/>
          <w:bCs/>
          <w:noProof/>
          <w:sz w:val="26"/>
          <w:szCs w:val="26"/>
        </w:rPr>
        <w:t>m iekšējo kvalitātes nodrošināšanas sistēmu pilnveidošanā un</w:t>
      </w:r>
      <w:r w:rsidR="00852E86">
        <w:rPr>
          <w:rFonts w:ascii="Times New Roman" w:hAnsi="Times New Roman" w:cs="Times New Roman"/>
          <w:bCs/>
          <w:noProof/>
          <w:sz w:val="26"/>
          <w:szCs w:val="26"/>
        </w:rPr>
        <w:t xml:space="preserve"> paš</w:t>
      </w:r>
      <w:r w:rsidR="00D87CE5">
        <w:rPr>
          <w:rFonts w:ascii="Times New Roman" w:hAnsi="Times New Roman" w:cs="Times New Roman"/>
          <w:bCs/>
          <w:noProof/>
          <w:sz w:val="26"/>
          <w:szCs w:val="26"/>
        </w:rPr>
        <w:t>novērtējuma ziņojumu sagatavošanā, kā arī ekspertiem novērtēšanas atzinuma sagatavošanā.</w:t>
      </w:r>
    </w:p>
    <w:p w:rsidR="005A0ED8" w:rsidRDefault="00D87CE5" w:rsidP="009055FB">
      <w:pPr>
        <w:spacing w:after="0" w:line="240" w:lineRule="auto"/>
        <w:jc w:val="both"/>
        <w:rPr>
          <w:rFonts w:ascii="Times New Roman" w:hAnsi="Times New Roman" w:cs="Times New Roman"/>
          <w:bCs/>
          <w:noProof/>
          <w:sz w:val="26"/>
          <w:szCs w:val="26"/>
        </w:rPr>
      </w:pPr>
      <w:r>
        <w:rPr>
          <w:rFonts w:ascii="Times New Roman" w:hAnsi="Times New Roman" w:cs="Times New Roman"/>
          <w:bCs/>
          <w:noProof/>
          <w:sz w:val="26"/>
          <w:szCs w:val="26"/>
        </w:rPr>
        <w:tab/>
      </w:r>
    </w:p>
    <w:p w:rsidR="003B5F73" w:rsidRPr="00AE7266" w:rsidRDefault="0076340B" w:rsidP="009055FB">
      <w:pPr>
        <w:pStyle w:val="Heading2"/>
        <w:spacing w:before="0" w:line="240" w:lineRule="auto"/>
        <w:rPr>
          <w:rFonts w:ascii="Times New Roman" w:hAnsi="Times New Roman" w:cs="Times New Roman"/>
          <w:b/>
          <w:noProof/>
          <w:color w:val="auto"/>
          <w:sz w:val="28"/>
          <w:szCs w:val="28"/>
        </w:rPr>
      </w:pPr>
      <w:bookmarkStart w:id="15" w:name="_Toc395890867"/>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.4. </w:t>
      </w:r>
      <w:r w:rsidR="00F12397" w:rsidRPr="00AE7266">
        <w:rPr>
          <w:rFonts w:ascii="Times New Roman" w:hAnsi="Times New Roman" w:cs="Times New Roman"/>
          <w:b/>
          <w:noProof/>
          <w:color w:val="auto"/>
          <w:sz w:val="28"/>
          <w:szCs w:val="28"/>
        </w:rPr>
        <w:t>C</w:t>
      </w:r>
      <w:r w:rsidR="003B5F73" w:rsidRPr="00AE7266">
        <w:rPr>
          <w:rFonts w:ascii="Times New Roman" w:hAnsi="Times New Roman" w:cs="Times New Roman"/>
          <w:b/>
          <w:noProof/>
          <w:color w:val="auto"/>
          <w:sz w:val="28"/>
          <w:szCs w:val="28"/>
        </w:rPr>
        <w:t>aurskatamība</w:t>
      </w:r>
      <w:bookmarkEnd w:id="15"/>
    </w:p>
    <w:p w:rsidR="00EA06DD" w:rsidRDefault="00B658D5" w:rsidP="009055FB">
      <w:pPr>
        <w:spacing w:after="0" w:line="240" w:lineRule="auto"/>
        <w:ind w:firstLine="720"/>
        <w:jc w:val="both"/>
        <w:rPr>
          <w:rFonts w:ascii="Times New Roman" w:hAnsi="Times New Roman" w:cs="Times New Roman"/>
          <w:bCs/>
          <w:noProof/>
          <w:sz w:val="26"/>
          <w:szCs w:val="26"/>
        </w:rPr>
      </w:pPr>
      <w:r w:rsidRPr="00F12397">
        <w:rPr>
          <w:rFonts w:ascii="Times New Roman" w:hAnsi="Times New Roman" w:cs="Times New Roman"/>
          <w:bCs/>
          <w:noProof/>
          <w:sz w:val="26"/>
          <w:szCs w:val="26"/>
        </w:rPr>
        <w:t>Trūkst vienotu, skaidru un caurskatāmu procedūru.</w:t>
      </w:r>
      <w:r w:rsidR="00EA06DD">
        <w:rPr>
          <w:rFonts w:ascii="Times New Roman" w:hAnsi="Times New Roman" w:cs="Times New Roman"/>
          <w:bCs/>
          <w:noProof/>
          <w:sz w:val="26"/>
          <w:szCs w:val="26"/>
        </w:rPr>
        <w:t xml:space="preserve"> Licencēšanas un akreditācijas procedūras ieviestas atšķirīgos laika posmos, izveidojoto nošķirtas procedūras, kas nav izprotamas un pārskatāmas sabiedrībai.</w:t>
      </w:r>
    </w:p>
    <w:p w:rsidR="00D87CE5" w:rsidRDefault="00B658D5" w:rsidP="009055FB">
      <w:pPr>
        <w:spacing w:after="0" w:line="240" w:lineRule="auto"/>
        <w:ind w:firstLine="720"/>
        <w:jc w:val="both"/>
        <w:rPr>
          <w:rFonts w:ascii="Times New Roman" w:hAnsi="Times New Roman" w:cs="Times New Roman"/>
          <w:bCs/>
          <w:noProof/>
          <w:sz w:val="26"/>
          <w:szCs w:val="26"/>
        </w:rPr>
      </w:pPr>
      <w:r w:rsidRPr="00F12397">
        <w:rPr>
          <w:rFonts w:ascii="Times New Roman" w:hAnsi="Times New Roman" w:cs="Times New Roman"/>
          <w:bCs/>
          <w:noProof/>
          <w:sz w:val="26"/>
          <w:szCs w:val="26"/>
        </w:rPr>
        <w:t xml:space="preserve"> </w:t>
      </w:r>
      <w:r w:rsidR="00D87CE5">
        <w:rPr>
          <w:rFonts w:ascii="Times New Roman" w:hAnsi="Times New Roman" w:cs="Times New Roman"/>
          <w:bCs/>
          <w:noProof/>
          <w:sz w:val="26"/>
          <w:szCs w:val="26"/>
        </w:rPr>
        <w:t xml:space="preserve">Jānodrošina, lai ārejās kvalitātes nodrošināšananu veicošajiem ekspertiem būtu attiecīgā kvalifikācija, prasmes un kompetence. </w:t>
      </w:r>
      <w:r w:rsidR="00473C17">
        <w:rPr>
          <w:rFonts w:ascii="Times New Roman" w:hAnsi="Times New Roman" w:cs="Times New Roman"/>
          <w:bCs/>
          <w:noProof/>
          <w:sz w:val="26"/>
          <w:szCs w:val="26"/>
        </w:rPr>
        <w:t>IZM</w:t>
      </w:r>
      <w:r w:rsidR="00D87CE5">
        <w:rPr>
          <w:rFonts w:ascii="Times New Roman" w:hAnsi="Times New Roman" w:cs="Times New Roman"/>
          <w:bCs/>
          <w:noProof/>
          <w:sz w:val="26"/>
          <w:szCs w:val="26"/>
        </w:rPr>
        <w:t xml:space="preserve"> ir izveidojusi ekspertu datu bāzi, tomēr nav izstrādātu skaidru procedūru ekspertu atlasei, kas augstskolām bieži vien rada jautājumus par ek</w:t>
      </w:r>
      <w:r w:rsidR="00473C17">
        <w:rPr>
          <w:rFonts w:ascii="Times New Roman" w:hAnsi="Times New Roman" w:cs="Times New Roman"/>
          <w:bCs/>
          <w:noProof/>
          <w:sz w:val="26"/>
          <w:szCs w:val="26"/>
        </w:rPr>
        <w:t>spertu atlasi</w:t>
      </w:r>
      <w:r w:rsidR="00D87CE5">
        <w:rPr>
          <w:rFonts w:ascii="Times New Roman" w:hAnsi="Times New Roman" w:cs="Times New Roman"/>
          <w:bCs/>
          <w:noProof/>
          <w:sz w:val="26"/>
          <w:szCs w:val="26"/>
        </w:rPr>
        <w:t xml:space="preserve">. Tāpat, </w:t>
      </w:r>
      <w:r w:rsidR="00426A05">
        <w:rPr>
          <w:rFonts w:ascii="Times New Roman" w:hAnsi="Times New Roman" w:cs="Times New Roman"/>
          <w:bCs/>
          <w:noProof/>
          <w:sz w:val="26"/>
          <w:szCs w:val="26"/>
        </w:rPr>
        <w:t>eksperti, veicot novērtēšanu, dažādi izprot normatīvajos aktos noteiktās prasības gan par novērtēšanas kritērjiem, gan par atzinuma sagatavošanu, kā rezultātā, sagatavotie ziņojumi ir diezgan atšķirīgi.</w:t>
      </w:r>
      <w:r w:rsidR="00D87CE5">
        <w:rPr>
          <w:rFonts w:ascii="Times New Roman" w:hAnsi="Times New Roman" w:cs="Times New Roman"/>
          <w:bCs/>
          <w:noProof/>
          <w:sz w:val="26"/>
          <w:szCs w:val="26"/>
        </w:rPr>
        <w:t xml:space="preserve"> </w:t>
      </w:r>
      <w:r w:rsidR="00852E86">
        <w:rPr>
          <w:rFonts w:ascii="Times New Roman" w:hAnsi="Times New Roman" w:cs="Times New Roman"/>
          <w:bCs/>
          <w:noProof/>
          <w:sz w:val="26"/>
          <w:szCs w:val="26"/>
        </w:rPr>
        <w:t>Eksperti tiek tikai instruēti par novērtēšanas procesu, bet kvalitatīva apmacība netiek nodrošināta.</w:t>
      </w:r>
    </w:p>
    <w:p w:rsidR="00D87CE5" w:rsidRDefault="00F12397" w:rsidP="009055FB">
      <w:pPr>
        <w:spacing w:after="0" w:line="240" w:lineRule="auto"/>
        <w:ind w:firstLine="720"/>
        <w:jc w:val="both"/>
        <w:rPr>
          <w:rFonts w:ascii="Times New Roman" w:hAnsi="Times New Roman" w:cs="Times New Roman"/>
          <w:sz w:val="26"/>
          <w:szCs w:val="26"/>
        </w:rPr>
      </w:pPr>
      <w:r w:rsidRPr="00F12397">
        <w:rPr>
          <w:rFonts w:ascii="Times New Roman" w:hAnsi="Times New Roman" w:cs="Times New Roman"/>
          <w:sz w:val="26"/>
          <w:szCs w:val="26"/>
        </w:rPr>
        <w:t>Taisnīguma un uzticamības nodrošināšanas nolūkā lēmumi jābalsta uz publicētiem kritērij</w:t>
      </w:r>
      <w:r w:rsidR="00655BB4">
        <w:rPr>
          <w:rFonts w:ascii="Times New Roman" w:hAnsi="Times New Roman" w:cs="Times New Roman"/>
          <w:sz w:val="26"/>
          <w:szCs w:val="26"/>
        </w:rPr>
        <w:t xml:space="preserve">iem un </w:t>
      </w:r>
      <w:r w:rsidR="00473C17">
        <w:rPr>
          <w:rFonts w:ascii="Times New Roman" w:hAnsi="Times New Roman" w:cs="Times New Roman"/>
          <w:sz w:val="26"/>
          <w:szCs w:val="26"/>
        </w:rPr>
        <w:t xml:space="preserve">tos </w:t>
      </w:r>
      <w:r w:rsidR="00655BB4">
        <w:rPr>
          <w:rFonts w:ascii="Times New Roman" w:hAnsi="Times New Roman" w:cs="Times New Roman"/>
          <w:sz w:val="26"/>
          <w:szCs w:val="26"/>
        </w:rPr>
        <w:t xml:space="preserve">konsekventi jāinterpretē, līdz ar to nodrošinot </w:t>
      </w:r>
      <w:r w:rsidR="00473C17">
        <w:rPr>
          <w:rFonts w:ascii="Times New Roman" w:hAnsi="Times New Roman" w:cs="Times New Roman"/>
          <w:sz w:val="26"/>
          <w:szCs w:val="26"/>
        </w:rPr>
        <w:t>vienlīdzības principa ievērošanu</w:t>
      </w:r>
      <w:r w:rsidR="00655BB4" w:rsidRPr="00655BB4">
        <w:rPr>
          <w:rFonts w:ascii="Times New Roman" w:hAnsi="Times New Roman" w:cs="Times New Roman"/>
          <w:sz w:val="26"/>
          <w:szCs w:val="26"/>
        </w:rPr>
        <w:t xml:space="preserve"> – pie vienādiem faktiskajiem  apstākļiem jābūt vienādam lēmumam.</w:t>
      </w:r>
    </w:p>
    <w:p w:rsidR="00BB6614" w:rsidRDefault="00BB6614" w:rsidP="009055FB">
      <w:pPr>
        <w:autoSpaceDE w:val="0"/>
        <w:spacing w:after="0" w:line="240" w:lineRule="auto"/>
        <w:jc w:val="both"/>
        <w:rPr>
          <w:rFonts w:ascii="Times New Roman" w:hAnsi="Times New Roman" w:cs="Times New Roman"/>
          <w:sz w:val="26"/>
          <w:szCs w:val="26"/>
        </w:rPr>
      </w:pPr>
    </w:p>
    <w:p w:rsidR="003B5F73" w:rsidRPr="00AE7266" w:rsidRDefault="0076340B" w:rsidP="009055FB">
      <w:pPr>
        <w:pStyle w:val="Heading2"/>
        <w:spacing w:before="0" w:line="240" w:lineRule="auto"/>
        <w:rPr>
          <w:rFonts w:ascii="Times New Roman" w:hAnsi="Times New Roman" w:cs="Times New Roman"/>
          <w:b/>
          <w:noProof/>
          <w:color w:val="auto"/>
          <w:sz w:val="28"/>
          <w:szCs w:val="28"/>
        </w:rPr>
      </w:pPr>
      <w:bookmarkStart w:id="16" w:name="_Toc395890868"/>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.5. </w:t>
      </w:r>
      <w:r w:rsidR="003B5F73" w:rsidRPr="00AE7266">
        <w:rPr>
          <w:rFonts w:ascii="Times New Roman" w:hAnsi="Times New Roman" w:cs="Times New Roman"/>
          <w:b/>
          <w:noProof/>
          <w:color w:val="auto"/>
          <w:sz w:val="28"/>
          <w:szCs w:val="28"/>
        </w:rPr>
        <w:t>Normatīvais un metodiskais slogs</w:t>
      </w:r>
      <w:bookmarkEnd w:id="16"/>
    </w:p>
    <w:p w:rsidR="00B8265E" w:rsidRDefault="00B8265E"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Juridiskais ietvars ir sadrumstalots un tiesību normas, kas ir noteiktas dažādos normatīvajos aktos, </w:t>
      </w:r>
      <w:r w:rsidR="004D42B9">
        <w:rPr>
          <w:rFonts w:ascii="Times New Roman" w:hAnsi="Times New Roman" w:cs="Times New Roman"/>
          <w:bCs/>
          <w:noProof/>
          <w:sz w:val="26"/>
          <w:szCs w:val="26"/>
        </w:rPr>
        <w:t>ne vienmēr ir labi</w:t>
      </w:r>
      <w:r>
        <w:rPr>
          <w:rFonts w:ascii="Times New Roman" w:hAnsi="Times New Roman" w:cs="Times New Roman"/>
          <w:bCs/>
          <w:noProof/>
          <w:sz w:val="26"/>
          <w:szCs w:val="26"/>
        </w:rPr>
        <w:t xml:space="preserve"> saskaņotas.</w:t>
      </w:r>
    </w:p>
    <w:p w:rsidR="00655BB4" w:rsidRDefault="00F92B78"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Akreditācija un licencēšan</w:t>
      </w:r>
      <w:r w:rsidR="00473C17">
        <w:rPr>
          <w:rFonts w:ascii="Times New Roman" w:hAnsi="Times New Roman" w:cs="Times New Roman"/>
          <w:bCs/>
          <w:noProof/>
          <w:sz w:val="26"/>
          <w:szCs w:val="26"/>
        </w:rPr>
        <w:t>a</w:t>
      </w:r>
      <w:r>
        <w:rPr>
          <w:rFonts w:ascii="Times New Roman" w:hAnsi="Times New Roman" w:cs="Times New Roman"/>
          <w:bCs/>
          <w:noProof/>
          <w:sz w:val="26"/>
          <w:szCs w:val="26"/>
        </w:rPr>
        <w:t xml:space="preserve"> šobrīd ir minēta vairākos normatīvajos aktos, kas ne vienmēr ir saskaņoti viens ar otru. Dažos joprojām ir minēta studiju programmu akreditācija, kaut gan pāreja uz studiju virzienu akreditāciju notika 2012.gadā. Prasības, kas ir noteiktas M</w:t>
      </w:r>
      <w:r w:rsidR="00473C17">
        <w:rPr>
          <w:rFonts w:ascii="Times New Roman" w:hAnsi="Times New Roman" w:cs="Times New Roman"/>
          <w:bCs/>
          <w:noProof/>
          <w:sz w:val="26"/>
          <w:szCs w:val="26"/>
        </w:rPr>
        <w:t>K</w:t>
      </w:r>
      <w:r>
        <w:rPr>
          <w:rFonts w:ascii="Times New Roman" w:hAnsi="Times New Roman" w:cs="Times New Roman"/>
          <w:bCs/>
          <w:noProof/>
          <w:sz w:val="26"/>
          <w:szCs w:val="26"/>
        </w:rPr>
        <w:t xml:space="preserve"> noteikumos par akreditāciju un licencēšanu vajadzētu savstarpēji saskaņot, novēršot neatbilstības un ieviešot lielāku skaidrību, kā arī saskaņot ar Augstskolu likumā noteiktajām prasībām. </w:t>
      </w:r>
    </w:p>
    <w:p w:rsidR="00655BB4" w:rsidRDefault="00655BB4" w:rsidP="009055FB">
      <w:pPr>
        <w:spacing w:after="0" w:line="240" w:lineRule="auto"/>
        <w:jc w:val="both"/>
        <w:rPr>
          <w:rFonts w:ascii="Times New Roman" w:hAnsi="Times New Roman" w:cs="Times New Roman"/>
          <w:bCs/>
          <w:noProof/>
          <w:sz w:val="26"/>
          <w:szCs w:val="26"/>
        </w:rPr>
      </w:pPr>
    </w:p>
    <w:p w:rsidR="003B5F73" w:rsidRPr="00AE7266" w:rsidRDefault="0076340B" w:rsidP="009055FB">
      <w:pPr>
        <w:pStyle w:val="Heading2"/>
        <w:spacing w:before="0" w:line="240" w:lineRule="auto"/>
        <w:rPr>
          <w:rFonts w:ascii="Times New Roman" w:hAnsi="Times New Roman" w:cs="Times New Roman"/>
          <w:b/>
          <w:noProof/>
          <w:color w:val="auto"/>
          <w:sz w:val="28"/>
          <w:szCs w:val="28"/>
        </w:rPr>
      </w:pPr>
      <w:bookmarkStart w:id="17" w:name="_Toc395890869"/>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.6. </w:t>
      </w:r>
      <w:r w:rsidR="005208D6" w:rsidRPr="00AE7266">
        <w:rPr>
          <w:rFonts w:ascii="Times New Roman" w:hAnsi="Times New Roman" w:cs="Times New Roman"/>
          <w:b/>
          <w:noProof/>
          <w:color w:val="auto"/>
          <w:sz w:val="28"/>
          <w:szCs w:val="28"/>
        </w:rPr>
        <w:t>Pārvald</w:t>
      </w:r>
      <w:r w:rsidR="00852E86">
        <w:rPr>
          <w:rFonts w:ascii="Times New Roman" w:hAnsi="Times New Roman" w:cs="Times New Roman"/>
          <w:b/>
          <w:noProof/>
          <w:color w:val="auto"/>
          <w:sz w:val="28"/>
          <w:szCs w:val="28"/>
        </w:rPr>
        <w:t>ība</w:t>
      </w:r>
      <w:bookmarkEnd w:id="17"/>
    </w:p>
    <w:p w:rsidR="00473C17" w:rsidRDefault="00BF55B7"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Trūkst </w:t>
      </w:r>
      <w:r w:rsidR="00EA06DD">
        <w:rPr>
          <w:rFonts w:ascii="Times New Roman" w:hAnsi="Times New Roman" w:cs="Times New Roman"/>
          <w:bCs/>
          <w:noProof/>
          <w:sz w:val="26"/>
          <w:szCs w:val="26"/>
        </w:rPr>
        <w:t xml:space="preserve">vienotas </w:t>
      </w:r>
      <w:r>
        <w:rPr>
          <w:rFonts w:ascii="Times New Roman" w:hAnsi="Times New Roman" w:cs="Times New Roman"/>
          <w:bCs/>
          <w:noProof/>
          <w:sz w:val="26"/>
          <w:szCs w:val="26"/>
        </w:rPr>
        <w:t>procesa vadības. Netiek sistemātiski izvērtēta situācija, netiek ierosināta vienota pieeja līdzīgu jautājumu risināšanā.</w:t>
      </w:r>
    </w:p>
    <w:p w:rsidR="00F12397" w:rsidRDefault="00F12397"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Jā</w:t>
      </w:r>
      <w:r w:rsidRPr="00F12397">
        <w:rPr>
          <w:rFonts w:ascii="Times New Roman" w:hAnsi="Times New Roman" w:cs="Times New Roman"/>
          <w:sz w:val="26"/>
          <w:szCs w:val="26"/>
        </w:rPr>
        <w:t>nodrošin</w:t>
      </w:r>
      <w:r>
        <w:rPr>
          <w:rFonts w:ascii="Times New Roman" w:hAnsi="Times New Roman" w:cs="Times New Roman"/>
          <w:sz w:val="26"/>
          <w:szCs w:val="26"/>
        </w:rPr>
        <w:t>a akreditācijas un licencēšanas</w:t>
      </w:r>
      <w:r w:rsidRPr="00F12397">
        <w:rPr>
          <w:rFonts w:ascii="Times New Roman" w:hAnsi="Times New Roman" w:cs="Times New Roman"/>
          <w:sz w:val="26"/>
          <w:szCs w:val="26"/>
        </w:rPr>
        <w:t xml:space="preserve"> procesu pamatotību, </w:t>
      </w:r>
      <w:r w:rsidR="00EA06DD">
        <w:rPr>
          <w:rFonts w:ascii="Times New Roman" w:hAnsi="Times New Roman" w:cs="Times New Roman"/>
          <w:sz w:val="26"/>
          <w:szCs w:val="26"/>
        </w:rPr>
        <w:t xml:space="preserve">neatkarību, </w:t>
      </w:r>
      <w:r w:rsidRPr="00F12397">
        <w:rPr>
          <w:rFonts w:ascii="Times New Roman" w:hAnsi="Times New Roman" w:cs="Times New Roman"/>
          <w:sz w:val="26"/>
          <w:szCs w:val="26"/>
        </w:rPr>
        <w:t xml:space="preserve">uzticamību un lietderību, bet arī </w:t>
      </w:r>
      <w:r>
        <w:rPr>
          <w:rFonts w:ascii="Times New Roman" w:hAnsi="Times New Roman" w:cs="Times New Roman"/>
          <w:sz w:val="26"/>
          <w:szCs w:val="26"/>
        </w:rPr>
        <w:t>jā</w:t>
      </w:r>
      <w:r w:rsidRPr="00F12397">
        <w:rPr>
          <w:rFonts w:ascii="Times New Roman" w:hAnsi="Times New Roman" w:cs="Times New Roman"/>
          <w:sz w:val="26"/>
          <w:szCs w:val="26"/>
        </w:rPr>
        <w:t xml:space="preserve">nodrošina Eiropas kvalitātes nodrošināšanas dimensijas pamatu. </w:t>
      </w:r>
      <w:r w:rsidR="00852E86">
        <w:rPr>
          <w:rFonts w:ascii="Times New Roman" w:hAnsi="Times New Roman" w:cs="Times New Roman"/>
          <w:sz w:val="26"/>
          <w:szCs w:val="26"/>
        </w:rPr>
        <w:t xml:space="preserve">Šie </w:t>
      </w:r>
      <w:r w:rsidRPr="00F12397">
        <w:rPr>
          <w:rFonts w:ascii="Times New Roman" w:hAnsi="Times New Roman" w:cs="Times New Roman"/>
          <w:sz w:val="26"/>
          <w:szCs w:val="26"/>
        </w:rPr>
        <w:t xml:space="preserve">elementi ir īpaši </w:t>
      </w:r>
      <w:r w:rsidR="00852E86">
        <w:rPr>
          <w:rFonts w:ascii="Times New Roman" w:hAnsi="Times New Roman" w:cs="Times New Roman"/>
          <w:sz w:val="26"/>
          <w:szCs w:val="26"/>
        </w:rPr>
        <w:t>nozīmīgi</w:t>
      </w:r>
      <w:r w:rsidRPr="00F12397">
        <w:rPr>
          <w:rFonts w:ascii="Times New Roman" w:hAnsi="Times New Roman" w:cs="Times New Roman"/>
          <w:sz w:val="26"/>
          <w:szCs w:val="26"/>
        </w:rPr>
        <w:t>:</w:t>
      </w:r>
    </w:p>
    <w:p w:rsidR="00EA06DD" w:rsidRDefault="00EA06DD"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xml:space="preserve">• </w:t>
      </w:r>
      <w:r w:rsidR="00606F65">
        <w:rPr>
          <w:rFonts w:ascii="Times New Roman" w:hAnsi="Times New Roman" w:cs="Times New Roman"/>
          <w:sz w:val="26"/>
          <w:szCs w:val="26"/>
        </w:rPr>
        <w:t>ārēja novērtējuma sasaiste ar iekšējo kvalitātes nodrošināšanas sistēmu;</w:t>
      </w:r>
    </w:p>
    <w:p w:rsidR="00EA06DD" w:rsidRPr="00473C17" w:rsidRDefault="00606F65" w:rsidP="009055FB">
      <w:pPr>
        <w:autoSpaceDE w:val="0"/>
        <w:spacing w:after="0" w:line="240" w:lineRule="auto"/>
        <w:jc w:val="both"/>
        <w:rPr>
          <w:rFonts w:ascii="Times New Roman" w:hAnsi="Times New Roman" w:cs="Times New Roman"/>
          <w:bCs/>
          <w:noProof/>
          <w:sz w:val="26"/>
          <w:szCs w:val="26"/>
        </w:rPr>
      </w:pPr>
      <w:r w:rsidRPr="00F12397">
        <w:rPr>
          <w:rFonts w:ascii="Times New Roman" w:hAnsi="Times New Roman" w:cs="Times New Roman"/>
          <w:sz w:val="26"/>
          <w:szCs w:val="26"/>
        </w:rPr>
        <w:t>•</w:t>
      </w:r>
      <w:r>
        <w:rPr>
          <w:rFonts w:ascii="Times New Roman" w:hAnsi="Times New Roman" w:cs="Times New Roman"/>
          <w:sz w:val="26"/>
          <w:szCs w:val="26"/>
        </w:rPr>
        <w:t xml:space="preserve"> novērtējuma neatkarība;</w:t>
      </w:r>
    </w:p>
    <w:p w:rsidR="00F12397" w:rsidRPr="00F12397" w:rsidRDefault="00F12397"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neatlaidīga prasība, lai ārējās kvalitātes nodrošināšanu veicošajiem ekspertiem būtu šim darbam nepieciešamās prasmes un kompetence;</w:t>
      </w:r>
    </w:p>
    <w:p w:rsidR="00F12397" w:rsidRPr="00F12397" w:rsidRDefault="00F12397"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rūpīga ekspertu atlase;</w:t>
      </w:r>
    </w:p>
    <w:p w:rsidR="00F12397" w:rsidRPr="00F12397" w:rsidRDefault="00F12397"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pienācīgi ekspertu informēšanas vai apmācības pasākumi;</w:t>
      </w:r>
    </w:p>
    <w:p w:rsidR="00F12397" w:rsidRPr="00F12397" w:rsidRDefault="00F12397"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ārvalstu ekspertu izmantošana;</w:t>
      </w:r>
    </w:p>
    <w:p w:rsidR="00F12397" w:rsidRPr="00F12397" w:rsidRDefault="00F12397"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studentu līdzdalība;</w:t>
      </w:r>
    </w:p>
    <w:p w:rsidR="00F12397" w:rsidRPr="00F12397" w:rsidRDefault="00F12397"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lastRenderedPageBreak/>
        <w:t xml:space="preserve">• </w:t>
      </w:r>
      <w:r w:rsidR="00852E86">
        <w:rPr>
          <w:rFonts w:ascii="Times New Roman" w:hAnsi="Times New Roman" w:cs="Times New Roman"/>
          <w:sz w:val="26"/>
          <w:szCs w:val="26"/>
        </w:rPr>
        <w:t>pietiekami pārbaudes pasākumi</w:t>
      </w:r>
      <w:r w:rsidRPr="00F12397">
        <w:rPr>
          <w:rFonts w:ascii="Times New Roman" w:hAnsi="Times New Roman" w:cs="Times New Roman"/>
          <w:sz w:val="26"/>
          <w:szCs w:val="26"/>
        </w:rPr>
        <w:t xml:space="preserve"> atbilstošas informācijas savākšanai, lai pamatotu slēdzienu un pieņemtos lēmumus;</w:t>
      </w:r>
    </w:p>
    <w:p w:rsidR="00F12397" w:rsidRDefault="00F12397"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pašvērtējuma/apmeklējuma/ziņojuma projekta/publicētā ziņojuma/turpmāko darbīb</w:t>
      </w:r>
      <w:r w:rsidR="00852E86">
        <w:rPr>
          <w:rFonts w:ascii="Times New Roman" w:hAnsi="Times New Roman" w:cs="Times New Roman"/>
          <w:sz w:val="26"/>
          <w:szCs w:val="26"/>
        </w:rPr>
        <w:t>u modeļa izmantošana pārbaudei;</w:t>
      </w:r>
    </w:p>
    <w:p w:rsidR="00852E86" w:rsidRDefault="00852E86" w:rsidP="009055FB">
      <w:pPr>
        <w:autoSpaceDE w:val="0"/>
        <w:spacing w:after="0" w:line="240" w:lineRule="auto"/>
        <w:jc w:val="both"/>
        <w:rPr>
          <w:rFonts w:ascii="Times New Roman" w:hAnsi="Times New Roman" w:cs="Times New Roman"/>
          <w:sz w:val="26"/>
          <w:szCs w:val="26"/>
        </w:rPr>
      </w:pPr>
      <w:r w:rsidRPr="00F12397">
        <w:rPr>
          <w:rFonts w:ascii="Times New Roman" w:hAnsi="Times New Roman" w:cs="Times New Roman"/>
          <w:sz w:val="26"/>
          <w:szCs w:val="26"/>
        </w:rPr>
        <w:t xml:space="preserve">• </w:t>
      </w:r>
      <w:r>
        <w:rPr>
          <w:rFonts w:ascii="Times New Roman" w:hAnsi="Times New Roman" w:cs="Times New Roman"/>
          <w:sz w:val="26"/>
          <w:szCs w:val="26"/>
        </w:rPr>
        <w:t>lēmumu pieņemšanas skaidra procedūra.</w:t>
      </w:r>
    </w:p>
    <w:p w:rsidR="00852E86" w:rsidRDefault="00852E86" w:rsidP="009055FB">
      <w:pPr>
        <w:autoSpaceDE w:val="0"/>
        <w:spacing w:after="0" w:line="240" w:lineRule="auto"/>
        <w:jc w:val="both"/>
        <w:rPr>
          <w:rFonts w:ascii="Times New Roman" w:hAnsi="Times New Roman" w:cs="Times New Roman"/>
          <w:sz w:val="26"/>
          <w:szCs w:val="26"/>
        </w:rPr>
      </w:pPr>
    </w:p>
    <w:p w:rsidR="005208D6" w:rsidRPr="00AE7266" w:rsidRDefault="0076340B" w:rsidP="009055FB">
      <w:pPr>
        <w:pStyle w:val="Heading2"/>
        <w:spacing w:before="0" w:line="240" w:lineRule="auto"/>
        <w:rPr>
          <w:rFonts w:ascii="Times New Roman" w:hAnsi="Times New Roman" w:cs="Times New Roman"/>
          <w:b/>
          <w:noProof/>
          <w:color w:val="auto"/>
          <w:sz w:val="28"/>
          <w:szCs w:val="28"/>
        </w:rPr>
      </w:pPr>
      <w:bookmarkStart w:id="18" w:name="_Toc395890870"/>
      <w:r>
        <w:rPr>
          <w:rFonts w:ascii="Times New Roman" w:hAnsi="Times New Roman" w:cs="Times New Roman"/>
          <w:b/>
          <w:noProof/>
          <w:color w:val="auto"/>
          <w:sz w:val="28"/>
          <w:szCs w:val="28"/>
        </w:rPr>
        <w:t>3</w:t>
      </w:r>
      <w:r w:rsidR="00AE7266">
        <w:rPr>
          <w:rFonts w:ascii="Times New Roman" w:hAnsi="Times New Roman" w:cs="Times New Roman"/>
          <w:b/>
          <w:noProof/>
          <w:color w:val="auto"/>
          <w:sz w:val="28"/>
          <w:szCs w:val="28"/>
        </w:rPr>
        <w:t xml:space="preserve">.7. </w:t>
      </w:r>
      <w:r w:rsidR="00606F65">
        <w:rPr>
          <w:rFonts w:ascii="Times New Roman" w:hAnsi="Times New Roman" w:cs="Times New Roman"/>
          <w:b/>
          <w:noProof/>
          <w:color w:val="auto"/>
          <w:sz w:val="28"/>
          <w:szCs w:val="28"/>
        </w:rPr>
        <w:t>M</w:t>
      </w:r>
      <w:r w:rsidR="005208D6" w:rsidRPr="00AE7266">
        <w:rPr>
          <w:rFonts w:ascii="Times New Roman" w:hAnsi="Times New Roman" w:cs="Times New Roman"/>
          <w:b/>
          <w:noProof/>
          <w:color w:val="auto"/>
          <w:sz w:val="28"/>
          <w:szCs w:val="28"/>
        </w:rPr>
        <w:t>onitorings</w:t>
      </w:r>
      <w:bookmarkEnd w:id="18"/>
    </w:p>
    <w:p w:rsidR="00AF1828" w:rsidRDefault="005208D6" w:rsidP="009055FB">
      <w:pPr>
        <w:spacing w:after="0" w:line="240" w:lineRule="auto"/>
        <w:ind w:firstLine="720"/>
        <w:jc w:val="both"/>
        <w:rPr>
          <w:rFonts w:ascii="Times New Roman" w:hAnsi="Times New Roman" w:cs="Times New Roman"/>
          <w:bCs/>
          <w:noProof/>
          <w:sz w:val="26"/>
          <w:szCs w:val="26"/>
        </w:rPr>
      </w:pPr>
      <w:r w:rsidRPr="005208D6">
        <w:rPr>
          <w:rFonts w:ascii="Times New Roman" w:hAnsi="Times New Roman" w:cs="Times New Roman"/>
          <w:bCs/>
          <w:noProof/>
          <w:sz w:val="26"/>
          <w:szCs w:val="26"/>
        </w:rPr>
        <w:t>Kvalitātes nodrošināšana ir dinamisks nevis statisks process. Tai jābūt pastāvīgai, nevis “reizi mūžā”. Tā nebeidzas ar pirmo pārbaudi vai oficiālo turpmāko pasākumu izpildi. Šie pasākumi regulāri jāatkārto</w:t>
      </w:r>
      <w:r>
        <w:rPr>
          <w:rFonts w:ascii="Times New Roman" w:hAnsi="Times New Roman" w:cs="Times New Roman"/>
          <w:bCs/>
          <w:noProof/>
          <w:sz w:val="26"/>
          <w:szCs w:val="26"/>
        </w:rPr>
        <w:t>.</w:t>
      </w:r>
    </w:p>
    <w:p w:rsidR="005208D6" w:rsidRDefault="005208D6" w:rsidP="009055FB">
      <w:pPr>
        <w:spacing w:after="0" w:line="240" w:lineRule="auto"/>
        <w:ind w:firstLine="720"/>
        <w:jc w:val="both"/>
        <w:rPr>
          <w:rFonts w:ascii="Times New Roman" w:hAnsi="Times New Roman" w:cs="Times New Roman"/>
          <w:bCs/>
          <w:noProof/>
          <w:sz w:val="26"/>
          <w:szCs w:val="26"/>
        </w:rPr>
      </w:pPr>
      <w:r w:rsidRPr="005208D6">
        <w:rPr>
          <w:rFonts w:ascii="Times New Roman" w:hAnsi="Times New Roman" w:cs="Times New Roman"/>
          <w:bCs/>
          <w:noProof/>
          <w:sz w:val="26"/>
          <w:szCs w:val="26"/>
        </w:rPr>
        <w:t>Kvalitātes nodrošināšanas procesiem, kas satur ieteikumus darbībai vai kam nepieciešams tālāks darbības plāns, jāizveido konsekventi īstenojams, iepriekš noteikts turpmākās darbības pasākumu plāns.</w:t>
      </w:r>
    </w:p>
    <w:p w:rsidR="00AF1828" w:rsidRDefault="00AF1828"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Šobrīd kvalitātes novērtēšanas rezultātā sniegtās rekomendācijas paredzēt</w:t>
      </w:r>
      <w:r w:rsidR="00852E86">
        <w:rPr>
          <w:rFonts w:ascii="Times New Roman" w:hAnsi="Times New Roman" w:cs="Times New Roman"/>
          <w:bCs/>
          <w:noProof/>
          <w:sz w:val="26"/>
          <w:szCs w:val="26"/>
        </w:rPr>
        <w:t>s pārbaudīt kārtējās akreditāci</w:t>
      </w:r>
      <w:r>
        <w:rPr>
          <w:rFonts w:ascii="Times New Roman" w:hAnsi="Times New Roman" w:cs="Times New Roman"/>
          <w:bCs/>
          <w:noProof/>
          <w:sz w:val="26"/>
          <w:szCs w:val="26"/>
        </w:rPr>
        <w:t>j</w:t>
      </w:r>
      <w:r w:rsidR="00852E86">
        <w:rPr>
          <w:rFonts w:ascii="Times New Roman" w:hAnsi="Times New Roman" w:cs="Times New Roman"/>
          <w:bCs/>
          <w:noProof/>
          <w:sz w:val="26"/>
          <w:szCs w:val="26"/>
        </w:rPr>
        <w:t>a</w:t>
      </w:r>
      <w:r>
        <w:rPr>
          <w:rFonts w:ascii="Times New Roman" w:hAnsi="Times New Roman" w:cs="Times New Roman"/>
          <w:bCs/>
          <w:noProof/>
          <w:sz w:val="26"/>
          <w:szCs w:val="26"/>
        </w:rPr>
        <w:t xml:space="preserve">s laikā, tomēr tas </w:t>
      </w:r>
      <w:r w:rsidR="00852E86">
        <w:rPr>
          <w:rFonts w:ascii="Times New Roman" w:hAnsi="Times New Roman" w:cs="Times New Roman"/>
          <w:bCs/>
          <w:noProof/>
          <w:sz w:val="26"/>
          <w:szCs w:val="26"/>
        </w:rPr>
        <w:t xml:space="preserve">parasti </w:t>
      </w:r>
      <w:r>
        <w:rPr>
          <w:rFonts w:ascii="Times New Roman" w:hAnsi="Times New Roman" w:cs="Times New Roman"/>
          <w:bCs/>
          <w:noProof/>
          <w:sz w:val="26"/>
          <w:szCs w:val="26"/>
        </w:rPr>
        <w:t>ir tikai pēc sešiem gadiem, kas nozīmē, ka tikai ik pēc sešiem gadiem tiek veiktas pārbaudes, bet starplaikā nav informācija</w:t>
      </w:r>
      <w:r w:rsidR="00473C17">
        <w:rPr>
          <w:rFonts w:ascii="Times New Roman" w:hAnsi="Times New Roman" w:cs="Times New Roman"/>
          <w:bCs/>
          <w:noProof/>
          <w:sz w:val="26"/>
          <w:szCs w:val="26"/>
        </w:rPr>
        <w:t>s par kvalitātes nodrošināšanu, kā arī augstskolas nesaņem atbalstu un ieteikumus studiju kvalitātes uzlabošanai.</w:t>
      </w:r>
    </w:p>
    <w:p w:rsidR="00C856B3" w:rsidRPr="00625425" w:rsidRDefault="00611EBE" w:rsidP="009055FB">
      <w:pPr>
        <w:spacing w:after="0" w:line="240" w:lineRule="auto"/>
        <w:ind w:firstLine="720"/>
        <w:jc w:val="both"/>
        <w:rPr>
          <w:rFonts w:ascii="Times New Roman" w:hAnsi="Times New Roman" w:cs="Times New Roman"/>
          <w:bCs/>
          <w:noProof/>
          <w:sz w:val="26"/>
          <w:szCs w:val="26"/>
        </w:rPr>
      </w:pPr>
      <w:r w:rsidRPr="00625425">
        <w:rPr>
          <w:rFonts w:ascii="Times New Roman" w:hAnsi="Times New Roman" w:cs="Times New Roman"/>
          <w:bCs/>
          <w:noProof/>
          <w:sz w:val="26"/>
          <w:szCs w:val="26"/>
        </w:rPr>
        <w:t>Pašnovērtējumu ziņojumus var izmantot kā efektīvu instrumentu novērtēšanas ekspertu sniegto ieteikumu ieviešanas monitorēšanai – uzsvaru liekot uz studiju virziena kvalitātes novērtēšanas ekspertu sniegto ieteikumu ieviešanu, absolventu nodarbinātības monitoringu un citiem būtiskiem indikatoriem.</w:t>
      </w:r>
    </w:p>
    <w:p w:rsidR="001425EF" w:rsidRDefault="001425EF" w:rsidP="009055FB">
      <w:pPr>
        <w:spacing w:after="0" w:line="240" w:lineRule="auto"/>
        <w:jc w:val="both"/>
        <w:rPr>
          <w:rFonts w:ascii="Times New Roman" w:hAnsi="Times New Roman" w:cs="Times New Roman"/>
          <w:b/>
          <w:noProof/>
          <w:sz w:val="28"/>
          <w:szCs w:val="28"/>
        </w:rPr>
      </w:pPr>
    </w:p>
    <w:p w:rsidR="001425EF" w:rsidRDefault="001425EF" w:rsidP="009055FB">
      <w:pPr>
        <w:spacing w:after="0" w:line="240" w:lineRule="auto"/>
        <w:jc w:val="both"/>
        <w:rPr>
          <w:rFonts w:ascii="Times New Roman" w:hAnsi="Times New Roman" w:cs="Times New Roman"/>
          <w:bCs/>
          <w:noProof/>
          <w:sz w:val="26"/>
          <w:szCs w:val="26"/>
        </w:rPr>
      </w:pPr>
      <w:r>
        <w:rPr>
          <w:rFonts w:ascii="Times New Roman" w:hAnsi="Times New Roman" w:cs="Times New Roman"/>
          <w:b/>
          <w:noProof/>
          <w:sz w:val="28"/>
          <w:szCs w:val="28"/>
        </w:rPr>
        <w:t>3.8. Sistēmiskas un ilgtspējīgas darbības trūkums</w:t>
      </w:r>
      <w:r w:rsidR="00C67DFA">
        <w:rPr>
          <w:rFonts w:ascii="Times New Roman" w:hAnsi="Times New Roman" w:cs="Times New Roman"/>
          <w:b/>
          <w:noProof/>
          <w:sz w:val="28"/>
          <w:szCs w:val="28"/>
        </w:rPr>
        <w:t xml:space="preserve"> stabila finansējuma trūkuma dēļ </w:t>
      </w:r>
    </w:p>
    <w:p w:rsidR="001425EF" w:rsidRDefault="001425EF" w:rsidP="009055FB">
      <w:pPr>
        <w:spacing w:after="0" w:line="240" w:lineRule="auto"/>
        <w:ind w:firstLine="720"/>
        <w:jc w:val="both"/>
        <w:rPr>
          <w:rFonts w:ascii="Times New Roman" w:hAnsi="Times New Roman" w:cs="Times New Roman"/>
          <w:bCs/>
          <w:noProof/>
          <w:sz w:val="26"/>
          <w:szCs w:val="26"/>
        </w:rPr>
      </w:pPr>
      <w:r>
        <w:rPr>
          <w:rFonts w:ascii="Times New Roman" w:hAnsi="Times New Roman" w:cs="Times New Roman"/>
          <w:bCs/>
          <w:noProof/>
          <w:sz w:val="26"/>
          <w:szCs w:val="26"/>
        </w:rPr>
        <w:t xml:space="preserve">Nepastāvot </w:t>
      </w:r>
      <w:r w:rsidR="00923162">
        <w:rPr>
          <w:rFonts w:ascii="Times New Roman" w:hAnsi="Times New Roman" w:cs="Times New Roman"/>
          <w:bCs/>
          <w:noProof/>
          <w:sz w:val="26"/>
          <w:szCs w:val="26"/>
        </w:rPr>
        <w:t xml:space="preserve">vienai ārējās kvalitātes nodrošināšanas </w:t>
      </w:r>
      <w:r>
        <w:rPr>
          <w:rFonts w:ascii="Times New Roman" w:hAnsi="Times New Roman" w:cs="Times New Roman"/>
          <w:bCs/>
          <w:noProof/>
          <w:sz w:val="26"/>
          <w:szCs w:val="26"/>
        </w:rPr>
        <w:t>institūcijai ar stabilu finansējumu un adekvātu administratīvo kapacitāti, ārējās kvalitātes nodrošināšanas sistēm</w:t>
      </w:r>
      <w:r w:rsidR="00923162">
        <w:rPr>
          <w:rFonts w:ascii="Times New Roman" w:hAnsi="Times New Roman" w:cs="Times New Roman"/>
          <w:bCs/>
          <w:noProof/>
          <w:sz w:val="26"/>
          <w:szCs w:val="26"/>
        </w:rPr>
        <w:t xml:space="preserve">a ir sarežģīti vadāma un rada nelietderīgi izmantotu resursu riskus (piemēram, </w:t>
      </w:r>
      <w:r w:rsidR="0057586C">
        <w:rPr>
          <w:rFonts w:ascii="Times New Roman" w:hAnsi="Times New Roman" w:cs="Times New Roman"/>
          <w:bCs/>
          <w:noProof/>
          <w:sz w:val="26"/>
          <w:szCs w:val="26"/>
        </w:rPr>
        <w:t xml:space="preserve">pastāvīgi </w:t>
      </w:r>
      <w:r w:rsidR="00923162">
        <w:rPr>
          <w:rFonts w:ascii="Times New Roman" w:hAnsi="Times New Roman" w:cs="Times New Roman"/>
          <w:bCs/>
          <w:noProof/>
          <w:sz w:val="26"/>
          <w:szCs w:val="26"/>
        </w:rPr>
        <w:t>apmācot darbiniekus, kas strauji mainās</w:t>
      </w:r>
      <w:r w:rsidR="002A0CBD">
        <w:rPr>
          <w:rFonts w:ascii="Times New Roman" w:hAnsi="Times New Roman" w:cs="Times New Roman"/>
          <w:bCs/>
          <w:noProof/>
          <w:sz w:val="26"/>
          <w:szCs w:val="26"/>
        </w:rPr>
        <w:t xml:space="preserve"> nenoteiktās karjeras perspektīvas dēļ</w:t>
      </w:r>
      <w:r w:rsidR="00923162">
        <w:rPr>
          <w:rFonts w:ascii="Times New Roman" w:hAnsi="Times New Roman" w:cs="Times New Roman"/>
          <w:bCs/>
          <w:noProof/>
          <w:sz w:val="26"/>
          <w:szCs w:val="26"/>
        </w:rPr>
        <w:t>)</w:t>
      </w:r>
      <w:r w:rsidR="00B33A6E">
        <w:rPr>
          <w:rFonts w:ascii="Times New Roman" w:hAnsi="Times New Roman" w:cs="Times New Roman"/>
          <w:bCs/>
          <w:noProof/>
          <w:sz w:val="26"/>
          <w:szCs w:val="26"/>
        </w:rPr>
        <w:t>, kā arī riskus kvalitatīvi pārvaldīt informācijas plūsmas</w:t>
      </w:r>
      <w:r w:rsidR="00923162">
        <w:rPr>
          <w:rFonts w:ascii="Times New Roman" w:hAnsi="Times New Roman" w:cs="Times New Roman"/>
          <w:bCs/>
          <w:noProof/>
          <w:sz w:val="26"/>
          <w:szCs w:val="26"/>
        </w:rPr>
        <w:t xml:space="preserve">. Jāņem vērā, ka sistēmas „darba priekšmets” – augstākās izglītības programmas </w:t>
      </w:r>
      <w:r w:rsidR="0057586C">
        <w:rPr>
          <w:rFonts w:ascii="Times New Roman" w:hAnsi="Times New Roman" w:cs="Times New Roman"/>
          <w:bCs/>
          <w:noProof/>
          <w:sz w:val="26"/>
          <w:szCs w:val="26"/>
        </w:rPr>
        <w:t xml:space="preserve">un augstskolas </w:t>
      </w:r>
      <w:r w:rsidR="00923162">
        <w:rPr>
          <w:rFonts w:ascii="Times New Roman" w:hAnsi="Times New Roman" w:cs="Times New Roman"/>
          <w:bCs/>
          <w:noProof/>
          <w:sz w:val="26"/>
          <w:szCs w:val="26"/>
        </w:rPr>
        <w:t>– ir ļoti mainīgs objekts, jo augstskolas dabiski ir tendētas veidot jaunas studiju programmas, mainīt līdzšinējās</w:t>
      </w:r>
      <w:r w:rsidR="0057586C">
        <w:rPr>
          <w:rFonts w:ascii="Times New Roman" w:hAnsi="Times New Roman" w:cs="Times New Roman"/>
          <w:bCs/>
          <w:noProof/>
          <w:sz w:val="26"/>
          <w:szCs w:val="26"/>
        </w:rPr>
        <w:t>, uzkrājamās informācijas apjoms ir liels un tās pēctecības uzturēšana ir svarīga no diplomatzīšanas viedokļa</w:t>
      </w:r>
      <w:r w:rsidR="00923162">
        <w:rPr>
          <w:rFonts w:ascii="Times New Roman" w:hAnsi="Times New Roman" w:cs="Times New Roman"/>
          <w:bCs/>
          <w:noProof/>
          <w:sz w:val="26"/>
          <w:szCs w:val="26"/>
        </w:rPr>
        <w:t>. Savukārt starptautiskajai diplomatzīšanas sistēmai principiāli svarīgi ir uzturēt pilnu informāciju par iepriekšējos periodos pastāvējušām studiju programmām, augstskolām un to akreditāciju.</w:t>
      </w:r>
    </w:p>
    <w:p w:rsidR="005208D6" w:rsidRPr="005208D6" w:rsidRDefault="005208D6" w:rsidP="009055FB">
      <w:pPr>
        <w:spacing w:after="0" w:line="240" w:lineRule="auto"/>
        <w:jc w:val="both"/>
        <w:rPr>
          <w:rFonts w:ascii="Times New Roman" w:hAnsi="Times New Roman" w:cs="Times New Roman"/>
          <w:bCs/>
          <w:noProof/>
          <w:sz w:val="26"/>
          <w:szCs w:val="26"/>
        </w:rPr>
      </w:pPr>
    </w:p>
    <w:p w:rsidR="006E5454" w:rsidRDefault="00614C7C" w:rsidP="009055FB">
      <w:pPr>
        <w:pStyle w:val="Heading1"/>
        <w:numPr>
          <w:ilvl w:val="0"/>
          <w:numId w:val="4"/>
        </w:numPr>
        <w:spacing w:before="0" w:line="240" w:lineRule="auto"/>
        <w:jc w:val="center"/>
        <w:rPr>
          <w:rFonts w:ascii="Times New Roman" w:hAnsi="Times New Roman" w:cs="Times New Roman"/>
          <w:color w:val="auto"/>
          <w:sz w:val="32"/>
          <w:szCs w:val="32"/>
        </w:rPr>
      </w:pPr>
      <w:bookmarkStart w:id="19" w:name="_Toc395890871"/>
      <w:r>
        <w:rPr>
          <w:rFonts w:ascii="Times New Roman" w:hAnsi="Times New Roman" w:cs="Times New Roman"/>
          <w:color w:val="auto"/>
          <w:sz w:val="32"/>
          <w:szCs w:val="32"/>
        </w:rPr>
        <w:t>Alternatīvu izvērtējums augstākās izglītība</w:t>
      </w:r>
      <w:r w:rsidR="004B6B2A">
        <w:rPr>
          <w:rFonts w:ascii="Times New Roman" w:hAnsi="Times New Roman" w:cs="Times New Roman"/>
          <w:color w:val="auto"/>
          <w:sz w:val="32"/>
          <w:szCs w:val="32"/>
        </w:rPr>
        <w:t>s</w:t>
      </w:r>
      <w:r>
        <w:rPr>
          <w:rFonts w:ascii="Times New Roman" w:hAnsi="Times New Roman" w:cs="Times New Roman"/>
          <w:color w:val="auto"/>
          <w:sz w:val="32"/>
          <w:szCs w:val="32"/>
        </w:rPr>
        <w:t xml:space="preserve"> kvalitātes nodrošināšanas institūcijas izveidei</w:t>
      </w:r>
      <w:bookmarkEnd w:id="19"/>
    </w:p>
    <w:p w:rsidR="00AE7266" w:rsidRDefault="00AE7266" w:rsidP="009055FB">
      <w:pPr>
        <w:spacing w:after="0" w:line="240" w:lineRule="auto"/>
        <w:jc w:val="both"/>
        <w:rPr>
          <w:rFonts w:ascii="Times New Roman" w:hAnsi="Times New Roman" w:cs="Times New Roman"/>
          <w:sz w:val="26"/>
          <w:szCs w:val="26"/>
        </w:rPr>
      </w:pPr>
    </w:p>
    <w:p w:rsidR="000A7CD0" w:rsidRPr="00625425" w:rsidRDefault="0093149F" w:rsidP="009055FB">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Lai atrisinātu </w:t>
      </w:r>
      <w:r w:rsidR="0076340B">
        <w:rPr>
          <w:rFonts w:ascii="Times New Roman" w:hAnsi="Times New Roman" w:cs="Times New Roman"/>
          <w:sz w:val="26"/>
          <w:szCs w:val="26"/>
        </w:rPr>
        <w:t>3</w:t>
      </w:r>
      <w:r w:rsidR="002977BD">
        <w:rPr>
          <w:rFonts w:ascii="Times New Roman" w:hAnsi="Times New Roman" w:cs="Times New Roman"/>
          <w:sz w:val="26"/>
          <w:szCs w:val="26"/>
        </w:rPr>
        <w:t>.</w:t>
      </w:r>
      <w:r w:rsidR="00C56EF1">
        <w:rPr>
          <w:rFonts w:ascii="Times New Roman" w:hAnsi="Times New Roman" w:cs="Times New Roman"/>
          <w:sz w:val="26"/>
          <w:szCs w:val="26"/>
        </w:rPr>
        <w:t xml:space="preserve">nodaļā </w:t>
      </w:r>
      <w:r>
        <w:rPr>
          <w:rFonts w:ascii="Times New Roman" w:hAnsi="Times New Roman" w:cs="Times New Roman"/>
          <w:sz w:val="26"/>
          <w:szCs w:val="26"/>
        </w:rPr>
        <w:t>minētās</w:t>
      </w:r>
      <w:r w:rsidR="00C56EF1">
        <w:rPr>
          <w:rFonts w:ascii="Times New Roman" w:hAnsi="Times New Roman" w:cs="Times New Roman"/>
          <w:sz w:val="26"/>
          <w:szCs w:val="26"/>
        </w:rPr>
        <w:t xml:space="preserve"> probl</w:t>
      </w:r>
      <w:r>
        <w:rPr>
          <w:rFonts w:ascii="Times New Roman" w:hAnsi="Times New Roman" w:cs="Times New Roman"/>
          <w:sz w:val="26"/>
          <w:szCs w:val="26"/>
        </w:rPr>
        <w:t xml:space="preserve">ēmas, ir nepieciešams, </w:t>
      </w:r>
      <w:r w:rsidR="00DC3AE4">
        <w:rPr>
          <w:rFonts w:ascii="Times New Roman" w:hAnsi="Times New Roman" w:cs="Times New Roman"/>
          <w:sz w:val="26"/>
          <w:szCs w:val="26"/>
        </w:rPr>
        <w:t>lai</w:t>
      </w:r>
      <w:r>
        <w:rPr>
          <w:rFonts w:ascii="Times New Roman" w:hAnsi="Times New Roman" w:cs="Times New Roman"/>
          <w:sz w:val="26"/>
          <w:szCs w:val="26"/>
        </w:rPr>
        <w:t xml:space="preserve"> kvalitātes nodrošināšanas sistēma Latvijā funkcionē atbilstoši ESG un ar nosacījumu,  ka par to atbildīgā iestāde veic funkcijas, kuras </w:t>
      </w:r>
      <w:r w:rsidR="00237854">
        <w:rPr>
          <w:rFonts w:ascii="Times New Roman" w:hAnsi="Times New Roman" w:cs="Times New Roman"/>
          <w:sz w:val="26"/>
          <w:szCs w:val="26"/>
        </w:rPr>
        <w:t xml:space="preserve">pilnībā </w:t>
      </w:r>
      <w:r>
        <w:rPr>
          <w:rFonts w:ascii="Times New Roman" w:hAnsi="Times New Roman" w:cs="Times New Roman"/>
          <w:sz w:val="26"/>
          <w:szCs w:val="26"/>
        </w:rPr>
        <w:t>ir uzskaitītas</w:t>
      </w:r>
      <w:r w:rsidR="00237854">
        <w:rPr>
          <w:rFonts w:ascii="Times New Roman" w:hAnsi="Times New Roman" w:cs="Times New Roman"/>
          <w:sz w:val="26"/>
          <w:szCs w:val="26"/>
        </w:rPr>
        <w:t xml:space="preserve"> 1.</w:t>
      </w:r>
      <w:r>
        <w:rPr>
          <w:rFonts w:ascii="Times New Roman" w:hAnsi="Times New Roman" w:cs="Times New Roman"/>
          <w:sz w:val="26"/>
          <w:szCs w:val="26"/>
        </w:rPr>
        <w:t xml:space="preserve"> </w:t>
      </w:r>
      <w:r w:rsidR="00A16874">
        <w:rPr>
          <w:rFonts w:ascii="Times New Roman" w:hAnsi="Times New Roman" w:cs="Times New Roman"/>
          <w:sz w:val="26"/>
          <w:szCs w:val="26"/>
        </w:rPr>
        <w:t>pielikumā</w:t>
      </w:r>
      <w:r w:rsidR="000A7CD0" w:rsidRPr="00F51298">
        <w:rPr>
          <w:rFonts w:ascii="Times New Roman" w:hAnsi="Times New Roman" w:cs="Times New Roman"/>
          <w:sz w:val="26"/>
          <w:szCs w:val="26"/>
        </w:rPr>
        <w:t xml:space="preserve">, īsumā tās ir </w:t>
      </w:r>
      <w:r w:rsidR="000A7CD0" w:rsidRPr="00625425">
        <w:rPr>
          <w:rFonts w:ascii="Times New Roman" w:hAnsi="Times New Roman" w:cs="Times New Roman"/>
          <w:sz w:val="26"/>
          <w:szCs w:val="26"/>
        </w:rPr>
        <w:t>šādas:</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Nodrošināt augstākās izglītības institūciju un studiju virzienu akreditāciju:</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lastRenderedPageBreak/>
        <w:t>konsultāciju sniegšana augstākās izglītības institūcijām iekšējo kvalitātes novērtēšanas sistēmu veidošanā un pašnovērtējuma ziņojumu sagatavošanā;</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iesniegto dokumentu pārbaude;</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komisijas sēžu organizēšana;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novērtēšanas procesa organizēšana;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ekspertu atlase un apmācība;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lēmuma pieņemšanas procesa organizēšana;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apstrīdēšanas procedūras nodrošināšana.</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Nodrošināt augstākās izglītības institūciju un studiju virzienu kvalitātes novērtēšanu:</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nodrošināt regulāru kvalitātes pārbaudi un monitoringu;</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izstrādāt pēcpārbaudes/pārraudzības (</w:t>
      </w:r>
      <w:r w:rsidRPr="00625425">
        <w:rPr>
          <w:rFonts w:ascii="Times New Roman" w:hAnsi="Times New Roman" w:cs="Times New Roman"/>
          <w:i/>
          <w:sz w:val="26"/>
          <w:szCs w:val="26"/>
        </w:rPr>
        <w:t>follow-up)</w:t>
      </w:r>
      <w:r w:rsidRPr="00625425">
        <w:rPr>
          <w:rFonts w:ascii="Times New Roman" w:hAnsi="Times New Roman" w:cs="Times New Roman"/>
          <w:sz w:val="26"/>
          <w:szCs w:val="26"/>
        </w:rPr>
        <w:t xml:space="preserve"> procedūras;</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Nodrošināt studiju programmu licencēšanu;</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konsultāciju sniegšana augstākās izglītības institūcijām pašnovērtējuma ziņojumu sagatavošanā;</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iesniegto dokumentu pārbaude;</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komisijas sēžu organizēšana;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novērtēšanas procesa organizēšana;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ekspertu atlase un apmācība;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atbalsta sniegšana ekspertu ziņojuma sagatavošanā;</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lēmuma pieņemšanas procesa organizēšana;</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Analizēt novērtēšanas rezultātus un sniegt rekomendācijas kvalitātes uzlabošanai:</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rekomendāciju sniegšana augstākās izglītības institūcijām;</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rekomendāciju sniegšana izglītības un zinātnes ministrijai;</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nodrošināt nepārtrauktu kvalitātes pilnveidošanu;</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Informēt sabiedrību par novērtēšanas rezultātiem:</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apkopot, analizēt un publicēt mājas lapā;</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uzturēt datu bāzi;</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Apmācīt novērtēšanas ekspertus:</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ekspertu atlases procedūras (kritēriju) izstrāde;</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ekspertu apmācība;</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ekspertu datu bāzes uzturēšana un papildināšana;</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Konsultēt un rīkot apmācības augstākās izglītības institūcijām:</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konsultāciju sniegšana ar ārējās un iekšējās kvalitātes nodrošināšanu saistītajos jautājumos;</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semināru rīkošana;</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Izstrādāt procedūras un vadlīnijas funkciju nodrošināšanai:</w:t>
      </w:r>
    </w:p>
    <w:p w:rsidR="000A7CD0" w:rsidRPr="00625425" w:rsidRDefault="000A7CD0" w:rsidP="009055FB">
      <w:pPr>
        <w:pStyle w:val="ListParagraph"/>
        <w:numPr>
          <w:ilvl w:val="1"/>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izstrādāt caurskatāmas un skaidras procedūras, mazinot administratīvo slogu un padarot pakalpojumu pieejamāku;</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Veikt sistēmas līmeņa analīzi, pētījumus, piedalīties projektos ar ārējās kvalitātes nodrošināšanu saistītajos jautājumos;</w:t>
      </w:r>
    </w:p>
    <w:p w:rsidR="000A7CD0" w:rsidRPr="00625425" w:rsidRDefault="000A7CD0" w:rsidP="009055FB">
      <w:pPr>
        <w:pStyle w:val="ListParagraph"/>
        <w:numPr>
          <w:ilvl w:val="0"/>
          <w:numId w:val="1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Piedalīties starptautiskajos tīklos ārējās kvalitātes nodrošināšanai.</w:t>
      </w:r>
    </w:p>
    <w:p w:rsidR="000A7CD0" w:rsidRPr="00625425" w:rsidRDefault="000A7CD0" w:rsidP="009055FB">
      <w:pPr>
        <w:spacing w:after="0" w:line="240" w:lineRule="auto"/>
        <w:ind w:firstLine="360"/>
        <w:jc w:val="both"/>
        <w:rPr>
          <w:rFonts w:ascii="Times New Roman" w:hAnsi="Times New Roman" w:cs="Times New Roman"/>
          <w:sz w:val="26"/>
          <w:szCs w:val="26"/>
        </w:rPr>
      </w:pPr>
    </w:p>
    <w:p w:rsidR="0093149F" w:rsidRPr="00625425" w:rsidRDefault="0093149F" w:rsidP="009055FB">
      <w:pPr>
        <w:spacing w:after="0" w:line="240" w:lineRule="auto"/>
        <w:ind w:firstLine="360"/>
        <w:jc w:val="both"/>
        <w:rPr>
          <w:rFonts w:ascii="Times New Roman" w:hAnsi="Times New Roman" w:cs="Times New Roman"/>
          <w:sz w:val="26"/>
          <w:szCs w:val="26"/>
        </w:rPr>
      </w:pPr>
      <w:r w:rsidRPr="00625425">
        <w:rPr>
          <w:rFonts w:ascii="Times New Roman" w:hAnsi="Times New Roman" w:cs="Times New Roman"/>
          <w:sz w:val="26"/>
          <w:szCs w:val="26"/>
        </w:rPr>
        <w:lastRenderedPageBreak/>
        <w:t>Ņemot vērā, ka šobrīd tādas iestādes nav</w:t>
      </w:r>
      <w:r w:rsidR="00606F65" w:rsidRPr="00625425">
        <w:rPr>
          <w:rFonts w:ascii="Times New Roman" w:hAnsi="Times New Roman" w:cs="Times New Roman"/>
          <w:sz w:val="26"/>
          <w:szCs w:val="26"/>
        </w:rPr>
        <w:t xml:space="preserve"> un pašreizējais akreditācijas process tikai daļēji atbilst ESG</w:t>
      </w:r>
      <w:r w:rsidRPr="00625425">
        <w:rPr>
          <w:rFonts w:ascii="Times New Roman" w:hAnsi="Times New Roman" w:cs="Times New Roman"/>
          <w:sz w:val="26"/>
          <w:szCs w:val="26"/>
        </w:rPr>
        <w:t>, tiek piedāvāti šādi varianti:</w:t>
      </w:r>
    </w:p>
    <w:p w:rsidR="0093149F" w:rsidRPr="00625425" w:rsidRDefault="0093149F" w:rsidP="009055FB">
      <w:pPr>
        <w:pStyle w:val="ListParagraph"/>
        <w:numPr>
          <w:ilvl w:val="0"/>
          <w:numId w:val="2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Jaunas kvalitātes nodrošināšanas institūcijas izveide;</w:t>
      </w:r>
    </w:p>
    <w:p w:rsidR="0093149F" w:rsidRPr="00625425" w:rsidRDefault="0093149F" w:rsidP="009055FB">
      <w:pPr>
        <w:pStyle w:val="ListParagraph"/>
        <w:numPr>
          <w:ilvl w:val="0"/>
          <w:numId w:val="2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Kvalitātes nodrošināšanas (akreditācijas un licencēšanas) funkciju nodošana Izglītības kvalitātes valsts dienestam;</w:t>
      </w:r>
    </w:p>
    <w:p w:rsidR="0093149F" w:rsidRPr="00625425" w:rsidRDefault="0093149F" w:rsidP="009055FB">
      <w:pPr>
        <w:pStyle w:val="ListParagraph"/>
        <w:numPr>
          <w:ilvl w:val="0"/>
          <w:numId w:val="2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Kvalitātes nodrošināšanas (akreditācijas un licencēšanas) funkciju nodošana Augstākās izglītības padomei;</w:t>
      </w:r>
    </w:p>
    <w:p w:rsidR="0093149F" w:rsidRPr="00625425" w:rsidRDefault="0093149F" w:rsidP="009055FB">
      <w:pPr>
        <w:pStyle w:val="ListParagraph"/>
        <w:numPr>
          <w:ilvl w:val="0"/>
          <w:numId w:val="2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Kvalitātes nodrošināšanas (akreditācijas un licencēšanas) funkciju nodošana Akadēmiskās informācijas centram;</w:t>
      </w:r>
    </w:p>
    <w:p w:rsidR="003E5A8F" w:rsidRPr="00625425" w:rsidRDefault="003E5A8F" w:rsidP="009055FB">
      <w:p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Ikvienā no iespējamiem variantiem Izglītības un zinātnes ministrijai būs</w:t>
      </w:r>
      <w:r w:rsidR="002967B8" w:rsidRPr="00625425">
        <w:rPr>
          <w:rFonts w:ascii="Times New Roman" w:hAnsi="Times New Roman" w:cs="Times New Roman"/>
          <w:sz w:val="26"/>
          <w:szCs w:val="26"/>
        </w:rPr>
        <w:t xml:space="preserve"> jāveic</w:t>
      </w:r>
      <w:r w:rsidRPr="00625425">
        <w:rPr>
          <w:rFonts w:ascii="Times New Roman" w:hAnsi="Times New Roman" w:cs="Times New Roman"/>
          <w:sz w:val="26"/>
          <w:szCs w:val="26"/>
        </w:rPr>
        <w:t xml:space="preserve"> deleģēto ārējās kvalitātes nodrošināšanas funkciju īstenošanas kvalitātes monitorings un kontrole, saskaņā ar Valsts pārvaldes iekārtas likuma 43.panta trešo daļu.</w:t>
      </w:r>
    </w:p>
    <w:p w:rsidR="0093149F" w:rsidRPr="00625425" w:rsidRDefault="0093149F" w:rsidP="009055FB">
      <w:pPr>
        <w:spacing w:after="0" w:line="240" w:lineRule="auto"/>
        <w:ind w:firstLine="360"/>
        <w:jc w:val="both"/>
        <w:rPr>
          <w:rFonts w:ascii="Times New Roman" w:hAnsi="Times New Roman" w:cs="Times New Roman"/>
          <w:sz w:val="26"/>
          <w:szCs w:val="26"/>
        </w:rPr>
      </w:pPr>
    </w:p>
    <w:p w:rsidR="0093149F" w:rsidRPr="00625425" w:rsidRDefault="0093149F" w:rsidP="009055FB">
      <w:pPr>
        <w:spacing w:after="0" w:line="240" w:lineRule="auto"/>
        <w:jc w:val="both"/>
        <w:rPr>
          <w:rFonts w:ascii="Times New Roman" w:hAnsi="Times New Roman" w:cs="Times New Roman"/>
          <w:sz w:val="26"/>
          <w:szCs w:val="26"/>
        </w:rPr>
      </w:pPr>
    </w:p>
    <w:p w:rsidR="006E5454" w:rsidRPr="00625425" w:rsidRDefault="004F63B8" w:rsidP="009055FB">
      <w:pPr>
        <w:pStyle w:val="Heading2"/>
        <w:spacing w:before="0" w:line="240" w:lineRule="auto"/>
        <w:rPr>
          <w:rFonts w:ascii="Times New Roman" w:hAnsi="Times New Roman" w:cs="Times New Roman"/>
          <w:b/>
          <w:color w:val="auto"/>
          <w:sz w:val="28"/>
          <w:szCs w:val="28"/>
        </w:rPr>
      </w:pPr>
      <w:bookmarkStart w:id="20" w:name="_Toc395890872"/>
      <w:r w:rsidRPr="00625425">
        <w:rPr>
          <w:rFonts w:ascii="Times New Roman" w:hAnsi="Times New Roman" w:cs="Times New Roman"/>
          <w:b/>
          <w:color w:val="auto"/>
          <w:sz w:val="28"/>
          <w:szCs w:val="28"/>
        </w:rPr>
        <w:t>4</w:t>
      </w:r>
      <w:r w:rsidR="00AE7266" w:rsidRPr="00625425">
        <w:rPr>
          <w:rFonts w:ascii="Times New Roman" w:hAnsi="Times New Roman" w:cs="Times New Roman"/>
          <w:b/>
          <w:color w:val="auto"/>
          <w:sz w:val="28"/>
          <w:szCs w:val="28"/>
        </w:rPr>
        <w:t xml:space="preserve">.1. </w:t>
      </w:r>
      <w:r w:rsidR="006E5454" w:rsidRPr="00625425">
        <w:rPr>
          <w:rFonts w:ascii="Times New Roman" w:hAnsi="Times New Roman" w:cs="Times New Roman"/>
          <w:b/>
          <w:color w:val="auto"/>
          <w:sz w:val="28"/>
          <w:szCs w:val="28"/>
        </w:rPr>
        <w:t>Kvalitātes nodrošināšanas institūcijas izveide</w:t>
      </w:r>
      <w:r w:rsidR="001A1EEB" w:rsidRPr="00625425">
        <w:rPr>
          <w:rFonts w:ascii="Times New Roman" w:hAnsi="Times New Roman" w:cs="Times New Roman"/>
          <w:b/>
          <w:color w:val="auto"/>
          <w:sz w:val="28"/>
          <w:szCs w:val="28"/>
        </w:rPr>
        <w:t xml:space="preserve"> (jaundibināta)</w:t>
      </w:r>
      <w:bookmarkEnd w:id="20"/>
    </w:p>
    <w:p w:rsidR="0070281A" w:rsidRPr="00625425" w:rsidRDefault="0070281A" w:rsidP="009055FB">
      <w:pPr>
        <w:spacing w:after="0" w:line="240" w:lineRule="auto"/>
        <w:jc w:val="both"/>
        <w:rPr>
          <w:rFonts w:ascii="Times New Roman" w:hAnsi="Times New Roman" w:cs="Times New Roman"/>
          <w:sz w:val="26"/>
          <w:szCs w:val="26"/>
        </w:rPr>
      </w:pPr>
    </w:p>
    <w:p w:rsidR="0070281A" w:rsidRDefault="0070281A" w:rsidP="009055FB">
      <w:pPr>
        <w:spacing w:after="0" w:line="240" w:lineRule="auto"/>
        <w:ind w:firstLine="720"/>
        <w:jc w:val="both"/>
        <w:rPr>
          <w:rFonts w:ascii="Times New Roman" w:hAnsi="Times New Roman" w:cs="Times New Roman"/>
          <w:sz w:val="26"/>
          <w:szCs w:val="26"/>
        </w:rPr>
      </w:pPr>
      <w:r w:rsidRPr="00625425">
        <w:rPr>
          <w:rFonts w:ascii="Times New Roman" w:hAnsi="Times New Roman" w:cs="Times New Roman"/>
          <w:sz w:val="26"/>
          <w:szCs w:val="26"/>
        </w:rPr>
        <w:t xml:space="preserve">Ņemot vērā </w:t>
      </w:r>
      <w:r w:rsidR="00716066" w:rsidRPr="00625425">
        <w:rPr>
          <w:rFonts w:ascii="Times New Roman" w:hAnsi="Times New Roman" w:cs="Times New Roman"/>
          <w:sz w:val="26"/>
          <w:szCs w:val="26"/>
        </w:rPr>
        <w:t>pielikumā</w:t>
      </w:r>
      <w:r w:rsidRPr="00625425">
        <w:rPr>
          <w:rFonts w:ascii="Times New Roman" w:hAnsi="Times New Roman" w:cs="Times New Roman"/>
          <w:sz w:val="26"/>
          <w:szCs w:val="26"/>
        </w:rPr>
        <w:t xml:space="preserve"> sniegto informāciju par atbilstību ESG vadlīnijām un standartiem, var secināt, ka Latvijas augstākās izglītības kvalitātes nodrošināšanas institūcijas oficiālam statusam ir jābūt noteiktam  likumdošan</w:t>
      </w:r>
      <w:r w:rsidR="004B6B2A" w:rsidRPr="00625425">
        <w:rPr>
          <w:rFonts w:ascii="Times New Roman" w:hAnsi="Times New Roman" w:cs="Times New Roman"/>
          <w:sz w:val="26"/>
          <w:szCs w:val="26"/>
        </w:rPr>
        <w:t>ā</w:t>
      </w:r>
      <w:r w:rsidRPr="00625425">
        <w:rPr>
          <w:rFonts w:ascii="Times New Roman" w:hAnsi="Times New Roman" w:cs="Times New Roman"/>
          <w:sz w:val="26"/>
          <w:szCs w:val="26"/>
        </w:rPr>
        <w:t>, no</w:t>
      </w:r>
      <w:r w:rsidR="003A3939" w:rsidRPr="00625425">
        <w:rPr>
          <w:rFonts w:ascii="Times New Roman" w:hAnsi="Times New Roman" w:cs="Times New Roman"/>
          <w:sz w:val="26"/>
          <w:szCs w:val="26"/>
        </w:rPr>
        <w:t>drošinot to</w:t>
      </w:r>
      <w:r w:rsidRPr="00625425">
        <w:rPr>
          <w:rFonts w:ascii="Times New Roman" w:hAnsi="Times New Roman" w:cs="Times New Roman"/>
          <w:sz w:val="26"/>
          <w:szCs w:val="26"/>
        </w:rPr>
        <w:t>, ka tā ir neatkarīga institūcija,</w:t>
      </w:r>
      <w:r w:rsidR="003939DA" w:rsidRPr="00625425">
        <w:rPr>
          <w:rFonts w:ascii="Times New Roman" w:hAnsi="Times New Roman" w:cs="Times New Roman"/>
          <w:sz w:val="26"/>
          <w:szCs w:val="26"/>
        </w:rPr>
        <w:t xml:space="preserve"> saskaņā ar ESG vadlīniju 3.</w:t>
      </w:r>
      <w:r w:rsidR="00A13697" w:rsidRPr="00625425">
        <w:rPr>
          <w:rFonts w:ascii="Times New Roman" w:hAnsi="Times New Roman" w:cs="Times New Roman"/>
          <w:sz w:val="26"/>
          <w:szCs w:val="26"/>
        </w:rPr>
        <w:t>3</w:t>
      </w:r>
      <w:r w:rsidR="003939DA" w:rsidRPr="00625425">
        <w:rPr>
          <w:rFonts w:ascii="Times New Roman" w:hAnsi="Times New Roman" w:cs="Times New Roman"/>
          <w:sz w:val="26"/>
          <w:szCs w:val="26"/>
        </w:rPr>
        <w:t>.punktā noteikto</w:t>
      </w:r>
      <w:r w:rsidR="00A13697" w:rsidRPr="00625425">
        <w:rPr>
          <w:rStyle w:val="FootnoteReference"/>
          <w:rFonts w:ascii="Times New Roman" w:hAnsi="Times New Roman" w:cs="Times New Roman"/>
          <w:sz w:val="26"/>
          <w:szCs w:val="26"/>
        </w:rPr>
        <w:footnoteReference w:id="26"/>
      </w:r>
      <w:r w:rsidR="003939DA" w:rsidRPr="00625425">
        <w:rPr>
          <w:rFonts w:ascii="Times New Roman" w:hAnsi="Times New Roman" w:cs="Times New Roman"/>
          <w:sz w:val="26"/>
          <w:szCs w:val="26"/>
        </w:rPr>
        <w:t>,</w:t>
      </w:r>
      <w:r w:rsidRPr="00625425">
        <w:rPr>
          <w:rFonts w:ascii="Times New Roman" w:hAnsi="Times New Roman" w:cs="Times New Roman"/>
          <w:sz w:val="26"/>
          <w:szCs w:val="26"/>
        </w:rPr>
        <w:t xml:space="preserve"> kas </w:t>
      </w:r>
      <w:r w:rsidR="003A3939" w:rsidRPr="00625425">
        <w:rPr>
          <w:rFonts w:ascii="Times New Roman" w:hAnsi="Times New Roman" w:cs="Times New Roman"/>
          <w:sz w:val="26"/>
          <w:szCs w:val="26"/>
        </w:rPr>
        <w:t>veic</w:t>
      </w:r>
      <w:r w:rsidRPr="00625425">
        <w:rPr>
          <w:rFonts w:ascii="Times New Roman" w:hAnsi="Times New Roman" w:cs="Times New Roman"/>
          <w:sz w:val="26"/>
          <w:szCs w:val="26"/>
        </w:rPr>
        <w:t xml:space="preserve"> </w:t>
      </w:r>
      <w:r w:rsidR="003A3939" w:rsidRPr="00625425">
        <w:rPr>
          <w:rFonts w:ascii="Times New Roman" w:hAnsi="Times New Roman" w:cs="Times New Roman"/>
          <w:sz w:val="26"/>
          <w:szCs w:val="26"/>
        </w:rPr>
        <w:t>augstskolu</w:t>
      </w:r>
      <w:r w:rsidRPr="00625425">
        <w:rPr>
          <w:rFonts w:ascii="Times New Roman" w:hAnsi="Times New Roman" w:cs="Times New Roman"/>
          <w:sz w:val="26"/>
          <w:szCs w:val="26"/>
        </w:rPr>
        <w:t xml:space="preserve"> un studiju virzienu akreditācijas un studiju programmu licencēšanas organizēšanu un citas ar ārējās kvalitātes nodrošināšanu saistītas funkcijas</w:t>
      </w:r>
      <w:r w:rsidRPr="00AF54F2">
        <w:rPr>
          <w:rFonts w:ascii="Times New Roman" w:hAnsi="Times New Roman" w:cs="Times New Roman"/>
          <w:sz w:val="26"/>
          <w:szCs w:val="26"/>
        </w:rPr>
        <w:t>.</w:t>
      </w:r>
    </w:p>
    <w:p w:rsidR="0070281A" w:rsidRDefault="0070281A" w:rsidP="009055FB">
      <w:pPr>
        <w:spacing w:after="0" w:line="240" w:lineRule="auto"/>
        <w:ind w:firstLine="720"/>
        <w:jc w:val="both"/>
        <w:rPr>
          <w:rFonts w:ascii="Times New Roman" w:hAnsi="Times New Roman" w:cs="Times New Roman"/>
          <w:b/>
          <w:sz w:val="28"/>
          <w:szCs w:val="28"/>
        </w:rPr>
      </w:pPr>
    </w:p>
    <w:p w:rsidR="0070281A" w:rsidRDefault="0070281A" w:rsidP="009055FB">
      <w:pPr>
        <w:spacing w:after="0" w:line="240" w:lineRule="auto"/>
        <w:jc w:val="both"/>
        <w:rPr>
          <w:rFonts w:ascii="Times New Roman" w:hAnsi="Times New Roman" w:cs="Times New Roman"/>
          <w:sz w:val="26"/>
          <w:szCs w:val="26"/>
        </w:rPr>
      </w:pPr>
      <w:r w:rsidRPr="0070281A">
        <w:rPr>
          <w:rFonts w:ascii="Times New Roman" w:hAnsi="Times New Roman" w:cs="Times New Roman"/>
          <w:b/>
          <w:sz w:val="26"/>
          <w:szCs w:val="26"/>
        </w:rPr>
        <w:t xml:space="preserve">Misija: </w:t>
      </w:r>
      <w:r w:rsidRPr="0070281A">
        <w:rPr>
          <w:rFonts w:ascii="Times New Roman" w:hAnsi="Times New Roman" w:cs="Times New Roman"/>
          <w:sz w:val="26"/>
          <w:szCs w:val="26"/>
        </w:rPr>
        <w:t>Veicināt augstākās izglītības kvalitāti, tādejādi paaugstinot Latvijas augstākās</w:t>
      </w:r>
      <w:r w:rsidRPr="005D178C">
        <w:rPr>
          <w:rFonts w:ascii="Times New Roman" w:hAnsi="Times New Roman" w:cs="Times New Roman"/>
          <w:sz w:val="26"/>
          <w:szCs w:val="26"/>
        </w:rPr>
        <w:t xml:space="preserve"> izglītības starptautisko konkurētspēju.</w:t>
      </w:r>
    </w:p>
    <w:p w:rsidR="0070281A" w:rsidRDefault="0070281A" w:rsidP="009055FB">
      <w:pPr>
        <w:spacing w:after="0" w:line="240" w:lineRule="auto"/>
        <w:jc w:val="both"/>
        <w:rPr>
          <w:rFonts w:ascii="Times New Roman" w:hAnsi="Times New Roman" w:cs="Times New Roman"/>
          <w:sz w:val="26"/>
          <w:szCs w:val="26"/>
        </w:rPr>
      </w:pPr>
      <w:r w:rsidRPr="0070281A">
        <w:rPr>
          <w:rFonts w:ascii="Times New Roman" w:hAnsi="Times New Roman" w:cs="Times New Roman"/>
          <w:b/>
          <w:sz w:val="26"/>
          <w:szCs w:val="26"/>
        </w:rPr>
        <w:t xml:space="preserve">Mērķis: </w:t>
      </w:r>
      <w:r w:rsidRPr="0070281A">
        <w:rPr>
          <w:rFonts w:ascii="Times New Roman" w:hAnsi="Times New Roman" w:cs="Times New Roman"/>
          <w:sz w:val="26"/>
          <w:szCs w:val="26"/>
        </w:rPr>
        <w:t>Nodrošināt Latvijas augstākās izglītības ārējās kvalitātes nodrošināšanas sistēmas darbību, kas darbotos atbilstoši Eiropas kvalitātes standartiem un</w:t>
      </w:r>
      <w:r>
        <w:rPr>
          <w:rFonts w:ascii="Times New Roman" w:hAnsi="Times New Roman" w:cs="Times New Roman"/>
          <w:sz w:val="26"/>
          <w:szCs w:val="26"/>
        </w:rPr>
        <w:t xml:space="preserve"> vadlīnijām un veicinātu Latvijas augstākās izglītības atpazīstamību un atzīšanu.</w:t>
      </w:r>
    </w:p>
    <w:p w:rsidR="0070281A" w:rsidRDefault="0070281A" w:rsidP="009055FB">
      <w:pPr>
        <w:spacing w:after="0" w:line="240" w:lineRule="auto"/>
        <w:jc w:val="both"/>
        <w:rPr>
          <w:rFonts w:ascii="Times New Roman" w:hAnsi="Times New Roman" w:cs="Times New Roman"/>
          <w:sz w:val="26"/>
          <w:szCs w:val="26"/>
        </w:rPr>
      </w:pPr>
    </w:p>
    <w:p w:rsidR="009217BF" w:rsidRDefault="009217BF" w:rsidP="009055FB">
      <w:pPr>
        <w:spacing w:after="0" w:line="240" w:lineRule="auto"/>
        <w:jc w:val="both"/>
        <w:rPr>
          <w:rFonts w:ascii="Times New Roman" w:hAnsi="Times New Roman" w:cs="Times New Roman"/>
          <w:sz w:val="26"/>
          <w:szCs w:val="26"/>
        </w:rPr>
      </w:pPr>
    </w:p>
    <w:p w:rsidR="00C51347" w:rsidRPr="00C51347" w:rsidRDefault="00487DED" w:rsidP="009055FB">
      <w:pPr>
        <w:spacing w:after="0" w:line="240" w:lineRule="auto"/>
        <w:jc w:val="both"/>
        <w:rPr>
          <w:rFonts w:ascii="Times New Roman" w:hAnsi="Times New Roman" w:cs="Times New Roman"/>
          <w:b/>
          <w:i/>
          <w:sz w:val="26"/>
          <w:szCs w:val="26"/>
          <w:u w:val="single"/>
        </w:rPr>
      </w:pPr>
      <w:r>
        <w:rPr>
          <w:rFonts w:ascii="Times New Roman" w:hAnsi="Times New Roman" w:cs="Times New Roman"/>
          <w:b/>
          <w:i/>
          <w:sz w:val="26"/>
          <w:szCs w:val="26"/>
          <w:u w:val="single"/>
        </w:rPr>
        <w:t>P</w:t>
      </w:r>
      <w:r w:rsidR="00C51347" w:rsidRPr="00C51347">
        <w:rPr>
          <w:rFonts w:ascii="Times New Roman" w:hAnsi="Times New Roman" w:cs="Times New Roman"/>
          <w:b/>
          <w:i/>
          <w:sz w:val="26"/>
          <w:szCs w:val="26"/>
          <w:u w:val="single"/>
        </w:rPr>
        <w:t>riekšrocības:</w:t>
      </w:r>
    </w:p>
    <w:p w:rsidR="00C51347" w:rsidRPr="00C51347" w:rsidRDefault="00C51347" w:rsidP="009055FB">
      <w:pPr>
        <w:spacing w:after="0" w:line="240" w:lineRule="auto"/>
        <w:jc w:val="both"/>
        <w:rPr>
          <w:rFonts w:ascii="Times New Roman" w:hAnsi="Times New Roman" w:cs="Times New Roman"/>
          <w:b/>
          <w:i/>
          <w:sz w:val="26"/>
          <w:szCs w:val="26"/>
        </w:rPr>
      </w:pPr>
      <w:r w:rsidRPr="00C51347">
        <w:rPr>
          <w:rFonts w:ascii="Times New Roman" w:hAnsi="Times New Roman"/>
          <w:sz w:val="26"/>
          <w:szCs w:val="26"/>
        </w:rPr>
        <w:t>Jaunizveidotā institūcija tiks izveidota, ievērojot ESG vadlīnijas un standartus, kā rezultātā:</w:t>
      </w:r>
    </w:p>
    <w:p w:rsidR="00C51347" w:rsidRPr="00C51347" w:rsidRDefault="00C51347" w:rsidP="009055FB">
      <w:pPr>
        <w:pStyle w:val="ListParagraph"/>
        <w:numPr>
          <w:ilvl w:val="0"/>
          <w:numId w:val="14"/>
        </w:numPr>
        <w:spacing w:after="0" w:line="240" w:lineRule="auto"/>
        <w:jc w:val="both"/>
        <w:rPr>
          <w:rFonts w:ascii="Times New Roman" w:hAnsi="Times New Roman" w:cs="Times New Roman"/>
          <w:b/>
          <w:i/>
          <w:sz w:val="26"/>
          <w:szCs w:val="26"/>
        </w:rPr>
      </w:pPr>
      <w:r>
        <w:rPr>
          <w:rFonts w:ascii="Times New Roman" w:hAnsi="Times New Roman"/>
          <w:sz w:val="26"/>
          <w:szCs w:val="26"/>
        </w:rPr>
        <w:t>Kvalitātes nodrošināšanas procedūras ir skaidras, saprotamas un atbilstošas ESG vadlīnijām un standartiem;</w:t>
      </w:r>
    </w:p>
    <w:p w:rsidR="00C51347" w:rsidRPr="00C51347" w:rsidRDefault="00C51347" w:rsidP="009055FB">
      <w:pPr>
        <w:pStyle w:val="ListParagraph"/>
        <w:numPr>
          <w:ilvl w:val="0"/>
          <w:numId w:val="14"/>
        </w:numPr>
        <w:spacing w:after="0" w:line="240" w:lineRule="auto"/>
        <w:jc w:val="both"/>
        <w:rPr>
          <w:rFonts w:ascii="Times New Roman" w:hAnsi="Times New Roman" w:cs="Times New Roman"/>
          <w:b/>
          <w:i/>
          <w:sz w:val="26"/>
          <w:szCs w:val="26"/>
        </w:rPr>
      </w:pPr>
      <w:r>
        <w:rPr>
          <w:rFonts w:ascii="Times New Roman" w:hAnsi="Times New Roman"/>
          <w:sz w:val="26"/>
          <w:szCs w:val="26"/>
        </w:rPr>
        <w:t>Institūcija tiks iekļauta ENQA un EQAR, līdz ar to tā tiks starptautiski atzīta.</w:t>
      </w:r>
    </w:p>
    <w:p w:rsidR="00C51347" w:rsidRDefault="00C51347" w:rsidP="009055FB">
      <w:pPr>
        <w:spacing w:after="0" w:line="240" w:lineRule="auto"/>
        <w:jc w:val="both"/>
        <w:rPr>
          <w:rFonts w:ascii="Times New Roman" w:hAnsi="Times New Roman" w:cs="Times New Roman"/>
          <w:b/>
          <w:i/>
          <w:sz w:val="26"/>
          <w:szCs w:val="26"/>
        </w:rPr>
      </w:pPr>
    </w:p>
    <w:p w:rsidR="00C51347" w:rsidRPr="00C51347" w:rsidRDefault="00C51347" w:rsidP="009055FB">
      <w:pPr>
        <w:spacing w:after="0" w:line="240" w:lineRule="auto"/>
        <w:jc w:val="both"/>
        <w:rPr>
          <w:rFonts w:ascii="Times New Roman" w:hAnsi="Times New Roman" w:cs="Times New Roman"/>
          <w:b/>
          <w:i/>
          <w:sz w:val="26"/>
          <w:szCs w:val="26"/>
          <w:u w:val="single"/>
        </w:rPr>
      </w:pPr>
      <w:r w:rsidRPr="00C51347">
        <w:rPr>
          <w:rFonts w:ascii="Times New Roman" w:hAnsi="Times New Roman" w:cs="Times New Roman"/>
          <w:b/>
          <w:i/>
          <w:sz w:val="26"/>
          <w:szCs w:val="26"/>
          <w:u w:val="single"/>
        </w:rPr>
        <w:t>Trūkumi:</w:t>
      </w:r>
    </w:p>
    <w:p w:rsidR="00C51347" w:rsidRDefault="00C51347" w:rsidP="009055FB">
      <w:pPr>
        <w:pStyle w:val="ListParagraph"/>
        <w:numPr>
          <w:ilvl w:val="0"/>
          <w:numId w:val="15"/>
        </w:numPr>
        <w:spacing w:after="0" w:line="240" w:lineRule="auto"/>
        <w:jc w:val="both"/>
        <w:rPr>
          <w:rFonts w:ascii="Times New Roman" w:hAnsi="Times New Roman" w:cs="Times New Roman"/>
          <w:sz w:val="26"/>
          <w:szCs w:val="26"/>
        </w:rPr>
      </w:pPr>
      <w:r w:rsidRPr="002D2FD4">
        <w:rPr>
          <w:rFonts w:ascii="Times New Roman" w:hAnsi="Times New Roman" w:cs="Times New Roman"/>
          <w:sz w:val="26"/>
          <w:szCs w:val="26"/>
        </w:rPr>
        <w:t>No valsts pārvaldes viedokļa vēl vienas iestādes dibināšana nav lietderīg</w:t>
      </w:r>
      <w:r w:rsidR="00487DED">
        <w:rPr>
          <w:rFonts w:ascii="Times New Roman" w:hAnsi="Times New Roman" w:cs="Times New Roman"/>
          <w:sz w:val="26"/>
          <w:szCs w:val="26"/>
        </w:rPr>
        <w:t>a</w:t>
      </w:r>
      <w:r w:rsidR="002D2FD4" w:rsidRPr="002D2FD4">
        <w:rPr>
          <w:rFonts w:ascii="Times New Roman" w:hAnsi="Times New Roman" w:cs="Times New Roman"/>
          <w:sz w:val="26"/>
          <w:szCs w:val="26"/>
        </w:rPr>
        <w:t>.</w:t>
      </w:r>
    </w:p>
    <w:p w:rsidR="002D2FD4" w:rsidRDefault="002D2FD4" w:rsidP="009055FB">
      <w:pPr>
        <w:pStyle w:val="ListParagraph"/>
        <w:numPr>
          <w:ilvl w:val="0"/>
          <w:numId w:val="1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Iekļūšana ENQA un EQAR var notikt ilgākā laika periodā.</w:t>
      </w:r>
    </w:p>
    <w:p w:rsidR="002D2FD4" w:rsidRDefault="002D2FD4" w:rsidP="009055FB">
      <w:pPr>
        <w:spacing w:after="0" w:line="240" w:lineRule="auto"/>
        <w:jc w:val="both"/>
        <w:rPr>
          <w:rFonts w:ascii="Times New Roman" w:hAnsi="Times New Roman" w:cs="Times New Roman"/>
          <w:sz w:val="26"/>
          <w:szCs w:val="26"/>
        </w:rPr>
      </w:pPr>
    </w:p>
    <w:p w:rsidR="00E41D58" w:rsidRPr="00CA5F04" w:rsidRDefault="00E41D58" w:rsidP="009055FB">
      <w:pPr>
        <w:spacing w:after="0" w:line="240" w:lineRule="auto"/>
        <w:jc w:val="both"/>
        <w:rPr>
          <w:rFonts w:ascii="Times New Roman" w:hAnsi="Times New Roman" w:cs="Times New Roman"/>
          <w:sz w:val="26"/>
          <w:szCs w:val="26"/>
        </w:rPr>
      </w:pPr>
    </w:p>
    <w:p w:rsidR="006E5454" w:rsidRPr="00AE7266" w:rsidRDefault="004F63B8" w:rsidP="009055FB">
      <w:pPr>
        <w:pStyle w:val="Heading2"/>
        <w:spacing w:before="0" w:line="240" w:lineRule="auto"/>
        <w:jc w:val="both"/>
        <w:rPr>
          <w:rFonts w:ascii="Times New Roman" w:hAnsi="Times New Roman" w:cs="Times New Roman"/>
          <w:b/>
          <w:color w:val="auto"/>
          <w:sz w:val="28"/>
          <w:szCs w:val="28"/>
        </w:rPr>
      </w:pPr>
      <w:bookmarkStart w:id="21" w:name="_Toc395890873"/>
      <w:r>
        <w:rPr>
          <w:rFonts w:ascii="Times New Roman" w:hAnsi="Times New Roman" w:cs="Times New Roman"/>
          <w:b/>
          <w:color w:val="auto"/>
          <w:sz w:val="28"/>
          <w:szCs w:val="28"/>
        </w:rPr>
        <w:lastRenderedPageBreak/>
        <w:t>4</w:t>
      </w:r>
      <w:r w:rsidR="00AE7266">
        <w:rPr>
          <w:rFonts w:ascii="Times New Roman" w:hAnsi="Times New Roman" w:cs="Times New Roman"/>
          <w:b/>
          <w:color w:val="auto"/>
          <w:sz w:val="28"/>
          <w:szCs w:val="28"/>
        </w:rPr>
        <w:t xml:space="preserve">.2. </w:t>
      </w:r>
      <w:r w:rsidR="006E5454" w:rsidRPr="00AE7266">
        <w:rPr>
          <w:rFonts w:ascii="Times New Roman" w:hAnsi="Times New Roman" w:cs="Times New Roman"/>
          <w:b/>
          <w:color w:val="auto"/>
          <w:sz w:val="28"/>
          <w:szCs w:val="28"/>
        </w:rPr>
        <w:t>Kvalitātes nodrošināšanas (akreditācijas un licencēšanas) funkciju nodošana Izglītības kvalitātes valsts dienestam</w:t>
      </w:r>
      <w:bookmarkEnd w:id="21"/>
    </w:p>
    <w:p w:rsidR="009217BF" w:rsidRPr="009217BF" w:rsidRDefault="009217BF" w:rsidP="009055FB">
      <w:pPr>
        <w:pStyle w:val="ListParagraph"/>
        <w:spacing w:after="0" w:line="240" w:lineRule="auto"/>
        <w:ind w:left="360"/>
        <w:jc w:val="both"/>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i/>
          <w:sz w:val="26"/>
          <w:szCs w:val="26"/>
        </w:rPr>
        <w:tab/>
      </w:r>
    </w:p>
    <w:p w:rsidR="007E1D84" w:rsidRDefault="009974B6"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IKVD</w:t>
      </w:r>
      <w:r w:rsidR="007E1D84" w:rsidRPr="001D2FCC">
        <w:rPr>
          <w:rFonts w:ascii="Times New Roman" w:hAnsi="Times New Roman" w:cs="Times New Roman"/>
          <w:sz w:val="26"/>
          <w:szCs w:val="26"/>
        </w:rPr>
        <w:t xml:space="preserve"> ir valsts tiešās pārvaldes iestāde, kuras mērķis ir nodrošināt kvalitatīvu un tiesisku izglītību, veicot izglītības kvalitātes monitoringu un sniedzot atbalstu izglītības procesa īstenošanā Latvijas Republikā. IKVD darbojas saskaņā ar Ministru kabineta 2013.gada 23.aprīļa noteikumiem Nr.225 „Izglītības kvalitātes valsts dienesta nolikums”</w:t>
      </w:r>
      <w:r w:rsidR="008605E6">
        <w:rPr>
          <w:rFonts w:ascii="Times New Roman" w:hAnsi="Times New Roman" w:cs="Times New Roman"/>
          <w:sz w:val="26"/>
          <w:szCs w:val="26"/>
        </w:rPr>
        <w:t xml:space="preserve"> (turpmāk – MK noteikumi Nr.225)</w:t>
      </w:r>
      <w:r w:rsidR="007E1D84" w:rsidRPr="001D2FCC">
        <w:rPr>
          <w:rFonts w:ascii="Times New Roman" w:hAnsi="Times New Roman" w:cs="Times New Roman"/>
          <w:sz w:val="26"/>
          <w:szCs w:val="26"/>
        </w:rPr>
        <w:t>.</w:t>
      </w:r>
      <w:r w:rsidR="007E1D84">
        <w:rPr>
          <w:rFonts w:ascii="Times New Roman" w:hAnsi="Times New Roman" w:cs="Times New Roman"/>
          <w:sz w:val="26"/>
          <w:szCs w:val="26"/>
        </w:rPr>
        <w:t xml:space="preserve"> </w:t>
      </w:r>
    </w:p>
    <w:p w:rsidR="00A06EE5" w:rsidRPr="00A06EE5" w:rsidRDefault="007E1D84"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IKVD</w:t>
      </w:r>
      <w:r w:rsidRPr="009C5661">
        <w:rPr>
          <w:rFonts w:ascii="Times New Roman" w:hAnsi="Times New Roman" w:cs="Times New Roman"/>
          <w:sz w:val="26"/>
          <w:szCs w:val="26"/>
        </w:rPr>
        <w:t xml:space="preserve"> kompetence ir noteikta Izglītības likuma 20.pantā</w:t>
      </w:r>
      <w:r w:rsidR="008605E6">
        <w:rPr>
          <w:rFonts w:ascii="Times New Roman" w:hAnsi="Times New Roman" w:cs="Times New Roman"/>
          <w:sz w:val="26"/>
          <w:szCs w:val="26"/>
        </w:rPr>
        <w:t xml:space="preserve"> un MK noteikumos Nr.225. Saskaņā ar Izglītības likuma 20.</w:t>
      </w:r>
      <w:r w:rsidR="00AF1C34">
        <w:rPr>
          <w:rFonts w:ascii="Times New Roman" w:hAnsi="Times New Roman" w:cs="Times New Roman"/>
          <w:sz w:val="26"/>
          <w:szCs w:val="26"/>
        </w:rPr>
        <w:t>panta pirmo daļu IKVD kontrolē I</w:t>
      </w:r>
      <w:r w:rsidR="008605E6">
        <w:rPr>
          <w:rFonts w:ascii="Times New Roman" w:hAnsi="Times New Roman" w:cs="Times New Roman"/>
          <w:sz w:val="26"/>
          <w:szCs w:val="26"/>
        </w:rPr>
        <w:t xml:space="preserve">zglītības likuma, Vispārējās izglītības likuma, Profesionālās izglītības likums, Augstskolu likuma un citu ar izglītību saistīto normatīvo aktu ievērošanu. </w:t>
      </w:r>
      <w:r w:rsidR="0082541B" w:rsidRPr="0082541B">
        <w:rPr>
          <w:rFonts w:ascii="Times New Roman" w:hAnsi="Times New Roman" w:cs="Times New Roman"/>
          <w:sz w:val="26"/>
          <w:szCs w:val="26"/>
        </w:rPr>
        <w:t xml:space="preserve">IKVD kompetence aptver arī vispārējās un profesionālās izglītības (izņemot augstāko profesionālo izglītību) kvalitātes novērtēšanu, </w:t>
      </w:r>
      <w:r w:rsidR="0082541B">
        <w:rPr>
          <w:rFonts w:ascii="Times New Roman" w:hAnsi="Times New Roman" w:cs="Times New Roman"/>
          <w:sz w:val="26"/>
          <w:szCs w:val="26"/>
        </w:rPr>
        <w:t>kas noteikta IKVD nolikuma 3.4.</w:t>
      </w:r>
      <w:r w:rsidR="0082541B" w:rsidRPr="0082541B">
        <w:rPr>
          <w:rFonts w:ascii="Times New Roman" w:hAnsi="Times New Roman" w:cs="Times New Roman"/>
          <w:sz w:val="26"/>
          <w:szCs w:val="26"/>
        </w:rPr>
        <w:t>punktā un MK 2010.gada 14.septembra noteikumos Nr.852 „Kārtība, kādā akreditē vispārējās un profesionālās izglītības programmas, izglītības iestādes un eksaminācijas centrus”.</w:t>
      </w:r>
      <w:r w:rsidR="0082541B">
        <w:rPr>
          <w:rFonts w:ascii="Times New Roman" w:hAnsi="Times New Roman" w:cs="Times New Roman"/>
          <w:sz w:val="26"/>
          <w:szCs w:val="26"/>
        </w:rPr>
        <w:t xml:space="preserve"> </w:t>
      </w:r>
    </w:p>
    <w:p w:rsidR="00A06EE5" w:rsidRPr="00A06EE5" w:rsidRDefault="00A06EE5" w:rsidP="009055FB">
      <w:pPr>
        <w:spacing w:after="0" w:line="240" w:lineRule="auto"/>
        <w:ind w:firstLine="720"/>
        <w:jc w:val="both"/>
        <w:rPr>
          <w:rFonts w:ascii="Times New Roman" w:hAnsi="Times New Roman" w:cs="Times New Roman"/>
          <w:sz w:val="26"/>
          <w:szCs w:val="26"/>
        </w:rPr>
      </w:pPr>
      <w:r w:rsidRPr="00A06EE5">
        <w:rPr>
          <w:rFonts w:ascii="Times New Roman" w:hAnsi="Times New Roman" w:cs="Times New Roman"/>
          <w:sz w:val="26"/>
          <w:szCs w:val="26"/>
        </w:rPr>
        <w:t>Sekojot profesionālās izglītības kvalitātes vērtēšanas a</w:t>
      </w:r>
      <w:r w:rsidR="00D81D3A">
        <w:rPr>
          <w:rFonts w:ascii="Times New Roman" w:hAnsi="Times New Roman" w:cs="Times New Roman"/>
          <w:sz w:val="26"/>
          <w:szCs w:val="26"/>
        </w:rPr>
        <w:t>ttīstībai Eiropā, IKVD no 2010.</w:t>
      </w:r>
      <w:r w:rsidRPr="00A06EE5">
        <w:rPr>
          <w:rFonts w:ascii="Times New Roman" w:hAnsi="Times New Roman" w:cs="Times New Roman"/>
          <w:sz w:val="26"/>
          <w:szCs w:val="26"/>
        </w:rPr>
        <w:t>gada iesaistījies Eiropas Komisijas iniciētajā aktivitātē vienotas ietvarstruktūras izveidei un ieviešanai Eiropas Savienības dalībvalstīs profesionālās izglītības un profesionālās tālākizglī</w:t>
      </w:r>
      <w:r w:rsidR="00A569A1">
        <w:rPr>
          <w:rFonts w:ascii="Times New Roman" w:hAnsi="Times New Roman" w:cs="Times New Roman"/>
          <w:sz w:val="26"/>
          <w:szCs w:val="26"/>
        </w:rPr>
        <w:t>tības kvalitātes nodrošināšanai</w:t>
      </w:r>
      <w:r w:rsidR="0082541B">
        <w:rPr>
          <w:rFonts w:ascii="Times New Roman" w:hAnsi="Times New Roman" w:cs="Times New Roman"/>
          <w:sz w:val="26"/>
          <w:szCs w:val="26"/>
        </w:rPr>
        <w:t xml:space="preserve">, līdz ar to IKVD nolikuma </w:t>
      </w:r>
      <w:r w:rsidR="0082541B" w:rsidRPr="0082541B">
        <w:rPr>
          <w:rFonts w:ascii="Times New Roman" w:hAnsi="Times New Roman" w:cs="Times New Roman"/>
          <w:sz w:val="26"/>
          <w:szCs w:val="26"/>
        </w:rPr>
        <w:t>4.17.punktā ir noteik</w:t>
      </w:r>
      <w:r w:rsidR="0082541B">
        <w:rPr>
          <w:rFonts w:ascii="Times New Roman" w:hAnsi="Times New Roman" w:cs="Times New Roman"/>
          <w:sz w:val="26"/>
          <w:szCs w:val="26"/>
        </w:rPr>
        <w:t>t</w:t>
      </w:r>
      <w:r w:rsidR="0082541B" w:rsidRPr="0082541B">
        <w:rPr>
          <w:rFonts w:ascii="Times New Roman" w:hAnsi="Times New Roman" w:cs="Times New Roman"/>
          <w:sz w:val="26"/>
          <w:szCs w:val="26"/>
        </w:rPr>
        <w:t>s uzdevums koordinēt Eiropas kvalitātes nodrošināšanas ietvarstruktūras un vienoto profesionālās izglītības kvalitātes novērtēšanas rādītāju ieviešanu.</w:t>
      </w:r>
      <w:r w:rsidRPr="00A06EE5">
        <w:rPr>
          <w:rFonts w:ascii="Times New Roman" w:hAnsi="Times New Roman" w:cs="Times New Roman"/>
          <w:sz w:val="26"/>
          <w:szCs w:val="26"/>
        </w:rPr>
        <w:t xml:space="preserve"> </w:t>
      </w:r>
    </w:p>
    <w:p w:rsidR="00A06EE5" w:rsidRPr="00A06EE5" w:rsidRDefault="00A06EE5" w:rsidP="009055FB">
      <w:pPr>
        <w:spacing w:after="0" w:line="240" w:lineRule="auto"/>
        <w:ind w:firstLine="720"/>
        <w:jc w:val="both"/>
        <w:rPr>
          <w:rFonts w:ascii="Times New Roman" w:hAnsi="Times New Roman" w:cs="Times New Roman"/>
          <w:sz w:val="26"/>
          <w:szCs w:val="26"/>
        </w:rPr>
      </w:pPr>
      <w:r w:rsidRPr="00A06EE5">
        <w:rPr>
          <w:rFonts w:ascii="Times New Roman" w:hAnsi="Times New Roman" w:cs="Times New Roman"/>
          <w:sz w:val="26"/>
          <w:szCs w:val="26"/>
        </w:rPr>
        <w:t>Ievērojot izmaiņas augstākās izglītības akreditācijā, MK 2013.gada 23.aprīļa noteikumu Nr.225 „Izglītības kvalitātes valsts dienesta nolikums” 4.19.apakšpunktā noteikts IKVD pienākums apkopot un sniegt informāciju</w:t>
      </w:r>
      <w:r w:rsidR="00A569A1">
        <w:rPr>
          <w:rFonts w:ascii="Times New Roman" w:hAnsi="Times New Roman" w:cs="Times New Roman"/>
          <w:sz w:val="26"/>
          <w:szCs w:val="26"/>
        </w:rPr>
        <w:t>, kas nepieciešama augstskolas</w:t>
      </w:r>
      <w:r w:rsidRPr="00A06EE5">
        <w:rPr>
          <w:rFonts w:ascii="Times New Roman" w:hAnsi="Times New Roman" w:cs="Times New Roman"/>
          <w:sz w:val="26"/>
          <w:szCs w:val="26"/>
        </w:rPr>
        <w:t xml:space="preserve"> vai studiju virziena akreditācijai.</w:t>
      </w:r>
      <w:r>
        <w:rPr>
          <w:rFonts w:ascii="Times New Roman" w:hAnsi="Times New Roman" w:cs="Times New Roman"/>
          <w:sz w:val="26"/>
          <w:szCs w:val="26"/>
        </w:rPr>
        <w:t xml:space="preserve"> </w:t>
      </w:r>
      <w:r w:rsidRPr="00A06EE5">
        <w:rPr>
          <w:rFonts w:ascii="Times New Roman" w:hAnsi="Times New Roman" w:cs="Times New Roman"/>
          <w:sz w:val="26"/>
          <w:szCs w:val="26"/>
        </w:rPr>
        <w:t xml:space="preserve">Savukārt MK 2012.gada 25.septembra noteikumos Nr.668 „Augstskolu, koledžu un studiju virzienu akreditācijas noteikumi” ir nostiprināts IKVD pienākums sniegt informāciju par </w:t>
      </w:r>
      <w:r w:rsidR="00A569A1">
        <w:rPr>
          <w:rFonts w:ascii="Times New Roman" w:hAnsi="Times New Roman" w:cs="Times New Roman"/>
          <w:sz w:val="26"/>
          <w:szCs w:val="26"/>
        </w:rPr>
        <w:t>augstskolu</w:t>
      </w:r>
      <w:r w:rsidRPr="00A06EE5">
        <w:rPr>
          <w:rFonts w:ascii="Times New Roman" w:hAnsi="Times New Roman" w:cs="Times New Roman"/>
          <w:sz w:val="26"/>
          <w:szCs w:val="26"/>
        </w:rPr>
        <w:t xml:space="preserve"> darbību, par konstatētajiem </w:t>
      </w:r>
      <w:r w:rsidR="00A569A1">
        <w:rPr>
          <w:rFonts w:ascii="Times New Roman" w:hAnsi="Times New Roman" w:cs="Times New Roman"/>
          <w:sz w:val="26"/>
          <w:szCs w:val="26"/>
        </w:rPr>
        <w:t>augstskolu</w:t>
      </w:r>
      <w:r w:rsidRPr="00A06EE5">
        <w:rPr>
          <w:rFonts w:ascii="Times New Roman" w:hAnsi="Times New Roman" w:cs="Times New Roman"/>
          <w:sz w:val="26"/>
          <w:szCs w:val="26"/>
        </w:rPr>
        <w:t xml:space="preserve"> pārkāpumiem novērtējamā studiju virziena ietvaros un tam atbilstošo studiju programmu īstenošanā, </w:t>
      </w:r>
      <w:r w:rsidR="00B81366">
        <w:rPr>
          <w:rFonts w:ascii="Times New Roman" w:hAnsi="Times New Roman" w:cs="Times New Roman"/>
          <w:sz w:val="26"/>
          <w:szCs w:val="26"/>
        </w:rPr>
        <w:t>augstskolu</w:t>
      </w:r>
      <w:r w:rsidRPr="00A06EE5">
        <w:rPr>
          <w:rFonts w:ascii="Times New Roman" w:hAnsi="Times New Roman" w:cs="Times New Roman"/>
          <w:sz w:val="26"/>
          <w:szCs w:val="26"/>
        </w:rPr>
        <w:t xml:space="preserve"> veiktajiem pasākumiem šo pārkāpumu novēršanā un saņemtajām sūdzībām, kas saistītas ar attiecīgā studiju virziena un tam atbilstošo studiju programmu īstenošanu.</w:t>
      </w:r>
    </w:p>
    <w:p w:rsidR="00A06EE5" w:rsidRDefault="00A06EE5" w:rsidP="009055FB">
      <w:pPr>
        <w:spacing w:after="0" w:line="240" w:lineRule="auto"/>
        <w:ind w:firstLine="720"/>
        <w:jc w:val="both"/>
        <w:rPr>
          <w:rFonts w:ascii="Times New Roman" w:hAnsi="Times New Roman" w:cs="Times New Roman"/>
          <w:sz w:val="26"/>
          <w:szCs w:val="26"/>
        </w:rPr>
      </w:pPr>
      <w:r w:rsidRPr="00A06EE5">
        <w:rPr>
          <w:rFonts w:ascii="Times New Roman" w:hAnsi="Times New Roman" w:cs="Times New Roman"/>
          <w:sz w:val="26"/>
          <w:szCs w:val="26"/>
        </w:rPr>
        <w:t xml:space="preserve">Jānorāda, ka IKVD kā atbildīgā iestāde, kas kārto Augstskolu reģistru un Akadēmiskā personāla reģistru, bija iesaistīts Eiropas Sociālā fonda projekta ”Augstākās izglītības studiju programmu izvērtēšana un priekšlikumi kvalitātes paaugstināšanai” (Nr. 2011/0012/1DP/1.1.2.2.1./11/IPIA/VIAA/001) īstenošanā, projekta vajadzībām izveidojot augstākās izglītības studiju programmu izvērtēšanas datu bāzi (https://aispi.ikvd.gov.lv), nodrošinot datu ievadi, datu bāzes administrēšanu, informācijas tālāknodošanu augstākās izglītības akreditācijas ekspertiem un sadarbību ar </w:t>
      </w:r>
      <w:r w:rsidR="00B81366">
        <w:rPr>
          <w:rFonts w:ascii="Times New Roman" w:hAnsi="Times New Roman" w:cs="Times New Roman"/>
          <w:sz w:val="26"/>
          <w:szCs w:val="26"/>
        </w:rPr>
        <w:t>augstskolām</w:t>
      </w:r>
      <w:r w:rsidRPr="00A06EE5">
        <w:rPr>
          <w:rFonts w:ascii="Times New Roman" w:hAnsi="Times New Roman" w:cs="Times New Roman"/>
          <w:sz w:val="26"/>
          <w:szCs w:val="26"/>
        </w:rPr>
        <w:t>. IKVD ir izveidot</w:t>
      </w:r>
      <w:r w:rsidR="00334801">
        <w:rPr>
          <w:rFonts w:ascii="Times New Roman" w:hAnsi="Times New Roman" w:cs="Times New Roman"/>
          <w:sz w:val="26"/>
          <w:szCs w:val="26"/>
        </w:rPr>
        <w:t>s</w:t>
      </w:r>
      <w:r w:rsidRPr="00A06EE5">
        <w:rPr>
          <w:rFonts w:ascii="Times New Roman" w:hAnsi="Times New Roman" w:cs="Times New Roman"/>
          <w:sz w:val="26"/>
          <w:szCs w:val="26"/>
        </w:rPr>
        <w:t xml:space="preserve"> un publiskot</w:t>
      </w:r>
      <w:r w:rsidR="00334801">
        <w:rPr>
          <w:rFonts w:ascii="Times New Roman" w:hAnsi="Times New Roman" w:cs="Times New Roman"/>
          <w:sz w:val="26"/>
          <w:szCs w:val="26"/>
        </w:rPr>
        <w:t>s studiju virzienu reģistrs</w:t>
      </w:r>
      <w:r w:rsidRPr="00A06EE5">
        <w:rPr>
          <w:rFonts w:ascii="Times New Roman" w:hAnsi="Times New Roman" w:cs="Times New Roman"/>
          <w:sz w:val="26"/>
          <w:szCs w:val="26"/>
        </w:rPr>
        <w:t xml:space="preserve">, lai informācija par akreditāciju augstākajā izglītībā būtu publiski pieejama, kā arī jebkurš varētu pārliecināties par studiju programmas, studiju virziena un </w:t>
      </w:r>
      <w:r w:rsidR="00B81366">
        <w:rPr>
          <w:rFonts w:ascii="Times New Roman" w:hAnsi="Times New Roman" w:cs="Times New Roman"/>
          <w:sz w:val="26"/>
          <w:szCs w:val="26"/>
        </w:rPr>
        <w:t>augstskolu</w:t>
      </w:r>
      <w:r w:rsidRPr="00A06EE5">
        <w:rPr>
          <w:rFonts w:ascii="Times New Roman" w:hAnsi="Times New Roman" w:cs="Times New Roman"/>
          <w:sz w:val="26"/>
          <w:szCs w:val="26"/>
        </w:rPr>
        <w:t xml:space="preserve"> akreditāciju noteiktajā laika posmā.</w:t>
      </w:r>
      <w:r w:rsidR="00334801">
        <w:rPr>
          <w:rFonts w:ascii="Times New Roman" w:hAnsi="Times New Roman" w:cs="Times New Roman"/>
          <w:sz w:val="26"/>
          <w:szCs w:val="26"/>
        </w:rPr>
        <w:t xml:space="preserve"> Šāda reģistra pastāvēšana ir ļoti būtiska un tas ir jāturpina uzturēt veidojamajai </w:t>
      </w:r>
      <w:r w:rsidR="00334801" w:rsidRPr="00AF54F2">
        <w:rPr>
          <w:rFonts w:ascii="Times New Roman" w:hAnsi="Times New Roman" w:cs="Times New Roman"/>
          <w:sz w:val="26"/>
          <w:szCs w:val="26"/>
        </w:rPr>
        <w:t>Latvijas augstākās izglītības kvalit</w:t>
      </w:r>
      <w:r w:rsidR="00334801">
        <w:rPr>
          <w:rFonts w:ascii="Times New Roman" w:hAnsi="Times New Roman" w:cs="Times New Roman"/>
          <w:sz w:val="26"/>
          <w:szCs w:val="26"/>
        </w:rPr>
        <w:t>ātes nodrošināšanas institūcijai</w:t>
      </w:r>
      <w:r w:rsidR="00815ADC">
        <w:rPr>
          <w:rFonts w:ascii="Times New Roman" w:hAnsi="Times New Roman" w:cs="Times New Roman"/>
          <w:sz w:val="26"/>
          <w:szCs w:val="26"/>
        </w:rPr>
        <w:t>, paredzot tam arī atbilstošu finansējumu</w:t>
      </w:r>
      <w:r w:rsidR="00334801">
        <w:rPr>
          <w:rFonts w:ascii="Times New Roman" w:hAnsi="Times New Roman" w:cs="Times New Roman"/>
          <w:sz w:val="26"/>
          <w:szCs w:val="26"/>
        </w:rPr>
        <w:t xml:space="preserve">. </w:t>
      </w:r>
    </w:p>
    <w:p w:rsidR="003A3939" w:rsidRDefault="007E1D84" w:rsidP="009055FB">
      <w:pPr>
        <w:spacing w:after="0" w:line="240" w:lineRule="auto"/>
        <w:ind w:firstLine="720"/>
        <w:jc w:val="both"/>
        <w:rPr>
          <w:rFonts w:ascii="Times New Roman" w:hAnsi="Times New Roman" w:cs="Times New Roman"/>
          <w:sz w:val="26"/>
          <w:szCs w:val="26"/>
        </w:rPr>
      </w:pPr>
      <w:r w:rsidRPr="00BE31F6">
        <w:rPr>
          <w:rFonts w:ascii="Times New Roman" w:hAnsi="Times New Roman" w:cs="Times New Roman"/>
          <w:sz w:val="26"/>
          <w:szCs w:val="26"/>
        </w:rPr>
        <w:lastRenderedPageBreak/>
        <w:t>IKVD, akreditācijas un licencēšanas funkciju nodrošināšanai, būtu nepieciešams izveidot kvalitātes nodrošināšanas struktūrvienību</w:t>
      </w:r>
      <w:r w:rsidR="003A3939" w:rsidRPr="00BE31F6">
        <w:rPr>
          <w:rFonts w:ascii="Times New Roman" w:hAnsi="Times New Roman" w:cs="Times New Roman"/>
          <w:sz w:val="26"/>
          <w:szCs w:val="26"/>
        </w:rPr>
        <w:t>/ nodaļu</w:t>
      </w:r>
      <w:r w:rsidRPr="00BE31F6">
        <w:rPr>
          <w:rFonts w:ascii="Times New Roman" w:hAnsi="Times New Roman" w:cs="Times New Roman"/>
          <w:sz w:val="26"/>
          <w:szCs w:val="26"/>
        </w:rPr>
        <w:t>. Līdz ar</w:t>
      </w:r>
      <w:r>
        <w:rPr>
          <w:rFonts w:ascii="Times New Roman" w:hAnsi="Times New Roman" w:cs="Times New Roman"/>
          <w:sz w:val="26"/>
          <w:szCs w:val="26"/>
        </w:rPr>
        <w:t xml:space="preserve"> to</w:t>
      </w:r>
      <w:r w:rsidRPr="009C5661">
        <w:rPr>
          <w:rFonts w:ascii="Times New Roman" w:hAnsi="Times New Roman" w:cs="Times New Roman"/>
          <w:sz w:val="26"/>
          <w:szCs w:val="26"/>
        </w:rPr>
        <w:t xml:space="preserve"> iepriekš minēto funkciju izpilde būs piekritīga </w:t>
      </w:r>
      <w:r>
        <w:rPr>
          <w:rFonts w:ascii="Times New Roman" w:hAnsi="Times New Roman" w:cs="Times New Roman"/>
          <w:sz w:val="26"/>
          <w:szCs w:val="26"/>
        </w:rPr>
        <w:t>IKVD</w:t>
      </w:r>
      <w:r w:rsidRPr="009C5661">
        <w:rPr>
          <w:rFonts w:ascii="Times New Roman" w:hAnsi="Times New Roman" w:cs="Times New Roman"/>
          <w:sz w:val="26"/>
          <w:szCs w:val="26"/>
        </w:rPr>
        <w:t xml:space="preserve"> dažādām struktūrvienībām</w:t>
      </w:r>
      <w:r w:rsidR="00B81366">
        <w:rPr>
          <w:rFonts w:ascii="Times New Roman" w:hAnsi="Times New Roman" w:cs="Times New Roman"/>
          <w:sz w:val="26"/>
          <w:szCs w:val="26"/>
        </w:rPr>
        <w:t xml:space="preserve">. </w:t>
      </w:r>
      <w:r w:rsidR="0082541B">
        <w:rPr>
          <w:rFonts w:ascii="Times New Roman" w:hAnsi="Times New Roman" w:cs="Times New Roman"/>
          <w:sz w:val="26"/>
          <w:szCs w:val="26"/>
        </w:rPr>
        <w:t xml:space="preserve">Vienlaikus jāuzsver, ka saskaņā ar </w:t>
      </w:r>
      <w:r w:rsidR="00411BA9">
        <w:rPr>
          <w:rFonts w:ascii="Times New Roman" w:hAnsi="Times New Roman" w:cs="Times New Roman"/>
          <w:sz w:val="26"/>
          <w:szCs w:val="26"/>
        </w:rPr>
        <w:t>ESG</w:t>
      </w:r>
      <w:r w:rsidR="0082541B">
        <w:rPr>
          <w:rFonts w:ascii="Times New Roman" w:hAnsi="Times New Roman" w:cs="Times New Roman"/>
          <w:sz w:val="26"/>
          <w:szCs w:val="26"/>
        </w:rPr>
        <w:t xml:space="preserve"> vadlīnijām</w:t>
      </w:r>
      <w:r w:rsidR="00411BA9">
        <w:rPr>
          <w:rFonts w:ascii="Times New Roman" w:hAnsi="Times New Roman" w:cs="Times New Roman"/>
          <w:sz w:val="26"/>
          <w:szCs w:val="26"/>
        </w:rPr>
        <w:t xml:space="preserve"> ārējas kvalitātes nodrošināšanas procesam ir jābūt institūcijas galvenajai darbības nozarei</w:t>
      </w:r>
      <w:r w:rsidR="0082541B">
        <w:rPr>
          <w:rFonts w:ascii="Times New Roman" w:hAnsi="Times New Roman" w:cs="Times New Roman"/>
          <w:sz w:val="26"/>
          <w:szCs w:val="26"/>
        </w:rPr>
        <w:t>, bet IKVD darbībā kvalitātes nodrošināšana ir viens no vairākiem tā kompetencē esošajiem procesiem.</w:t>
      </w:r>
      <w:r w:rsidR="00E0574F">
        <w:rPr>
          <w:rFonts w:ascii="Times New Roman" w:hAnsi="Times New Roman" w:cs="Times New Roman"/>
          <w:sz w:val="26"/>
          <w:szCs w:val="26"/>
        </w:rPr>
        <w:t xml:space="preserve"> Turklāt, </w:t>
      </w:r>
      <w:r w:rsidR="0082541B">
        <w:rPr>
          <w:rFonts w:ascii="Times New Roman" w:hAnsi="Times New Roman" w:cs="Times New Roman"/>
          <w:sz w:val="26"/>
          <w:szCs w:val="26"/>
        </w:rPr>
        <w:t xml:space="preserve">IKVD ir IZM pārraudzībā esošā iestāde, kas neatbilst ESG. </w:t>
      </w:r>
    </w:p>
    <w:p w:rsidR="00D84D68" w:rsidRDefault="00D84D68" w:rsidP="009055FB">
      <w:pPr>
        <w:pStyle w:val="ListParagraph"/>
        <w:spacing w:after="0" w:line="240" w:lineRule="auto"/>
        <w:ind w:left="792"/>
        <w:jc w:val="both"/>
        <w:rPr>
          <w:rFonts w:ascii="Times New Roman" w:hAnsi="Times New Roman" w:cs="Times New Roman"/>
          <w:sz w:val="26"/>
          <w:szCs w:val="26"/>
        </w:rPr>
      </w:pPr>
    </w:p>
    <w:p w:rsidR="002D2FD4" w:rsidRPr="00F75271" w:rsidRDefault="002D2FD4" w:rsidP="009055FB">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Priekšrocības:</w:t>
      </w:r>
    </w:p>
    <w:p w:rsidR="007C2CB6" w:rsidRPr="00F75271" w:rsidRDefault="007C2CB6" w:rsidP="009055FB">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 xml:space="preserve">Esošajā iestādē tiks izveidota struktūrvienība/ nodaļa, līdz ar to </w:t>
      </w:r>
      <w:r w:rsidR="00F75271" w:rsidRPr="00F75271">
        <w:rPr>
          <w:rFonts w:ascii="Times New Roman" w:hAnsi="Times New Roman" w:cs="Times New Roman"/>
          <w:sz w:val="26"/>
          <w:szCs w:val="26"/>
        </w:rPr>
        <w:t>nav jādibina jauna iestāde</w:t>
      </w:r>
    </w:p>
    <w:p w:rsidR="00F75271" w:rsidRDefault="00F75271" w:rsidP="009055FB">
      <w:pPr>
        <w:spacing w:after="0" w:line="240" w:lineRule="auto"/>
        <w:jc w:val="both"/>
        <w:rPr>
          <w:rFonts w:ascii="Times New Roman" w:hAnsi="Times New Roman" w:cs="Times New Roman"/>
          <w:sz w:val="26"/>
          <w:szCs w:val="26"/>
        </w:rPr>
      </w:pPr>
    </w:p>
    <w:p w:rsidR="00F75271" w:rsidRPr="00F75271" w:rsidRDefault="00F75271" w:rsidP="009055FB">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Trūkumi:</w:t>
      </w:r>
    </w:p>
    <w:p w:rsidR="00BD6D93" w:rsidRDefault="00F75271" w:rsidP="009055FB">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 xml:space="preserve">Neatbilst ESG vadlīnijām un standartiem, līdz ar to </w:t>
      </w:r>
      <w:r>
        <w:rPr>
          <w:rFonts w:ascii="Times New Roman" w:hAnsi="Times New Roman" w:cs="Times New Roman"/>
          <w:sz w:val="26"/>
          <w:szCs w:val="26"/>
        </w:rPr>
        <w:t>nevarēs iekļūt ENQA un EQAR, kā rezultātā netiks starptautiski atzīta</w:t>
      </w:r>
      <w:r w:rsidR="0027467A">
        <w:rPr>
          <w:rFonts w:ascii="Times New Roman" w:hAnsi="Times New Roman" w:cs="Times New Roman"/>
          <w:sz w:val="26"/>
          <w:szCs w:val="26"/>
        </w:rPr>
        <w:t>.</w:t>
      </w:r>
    </w:p>
    <w:p w:rsidR="00BD6D93" w:rsidRDefault="00BD6D93"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IKVD</w:t>
      </w:r>
      <w:r w:rsidR="0027467A">
        <w:rPr>
          <w:rFonts w:ascii="Times New Roman" w:hAnsi="Times New Roman" w:cs="Times New Roman"/>
          <w:sz w:val="26"/>
          <w:szCs w:val="26"/>
        </w:rPr>
        <w:t xml:space="preserve"> ir </w:t>
      </w:r>
      <w:r w:rsidR="00B81366">
        <w:rPr>
          <w:rFonts w:ascii="Times New Roman" w:hAnsi="Times New Roman" w:cs="Times New Roman"/>
          <w:sz w:val="26"/>
          <w:szCs w:val="26"/>
        </w:rPr>
        <w:t>IZM</w:t>
      </w:r>
      <w:r w:rsidR="0027467A">
        <w:rPr>
          <w:rFonts w:ascii="Times New Roman" w:hAnsi="Times New Roman" w:cs="Times New Roman"/>
          <w:sz w:val="26"/>
          <w:szCs w:val="26"/>
        </w:rPr>
        <w:t xml:space="preserve"> pārraudzībā esošā iestāde</w:t>
      </w:r>
      <w:r w:rsidR="00B81366">
        <w:rPr>
          <w:rFonts w:ascii="Times New Roman" w:hAnsi="Times New Roman" w:cs="Times New Roman"/>
          <w:sz w:val="26"/>
          <w:szCs w:val="26"/>
        </w:rPr>
        <w:t>, kas ir</w:t>
      </w:r>
      <w:r>
        <w:rPr>
          <w:rFonts w:ascii="Times New Roman" w:hAnsi="Times New Roman" w:cs="Times New Roman"/>
          <w:sz w:val="26"/>
          <w:szCs w:val="26"/>
        </w:rPr>
        <w:t xml:space="preserve"> pretrunā ar ESG vadlīnijām.</w:t>
      </w:r>
    </w:p>
    <w:p w:rsidR="0027467A" w:rsidRDefault="0082541B"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Ā</w:t>
      </w:r>
      <w:r w:rsidR="00BD6D93">
        <w:rPr>
          <w:rFonts w:ascii="Times New Roman" w:hAnsi="Times New Roman" w:cs="Times New Roman"/>
          <w:sz w:val="26"/>
          <w:szCs w:val="26"/>
        </w:rPr>
        <w:t>rējas kvalitātes nodrošināšanas procesam ir jābūt institūcijas galvenajai darbības nozarei</w:t>
      </w:r>
      <w:r>
        <w:rPr>
          <w:rFonts w:ascii="Times New Roman" w:hAnsi="Times New Roman" w:cs="Times New Roman"/>
          <w:sz w:val="26"/>
          <w:szCs w:val="26"/>
        </w:rPr>
        <w:t>, bet IKVD nodrošina vismaz 8 funkcijas.</w:t>
      </w:r>
    </w:p>
    <w:p w:rsidR="0027467A" w:rsidRDefault="0027467A"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Starptautiskā sadarbība </w:t>
      </w:r>
      <w:r w:rsidR="0082541B">
        <w:rPr>
          <w:rFonts w:ascii="Times New Roman" w:hAnsi="Times New Roman" w:cs="Times New Roman"/>
          <w:sz w:val="26"/>
          <w:szCs w:val="26"/>
        </w:rPr>
        <w:t xml:space="preserve">augstākās izglītības jomā </w:t>
      </w:r>
      <w:r w:rsidR="00932E0D">
        <w:rPr>
          <w:rFonts w:ascii="Times New Roman" w:hAnsi="Times New Roman" w:cs="Times New Roman"/>
          <w:sz w:val="26"/>
          <w:szCs w:val="26"/>
        </w:rPr>
        <w:t>vāji</w:t>
      </w:r>
      <w:r>
        <w:rPr>
          <w:rFonts w:ascii="Times New Roman" w:hAnsi="Times New Roman" w:cs="Times New Roman"/>
          <w:sz w:val="26"/>
          <w:szCs w:val="26"/>
        </w:rPr>
        <w:t xml:space="preserve"> attīstīta.</w:t>
      </w:r>
    </w:p>
    <w:p w:rsidR="007C2CB6" w:rsidRDefault="007C2CB6" w:rsidP="009055FB">
      <w:pPr>
        <w:spacing w:after="0" w:line="240" w:lineRule="auto"/>
        <w:jc w:val="both"/>
        <w:rPr>
          <w:rFonts w:ascii="Times New Roman" w:hAnsi="Times New Roman" w:cs="Times New Roman"/>
          <w:b/>
          <w:i/>
          <w:sz w:val="26"/>
          <w:szCs w:val="26"/>
        </w:rPr>
      </w:pPr>
    </w:p>
    <w:p w:rsidR="00D84D68" w:rsidRDefault="00D84D68" w:rsidP="009055FB">
      <w:pPr>
        <w:pStyle w:val="ListParagraph"/>
        <w:spacing w:after="0" w:line="240" w:lineRule="auto"/>
        <w:ind w:left="792"/>
        <w:jc w:val="both"/>
        <w:rPr>
          <w:rFonts w:ascii="Times New Roman" w:hAnsi="Times New Roman" w:cs="Times New Roman"/>
          <w:sz w:val="26"/>
          <w:szCs w:val="26"/>
        </w:rPr>
      </w:pPr>
    </w:p>
    <w:p w:rsidR="006E5454" w:rsidRDefault="004F63B8" w:rsidP="009055FB">
      <w:pPr>
        <w:pStyle w:val="Heading2"/>
        <w:spacing w:before="0" w:line="240" w:lineRule="auto"/>
        <w:jc w:val="both"/>
        <w:rPr>
          <w:rFonts w:ascii="Times New Roman" w:hAnsi="Times New Roman" w:cs="Times New Roman"/>
          <w:b/>
          <w:color w:val="auto"/>
          <w:sz w:val="28"/>
          <w:szCs w:val="28"/>
        </w:rPr>
      </w:pPr>
      <w:bookmarkStart w:id="22" w:name="_Toc395890874"/>
      <w:r>
        <w:rPr>
          <w:rFonts w:ascii="Times New Roman" w:hAnsi="Times New Roman" w:cs="Times New Roman"/>
          <w:b/>
          <w:color w:val="auto"/>
          <w:sz w:val="28"/>
          <w:szCs w:val="28"/>
        </w:rPr>
        <w:t>4</w:t>
      </w:r>
      <w:r w:rsidR="00AE7266">
        <w:rPr>
          <w:rFonts w:ascii="Times New Roman" w:hAnsi="Times New Roman" w:cs="Times New Roman"/>
          <w:b/>
          <w:color w:val="auto"/>
          <w:sz w:val="28"/>
          <w:szCs w:val="28"/>
        </w:rPr>
        <w:t xml:space="preserve">.3. </w:t>
      </w:r>
      <w:r w:rsidR="006E5454" w:rsidRPr="00AE7266">
        <w:rPr>
          <w:rFonts w:ascii="Times New Roman" w:hAnsi="Times New Roman" w:cs="Times New Roman"/>
          <w:b/>
          <w:color w:val="auto"/>
          <w:sz w:val="28"/>
          <w:szCs w:val="28"/>
        </w:rPr>
        <w:t xml:space="preserve">Kvalitātes nodrošināšanas (akreditācijas un </w:t>
      </w:r>
      <w:r w:rsidR="00530BDD">
        <w:rPr>
          <w:rFonts w:ascii="Times New Roman" w:hAnsi="Times New Roman" w:cs="Times New Roman"/>
          <w:b/>
          <w:color w:val="auto"/>
          <w:sz w:val="28"/>
          <w:szCs w:val="28"/>
        </w:rPr>
        <w:t>licencēšanas) funkciju nodošana</w:t>
      </w:r>
      <w:r w:rsidR="006E5454" w:rsidRPr="00AE7266">
        <w:rPr>
          <w:rFonts w:ascii="Times New Roman" w:hAnsi="Times New Roman" w:cs="Times New Roman"/>
          <w:b/>
          <w:color w:val="auto"/>
          <w:sz w:val="28"/>
          <w:szCs w:val="28"/>
        </w:rPr>
        <w:t xml:space="preserve"> Augstākās izglītības padomei</w:t>
      </w:r>
      <w:bookmarkEnd w:id="22"/>
    </w:p>
    <w:p w:rsidR="00A06EE5" w:rsidRDefault="00A06EE5" w:rsidP="009055FB">
      <w:pPr>
        <w:spacing w:after="0" w:line="240" w:lineRule="auto"/>
      </w:pPr>
    </w:p>
    <w:p w:rsidR="009D2811" w:rsidRDefault="00266493" w:rsidP="009055FB">
      <w:pPr>
        <w:spacing w:after="0" w:line="240" w:lineRule="auto"/>
        <w:ind w:firstLine="720"/>
        <w:jc w:val="both"/>
        <w:rPr>
          <w:rFonts w:ascii="Times New Roman" w:hAnsi="Times New Roman" w:cs="Times New Roman"/>
          <w:sz w:val="26"/>
          <w:szCs w:val="26"/>
        </w:rPr>
      </w:pPr>
      <w:r w:rsidRPr="00266493">
        <w:rPr>
          <w:rFonts w:ascii="Times New Roman" w:hAnsi="Times New Roman" w:cs="Times New Roman"/>
          <w:sz w:val="26"/>
          <w:szCs w:val="26"/>
        </w:rPr>
        <w:t xml:space="preserve">Saskaņā ar Augstskolu likumu AIP  ir koleģiāla valsts institūcija ar atvasinātas publiskas personas juridisko statusu. AIP locekļus </w:t>
      </w:r>
      <w:r w:rsidR="009D2811" w:rsidRPr="00266493">
        <w:rPr>
          <w:rFonts w:ascii="Times New Roman" w:hAnsi="Times New Roman" w:cs="Times New Roman"/>
          <w:sz w:val="26"/>
          <w:szCs w:val="26"/>
        </w:rPr>
        <w:t>ievel</w:t>
      </w:r>
      <w:r w:rsidRPr="00266493">
        <w:rPr>
          <w:rFonts w:ascii="Times New Roman" w:hAnsi="Times New Roman" w:cs="Times New Roman"/>
          <w:sz w:val="26"/>
          <w:szCs w:val="26"/>
        </w:rPr>
        <w:t xml:space="preserve"> Saeima uz četriem gadiem. AIP locekļus deleģē sekojošas institūcijas: Latvijas Zinātņu akadēmija, Mākslas augstskolu asociācija, Latvijas Izglītības vadītāju asociācija, LTRK, Latvijas Koledžu asociācija, Rektoru padome, Latvijas Augstskolu profesoru asociācija, LDDK, Latvijas Izglītības un zinātnes darbinieku arodbiedrība un Latvijas Studentu apvienība. </w:t>
      </w:r>
    </w:p>
    <w:p w:rsidR="00B81366" w:rsidRPr="00B81366" w:rsidRDefault="00B81366"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AIP pamatuzdevumi, kompetence un funkcijas ir noteiktas Augstskolu likuma </w:t>
      </w:r>
      <w:r w:rsidRPr="00B81366">
        <w:rPr>
          <w:rFonts w:ascii="Times New Roman" w:hAnsi="Times New Roman" w:cs="Times New Roman"/>
          <w:sz w:val="26"/>
          <w:szCs w:val="26"/>
        </w:rPr>
        <w:t>70.pantā un tās ir:</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1) izstrādāt augstākās izglītības un augstskolu attīstības nacionālo koncepciju, paredzot gan valsts, gan citu juridisko un fizisko personu dibināto augstskolu attīstību, un veicina visu veidu augstskolu un augstākās akadēmiskās un augstākās profesionālās izglītības līdztiesīgu un līdzsvarotu attīstību;</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2) izstrādāt ilgtermiņa plānus un priekšlikumus izglītības un zinātnes attīstībai augstākās izglītības sistēmā;</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3) izstrādāt priekšlikumus par augstskolu zinātniskā darba, personāla kvalifikācijas un studiju programmu kvalitātes celšanu;</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4) prognozēt valsts attīstībai nepieciešamo studentu skaitu valstī kopumā un izstrādā priekšlikumus par valsts budžeta finansēto studentu skaitu katrā nozarē;</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5) izstrādāt priekšlikumus par augstskolu struktūras maiņu valstī;</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6) izstrādāt priekšlikumus par profesoru skaitu augstskolās un rekomendācijas citos augstākās izglītības jautājumos;</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7) izstrādāt priekšlikumus par augstākās izglītības pilnveidošanu un studiju apmaksu;</w:t>
      </w:r>
    </w:p>
    <w:p w:rsidR="00B81366" w:rsidRPr="00B81366" w:rsidRDefault="00B81366" w:rsidP="009055FB">
      <w:pPr>
        <w:spacing w:after="0" w:line="240" w:lineRule="auto"/>
        <w:ind w:firstLine="30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lastRenderedPageBreak/>
        <w:t>8) sniegt izglītības un zinātnes ministram un Ministru kabinetam atzinumu par sagatavoto valsts budžeta projektu augstskolu finansēšanai;</w:t>
      </w:r>
    </w:p>
    <w:p w:rsidR="00B81366" w:rsidRDefault="00B81366" w:rsidP="009055FB">
      <w:pPr>
        <w:spacing w:after="0" w:line="240" w:lineRule="auto"/>
        <w:ind w:firstLine="720"/>
        <w:jc w:val="both"/>
        <w:rPr>
          <w:rFonts w:ascii="Times New Roman" w:eastAsia="Times New Roman" w:hAnsi="Times New Roman" w:cs="Times New Roman"/>
          <w:sz w:val="26"/>
          <w:szCs w:val="26"/>
          <w:lang w:eastAsia="lv-LV"/>
        </w:rPr>
      </w:pPr>
      <w:r w:rsidRPr="00B81366">
        <w:rPr>
          <w:rFonts w:ascii="Times New Roman" w:eastAsia="Times New Roman" w:hAnsi="Times New Roman" w:cs="Times New Roman"/>
          <w:sz w:val="26"/>
          <w:szCs w:val="26"/>
          <w:lang w:eastAsia="lv-LV"/>
        </w:rPr>
        <w:t>9) pieņemt lēmumu par augstskolu akreditāciju kopumā un iesniedz to Izglītības un zinātnes ministrijai apstiprināšanai.</w:t>
      </w:r>
    </w:p>
    <w:p w:rsidR="00266493" w:rsidRDefault="00266493" w:rsidP="009055FB">
      <w:pPr>
        <w:spacing w:after="0" w:line="240" w:lineRule="auto"/>
        <w:ind w:firstLine="720"/>
        <w:jc w:val="both"/>
        <w:rPr>
          <w:rFonts w:ascii="Times New Roman" w:hAnsi="Times New Roman" w:cs="Times New Roman"/>
          <w:sz w:val="26"/>
          <w:szCs w:val="26"/>
        </w:rPr>
      </w:pPr>
      <w:r w:rsidRPr="00B81366">
        <w:rPr>
          <w:rFonts w:ascii="Times New Roman" w:hAnsi="Times New Roman" w:cs="Times New Roman"/>
          <w:sz w:val="26"/>
          <w:szCs w:val="26"/>
        </w:rPr>
        <w:t xml:space="preserve">AIP veic </w:t>
      </w:r>
      <w:r w:rsidR="00B81366" w:rsidRPr="00B81366">
        <w:rPr>
          <w:rFonts w:ascii="Times New Roman" w:hAnsi="Times New Roman" w:cs="Times New Roman"/>
          <w:sz w:val="26"/>
          <w:szCs w:val="26"/>
        </w:rPr>
        <w:t>augstskolu</w:t>
      </w:r>
      <w:r w:rsidRPr="00B81366">
        <w:rPr>
          <w:rFonts w:ascii="Times New Roman" w:hAnsi="Times New Roman" w:cs="Times New Roman"/>
          <w:sz w:val="26"/>
          <w:szCs w:val="26"/>
        </w:rPr>
        <w:t xml:space="preserve"> akreditāciju no 1996.gada un šajā laika periodā AIP ir akreditējusi visas Latvijas </w:t>
      </w:r>
      <w:r w:rsidR="00B81366" w:rsidRPr="00B81366">
        <w:rPr>
          <w:rFonts w:ascii="Times New Roman" w:hAnsi="Times New Roman" w:cs="Times New Roman"/>
          <w:sz w:val="26"/>
          <w:szCs w:val="26"/>
        </w:rPr>
        <w:t>augstskolas</w:t>
      </w:r>
      <w:r w:rsidR="00B81366">
        <w:rPr>
          <w:rFonts w:ascii="Times New Roman" w:hAnsi="Times New Roman" w:cs="Times New Roman"/>
          <w:sz w:val="26"/>
          <w:szCs w:val="26"/>
        </w:rPr>
        <w:t>.</w:t>
      </w:r>
      <w:r w:rsidRPr="00266493">
        <w:rPr>
          <w:rFonts w:ascii="Times New Roman" w:hAnsi="Times New Roman" w:cs="Times New Roman"/>
          <w:sz w:val="26"/>
          <w:szCs w:val="26"/>
        </w:rPr>
        <w:t xml:space="preserve"> AIP lēmumus par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akreditāciju ir pieņēmis, balstoties uz AIKNC organizētajām ekspertu vizītēm un AIKNC izstrādātajiem novērtēšanas kritērijiem. Piemēram, 2007.gadā AIKNC organizēja piecu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akreditāciju, 2008.gadā – 3., 2009.gadā – 2 . Tieši AIKNC savā mājas lapā (www.aiknc.lv) publisko</w:t>
      </w:r>
      <w:r w:rsidR="00B81366">
        <w:rPr>
          <w:rFonts w:ascii="Times New Roman" w:hAnsi="Times New Roman" w:cs="Times New Roman"/>
          <w:sz w:val="26"/>
          <w:szCs w:val="26"/>
        </w:rPr>
        <w:t>ja</w:t>
      </w:r>
      <w:r w:rsidRPr="00266493">
        <w:rPr>
          <w:rFonts w:ascii="Times New Roman" w:hAnsi="Times New Roman" w:cs="Times New Roman"/>
          <w:sz w:val="26"/>
          <w:szCs w:val="26"/>
        </w:rPr>
        <w:t xml:space="preserve"> gan akreditēto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sarakstus un to akreditācijas termiņus, gan </w:t>
      </w:r>
      <w:r w:rsidR="00B81366">
        <w:rPr>
          <w:rFonts w:ascii="Times New Roman" w:hAnsi="Times New Roman" w:cs="Times New Roman"/>
          <w:sz w:val="26"/>
          <w:szCs w:val="26"/>
        </w:rPr>
        <w:t>augstskolu</w:t>
      </w:r>
      <w:r w:rsidRPr="00266493">
        <w:rPr>
          <w:rFonts w:ascii="Times New Roman" w:hAnsi="Times New Roman" w:cs="Times New Roman"/>
          <w:sz w:val="26"/>
          <w:szCs w:val="26"/>
        </w:rPr>
        <w:t xml:space="preserve"> pašnovērtējuma ziņojumus un ekspertu ziņojumus, kā arī citu saistīto informāciju. </w:t>
      </w:r>
    </w:p>
    <w:p w:rsidR="00611EBE" w:rsidRPr="00625425" w:rsidRDefault="00611EBE" w:rsidP="009055FB">
      <w:pPr>
        <w:spacing w:after="0" w:line="240" w:lineRule="auto"/>
        <w:ind w:firstLine="720"/>
        <w:jc w:val="both"/>
        <w:rPr>
          <w:rFonts w:ascii="Times New Roman" w:eastAsia="Times New Roman" w:hAnsi="Times New Roman" w:cs="Times New Roman"/>
          <w:sz w:val="26"/>
          <w:szCs w:val="26"/>
          <w:lang w:eastAsia="lv-LV"/>
        </w:rPr>
      </w:pPr>
      <w:r w:rsidRPr="00625425">
        <w:rPr>
          <w:rFonts w:ascii="Times New Roman" w:eastAsia="Times New Roman" w:hAnsi="Times New Roman" w:cs="Times New Roman"/>
          <w:sz w:val="26"/>
          <w:szCs w:val="26"/>
          <w:lang w:eastAsia="lv-LV"/>
        </w:rPr>
        <w:t xml:space="preserve">AIP koordinēja projektu, kura laikā tika izvērtētas augstskolu studiju programmas pa studiju virzieniem, pamatojoties uz projekta ekspertu atzinumu par studiju virzienu valstī, atzinumu par studiju virzienu attiecīgajās augstskolās vai koledžās un atzinumu (anketu) par attiecīgo studiju programmu, </w:t>
      </w:r>
      <w:r w:rsidR="004323BE" w:rsidRPr="00625425">
        <w:rPr>
          <w:rFonts w:ascii="Times New Roman" w:eastAsia="Times New Roman" w:hAnsi="Times New Roman" w:cs="Times New Roman"/>
          <w:sz w:val="26"/>
          <w:szCs w:val="26"/>
          <w:lang w:eastAsia="lv-LV"/>
        </w:rPr>
        <w:t xml:space="preserve">2013.gadā studiju virzienu akreditācijas laikā </w:t>
      </w:r>
      <w:r w:rsidRPr="00625425">
        <w:rPr>
          <w:rFonts w:ascii="Times New Roman" w:eastAsia="Times New Roman" w:hAnsi="Times New Roman" w:cs="Times New Roman"/>
          <w:sz w:val="26"/>
          <w:szCs w:val="26"/>
          <w:lang w:eastAsia="lv-LV"/>
        </w:rPr>
        <w:t xml:space="preserve">tika pieņemti lēmumi par </w:t>
      </w:r>
      <w:r w:rsidR="00B01F8F" w:rsidRPr="00625425">
        <w:rPr>
          <w:rFonts w:ascii="Times New Roman" w:eastAsia="Times New Roman" w:hAnsi="Times New Roman" w:cs="Times New Roman"/>
          <w:sz w:val="26"/>
          <w:szCs w:val="26"/>
          <w:lang w:eastAsia="lv-LV"/>
        </w:rPr>
        <w:t xml:space="preserve">projektā izvērtēto </w:t>
      </w:r>
      <w:r w:rsidRPr="00625425">
        <w:rPr>
          <w:rFonts w:ascii="Times New Roman" w:eastAsia="Times New Roman" w:hAnsi="Times New Roman" w:cs="Times New Roman"/>
          <w:sz w:val="26"/>
          <w:szCs w:val="26"/>
          <w:lang w:eastAsia="lv-LV"/>
        </w:rPr>
        <w:t>studiju virzienu akreditāciju.</w:t>
      </w:r>
    </w:p>
    <w:p w:rsidR="00F75271" w:rsidRDefault="00F75271" w:rsidP="009055FB">
      <w:pPr>
        <w:spacing w:after="0" w:line="240" w:lineRule="auto"/>
        <w:jc w:val="both"/>
        <w:rPr>
          <w:rFonts w:ascii="Times New Roman" w:hAnsi="Times New Roman" w:cs="Times New Roman"/>
          <w:sz w:val="26"/>
          <w:szCs w:val="26"/>
        </w:rPr>
      </w:pPr>
    </w:p>
    <w:p w:rsidR="00F75271" w:rsidRPr="00F75271" w:rsidRDefault="00F75271" w:rsidP="009055FB">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Priekšrocības:</w:t>
      </w:r>
    </w:p>
    <w:p w:rsidR="00F75271" w:rsidRDefault="00F75271" w:rsidP="009055FB">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Esošajā iestādē tiks izveidota struktūrvienība/ nodaļa, līdz ar to nav jādibina jauna iestāde</w:t>
      </w:r>
      <w:r w:rsidR="00D305D3">
        <w:rPr>
          <w:rFonts w:ascii="Times New Roman" w:hAnsi="Times New Roman" w:cs="Times New Roman"/>
          <w:sz w:val="26"/>
          <w:szCs w:val="26"/>
        </w:rPr>
        <w:t>.</w:t>
      </w:r>
    </w:p>
    <w:p w:rsidR="00876DC8" w:rsidRDefault="00D305D3"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Pieredze lēmumu pieņemšanā par augstskolu akreditāciju</w:t>
      </w:r>
      <w:r w:rsidR="0000582B">
        <w:rPr>
          <w:rFonts w:ascii="Times New Roman" w:hAnsi="Times New Roman" w:cs="Times New Roman"/>
          <w:sz w:val="26"/>
          <w:szCs w:val="26"/>
        </w:rPr>
        <w:t>.</w:t>
      </w:r>
      <w:r w:rsidR="00876DC8">
        <w:rPr>
          <w:rFonts w:ascii="Times New Roman" w:hAnsi="Times New Roman" w:cs="Times New Roman"/>
          <w:sz w:val="26"/>
          <w:szCs w:val="26"/>
        </w:rPr>
        <w:t xml:space="preserve"> </w:t>
      </w:r>
    </w:p>
    <w:p w:rsidR="00D305D3" w:rsidRPr="00F75271" w:rsidRDefault="00876DC8"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Pieredze augstākās izglītības studiju programmu vērtēšanā</w:t>
      </w:r>
      <w:r w:rsidR="0000582B">
        <w:rPr>
          <w:rFonts w:ascii="Times New Roman" w:hAnsi="Times New Roman" w:cs="Times New Roman"/>
          <w:sz w:val="26"/>
          <w:szCs w:val="26"/>
        </w:rPr>
        <w:t xml:space="preserve"> projekta ietvaros</w:t>
      </w:r>
      <w:r w:rsidR="00D305D3">
        <w:rPr>
          <w:rFonts w:ascii="Times New Roman" w:hAnsi="Times New Roman" w:cs="Times New Roman"/>
          <w:sz w:val="26"/>
          <w:szCs w:val="26"/>
        </w:rPr>
        <w:t>.</w:t>
      </w:r>
    </w:p>
    <w:p w:rsidR="00F75271" w:rsidRDefault="00F75271" w:rsidP="009055FB">
      <w:pPr>
        <w:spacing w:after="0" w:line="240" w:lineRule="auto"/>
        <w:jc w:val="both"/>
        <w:rPr>
          <w:rFonts w:ascii="Times New Roman" w:hAnsi="Times New Roman" w:cs="Times New Roman"/>
          <w:sz w:val="26"/>
          <w:szCs w:val="26"/>
        </w:rPr>
      </w:pPr>
    </w:p>
    <w:p w:rsidR="00F75271" w:rsidRPr="00F75271" w:rsidRDefault="00F75271" w:rsidP="009055FB">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Trūkumi:</w:t>
      </w:r>
    </w:p>
    <w:p w:rsidR="00F75271" w:rsidRDefault="00F75271" w:rsidP="009055FB">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 xml:space="preserve">Neatbilst ESG vadlīnijām un standartiem, līdz ar to </w:t>
      </w:r>
      <w:r>
        <w:rPr>
          <w:rFonts w:ascii="Times New Roman" w:hAnsi="Times New Roman" w:cs="Times New Roman"/>
          <w:sz w:val="26"/>
          <w:szCs w:val="26"/>
        </w:rPr>
        <w:t xml:space="preserve">nevarēs iekļūt ENQA un EQAR, kā rezultātā </w:t>
      </w:r>
      <w:r w:rsidR="00932E0D">
        <w:rPr>
          <w:rFonts w:ascii="Times New Roman" w:hAnsi="Times New Roman" w:cs="Times New Roman"/>
          <w:sz w:val="26"/>
          <w:szCs w:val="26"/>
        </w:rPr>
        <w:t xml:space="preserve">var </w:t>
      </w:r>
      <w:r>
        <w:rPr>
          <w:rFonts w:ascii="Times New Roman" w:hAnsi="Times New Roman" w:cs="Times New Roman"/>
          <w:sz w:val="26"/>
          <w:szCs w:val="26"/>
        </w:rPr>
        <w:t>netik</w:t>
      </w:r>
      <w:r w:rsidR="00932E0D">
        <w:rPr>
          <w:rFonts w:ascii="Times New Roman" w:hAnsi="Times New Roman" w:cs="Times New Roman"/>
          <w:sz w:val="26"/>
          <w:szCs w:val="26"/>
        </w:rPr>
        <w:t>t</w:t>
      </w:r>
      <w:r>
        <w:rPr>
          <w:rFonts w:ascii="Times New Roman" w:hAnsi="Times New Roman" w:cs="Times New Roman"/>
          <w:sz w:val="26"/>
          <w:szCs w:val="26"/>
        </w:rPr>
        <w:t xml:space="preserve"> starptautiski atzīta</w:t>
      </w:r>
      <w:r w:rsidR="00BD6D93">
        <w:rPr>
          <w:rFonts w:ascii="Times New Roman" w:hAnsi="Times New Roman" w:cs="Times New Roman"/>
          <w:sz w:val="26"/>
          <w:szCs w:val="26"/>
        </w:rPr>
        <w:t>.</w:t>
      </w:r>
    </w:p>
    <w:p w:rsidR="00BD6D93" w:rsidRDefault="0054310E"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AIP ir lēmējinstitūcijas, stratēģiskās funkcijas saskaņā ar Augstskolu likumā noteikto. AIP tika izveidota kā augsta līmeņa iestāde, kas īsteno augstākās izglītības politiku Latvijā.</w:t>
      </w:r>
    </w:p>
    <w:p w:rsidR="0054310E" w:rsidRDefault="0054310E"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AIP </w:t>
      </w:r>
      <w:r w:rsidRPr="0054310E">
        <w:rPr>
          <w:rFonts w:ascii="Times New Roman" w:hAnsi="Times New Roman" w:cs="Times New Roman"/>
          <w:sz w:val="26"/>
          <w:szCs w:val="26"/>
        </w:rPr>
        <w:t xml:space="preserve">locekļu pilnvaru laiks ir četri gadi, savukārt studējošo pilnvaru laiks ir divi gadi. Pēc </w:t>
      </w:r>
      <w:r>
        <w:rPr>
          <w:rFonts w:ascii="Times New Roman" w:hAnsi="Times New Roman" w:cs="Times New Roman"/>
          <w:sz w:val="26"/>
          <w:szCs w:val="26"/>
        </w:rPr>
        <w:t>AIP</w:t>
      </w:r>
      <w:r w:rsidRPr="0054310E">
        <w:rPr>
          <w:rFonts w:ascii="Times New Roman" w:hAnsi="Times New Roman" w:cs="Times New Roman"/>
          <w:sz w:val="26"/>
          <w:szCs w:val="26"/>
        </w:rPr>
        <w:t xml:space="preserve"> locekļu pilnvaru beigām izglītības un zinātnes ministrs i</w:t>
      </w:r>
      <w:r w:rsidR="00D24E15">
        <w:rPr>
          <w:rFonts w:ascii="Times New Roman" w:hAnsi="Times New Roman" w:cs="Times New Roman"/>
          <w:sz w:val="26"/>
          <w:szCs w:val="26"/>
        </w:rPr>
        <w:t>esniedz S</w:t>
      </w:r>
      <w:r w:rsidRPr="0054310E">
        <w:rPr>
          <w:rFonts w:ascii="Times New Roman" w:hAnsi="Times New Roman" w:cs="Times New Roman"/>
          <w:sz w:val="26"/>
          <w:szCs w:val="26"/>
        </w:rPr>
        <w:t xml:space="preserve">aeimai apstiprināšanai Padomes locekļu kandidatūras.  Savukārt akreditācija, t.sk. novērtēšana, ir pastāvīgs process, tas ir jānodrošina nepārtraukti, pēc vienotiem principiem un metodikas. Regulāra </w:t>
      </w:r>
      <w:r>
        <w:rPr>
          <w:rFonts w:ascii="Times New Roman" w:hAnsi="Times New Roman" w:cs="Times New Roman"/>
          <w:sz w:val="26"/>
          <w:szCs w:val="26"/>
        </w:rPr>
        <w:t>AIP</w:t>
      </w:r>
      <w:r w:rsidRPr="0054310E">
        <w:rPr>
          <w:rFonts w:ascii="Times New Roman" w:hAnsi="Times New Roman" w:cs="Times New Roman"/>
          <w:sz w:val="26"/>
          <w:szCs w:val="26"/>
        </w:rPr>
        <w:t xml:space="preserve"> locekļu maiņa var būtiski ietekmēt akreditācijas procesu, t.sk., radot politisko ietekmi uz akreditācijas lēmumiem.</w:t>
      </w:r>
      <w:r>
        <w:rPr>
          <w:rFonts w:ascii="Times New Roman" w:hAnsi="Times New Roman" w:cs="Times New Roman"/>
          <w:sz w:val="26"/>
          <w:szCs w:val="26"/>
        </w:rPr>
        <w:t xml:space="preserve"> </w:t>
      </w:r>
      <w:r w:rsidRPr="0054310E">
        <w:rPr>
          <w:rFonts w:ascii="Times New Roman" w:hAnsi="Times New Roman" w:cs="Times New Roman"/>
          <w:sz w:val="26"/>
          <w:szCs w:val="26"/>
        </w:rPr>
        <w:t xml:space="preserve">Saskaņā ar </w:t>
      </w:r>
      <w:r>
        <w:rPr>
          <w:rFonts w:ascii="Times New Roman" w:hAnsi="Times New Roman" w:cs="Times New Roman"/>
          <w:sz w:val="26"/>
          <w:szCs w:val="26"/>
        </w:rPr>
        <w:t>ESG vadlīnijām</w:t>
      </w:r>
      <w:r w:rsidRPr="0054310E">
        <w:rPr>
          <w:rFonts w:ascii="Times New Roman" w:hAnsi="Times New Roman" w:cs="Times New Roman"/>
          <w:sz w:val="26"/>
          <w:szCs w:val="26"/>
        </w:rPr>
        <w:t xml:space="preserve"> institūcijām jābūt neatkarīgām tādā mērā, lai tās būtu atbildīgas par savu darbību un to ziņojumos pieņemtie lēmumi un ieteikumi nebūtu ietekmējami trešajām personām.</w:t>
      </w:r>
    </w:p>
    <w:p w:rsidR="00022205" w:rsidRDefault="00022205"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Starptautiskā sadarbība </w:t>
      </w:r>
      <w:r w:rsidR="00932E0D">
        <w:rPr>
          <w:rFonts w:ascii="Times New Roman" w:hAnsi="Times New Roman" w:cs="Times New Roman"/>
          <w:sz w:val="26"/>
          <w:szCs w:val="26"/>
        </w:rPr>
        <w:t>vāji</w:t>
      </w:r>
      <w:r>
        <w:rPr>
          <w:rFonts w:ascii="Times New Roman" w:hAnsi="Times New Roman" w:cs="Times New Roman"/>
          <w:sz w:val="26"/>
          <w:szCs w:val="26"/>
        </w:rPr>
        <w:t xml:space="preserve"> attīstīta.</w:t>
      </w:r>
    </w:p>
    <w:p w:rsidR="00F75271" w:rsidRPr="00266493" w:rsidRDefault="00F75271" w:rsidP="009055FB">
      <w:pPr>
        <w:spacing w:after="0" w:line="240" w:lineRule="auto"/>
        <w:jc w:val="both"/>
        <w:rPr>
          <w:rFonts w:ascii="Times New Roman" w:hAnsi="Times New Roman" w:cs="Times New Roman"/>
          <w:sz w:val="26"/>
          <w:szCs w:val="26"/>
        </w:rPr>
      </w:pPr>
    </w:p>
    <w:p w:rsidR="009217BF" w:rsidRDefault="009217BF" w:rsidP="009055FB">
      <w:pPr>
        <w:pStyle w:val="ListParagraph"/>
        <w:spacing w:after="0" w:line="240" w:lineRule="auto"/>
        <w:ind w:left="360"/>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i/>
          <w:sz w:val="26"/>
          <w:szCs w:val="26"/>
        </w:rPr>
        <w:tab/>
      </w:r>
    </w:p>
    <w:p w:rsidR="006E5454" w:rsidRPr="00AE7266" w:rsidRDefault="004F63B8" w:rsidP="009055FB">
      <w:pPr>
        <w:pStyle w:val="Heading2"/>
        <w:spacing w:before="0" w:line="240" w:lineRule="auto"/>
        <w:jc w:val="both"/>
        <w:rPr>
          <w:rFonts w:ascii="Times New Roman" w:hAnsi="Times New Roman" w:cs="Times New Roman"/>
          <w:b/>
          <w:color w:val="auto"/>
          <w:sz w:val="28"/>
          <w:szCs w:val="28"/>
        </w:rPr>
      </w:pPr>
      <w:bookmarkStart w:id="23" w:name="_Toc395890875"/>
      <w:r>
        <w:rPr>
          <w:rFonts w:ascii="Times New Roman" w:hAnsi="Times New Roman" w:cs="Times New Roman"/>
          <w:b/>
          <w:color w:val="auto"/>
          <w:sz w:val="28"/>
          <w:szCs w:val="28"/>
        </w:rPr>
        <w:t>4</w:t>
      </w:r>
      <w:r w:rsidR="00AE7266">
        <w:rPr>
          <w:rFonts w:ascii="Times New Roman" w:hAnsi="Times New Roman" w:cs="Times New Roman"/>
          <w:b/>
          <w:color w:val="auto"/>
          <w:sz w:val="28"/>
          <w:szCs w:val="28"/>
        </w:rPr>
        <w:t xml:space="preserve">.4. </w:t>
      </w:r>
      <w:r w:rsidR="006E5454" w:rsidRPr="00AE7266">
        <w:rPr>
          <w:rFonts w:ascii="Times New Roman" w:hAnsi="Times New Roman" w:cs="Times New Roman"/>
          <w:b/>
          <w:color w:val="auto"/>
          <w:sz w:val="28"/>
          <w:szCs w:val="28"/>
        </w:rPr>
        <w:t>Kvalitātes nodrošināšanas (akreditācijas un licencēšanas) funkciju nodošana Akadēmiskās informācijas centram</w:t>
      </w:r>
      <w:bookmarkEnd w:id="23"/>
    </w:p>
    <w:p w:rsidR="009217BF" w:rsidRDefault="009217BF" w:rsidP="009055FB">
      <w:pPr>
        <w:pStyle w:val="ListParagraph"/>
        <w:spacing w:after="0" w:line="240" w:lineRule="auto"/>
        <w:ind w:left="792"/>
        <w:jc w:val="both"/>
        <w:rPr>
          <w:rFonts w:ascii="Times New Roman" w:hAnsi="Times New Roman" w:cs="Times New Roman"/>
          <w:sz w:val="26"/>
          <w:szCs w:val="26"/>
        </w:rPr>
      </w:pPr>
    </w:p>
    <w:p w:rsidR="009D0C07" w:rsidRDefault="00B81366"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Saskaņā ar Izglītības likuma 11</w:t>
      </w:r>
      <w:r w:rsidR="009D0C07" w:rsidRPr="009D0C07">
        <w:rPr>
          <w:rFonts w:ascii="Times New Roman" w:hAnsi="Times New Roman" w:cs="Times New Roman"/>
          <w:sz w:val="26"/>
          <w:szCs w:val="26"/>
        </w:rPr>
        <w:t xml:space="preserve">. panta piekto daļu </w:t>
      </w:r>
      <w:r w:rsidR="00293353">
        <w:rPr>
          <w:rFonts w:ascii="Times New Roman" w:hAnsi="Times New Roman" w:cs="Times New Roman"/>
          <w:sz w:val="26"/>
          <w:szCs w:val="26"/>
        </w:rPr>
        <w:t xml:space="preserve">un Augstskolu likuma 85.pantu </w:t>
      </w:r>
      <w:r w:rsidR="009D0C07" w:rsidRPr="009D0C07">
        <w:rPr>
          <w:rFonts w:ascii="Times New Roman" w:hAnsi="Times New Roman" w:cs="Times New Roman"/>
          <w:sz w:val="26"/>
          <w:szCs w:val="26"/>
        </w:rPr>
        <w:t>AIC ir ministrijas dibināta institūcija, kas pilda ārvalstīs izsniegtu izglītības dokumentu un akadēmiskos grādus apliecinošu dokumentu ekspertīzi un citas ar izglītības dokumentu atzīšanu un starptautisko informācijas apmaiņu saistītas funkcijas.</w:t>
      </w:r>
    </w:p>
    <w:p w:rsidR="009D0C07" w:rsidRPr="009D0C07" w:rsidRDefault="009D0C07" w:rsidP="009055FB">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AIC kopš 1995.gada ir Latvijas pārstāvis Eiropas Padomes/UNESCO diplomatzīšanas tīklā ENIC un Eiropas Savienības diplomatzīšanas tīklā NARIC.</w:t>
      </w:r>
    </w:p>
    <w:p w:rsidR="009D0C07" w:rsidRPr="009D0C07" w:rsidRDefault="009D0C07" w:rsidP="009055FB">
      <w:pPr>
        <w:spacing w:after="0" w:line="240" w:lineRule="auto"/>
        <w:jc w:val="both"/>
        <w:rPr>
          <w:rFonts w:ascii="Times New Roman" w:hAnsi="Times New Roman" w:cs="Times New Roman"/>
          <w:sz w:val="26"/>
          <w:szCs w:val="26"/>
        </w:rPr>
      </w:pPr>
      <w:r w:rsidRPr="009D0C07">
        <w:rPr>
          <w:rFonts w:ascii="Times New Roman" w:hAnsi="Times New Roman" w:cs="Times New Roman"/>
          <w:sz w:val="26"/>
          <w:szCs w:val="26"/>
        </w:rPr>
        <w:t>Latvijas ENIC/NARIC īsteno šādas funkcijas:</w:t>
      </w:r>
    </w:p>
    <w:p w:rsidR="009D0C07" w:rsidRPr="009D0C07" w:rsidRDefault="009D0C07" w:rsidP="009055FB">
      <w:pPr>
        <w:pStyle w:val="ListParagraph"/>
        <w:numPr>
          <w:ilvl w:val="0"/>
          <w:numId w:val="13"/>
        </w:numPr>
        <w:spacing w:after="0" w:line="240" w:lineRule="auto"/>
        <w:jc w:val="both"/>
        <w:rPr>
          <w:rFonts w:ascii="Times New Roman" w:hAnsi="Times New Roman" w:cs="Times New Roman"/>
          <w:sz w:val="26"/>
          <w:szCs w:val="26"/>
        </w:rPr>
      </w:pPr>
      <w:r w:rsidRPr="009D0C07">
        <w:rPr>
          <w:rFonts w:ascii="Times New Roman" w:hAnsi="Times New Roman" w:cs="Times New Roman"/>
          <w:sz w:val="26"/>
          <w:szCs w:val="26"/>
        </w:rPr>
        <w:t xml:space="preserve">veic ārzemju diplomu ekspertīzi Latvijā (atbilstoši Izglītības likuma 11.1.pantam), </w:t>
      </w:r>
    </w:p>
    <w:p w:rsidR="005C776B" w:rsidRDefault="009D0C07" w:rsidP="009055FB">
      <w:pPr>
        <w:pStyle w:val="ListParagraph"/>
        <w:numPr>
          <w:ilvl w:val="0"/>
          <w:numId w:val="13"/>
        </w:numPr>
        <w:spacing w:after="0" w:line="240" w:lineRule="auto"/>
        <w:jc w:val="both"/>
        <w:rPr>
          <w:rFonts w:ascii="Times New Roman" w:hAnsi="Times New Roman" w:cs="Times New Roman"/>
          <w:sz w:val="26"/>
          <w:szCs w:val="26"/>
        </w:rPr>
      </w:pPr>
      <w:r w:rsidRPr="009D0C07">
        <w:rPr>
          <w:rFonts w:ascii="Times New Roman" w:hAnsi="Times New Roman" w:cs="Times New Roman"/>
          <w:sz w:val="26"/>
          <w:szCs w:val="26"/>
        </w:rPr>
        <w:t>sniedz informāciju par Latvijas izglītības sistēmu ENIC/NARIC tīklam, ārvalstu augstskolām, interesentiem Latvijā.</w:t>
      </w:r>
    </w:p>
    <w:p w:rsidR="005C776B" w:rsidRDefault="009D0C07" w:rsidP="009055FB">
      <w:pPr>
        <w:spacing w:after="0" w:line="240" w:lineRule="auto"/>
        <w:ind w:firstLine="720"/>
        <w:jc w:val="both"/>
        <w:rPr>
          <w:rFonts w:ascii="Times New Roman" w:hAnsi="Times New Roman" w:cs="Times New Roman"/>
          <w:sz w:val="26"/>
          <w:szCs w:val="26"/>
        </w:rPr>
      </w:pPr>
      <w:r w:rsidRPr="005C776B">
        <w:rPr>
          <w:rFonts w:ascii="Times New Roman" w:hAnsi="Times New Roman" w:cs="Times New Roman"/>
          <w:sz w:val="26"/>
          <w:szCs w:val="26"/>
        </w:rPr>
        <w:t xml:space="preserve">AIC kopš 2003.gada ir informācijas institūcija par ārvalstīs iegūtas profesionālās kvalifikācijas atzīšanu reglamentētajās profesijās (izņemot transporta jomu) saskaņā ar likuma „Par reglamentētajām profesijām un profesionālās kvalifikācijas atzīšanu” 56.panta piekto daļu. </w:t>
      </w:r>
    </w:p>
    <w:p w:rsidR="009D0C07" w:rsidRDefault="009D0C07" w:rsidP="009055FB">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AIC izsniedz profesionālās kvalifikācijas atzīšanai ārvalstīs nepieciešamo izziņu, kas apliecina profesionālo pieredzi un tiesības darboties nereglamentētajās profesijās Latvijas Republikā atbilstoši Ministru kabineta 2006.gada 14.februāra noteikumiem Nr.128 „Noteikumi par institūcijām, kas izsniedz Latvijas Republikas iedzīvotājiem nepieciešamos dokumentus viņu profesionālās kvalifikācijas atzīšanai ārvalstīs, un šo dokumentu izsniegšanas kārtību”.</w:t>
      </w:r>
    </w:p>
    <w:p w:rsidR="008C501D" w:rsidRDefault="009D0C07" w:rsidP="009055FB">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no 1995. līdz 2004.gadam pārstāvēja Latviju Eiropas Izglītības fonda </w:t>
      </w:r>
      <w:r w:rsidRPr="008C501D">
        <w:rPr>
          <w:rFonts w:ascii="Times New Roman" w:hAnsi="Times New Roman" w:cs="Times New Roman"/>
          <w:i/>
          <w:sz w:val="26"/>
          <w:szCs w:val="26"/>
        </w:rPr>
        <w:t>(E</w:t>
      </w:r>
      <w:r w:rsidR="008C501D" w:rsidRPr="008C501D">
        <w:rPr>
          <w:rFonts w:ascii="Times New Roman" w:hAnsi="Times New Roman" w:cs="Times New Roman"/>
          <w:i/>
          <w:sz w:val="26"/>
          <w:szCs w:val="26"/>
        </w:rPr>
        <w:t>uropean Training Foundation</w:t>
      </w:r>
      <w:r w:rsidRPr="008C501D">
        <w:rPr>
          <w:rFonts w:ascii="Times New Roman" w:hAnsi="Times New Roman" w:cs="Times New Roman"/>
          <w:i/>
          <w:sz w:val="26"/>
          <w:szCs w:val="26"/>
        </w:rPr>
        <w:t>)</w:t>
      </w:r>
      <w:r w:rsidRPr="009D0C07">
        <w:rPr>
          <w:rFonts w:ascii="Times New Roman" w:hAnsi="Times New Roman" w:cs="Times New Roman"/>
          <w:sz w:val="26"/>
          <w:szCs w:val="26"/>
        </w:rPr>
        <w:t xml:space="preserve"> Nacionālo observatoriju tīklā. Līdz ar Latvijas iestāšanos Eiropas Savienībā Nacionālās observatorijas kļuva par Eiropas Profesionālās izglītības attīstības centra </w:t>
      </w:r>
      <w:r w:rsidRPr="008C501D">
        <w:rPr>
          <w:rFonts w:ascii="Times New Roman" w:hAnsi="Times New Roman" w:cs="Times New Roman"/>
          <w:i/>
          <w:sz w:val="26"/>
          <w:szCs w:val="26"/>
        </w:rPr>
        <w:t>(</w:t>
      </w:r>
      <w:r w:rsidR="008C501D" w:rsidRPr="008C501D">
        <w:rPr>
          <w:rFonts w:ascii="Times New Roman" w:hAnsi="Times New Roman" w:cs="Times New Roman"/>
          <w:i/>
          <w:sz w:val="26"/>
          <w:szCs w:val="26"/>
        </w:rPr>
        <w:t xml:space="preserve">European Centre for the Development of Vocational Training, </w:t>
      </w:r>
      <w:r w:rsidRPr="008C501D">
        <w:rPr>
          <w:rFonts w:ascii="Times New Roman" w:hAnsi="Times New Roman" w:cs="Times New Roman"/>
          <w:i/>
          <w:sz w:val="26"/>
          <w:szCs w:val="26"/>
        </w:rPr>
        <w:t>Cedefop)</w:t>
      </w:r>
      <w:r w:rsidRPr="009D0C07">
        <w:rPr>
          <w:rFonts w:ascii="Times New Roman" w:hAnsi="Times New Roman" w:cs="Times New Roman"/>
          <w:sz w:val="26"/>
          <w:szCs w:val="26"/>
        </w:rPr>
        <w:t xml:space="preserve"> informācijas tīkla ReferNet</w:t>
      </w:r>
      <w:r w:rsidR="008C501D">
        <w:rPr>
          <w:rStyle w:val="FootnoteReference"/>
          <w:rFonts w:ascii="Times New Roman" w:hAnsi="Times New Roman" w:cs="Times New Roman"/>
          <w:sz w:val="26"/>
          <w:szCs w:val="26"/>
        </w:rPr>
        <w:footnoteReference w:id="27"/>
      </w:r>
      <w:r w:rsidRPr="009D0C07">
        <w:rPr>
          <w:rFonts w:ascii="Times New Roman" w:hAnsi="Times New Roman" w:cs="Times New Roman"/>
          <w:sz w:val="26"/>
          <w:szCs w:val="26"/>
        </w:rPr>
        <w:t xml:space="preserve"> pārstāvjiem. Kopš 2004. gada AIC struktūrvienība ir Nacionālais Europass centrs, kura uzdevums ir nodrošināt Eiropas Savienības līmeņa iniciatīvas EUROPASS</w:t>
      </w:r>
      <w:r w:rsidR="008C501D">
        <w:rPr>
          <w:rStyle w:val="FootnoteReference"/>
          <w:rFonts w:ascii="Times New Roman" w:hAnsi="Times New Roman" w:cs="Times New Roman"/>
          <w:sz w:val="26"/>
          <w:szCs w:val="26"/>
        </w:rPr>
        <w:footnoteReference w:id="28"/>
      </w:r>
      <w:r w:rsidRPr="009D0C07">
        <w:rPr>
          <w:rFonts w:ascii="Times New Roman" w:hAnsi="Times New Roman" w:cs="Times New Roman"/>
          <w:sz w:val="26"/>
          <w:szCs w:val="26"/>
        </w:rPr>
        <w:t xml:space="preserve"> aktivitātes Latvijā. Kopš 2008.gada AIC darbojas kā Latvijas nacionālais koordinācijas punkts nacionālās kvalifikāciju ietvarstruktūras pielīdzināšanai E</w:t>
      </w:r>
      <w:r w:rsidR="008C501D">
        <w:rPr>
          <w:rFonts w:ascii="Times New Roman" w:hAnsi="Times New Roman" w:cs="Times New Roman"/>
          <w:sz w:val="26"/>
          <w:szCs w:val="26"/>
        </w:rPr>
        <w:t xml:space="preserve">iropas kvalifikāciju ietvarstruktūrai un </w:t>
      </w:r>
      <w:r w:rsidRPr="009D0C07">
        <w:rPr>
          <w:rFonts w:ascii="Times New Roman" w:hAnsi="Times New Roman" w:cs="Times New Roman"/>
          <w:sz w:val="26"/>
          <w:szCs w:val="26"/>
        </w:rPr>
        <w:t xml:space="preserve">nodrošina atbalstu Latvijas izglītības kvalifikāciju piesaistei </w:t>
      </w:r>
      <w:r w:rsidR="008C501D" w:rsidRPr="009D0C07">
        <w:rPr>
          <w:rFonts w:ascii="Times New Roman" w:hAnsi="Times New Roman" w:cs="Times New Roman"/>
          <w:sz w:val="26"/>
          <w:szCs w:val="26"/>
        </w:rPr>
        <w:t>E</w:t>
      </w:r>
      <w:r w:rsidR="008C501D">
        <w:rPr>
          <w:rFonts w:ascii="Times New Roman" w:hAnsi="Times New Roman" w:cs="Times New Roman"/>
          <w:sz w:val="26"/>
          <w:szCs w:val="26"/>
        </w:rPr>
        <w:t>iropas kvalifikāciju ietvarstruktūrai</w:t>
      </w:r>
      <w:r w:rsidRPr="009D0C07">
        <w:rPr>
          <w:rFonts w:ascii="Times New Roman" w:hAnsi="Times New Roman" w:cs="Times New Roman"/>
          <w:sz w:val="26"/>
          <w:szCs w:val="26"/>
        </w:rPr>
        <w:t>, kā arī sniedz informāciju par pielīdzināšanas procesu.</w:t>
      </w:r>
    </w:p>
    <w:p w:rsidR="008C501D" w:rsidRDefault="009D0C07" w:rsidP="009055FB">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ir institūcija, kas pieņem lēmumu par Latvijā agrāk iegūtas augstākās izglītības pielīdzināšanu atbilstoši </w:t>
      </w:r>
      <w:r w:rsidR="00697224">
        <w:rPr>
          <w:rFonts w:ascii="Times New Roman" w:hAnsi="Times New Roman" w:cs="Times New Roman"/>
          <w:sz w:val="26"/>
          <w:szCs w:val="26"/>
        </w:rPr>
        <w:t>MK 2012.gada 28.februāra</w:t>
      </w:r>
      <w:r w:rsidRPr="009D0C07">
        <w:rPr>
          <w:rFonts w:ascii="Times New Roman" w:hAnsi="Times New Roman" w:cs="Times New Roman"/>
          <w:sz w:val="26"/>
          <w:szCs w:val="26"/>
        </w:rPr>
        <w:t xml:space="preserve"> noteikumiem Nr.142 „Grādu un profesionālo kvalifikāciju pielīdzināšanas kārtība”.</w:t>
      </w:r>
    </w:p>
    <w:p w:rsidR="008C501D" w:rsidRDefault="009D0C07" w:rsidP="009055FB">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 xml:space="preserve">AIC ir starptautiskā līmeņa pieredze, AIC veiksmīgi darbojas Boloņas procesa īstenošanas pasākumos, piemēram, izstrādājot Latvijas kvalifikāciju ietvarstruktūru un </w:t>
      </w:r>
      <w:r w:rsidRPr="009D0C07">
        <w:rPr>
          <w:rFonts w:ascii="Times New Roman" w:hAnsi="Times New Roman" w:cs="Times New Roman"/>
          <w:sz w:val="26"/>
          <w:szCs w:val="26"/>
        </w:rPr>
        <w:lastRenderedPageBreak/>
        <w:t>darbojoties kā Nacionālais Europass centrs. AIC ir atpazīstama institūcija ar labu reputāciju ne tikai Latvijā, bet arī pāri Latvijas robežām.</w:t>
      </w:r>
    </w:p>
    <w:p w:rsidR="008C501D" w:rsidRDefault="009D0C07" w:rsidP="009055FB">
      <w:pPr>
        <w:spacing w:after="0" w:line="240" w:lineRule="auto"/>
        <w:ind w:firstLine="720"/>
        <w:jc w:val="both"/>
        <w:rPr>
          <w:rFonts w:ascii="Times New Roman" w:hAnsi="Times New Roman" w:cs="Times New Roman"/>
          <w:sz w:val="26"/>
          <w:szCs w:val="26"/>
        </w:rPr>
      </w:pPr>
      <w:r w:rsidRPr="009D0C07">
        <w:rPr>
          <w:rFonts w:ascii="Times New Roman" w:hAnsi="Times New Roman" w:cs="Times New Roman"/>
          <w:sz w:val="26"/>
          <w:szCs w:val="26"/>
        </w:rPr>
        <w:t>AIC darbība ir cieši saistīta ar augstākās izglītības jomu. AIC aktīvi piedalās semināros un konferencēs, ka arī regulāri rīko un organizē konferences, seminārus un diskusijas par augstākās izglītības aktuāliem jautājumiem, piemēram, par kvalifikāciju ietvarstruktūru un studiju rezultātiem, diploma pie</w:t>
      </w:r>
      <w:r>
        <w:rPr>
          <w:rFonts w:ascii="Times New Roman" w:hAnsi="Times New Roman" w:cs="Times New Roman"/>
          <w:sz w:val="26"/>
          <w:szCs w:val="26"/>
        </w:rPr>
        <w:t>likumiem un kopīgajiem grādiem.</w:t>
      </w:r>
    </w:p>
    <w:p w:rsidR="009D2811" w:rsidRDefault="008C501D"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No minētā izriet, ka </w:t>
      </w:r>
      <w:r w:rsidR="009D0C07" w:rsidRPr="009D0C07">
        <w:rPr>
          <w:rFonts w:ascii="Times New Roman" w:hAnsi="Times New Roman" w:cs="Times New Roman"/>
          <w:b/>
          <w:sz w:val="26"/>
          <w:szCs w:val="26"/>
        </w:rPr>
        <w:t>AIC spētu nodrošināt novērtēšanas organizēšanu, izveidojot tajā kvalitātes nodrošināšanas struktūrvienību</w:t>
      </w:r>
      <w:r w:rsidR="00690826">
        <w:rPr>
          <w:rFonts w:ascii="Times New Roman" w:hAnsi="Times New Roman" w:cs="Times New Roman"/>
          <w:b/>
          <w:sz w:val="26"/>
          <w:szCs w:val="26"/>
        </w:rPr>
        <w:t>/ nodaļu</w:t>
      </w:r>
      <w:r w:rsidR="009D0C07" w:rsidRPr="009D0C07">
        <w:rPr>
          <w:rFonts w:ascii="Times New Roman" w:hAnsi="Times New Roman" w:cs="Times New Roman"/>
          <w:sz w:val="26"/>
          <w:szCs w:val="26"/>
        </w:rPr>
        <w:t>, kuras kompet</w:t>
      </w:r>
      <w:r>
        <w:rPr>
          <w:rFonts w:ascii="Times New Roman" w:hAnsi="Times New Roman" w:cs="Times New Roman"/>
          <w:sz w:val="26"/>
          <w:szCs w:val="26"/>
        </w:rPr>
        <w:t>encē būtu organizēt augstskolu</w:t>
      </w:r>
      <w:r w:rsidR="009D0C07" w:rsidRPr="009D0C07">
        <w:rPr>
          <w:rFonts w:ascii="Times New Roman" w:hAnsi="Times New Roman" w:cs="Times New Roman"/>
          <w:sz w:val="26"/>
          <w:szCs w:val="26"/>
        </w:rPr>
        <w:t xml:space="preserve"> un studiju virzienu akreditāciju, t.sk., novērtēšanu, organizēt licencējamo studiju programmu novērtēšanu, veikt regulāru kvalitātes monitoringu.</w:t>
      </w:r>
    </w:p>
    <w:p w:rsidR="005732FF" w:rsidRDefault="005732FF" w:rsidP="009055FB">
      <w:pPr>
        <w:spacing w:after="0" w:line="240" w:lineRule="auto"/>
        <w:jc w:val="both"/>
        <w:rPr>
          <w:rFonts w:ascii="Times New Roman" w:hAnsi="Times New Roman" w:cs="Times New Roman"/>
          <w:sz w:val="26"/>
          <w:szCs w:val="26"/>
        </w:rPr>
      </w:pPr>
    </w:p>
    <w:p w:rsidR="00F75271" w:rsidRPr="00F75271" w:rsidRDefault="00F75271" w:rsidP="009055FB">
      <w:pPr>
        <w:spacing w:after="0" w:line="240" w:lineRule="auto"/>
        <w:jc w:val="both"/>
        <w:rPr>
          <w:rFonts w:ascii="Times New Roman" w:hAnsi="Times New Roman" w:cs="Times New Roman"/>
          <w:b/>
          <w:i/>
          <w:sz w:val="26"/>
          <w:szCs w:val="26"/>
          <w:u w:val="single"/>
        </w:rPr>
      </w:pPr>
      <w:r w:rsidRPr="00F75271">
        <w:rPr>
          <w:rFonts w:ascii="Times New Roman" w:hAnsi="Times New Roman" w:cs="Times New Roman"/>
          <w:b/>
          <w:i/>
          <w:sz w:val="26"/>
          <w:szCs w:val="26"/>
          <w:u w:val="single"/>
        </w:rPr>
        <w:t>Priekšrocības:</w:t>
      </w:r>
    </w:p>
    <w:p w:rsidR="00487DED" w:rsidRDefault="00F75271" w:rsidP="009055FB">
      <w:pPr>
        <w:pStyle w:val="ListParagraph"/>
        <w:numPr>
          <w:ilvl w:val="0"/>
          <w:numId w:val="18"/>
        </w:numPr>
        <w:spacing w:after="0" w:line="240" w:lineRule="auto"/>
        <w:jc w:val="both"/>
        <w:rPr>
          <w:rFonts w:ascii="Times New Roman" w:hAnsi="Times New Roman" w:cs="Times New Roman"/>
          <w:sz w:val="26"/>
          <w:szCs w:val="26"/>
        </w:rPr>
      </w:pPr>
      <w:r w:rsidRPr="00F75271">
        <w:rPr>
          <w:rFonts w:ascii="Times New Roman" w:hAnsi="Times New Roman" w:cs="Times New Roman"/>
          <w:sz w:val="26"/>
          <w:szCs w:val="26"/>
        </w:rPr>
        <w:t>Esošajā iestādē tiks izveidota struktūrvienība/ nodaļa, līdz ar to nav jādibina jauna iestāde</w:t>
      </w:r>
      <w:r w:rsidR="00487DED">
        <w:rPr>
          <w:rFonts w:ascii="Times New Roman" w:hAnsi="Times New Roman" w:cs="Times New Roman"/>
          <w:sz w:val="26"/>
          <w:szCs w:val="26"/>
        </w:rPr>
        <w:t>.</w:t>
      </w:r>
    </w:p>
    <w:p w:rsidR="00690826" w:rsidRDefault="00690826"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Starptautiskā sadarbība ir veiksmīgi attīstīta.</w:t>
      </w:r>
    </w:p>
    <w:p w:rsidR="00690826" w:rsidRDefault="00690826"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Dažās EAIT valstīs kvalitātes nodrošināšanas procesa funkcijas un izglītības dokumentu atzīšanas funkcijas ir “zem viena jumta”.</w:t>
      </w:r>
    </w:p>
    <w:p w:rsidR="0056139A" w:rsidRDefault="0056139A"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Iekļūšana ENQA un EQAR var notikt īsākā laika periodā, pārņemot AIKNC pieredzi, ja tā tiks atzīta.</w:t>
      </w:r>
    </w:p>
    <w:p w:rsidR="004F63B8" w:rsidRDefault="004F63B8" w:rsidP="009055FB">
      <w:pPr>
        <w:pStyle w:val="ListParagraph"/>
        <w:numPr>
          <w:ilvl w:val="0"/>
          <w:numId w:val="1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Pieredze un ilggadējā līdzdalība Boloņas procesa principu ieviešanā Latvijā. </w:t>
      </w:r>
    </w:p>
    <w:p w:rsidR="001C41D9" w:rsidRDefault="001C41D9" w:rsidP="009055FB">
      <w:pPr>
        <w:spacing w:after="0" w:line="240" w:lineRule="auto"/>
        <w:ind w:left="720"/>
        <w:jc w:val="both"/>
        <w:rPr>
          <w:rFonts w:ascii="Times New Roman" w:hAnsi="Times New Roman" w:cs="Times New Roman"/>
          <w:sz w:val="26"/>
          <w:szCs w:val="26"/>
        </w:rPr>
      </w:pPr>
    </w:p>
    <w:p w:rsidR="001C41D9" w:rsidRPr="00F95550" w:rsidRDefault="00081D6C" w:rsidP="009055FB">
      <w:pPr>
        <w:spacing w:after="0" w:line="240" w:lineRule="auto"/>
        <w:jc w:val="both"/>
        <w:rPr>
          <w:rFonts w:ascii="Times New Roman" w:hAnsi="Times New Roman" w:cs="Times New Roman"/>
          <w:b/>
          <w:i/>
          <w:sz w:val="26"/>
          <w:szCs w:val="26"/>
        </w:rPr>
      </w:pPr>
      <w:r w:rsidRPr="00F95550">
        <w:rPr>
          <w:rFonts w:ascii="Times New Roman" w:hAnsi="Times New Roman" w:cs="Times New Roman"/>
          <w:b/>
          <w:i/>
          <w:sz w:val="26"/>
          <w:szCs w:val="26"/>
        </w:rPr>
        <w:t>Trūkumi:</w:t>
      </w:r>
    </w:p>
    <w:p w:rsidR="001C41D9" w:rsidRPr="00625425" w:rsidRDefault="00076690" w:rsidP="009055FB">
      <w:pPr>
        <w:pStyle w:val="ListParagraph"/>
        <w:numPr>
          <w:ilvl w:val="0"/>
          <w:numId w:val="42"/>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 xml:space="preserve">Nepieciešami administratīvie resursi </w:t>
      </w:r>
      <w:r w:rsidR="008D5E4D" w:rsidRPr="00625425">
        <w:rPr>
          <w:rFonts w:ascii="Times New Roman" w:hAnsi="Times New Roman" w:cs="Times New Roman"/>
          <w:sz w:val="26"/>
          <w:szCs w:val="26"/>
        </w:rPr>
        <w:t>normatīvo aktu grozījumu sagatavošanai, lai deleģētu valsts funkciju privātam nodibinājumam;</w:t>
      </w:r>
    </w:p>
    <w:p w:rsidR="001C41D9" w:rsidRPr="00625425" w:rsidRDefault="008D5E4D" w:rsidP="009055FB">
      <w:pPr>
        <w:pStyle w:val="ListParagraph"/>
        <w:numPr>
          <w:ilvl w:val="0"/>
          <w:numId w:val="42"/>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 xml:space="preserve">Nepieciešami administratīvie resursi </w:t>
      </w:r>
      <w:r w:rsidR="003A5236" w:rsidRPr="00625425">
        <w:rPr>
          <w:rFonts w:ascii="Times New Roman" w:hAnsi="Times New Roman" w:cs="Times New Roman"/>
          <w:sz w:val="26"/>
          <w:szCs w:val="26"/>
        </w:rPr>
        <w:t>deleģēto ārējās kvalitātes nodrošināšanas funkciju īstenošanas kvalitātes pastiprinātam monitoringam un kontrolei līdz aģentūras iekļaušanai EQAR</w:t>
      </w:r>
      <w:r w:rsidR="0091360D" w:rsidRPr="00625425">
        <w:rPr>
          <w:rFonts w:ascii="Times New Roman" w:hAnsi="Times New Roman" w:cs="Times New Roman"/>
          <w:sz w:val="26"/>
          <w:szCs w:val="26"/>
        </w:rPr>
        <w:t>, saskaņā ar Valsts iekārtas pārvaldes likuma 43.panta trešo daļu</w:t>
      </w:r>
      <w:r w:rsidR="003A5236" w:rsidRPr="00625425">
        <w:rPr>
          <w:rFonts w:ascii="Times New Roman" w:hAnsi="Times New Roman" w:cs="Times New Roman"/>
          <w:sz w:val="26"/>
          <w:szCs w:val="26"/>
        </w:rPr>
        <w:t xml:space="preserve">. </w:t>
      </w:r>
    </w:p>
    <w:p w:rsidR="00F75271" w:rsidRPr="00625425" w:rsidRDefault="00F75271" w:rsidP="009055FB">
      <w:pPr>
        <w:spacing w:after="0" w:line="240" w:lineRule="auto"/>
        <w:jc w:val="both"/>
        <w:rPr>
          <w:rFonts w:ascii="Times New Roman" w:hAnsi="Times New Roman" w:cs="Times New Roman"/>
          <w:sz w:val="26"/>
          <w:szCs w:val="26"/>
        </w:rPr>
      </w:pPr>
    </w:p>
    <w:p w:rsidR="00E844A2" w:rsidRPr="00625425" w:rsidRDefault="00E844A2" w:rsidP="009055FB">
      <w:pPr>
        <w:pStyle w:val="Heading2"/>
        <w:spacing w:before="0" w:line="240" w:lineRule="auto"/>
        <w:jc w:val="both"/>
        <w:rPr>
          <w:rFonts w:ascii="Times New Roman" w:hAnsi="Times New Roman" w:cs="Times New Roman"/>
          <w:b/>
          <w:color w:val="auto"/>
          <w:sz w:val="28"/>
          <w:szCs w:val="28"/>
        </w:rPr>
      </w:pPr>
      <w:r w:rsidRPr="00625425">
        <w:rPr>
          <w:rFonts w:ascii="Times New Roman" w:hAnsi="Times New Roman" w:cs="Times New Roman"/>
          <w:b/>
          <w:color w:val="auto"/>
          <w:sz w:val="28"/>
          <w:szCs w:val="28"/>
        </w:rPr>
        <w:t xml:space="preserve"> </w:t>
      </w:r>
      <w:r w:rsidRPr="00625425">
        <w:rPr>
          <w:rFonts w:ascii="Times New Roman" w:hAnsi="Times New Roman" w:cs="Times New Roman"/>
          <w:b/>
          <w:color w:val="auto"/>
          <w:sz w:val="28"/>
          <w:szCs w:val="28"/>
        </w:rPr>
        <w:tab/>
      </w:r>
      <w:bookmarkStart w:id="24" w:name="_Toc395890876"/>
      <w:r w:rsidR="004F63B8" w:rsidRPr="00625425">
        <w:rPr>
          <w:rFonts w:ascii="Times New Roman" w:hAnsi="Times New Roman" w:cs="Times New Roman"/>
          <w:b/>
          <w:color w:val="auto"/>
          <w:sz w:val="28"/>
          <w:szCs w:val="28"/>
        </w:rPr>
        <w:t>4</w:t>
      </w:r>
      <w:r w:rsidRPr="00625425">
        <w:rPr>
          <w:rFonts w:ascii="Times New Roman" w:hAnsi="Times New Roman" w:cs="Times New Roman"/>
          <w:b/>
          <w:color w:val="auto"/>
          <w:sz w:val="28"/>
          <w:szCs w:val="28"/>
        </w:rPr>
        <w:t>.</w:t>
      </w:r>
      <w:r w:rsidR="006607C9" w:rsidRPr="00625425">
        <w:rPr>
          <w:rFonts w:ascii="Times New Roman" w:hAnsi="Times New Roman" w:cs="Times New Roman"/>
          <w:b/>
          <w:color w:val="auto"/>
          <w:sz w:val="28"/>
          <w:szCs w:val="28"/>
        </w:rPr>
        <w:t>5</w:t>
      </w:r>
      <w:r w:rsidRPr="00625425">
        <w:rPr>
          <w:rFonts w:ascii="Times New Roman" w:hAnsi="Times New Roman" w:cs="Times New Roman"/>
          <w:b/>
          <w:color w:val="auto"/>
          <w:sz w:val="28"/>
          <w:szCs w:val="28"/>
        </w:rPr>
        <w:t>. Piedāvāto variantu problēmu risinājumam kopsavilkums</w:t>
      </w:r>
      <w:bookmarkEnd w:id="24"/>
    </w:p>
    <w:p w:rsidR="004F0E3E" w:rsidRDefault="004F0E3E" w:rsidP="009055FB">
      <w:pPr>
        <w:spacing w:after="0" w:line="240" w:lineRule="auto"/>
        <w:jc w:val="right"/>
        <w:rPr>
          <w:i/>
        </w:rPr>
      </w:pPr>
      <w:r>
        <w:tab/>
      </w:r>
      <w:r>
        <w:rPr>
          <w:i/>
        </w:rPr>
        <w:t>3.tabula</w:t>
      </w:r>
    </w:p>
    <w:p w:rsidR="004F0E3E" w:rsidRPr="00F95550" w:rsidRDefault="004F0E3E" w:rsidP="009055FB">
      <w:pPr>
        <w:spacing w:after="0" w:line="240" w:lineRule="auto"/>
        <w:jc w:val="center"/>
        <w:rPr>
          <w:i/>
        </w:rPr>
      </w:pPr>
      <w:r w:rsidRPr="00F95550">
        <w:rPr>
          <w:rFonts w:ascii="Times New Roman" w:hAnsi="Times New Roman" w:cs="Times New Roman"/>
          <w:b/>
          <w:i/>
          <w:sz w:val="28"/>
          <w:szCs w:val="28"/>
        </w:rPr>
        <w:t xml:space="preserve">Piedāvāto variantu </w:t>
      </w:r>
      <w:r>
        <w:rPr>
          <w:rFonts w:ascii="Times New Roman" w:hAnsi="Times New Roman" w:cs="Times New Roman"/>
          <w:b/>
          <w:i/>
          <w:sz w:val="28"/>
          <w:szCs w:val="28"/>
        </w:rPr>
        <w:t>izvērtējuma</w:t>
      </w:r>
      <w:r w:rsidRPr="00F95550">
        <w:rPr>
          <w:rFonts w:ascii="Times New Roman" w:hAnsi="Times New Roman" w:cs="Times New Roman"/>
          <w:b/>
          <w:i/>
          <w:sz w:val="28"/>
          <w:szCs w:val="28"/>
        </w:rPr>
        <w:t xml:space="preserve"> kopsavilkums</w:t>
      </w:r>
    </w:p>
    <w:tbl>
      <w:tblPr>
        <w:tblStyle w:val="TableGrid"/>
        <w:tblW w:w="9639" w:type="dxa"/>
        <w:tblInd w:w="-572" w:type="dxa"/>
        <w:tblLayout w:type="fixed"/>
        <w:tblLook w:val="04A0" w:firstRow="1" w:lastRow="0" w:firstColumn="1" w:lastColumn="0" w:noHBand="0" w:noVBand="1"/>
      </w:tblPr>
      <w:tblGrid>
        <w:gridCol w:w="2268"/>
        <w:gridCol w:w="2552"/>
        <w:gridCol w:w="2268"/>
        <w:gridCol w:w="2551"/>
      </w:tblGrid>
      <w:tr w:rsidR="004E1B50" w:rsidRPr="004C7999" w:rsidTr="004E1B50">
        <w:tc>
          <w:tcPr>
            <w:tcW w:w="2268" w:type="dxa"/>
          </w:tcPr>
          <w:p w:rsidR="004E1B50" w:rsidRPr="004C7999" w:rsidRDefault="004E1B50" w:rsidP="009055FB">
            <w:pPr>
              <w:jc w:val="center"/>
              <w:rPr>
                <w:rFonts w:ascii="Times New Roman" w:hAnsi="Times New Roman"/>
                <w:b/>
                <w:sz w:val="24"/>
                <w:szCs w:val="24"/>
              </w:rPr>
            </w:pPr>
            <w:r>
              <w:rPr>
                <w:rFonts w:ascii="Times New Roman" w:hAnsi="Times New Roman"/>
                <w:sz w:val="26"/>
                <w:szCs w:val="26"/>
              </w:rPr>
              <w:br w:type="page"/>
            </w:r>
            <w:r w:rsidRPr="004C7999">
              <w:rPr>
                <w:rFonts w:ascii="Times New Roman" w:hAnsi="Times New Roman"/>
                <w:b/>
                <w:sz w:val="24"/>
                <w:szCs w:val="24"/>
              </w:rPr>
              <w:t>Jaundibinātā institūcija</w:t>
            </w:r>
          </w:p>
        </w:tc>
        <w:tc>
          <w:tcPr>
            <w:tcW w:w="2552" w:type="dxa"/>
          </w:tcPr>
          <w:p w:rsidR="004E1B50" w:rsidRPr="004C7999" w:rsidRDefault="004E1B50" w:rsidP="009055FB">
            <w:pPr>
              <w:jc w:val="center"/>
              <w:rPr>
                <w:rFonts w:ascii="Times New Roman" w:hAnsi="Times New Roman"/>
                <w:b/>
                <w:sz w:val="24"/>
                <w:szCs w:val="24"/>
              </w:rPr>
            </w:pPr>
            <w:r w:rsidRPr="004C7999">
              <w:rPr>
                <w:rFonts w:ascii="Times New Roman" w:hAnsi="Times New Roman"/>
                <w:b/>
                <w:sz w:val="24"/>
                <w:szCs w:val="24"/>
              </w:rPr>
              <w:t>IKVD</w:t>
            </w:r>
          </w:p>
        </w:tc>
        <w:tc>
          <w:tcPr>
            <w:tcW w:w="2268" w:type="dxa"/>
          </w:tcPr>
          <w:p w:rsidR="004E1B50" w:rsidRPr="004C7999" w:rsidRDefault="004E1B50" w:rsidP="009055FB">
            <w:pPr>
              <w:jc w:val="center"/>
              <w:rPr>
                <w:rFonts w:ascii="Times New Roman" w:hAnsi="Times New Roman"/>
                <w:b/>
                <w:sz w:val="24"/>
                <w:szCs w:val="24"/>
              </w:rPr>
            </w:pPr>
            <w:r w:rsidRPr="004C7999">
              <w:rPr>
                <w:rFonts w:ascii="Times New Roman" w:hAnsi="Times New Roman"/>
                <w:b/>
                <w:sz w:val="24"/>
                <w:szCs w:val="24"/>
              </w:rPr>
              <w:t>AIP</w:t>
            </w:r>
          </w:p>
        </w:tc>
        <w:tc>
          <w:tcPr>
            <w:tcW w:w="2551" w:type="dxa"/>
            <w:tcBorders>
              <w:right w:val="single" w:sz="4" w:space="0" w:color="auto"/>
            </w:tcBorders>
          </w:tcPr>
          <w:p w:rsidR="004E1B50" w:rsidRPr="004C7999" w:rsidRDefault="004E1B50" w:rsidP="009055FB">
            <w:pPr>
              <w:jc w:val="center"/>
              <w:rPr>
                <w:rFonts w:ascii="Times New Roman" w:hAnsi="Times New Roman"/>
                <w:b/>
                <w:sz w:val="24"/>
                <w:szCs w:val="24"/>
              </w:rPr>
            </w:pPr>
            <w:r w:rsidRPr="004C7999">
              <w:rPr>
                <w:rFonts w:ascii="Times New Roman" w:hAnsi="Times New Roman"/>
                <w:b/>
                <w:sz w:val="24"/>
                <w:szCs w:val="24"/>
              </w:rPr>
              <w:t>AIC</w:t>
            </w:r>
          </w:p>
        </w:tc>
      </w:tr>
      <w:tr w:rsidR="004E1B50" w:rsidRPr="004C7999" w:rsidTr="004E1B50">
        <w:tc>
          <w:tcPr>
            <w:tcW w:w="9639" w:type="dxa"/>
            <w:gridSpan w:val="4"/>
            <w:tcBorders>
              <w:right w:val="single" w:sz="4" w:space="0" w:color="auto"/>
            </w:tcBorders>
            <w:shd w:val="clear" w:color="auto" w:fill="D9D9D9" w:themeFill="background1" w:themeFillShade="D9"/>
          </w:tcPr>
          <w:p w:rsidR="004E1B50" w:rsidRPr="004C7999" w:rsidRDefault="004E1B50" w:rsidP="009055FB">
            <w:pPr>
              <w:jc w:val="center"/>
              <w:rPr>
                <w:rFonts w:ascii="Times New Roman" w:hAnsi="Times New Roman"/>
                <w:b/>
                <w:sz w:val="24"/>
                <w:szCs w:val="24"/>
              </w:rPr>
            </w:pPr>
            <w:r>
              <w:rPr>
                <w:rFonts w:ascii="Times New Roman" w:hAnsi="Times New Roman"/>
                <w:b/>
                <w:sz w:val="24"/>
                <w:szCs w:val="24"/>
              </w:rPr>
              <w:t>Oficiālais statuss</w:t>
            </w:r>
          </w:p>
        </w:tc>
      </w:tr>
      <w:tr w:rsidR="004E1B50" w:rsidTr="004E1B50">
        <w:tc>
          <w:tcPr>
            <w:tcW w:w="2268" w:type="dxa"/>
          </w:tcPr>
          <w:p w:rsidR="004E1B50" w:rsidRDefault="004E1B50" w:rsidP="009055FB">
            <w:pPr>
              <w:rPr>
                <w:rFonts w:ascii="Times New Roman" w:hAnsi="Times New Roman"/>
                <w:sz w:val="24"/>
                <w:szCs w:val="24"/>
              </w:rPr>
            </w:pPr>
            <w:r>
              <w:rPr>
                <w:rFonts w:ascii="Times New Roman" w:hAnsi="Times New Roman"/>
                <w:sz w:val="24"/>
                <w:szCs w:val="24"/>
              </w:rPr>
              <w:t>Nodibinājums vai atvasināta publiska persona</w:t>
            </w:r>
          </w:p>
          <w:p w:rsidR="004E1B50" w:rsidRDefault="004E1B50" w:rsidP="009055FB">
            <w:pPr>
              <w:rPr>
                <w:rFonts w:ascii="Times New Roman" w:hAnsi="Times New Roman"/>
                <w:sz w:val="24"/>
                <w:szCs w:val="24"/>
              </w:rPr>
            </w:pPr>
            <w:r>
              <w:rPr>
                <w:rFonts w:ascii="Times New Roman" w:hAnsi="Times New Roman"/>
                <w:sz w:val="24"/>
                <w:szCs w:val="24"/>
              </w:rPr>
              <w:t>(būtu noteikts Augstskolu likumā)</w:t>
            </w:r>
          </w:p>
        </w:tc>
        <w:tc>
          <w:tcPr>
            <w:tcW w:w="2552" w:type="dxa"/>
          </w:tcPr>
          <w:p w:rsidR="004E1B50" w:rsidRDefault="004E1B50" w:rsidP="009055FB">
            <w:pPr>
              <w:rPr>
                <w:rFonts w:ascii="Times New Roman" w:hAnsi="Times New Roman"/>
                <w:sz w:val="24"/>
                <w:szCs w:val="24"/>
              </w:rPr>
            </w:pPr>
            <w:r>
              <w:rPr>
                <w:rFonts w:ascii="Times New Roman" w:hAnsi="Times New Roman"/>
                <w:sz w:val="24"/>
                <w:szCs w:val="24"/>
              </w:rPr>
              <w:t>Ministrijas pārraudzībā  esošā iestāde</w:t>
            </w:r>
          </w:p>
          <w:p w:rsidR="004E1B50" w:rsidRDefault="004E1B50" w:rsidP="009055FB">
            <w:pPr>
              <w:rPr>
                <w:rFonts w:ascii="Times New Roman" w:hAnsi="Times New Roman"/>
                <w:sz w:val="24"/>
                <w:szCs w:val="24"/>
              </w:rPr>
            </w:pPr>
            <w:r>
              <w:rPr>
                <w:rFonts w:ascii="Times New Roman" w:hAnsi="Times New Roman"/>
                <w:sz w:val="24"/>
                <w:szCs w:val="24"/>
              </w:rPr>
              <w:t>(Izglītības likuma 20.pants)</w:t>
            </w:r>
          </w:p>
          <w:p w:rsidR="004E1B50" w:rsidRDefault="004E1B50" w:rsidP="009055FB">
            <w:pPr>
              <w:rPr>
                <w:rFonts w:ascii="Times New Roman" w:hAnsi="Times New Roman"/>
                <w:sz w:val="24"/>
                <w:szCs w:val="24"/>
              </w:rPr>
            </w:pPr>
          </w:p>
        </w:tc>
        <w:tc>
          <w:tcPr>
            <w:tcW w:w="2268" w:type="dxa"/>
          </w:tcPr>
          <w:p w:rsidR="004E1B50" w:rsidRDefault="004E1B50" w:rsidP="009055FB">
            <w:pPr>
              <w:rPr>
                <w:rFonts w:ascii="Times New Roman" w:hAnsi="Times New Roman"/>
                <w:sz w:val="24"/>
                <w:szCs w:val="24"/>
              </w:rPr>
            </w:pPr>
            <w:r>
              <w:rPr>
                <w:rFonts w:ascii="Times New Roman" w:hAnsi="Times New Roman"/>
                <w:sz w:val="24"/>
                <w:szCs w:val="24"/>
              </w:rPr>
              <w:t>Juridiskā persona</w:t>
            </w:r>
          </w:p>
          <w:p w:rsidR="004E1B50" w:rsidRDefault="004E1B50" w:rsidP="009055FB">
            <w:pPr>
              <w:rPr>
                <w:rFonts w:ascii="Times New Roman" w:hAnsi="Times New Roman"/>
                <w:sz w:val="24"/>
                <w:szCs w:val="24"/>
              </w:rPr>
            </w:pPr>
            <w:r>
              <w:rPr>
                <w:rFonts w:ascii="Times New Roman" w:hAnsi="Times New Roman"/>
                <w:sz w:val="24"/>
                <w:szCs w:val="24"/>
              </w:rPr>
              <w:t>(Augstskolu likuma 65.pants)</w:t>
            </w:r>
          </w:p>
        </w:tc>
        <w:tc>
          <w:tcPr>
            <w:tcW w:w="2551" w:type="dxa"/>
          </w:tcPr>
          <w:p w:rsidR="004E1B50" w:rsidRDefault="004E1B50" w:rsidP="009055FB">
            <w:pPr>
              <w:rPr>
                <w:rFonts w:ascii="Times New Roman" w:hAnsi="Times New Roman"/>
                <w:sz w:val="24"/>
                <w:szCs w:val="24"/>
              </w:rPr>
            </w:pPr>
            <w:r>
              <w:rPr>
                <w:rFonts w:ascii="Times New Roman" w:hAnsi="Times New Roman"/>
                <w:sz w:val="24"/>
                <w:szCs w:val="24"/>
              </w:rPr>
              <w:t>Nodibinājums</w:t>
            </w:r>
          </w:p>
          <w:p w:rsidR="004E1B50" w:rsidRDefault="004E1B50" w:rsidP="009055FB">
            <w:pPr>
              <w:rPr>
                <w:rFonts w:ascii="Times New Roman" w:hAnsi="Times New Roman"/>
                <w:sz w:val="24"/>
                <w:szCs w:val="24"/>
              </w:rPr>
            </w:pPr>
            <w:r>
              <w:rPr>
                <w:rFonts w:ascii="Times New Roman" w:hAnsi="Times New Roman"/>
                <w:sz w:val="24"/>
                <w:szCs w:val="24"/>
              </w:rPr>
              <w:t>M</w:t>
            </w:r>
            <w:r w:rsidRPr="004C7999">
              <w:rPr>
                <w:rFonts w:ascii="Times New Roman" w:hAnsi="Times New Roman"/>
                <w:sz w:val="24"/>
                <w:szCs w:val="24"/>
              </w:rPr>
              <w:t>inistrijas dibināta institūcija</w:t>
            </w:r>
            <w:r>
              <w:rPr>
                <w:rFonts w:ascii="Times New Roman" w:hAnsi="Times New Roman"/>
                <w:sz w:val="24"/>
                <w:szCs w:val="24"/>
              </w:rPr>
              <w:t xml:space="preserve"> (Izglītības likuma </w:t>
            </w:r>
            <w:r w:rsidRPr="004C7999">
              <w:rPr>
                <w:rFonts w:ascii="Times New Roman" w:hAnsi="Times New Roman"/>
                <w:sz w:val="24"/>
                <w:szCs w:val="24"/>
              </w:rPr>
              <w:t>11.</w:t>
            </w:r>
            <w:r w:rsidRPr="004C7999">
              <w:rPr>
                <w:rFonts w:ascii="Times New Roman" w:hAnsi="Times New Roman"/>
                <w:sz w:val="24"/>
                <w:szCs w:val="24"/>
                <w:vertAlign w:val="superscript"/>
              </w:rPr>
              <w:t>1</w:t>
            </w:r>
            <w:r w:rsidRPr="004C7999">
              <w:rPr>
                <w:rFonts w:ascii="Times New Roman" w:hAnsi="Times New Roman"/>
                <w:sz w:val="24"/>
                <w:szCs w:val="24"/>
              </w:rPr>
              <w:t xml:space="preserve"> pants</w:t>
            </w:r>
            <w:r>
              <w:rPr>
                <w:rFonts w:ascii="Times New Roman" w:hAnsi="Times New Roman"/>
                <w:sz w:val="24"/>
                <w:szCs w:val="24"/>
              </w:rPr>
              <w:t>)</w:t>
            </w:r>
          </w:p>
        </w:tc>
      </w:tr>
      <w:tr w:rsidR="004E1B50" w:rsidTr="004E1B50">
        <w:tc>
          <w:tcPr>
            <w:tcW w:w="9639" w:type="dxa"/>
            <w:gridSpan w:val="4"/>
            <w:shd w:val="clear" w:color="auto" w:fill="D9D9D9" w:themeFill="background1" w:themeFillShade="D9"/>
          </w:tcPr>
          <w:p w:rsidR="004E1B50" w:rsidRPr="004E1B50" w:rsidRDefault="004E1B50" w:rsidP="009055FB">
            <w:pPr>
              <w:jc w:val="center"/>
              <w:rPr>
                <w:rFonts w:ascii="Times New Roman" w:hAnsi="Times New Roman"/>
                <w:b/>
                <w:sz w:val="24"/>
                <w:szCs w:val="24"/>
              </w:rPr>
            </w:pPr>
            <w:r w:rsidRPr="004E1B50">
              <w:rPr>
                <w:rFonts w:ascii="Times New Roman" w:hAnsi="Times New Roman"/>
                <w:b/>
                <w:sz w:val="24"/>
                <w:szCs w:val="24"/>
              </w:rPr>
              <w:t>Pieredze kvalitātes novērtēšanas organizēšanā</w:t>
            </w:r>
          </w:p>
        </w:tc>
      </w:tr>
      <w:tr w:rsidR="004E1B50" w:rsidTr="004E1B50">
        <w:tc>
          <w:tcPr>
            <w:tcW w:w="2268" w:type="dxa"/>
          </w:tcPr>
          <w:p w:rsidR="004E1B50" w:rsidRDefault="004E1B50" w:rsidP="009055FB">
            <w:pPr>
              <w:rPr>
                <w:rFonts w:ascii="Times New Roman" w:hAnsi="Times New Roman"/>
                <w:sz w:val="24"/>
                <w:szCs w:val="24"/>
              </w:rPr>
            </w:pPr>
            <w:r>
              <w:rPr>
                <w:rFonts w:ascii="Times New Roman" w:hAnsi="Times New Roman"/>
                <w:sz w:val="24"/>
                <w:szCs w:val="24"/>
              </w:rPr>
              <w:t>NAV</w:t>
            </w:r>
          </w:p>
        </w:tc>
        <w:tc>
          <w:tcPr>
            <w:tcW w:w="2552" w:type="dxa"/>
          </w:tcPr>
          <w:p w:rsidR="004E1B50" w:rsidRDefault="004E1B50" w:rsidP="009055FB">
            <w:pPr>
              <w:rPr>
                <w:rFonts w:ascii="Times New Roman" w:hAnsi="Times New Roman"/>
                <w:sz w:val="24"/>
                <w:szCs w:val="24"/>
              </w:rPr>
            </w:pPr>
            <w:r>
              <w:rPr>
                <w:rFonts w:ascii="Times New Roman" w:hAnsi="Times New Roman"/>
                <w:sz w:val="24"/>
                <w:szCs w:val="24"/>
              </w:rPr>
              <w:t xml:space="preserve">NAV </w:t>
            </w:r>
          </w:p>
          <w:p w:rsidR="004E1B50" w:rsidRDefault="004E1B50" w:rsidP="009055FB">
            <w:pPr>
              <w:rPr>
                <w:rFonts w:ascii="Times New Roman" w:hAnsi="Times New Roman"/>
                <w:sz w:val="24"/>
                <w:szCs w:val="24"/>
              </w:rPr>
            </w:pPr>
            <w:r>
              <w:rPr>
                <w:rFonts w:ascii="Times New Roman" w:hAnsi="Times New Roman"/>
                <w:sz w:val="26"/>
                <w:szCs w:val="26"/>
              </w:rPr>
              <w:t xml:space="preserve">Ir pieredze </w:t>
            </w:r>
            <w:r w:rsidRPr="00A06EE5">
              <w:rPr>
                <w:rFonts w:ascii="Times New Roman" w:hAnsi="Times New Roman"/>
                <w:sz w:val="26"/>
                <w:szCs w:val="26"/>
              </w:rPr>
              <w:t>vispārējās un profe</w:t>
            </w:r>
            <w:r>
              <w:rPr>
                <w:rFonts w:ascii="Times New Roman" w:hAnsi="Times New Roman"/>
                <w:sz w:val="26"/>
                <w:szCs w:val="26"/>
              </w:rPr>
              <w:t>sionālās izglītības akreditācijā</w:t>
            </w:r>
          </w:p>
          <w:p w:rsidR="004E1B50" w:rsidRDefault="004E1B50" w:rsidP="009055FB">
            <w:pPr>
              <w:rPr>
                <w:rFonts w:ascii="Times New Roman" w:hAnsi="Times New Roman"/>
                <w:sz w:val="24"/>
                <w:szCs w:val="24"/>
              </w:rPr>
            </w:pPr>
          </w:p>
        </w:tc>
        <w:tc>
          <w:tcPr>
            <w:tcW w:w="2268" w:type="dxa"/>
          </w:tcPr>
          <w:p w:rsidR="004E1B50" w:rsidRDefault="004E1B50" w:rsidP="009055FB">
            <w:pPr>
              <w:rPr>
                <w:rFonts w:ascii="Times New Roman" w:hAnsi="Times New Roman"/>
                <w:sz w:val="24"/>
                <w:szCs w:val="24"/>
              </w:rPr>
            </w:pPr>
            <w:r>
              <w:rPr>
                <w:rFonts w:ascii="Times New Roman" w:hAnsi="Times New Roman"/>
                <w:sz w:val="24"/>
                <w:szCs w:val="24"/>
              </w:rPr>
              <w:lastRenderedPageBreak/>
              <w:t>NAV</w:t>
            </w:r>
          </w:p>
          <w:p w:rsidR="004E1B50" w:rsidRDefault="004E1B50" w:rsidP="009055FB">
            <w:pPr>
              <w:rPr>
                <w:rFonts w:ascii="Times New Roman" w:hAnsi="Times New Roman"/>
                <w:sz w:val="24"/>
                <w:szCs w:val="24"/>
              </w:rPr>
            </w:pPr>
            <w:r>
              <w:rPr>
                <w:rFonts w:ascii="Times New Roman" w:hAnsi="Times New Roman"/>
                <w:sz w:val="24"/>
                <w:szCs w:val="24"/>
              </w:rPr>
              <w:t>Pieņem lēmumu par augstskolu akreditāciju</w:t>
            </w:r>
          </w:p>
        </w:tc>
        <w:tc>
          <w:tcPr>
            <w:tcW w:w="2551" w:type="dxa"/>
          </w:tcPr>
          <w:p w:rsidR="004E1B50" w:rsidRDefault="004E1B50" w:rsidP="009055FB">
            <w:pPr>
              <w:rPr>
                <w:rFonts w:ascii="Times New Roman" w:hAnsi="Times New Roman"/>
                <w:sz w:val="24"/>
                <w:szCs w:val="24"/>
              </w:rPr>
            </w:pPr>
            <w:r>
              <w:rPr>
                <w:rFonts w:ascii="Times New Roman" w:hAnsi="Times New Roman"/>
                <w:sz w:val="24"/>
                <w:szCs w:val="24"/>
              </w:rPr>
              <w:t>NAV</w:t>
            </w:r>
          </w:p>
          <w:p w:rsidR="004E1B50" w:rsidRDefault="004E1B50" w:rsidP="009055FB">
            <w:pPr>
              <w:rPr>
                <w:rFonts w:ascii="Times New Roman" w:hAnsi="Times New Roman"/>
                <w:sz w:val="24"/>
                <w:szCs w:val="24"/>
              </w:rPr>
            </w:pPr>
            <w:r>
              <w:rPr>
                <w:rFonts w:ascii="Times New Roman" w:hAnsi="Times New Roman"/>
                <w:sz w:val="24"/>
                <w:szCs w:val="24"/>
              </w:rPr>
              <w:t>Veic ekspertīzi ārvalstīs iegūto akadēmisko grādu apliecinošu dokumentu.</w:t>
            </w:r>
          </w:p>
        </w:tc>
      </w:tr>
      <w:tr w:rsidR="004E1B50" w:rsidTr="004E1B50">
        <w:tc>
          <w:tcPr>
            <w:tcW w:w="9639" w:type="dxa"/>
            <w:gridSpan w:val="4"/>
            <w:shd w:val="clear" w:color="auto" w:fill="D9D9D9" w:themeFill="background1" w:themeFillShade="D9"/>
          </w:tcPr>
          <w:p w:rsidR="004E1B50" w:rsidRPr="004E1B50" w:rsidRDefault="004E1B50" w:rsidP="009055FB">
            <w:pPr>
              <w:jc w:val="center"/>
              <w:rPr>
                <w:rFonts w:ascii="Times New Roman" w:hAnsi="Times New Roman"/>
                <w:b/>
                <w:sz w:val="24"/>
                <w:szCs w:val="24"/>
              </w:rPr>
            </w:pPr>
            <w:r w:rsidRPr="004E1B50">
              <w:rPr>
                <w:rFonts w:ascii="Times New Roman" w:hAnsi="Times New Roman"/>
                <w:b/>
                <w:sz w:val="24"/>
                <w:szCs w:val="24"/>
              </w:rPr>
              <w:lastRenderedPageBreak/>
              <w:t>Atbilstība ESG vadlīnijām</w:t>
            </w:r>
          </w:p>
        </w:tc>
      </w:tr>
      <w:tr w:rsidR="004E1B50" w:rsidTr="004E1B50">
        <w:tc>
          <w:tcPr>
            <w:tcW w:w="2268" w:type="dxa"/>
          </w:tcPr>
          <w:p w:rsidR="004E1B50" w:rsidRDefault="004E1B50" w:rsidP="009055FB">
            <w:pPr>
              <w:rPr>
                <w:rFonts w:ascii="Times New Roman" w:hAnsi="Times New Roman"/>
                <w:sz w:val="24"/>
                <w:szCs w:val="24"/>
              </w:rPr>
            </w:pPr>
            <w:r>
              <w:rPr>
                <w:rFonts w:ascii="Times New Roman" w:hAnsi="Times New Roman"/>
                <w:sz w:val="24"/>
                <w:szCs w:val="24"/>
              </w:rPr>
              <w:t>ATBILST</w:t>
            </w:r>
          </w:p>
          <w:p w:rsidR="004E1B50" w:rsidRDefault="004E1B50" w:rsidP="009055FB">
            <w:pPr>
              <w:rPr>
                <w:rFonts w:ascii="Times New Roman" w:hAnsi="Times New Roman"/>
                <w:sz w:val="24"/>
                <w:szCs w:val="24"/>
              </w:rPr>
            </w:pPr>
            <w:r>
              <w:rPr>
                <w:rFonts w:ascii="Times New Roman" w:hAnsi="Times New Roman"/>
                <w:sz w:val="24"/>
                <w:szCs w:val="24"/>
              </w:rPr>
              <w:t>Institūcijas izveidošanas procesā tiktu ievērotas ESG vadlīnijas</w:t>
            </w:r>
          </w:p>
        </w:tc>
        <w:tc>
          <w:tcPr>
            <w:tcW w:w="2552" w:type="dxa"/>
          </w:tcPr>
          <w:p w:rsidR="004E1B50" w:rsidRDefault="004E1B50" w:rsidP="009055FB">
            <w:pPr>
              <w:rPr>
                <w:rFonts w:ascii="Times New Roman" w:hAnsi="Times New Roman"/>
                <w:sz w:val="24"/>
                <w:szCs w:val="24"/>
              </w:rPr>
            </w:pPr>
            <w:r>
              <w:rPr>
                <w:rFonts w:ascii="Times New Roman" w:hAnsi="Times New Roman"/>
                <w:sz w:val="24"/>
                <w:szCs w:val="24"/>
              </w:rPr>
              <w:t>NEATBILST</w:t>
            </w:r>
          </w:p>
          <w:p w:rsidR="004E1B50" w:rsidRDefault="004E1B50" w:rsidP="009055FB">
            <w:pPr>
              <w:rPr>
                <w:rFonts w:ascii="Times New Roman" w:hAnsi="Times New Roman"/>
                <w:sz w:val="24"/>
                <w:szCs w:val="24"/>
              </w:rPr>
            </w:pPr>
            <w:r>
              <w:rPr>
                <w:rFonts w:ascii="Times New Roman" w:hAnsi="Times New Roman"/>
                <w:sz w:val="24"/>
                <w:szCs w:val="24"/>
              </w:rPr>
              <w:t xml:space="preserve">ESG 3.2. </w:t>
            </w:r>
          </w:p>
          <w:p w:rsidR="004E1B50" w:rsidRDefault="004E1B50" w:rsidP="009055FB">
            <w:pPr>
              <w:rPr>
                <w:rFonts w:ascii="Times New Roman" w:hAnsi="Times New Roman"/>
                <w:sz w:val="24"/>
                <w:szCs w:val="24"/>
              </w:rPr>
            </w:pPr>
            <w:r>
              <w:rPr>
                <w:rFonts w:ascii="Times New Roman" w:hAnsi="Times New Roman"/>
                <w:sz w:val="24"/>
                <w:szCs w:val="24"/>
              </w:rPr>
              <w:t>ESG 3.3.</w:t>
            </w:r>
          </w:p>
          <w:p w:rsidR="004E1B50" w:rsidRDefault="004E1B50" w:rsidP="009055FB">
            <w:pPr>
              <w:rPr>
                <w:rFonts w:ascii="Times New Roman" w:hAnsi="Times New Roman"/>
                <w:sz w:val="24"/>
                <w:szCs w:val="24"/>
              </w:rPr>
            </w:pPr>
            <w:r>
              <w:rPr>
                <w:rFonts w:ascii="Times New Roman" w:hAnsi="Times New Roman"/>
                <w:sz w:val="24"/>
                <w:szCs w:val="24"/>
              </w:rPr>
              <w:t>ESG 3.4.</w:t>
            </w:r>
          </w:p>
          <w:p w:rsidR="004E1B50" w:rsidRDefault="004E1B50" w:rsidP="009055FB">
            <w:pPr>
              <w:rPr>
                <w:rFonts w:ascii="Times New Roman" w:hAnsi="Times New Roman"/>
                <w:sz w:val="24"/>
                <w:szCs w:val="24"/>
              </w:rPr>
            </w:pPr>
            <w:r>
              <w:rPr>
                <w:rFonts w:ascii="Times New Roman" w:hAnsi="Times New Roman"/>
                <w:sz w:val="24"/>
                <w:szCs w:val="24"/>
              </w:rPr>
              <w:t>ESG 3.5.</w:t>
            </w:r>
          </w:p>
          <w:p w:rsidR="004E1B50" w:rsidRDefault="004E1B50" w:rsidP="009055FB">
            <w:pPr>
              <w:rPr>
                <w:rFonts w:ascii="Times New Roman" w:hAnsi="Times New Roman"/>
                <w:sz w:val="24"/>
                <w:szCs w:val="24"/>
              </w:rPr>
            </w:pPr>
            <w:r>
              <w:rPr>
                <w:rFonts w:ascii="Times New Roman" w:hAnsi="Times New Roman"/>
                <w:sz w:val="24"/>
                <w:szCs w:val="24"/>
              </w:rPr>
              <w:t>ESG 3.6.</w:t>
            </w:r>
          </w:p>
          <w:p w:rsidR="004E1B50" w:rsidRDefault="004E1B50" w:rsidP="009055FB">
            <w:pPr>
              <w:rPr>
                <w:rFonts w:ascii="Times New Roman" w:hAnsi="Times New Roman"/>
                <w:sz w:val="24"/>
                <w:szCs w:val="24"/>
              </w:rPr>
            </w:pPr>
            <w:r>
              <w:rPr>
                <w:rFonts w:ascii="Times New Roman" w:hAnsi="Times New Roman"/>
                <w:sz w:val="24"/>
                <w:szCs w:val="24"/>
              </w:rPr>
              <w:t>ESG 3.8.</w:t>
            </w:r>
          </w:p>
          <w:p w:rsidR="004E1B50" w:rsidRPr="00616F2B" w:rsidRDefault="004E1B50" w:rsidP="009055FB">
            <w:pPr>
              <w:rPr>
                <w:rFonts w:ascii="Times New Roman" w:hAnsi="Times New Roman"/>
                <w:b/>
                <w:sz w:val="24"/>
                <w:szCs w:val="24"/>
              </w:rPr>
            </w:pPr>
            <w:r w:rsidRPr="00616F2B">
              <w:rPr>
                <w:rFonts w:ascii="Times New Roman" w:hAnsi="Times New Roman"/>
                <w:b/>
                <w:sz w:val="24"/>
                <w:szCs w:val="24"/>
              </w:rPr>
              <w:t>Galvenie trūkumi:</w:t>
            </w:r>
          </w:p>
          <w:p w:rsidR="004E1B50" w:rsidRDefault="004E1B50" w:rsidP="009055FB">
            <w:pPr>
              <w:pStyle w:val="ListParagraph"/>
              <w:numPr>
                <w:ilvl w:val="0"/>
                <w:numId w:val="22"/>
              </w:numPr>
              <w:ind w:left="284" w:hanging="284"/>
              <w:rPr>
                <w:rFonts w:ascii="Times New Roman" w:hAnsi="Times New Roman"/>
                <w:sz w:val="24"/>
                <w:szCs w:val="24"/>
              </w:rPr>
            </w:pPr>
            <w:r w:rsidRPr="00616F2B">
              <w:rPr>
                <w:rFonts w:ascii="Times New Roman" w:hAnsi="Times New Roman"/>
                <w:sz w:val="24"/>
                <w:szCs w:val="24"/>
              </w:rPr>
              <w:t>Oficiālais statuss un neatkarības nodrošināšana</w:t>
            </w:r>
          </w:p>
          <w:p w:rsidR="004E1B50" w:rsidRDefault="004E1B50" w:rsidP="009055FB">
            <w:pPr>
              <w:pStyle w:val="ListParagraph"/>
              <w:numPr>
                <w:ilvl w:val="0"/>
                <w:numId w:val="22"/>
              </w:numPr>
              <w:ind w:left="284" w:hanging="284"/>
              <w:rPr>
                <w:rFonts w:ascii="Times New Roman" w:hAnsi="Times New Roman"/>
                <w:sz w:val="24"/>
                <w:szCs w:val="24"/>
              </w:rPr>
            </w:pPr>
            <w:r>
              <w:rPr>
                <w:rFonts w:ascii="Times New Roman" w:hAnsi="Times New Roman"/>
                <w:sz w:val="24"/>
                <w:szCs w:val="24"/>
              </w:rPr>
              <w:t>Darbība un misijas formulējums, kas nosaka, ka kvalitātes nodrošināšanas process ir institūcijas galvenā darbības joma.</w:t>
            </w:r>
          </w:p>
        </w:tc>
        <w:tc>
          <w:tcPr>
            <w:tcW w:w="2268" w:type="dxa"/>
          </w:tcPr>
          <w:p w:rsidR="004E1B50" w:rsidRDefault="004E1B50" w:rsidP="009055FB">
            <w:pPr>
              <w:rPr>
                <w:rFonts w:ascii="Times New Roman" w:hAnsi="Times New Roman"/>
                <w:sz w:val="24"/>
                <w:szCs w:val="24"/>
              </w:rPr>
            </w:pPr>
            <w:r>
              <w:rPr>
                <w:rFonts w:ascii="Times New Roman" w:hAnsi="Times New Roman"/>
                <w:sz w:val="24"/>
                <w:szCs w:val="24"/>
              </w:rPr>
              <w:t>NEATBILST</w:t>
            </w:r>
          </w:p>
          <w:p w:rsidR="004E1B50" w:rsidRDefault="004E1B50" w:rsidP="009055FB">
            <w:pPr>
              <w:rPr>
                <w:rFonts w:ascii="Times New Roman" w:hAnsi="Times New Roman"/>
                <w:sz w:val="24"/>
                <w:szCs w:val="24"/>
              </w:rPr>
            </w:pPr>
            <w:r>
              <w:rPr>
                <w:rFonts w:ascii="Times New Roman" w:hAnsi="Times New Roman"/>
                <w:sz w:val="24"/>
                <w:szCs w:val="24"/>
              </w:rPr>
              <w:t xml:space="preserve">ESG 3.2. </w:t>
            </w:r>
          </w:p>
          <w:p w:rsidR="004E1B50" w:rsidRDefault="004E1B50" w:rsidP="009055FB">
            <w:pPr>
              <w:rPr>
                <w:rFonts w:ascii="Times New Roman" w:hAnsi="Times New Roman"/>
                <w:sz w:val="24"/>
                <w:szCs w:val="24"/>
              </w:rPr>
            </w:pPr>
            <w:r>
              <w:rPr>
                <w:rFonts w:ascii="Times New Roman" w:hAnsi="Times New Roman"/>
                <w:sz w:val="24"/>
                <w:szCs w:val="24"/>
              </w:rPr>
              <w:t>ESG 3.4.</w:t>
            </w:r>
          </w:p>
          <w:p w:rsidR="004E1B50" w:rsidRDefault="004E1B50" w:rsidP="009055FB">
            <w:pPr>
              <w:rPr>
                <w:rFonts w:ascii="Times New Roman" w:hAnsi="Times New Roman"/>
                <w:sz w:val="24"/>
                <w:szCs w:val="24"/>
              </w:rPr>
            </w:pPr>
            <w:r>
              <w:rPr>
                <w:rFonts w:ascii="Times New Roman" w:hAnsi="Times New Roman"/>
                <w:sz w:val="24"/>
                <w:szCs w:val="24"/>
              </w:rPr>
              <w:t>ESG 3.5.</w:t>
            </w:r>
          </w:p>
          <w:p w:rsidR="004E1B50" w:rsidRDefault="004E1B50" w:rsidP="009055FB">
            <w:pPr>
              <w:rPr>
                <w:rFonts w:ascii="Times New Roman" w:hAnsi="Times New Roman"/>
                <w:sz w:val="24"/>
                <w:szCs w:val="24"/>
              </w:rPr>
            </w:pPr>
            <w:r>
              <w:rPr>
                <w:rFonts w:ascii="Times New Roman" w:hAnsi="Times New Roman"/>
                <w:sz w:val="24"/>
                <w:szCs w:val="24"/>
              </w:rPr>
              <w:t>ESG 3.8.</w:t>
            </w:r>
          </w:p>
          <w:p w:rsidR="004E1B50" w:rsidRPr="006606EA" w:rsidRDefault="004E1B50" w:rsidP="009055FB">
            <w:pPr>
              <w:rPr>
                <w:rFonts w:ascii="Times New Roman" w:hAnsi="Times New Roman"/>
                <w:b/>
                <w:sz w:val="24"/>
                <w:szCs w:val="24"/>
              </w:rPr>
            </w:pPr>
            <w:r w:rsidRPr="006606EA">
              <w:rPr>
                <w:rFonts w:ascii="Times New Roman" w:hAnsi="Times New Roman"/>
                <w:b/>
                <w:sz w:val="24"/>
                <w:szCs w:val="24"/>
              </w:rPr>
              <w:t>Galvenie trūkumi:</w:t>
            </w:r>
          </w:p>
          <w:p w:rsidR="004E1B50" w:rsidRPr="00616F2B" w:rsidRDefault="004E1B50" w:rsidP="009055FB">
            <w:pPr>
              <w:pStyle w:val="ListParagraph"/>
              <w:numPr>
                <w:ilvl w:val="0"/>
                <w:numId w:val="22"/>
              </w:numPr>
              <w:ind w:left="284" w:hanging="284"/>
              <w:rPr>
                <w:rFonts w:ascii="Times New Roman" w:hAnsi="Times New Roman"/>
                <w:sz w:val="24"/>
                <w:szCs w:val="24"/>
              </w:rPr>
            </w:pPr>
            <w:r>
              <w:rPr>
                <w:rFonts w:ascii="Times New Roman" w:hAnsi="Times New Roman"/>
                <w:sz w:val="24"/>
                <w:szCs w:val="24"/>
              </w:rPr>
              <w:t>Darbība un misijas formulējums, kas nosaka, ka kvalitātes nodrošināšanas process ir institūcijas galvenā darbības joma.</w:t>
            </w:r>
          </w:p>
          <w:p w:rsidR="004E1B50" w:rsidRPr="00A6752B" w:rsidRDefault="004E1B50" w:rsidP="009055FB">
            <w:pPr>
              <w:pStyle w:val="ListParagraph"/>
              <w:rPr>
                <w:rFonts w:ascii="Times New Roman" w:hAnsi="Times New Roman"/>
                <w:sz w:val="24"/>
                <w:szCs w:val="24"/>
              </w:rPr>
            </w:pPr>
          </w:p>
        </w:tc>
        <w:tc>
          <w:tcPr>
            <w:tcW w:w="2551" w:type="dxa"/>
          </w:tcPr>
          <w:p w:rsidR="004E1B50" w:rsidRDefault="004E1B50" w:rsidP="009055FB">
            <w:pPr>
              <w:rPr>
                <w:rFonts w:ascii="Times New Roman" w:hAnsi="Times New Roman"/>
                <w:sz w:val="24"/>
                <w:szCs w:val="24"/>
              </w:rPr>
            </w:pPr>
            <w:r>
              <w:rPr>
                <w:rFonts w:ascii="Times New Roman" w:hAnsi="Times New Roman"/>
                <w:sz w:val="24"/>
                <w:szCs w:val="24"/>
              </w:rPr>
              <w:t>NEATBILST</w:t>
            </w:r>
          </w:p>
          <w:p w:rsidR="004E1B50" w:rsidRDefault="004E1B50" w:rsidP="009055FB">
            <w:pPr>
              <w:rPr>
                <w:rFonts w:ascii="Times New Roman" w:hAnsi="Times New Roman"/>
                <w:sz w:val="24"/>
                <w:szCs w:val="24"/>
              </w:rPr>
            </w:pPr>
            <w:r>
              <w:rPr>
                <w:rFonts w:ascii="Times New Roman" w:hAnsi="Times New Roman"/>
                <w:sz w:val="24"/>
                <w:szCs w:val="24"/>
              </w:rPr>
              <w:t xml:space="preserve">ESG 3.2. </w:t>
            </w:r>
          </w:p>
          <w:p w:rsidR="004E1B50" w:rsidRDefault="004E1B50" w:rsidP="009055FB">
            <w:pPr>
              <w:rPr>
                <w:rFonts w:ascii="Times New Roman" w:hAnsi="Times New Roman"/>
                <w:sz w:val="24"/>
                <w:szCs w:val="24"/>
              </w:rPr>
            </w:pPr>
            <w:r>
              <w:rPr>
                <w:rFonts w:ascii="Times New Roman" w:hAnsi="Times New Roman"/>
                <w:sz w:val="24"/>
                <w:szCs w:val="24"/>
              </w:rPr>
              <w:t>ESG 3.3.</w:t>
            </w:r>
          </w:p>
          <w:p w:rsidR="004E1B50" w:rsidRDefault="004E1B50" w:rsidP="009055FB">
            <w:pPr>
              <w:rPr>
                <w:rFonts w:ascii="Times New Roman" w:hAnsi="Times New Roman"/>
                <w:sz w:val="24"/>
                <w:szCs w:val="24"/>
              </w:rPr>
            </w:pPr>
            <w:r>
              <w:rPr>
                <w:rFonts w:ascii="Times New Roman" w:hAnsi="Times New Roman"/>
                <w:sz w:val="24"/>
                <w:szCs w:val="24"/>
              </w:rPr>
              <w:t>ESG 3.4.</w:t>
            </w:r>
          </w:p>
          <w:p w:rsidR="004E1B50" w:rsidRDefault="004E1B50" w:rsidP="009055FB">
            <w:pPr>
              <w:rPr>
                <w:rFonts w:ascii="Times New Roman" w:hAnsi="Times New Roman"/>
                <w:sz w:val="24"/>
                <w:szCs w:val="24"/>
              </w:rPr>
            </w:pPr>
            <w:r>
              <w:rPr>
                <w:rFonts w:ascii="Times New Roman" w:hAnsi="Times New Roman"/>
                <w:sz w:val="24"/>
                <w:szCs w:val="24"/>
              </w:rPr>
              <w:t>ESG 3.5.</w:t>
            </w:r>
          </w:p>
          <w:p w:rsidR="004E1B50" w:rsidRDefault="004E1B50" w:rsidP="009055FB">
            <w:pPr>
              <w:rPr>
                <w:rFonts w:ascii="Times New Roman" w:hAnsi="Times New Roman"/>
                <w:sz w:val="24"/>
                <w:szCs w:val="24"/>
              </w:rPr>
            </w:pPr>
            <w:r>
              <w:rPr>
                <w:rFonts w:ascii="Times New Roman" w:hAnsi="Times New Roman"/>
                <w:sz w:val="24"/>
                <w:szCs w:val="24"/>
              </w:rPr>
              <w:t>ESG 3.8.</w:t>
            </w:r>
          </w:p>
          <w:p w:rsidR="004E1B50" w:rsidRDefault="004E1B50" w:rsidP="009055FB">
            <w:pPr>
              <w:rPr>
                <w:rFonts w:ascii="Times New Roman" w:hAnsi="Times New Roman"/>
                <w:sz w:val="24"/>
                <w:szCs w:val="24"/>
              </w:rPr>
            </w:pPr>
            <w:r>
              <w:rPr>
                <w:rFonts w:ascii="Times New Roman" w:hAnsi="Times New Roman"/>
                <w:sz w:val="24"/>
                <w:szCs w:val="24"/>
              </w:rPr>
              <w:t>Jo šobrīd kvalitātes nodrošināšanas funkcijas nav deleģētas.</w:t>
            </w:r>
          </w:p>
          <w:p w:rsidR="004E1B50" w:rsidRPr="005E6DF2" w:rsidRDefault="004E1B50" w:rsidP="009055FB">
            <w:pPr>
              <w:rPr>
                <w:rFonts w:ascii="Times New Roman" w:hAnsi="Times New Roman"/>
                <w:b/>
                <w:sz w:val="24"/>
                <w:szCs w:val="24"/>
              </w:rPr>
            </w:pPr>
            <w:r w:rsidRPr="005E6DF2">
              <w:rPr>
                <w:rFonts w:ascii="Times New Roman" w:hAnsi="Times New Roman"/>
                <w:b/>
                <w:sz w:val="24"/>
                <w:szCs w:val="24"/>
              </w:rPr>
              <w:t>Izveidojot kvalitātes nodrošināšanas struktūrvienību/</w:t>
            </w:r>
            <w:r>
              <w:rPr>
                <w:rFonts w:ascii="Times New Roman" w:hAnsi="Times New Roman"/>
                <w:b/>
                <w:sz w:val="24"/>
                <w:szCs w:val="24"/>
              </w:rPr>
              <w:t xml:space="preserve"> </w:t>
            </w:r>
            <w:r w:rsidRPr="005E6DF2">
              <w:rPr>
                <w:rFonts w:ascii="Times New Roman" w:hAnsi="Times New Roman"/>
                <w:b/>
                <w:sz w:val="24"/>
                <w:szCs w:val="24"/>
              </w:rPr>
              <w:t xml:space="preserve">nodaļu, varētu </w:t>
            </w:r>
            <w:r w:rsidR="00684F09">
              <w:rPr>
                <w:rFonts w:ascii="Times New Roman" w:hAnsi="Times New Roman"/>
                <w:b/>
                <w:sz w:val="24"/>
                <w:szCs w:val="24"/>
              </w:rPr>
              <w:t xml:space="preserve">pilnībā </w:t>
            </w:r>
            <w:r w:rsidRPr="005E6DF2">
              <w:rPr>
                <w:rFonts w:ascii="Times New Roman" w:hAnsi="Times New Roman"/>
                <w:b/>
                <w:sz w:val="24"/>
                <w:szCs w:val="24"/>
              </w:rPr>
              <w:t>atbilst</w:t>
            </w:r>
            <w:r>
              <w:rPr>
                <w:rFonts w:ascii="Times New Roman" w:hAnsi="Times New Roman"/>
                <w:b/>
                <w:sz w:val="24"/>
                <w:szCs w:val="24"/>
              </w:rPr>
              <w:t>.</w:t>
            </w:r>
          </w:p>
        </w:tc>
      </w:tr>
      <w:tr w:rsidR="004E1B50" w:rsidTr="004E1B50">
        <w:tc>
          <w:tcPr>
            <w:tcW w:w="9639" w:type="dxa"/>
            <w:gridSpan w:val="4"/>
            <w:shd w:val="clear" w:color="auto" w:fill="D9D9D9" w:themeFill="background1" w:themeFillShade="D9"/>
          </w:tcPr>
          <w:p w:rsidR="004E1B50" w:rsidRPr="004E1B50" w:rsidRDefault="004E1B50" w:rsidP="009055FB">
            <w:pPr>
              <w:jc w:val="center"/>
              <w:rPr>
                <w:rFonts w:ascii="Times New Roman" w:hAnsi="Times New Roman"/>
                <w:b/>
                <w:sz w:val="24"/>
                <w:szCs w:val="24"/>
              </w:rPr>
            </w:pPr>
            <w:r w:rsidRPr="004E1B50">
              <w:rPr>
                <w:rFonts w:ascii="Times New Roman" w:hAnsi="Times New Roman"/>
                <w:b/>
                <w:sz w:val="24"/>
                <w:szCs w:val="24"/>
              </w:rPr>
              <w:t>Nepieciešamie normatīvo aktu grozījumi</w:t>
            </w:r>
          </w:p>
        </w:tc>
      </w:tr>
      <w:tr w:rsidR="004E1B50" w:rsidTr="004E1B50">
        <w:tc>
          <w:tcPr>
            <w:tcW w:w="2268" w:type="dxa"/>
          </w:tcPr>
          <w:p w:rsidR="004E1B50" w:rsidRDefault="004E1B50" w:rsidP="009055FB">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t>Jauna likuma pieņemšana vai grozījumi Augstskolu likumā.</w:t>
            </w:r>
          </w:p>
          <w:p w:rsidR="004E1B50" w:rsidRDefault="004E1B50" w:rsidP="009055FB">
            <w:pPr>
              <w:pStyle w:val="ListParagraph"/>
              <w:numPr>
                <w:ilvl w:val="0"/>
                <w:numId w:val="22"/>
              </w:numPr>
              <w:ind w:left="170" w:hanging="170"/>
              <w:rPr>
                <w:rFonts w:ascii="Times New Roman" w:hAnsi="Times New Roman"/>
                <w:sz w:val="24"/>
                <w:szCs w:val="24"/>
              </w:rPr>
            </w:pPr>
            <w:r w:rsidRPr="008B438D">
              <w:rPr>
                <w:rFonts w:ascii="Times New Roman" w:hAnsi="Times New Roman"/>
                <w:sz w:val="24"/>
                <w:szCs w:val="24"/>
              </w:rPr>
              <w:t xml:space="preserve">Esošo </w:t>
            </w:r>
            <w:r>
              <w:rPr>
                <w:rFonts w:ascii="Times New Roman" w:hAnsi="Times New Roman"/>
                <w:sz w:val="24"/>
                <w:szCs w:val="24"/>
              </w:rPr>
              <w:t>MK</w:t>
            </w:r>
            <w:r w:rsidRPr="008B438D">
              <w:rPr>
                <w:rFonts w:ascii="Times New Roman" w:hAnsi="Times New Roman"/>
                <w:sz w:val="24"/>
                <w:szCs w:val="24"/>
              </w:rPr>
              <w:t xml:space="preserve"> noteikumu, kas regulē licencēšanas un akreditācijas procesus, grozījumi.</w:t>
            </w:r>
          </w:p>
        </w:tc>
        <w:tc>
          <w:tcPr>
            <w:tcW w:w="2552" w:type="dxa"/>
          </w:tcPr>
          <w:p w:rsidR="004E1B50" w:rsidRDefault="004E1B50" w:rsidP="009055FB">
            <w:pPr>
              <w:pStyle w:val="ListParagraph"/>
              <w:numPr>
                <w:ilvl w:val="0"/>
                <w:numId w:val="22"/>
              </w:numPr>
              <w:ind w:left="170" w:hanging="170"/>
              <w:rPr>
                <w:rFonts w:ascii="Times New Roman" w:hAnsi="Times New Roman"/>
                <w:sz w:val="24"/>
                <w:szCs w:val="24"/>
              </w:rPr>
            </w:pPr>
            <w:r>
              <w:rPr>
                <w:rFonts w:ascii="Times New Roman" w:hAnsi="Times New Roman"/>
                <w:sz w:val="24"/>
                <w:szCs w:val="24"/>
              </w:rPr>
              <w:t>Grozījumi Izglītības likumā.</w:t>
            </w:r>
          </w:p>
          <w:p w:rsidR="004E1B50" w:rsidRDefault="004E1B50" w:rsidP="009055FB">
            <w:pPr>
              <w:pStyle w:val="ListParagraph"/>
              <w:numPr>
                <w:ilvl w:val="0"/>
                <w:numId w:val="22"/>
              </w:numPr>
              <w:ind w:left="170" w:hanging="170"/>
              <w:rPr>
                <w:rFonts w:ascii="Times New Roman" w:hAnsi="Times New Roman"/>
                <w:sz w:val="24"/>
                <w:szCs w:val="24"/>
              </w:rPr>
            </w:pPr>
            <w:r>
              <w:rPr>
                <w:rFonts w:ascii="Times New Roman" w:hAnsi="Times New Roman"/>
                <w:sz w:val="24"/>
                <w:szCs w:val="24"/>
              </w:rPr>
              <w:t>G</w:t>
            </w:r>
            <w:r w:rsidRPr="00A44287">
              <w:rPr>
                <w:rFonts w:ascii="Times New Roman" w:hAnsi="Times New Roman"/>
                <w:sz w:val="24"/>
                <w:szCs w:val="24"/>
              </w:rPr>
              <w:t>rozījumi Augstskolu likumā.</w:t>
            </w:r>
          </w:p>
          <w:p w:rsidR="004E1B50" w:rsidRPr="00A44287" w:rsidRDefault="004E1B50" w:rsidP="009055FB">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t>Esošo MK noteikumu, kas regulē licencēšanas un akreditācijas procesus, grozījumi.</w:t>
            </w:r>
          </w:p>
        </w:tc>
        <w:tc>
          <w:tcPr>
            <w:tcW w:w="2268" w:type="dxa"/>
          </w:tcPr>
          <w:p w:rsidR="004E1B50" w:rsidRDefault="004E1B50" w:rsidP="009055FB">
            <w:pPr>
              <w:pStyle w:val="ListParagraph"/>
              <w:numPr>
                <w:ilvl w:val="0"/>
                <w:numId w:val="22"/>
              </w:numPr>
              <w:ind w:left="170" w:hanging="170"/>
              <w:rPr>
                <w:rFonts w:ascii="Times New Roman" w:hAnsi="Times New Roman"/>
                <w:sz w:val="24"/>
                <w:szCs w:val="24"/>
              </w:rPr>
            </w:pPr>
            <w:r>
              <w:rPr>
                <w:rFonts w:ascii="Times New Roman" w:hAnsi="Times New Roman"/>
                <w:sz w:val="24"/>
                <w:szCs w:val="24"/>
              </w:rPr>
              <w:t>G</w:t>
            </w:r>
            <w:r w:rsidRPr="00A44287">
              <w:rPr>
                <w:rFonts w:ascii="Times New Roman" w:hAnsi="Times New Roman"/>
                <w:sz w:val="24"/>
                <w:szCs w:val="24"/>
              </w:rPr>
              <w:t>rozījumi Augstskolu likumā.</w:t>
            </w:r>
          </w:p>
          <w:p w:rsidR="004E1B50" w:rsidRPr="00A44287" w:rsidRDefault="004E1B50" w:rsidP="009055FB">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t>Esošo MK noteikumu, kas regulē licencēšanas un akreditācijas procesus, grozījumi.</w:t>
            </w:r>
          </w:p>
        </w:tc>
        <w:tc>
          <w:tcPr>
            <w:tcW w:w="2551" w:type="dxa"/>
          </w:tcPr>
          <w:p w:rsidR="004E1B50" w:rsidRDefault="004E1B50" w:rsidP="009055FB">
            <w:pPr>
              <w:pStyle w:val="ListParagraph"/>
              <w:numPr>
                <w:ilvl w:val="0"/>
                <w:numId w:val="22"/>
              </w:numPr>
              <w:ind w:left="170" w:hanging="170"/>
              <w:rPr>
                <w:rFonts w:ascii="Times New Roman" w:hAnsi="Times New Roman"/>
                <w:sz w:val="24"/>
                <w:szCs w:val="24"/>
              </w:rPr>
            </w:pPr>
            <w:r>
              <w:rPr>
                <w:rFonts w:ascii="Times New Roman" w:hAnsi="Times New Roman"/>
                <w:sz w:val="24"/>
                <w:szCs w:val="24"/>
              </w:rPr>
              <w:t>G</w:t>
            </w:r>
            <w:r w:rsidRPr="00A44287">
              <w:rPr>
                <w:rFonts w:ascii="Times New Roman" w:hAnsi="Times New Roman"/>
                <w:sz w:val="24"/>
                <w:szCs w:val="24"/>
              </w:rPr>
              <w:t>rozījumi Augstskolu likumā.</w:t>
            </w:r>
          </w:p>
          <w:p w:rsidR="004E1B50" w:rsidRPr="00A44287" w:rsidRDefault="004E1B50" w:rsidP="009055FB">
            <w:pPr>
              <w:pStyle w:val="ListParagraph"/>
              <w:numPr>
                <w:ilvl w:val="0"/>
                <w:numId w:val="22"/>
              </w:numPr>
              <w:ind w:left="170" w:hanging="170"/>
              <w:rPr>
                <w:rFonts w:ascii="Times New Roman" w:hAnsi="Times New Roman"/>
                <w:sz w:val="24"/>
                <w:szCs w:val="24"/>
              </w:rPr>
            </w:pPr>
            <w:r w:rsidRPr="00A44287">
              <w:rPr>
                <w:rFonts w:ascii="Times New Roman" w:hAnsi="Times New Roman"/>
                <w:sz w:val="24"/>
                <w:szCs w:val="24"/>
              </w:rPr>
              <w:t>Esošo MK noteikumu, kas regulē licencēšanas un akreditācijas procesus, grozījumi.</w:t>
            </w:r>
          </w:p>
        </w:tc>
      </w:tr>
    </w:tbl>
    <w:p w:rsidR="00684F09" w:rsidRDefault="00684F09" w:rsidP="009055FB">
      <w:pPr>
        <w:tabs>
          <w:tab w:val="left" w:pos="1125"/>
        </w:tabs>
        <w:spacing w:after="0" w:line="240" w:lineRule="auto"/>
        <w:jc w:val="both"/>
        <w:rPr>
          <w:rFonts w:ascii="Times New Roman" w:hAnsi="Times New Roman" w:cs="Times New Roman"/>
          <w:sz w:val="26"/>
          <w:szCs w:val="26"/>
        </w:rPr>
      </w:pPr>
    </w:p>
    <w:p w:rsidR="00927E3E" w:rsidRDefault="00927E3E" w:rsidP="009055FB">
      <w:pPr>
        <w:tabs>
          <w:tab w:val="left" w:pos="11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F5B">
        <w:rPr>
          <w:rFonts w:ascii="Times New Roman" w:hAnsi="Times New Roman" w:cs="Times New Roman"/>
          <w:sz w:val="26"/>
          <w:szCs w:val="26"/>
        </w:rPr>
        <w:t xml:space="preserve">Izvērtējot minēto iestāžu iepriekšējo darbību un pieredzi, to juridisko statusu un atbilstību ESG vadlīnijām un standartiem, var secināt, ka šobrīd Latvijā nav tādas iestādes, kas pilnībā atbilstu ESG vadlīnijām un standartiem un varētu pretendēt uz iekļūšanu ENQA un EQAR. </w:t>
      </w:r>
    </w:p>
    <w:p w:rsidR="009343F3" w:rsidRDefault="00927E3E" w:rsidP="009055FB">
      <w:pPr>
        <w:tabs>
          <w:tab w:val="left" w:pos="11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2F5B">
        <w:rPr>
          <w:rFonts w:ascii="Times New Roman" w:hAnsi="Times New Roman" w:cs="Times New Roman"/>
          <w:sz w:val="26"/>
          <w:szCs w:val="26"/>
        </w:rPr>
        <w:t>Vienlaikus jāatzīmē, ka AIC, salīdzinot ar IKVD un AIP, ir iespējas iekļūt ENQA un EQAR, kas nozīmētu, ka tā darbojas atbilstoši ESG vadlīnijām un standartiem un tā tiktu starptautiski atzīta, līdz ar to arī Latvijas kvalitātes nodrošināšanas sistēma būtu augsti novērtēta.</w:t>
      </w:r>
      <w:r w:rsidR="00087C11">
        <w:rPr>
          <w:rFonts w:ascii="Times New Roman" w:hAnsi="Times New Roman" w:cs="Times New Roman"/>
          <w:sz w:val="26"/>
          <w:szCs w:val="26"/>
        </w:rPr>
        <w:t xml:space="preserve"> </w:t>
      </w:r>
      <w:r w:rsidR="00A52B90">
        <w:rPr>
          <w:rFonts w:ascii="Times New Roman" w:hAnsi="Times New Roman" w:cs="Times New Roman"/>
          <w:sz w:val="26"/>
          <w:szCs w:val="26"/>
        </w:rPr>
        <w:t>Lai nodotu kvalitātes novērtēšanas nodrošināšanas funkcijas AIC, ir nepieciešams veikt normatīvo aktu grozījumus, vienlaikus paredzot arī finansējuma piešķiršanu. Savukārt AIC organizē</w:t>
      </w:r>
      <w:r w:rsidR="00F66935">
        <w:rPr>
          <w:rFonts w:ascii="Times New Roman" w:hAnsi="Times New Roman" w:cs="Times New Roman"/>
          <w:sz w:val="26"/>
          <w:szCs w:val="26"/>
        </w:rPr>
        <w:t>tu</w:t>
      </w:r>
      <w:r w:rsidR="00A52B90">
        <w:rPr>
          <w:rFonts w:ascii="Times New Roman" w:hAnsi="Times New Roman" w:cs="Times New Roman"/>
          <w:sz w:val="26"/>
          <w:szCs w:val="26"/>
        </w:rPr>
        <w:t xml:space="preserve"> savu darbību un pārveido</w:t>
      </w:r>
      <w:r w:rsidR="00F66935">
        <w:rPr>
          <w:rFonts w:ascii="Times New Roman" w:hAnsi="Times New Roman" w:cs="Times New Roman"/>
          <w:sz w:val="26"/>
          <w:szCs w:val="26"/>
        </w:rPr>
        <w:t>tu</w:t>
      </w:r>
      <w:r w:rsidR="00A52B90">
        <w:rPr>
          <w:rFonts w:ascii="Times New Roman" w:hAnsi="Times New Roman" w:cs="Times New Roman"/>
          <w:sz w:val="26"/>
          <w:szCs w:val="26"/>
        </w:rPr>
        <w:t xml:space="preserve"> struktūru</w:t>
      </w:r>
      <w:r w:rsidR="00F66935">
        <w:rPr>
          <w:rFonts w:ascii="Times New Roman" w:hAnsi="Times New Roman" w:cs="Times New Roman"/>
          <w:sz w:val="26"/>
          <w:szCs w:val="26"/>
        </w:rPr>
        <w:t xml:space="preserve"> tā</w:t>
      </w:r>
      <w:r w:rsidR="00A52B90">
        <w:rPr>
          <w:rFonts w:ascii="Times New Roman" w:hAnsi="Times New Roman" w:cs="Times New Roman"/>
          <w:sz w:val="26"/>
          <w:szCs w:val="26"/>
        </w:rPr>
        <w:t>, lai varētu nodrošināt kvalitātes nodrošināšanas funkcijas</w:t>
      </w:r>
      <w:r w:rsidR="009343F3">
        <w:rPr>
          <w:rFonts w:ascii="Times New Roman" w:hAnsi="Times New Roman" w:cs="Times New Roman"/>
          <w:sz w:val="26"/>
          <w:szCs w:val="26"/>
        </w:rPr>
        <w:t>.</w:t>
      </w:r>
      <w:r w:rsidR="00E13B82">
        <w:rPr>
          <w:rFonts w:ascii="Times New Roman" w:hAnsi="Times New Roman" w:cs="Times New Roman"/>
          <w:sz w:val="26"/>
          <w:szCs w:val="26"/>
        </w:rPr>
        <w:t xml:space="preserve"> EQAR aģentūrai izvirzīto prasību izpildei AIC būtu pieejams arī Eiropas Sociālā fonda finansējums Eiropas Savienības struktūrfondu plānošanas periodā 2014.-2020.gadam, nodrošinot atbalstu kvalitātes atbalsta pasākumiem un personāla apmācībai, lai iekļūtu EQAR.</w:t>
      </w:r>
    </w:p>
    <w:p w:rsidR="00562A1E" w:rsidRDefault="00562A1E" w:rsidP="009055FB">
      <w:pPr>
        <w:tabs>
          <w:tab w:val="left" w:pos="112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62A1E">
        <w:rPr>
          <w:rFonts w:ascii="Times New Roman" w:hAnsi="Times New Roman" w:cs="Times New Roman"/>
          <w:sz w:val="26"/>
          <w:szCs w:val="26"/>
        </w:rPr>
        <w:t xml:space="preserve">Papildus jāmin, ka 2013.gada 20.augustā, atbildot uz AIP vēstuli ar jautājumu par iespējām iekļūt EQAR, EQAR informēja, ka AIP var piedalīties starptautiskajā  </w:t>
      </w:r>
      <w:r w:rsidRPr="00562A1E">
        <w:rPr>
          <w:rFonts w:ascii="Times New Roman" w:hAnsi="Times New Roman" w:cs="Times New Roman"/>
          <w:sz w:val="26"/>
          <w:szCs w:val="26"/>
        </w:rPr>
        <w:lastRenderedPageBreak/>
        <w:t>izvērtēšanā, kuras veiksmīga rezultāta gadījumā var tikt uzsākta formāla iestāšanās procedūra.</w:t>
      </w:r>
    </w:p>
    <w:p w:rsidR="00562A1E" w:rsidRDefault="00562A1E" w:rsidP="009055FB">
      <w:pPr>
        <w:tabs>
          <w:tab w:val="left" w:pos="1125"/>
        </w:tabs>
        <w:spacing w:after="0" w:line="240" w:lineRule="auto"/>
        <w:jc w:val="both"/>
        <w:rPr>
          <w:rFonts w:ascii="Times New Roman" w:hAnsi="Times New Roman" w:cs="Times New Roman"/>
          <w:sz w:val="26"/>
          <w:szCs w:val="26"/>
        </w:rPr>
      </w:pPr>
    </w:p>
    <w:p w:rsidR="00562A1E" w:rsidRDefault="00562A1E" w:rsidP="009055FB">
      <w:pPr>
        <w:tabs>
          <w:tab w:val="left" w:pos="1125"/>
        </w:tabs>
        <w:spacing w:after="0" w:line="240" w:lineRule="auto"/>
        <w:jc w:val="both"/>
        <w:rPr>
          <w:rFonts w:ascii="Times New Roman" w:hAnsi="Times New Roman" w:cs="Times New Roman"/>
          <w:sz w:val="26"/>
          <w:szCs w:val="26"/>
        </w:rPr>
      </w:pPr>
    </w:p>
    <w:p w:rsidR="005732FF" w:rsidRPr="00F91025" w:rsidRDefault="005732FF" w:rsidP="009055FB">
      <w:pPr>
        <w:pStyle w:val="Heading1"/>
        <w:numPr>
          <w:ilvl w:val="0"/>
          <w:numId w:val="4"/>
        </w:numPr>
        <w:spacing w:before="0" w:line="240" w:lineRule="auto"/>
        <w:jc w:val="center"/>
        <w:rPr>
          <w:rFonts w:ascii="Times New Roman" w:hAnsi="Times New Roman" w:cs="Times New Roman"/>
          <w:color w:val="auto"/>
          <w:sz w:val="32"/>
          <w:szCs w:val="32"/>
        </w:rPr>
      </w:pPr>
      <w:bookmarkStart w:id="25" w:name="_Toc395890877"/>
      <w:r w:rsidRPr="00625425">
        <w:rPr>
          <w:rFonts w:ascii="Times New Roman" w:hAnsi="Times New Roman" w:cs="Times New Roman"/>
          <w:color w:val="auto"/>
          <w:sz w:val="32"/>
          <w:szCs w:val="32"/>
        </w:rPr>
        <w:t xml:space="preserve">Veicamie </w:t>
      </w:r>
      <w:r w:rsidRPr="00AE7266">
        <w:rPr>
          <w:rFonts w:ascii="Times New Roman" w:hAnsi="Times New Roman" w:cs="Times New Roman"/>
          <w:color w:val="auto"/>
          <w:sz w:val="32"/>
          <w:szCs w:val="32"/>
        </w:rPr>
        <w:t>pasākumi un to īstenošanas termiņi</w:t>
      </w:r>
      <w:bookmarkEnd w:id="25"/>
    </w:p>
    <w:p w:rsidR="00AE7266" w:rsidRDefault="00AE7266" w:rsidP="009055FB">
      <w:pPr>
        <w:pStyle w:val="ListParagraph"/>
        <w:spacing w:after="0" w:line="240" w:lineRule="auto"/>
        <w:ind w:left="1440"/>
        <w:jc w:val="both"/>
        <w:rPr>
          <w:rFonts w:ascii="Times New Roman" w:hAnsi="Times New Roman" w:cs="Times New Roman"/>
          <w:sz w:val="26"/>
          <w:szCs w:val="26"/>
        </w:rPr>
      </w:pPr>
    </w:p>
    <w:p w:rsidR="005732FF" w:rsidRPr="00654249" w:rsidRDefault="00280EBE" w:rsidP="009055FB">
      <w:pPr>
        <w:pStyle w:val="Heading2"/>
        <w:spacing w:before="0" w:line="240" w:lineRule="auto"/>
        <w:rPr>
          <w:rFonts w:ascii="Times New Roman" w:hAnsi="Times New Roman" w:cs="Times New Roman"/>
          <w:b/>
          <w:color w:val="auto"/>
        </w:rPr>
      </w:pPr>
      <w:bookmarkStart w:id="26" w:name="_Toc395890878"/>
      <w:r w:rsidRPr="00654249">
        <w:rPr>
          <w:rFonts w:ascii="Times New Roman" w:hAnsi="Times New Roman" w:cs="Times New Roman"/>
          <w:b/>
          <w:color w:val="auto"/>
        </w:rPr>
        <w:t>5</w:t>
      </w:r>
      <w:r w:rsidR="00AE7266" w:rsidRPr="00654249">
        <w:rPr>
          <w:rFonts w:ascii="Times New Roman" w:hAnsi="Times New Roman" w:cs="Times New Roman"/>
          <w:b/>
          <w:color w:val="auto"/>
        </w:rPr>
        <w:t xml:space="preserve">.1. </w:t>
      </w:r>
      <w:bookmarkEnd w:id="26"/>
      <w:r w:rsidR="000441B8" w:rsidRPr="00654249">
        <w:rPr>
          <w:rFonts w:ascii="Times New Roman" w:hAnsi="Times New Roman" w:cs="Times New Roman"/>
          <w:b/>
          <w:color w:val="auto"/>
        </w:rPr>
        <w:t>Akreditācijas un licencēšanas funkcijas turpmāka īstenošana AIC</w:t>
      </w:r>
    </w:p>
    <w:p w:rsidR="006E786A" w:rsidRPr="0009325D" w:rsidRDefault="006E786A" w:rsidP="009055FB">
      <w:pPr>
        <w:spacing w:after="0" w:line="240" w:lineRule="auto"/>
        <w:ind w:firstLine="720"/>
        <w:jc w:val="both"/>
        <w:rPr>
          <w:rFonts w:ascii="Times New Roman" w:hAnsi="Times New Roman" w:cs="Times New Roman"/>
          <w:b/>
          <w:sz w:val="26"/>
          <w:szCs w:val="26"/>
        </w:rPr>
      </w:pPr>
      <w:r w:rsidRPr="006E786A">
        <w:rPr>
          <w:rFonts w:ascii="Times New Roman" w:hAnsi="Times New Roman" w:cs="Times New Roman"/>
          <w:sz w:val="26"/>
          <w:szCs w:val="26"/>
        </w:rPr>
        <w:t xml:space="preserve">Izvērtējot </w:t>
      </w:r>
      <w:r w:rsidR="00FF3F4A">
        <w:rPr>
          <w:rFonts w:ascii="Times New Roman" w:hAnsi="Times New Roman" w:cs="Times New Roman"/>
          <w:sz w:val="26"/>
          <w:szCs w:val="26"/>
        </w:rPr>
        <w:t>4</w:t>
      </w:r>
      <w:r w:rsidRPr="006E786A">
        <w:rPr>
          <w:rFonts w:ascii="Times New Roman" w:hAnsi="Times New Roman" w:cs="Times New Roman"/>
          <w:sz w:val="26"/>
          <w:szCs w:val="26"/>
        </w:rPr>
        <w:t>.nodaļā piedāvātos variantus IZM izveidotā darba grupa</w:t>
      </w:r>
      <w:r>
        <w:rPr>
          <w:rStyle w:val="FootnoteReference"/>
          <w:rFonts w:ascii="Times New Roman" w:hAnsi="Times New Roman" w:cs="Times New Roman"/>
          <w:sz w:val="26"/>
          <w:szCs w:val="26"/>
        </w:rPr>
        <w:footnoteReference w:id="29"/>
      </w:r>
      <w:r w:rsidRPr="006E786A">
        <w:rPr>
          <w:rFonts w:ascii="Times New Roman" w:hAnsi="Times New Roman" w:cs="Times New Roman"/>
          <w:sz w:val="26"/>
          <w:szCs w:val="26"/>
        </w:rPr>
        <w:t xml:space="preserve"> problēmu risinājuma</w:t>
      </w:r>
      <w:r w:rsidR="00927E3E">
        <w:rPr>
          <w:rFonts w:ascii="Times New Roman" w:hAnsi="Times New Roman" w:cs="Times New Roman"/>
          <w:sz w:val="26"/>
          <w:szCs w:val="26"/>
        </w:rPr>
        <w:t>m</w:t>
      </w:r>
      <w:r w:rsidRPr="006E786A">
        <w:rPr>
          <w:rFonts w:ascii="Times New Roman" w:hAnsi="Times New Roman" w:cs="Times New Roman"/>
          <w:sz w:val="26"/>
          <w:szCs w:val="26"/>
        </w:rPr>
        <w:t xml:space="preserve"> </w:t>
      </w:r>
      <w:r w:rsidR="0009325D" w:rsidRPr="0009325D">
        <w:rPr>
          <w:rFonts w:ascii="Times New Roman" w:hAnsi="Times New Roman" w:cs="Times New Roman"/>
          <w:b/>
          <w:sz w:val="26"/>
          <w:szCs w:val="26"/>
        </w:rPr>
        <w:t>kā racionālāko variantu uzskata</w:t>
      </w:r>
      <w:r w:rsidRPr="0009325D">
        <w:rPr>
          <w:rFonts w:ascii="Times New Roman" w:hAnsi="Times New Roman" w:cs="Times New Roman"/>
          <w:b/>
          <w:sz w:val="26"/>
          <w:szCs w:val="26"/>
        </w:rPr>
        <w:t xml:space="preserve"> akreditācijas un licencēšanas funkciju nodot AIC.</w:t>
      </w:r>
    </w:p>
    <w:p w:rsidR="00865D0A" w:rsidRDefault="00865D0A"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AIC ir nodibinājums, kas darbojās saskaņā ar statūtiem, kuri reģistrēti biedrību un nodibinājuma reģistrā 2009.gada 24.novembrī. Saskaņā ar AIC statūtu 10.1.apakšpunktu AIC pārvaldes institūcija ir Valde. Valdes sastāv no trīs Valdes locekļiem, kuru pilnvaru laiks ir trīs gadi no Valdes locekļa apstiprināšanas dienas. AIC operatīvo vadību nodrošina Valdes priekšsēdētājs. Valdes priekšsēdētājs, atbilstoši normatīvajiem aktiem, AIC statūtiem un darba līgumam:</w:t>
      </w:r>
    </w:p>
    <w:p w:rsidR="00865D0A" w:rsidRDefault="00865D0A" w:rsidP="009055FB">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Nodrošina nodibinājuma darbību saskaņā ar statūtu 2.1.apakšpunktu;</w:t>
      </w:r>
    </w:p>
    <w:p w:rsidR="00865D0A" w:rsidRDefault="00865D0A" w:rsidP="009055FB">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Pārstāv nodibinājum intereses Latvijas Republikas un starptautiskās organizācijās;</w:t>
      </w:r>
    </w:p>
    <w:p w:rsidR="00865D0A" w:rsidRDefault="00865D0A" w:rsidP="009055FB">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Slēdz saimnieciskos un darba līgumus;</w:t>
      </w:r>
    </w:p>
    <w:p w:rsidR="00865D0A" w:rsidRDefault="00865D0A" w:rsidP="009055FB">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Izsniedz pilnvaras;</w:t>
      </w:r>
    </w:p>
    <w:p w:rsidR="00865D0A" w:rsidRDefault="00865D0A" w:rsidP="009055FB">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Atver bankas kontus;</w:t>
      </w:r>
    </w:p>
    <w:p w:rsidR="00865D0A" w:rsidRDefault="00865D0A" w:rsidP="009055FB">
      <w:pPr>
        <w:pStyle w:val="ListParagraph"/>
        <w:numPr>
          <w:ilvl w:val="0"/>
          <w:numId w:val="2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Pieņem darbā nodibinājuma darbiniekus, slēdz ar viņiem darba līgumus, kā arī izdod tiem saistošus rīkojumus.</w:t>
      </w:r>
    </w:p>
    <w:p w:rsidR="00034B2C" w:rsidRDefault="002E1123"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AIC direktors</w:t>
      </w:r>
      <w:r w:rsidR="00F91025">
        <w:rPr>
          <w:rFonts w:ascii="Times New Roman" w:hAnsi="Times New Roman" w:cs="Times New Roman"/>
          <w:sz w:val="26"/>
          <w:szCs w:val="26"/>
        </w:rPr>
        <w:t>, kas ir vien</w:t>
      </w:r>
      <w:r>
        <w:rPr>
          <w:rFonts w:ascii="Times New Roman" w:hAnsi="Times New Roman" w:cs="Times New Roman"/>
          <w:sz w:val="26"/>
          <w:szCs w:val="26"/>
        </w:rPr>
        <w:t>laikus arī Valdes priekšsēdētājs,</w:t>
      </w:r>
      <w:r w:rsidR="00F91025">
        <w:rPr>
          <w:rFonts w:ascii="Times New Roman" w:hAnsi="Times New Roman" w:cs="Times New Roman"/>
          <w:sz w:val="26"/>
          <w:szCs w:val="26"/>
        </w:rPr>
        <w:t xml:space="preserve"> vada AIC. Ņemot vērā, ka kvalitātes nodrošināšanas funkcijas sevī ietver apjomīgu veicamo uzdevumu </w:t>
      </w:r>
      <w:r w:rsidR="006D0086">
        <w:rPr>
          <w:rFonts w:ascii="Times New Roman" w:hAnsi="Times New Roman" w:cs="Times New Roman"/>
          <w:sz w:val="26"/>
          <w:szCs w:val="26"/>
        </w:rPr>
        <w:t>klāstu, AIC būs</w:t>
      </w:r>
      <w:r w:rsidR="00F91025">
        <w:rPr>
          <w:rFonts w:ascii="Times New Roman" w:hAnsi="Times New Roman" w:cs="Times New Roman"/>
          <w:sz w:val="26"/>
          <w:szCs w:val="26"/>
        </w:rPr>
        <w:t xml:space="preserve"> nepieciešams izveidot nodaļu</w:t>
      </w:r>
      <w:r w:rsidR="007A1CDE">
        <w:rPr>
          <w:rFonts w:ascii="Times New Roman" w:hAnsi="Times New Roman" w:cs="Times New Roman"/>
          <w:sz w:val="26"/>
          <w:szCs w:val="26"/>
        </w:rPr>
        <w:t>/departamentu</w:t>
      </w:r>
      <w:r w:rsidR="00F91025">
        <w:rPr>
          <w:rFonts w:ascii="Times New Roman" w:hAnsi="Times New Roman" w:cs="Times New Roman"/>
          <w:sz w:val="26"/>
          <w:szCs w:val="26"/>
        </w:rPr>
        <w:t xml:space="preserve">, kuras kompetencē būtu organizēt augstskolu un studiju virzienu akreditāciju un studiju programmu licencēšanu, kā arī citi ar kvalitāti saistītie uzdevumi (skatīt pielikumu). </w:t>
      </w:r>
      <w:r w:rsidR="00EE619D">
        <w:rPr>
          <w:rFonts w:ascii="Times New Roman" w:hAnsi="Times New Roman" w:cs="Times New Roman"/>
          <w:sz w:val="26"/>
          <w:szCs w:val="26"/>
        </w:rPr>
        <w:t>Līdz ar to šādas kvalitātes nodr</w:t>
      </w:r>
      <w:r w:rsidR="006D0086">
        <w:rPr>
          <w:rFonts w:ascii="Times New Roman" w:hAnsi="Times New Roman" w:cs="Times New Roman"/>
          <w:sz w:val="26"/>
          <w:szCs w:val="26"/>
        </w:rPr>
        <w:t>ošināšanas nodaļas vadītājs būs</w:t>
      </w:r>
      <w:r w:rsidR="00EE619D">
        <w:rPr>
          <w:rFonts w:ascii="Times New Roman" w:hAnsi="Times New Roman" w:cs="Times New Roman"/>
          <w:sz w:val="26"/>
          <w:szCs w:val="26"/>
        </w:rPr>
        <w:t xml:space="preserve"> atbildīgs par pielikumā minēto funkciju izpildes nodrošināšanu </w:t>
      </w:r>
      <w:r w:rsidR="00034B2C">
        <w:rPr>
          <w:rFonts w:ascii="Times New Roman" w:hAnsi="Times New Roman" w:cs="Times New Roman"/>
          <w:sz w:val="26"/>
          <w:szCs w:val="26"/>
        </w:rPr>
        <w:t>un kas</w:t>
      </w:r>
      <w:r w:rsidR="002625C2">
        <w:rPr>
          <w:rFonts w:ascii="Times New Roman" w:hAnsi="Times New Roman" w:cs="Times New Roman"/>
          <w:sz w:val="26"/>
          <w:szCs w:val="26"/>
        </w:rPr>
        <w:t xml:space="preserve"> būs</w:t>
      </w:r>
      <w:r w:rsidR="00EE619D">
        <w:rPr>
          <w:rFonts w:ascii="Times New Roman" w:hAnsi="Times New Roman" w:cs="Times New Roman"/>
          <w:sz w:val="26"/>
          <w:szCs w:val="26"/>
        </w:rPr>
        <w:t xml:space="preserve"> AIC direktora padotībā.</w:t>
      </w:r>
      <w:r w:rsidR="00034B2C">
        <w:rPr>
          <w:rFonts w:ascii="Times New Roman" w:hAnsi="Times New Roman" w:cs="Times New Roman"/>
          <w:sz w:val="26"/>
          <w:szCs w:val="26"/>
        </w:rPr>
        <w:t xml:space="preserve"> Savukārt nodaļas vadītāja padotībā bū</w:t>
      </w:r>
      <w:r w:rsidR="00B34627">
        <w:rPr>
          <w:rFonts w:ascii="Times New Roman" w:hAnsi="Times New Roman" w:cs="Times New Roman"/>
          <w:sz w:val="26"/>
          <w:szCs w:val="26"/>
        </w:rPr>
        <w:t>s</w:t>
      </w:r>
      <w:r w:rsidR="00034B2C">
        <w:rPr>
          <w:rFonts w:ascii="Times New Roman" w:hAnsi="Times New Roman" w:cs="Times New Roman"/>
          <w:sz w:val="26"/>
          <w:szCs w:val="26"/>
        </w:rPr>
        <w:t xml:space="preserve"> personāls, ko saskaņā ar AIC statūtiem pieņem darbā Valdes priekšsēdētājs </w:t>
      </w:r>
    </w:p>
    <w:p w:rsidR="00034B2C" w:rsidRDefault="00034B2C"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AIC darbinieki, lai nodrošinātu pielikumā minēto uzdevumu izpildi, </w:t>
      </w:r>
      <w:r w:rsidR="00B34627">
        <w:rPr>
          <w:rFonts w:ascii="Times New Roman" w:hAnsi="Times New Roman" w:cs="Times New Roman"/>
          <w:sz w:val="26"/>
          <w:szCs w:val="26"/>
        </w:rPr>
        <w:t>koordinēs</w:t>
      </w:r>
      <w:r>
        <w:rPr>
          <w:rFonts w:ascii="Times New Roman" w:hAnsi="Times New Roman" w:cs="Times New Roman"/>
          <w:sz w:val="26"/>
          <w:szCs w:val="26"/>
        </w:rPr>
        <w:t xml:space="preserve"> visu akreditācijas un licencēšanas procesu, sākot no augstskolu pašnovērtējuma ziņojuma saņemšanas (sniedzot arī atbalstu augstskolām pašnovērtējuma sagatavošanā), ekspertu atlases un vizītes sagatavošanas, līdz lēmuma pieņemšanas</w:t>
      </w:r>
      <w:r w:rsidR="00AE7C2D">
        <w:rPr>
          <w:rFonts w:ascii="Times New Roman" w:hAnsi="Times New Roman" w:cs="Times New Roman"/>
          <w:sz w:val="26"/>
          <w:szCs w:val="26"/>
        </w:rPr>
        <w:t xml:space="preserve"> sagat</w:t>
      </w:r>
      <w:r w:rsidR="009067CF">
        <w:rPr>
          <w:rFonts w:ascii="Times New Roman" w:hAnsi="Times New Roman" w:cs="Times New Roman"/>
          <w:sz w:val="26"/>
          <w:szCs w:val="26"/>
        </w:rPr>
        <w:t>a</w:t>
      </w:r>
      <w:r w:rsidR="00B34627">
        <w:rPr>
          <w:rFonts w:ascii="Times New Roman" w:hAnsi="Times New Roman" w:cs="Times New Roman"/>
          <w:sz w:val="26"/>
          <w:szCs w:val="26"/>
        </w:rPr>
        <w:t>vošanai</w:t>
      </w:r>
      <w:r>
        <w:rPr>
          <w:rFonts w:ascii="Times New Roman" w:hAnsi="Times New Roman" w:cs="Times New Roman"/>
          <w:sz w:val="26"/>
          <w:szCs w:val="26"/>
        </w:rPr>
        <w:t>.</w:t>
      </w:r>
      <w:r w:rsidR="000F7842">
        <w:rPr>
          <w:rFonts w:ascii="Times New Roman" w:hAnsi="Times New Roman" w:cs="Times New Roman"/>
          <w:sz w:val="26"/>
          <w:szCs w:val="26"/>
        </w:rPr>
        <w:t xml:space="preserve"> </w:t>
      </w:r>
    </w:p>
    <w:p w:rsidR="00034B2C" w:rsidRDefault="00111FBE" w:rsidP="009055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Tādējādi </w:t>
      </w:r>
      <w:r w:rsidR="00034B2C">
        <w:rPr>
          <w:rFonts w:ascii="Times New Roman" w:hAnsi="Times New Roman" w:cs="Times New Roman"/>
          <w:sz w:val="26"/>
          <w:szCs w:val="26"/>
        </w:rPr>
        <w:t>AIC bū</w:t>
      </w:r>
      <w:r>
        <w:rPr>
          <w:rFonts w:ascii="Times New Roman" w:hAnsi="Times New Roman" w:cs="Times New Roman"/>
          <w:sz w:val="26"/>
          <w:szCs w:val="26"/>
        </w:rPr>
        <w:t>s</w:t>
      </w:r>
      <w:r w:rsidR="00034B2C">
        <w:rPr>
          <w:rFonts w:ascii="Times New Roman" w:hAnsi="Times New Roman" w:cs="Times New Roman"/>
          <w:sz w:val="26"/>
          <w:szCs w:val="26"/>
        </w:rPr>
        <w:t xml:space="preserve"> tā iestāde, kas veic kvalitātes nodrošināšanas funkciju izpildi, </w:t>
      </w:r>
      <w:r w:rsidR="00A1757C">
        <w:rPr>
          <w:rFonts w:ascii="Times New Roman" w:hAnsi="Times New Roman" w:cs="Times New Roman"/>
          <w:sz w:val="26"/>
          <w:szCs w:val="26"/>
        </w:rPr>
        <w:t xml:space="preserve">veicot regulāru kvalitātes monitoringu, </w:t>
      </w:r>
      <w:r w:rsidR="00034B2C">
        <w:rPr>
          <w:rFonts w:ascii="Times New Roman" w:hAnsi="Times New Roman" w:cs="Times New Roman"/>
          <w:sz w:val="26"/>
          <w:szCs w:val="26"/>
        </w:rPr>
        <w:t xml:space="preserve">sniedzot atbalstu gan augstskolām, gan ekspertiem, organizējot ekspertu apmācības un </w:t>
      </w:r>
      <w:r w:rsidR="00A1757C">
        <w:rPr>
          <w:rFonts w:ascii="Times New Roman" w:hAnsi="Times New Roman" w:cs="Times New Roman"/>
          <w:sz w:val="26"/>
          <w:szCs w:val="26"/>
        </w:rPr>
        <w:t>informatīvus</w:t>
      </w:r>
      <w:r w:rsidR="00034B2C">
        <w:rPr>
          <w:rFonts w:ascii="Times New Roman" w:hAnsi="Times New Roman" w:cs="Times New Roman"/>
          <w:sz w:val="26"/>
          <w:szCs w:val="26"/>
        </w:rPr>
        <w:t xml:space="preserve"> seminārus augstskolām, nodrošinot ticamas informācijas publisku pieejamību.</w:t>
      </w:r>
    </w:p>
    <w:p w:rsidR="00C41AD7" w:rsidRDefault="002977BD" w:rsidP="009055FB">
      <w:pPr>
        <w:spacing w:after="0" w:line="240" w:lineRule="auto"/>
        <w:jc w:val="right"/>
        <w:rPr>
          <w:rFonts w:ascii="Times New Roman" w:hAnsi="Times New Roman" w:cs="Times New Roman"/>
          <w:sz w:val="26"/>
          <w:szCs w:val="26"/>
        </w:rPr>
      </w:pPr>
      <w:r w:rsidRPr="002977BD">
        <w:rPr>
          <w:rFonts w:ascii="Times New Roman" w:hAnsi="Times New Roman" w:cs="Times New Roman"/>
          <w:i/>
          <w:sz w:val="26"/>
          <w:szCs w:val="26"/>
        </w:rPr>
        <w:t>2.attēls</w:t>
      </w:r>
    </w:p>
    <w:p w:rsidR="00927E3E" w:rsidRPr="00DC3AE4" w:rsidRDefault="00034B2C" w:rsidP="009055FB">
      <w:pPr>
        <w:spacing w:after="0" w:line="240" w:lineRule="auto"/>
        <w:jc w:val="center"/>
        <w:rPr>
          <w:rFonts w:ascii="Times New Roman" w:hAnsi="Times New Roman" w:cs="Times New Roman"/>
          <w:b/>
          <w:sz w:val="26"/>
          <w:szCs w:val="26"/>
        </w:rPr>
      </w:pPr>
      <w:r w:rsidRPr="00DC3AE4">
        <w:rPr>
          <w:rFonts w:ascii="Times New Roman" w:hAnsi="Times New Roman" w:cs="Times New Roman"/>
          <w:b/>
          <w:sz w:val="26"/>
          <w:szCs w:val="26"/>
        </w:rPr>
        <w:t xml:space="preserve"> </w:t>
      </w:r>
      <w:r w:rsidR="00DC3AE4" w:rsidRPr="00DC3AE4">
        <w:rPr>
          <w:rFonts w:ascii="Times New Roman" w:hAnsi="Times New Roman" w:cs="Times New Roman"/>
          <w:b/>
          <w:sz w:val="26"/>
          <w:szCs w:val="26"/>
        </w:rPr>
        <w:t>Latvijas augstākās izglītības kvalitātes nodrošināšanas institūcijas darbība Akadēmiskās informācijas centra struktūrā</w:t>
      </w:r>
    </w:p>
    <w:p w:rsidR="007A1CDE" w:rsidRDefault="007A1CDE" w:rsidP="009055FB">
      <w:pPr>
        <w:spacing w:after="0" w:line="240" w:lineRule="auto"/>
        <w:jc w:val="center"/>
        <w:rPr>
          <w:rFonts w:ascii="Times New Roman" w:hAnsi="Times New Roman" w:cs="Times New Roman"/>
          <w:b/>
          <w:sz w:val="26"/>
          <w:szCs w:val="26"/>
        </w:rPr>
      </w:pPr>
      <w:r w:rsidRPr="00FB0D23">
        <w:rPr>
          <w:rFonts w:ascii="Times New Roman" w:hAnsi="Times New Roman" w:cs="Times New Roman"/>
          <w:b/>
          <w:noProof/>
          <w:sz w:val="26"/>
          <w:szCs w:val="26"/>
          <w:lang w:eastAsia="lv-LV"/>
        </w:rPr>
        <w:lastRenderedPageBreak/>
        <w:drawing>
          <wp:inline distT="0" distB="0" distL="0" distR="0" wp14:anchorId="3C8E8C01" wp14:editId="439DDDA0">
            <wp:extent cx="4500484" cy="36287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3191" cy="3630882"/>
                    </a:xfrm>
                    <a:prstGeom prst="rect">
                      <a:avLst/>
                    </a:prstGeom>
                    <a:noFill/>
                    <a:ln>
                      <a:noFill/>
                    </a:ln>
                  </pic:spPr>
                </pic:pic>
              </a:graphicData>
            </a:graphic>
          </wp:inline>
        </w:drawing>
      </w:r>
    </w:p>
    <w:p w:rsidR="007A1CDE" w:rsidRDefault="007A1CDE" w:rsidP="009055FB">
      <w:pPr>
        <w:spacing w:after="0" w:line="240" w:lineRule="auto"/>
        <w:jc w:val="both"/>
        <w:rPr>
          <w:rFonts w:ascii="Times New Roman" w:hAnsi="Times New Roman" w:cs="Times New Roman"/>
          <w:b/>
          <w:sz w:val="26"/>
          <w:szCs w:val="26"/>
          <w:u w:val="single"/>
        </w:rPr>
      </w:pPr>
      <w:r w:rsidRPr="00FB0D23">
        <w:rPr>
          <w:rFonts w:ascii="Times New Roman" w:hAnsi="Times New Roman" w:cs="Times New Roman"/>
          <w:b/>
          <w:sz w:val="26"/>
          <w:szCs w:val="26"/>
          <w:u w:val="single"/>
        </w:rPr>
        <w:t>Funkcijas:</w:t>
      </w:r>
    </w:p>
    <w:p w:rsidR="007A1CDE" w:rsidRPr="00FB0D23" w:rsidRDefault="007A1CDE" w:rsidP="009055FB">
      <w:pPr>
        <w:spacing w:after="0" w:line="240" w:lineRule="auto"/>
        <w:jc w:val="both"/>
        <w:rPr>
          <w:rFonts w:ascii="Times New Roman" w:hAnsi="Times New Roman" w:cs="Times New Roman"/>
          <w:b/>
          <w:sz w:val="26"/>
          <w:szCs w:val="26"/>
          <w:u w:val="single"/>
        </w:rPr>
      </w:pPr>
    </w:p>
    <w:p w:rsidR="007A1CDE" w:rsidRDefault="007A1CDE" w:rsidP="009055FB">
      <w:pPr>
        <w:spacing w:after="0" w:line="240" w:lineRule="auto"/>
        <w:jc w:val="both"/>
        <w:rPr>
          <w:rFonts w:ascii="Times New Roman" w:hAnsi="Times New Roman" w:cs="Times New Roman"/>
          <w:sz w:val="26"/>
          <w:szCs w:val="26"/>
        </w:rPr>
      </w:pPr>
      <w:r w:rsidRPr="00FB0D23">
        <w:rPr>
          <w:rFonts w:ascii="Times New Roman" w:hAnsi="Times New Roman" w:cs="Times New Roman"/>
          <w:b/>
          <w:sz w:val="26"/>
          <w:szCs w:val="26"/>
        </w:rPr>
        <w:t>Valde:</w:t>
      </w:r>
      <w:r w:rsidRPr="007A1CDE">
        <w:rPr>
          <w:rFonts w:ascii="Times New Roman" w:hAnsi="Times New Roman" w:cs="Times New Roman"/>
          <w:sz w:val="26"/>
          <w:szCs w:val="26"/>
        </w:rPr>
        <w:t xml:space="preserve"> īsteno administratīvu un saimniecisku pārvaldību.</w:t>
      </w:r>
    </w:p>
    <w:p w:rsidR="002977BD" w:rsidRPr="007A1CDE" w:rsidRDefault="002977BD" w:rsidP="009055FB">
      <w:pPr>
        <w:spacing w:after="0" w:line="240" w:lineRule="auto"/>
        <w:jc w:val="both"/>
        <w:rPr>
          <w:rFonts w:ascii="Times New Roman" w:hAnsi="Times New Roman" w:cs="Times New Roman"/>
          <w:sz w:val="26"/>
          <w:szCs w:val="26"/>
        </w:rPr>
      </w:pPr>
    </w:p>
    <w:p w:rsidR="007A1CDE" w:rsidRDefault="007A1CDE" w:rsidP="009055FB">
      <w:pPr>
        <w:spacing w:after="0" w:line="240" w:lineRule="auto"/>
        <w:jc w:val="both"/>
        <w:rPr>
          <w:rFonts w:ascii="Times New Roman" w:hAnsi="Times New Roman" w:cs="Times New Roman"/>
          <w:sz w:val="26"/>
          <w:szCs w:val="26"/>
        </w:rPr>
      </w:pPr>
      <w:r w:rsidRPr="00FB0D23">
        <w:rPr>
          <w:rFonts w:ascii="Times New Roman" w:hAnsi="Times New Roman" w:cs="Times New Roman"/>
          <w:b/>
          <w:sz w:val="26"/>
          <w:szCs w:val="26"/>
        </w:rPr>
        <w:t>Direktors:</w:t>
      </w:r>
      <w:r w:rsidRPr="007A1CDE">
        <w:rPr>
          <w:rFonts w:ascii="Times New Roman" w:hAnsi="Times New Roman" w:cs="Times New Roman"/>
          <w:sz w:val="26"/>
          <w:szCs w:val="26"/>
        </w:rPr>
        <w:t xml:space="preserve"> vada AIC darbu AIC Statūtos</w:t>
      </w:r>
      <w:r>
        <w:rPr>
          <w:rFonts w:ascii="Times New Roman" w:hAnsi="Times New Roman" w:cs="Times New Roman"/>
          <w:sz w:val="26"/>
          <w:szCs w:val="26"/>
        </w:rPr>
        <w:t xml:space="preserve"> noteiktās kompetences ietvaros</w:t>
      </w:r>
      <w:r w:rsidR="009351AA">
        <w:rPr>
          <w:rFonts w:ascii="Times New Roman" w:hAnsi="Times New Roman" w:cs="Times New Roman"/>
          <w:sz w:val="26"/>
          <w:szCs w:val="26"/>
        </w:rPr>
        <w:t xml:space="preserve">, </w:t>
      </w:r>
      <w:r w:rsidR="00665377">
        <w:rPr>
          <w:rFonts w:ascii="Times New Roman" w:hAnsi="Times New Roman" w:cs="Times New Roman"/>
          <w:sz w:val="26"/>
          <w:szCs w:val="26"/>
        </w:rPr>
        <w:t>nominē AIC pārstāvi A</w:t>
      </w:r>
      <w:r w:rsidRPr="007A1CDE">
        <w:rPr>
          <w:rFonts w:ascii="Times New Roman" w:hAnsi="Times New Roman" w:cs="Times New Roman"/>
          <w:sz w:val="26"/>
          <w:szCs w:val="26"/>
        </w:rPr>
        <w:t>kreditācijas</w:t>
      </w:r>
      <w:r>
        <w:rPr>
          <w:rFonts w:ascii="Times New Roman" w:hAnsi="Times New Roman" w:cs="Times New Roman"/>
          <w:sz w:val="26"/>
          <w:szCs w:val="26"/>
        </w:rPr>
        <w:t>/licencēšanas</w:t>
      </w:r>
      <w:r w:rsidRPr="007A1CDE">
        <w:rPr>
          <w:rFonts w:ascii="Times New Roman" w:hAnsi="Times New Roman" w:cs="Times New Roman"/>
          <w:sz w:val="26"/>
          <w:szCs w:val="26"/>
        </w:rPr>
        <w:t xml:space="preserve"> komisijā</w:t>
      </w:r>
      <w:r w:rsidR="002B0378">
        <w:rPr>
          <w:rFonts w:ascii="Times New Roman" w:hAnsi="Times New Roman" w:cs="Times New Roman"/>
          <w:sz w:val="26"/>
          <w:szCs w:val="26"/>
        </w:rPr>
        <w:t xml:space="preserve">, darbojas </w:t>
      </w:r>
      <w:r w:rsidR="002B0378" w:rsidRPr="002B0378">
        <w:rPr>
          <w:rFonts w:ascii="Times New Roman" w:hAnsi="Times New Roman" w:cs="Times New Roman"/>
          <w:sz w:val="26"/>
          <w:szCs w:val="26"/>
        </w:rPr>
        <w:t>Augstākās izglītības kvalitātes novērtēšanas p</w:t>
      </w:r>
      <w:r w:rsidR="002B0378">
        <w:rPr>
          <w:rFonts w:ascii="Times New Roman" w:hAnsi="Times New Roman" w:cs="Times New Roman"/>
          <w:sz w:val="26"/>
          <w:szCs w:val="26"/>
        </w:rPr>
        <w:t>adomē</w:t>
      </w:r>
      <w:r w:rsidRPr="002B0378">
        <w:rPr>
          <w:rFonts w:ascii="Times New Roman" w:hAnsi="Times New Roman" w:cs="Times New Roman"/>
          <w:sz w:val="26"/>
          <w:szCs w:val="26"/>
        </w:rPr>
        <w:t>.</w:t>
      </w:r>
    </w:p>
    <w:p w:rsidR="002977BD" w:rsidRPr="007A1CDE" w:rsidRDefault="002977BD" w:rsidP="009055FB">
      <w:pPr>
        <w:spacing w:after="0" w:line="240" w:lineRule="auto"/>
        <w:jc w:val="both"/>
        <w:rPr>
          <w:rFonts w:ascii="Times New Roman" w:hAnsi="Times New Roman" w:cs="Times New Roman"/>
          <w:sz w:val="26"/>
          <w:szCs w:val="26"/>
        </w:rPr>
      </w:pPr>
    </w:p>
    <w:p w:rsidR="009245AF" w:rsidRDefault="00063F97" w:rsidP="009055FB">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Augstākās izglītības kvalitātes novērtēšanas p</w:t>
      </w:r>
      <w:r w:rsidR="007A1CDE" w:rsidRPr="00FB0D23">
        <w:rPr>
          <w:rFonts w:ascii="Times New Roman" w:hAnsi="Times New Roman" w:cs="Times New Roman"/>
          <w:b/>
          <w:sz w:val="26"/>
          <w:szCs w:val="26"/>
        </w:rPr>
        <w:t>adome</w:t>
      </w:r>
      <w:r w:rsidR="007A1CDE" w:rsidRPr="007A1CDE">
        <w:rPr>
          <w:rFonts w:ascii="Times New Roman" w:hAnsi="Times New Roman" w:cs="Times New Roman"/>
          <w:sz w:val="26"/>
          <w:szCs w:val="26"/>
        </w:rPr>
        <w:t xml:space="preserve"> (AIC</w:t>
      </w:r>
      <w:r w:rsidR="000F7842">
        <w:rPr>
          <w:rFonts w:ascii="Times New Roman" w:hAnsi="Times New Roman" w:cs="Times New Roman"/>
          <w:sz w:val="26"/>
          <w:szCs w:val="26"/>
        </w:rPr>
        <w:t xml:space="preserve"> direktors</w:t>
      </w:r>
      <w:r w:rsidR="007A1CDE" w:rsidRPr="007A1CDE">
        <w:rPr>
          <w:rFonts w:ascii="Times New Roman" w:hAnsi="Times New Roman" w:cs="Times New Roman"/>
          <w:sz w:val="26"/>
          <w:szCs w:val="26"/>
        </w:rPr>
        <w:t>, IZM</w:t>
      </w:r>
      <w:r w:rsidR="000F7842">
        <w:rPr>
          <w:rFonts w:ascii="Times New Roman" w:hAnsi="Times New Roman" w:cs="Times New Roman"/>
          <w:sz w:val="26"/>
          <w:szCs w:val="26"/>
        </w:rPr>
        <w:t xml:space="preserve"> valsts sekretārs</w:t>
      </w:r>
      <w:r w:rsidR="007A1CDE" w:rsidRPr="007A1CDE">
        <w:rPr>
          <w:rFonts w:ascii="Times New Roman" w:hAnsi="Times New Roman" w:cs="Times New Roman"/>
          <w:sz w:val="26"/>
          <w:szCs w:val="26"/>
        </w:rPr>
        <w:t>, A</w:t>
      </w:r>
      <w:r w:rsidR="007A1CDE">
        <w:rPr>
          <w:rFonts w:ascii="Times New Roman" w:hAnsi="Times New Roman" w:cs="Times New Roman"/>
          <w:sz w:val="26"/>
          <w:szCs w:val="26"/>
        </w:rPr>
        <w:t>IP</w:t>
      </w:r>
      <w:r w:rsidR="000F7842">
        <w:rPr>
          <w:rFonts w:ascii="Times New Roman" w:hAnsi="Times New Roman" w:cs="Times New Roman"/>
          <w:sz w:val="26"/>
          <w:szCs w:val="26"/>
        </w:rPr>
        <w:t xml:space="preserve"> priekšsēdētājs</w:t>
      </w:r>
      <w:r w:rsidR="007A1CDE">
        <w:rPr>
          <w:rFonts w:ascii="Times New Roman" w:hAnsi="Times New Roman" w:cs="Times New Roman"/>
          <w:sz w:val="26"/>
          <w:szCs w:val="26"/>
        </w:rPr>
        <w:t>, RP</w:t>
      </w:r>
      <w:r w:rsidR="000F7842">
        <w:rPr>
          <w:rFonts w:ascii="Times New Roman" w:hAnsi="Times New Roman" w:cs="Times New Roman"/>
          <w:sz w:val="26"/>
          <w:szCs w:val="26"/>
        </w:rPr>
        <w:t xml:space="preserve"> priekšsēdētājs</w:t>
      </w:r>
      <w:r w:rsidR="007A1CDE">
        <w:rPr>
          <w:rFonts w:ascii="Times New Roman" w:hAnsi="Times New Roman" w:cs="Times New Roman"/>
          <w:sz w:val="26"/>
          <w:szCs w:val="26"/>
        </w:rPr>
        <w:t>, LKA</w:t>
      </w:r>
      <w:r w:rsidR="000F7842">
        <w:rPr>
          <w:rFonts w:ascii="Times New Roman" w:hAnsi="Times New Roman" w:cs="Times New Roman"/>
          <w:sz w:val="26"/>
          <w:szCs w:val="26"/>
        </w:rPr>
        <w:t xml:space="preserve"> priekšsēdētājs</w:t>
      </w:r>
      <w:r w:rsidR="007A1CDE">
        <w:rPr>
          <w:rFonts w:ascii="Times New Roman" w:hAnsi="Times New Roman" w:cs="Times New Roman"/>
          <w:sz w:val="26"/>
          <w:szCs w:val="26"/>
        </w:rPr>
        <w:t>, LDDK</w:t>
      </w:r>
      <w:r w:rsidR="000F7842">
        <w:rPr>
          <w:rFonts w:ascii="Times New Roman" w:hAnsi="Times New Roman" w:cs="Times New Roman"/>
          <w:sz w:val="26"/>
          <w:szCs w:val="26"/>
        </w:rPr>
        <w:t xml:space="preserve"> ģenerāldirektors</w:t>
      </w:r>
      <w:r w:rsidR="007A1CDE">
        <w:rPr>
          <w:rFonts w:ascii="Times New Roman" w:hAnsi="Times New Roman" w:cs="Times New Roman"/>
          <w:sz w:val="26"/>
          <w:szCs w:val="26"/>
        </w:rPr>
        <w:t>, LTRK</w:t>
      </w:r>
      <w:r w:rsidR="004D4BCF">
        <w:rPr>
          <w:rFonts w:ascii="Times New Roman" w:hAnsi="Times New Roman" w:cs="Times New Roman"/>
          <w:sz w:val="26"/>
          <w:szCs w:val="26"/>
        </w:rPr>
        <w:t xml:space="preserve"> Valdes priekšsēdētājs</w:t>
      </w:r>
      <w:r w:rsidR="007A1CDE">
        <w:rPr>
          <w:rFonts w:ascii="Times New Roman" w:hAnsi="Times New Roman" w:cs="Times New Roman"/>
          <w:sz w:val="26"/>
          <w:szCs w:val="26"/>
        </w:rPr>
        <w:t>, LSA</w:t>
      </w:r>
      <w:r w:rsidR="007F4163">
        <w:rPr>
          <w:rFonts w:ascii="Times New Roman" w:hAnsi="Times New Roman" w:cs="Times New Roman"/>
          <w:sz w:val="26"/>
          <w:szCs w:val="26"/>
        </w:rPr>
        <w:t xml:space="preserve"> prezidents</w:t>
      </w:r>
      <w:r w:rsidR="007A1CDE">
        <w:rPr>
          <w:rFonts w:ascii="Times New Roman" w:hAnsi="Times New Roman" w:cs="Times New Roman"/>
          <w:sz w:val="26"/>
          <w:szCs w:val="26"/>
        </w:rPr>
        <w:t xml:space="preserve">, </w:t>
      </w:r>
      <w:r w:rsidR="007A1CDE" w:rsidRPr="007A1CDE">
        <w:rPr>
          <w:rFonts w:ascii="Times New Roman" w:hAnsi="Times New Roman" w:cs="Times New Roman"/>
          <w:sz w:val="26"/>
          <w:szCs w:val="26"/>
        </w:rPr>
        <w:t>LIZDA</w:t>
      </w:r>
      <w:r w:rsidR="007F4163">
        <w:rPr>
          <w:rFonts w:ascii="Times New Roman" w:hAnsi="Times New Roman" w:cs="Times New Roman"/>
          <w:sz w:val="26"/>
          <w:szCs w:val="26"/>
        </w:rPr>
        <w:t xml:space="preserve"> priekšsēdētājs</w:t>
      </w:r>
      <w:r w:rsidR="007A1CDE" w:rsidRPr="007A1CDE">
        <w:rPr>
          <w:rFonts w:ascii="Times New Roman" w:hAnsi="Times New Roman" w:cs="Times New Roman"/>
          <w:sz w:val="26"/>
          <w:szCs w:val="26"/>
        </w:rPr>
        <w:t>, Tautsaimniecības padom</w:t>
      </w:r>
      <w:r w:rsidR="009245AF">
        <w:rPr>
          <w:rFonts w:ascii="Times New Roman" w:hAnsi="Times New Roman" w:cs="Times New Roman"/>
          <w:sz w:val="26"/>
          <w:szCs w:val="26"/>
        </w:rPr>
        <w:t>e</w:t>
      </w:r>
      <w:r w:rsidR="00516386">
        <w:rPr>
          <w:rFonts w:ascii="Times New Roman" w:hAnsi="Times New Roman" w:cs="Times New Roman"/>
          <w:sz w:val="26"/>
          <w:szCs w:val="26"/>
        </w:rPr>
        <w:t>s pārstāvis</w:t>
      </w:r>
      <w:r w:rsidR="007A1CDE" w:rsidRPr="007A1CDE">
        <w:rPr>
          <w:rFonts w:ascii="Times New Roman" w:hAnsi="Times New Roman" w:cs="Times New Roman"/>
          <w:sz w:val="26"/>
          <w:szCs w:val="26"/>
        </w:rPr>
        <w:t>, starptautiskas institūcijas pārstāvis</w:t>
      </w:r>
      <w:r w:rsidR="009245AF">
        <w:rPr>
          <w:rFonts w:ascii="Times New Roman" w:hAnsi="Times New Roman" w:cs="Times New Roman"/>
          <w:sz w:val="26"/>
          <w:szCs w:val="26"/>
        </w:rPr>
        <w:t>/eksperts</w:t>
      </w:r>
      <w:r w:rsidR="00516386">
        <w:rPr>
          <w:rFonts w:ascii="Times New Roman" w:hAnsi="Times New Roman" w:cs="Times New Roman"/>
          <w:sz w:val="26"/>
          <w:szCs w:val="26"/>
        </w:rPr>
        <w:t>)</w:t>
      </w:r>
      <w:r w:rsidR="009245AF">
        <w:rPr>
          <w:rFonts w:ascii="Times New Roman" w:hAnsi="Times New Roman" w:cs="Times New Roman"/>
          <w:sz w:val="26"/>
          <w:szCs w:val="26"/>
        </w:rPr>
        <w:t>:</w:t>
      </w:r>
    </w:p>
    <w:p w:rsidR="009245AF" w:rsidRDefault="009245AF" w:rsidP="009055FB">
      <w:pPr>
        <w:pStyle w:val="ListParagraph"/>
        <w:numPr>
          <w:ilvl w:val="0"/>
          <w:numId w:val="33"/>
        </w:numPr>
        <w:spacing w:after="0" w:line="240" w:lineRule="auto"/>
        <w:jc w:val="both"/>
        <w:rPr>
          <w:rFonts w:ascii="Times New Roman" w:hAnsi="Times New Roman" w:cs="Times New Roman"/>
          <w:sz w:val="26"/>
          <w:szCs w:val="26"/>
        </w:rPr>
      </w:pPr>
      <w:r w:rsidRPr="009245AF">
        <w:rPr>
          <w:rFonts w:ascii="Times New Roman" w:hAnsi="Times New Roman" w:cs="Times New Roman"/>
          <w:sz w:val="26"/>
          <w:szCs w:val="26"/>
        </w:rPr>
        <w:t>v</w:t>
      </w:r>
      <w:r w:rsidR="007A1CDE" w:rsidRPr="00FB0D23">
        <w:rPr>
          <w:rFonts w:ascii="Times New Roman" w:hAnsi="Times New Roman" w:cs="Times New Roman"/>
          <w:sz w:val="26"/>
          <w:szCs w:val="26"/>
        </w:rPr>
        <w:t>eic stratēģisku vadību un plānošanu  attiecībā uz akreditācijas funkcijas īstenošanu AIC darbībā;</w:t>
      </w:r>
    </w:p>
    <w:p w:rsidR="009351AA" w:rsidRDefault="007A1CDE" w:rsidP="009055FB">
      <w:pPr>
        <w:pStyle w:val="ListParagraph"/>
        <w:numPr>
          <w:ilvl w:val="0"/>
          <w:numId w:val="33"/>
        </w:numPr>
        <w:spacing w:after="0" w:line="240" w:lineRule="auto"/>
        <w:jc w:val="both"/>
        <w:rPr>
          <w:rFonts w:ascii="Times New Roman" w:hAnsi="Times New Roman" w:cs="Times New Roman"/>
          <w:sz w:val="26"/>
          <w:szCs w:val="26"/>
        </w:rPr>
      </w:pPr>
      <w:r w:rsidRPr="009245AF">
        <w:rPr>
          <w:rFonts w:ascii="Times New Roman" w:hAnsi="Times New Roman" w:cs="Times New Roman"/>
          <w:sz w:val="26"/>
          <w:szCs w:val="26"/>
        </w:rPr>
        <w:t>plāno akreditācijas institūcijas iekļaušanos Eiropas u</w:t>
      </w:r>
      <w:r w:rsidR="009245AF">
        <w:rPr>
          <w:rFonts w:ascii="Times New Roman" w:hAnsi="Times New Roman" w:cs="Times New Roman"/>
          <w:sz w:val="26"/>
          <w:szCs w:val="26"/>
        </w:rPr>
        <w:t>n pasaules akreditācijas tīklos</w:t>
      </w:r>
      <w:r w:rsidR="009351AA">
        <w:rPr>
          <w:rFonts w:ascii="Times New Roman" w:hAnsi="Times New Roman" w:cs="Times New Roman"/>
          <w:sz w:val="26"/>
          <w:szCs w:val="26"/>
        </w:rPr>
        <w:t>;</w:t>
      </w:r>
      <w:r w:rsidR="009351AA" w:rsidRPr="009351AA">
        <w:rPr>
          <w:rFonts w:ascii="Times New Roman" w:hAnsi="Times New Roman" w:cs="Times New Roman"/>
          <w:sz w:val="26"/>
          <w:szCs w:val="26"/>
        </w:rPr>
        <w:t xml:space="preserve"> </w:t>
      </w:r>
    </w:p>
    <w:p w:rsidR="00F42589" w:rsidRDefault="00F42589" w:rsidP="009055FB">
      <w:pPr>
        <w:pStyle w:val="ListParagraph"/>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apstiprina </w:t>
      </w:r>
      <w:r w:rsidR="00665377">
        <w:rPr>
          <w:rFonts w:ascii="Times New Roman" w:hAnsi="Times New Roman" w:cs="Times New Roman"/>
          <w:sz w:val="26"/>
          <w:szCs w:val="26"/>
        </w:rPr>
        <w:t>A</w:t>
      </w:r>
      <w:r w:rsidRPr="00FB0D23">
        <w:rPr>
          <w:rFonts w:ascii="Times New Roman" w:hAnsi="Times New Roman" w:cs="Times New Roman"/>
          <w:sz w:val="26"/>
          <w:szCs w:val="26"/>
        </w:rPr>
        <w:t>kreditācijas/ licencēšanas komisijas, kā arī Apelācijas komisijas locekļu atlases kritērijus</w:t>
      </w:r>
      <w:r>
        <w:rPr>
          <w:rFonts w:ascii="Times New Roman" w:hAnsi="Times New Roman" w:cs="Times New Roman"/>
          <w:sz w:val="26"/>
          <w:szCs w:val="26"/>
        </w:rPr>
        <w:t>;</w:t>
      </w:r>
    </w:p>
    <w:p w:rsidR="007A1CDE" w:rsidRDefault="00F97D24" w:rsidP="009055FB">
      <w:pPr>
        <w:pStyle w:val="ListParagraph"/>
        <w:numPr>
          <w:ilvl w:val="0"/>
          <w:numId w:val="3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apstiprina A</w:t>
      </w:r>
      <w:r w:rsidR="009351AA" w:rsidRPr="007A1CDE">
        <w:rPr>
          <w:rFonts w:ascii="Times New Roman" w:hAnsi="Times New Roman" w:cs="Times New Roman"/>
          <w:sz w:val="26"/>
          <w:szCs w:val="26"/>
        </w:rPr>
        <w:t xml:space="preserve">pelācijas komisijas </w:t>
      </w:r>
      <w:r w:rsidR="009351AA">
        <w:rPr>
          <w:rFonts w:ascii="Times New Roman" w:hAnsi="Times New Roman" w:cs="Times New Roman"/>
          <w:sz w:val="26"/>
          <w:szCs w:val="26"/>
        </w:rPr>
        <w:t xml:space="preserve">un </w:t>
      </w:r>
      <w:r w:rsidR="00665377">
        <w:rPr>
          <w:rFonts w:ascii="Times New Roman" w:hAnsi="Times New Roman" w:cs="Times New Roman"/>
          <w:sz w:val="26"/>
          <w:szCs w:val="26"/>
        </w:rPr>
        <w:t>A</w:t>
      </w:r>
      <w:r w:rsidR="009351AA">
        <w:rPr>
          <w:rFonts w:ascii="Times New Roman" w:hAnsi="Times New Roman" w:cs="Times New Roman"/>
          <w:sz w:val="26"/>
          <w:szCs w:val="26"/>
        </w:rPr>
        <w:t xml:space="preserve">kreditācijas/ licencēšanas komisijas </w:t>
      </w:r>
      <w:r w:rsidR="009351AA" w:rsidRPr="007A1CDE">
        <w:rPr>
          <w:rFonts w:ascii="Times New Roman" w:hAnsi="Times New Roman" w:cs="Times New Roman"/>
          <w:sz w:val="26"/>
          <w:szCs w:val="26"/>
        </w:rPr>
        <w:t>sastāvu</w:t>
      </w:r>
      <w:r w:rsidR="00FC5125">
        <w:rPr>
          <w:rFonts w:ascii="Times New Roman" w:hAnsi="Times New Roman" w:cs="Times New Roman"/>
          <w:sz w:val="26"/>
          <w:szCs w:val="26"/>
        </w:rPr>
        <w:t>s</w:t>
      </w:r>
      <w:r w:rsidR="009351AA">
        <w:rPr>
          <w:rFonts w:ascii="Times New Roman" w:hAnsi="Times New Roman" w:cs="Times New Roman"/>
          <w:sz w:val="26"/>
          <w:szCs w:val="26"/>
        </w:rPr>
        <w:t>, priekšsēdētāju</w:t>
      </w:r>
      <w:r w:rsidR="00FC5125">
        <w:rPr>
          <w:rFonts w:ascii="Times New Roman" w:hAnsi="Times New Roman" w:cs="Times New Roman"/>
          <w:sz w:val="26"/>
          <w:szCs w:val="26"/>
        </w:rPr>
        <w:t>s</w:t>
      </w:r>
      <w:r w:rsidR="009351AA">
        <w:rPr>
          <w:rFonts w:ascii="Times New Roman" w:hAnsi="Times New Roman" w:cs="Times New Roman"/>
          <w:sz w:val="26"/>
          <w:szCs w:val="26"/>
        </w:rPr>
        <w:t xml:space="preserve"> un viņ</w:t>
      </w:r>
      <w:r w:rsidR="00FC3AF1">
        <w:rPr>
          <w:rFonts w:ascii="Times New Roman" w:hAnsi="Times New Roman" w:cs="Times New Roman"/>
          <w:sz w:val="26"/>
          <w:szCs w:val="26"/>
        </w:rPr>
        <w:t>u</w:t>
      </w:r>
      <w:r w:rsidR="009351AA">
        <w:rPr>
          <w:rFonts w:ascii="Times New Roman" w:hAnsi="Times New Roman" w:cs="Times New Roman"/>
          <w:sz w:val="26"/>
          <w:szCs w:val="26"/>
        </w:rPr>
        <w:t xml:space="preserve"> vietnieku</w:t>
      </w:r>
      <w:r w:rsidR="00FC5125">
        <w:rPr>
          <w:rFonts w:ascii="Times New Roman" w:hAnsi="Times New Roman" w:cs="Times New Roman"/>
          <w:sz w:val="26"/>
          <w:szCs w:val="26"/>
        </w:rPr>
        <w:t>s</w:t>
      </w:r>
      <w:r w:rsidR="009351AA">
        <w:rPr>
          <w:rFonts w:ascii="Times New Roman" w:hAnsi="Times New Roman" w:cs="Times New Roman"/>
          <w:sz w:val="26"/>
          <w:szCs w:val="26"/>
        </w:rPr>
        <w:t>.</w:t>
      </w:r>
    </w:p>
    <w:p w:rsidR="002977BD" w:rsidRPr="009245AF" w:rsidRDefault="002977BD" w:rsidP="009055FB">
      <w:pPr>
        <w:pStyle w:val="ListParagraph"/>
        <w:spacing w:after="0" w:line="240" w:lineRule="auto"/>
        <w:ind w:left="1440"/>
        <w:jc w:val="both"/>
        <w:rPr>
          <w:rFonts w:ascii="Times New Roman" w:hAnsi="Times New Roman" w:cs="Times New Roman"/>
          <w:sz w:val="26"/>
          <w:szCs w:val="26"/>
        </w:rPr>
      </w:pPr>
    </w:p>
    <w:p w:rsidR="007A1CDE" w:rsidRPr="00FB0D23" w:rsidRDefault="009245AF" w:rsidP="009055FB">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Augstākās izglītības kvalitātes nodrošināšanas departaments (sekretariāts)</w:t>
      </w:r>
      <w:r w:rsidR="007A1CDE" w:rsidRPr="00FB0D23">
        <w:rPr>
          <w:rFonts w:ascii="Times New Roman" w:hAnsi="Times New Roman" w:cs="Times New Roman"/>
          <w:b/>
          <w:sz w:val="26"/>
          <w:szCs w:val="26"/>
        </w:rPr>
        <w:t>:</w:t>
      </w:r>
    </w:p>
    <w:p w:rsidR="009245AF" w:rsidRDefault="009245AF" w:rsidP="009055FB">
      <w:pPr>
        <w:pStyle w:val="ListParagraph"/>
        <w:numPr>
          <w:ilvl w:val="0"/>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i</w:t>
      </w:r>
      <w:r w:rsidR="007A1CDE" w:rsidRPr="00FB0D23">
        <w:rPr>
          <w:rFonts w:ascii="Times New Roman" w:hAnsi="Times New Roman" w:cs="Times New Roman"/>
          <w:sz w:val="26"/>
          <w:szCs w:val="26"/>
        </w:rPr>
        <w:t xml:space="preserve">zstrādā ESG atbilstošu ārējās kvalitātes novērtēšanas </w:t>
      </w:r>
      <w:r>
        <w:rPr>
          <w:rFonts w:ascii="Times New Roman" w:hAnsi="Times New Roman" w:cs="Times New Roman"/>
          <w:sz w:val="26"/>
          <w:szCs w:val="26"/>
        </w:rPr>
        <w:t xml:space="preserve">metodoloģiju, procedūras, rokasgrāmatas un citus iekšējos </w:t>
      </w:r>
      <w:r w:rsidR="007A1CDE" w:rsidRPr="00FB0D23">
        <w:rPr>
          <w:rFonts w:ascii="Times New Roman" w:hAnsi="Times New Roman" w:cs="Times New Roman"/>
          <w:sz w:val="26"/>
          <w:szCs w:val="26"/>
        </w:rPr>
        <w:t>normatīvos aktus un darba vadlīnijas;</w:t>
      </w:r>
    </w:p>
    <w:p w:rsidR="009245AF" w:rsidRDefault="009245AF" w:rsidP="009055FB">
      <w:pPr>
        <w:pStyle w:val="ListParagraph"/>
        <w:numPr>
          <w:ilvl w:val="0"/>
          <w:numId w:val="34"/>
        </w:numPr>
        <w:spacing w:after="0" w:line="240" w:lineRule="auto"/>
        <w:jc w:val="both"/>
        <w:rPr>
          <w:rFonts w:ascii="Times New Roman" w:hAnsi="Times New Roman" w:cs="Times New Roman"/>
          <w:sz w:val="26"/>
          <w:szCs w:val="26"/>
        </w:rPr>
      </w:pPr>
      <w:r w:rsidRPr="009245AF">
        <w:rPr>
          <w:rFonts w:ascii="Times New Roman" w:hAnsi="Times New Roman" w:cs="Times New Roman"/>
          <w:sz w:val="26"/>
          <w:szCs w:val="26"/>
        </w:rPr>
        <w:t>i</w:t>
      </w:r>
      <w:r w:rsidR="007A1CDE" w:rsidRPr="00FB0D23">
        <w:rPr>
          <w:rFonts w:ascii="Times New Roman" w:hAnsi="Times New Roman" w:cs="Times New Roman"/>
          <w:sz w:val="26"/>
          <w:szCs w:val="26"/>
        </w:rPr>
        <w:t xml:space="preserve">zstrādā </w:t>
      </w:r>
      <w:r w:rsidR="00665377">
        <w:rPr>
          <w:rFonts w:ascii="Times New Roman" w:hAnsi="Times New Roman" w:cs="Times New Roman"/>
          <w:sz w:val="26"/>
          <w:szCs w:val="26"/>
        </w:rPr>
        <w:t>A</w:t>
      </w:r>
      <w:r w:rsidR="007A1CDE" w:rsidRPr="00FB0D23">
        <w:rPr>
          <w:rFonts w:ascii="Times New Roman" w:hAnsi="Times New Roman" w:cs="Times New Roman"/>
          <w:sz w:val="26"/>
          <w:szCs w:val="26"/>
        </w:rPr>
        <w:t>kreditācijas/ licencēšanas komisijas, kā arī Apelācijas komisijas locekļu atlases kritērijus</w:t>
      </w:r>
      <w:r w:rsidRPr="009245AF">
        <w:rPr>
          <w:rFonts w:ascii="Times New Roman" w:hAnsi="Times New Roman" w:cs="Times New Roman"/>
          <w:sz w:val="26"/>
          <w:szCs w:val="26"/>
        </w:rPr>
        <w:t>;</w:t>
      </w:r>
    </w:p>
    <w:p w:rsidR="009245AF" w:rsidRDefault="009245AF" w:rsidP="009055FB">
      <w:pPr>
        <w:pStyle w:val="ListParagraph"/>
        <w:numPr>
          <w:ilvl w:val="0"/>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p</w:t>
      </w:r>
      <w:r w:rsidR="007A1CDE" w:rsidRPr="009245AF">
        <w:rPr>
          <w:rFonts w:ascii="Times New Roman" w:hAnsi="Times New Roman" w:cs="Times New Roman"/>
          <w:sz w:val="26"/>
          <w:szCs w:val="26"/>
        </w:rPr>
        <w:t>iedalās nepieciešamo normatīvo aktu izstrādē</w:t>
      </w:r>
      <w:r>
        <w:rPr>
          <w:rFonts w:ascii="Times New Roman" w:hAnsi="Times New Roman" w:cs="Times New Roman"/>
          <w:sz w:val="26"/>
          <w:szCs w:val="26"/>
        </w:rPr>
        <w:t xml:space="preserve"> </w:t>
      </w:r>
      <w:r w:rsidR="007A1CDE" w:rsidRPr="009245AF">
        <w:rPr>
          <w:rFonts w:ascii="Times New Roman" w:hAnsi="Times New Roman" w:cs="Times New Roman"/>
          <w:sz w:val="26"/>
          <w:szCs w:val="26"/>
        </w:rPr>
        <w:t>akreditācijas un licencēšanas procesa nodrošināšanai</w:t>
      </w:r>
      <w:r>
        <w:rPr>
          <w:rFonts w:ascii="Times New Roman" w:hAnsi="Times New Roman" w:cs="Times New Roman"/>
          <w:sz w:val="26"/>
          <w:szCs w:val="26"/>
        </w:rPr>
        <w:t>;</w:t>
      </w:r>
    </w:p>
    <w:p w:rsidR="009245AF" w:rsidRDefault="007A1CDE" w:rsidP="009055FB">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nodrošina:</w:t>
      </w:r>
    </w:p>
    <w:p w:rsidR="009245AF" w:rsidRDefault="007A1CDE" w:rsidP="009055FB">
      <w:pPr>
        <w:pStyle w:val="ListParagraph"/>
        <w:numPr>
          <w:ilvl w:val="1"/>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informācijas </w:t>
      </w:r>
      <w:r w:rsidR="00063F97">
        <w:rPr>
          <w:rFonts w:ascii="Times New Roman" w:hAnsi="Times New Roman" w:cs="Times New Roman"/>
          <w:sz w:val="26"/>
          <w:szCs w:val="26"/>
        </w:rPr>
        <w:t>apriti</w:t>
      </w:r>
      <w:r w:rsidRPr="00FB0D23">
        <w:rPr>
          <w:rFonts w:ascii="Times New Roman" w:hAnsi="Times New Roman" w:cs="Times New Roman"/>
          <w:sz w:val="26"/>
          <w:szCs w:val="26"/>
        </w:rPr>
        <w:t>,</w:t>
      </w:r>
    </w:p>
    <w:p w:rsidR="009245AF" w:rsidRDefault="009245AF" w:rsidP="009055FB">
      <w:pPr>
        <w:pStyle w:val="ListParagraph"/>
        <w:numPr>
          <w:ilvl w:val="1"/>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novērtēšanas ekspertu</w:t>
      </w:r>
      <w:r w:rsidR="007A1CDE" w:rsidRPr="00FB0D23">
        <w:rPr>
          <w:rFonts w:ascii="Times New Roman" w:hAnsi="Times New Roman" w:cs="Times New Roman"/>
          <w:sz w:val="26"/>
          <w:szCs w:val="26"/>
        </w:rPr>
        <w:t xml:space="preserve"> vizīšu norisi,</w:t>
      </w:r>
    </w:p>
    <w:p w:rsidR="009245AF" w:rsidRPr="00625425" w:rsidRDefault="007A1CDE" w:rsidP="009055FB">
      <w:pPr>
        <w:pStyle w:val="ListParagraph"/>
        <w:numPr>
          <w:ilvl w:val="1"/>
          <w:numId w:val="34"/>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ekspertu atlasi un apmācību norisi,</w:t>
      </w:r>
      <w:r w:rsidR="003939DA" w:rsidRPr="00625425">
        <w:rPr>
          <w:rFonts w:ascii="Times New Roman" w:hAnsi="Times New Roman" w:cs="Times New Roman"/>
          <w:sz w:val="26"/>
          <w:szCs w:val="26"/>
        </w:rPr>
        <w:t xml:space="preserve"> </w:t>
      </w:r>
      <w:r w:rsidR="003939DA" w:rsidRPr="00625425">
        <w:rPr>
          <w:rFonts w:ascii="Times New Roman" w:hAnsi="Times New Roman"/>
          <w:sz w:val="26"/>
          <w:szCs w:val="26"/>
        </w:rPr>
        <w:t>nepieciešamības gadījumā veicot starptautisku ekspertu atlasi,</w:t>
      </w:r>
    </w:p>
    <w:p w:rsidR="009245AF" w:rsidRDefault="007A1CDE" w:rsidP="009055FB">
      <w:pPr>
        <w:pStyle w:val="ListParagraph"/>
        <w:numPr>
          <w:ilvl w:val="1"/>
          <w:numId w:val="34"/>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 xml:space="preserve">informācijas apmaiņu starp augstskolām </w:t>
      </w:r>
      <w:r w:rsidRPr="00FB0D23">
        <w:rPr>
          <w:rFonts w:ascii="Times New Roman" w:hAnsi="Times New Roman" w:cs="Times New Roman"/>
          <w:sz w:val="26"/>
          <w:szCs w:val="26"/>
        </w:rPr>
        <w:t>un ekspertiem (tai skaitā, uzraugot ziņojumu kvalitāti arī saturiski savas kompetences ietvaros);</w:t>
      </w:r>
    </w:p>
    <w:p w:rsidR="00665377" w:rsidRDefault="00665377" w:rsidP="009055FB">
      <w:pPr>
        <w:pStyle w:val="ListParagraph"/>
        <w:numPr>
          <w:ilvl w:val="1"/>
          <w:numId w:val="3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akreditācijas un licencēšanas procesa dokumentēšanu un arhivēšanu.</w:t>
      </w:r>
    </w:p>
    <w:p w:rsidR="009245AF" w:rsidRDefault="007A1CDE" w:rsidP="009055FB">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organizē </w:t>
      </w:r>
      <w:r w:rsidR="00665377" w:rsidRPr="00665377">
        <w:rPr>
          <w:rFonts w:ascii="Times New Roman" w:hAnsi="Times New Roman" w:cs="Times New Roman"/>
          <w:sz w:val="26"/>
          <w:szCs w:val="26"/>
        </w:rPr>
        <w:t>Augstākās izglītības kvalitātes novērtēšanas padomes</w:t>
      </w:r>
      <w:r w:rsidRPr="00FB0D23">
        <w:rPr>
          <w:rFonts w:ascii="Times New Roman" w:hAnsi="Times New Roman" w:cs="Times New Roman"/>
          <w:sz w:val="26"/>
          <w:szCs w:val="26"/>
        </w:rPr>
        <w:t xml:space="preserve"> un </w:t>
      </w:r>
      <w:r w:rsidR="00665377">
        <w:rPr>
          <w:rFonts w:ascii="Times New Roman" w:hAnsi="Times New Roman" w:cs="Times New Roman"/>
          <w:sz w:val="26"/>
          <w:szCs w:val="26"/>
        </w:rPr>
        <w:t>A</w:t>
      </w:r>
      <w:r w:rsidRPr="00FB0D23">
        <w:rPr>
          <w:rFonts w:ascii="Times New Roman" w:hAnsi="Times New Roman" w:cs="Times New Roman"/>
          <w:sz w:val="26"/>
          <w:szCs w:val="26"/>
        </w:rPr>
        <w:t>kreditācijas</w:t>
      </w:r>
      <w:r w:rsidR="009245AF">
        <w:rPr>
          <w:rFonts w:ascii="Times New Roman" w:hAnsi="Times New Roman" w:cs="Times New Roman"/>
          <w:sz w:val="26"/>
          <w:szCs w:val="26"/>
        </w:rPr>
        <w:t>/</w:t>
      </w:r>
      <w:r w:rsidRPr="00FB0D23">
        <w:rPr>
          <w:rFonts w:ascii="Times New Roman" w:hAnsi="Times New Roman" w:cs="Times New Roman"/>
          <w:sz w:val="26"/>
          <w:szCs w:val="26"/>
        </w:rPr>
        <w:t xml:space="preserve"> licencēšanas komisijas sēdes, sagatavo to norisei nepieciešamo dokumentāciju, t.sk., pieprasa un saņem ziņas no valsts reģistriem;</w:t>
      </w:r>
    </w:p>
    <w:p w:rsidR="009245AF" w:rsidRDefault="007A1CDE" w:rsidP="009055FB">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sagatavo </w:t>
      </w:r>
      <w:r w:rsidR="00665377">
        <w:rPr>
          <w:rFonts w:ascii="Times New Roman" w:hAnsi="Times New Roman" w:cs="Times New Roman"/>
          <w:sz w:val="26"/>
          <w:szCs w:val="26"/>
        </w:rPr>
        <w:t>A</w:t>
      </w:r>
      <w:r w:rsidRPr="00FB0D23">
        <w:rPr>
          <w:rFonts w:ascii="Times New Roman" w:hAnsi="Times New Roman" w:cs="Times New Roman"/>
          <w:sz w:val="26"/>
          <w:szCs w:val="26"/>
        </w:rPr>
        <w:t>kreditācijas</w:t>
      </w:r>
      <w:r w:rsidR="009245AF">
        <w:rPr>
          <w:rFonts w:ascii="Times New Roman" w:hAnsi="Times New Roman" w:cs="Times New Roman"/>
          <w:sz w:val="26"/>
          <w:szCs w:val="26"/>
        </w:rPr>
        <w:t xml:space="preserve">/ </w:t>
      </w:r>
      <w:r w:rsidRPr="00FB0D23">
        <w:rPr>
          <w:rFonts w:ascii="Times New Roman" w:hAnsi="Times New Roman" w:cs="Times New Roman"/>
          <w:sz w:val="26"/>
          <w:szCs w:val="26"/>
        </w:rPr>
        <w:t>licencēšanas komisijas lēmumprojektus;</w:t>
      </w:r>
    </w:p>
    <w:p w:rsidR="009245AF" w:rsidRDefault="007A1CDE" w:rsidP="009055FB">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 xml:space="preserve">sagatavo nepieciešamos pārskatus un atskaites; </w:t>
      </w:r>
    </w:p>
    <w:p w:rsidR="009245AF" w:rsidRDefault="007A1CDE" w:rsidP="009055FB">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izveido (iegūstot info no iepriekšējiem akreditācijas nodrošinātājiem), uztur un papildina datu bāzi (ekspertu un studiju programmu/virzienu);</w:t>
      </w:r>
    </w:p>
    <w:p w:rsidR="007A1CDE" w:rsidRDefault="007A1CDE" w:rsidP="009055FB">
      <w:pPr>
        <w:pStyle w:val="ListParagraph"/>
        <w:numPr>
          <w:ilvl w:val="0"/>
          <w:numId w:val="34"/>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sniedz nepieciešamo informāciju, konsultācijas un atbalstu augstskolām</w:t>
      </w:r>
      <w:r w:rsidR="009245AF">
        <w:rPr>
          <w:rFonts w:ascii="Times New Roman" w:hAnsi="Times New Roman" w:cs="Times New Roman"/>
          <w:sz w:val="26"/>
          <w:szCs w:val="26"/>
        </w:rPr>
        <w:t xml:space="preserve"> un citām ieinteresētajām pusēm.</w:t>
      </w:r>
    </w:p>
    <w:p w:rsidR="002977BD" w:rsidRPr="00FB0D23" w:rsidRDefault="002977BD" w:rsidP="009055FB">
      <w:pPr>
        <w:pStyle w:val="ListParagraph"/>
        <w:spacing w:after="0" w:line="240" w:lineRule="auto"/>
        <w:jc w:val="both"/>
        <w:rPr>
          <w:rFonts w:ascii="Times New Roman" w:hAnsi="Times New Roman" w:cs="Times New Roman"/>
          <w:sz w:val="26"/>
          <w:szCs w:val="26"/>
        </w:rPr>
      </w:pPr>
    </w:p>
    <w:p w:rsidR="007A1CDE" w:rsidRPr="00FB0D23" w:rsidRDefault="009245AF" w:rsidP="009055FB">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A</w:t>
      </w:r>
      <w:r w:rsidR="007A1CDE" w:rsidRPr="00FB0D23">
        <w:rPr>
          <w:rFonts w:ascii="Times New Roman" w:hAnsi="Times New Roman" w:cs="Times New Roman"/>
          <w:b/>
          <w:sz w:val="26"/>
          <w:szCs w:val="26"/>
        </w:rPr>
        <w:t>kreditācijas</w:t>
      </w:r>
      <w:r w:rsidRPr="00FB0D23">
        <w:rPr>
          <w:rFonts w:ascii="Times New Roman" w:hAnsi="Times New Roman" w:cs="Times New Roman"/>
          <w:b/>
          <w:sz w:val="26"/>
          <w:szCs w:val="26"/>
        </w:rPr>
        <w:t>/</w:t>
      </w:r>
      <w:r w:rsidR="007A1CDE" w:rsidRPr="00FB0D23">
        <w:rPr>
          <w:rFonts w:ascii="Times New Roman" w:hAnsi="Times New Roman" w:cs="Times New Roman"/>
          <w:b/>
          <w:sz w:val="26"/>
          <w:szCs w:val="26"/>
        </w:rPr>
        <w:t xml:space="preserve"> licencēšanas komisija</w:t>
      </w:r>
      <w:r w:rsidR="001C5576">
        <w:rPr>
          <w:rFonts w:ascii="Times New Roman" w:hAnsi="Times New Roman" w:cs="Times New Roman"/>
          <w:b/>
          <w:sz w:val="26"/>
          <w:szCs w:val="26"/>
        </w:rPr>
        <w:t xml:space="preserve"> </w:t>
      </w:r>
      <w:r w:rsidR="001C5576" w:rsidRPr="00FB0D23">
        <w:rPr>
          <w:rFonts w:ascii="Times New Roman" w:hAnsi="Times New Roman" w:cs="Times New Roman"/>
          <w:sz w:val="26"/>
          <w:szCs w:val="26"/>
        </w:rPr>
        <w:t>(</w:t>
      </w:r>
      <w:r w:rsidR="001C5576" w:rsidRPr="001C5576">
        <w:rPr>
          <w:rFonts w:ascii="Times New Roman" w:hAnsi="Times New Roman" w:cs="Times New Roman"/>
          <w:sz w:val="26"/>
          <w:szCs w:val="26"/>
        </w:rPr>
        <w:t xml:space="preserve">sastāv no 7 </w:t>
      </w:r>
      <w:r w:rsidR="00F42589">
        <w:rPr>
          <w:rFonts w:ascii="Times New Roman" w:hAnsi="Times New Roman" w:cs="Times New Roman"/>
          <w:sz w:val="26"/>
          <w:szCs w:val="26"/>
        </w:rPr>
        <w:t xml:space="preserve">atalgotiem </w:t>
      </w:r>
      <w:r w:rsidR="001C5576" w:rsidRPr="001C5576">
        <w:rPr>
          <w:rFonts w:ascii="Times New Roman" w:hAnsi="Times New Roman" w:cs="Times New Roman"/>
          <w:sz w:val="26"/>
          <w:szCs w:val="26"/>
        </w:rPr>
        <w:t>locekļiem, kas ir augstākās izglītības kvalitātes eksperti</w:t>
      </w:r>
      <w:r w:rsidR="001C5576" w:rsidRPr="00FB0D23">
        <w:rPr>
          <w:rFonts w:ascii="Times New Roman" w:hAnsi="Times New Roman" w:cs="Times New Roman"/>
          <w:sz w:val="26"/>
          <w:szCs w:val="26"/>
        </w:rPr>
        <w:t>)</w:t>
      </w:r>
      <w:r w:rsidR="007A1CDE" w:rsidRPr="00FB0D23">
        <w:rPr>
          <w:rFonts w:ascii="Times New Roman" w:hAnsi="Times New Roman" w:cs="Times New Roman"/>
          <w:b/>
          <w:sz w:val="26"/>
          <w:szCs w:val="26"/>
        </w:rPr>
        <w:t>:</w:t>
      </w:r>
    </w:p>
    <w:p w:rsidR="001C5576" w:rsidRDefault="007A1CDE" w:rsidP="009055FB">
      <w:pPr>
        <w:pStyle w:val="ListParagraph"/>
        <w:numPr>
          <w:ilvl w:val="0"/>
          <w:numId w:val="35"/>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apstiprina ekspertu sastāvu akreditācijas/licencēša</w:t>
      </w:r>
      <w:r w:rsidR="00F97D24">
        <w:rPr>
          <w:rFonts w:ascii="Times New Roman" w:hAnsi="Times New Roman" w:cs="Times New Roman"/>
          <w:sz w:val="26"/>
          <w:szCs w:val="26"/>
        </w:rPr>
        <w:t>nas vizītēm (pēc sekretariāta priekšlikuma</w:t>
      </w:r>
      <w:r w:rsidRPr="00FB0D23">
        <w:rPr>
          <w:rFonts w:ascii="Times New Roman" w:hAnsi="Times New Roman" w:cs="Times New Roman"/>
          <w:sz w:val="26"/>
          <w:szCs w:val="26"/>
        </w:rPr>
        <w:t>);</w:t>
      </w:r>
    </w:p>
    <w:p w:rsidR="007A1CDE" w:rsidRDefault="007A1CDE" w:rsidP="009055FB">
      <w:pPr>
        <w:pStyle w:val="ListParagraph"/>
        <w:numPr>
          <w:ilvl w:val="0"/>
          <w:numId w:val="35"/>
        </w:numPr>
        <w:spacing w:after="0" w:line="240" w:lineRule="auto"/>
        <w:jc w:val="both"/>
        <w:rPr>
          <w:rFonts w:ascii="Times New Roman" w:hAnsi="Times New Roman" w:cs="Times New Roman"/>
          <w:sz w:val="26"/>
          <w:szCs w:val="26"/>
        </w:rPr>
      </w:pPr>
      <w:r w:rsidRPr="00FB0D23">
        <w:rPr>
          <w:rFonts w:ascii="Times New Roman" w:hAnsi="Times New Roman" w:cs="Times New Roman"/>
          <w:sz w:val="26"/>
          <w:szCs w:val="26"/>
        </w:rPr>
        <w:t>balstoties uz ekspertu ziņojumu</w:t>
      </w:r>
      <w:r w:rsidR="002945F9">
        <w:rPr>
          <w:rFonts w:ascii="Times New Roman" w:hAnsi="Times New Roman" w:cs="Times New Roman"/>
          <w:sz w:val="26"/>
          <w:szCs w:val="26"/>
        </w:rPr>
        <w:t xml:space="preserve"> un citu informāciju</w:t>
      </w:r>
      <w:r w:rsidRPr="00FB0D23">
        <w:rPr>
          <w:rFonts w:ascii="Times New Roman" w:hAnsi="Times New Roman" w:cs="Times New Roman"/>
          <w:sz w:val="26"/>
          <w:szCs w:val="26"/>
        </w:rPr>
        <w:t>, pieņem lēmumu par akreditāciju vai licencēšanu studiju virzieniem vai programmām</w:t>
      </w:r>
      <w:r w:rsidR="001C5576">
        <w:rPr>
          <w:rFonts w:ascii="Times New Roman" w:hAnsi="Times New Roman" w:cs="Times New Roman"/>
          <w:sz w:val="26"/>
          <w:szCs w:val="26"/>
        </w:rPr>
        <w:t>.</w:t>
      </w:r>
    </w:p>
    <w:p w:rsidR="002977BD" w:rsidRPr="00FB0D23" w:rsidRDefault="002977BD" w:rsidP="009055FB">
      <w:pPr>
        <w:pStyle w:val="ListParagraph"/>
        <w:spacing w:after="0" w:line="240" w:lineRule="auto"/>
        <w:jc w:val="both"/>
        <w:rPr>
          <w:rFonts w:ascii="Times New Roman" w:hAnsi="Times New Roman" w:cs="Times New Roman"/>
          <w:sz w:val="26"/>
          <w:szCs w:val="26"/>
        </w:rPr>
      </w:pPr>
    </w:p>
    <w:p w:rsidR="001C5576" w:rsidRDefault="007A1CDE" w:rsidP="009055FB">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Eksperti:</w:t>
      </w:r>
    </w:p>
    <w:p w:rsidR="001C5576" w:rsidRPr="00FB0D23" w:rsidRDefault="001C5576" w:rsidP="009055FB">
      <w:pPr>
        <w:pStyle w:val="ListParagraph"/>
        <w:numPr>
          <w:ilvl w:val="0"/>
          <w:numId w:val="37"/>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p</w:t>
      </w:r>
      <w:r w:rsidR="007A1CDE" w:rsidRPr="00FB0D23">
        <w:rPr>
          <w:rFonts w:ascii="Times New Roman" w:hAnsi="Times New Roman" w:cs="Times New Roman"/>
          <w:sz w:val="26"/>
          <w:szCs w:val="26"/>
        </w:rPr>
        <w:t>iedalās apmācības</w:t>
      </w:r>
      <w:r>
        <w:rPr>
          <w:rFonts w:ascii="Times New Roman" w:hAnsi="Times New Roman" w:cs="Times New Roman"/>
          <w:sz w:val="26"/>
          <w:szCs w:val="26"/>
        </w:rPr>
        <w:t>;</w:t>
      </w:r>
    </w:p>
    <w:p w:rsidR="001C5576" w:rsidRDefault="001C5576" w:rsidP="009055FB">
      <w:pPr>
        <w:pStyle w:val="ListParagraph"/>
        <w:numPr>
          <w:ilvl w:val="0"/>
          <w:numId w:val="37"/>
        </w:numPr>
        <w:spacing w:after="0" w:line="240" w:lineRule="auto"/>
        <w:jc w:val="both"/>
        <w:rPr>
          <w:rFonts w:ascii="Times New Roman" w:hAnsi="Times New Roman" w:cs="Times New Roman"/>
          <w:sz w:val="26"/>
          <w:szCs w:val="26"/>
        </w:rPr>
      </w:pPr>
      <w:r w:rsidRPr="001C5576">
        <w:rPr>
          <w:rFonts w:ascii="Times New Roman" w:hAnsi="Times New Roman" w:cs="Times New Roman"/>
          <w:sz w:val="26"/>
          <w:szCs w:val="26"/>
        </w:rPr>
        <w:t>p</w:t>
      </w:r>
      <w:r w:rsidR="007A1CDE" w:rsidRPr="00FB0D23">
        <w:rPr>
          <w:rFonts w:ascii="Times New Roman" w:hAnsi="Times New Roman" w:cs="Times New Roman"/>
          <w:sz w:val="26"/>
          <w:szCs w:val="26"/>
        </w:rPr>
        <w:t>iedalās novērtēšanas vizītēs</w:t>
      </w:r>
      <w:r>
        <w:rPr>
          <w:rFonts w:ascii="Times New Roman" w:hAnsi="Times New Roman" w:cs="Times New Roman"/>
          <w:sz w:val="26"/>
          <w:szCs w:val="26"/>
        </w:rPr>
        <w:t>;</w:t>
      </w:r>
    </w:p>
    <w:p w:rsidR="001C5576" w:rsidRDefault="001C5576" w:rsidP="009055FB">
      <w:pPr>
        <w:pStyle w:val="ListParagraph"/>
        <w:numPr>
          <w:ilvl w:val="0"/>
          <w:numId w:val="37"/>
        </w:numPr>
        <w:spacing w:after="0" w:line="240" w:lineRule="auto"/>
        <w:jc w:val="both"/>
        <w:rPr>
          <w:rFonts w:ascii="Times New Roman" w:hAnsi="Times New Roman" w:cs="Times New Roman"/>
          <w:sz w:val="26"/>
          <w:szCs w:val="26"/>
        </w:rPr>
      </w:pPr>
      <w:r w:rsidRPr="001C5576">
        <w:rPr>
          <w:rFonts w:ascii="Times New Roman" w:hAnsi="Times New Roman" w:cs="Times New Roman"/>
          <w:sz w:val="26"/>
          <w:szCs w:val="26"/>
        </w:rPr>
        <w:t>s</w:t>
      </w:r>
      <w:r w:rsidR="007A1CDE" w:rsidRPr="001C5576">
        <w:rPr>
          <w:rFonts w:ascii="Times New Roman" w:hAnsi="Times New Roman" w:cs="Times New Roman"/>
          <w:sz w:val="26"/>
          <w:szCs w:val="26"/>
        </w:rPr>
        <w:t>agatavo ziņojumus</w:t>
      </w:r>
      <w:r w:rsidRPr="001C5576">
        <w:rPr>
          <w:rFonts w:ascii="Times New Roman" w:hAnsi="Times New Roman" w:cs="Times New Roman"/>
          <w:sz w:val="26"/>
          <w:szCs w:val="26"/>
        </w:rPr>
        <w:t>;</w:t>
      </w:r>
    </w:p>
    <w:p w:rsidR="001C5576" w:rsidRDefault="001C5576" w:rsidP="009055FB">
      <w:pPr>
        <w:pStyle w:val="ListParagraph"/>
        <w:numPr>
          <w:ilvl w:val="0"/>
          <w:numId w:val="3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w:t>
      </w:r>
      <w:r w:rsidR="007A1CDE" w:rsidRPr="001C5576">
        <w:rPr>
          <w:rFonts w:ascii="Times New Roman" w:hAnsi="Times New Roman" w:cs="Times New Roman"/>
          <w:sz w:val="26"/>
          <w:szCs w:val="26"/>
        </w:rPr>
        <w:t xml:space="preserve">niedz komentārus par sekretariāta iesūtītajām </w:t>
      </w:r>
      <w:r>
        <w:rPr>
          <w:rFonts w:ascii="Times New Roman" w:hAnsi="Times New Roman" w:cs="Times New Roman"/>
          <w:sz w:val="26"/>
          <w:szCs w:val="26"/>
        </w:rPr>
        <w:t>augstskolu</w:t>
      </w:r>
      <w:r w:rsidR="007A1CDE" w:rsidRPr="001C5576">
        <w:rPr>
          <w:rFonts w:ascii="Times New Roman" w:hAnsi="Times New Roman" w:cs="Times New Roman"/>
          <w:sz w:val="26"/>
          <w:szCs w:val="26"/>
        </w:rPr>
        <w:t xml:space="preserve"> iebild</w:t>
      </w:r>
      <w:r>
        <w:rPr>
          <w:rFonts w:ascii="Times New Roman" w:hAnsi="Times New Roman" w:cs="Times New Roman"/>
          <w:sz w:val="26"/>
          <w:szCs w:val="26"/>
        </w:rPr>
        <w:t>umiem;</w:t>
      </w:r>
    </w:p>
    <w:p w:rsidR="007A1CDE" w:rsidRDefault="001C5576" w:rsidP="009055FB">
      <w:pPr>
        <w:pStyle w:val="ListParagraph"/>
        <w:numPr>
          <w:ilvl w:val="0"/>
          <w:numId w:val="3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w:t>
      </w:r>
      <w:r w:rsidR="007A1CDE" w:rsidRPr="00FB0D23">
        <w:rPr>
          <w:rFonts w:ascii="Times New Roman" w:hAnsi="Times New Roman" w:cs="Times New Roman"/>
          <w:sz w:val="26"/>
          <w:szCs w:val="26"/>
        </w:rPr>
        <w:t>niedz atgriezenisko saiti par ārējās kvalitātes novērtēšanas procesu Latvijā</w:t>
      </w:r>
      <w:r>
        <w:rPr>
          <w:rFonts w:ascii="Times New Roman" w:hAnsi="Times New Roman" w:cs="Times New Roman"/>
          <w:sz w:val="26"/>
          <w:szCs w:val="26"/>
        </w:rPr>
        <w:t>.</w:t>
      </w:r>
    </w:p>
    <w:p w:rsidR="002977BD" w:rsidRPr="00FB0D23" w:rsidRDefault="002977BD" w:rsidP="009055FB">
      <w:pPr>
        <w:pStyle w:val="ListParagraph"/>
        <w:spacing w:after="0" w:line="240" w:lineRule="auto"/>
        <w:jc w:val="both"/>
        <w:rPr>
          <w:rFonts w:ascii="Times New Roman" w:hAnsi="Times New Roman" w:cs="Times New Roman"/>
          <w:sz w:val="26"/>
          <w:szCs w:val="26"/>
        </w:rPr>
      </w:pPr>
    </w:p>
    <w:p w:rsidR="001C5576" w:rsidRDefault="007A1CDE" w:rsidP="009055FB">
      <w:pPr>
        <w:spacing w:after="0" w:line="240" w:lineRule="auto"/>
        <w:jc w:val="both"/>
        <w:rPr>
          <w:rFonts w:ascii="Times New Roman" w:hAnsi="Times New Roman" w:cs="Times New Roman"/>
          <w:b/>
          <w:sz w:val="26"/>
          <w:szCs w:val="26"/>
        </w:rPr>
      </w:pPr>
      <w:r w:rsidRPr="00FB0D23">
        <w:rPr>
          <w:rFonts w:ascii="Times New Roman" w:hAnsi="Times New Roman" w:cs="Times New Roman"/>
          <w:b/>
          <w:sz w:val="26"/>
          <w:szCs w:val="26"/>
        </w:rPr>
        <w:t>Augstskolas:</w:t>
      </w:r>
    </w:p>
    <w:p w:rsidR="001C5576" w:rsidRPr="00FB0D23" w:rsidRDefault="001C5576" w:rsidP="009055FB">
      <w:pPr>
        <w:pStyle w:val="ListParagraph"/>
        <w:numPr>
          <w:ilvl w:val="0"/>
          <w:numId w:val="38"/>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s</w:t>
      </w:r>
      <w:r w:rsidR="007A1CDE" w:rsidRPr="00FB0D23">
        <w:rPr>
          <w:rFonts w:ascii="Times New Roman" w:hAnsi="Times New Roman" w:cs="Times New Roman"/>
          <w:sz w:val="26"/>
          <w:szCs w:val="26"/>
        </w:rPr>
        <w:t>agatavo pašnovērtējuma ziņojumus;</w:t>
      </w:r>
    </w:p>
    <w:p w:rsidR="001C5576" w:rsidRPr="00625425" w:rsidRDefault="000A7CD0" w:rsidP="009055FB">
      <w:pPr>
        <w:pStyle w:val="ListParagraph"/>
        <w:numPr>
          <w:ilvl w:val="0"/>
          <w:numId w:val="38"/>
        </w:numPr>
        <w:spacing w:after="0" w:line="240" w:lineRule="auto"/>
        <w:jc w:val="both"/>
        <w:rPr>
          <w:rFonts w:ascii="Times New Roman" w:hAnsi="Times New Roman"/>
          <w:sz w:val="24"/>
          <w:szCs w:val="24"/>
        </w:rPr>
      </w:pPr>
      <w:r>
        <w:rPr>
          <w:rFonts w:ascii="Times New Roman" w:hAnsi="Times New Roman" w:cs="Times New Roman"/>
          <w:sz w:val="26"/>
          <w:szCs w:val="26"/>
        </w:rPr>
        <w:t>sagatavojas novērtēšanas vizītei</w:t>
      </w:r>
      <w:r w:rsidRPr="00625425">
        <w:rPr>
          <w:rFonts w:ascii="Times New Roman" w:hAnsi="Times New Roman" w:cs="Times New Roman"/>
          <w:sz w:val="26"/>
          <w:szCs w:val="26"/>
        </w:rPr>
        <w:t>:</w:t>
      </w:r>
      <w:r w:rsidR="00611EBE" w:rsidRPr="00625425">
        <w:rPr>
          <w:rFonts w:ascii="Times New Roman" w:hAnsi="Times New Roman" w:cs="Times New Roman"/>
          <w:sz w:val="26"/>
          <w:szCs w:val="26"/>
        </w:rPr>
        <w:t xml:space="preserve"> izstrādājot novērtēšanas vizītes plānu, sagatavojot novērtēšanai nepieciešamos dokumentus;</w:t>
      </w:r>
    </w:p>
    <w:p w:rsidR="001C5576" w:rsidRPr="00625425" w:rsidRDefault="007A1CDE" w:rsidP="009055FB">
      <w:pPr>
        <w:pStyle w:val="ListParagraph"/>
        <w:numPr>
          <w:ilvl w:val="0"/>
          <w:numId w:val="38"/>
        </w:numPr>
        <w:spacing w:after="0" w:line="240" w:lineRule="auto"/>
        <w:jc w:val="both"/>
        <w:rPr>
          <w:rFonts w:ascii="Times New Roman" w:hAnsi="Times New Roman" w:cs="Times New Roman"/>
          <w:b/>
          <w:sz w:val="26"/>
          <w:szCs w:val="26"/>
        </w:rPr>
      </w:pPr>
      <w:r w:rsidRPr="00625425">
        <w:rPr>
          <w:rFonts w:ascii="Times New Roman" w:hAnsi="Times New Roman" w:cs="Times New Roman"/>
          <w:sz w:val="26"/>
          <w:szCs w:val="26"/>
        </w:rPr>
        <w:t>nodrošina ekspertus ar visu nepieciešamo informāciju;</w:t>
      </w:r>
    </w:p>
    <w:p w:rsidR="001C5576" w:rsidRPr="00625425" w:rsidRDefault="007A1CDE" w:rsidP="009055FB">
      <w:pPr>
        <w:pStyle w:val="ListParagraph"/>
        <w:numPr>
          <w:ilvl w:val="0"/>
          <w:numId w:val="38"/>
        </w:numPr>
        <w:spacing w:after="0" w:line="240" w:lineRule="auto"/>
        <w:jc w:val="both"/>
        <w:rPr>
          <w:rFonts w:ascii="Times New Roman" w:hAnsi="Times New Roman" w:cs="Times New Roman"/>
          <w:b/>
          <w:sz w:val="26"/>
          <w:szCs w:val="26"/>
        </w:rPr>
      </w:pPr>
      <w:r w:rsidRPr="00625425">
        <w:rPr>
          <w:rFonts w:ascii="Times New Roman" w:hAnsi="Times New Roman" w:cs="Times New Roman"/>
          <w:sz w:val="26"/>
          <w:szCs w:val="26"/>
        </w:rPr>
        <w:t>ar sekretariāta starpniecību lūdz precizēt ziņojumu, ja pēc t</w:t>
      </w:r>
      <w:r w:rsidR="001C5576" w:rsidRPr="00625425">
        <w:rPr>
          <w:rFonts w:ascii="Times New Roman" w:hAnsi="Times New Roman" w:cs="Times New Roman"/>
          <w:sz w:val="26"/>
          <w:szCs w:val="26"/>
        </w:rPr>
        <w:t>ā saņemšanas ir radušies iebildumi;</w:t>
      </w:r>
    </w:p>
    <w:p w:rsidR="007A1CDE" w:rsidRPr="00625425" w:rsidRDefault="007A1CDE" w:rsidP="009055FB">
      <w:pPr>
        <w:pStyle w:val="ListParagraph"/>
        <w:numPr>
          <w:ilvl w:val="0"/>
          <w:numId w:val="38"/>
        </w:numPr>
        <w:spacing w:after="0" w:line="240" w:lineRule="auto"/>
        <w:jc w:val="both"/>
        <w:rPr>
          <w:rFonts w:ascii="Times New Roman" w:hAnsi="Times New Roman" w:cs="Times New Roman"/>
          <w:b/>
          <w:sz w:val="26"/>
          <w:szCs w:val="26"/>
        </w:rPr>
      </w:pPr>
      <w:r w:rsidRPr="00625425">
        <w:rPr>
          <w:rFonts w:ascii="Times New Roman" w:hAnsi="Times New Roman" w:cs="Times New Roman"/>
          <w:sz w:val="26"/>
          <w:szCs w:val="26"/>
        </w:rPr>
        <w:t>savā darbībā nodrošina ESG ievērošanu.</w:t>
      </w:r>
    </w:p>
    <w:p w:rsidR="002977BD" w:rsidRPr="00625425" w:rsidRDefault="002977BD" w:rsidP="009055FB">
      <w:pPr>
        <w:pStyle w:val="ListParagraph"/>
        <w:spacing w:after="0" w:line="240" w:lineRule="auto"/>
        <w:jc w:val="both"/>
        <w:rPr>
          <w:rFonts w:ascii="Times New Roman" w:hAnsi="Times New Roman" w:cs="Times New Roman"/>
          <w:b/>
          <w:sz w:val="26"/>
          <w:szCs w:val="26"/>
        </w:rPr>
      </w:pPr>
    </w:p>
    <w:p w:rsidR="007A1CDE" w:rsidRPr="00625425" w:rsidRDefault="007A1CDE" w:rsidP="009055FB">
      <w:pPr>
        <w:spacing w:after="0" w:line="240" w:lineRule="auto"/>
        <w:jc w:val="both"/>
        <w:rPr>
          <w:rFonts w:ascii="Times New Roman" w:hAnsi="Times New Roman" w:cs="Times New Roman"/>
          <w:sz w:val="26"/>
          <w:szCs w:val="26"/>
        </w:rPr>
      </w:pPr>
      <w:r w:rsidRPr="00625425">
        <w:rPr>
          <w:rFonts w:ascii="Times New Roman" w:hAnsi="Times New Roman" w:cs="Times New Roman"/>
          <w:b/>
          <w:sz w:val="26"/>
          <w:szCs w:val="26"/>
        </w:rPr>
        <w:t>Apelācijas komisija</w:t>
      </w:r>
      <w:r w:rsidR="001C5576" w:rsidRPr="00625425">
        <w:rPr>
          <w:rFonts w:ascii="Times New Roman" w:hAnsi="Times New Roman" w:cs="Times New Roman"/>
          <w:b/>
          <w:sz w:val="26"/>
          <w:szCs w:val="26"/>
        </w:rPr>
        <w:t xml:space="preserve"> </w:t>
      </w:r>
      <w:r w:rsidR="001C5576" w:rsidRPr="00625425">
        <w:rPr>
          <w:rFonts w:ascii="Times New Roman" w:hAnsi="Times New Roman" w:cs="Times New Roman"/>
          <w:sz w:val="26"/>
          <w:szCs w:val="26"/>
        </w:rPr>
        <w:t>(sastāv no trim locekļiem)</w:t>
      </w:r>
      <w:r w:rsidR="002977BD" w:rsidRPr="00625425">
        <w:rPr>
          <w:rFonts w:ascii="Times New Roman" w:hAnsi="Times New Roman" w:cs="Times New Roman"/>
          <w:sz w:val="26"/>
          <w:szCs w:val="26"/>
        </w:rPr>
        <w:t xml:space="preserve"> </w:t>
      </w:r>
      <w:r w:rsidRPr="00625425">
        <w:rPr>
          <w:rFonts w:ascii="Times New Roman" w:hAnsi="Times New Roman" w:cs="Times New Roman"/>
          <w:sz w:val="26"/>
          <w:szCs w:val="26"/>
        </w:rPr>
        <w:t xml:space="preserve">izskata AII iesniegtās </w:t>
      </w:r>
      <w:r w:rsidR="001C5576" w:rsidRPr="00625425">
        <w:rPr>
          <w:rFonts w:ascii="Times New Roman" w:hAnsi="Times New Roman" w:cs="Times New Roman"/>
          <w:sz w:val="26"/>
          <w:szCs w:val="26"/>
        </w:rPr>
        <w:t>sūdzības/ apelācijas</w:t>
      </w:r>
      <w:r w:rsidRPr="00625425">
        <w:rPr>
          <w:rFonts w:ascii="Times New Roman" w:hAnsi="Times New Roman" w:cs="Times New Roman"/>
          <w:sz w:val="26"/>
          <w:szCs w:val="26"/>
        </w:rPr>
        <w:t xml:space="preserve"> par akreditācijas un licencēšanas procesu.</w:t>
      </w:r>
      <w:r w:rsidR="00C856B3" w:rsidRPr="00625425">
        <w:rPr>
          <w:rFonts w:ascii="Times New Roman" w:hAnsi="Times New Roman" w:cs="Times New Roman"/>
          <w:sz w:val="26"/>
          <w:szCs w:val="26"/>
        </w:rPr>
        <w:t xml:space="preserve"> Sūdzības par akreditācijas un </w:t>
      </w:r>
      <w:r w:rsidR="00C856B3" w:rsidRPr="00625425">
        <w:rPr>
          <w:rFonts w:ascii="Times New Roman" w:hAnsi="Times New Roman" w:cs="Times New Roman"/>
          <w:sz w:val="26"/>
          <w:szCs w:val="26"/>
        </w:rPr>
        <w:lastRenderedPageBreak/>
        <w:t>licencēšanas procesu izskata Akadēmiskā informācijas centra direktors, kurš izveido apelācijas komisiju, kas izskata sūdzību, bet lēmumu pieņem direktors.</w:t>
      </w:r>
    </w:p>
    <w:p w:rsidR="009E3C2E" w:rsidRPr="007A1CDE" w:rsidRDefault="009E3C2E" w:rsidP="009055FB">
      <w:pPr>
        <w:spacing w:after="0" w:line="240" w:lineRule="auto"/>
        <w:jc w:val="both"/>
        <w:rPr>
          <w:rFonts w:ascii="Times New Roman" w:hAnsi="Times New Roman" w:cs="Times New Roman"/>
          <w:sz w:val="26"/>
          <w:szCs w:val="26"/>
        </w:rPr>
      </w:pPr>
    </w:p>
    <w:p w:rsidR="007A1CDE" w:rsidRPr="007A1CDE" w:rsidRDefault="007A1CDE" w:rsidP="009055FB">
      <w:pPr>
        <w:spacing w:after="0" w:line="240" w:lineRule="auto"/>
        <w:ind w:firstLine="720"/>
        <w:jc w:val="both"/>
        <w:rPr>
          <w:rFonts w:ascii="Times New Roman" w:hAnsi="Times New Roman" w:cs="Times New Roman"/>
          <w:sz w:val="26"/>
          <w:szCs w:val="26"/>
        </w:rPr>
      </w:pPr>
      <w:r w:rsidRPr="007A1CDE">
        <w:rPr>
          <w:rFonts w:ascii="Times New Roman" w:hAnsi="Times New Roman" w:cs="Times New Roman"/>
          <w:sz w:val="26"/>
          <w:szCs w:val="26"/>
        </w:rPr>
        <w:t>Lai nodotu kvalitātes novērtēšanas nodrošināšanas funkcijas AIC, ir nepieciešams veikt normatīvo aktu grozījumus, vienlaikus paredzot arī finansējuma piešķiršanu.</w:t>
      </w:r>
      <w:r w:rsidR="00F14169">
        <w:rPr>
          <w:rFonts w:ascii="Times New Roman" w:hAnsi="Times New Roman" w:cs="Times New Roman"/>
          <w:sz w:val="26"/>
          <w:szCs w:val="26"/>
        </w:rPr>
        <w:t xml:space="preserve"> Akreditācijas/ licencēšanas komisijas locekļu darbs tiek apmaksāts.</w:t>
      </w:r>
      <w:r w:rsidRPr="007A1CDE">
        <w:rPr>
          <w:rFonts w:ascii="Times New Roman" w:hAnsi="Times New Roman" w:cs="Times New Roman"/>
          <w:sz w:val="26"/>
          <w:szCs w:val="26"/>
        </w:rPr>
        <w:t xml:space="preserve"> Savukārt AIC organizētu savu darbību un pārveidotu struktūru tā, lai varētu nodrošināt kvalitātes nodrošināšanas funkcijas. </w:t>
      </w:r>
    </w:p>
    <w:p w:rsidR="007A1CDE" w:rsidRPr="007A1CDE" w:rsidRDefault="007A1CDE" w:rsidP="009055FB">
      <w:pPr>
        <w:spacing w:after="0" w:line="240" w:lineRule="auto"/>
        <w:jc w:val="both"/>
        <w:rPr>
          <w:rFonts w:ascii="Times New Roman" w:hAnsi="Times New Roman" w:cs="Times New Roman"/>
          <w:sz w:val="26"/>
          <w:szCs w:val="26"/>
        </w:rPr>
      </w:pPr>
    </w:p>
    <w:p w:rsidR="009E3C2E" w:rsidRDefault="007A1CDE" w:rsidP="009055FB">
      <w:pPr>
        <w:spacing w:after="0" w:line="240" w:lineRule="auto"/>
        <w:ind w:firstLine="720"/>
        <w:jc w:val="both"/>
        <w:rPr>
          <w:rFonts w:ascii="Times New Roman" w:hAnsi="Times New Roman" w:cs="Times New Roman"/>
          <w:sz w:val="26"/>
          <w:szCs w:val="26"/>
        </w:rPr>
      </w:pPr>
      <w:r w:rsidRPr="007A1CDE">
        <w:rPr>
          <w:rFonts w:ascii="Times New Roman" w:hAnsi="Times New Roman" w:cs="Times New Roman"/>
          <w:sz w:val="26"/>
          <w:szCs w:val="26"/>
        </w:rPr>
        <w:t xml:space="preserve">Vienlaikus, ievērojot EAIT attīstības principus, kas nosaka, ka kvalitātes nodrošināšanas institūcijas drīkst darboties arī ārpus savas valsts robežām, AIC kā kvalitātes nodrošināšanas institūcija varētu iekļūt ENQA un EQAR, izejot starptautisko novērtēšanu un izpildot attiecīgus kritērijus. Taču tas var būt iespējams pēc noteikta darbības laika, uzkrājot zināmu pieredzi kvalitātes novērtēšanā. </w:t>
      </w:r>
    </w:p>
    <w:p w:rsidR="002B2F40" w:rsidRPr="00DC3AE4" w:rsidRDefault="007A1CDE" w:rsidP="009055FB">
      <w:pPr>
        <w:spacing w:after="0" w:line="240" w:lineRule="auto"/>
        <w:ind w:firstLine="720"/>
        <w:jc w:val="both"/>
        <w:rPr>
          <w:rFonts w:ascii="Times New Roman" w:hAnsi="Times New Roman" w:cs="Times New Roman"/>
          <w:sz w:val="26"/>
          <w:szCs w:val="26"/>
        </w:rPr>
      </w:pPr>
      <w:r w:rsidRPr="007A1CDE">
        <w:rPr>
          <w:rFonts w:ascii="Times New Roman" w:hAnsi="Times New Roman" w:cs="Times New Roman"/>
          <w:sz w:val="26"/>
          <w:szCs w:val="26"/>
        </w:rPr>
        <w:t xml:space="preserve">Svarīgi ir nodrošināt, lai tiktu pārņemta un būtu pieejama AIKNC uzkrātā pieredze un dati turpmākā akreditācijas organizēšanas procesā, kas tiks īstenots </w:t>
      </w:r>
      <w:r w:rsidR="00DC3AE4" w:rsidRPr="00DC3AE4">
        <w:rPr>
          <w:rFonts w:ascii="Times New Roman" w:hAnsi="Times New Roman" w:cs="Times New Roman"/>
          <w:sz w:val="26"/>
          <w:szCs w:val="26"/>
        </w:rPr>
        <w:t xml:space="preserve">Latvijas augstākās izglītības kvalitātes nodrošināšanas institūcijā </w:t>
      </w:r>
      <w:r w:rsidRPr="00DC3AE4">
        <w:rPr>
          <w:rFonts w:ascii="Times New Roman" w:hAnsi="Times New Roman" w:cs="Times New Roman"/>
          <w:sz w:val="26"/>
          <w:szCs w:val="26"/>
        </w:rPr>
        <w:t>AIC.</w:t>
      </w:r>
    </w:p>
    <w:p w:rsidR="002B2F40" w:rsidRDefault="002B2F40" w:rsidP="009055FB">
      <w:pPr>
        <w:spacing w:after="0" w:line="240" w:lineRule="auto"/>
        <w:jc w:val="both"/>
        <w:rPr>
          <w:rFonts w:ascii="Times New Roman" w:hAnsi="Times New Roman" w:cs="Times New Roman"/>
          <w:sz w:val="26"/>
          <w:szCs w:val="26"/>
        </w:rPr>
      </w:pPr>
    </w:p>
    <w:p w:rsidR="002B2F40" w:rsidRDefault="002B2F40" w:rsidP="009055FB">
      <w:pPr>
        <w:spacing w:after="0" w:line="240" w:lineRule="auto"/>
        <w:jc w:val="both"/>
        <w:rPr>
          <w:rFonts w:ascii="Times New Roman" w:hAnsi="Times New Roman" w:cs="Times New Roman"/>
          <w:sz w:val="26"/>
          <w:szCs w:val="26"/>
        </w:rPr>
      </w:pPr>
    </w:p>
    <w:p w:rsidR="009067CF" w:rsidRDefault="009067CF" w:rsidP="009055FB">
      <w:pPr>
        <w:spacing w:after="0" w:line="240" w:lineRule="auto"/>
        <w:ind w:firstLine="720"/>
        <w:jc w:val="both"/>
        <w:rPr>
          <w:rFonts w:ascii="Times New Roman" w:hAnsi="Times New Roman" w:cs="Times New Roman"/>
          <w:sz w:val="26"/>
          <w:szCs w:val="26"/>
        </w:rPr>
      </w:pPr>
    </w:p>
    <w:p w:rsidR="005732FF" w:rsidRDefault="00280EBE" w:rsidP="009055FB">
      <w:pPr>
        <w:pStyle w:val="Heading2"/>
        <w:spacing w:before="0" w:line="240" w:lineRule="auto"/>
        <w:rPr>
          <w:rFonts w:ascii="Times New Roman" w:hAnsi="Times New Roman" w:cs="Times New Roman"/>
          <w:b/>
          <w:color w:val="auto"/>
          <w:sz w:val="28"/>
          <w:szCs w:val="28"/>
        </w:rPr>
      </w:pPr>
      <w:bookmarkStart w:id="27" w:name="_Toc395890879"/>
      <w:r>
        <w:rPr>
          <w:rFonts w:ascii="Times New Roman" w:hAnsi="Times New Roman" w:cs="Times New Roman"/>
          <w:b/>
          <w:color w:val="auto"/>
          <w:sz w:val="28"/>
          <w:szCs w:val="28"/>
        </w:rPr>
        <w:t>5</w:t>
      </w:r>
      <w:r w:rsidR="00AE7266">
        <w:rPr>
          <w:rFonts w:ascii="Times New Roman" w:hAnsi="Times New Roman" w:cs="Times New Roman"/>
          <w:b/>
          <w:color w:val="auto"/>
          <w:sz w:val="28"/>
          <w:szCs w:val="28"/>
        </w:rPr>
        <w:t xml:space="preserve">.2. </w:t>
      </w:r>
      <w:r w:rsidR="00DC3AE4">
        <w:rPr>
          <w:rFonts w:ascii="Times New Roman" w:hAnsi="Times New Roman" w:cs="Times New Roman"/>
          <w:b/>
          <w:color w:val="auto"/>
          <w:sz w:val="28"/>
          <w:szCs w:val="28"/>
        </w:rPr>
        <w:t>Veicamie pasākumi un a</w:t>
      </w:r>
      <w:r w:rsidR="005732FF" w:rsidRPr="00AE7266">
        <w:rPr>
          <w:rFonts w:ascii="Times New Roman" w:hAnsi="Times New Roman" w:cs="Times New Roman"/>
          <w:b/>
          <w:color w:val="auto"/>
          <w:sz w:val="28"/>
          <w:szCs w:val="28"/>
        </w:rPr>
        <w:t>tbildīgās institūcijas</w:t>
      </w:r>
      <w:bookmarkEnd w:id="27"/>
    </w:p>
    <w:p w:rsidR="00495DAF" w:rsidRPr="00F95550" w:rsidRDefault="004F0E3E" w:rsidP="009055FB">
      <w:pPr>
        <w:spacing w:after="0" w:line="240" w:lineRule="auto"/>
        <w:jc w:val="right"/>
        <w:rPr>
          <w:rFonts w:ascii="Times New Roman" w:hAnsi="Times New Roman" w:cs="Times New Roman"/>
          <w:i/>
        </w:rPr>
      </w:pPr>
      <w:r w:rsidRPr="00F95550">
        <w:rPr>
          <w:rFonts w:ascii="Times New Roman" w:hAnsi="Times New Roman" w:cs="Times New Roman"/>
          <w:i/>
        </w:rPr>
        <w:t>3.tabula</w:t>
      </w:r>
    </w:p>
    <w:p w:rsidR="004F0E3E" w:rsidRPr="00F95550" w:rsidRDefault="004F0E3E" w:rsidP="009055FB">
      <w:pPr>
        <w:spacing w:after="0" w:line="240" w:lineRule="auto"/>
        <w:jc w:val="center"/>
        <w:rPr>
          <w:rFonts w:ascii="Times New Roman" w:hAnsi="Times New Roman" w:cs="Times New Roman"/>
          <w:i/>
        </w:rPr>
      </w:pPr>
      <w:r w:rsidRPr="00F95550">
        <w:rPr>
          <w:rFonts w:ascii="Times New Roman" w:hAnsi="Times New Roman" w:cs="Times New Roman"/>
          <w:b/>
          <w:i/>
          <w:sz w:val="28"/>
          <w:szCs w:val="28"/>
        </w:rPr>
        <w:t>Veicamie pasākumi un atbildīgās institūcijas</w:t>
      </w:r>
    </w:p>
    <w:tbl>
      <w:tblPr>
        <w:tblStyle w:val="TableGrid"/>
        <w:tblW w:w="0" w:type="auto"/>
        <w:tblLook w:val="04A0" w:firstRow="1" w:lastRow="0" w:firstColumn="1" w:lastColumn="0" w:noHBand="0" w:noVBand="1"/>
      </w:tblPr>
      <w:tblGrid>
        <w:gridCol w:w="1004"/>
        <w:gridCol w:w="3598"/>
        <w:gridCol w:w="1630"/>
        <w:gridCol w:w="2829"/>
      </w:tblGrid>
      <w:tr w:rsidR="004915A7" w:rsidRPr="004915A7" w:rsidTr="004915A7">
        <w:tc>
          <w:tcPr>
            <w:tcW w:w="1004" w:type="dxa"/>
          </w:tcPr>
          <w:p w:rsidR="004915A7" w:rsidRPr="004915A7" w:rsidRDefault="004915A7" w:rsidP="009055FB">
            <w:pPr>
              <w:rPr>
                <w:rFonts w:ascii="Times New Roman" w:hAnsi="Times New Roman"/>
                <w:b/>
                <w:sz w:val="26"/>
                <w:szCs w:val="26"/>
              </w:rPr>
            </w:pPr>
            <w:r w:rsidRPr="004915A7">
              <w:rPr>
                <w:rFonts w:ascii="Times New Roman" w:hAnsi="Times New Roman"/>
                <w:b/>
                <w:sz w:val="26"/>
                <w:szCs w:val="26"/>
              </w:rPr>
              <w:t>Nr.p.k.</w:t>
            </w:r>
          </w:p>
        </w:tc>
        <w:tc>
          <w:tcPr>
            <w:tcW w:w="3598" w:type="dxa"/>
          </w:tcPr>
          <w:p w:rsidR="004915A7" w:rsidRPr="004915A7" w:rsidRDefault="004915A7" w:rsidP="009055FB">
            <w:pPr>
              <w:rPr>
                <w:rFonts w:ascii="Times New Roman" w:hAnsi="Times New Roman"/>
                <w:b/>
                <w:sz w:val="26"/>
                <w:szCs w:val="26"/>
              </w:rPr>
            </w:pPr>
            <w:r w:rsidRPr="004915A7">
              <w:rPr>
                <w:rFonts w:ascii="Times New Roman" w:hAnsi="Times New Roman"/>
                <w:b/>
                <w:sz w:val="26"/>
                <w:szCs w:val="26"/>
              </w:rPr>
              <w:t>Veicamais pasākums</w:t>
            </w:r>
          </w:p>
        </w:tc>
        <w:tc>
          <w:tcPr>
            <w:tcW w:w="1630" w:type="dxa"/>
          </w:tcPr>
          <w:p w:rsidR="004915A7" w:rsidRPr="004915A7" w:rsidRDefault="004915A7" w:rsidP="009055FB">
            <w:pPr>
              <w:rPr>
                <w:rFonts w:ascii="Times New Roman" w:hAnsi="Times New Roman"/>
                <w:b/>
                <w:sz w:val="26"/>
                <w:szCs w:val="26"/>
              </w:rPr>
            </w:pPr>
            <w:r w:rsidRPr="004915A7">
              <w:rPr>
                <w:rFonts w:ascii="Times New Roman" w:hAnsi="Times New Roman"/>
                <w:b/>
                <w:sz w:val="26"/>
                <w:szCs w:val="26"/>
              </w:rPr>
              <w:t>Termiņš</w:t>
            </w:r>
          </w:p>
        </w:tc>
        <w:tc>
          <w:tcPr>
            <w:tcW w:w="2829" w:type="dxa"/>
          </w:tcPr>
          <w:p w:rsidR="004915A7" w:rsidRPr="004915A7" w:rsidRDefault="004915A7" w:rsidP="009055FB">
            <w:pPr>
              <w:rPr>
                <w:rFonts w:ascii="Times New Roman" w:hAnsi="Times New Roman"/>
                <w:b/>
                <w:sz w:val="26"/>
                <w:szCs w:val="26"/>
              </w:rPr>
            </w:pPr>
            <w:r w:rsidRPr="004915A7">
              <w:rPr>
                <w:rFonts w:ascii="Times New Roman" w:hAnsi="Times New Roman"/>
                <w:b/>
                <w:bCs/>
                <w:color w:val="000000"/>
                <w:sz w:val="26"/>
                <w:szCs w:val="26"/>
              </w:rPr>
              <w:t>Atbildīgā institūcija un iesaistītās institūcijas</w:t>
            </w:r>
          </w:p>
        </w:tc>
      </w:tr>
      <w:tr w:rsidR="004915A7" w:rsidTr="004915A7">
        <w:tc>
          <w:tcPr>
            <w:tcW w:w="1004" w:type="dxa"/>
          </w:tcPr>
          <w:p w:rsidR="004915A7" w:rsidRDefault="004915A7" w:rsidP="009055FB">
            <w:pPr>
              <w:rPr>
                <w:rFonts w:ascii="Times New Roman" w:hAnsi="Times New Roman"/>
                <w:sz w:val="26"/>
                <w:szCs w:val="26"/>
              </w:rPr>
            </w:pPr>
            <w:r>
              <w:rPr>
                <w:rFonts w:ascii="Times New Roman" w:hAnsi="Times New Roman"/>
                <w:sz w:val="26"/>
                <w:szCs w:val="26"/>
              </w:rPr>
              <w:t>1.</w:t>
            </w:r>
          </w:p>
        </w:tc>
        <w:tc>
          <w:tcPr>
            <w:tcW w:w="3598" w:type="dxa"/>
          </w:tcPr>
          <w:p w:rsidR="004915A7" w:rsidRDefault="004915A7" w:rsidP="009055FB">
            <w:pPr>
              <w:rPr>
                <w:rFonts w:ascii="Times New Roman" w:hAnsi="Times New Roman"/>
                <w:sz w:val="26"/>
                <w:szCs w:val="26"/>
              </w:rPr>
            </w:pPr>
            <w:r>
              <w:rPr>
                <w:rFonts w:ascii="Times New Roman" w:hAnsi="Times New Roman"/>
                <w:sz w:val="26"/>
                <w:szCs w:val="26"/>
              </w:rPr>
              <w:t>Izveidot normatīvo bāzi kvalitātes nodrošināšanas (licencēšanas un akreditācijas) funkciju nodošanai AIC</w:t>
            </w:r>
          </w:p>
        </w:tc>
        <w:tc>
          <w:tcPr>
            <w:tcW w:w="1630" w:type="dxa"/>
          </w:tcPr>
          <w:p w:rsidR="004915A7" w:rsidRDefault="004915A7" w:rsidP="009055FB">
            <w:pPr>
              <w:rPr>
                <w:rFonts w:ascii="Times New Roman" w:hAnsi="Times New Roman"/>
                <w:sz w:val="26"/>
                <w:szCs w:val="26"/>
              </w:rPr>
            </w:pPr>
            <w:r>
              <w:rPr>
                <w:rFonts w:ascii="Times New Roman" w:hAnsi="Times New Roman"/>
                <w:sz w:val="26"/>
                <w:szCs w:val="26"/>
              </w:rPr>
              <w:t>2014.-2015.</w:t>
            </w:r>
          </w:p>
        </w:tc>
        <w:tc>
          <w:tcPr>
            <w:tcW w:w="2829" w:type="dxa"/>
          </w:tcPr>
          <w:p w:rsidR="004915A7" w:rsidRDefault="004915A7" w:rsidP="009055FB">
            <w:pPr>
              <w:rPr>
                <w:rFonts w:ascii="Times New Roman" w:hAnsi="Times New Roman"/>
                <w:sz w:val="26"/>
                <w:szCs w:val="26"/>
              </w:rPr>
            </w:pPr>
            <w:r>
              <w:rPr>
                <w:rFonts w:ascii="Times New Roman" w:hAnsi="Times New Roman"/>
                <w:sz w:val="26"/>
                <w:szCs w:val="26"/>
              </w:rPr>
              <w:t>IZM</w:t>
            </w:r>
          </w:p>
          <w:p w:rsidR="004915A7" w:rsidRDefault="004915A7" w:rsidP="009055FB">
            <w:pPr>
              <w:rPr>
                <w:rFonts w:ascii="Times New Roman" w:hAnsi="Times New Roman"/>
                <w:sz w:val="26"/>
                <w:szCs w:val="26"/>
              </w:rPr>
            </w:pPr>
            <w:r>
              <w:rPr>
                <w:rFonts w:ascii="Times New Roman" w:hAnsi="Times New Roman"/>
                <w:sz w:val="26"/>
                <w:szCs w:val="26"/>
              </w:rPr>
              <w:t>AIC, RP, AIP, LSA, LDDK</w:t>
            </w:r>
          </w:p>
        </w:tc>
      </w:tr>
      <w:tr w:rsidR="00577446" w:rsidTr="004915A7">
        <w:tc>
          <w:tcPr>
            <w:tcW w:w="1004" w:type="dxa"/>
          </w:tcPr>
          <w:p w:rsidR="00577446" w:rsidRDefault="001E530C" w:rsidP="009055FB">
            <w:pPr>
              <w:rPr>
                <w:rFonts w:ascii="Times New Roman" w:hAnsi="Times New Roman"/>
                <w:sz w:val="26"/>
                <w:szCs w:val="26"/>
              </w:rPr>
            </w:pPr>
            <w:r>
              <w:rPr>
                <w:rFonts w:ascii="Times New Roman" w:hAnsi="Times New Roman"/>
                <w:sz w:val="26"/>
                <w:szCs w:val="26"/>
              </w:rPr>
              <w:t>2.</w:t>
            </w:r>
          </w:p>
        </w:tc>
        <w:tc>
          <w:tcPr>
            <w:tcW w:w="3598" w:type="dxa"/>
          </w:tcPr>
          <w:p w:rsidR="00577446" w:rsidRDefault="00577446" w:rsidP="009055FB">
            <w:pPr>
              <w:rPr>
                <w:rFonts w:ascii="Times New Roman" w:hAnsi="Times New Roman"/>
                <w:sz w:val="26"/>
                <w:szCs w:val="26"/>
              </w:rPr>
            </w:pPr>
            <w:r>
              <w:rPr>
                <w:rFonts w:ascii="Times New Roman" w:hAnsi="Times New Roman"/>
                <w:sz w:val="26"/>
                <w:szCs w:val="26"/>
              </w:rPr>
              <w:t>Nacionālās kvalitātes nodrošināšanas institūcijas darbības principu izstrāde</w:t>
            </w:r>
          </w:p>
        </w:tc>
        <w:tc>
          <w:tcPr>
            <w:tcW w:w="1630" w:type="dxa"/>
          </w:tcPr>
          <w:p w:rsidR="00577446" w:rsidRDefault="00577446" w:rsidP="009055FB">
            <w:pPr>
              <w:rPr>
                <w:rFonts w:ascii="Times New Roman" w:hAnsi="Times New Roman"/>
                <w:sz w:val="26"/>
                <w:szCs w:val="26"/>
              </w:rPr>
            </w:pPr>
            <w:r>
              <w:rPr>
                <w:rFonts w:ascii="Times New Roman" w:hAnsi="Times New Roman"/>
                <w:sz w:val="26"/>
                <w:szCs w:val="26"/>
              </w:rPr>
              <w:t>2014.</w:t>
            </w:r>
          </w:p>
        </w:tc>
        <w:tc>
          <w:tcPr>
            <w:tcW w:w="2829" w:type="dxa"/>
          </w:tcPr>
          <w:p w:rsidR="00577446" w:rsidRDefault="00577446" w:rsidP="009055FB">
            <w:pPr>
              <w:rPr>
                <w:rFonts w:ascii="Times New Roman" w:hAnsi="Times New Roman"/>
                <w:sz w:val="26"/>
                <w:szCs w:val="26"/>
              </w:rPr>
            </w:pPr>
            <w:r>
              <w:rPr>
                <w:rFonts w:ascii="Times New Roman" w:hAnsi="Times New Roman"/>
                <w:sz w:val="26"/>
                <w:szCs w:val="26"/>
              </w:rPr>
              <w:t>IZM, AIC</w:t>
            </w:r>
          </w:p>
        </w:tc>
      </w:tr>
      <w:tr w:rsidR="004915A7" w:rsidTr="004915A7">
        <w:tc>
          <w:tcPr>
            <w:tcW w:w="1004" w:type="dxa"/>
          </w:tcPr>
          <w:p w:rsidR="004915A7" w:rsidRDefault="001E530C" w:rsidP="009055FB">
            <w:pPr>
              <w:rPr>
                <w:rFonts w:ascii="Times New Roman" w:hAnsi="Times New Roman"/>
                <w:sz w:val="26"/>
                <w:szCs w:val="26"/>
              </w:rPr>
            </w:pPr>
            <w:r>
              <w:rPr>
                <w:rFonts w:ascii="Times New Roman" w:hAnsi="Times New Roman"/>
                <w:sz w:val="26"/>
                <w:szCs w:val="26"/>
              </w:rPr>
              <w:t>3.</w:t>
            </w:r>
            <w:r w:rsidR="00577446">
              <w:rPr>
                <w:rFonts w:ascii="Times New Roman" w:hAnsi="Times New Roman"/>
                <w:sz w:val="26"/>
                <w:szCs w:val="26"/>
              </w:rPr>
              <w:t xml:space="preserve"> </w:t>
            </w:r>
          </w:p>
        </w:tc>
        <w:tc>
          <w:tcPr>
            <w:tcW w:w="3598" w:type="dxa"/>
          </w:tcPr>
          <w:p w:rsidR="004915A7" w:rsidRDefault="00577446" w:rsidP="009055FB">
            <w:pPr>
              <w:rPr>
                <w:rFonts w:ascii="Times New Roman" w:hAnsi="Times New Roman"/>
                <w:sz w:val="26"/>
                <w:szCs w:val="26"/>
              </w:rPr>
            </w:pPr>
            <w:r>
              <w:rPr>
                <w:rFonts w:ascii="Times New Roman" w:hAnsi="Times New Roman"/>
                <w:sz w:val="26"/>
                <w:szCs w:val="26"/>
              </w:rPr>
              <w:t>Finansējuma pieprasījums nacionālās kvalitātes nodrošināšanas institūcijas Jauno politiku iniciatīvu ietvaros</w:t>
            </w:r>
          </w:p>
        </w:tc>
        <w:tc>
          <w:tcPr>
            <w:tcW w:w="1630" w:type="dxa"/>
          </w:tcPr>
          <w:p w:rsidR="004915A7" w:rsidRDefault="00577446" w:rsidP="009055FB">
            <w:pPr>
              <w:rPr>
                <w:rFonts w:ascii="Times New Roman" w:hAnsi="Times New Roman"/>
                <w:sz w:val="26"/>
                <w:szCs w:val="26"/>
              </w:rPr>
            </w:pPr>
            <w:r>
              <w:rPr>
                <w:rFonts w:ascii="Times New Roman" w:hAnsi="Times New Roman"/>
                <w:sz w:val="26"/>
                <w:szCs w:val="26"/>
              </w:rPr>
              <w:t>2014.</w:t>
            </w:r>
          </w:p>
        </w:tc>
        <w:tc>
          <w:tcPr>
            <w:tcW w:w="2829" w:type="dxa"/>
          </w:tcPr>
          <w:p w:rsidR="004915A7" w:rsidRDefault="00577446" w:rsidP="009055FB">
            <w:pPr>
              <w:rPr>
                <w:rFonts w:ascii="Times New Roman" w:hAnsi="Times New Roman"/>
                <w:sz w:val="26"/>
                <w:szCs w:val="26"/>
              </w:rPr>
            </w:pPr>
            <w:r>
              <w:rPr>
                <w:rFonts w:ascii="Times New Roman" w:hAnsi="Times New Roman"/>
                <w:sz w:val="26"/>
                <w:szCs w:val="26"/>
              </w:rPr>
              <w:t>IZM</w:t>
            </w:r>
          </w:p>
        </w:tc>
      </w:tr>
      <w:tr w:rsidR="004A24D2" w:rsidTr="004915A7">
        <w:tc>
          <w:tcPr>
            <w:tcW w:w="1004" w:type="dxa"/>
          </w:tcPr>
          <w:p w:rsidR="004A24D2" w:rsidRDefault="004A24D2" w:rsidP="009055FB">
            <w:pPr>
              <w:rPr>
                <w:rFonts w:ascii="Times New Roman" w:hAnsi="Times New Roman"/>
                <w:sz w:val="26"/>
                <w:szCs w:val="26"/>
              </w:rPr>
            </w:pPr>
            <w:r>
              <w:rPr>
                <w:rFonts w:ascii="Times New Roman" w:hAnsi="Times New Roman"/>
                <w:sz w:val="26"/>
                <w:szCs w:val="26"/>
              </w:rPr>
              <w:t>4.</w:t>
            </w:r>
          </w:p>
        </w:tc>
        <w:tc>
          <w:tcPr>
            <w:tcW w:w="3598" w:type="dxa"/>
          </w:tcPr>
          <w:p w:rsidR="004A24D2" w:rsidRDefault="004A24D2" w:rsidP="009055FB">
            <w:pPr>
              <w:rPr>
                <w:rFonts w:ascii="Times New Roman" w:hAnsi="Times New Roman"/>
                <w:sz w:val="26"/>
                <w:szCs w:val="26"/>
              </w:rPr>
            </w:pPr>
            <w:r>
              <w:rPr>
                <w:rFonts w:ascii="Times New Roman" w:hAnsi="Times New Roman"/>
                <w:sz w:val="26"/>
                <w:szCs w:val="26"/>
              </w:rPr>
              <w:t>MK noteikumu izstrāde par struktūrfondu aktivitātes</w:t>
            </w:r>
            <w:r>
              <w:rPr>
                <w:rStyle w:val="FootnoteReference"/>
                <w:rFonts w:ascii="Times New Roman" w:hAnsi="Times New Roman"/>
                <w:sz w:val="26"/>
                <w:szCs w:val="26"/>
              </w:rPr>
              <w:footnoteReference w:id="30"/>
            </w:r>
            <w:r>
              <w:rPr>
                <w:rFonts w:ascii="Times New Roman" w:hAnsi="Times New Roman"/>
                <w:sz w:val="26"/>
                <w:szCs w:val="26"/>
              </w:rPr>
              <w:t xml:space="preserve"> īstenošanu</w:t>
            </w:r>
          </w:p>
        </w:tc>
        <w:tc>
          <w:tcPr>
            <w:tcW w:w="1630" w:type="dxa"/>
          </w:tcPr>
          <w:p w:rsidR="004A24D2" w:rsidRDefault="004A24D2" w:rsidP="009055FB">
            <w:pPr>
              <w:rPr>
                <w:rFonts w:ascii="Times New Roman" w:hAnsi="Times New Roman"/>
                <w:sz w:val="26"/>
                <w:szCs w:val="26"/>
              </w:rPr>
            </w:pPr>
            <w:r>
              <w:rPr>
                <w:rFonts w:ascii="Times New Roman" w:hAnsi="Times New Roman"/>
                <w:sz w:val="26"/>
                <w:szCs w:val="26"/>
              </w:rPr>
              <w:t>2014.-2015.</w:t>
            </w:r>
          </w:p>
        </w:tc>
        <w:tc>
          <w:tcPr>
            <w:tcW w:w="2829" w:type="dxa"/>
          </w:tcPr>
          <w:p w:rsidR="004A24D2" w:rsidRDefault="004A24D2" w:rsidP="009055FB">
            <w:pPr>
              <w:rPr>
                <w:rFonts w:ascii="Times New Roman" w:hAnsi="Times New Roman"/>
                <w:sz w:val="26"/>
                <w:szCs w:val="26"/>
              </w:rPr>
            </w:pPr>
            <w:r>
              <w:rPr>
                <w:rFonts w:ascii="Times New Roman" w:hAnsi="Times New Roman"/>
                <w:sz w:val="26"/>
                <w:szCs w:val="26"/>
              </w:rPr>
              <w:t>IZM</w:t>
            </w:r>
          </w:p>
        </w:tc>
      </w:tr>
      <w:tr w:rsidR="004A24D2" w:rsidTr="004915A7">
        <w:tc>
          <w:tcPr>
            <w:tcW w:w="1004" w:type="dxa"/>
          </w:tcPr>
          <w:p w:rsidR="004A24D2" w:rsidRDefault="004A24D2" w:rsidP="009055FB">
            <w:pPr>
              <w:rPr>
                <w:rFonts w:ascii="Times New Roman" w:hAnsi="Times New Roman"/>
                <w:sz w:val="26"/>
                <w:szCs w:val="26"/>
              </w:rPr>
            </w:pPr>
            <w:r>
              <w:rPr>
                <w:rFonts w:ascii="Times New Roman" w:hAnsi="Times New Roman"/>
                <w:sz w:val="26"/>
                <w:szCs w:val="26"/>
              </w:rPr>
              <w:t>5.</w:t>
            </w:r>
          </w:p>
        </w:tc>
        <w:tc>
          <w:tcPr>
            <w:tcW w:w="3598" w:type="dxa"/>
          </w:tcPr>
          <w:p w:rsidR="004A24D2" w:rsidRDefault="004A24D2" w:rsidP="009055FB">
            <w:pPr>
              <w:rPr>
                <w:rFonts w:ascii="Times New Roman" w:hAnsi="Times New Roman"/>
                <w:sz w:val="26"/>
                <w:szCs w:val="26"/>
              </w:rPr>
            </w:pPr>
            <w:r>
              <w:rPr>
                <w:rFonts w:ascii="Times New Roman" w:hAnsi="Times New Roman"/>
                <w:sz w:val="26"/>
                <w:szCs w:val="26"/>
              </w:rPr>
              <w:t xml:space="preserve">Nacionālās kvalitātes nodrošināšanas institūcijas darbības uzsākšana, izmantojot valsts budžeta finansējumu, un </w:t>
            </w:r>
            <w:r w:rsidRPr="00257173">
              <w:rPr>
                <w:rFonts w:ascii="Times New Roman" w:hAnsi="Times New Roman"/>
                <w:sz w:val="26"/>
                <w:szCs w:val="26"/>
              </w:rPr>
              <w:lastRenderedPageBreak/>
              <w:t>atbalstu</w:t>
            </w:r>
            <w:r>
              <w:rPr>
                <w:rFonts w:ascii="Times New Roman" w:hAnsi="Times New Roman"/>
                <w:sz w:val="26"/>
                <w:szCs w:val="26"/>
              </w:rPr>
              <w:t xml:space="preserve"> kvalitātes pasākumiem, izmantojot ES </w:t>
            </w:r>
            <w:r w:rsidRPr="00257173">
              <w:rPr>
                <w:rFonts w:ascii="Times New Roman" w:hAnsi="Times New Roman"/>
                <w:sz w:val="26"/>
                <w:szCs w:val="26"/>
              </w:rPr>
              <w:t>struktūrfondu</w:t>
            </w:r>
            <w:r>
              <w:rPr>
                <w:rFonts w:ascii="Times New Roman" w:hAnsi="Times New Roman"/>
                <w:sz w:val="26"/>
                <w:szCs w:val="26"/>
              </w:rPr>
              <w:t xml:space="preserve"> finansējumu</w:t>
            </w:r>
            <w:r>
              <w:rPr>
                <w:rStyle w:val="FootnoteReference"/>
                <w:rFonts w:ascii="Times New Roman" w:hAnsi="Times New Roman"/>
                <w:i/>
                <w:sz w:val="26"/>
                <w:szCs w:val="26"/>
              </w:rPr>
              <w:footnoteReference w:id="31"/>
            </w:r>
          </w:p>
        </w:tc>
        <w:tc>
          <w:tcPr>
            <w:tcW w:w="1630" w:type="dxa"/>
          </w:tcPr>
          <w:p w:rsidR="004A24D2" w:rsidRDefault="004A24D2" w:rsidP="009055FB">
            <w:pPr>
              <w:rPr>
                <w:rFonts w:ascii="Times New Roman" w:hAnsi="Times New Roman"/>
                <w:sz w:val="26"/>
                <w:szCs w:val="26"/>
              </w:rPr>
            </w:pPr>
            <w:r>
              <w:rPr>
                <w:rFonts w:ascii="Times New Roman" w:hAnsi="Times New Roman"/>
                <w:sz w:val="26"/>
                <w:szCs w:val="26"/>
              </w:rPr>
              <w:lastRenderedPageBreak/>
              <w:t>2015.</w:t>
            </w:r>
          </w:p>
        </w:tc>
        <w:tc>
          <w:tcPr>
            <w:tcW w:w="2829" w:type="dxa"/>
          </w:tcPr>
          <w:p w:rsidR="004A24D2" w:rsidRDefault="004A24D2" w:rsidP="009055FB">
            <w:pPr>
              <w:rPr>
                <w:rFonts w:ascii="Times New Roman" w:hAnsi="Times New Roman"/>
                <w:sz w:val="26"/>
                <w:szCs w:val="26"/>
              </w:rPr>
            </w:pPr>
            <w:r>
              <w:rPr>
                <w:rFonts w:ascii="Times New Roman" w:hAnsi="Times New Roman"/>
                <w:sz w:val="26"/>
                <w:szCs w:val="26"/>
              </w:rPr>
              <w:t>AIC, IZM</w:t>
            </w:r>
          </w:p>
        </w:tc>
      </w:tr>
      <w:tr w:rsidR="004915A7" w:rsidTr="004915A7">
        <w:tc>
          <w:tcPr>
            <w:tcW w:w="1004" w:type="dxa"/>
          </w:tcPr>
          <w:p w:rsidR="004915A7" w:rsidRDefault="00E14398" w:rsidP="009055FB">
            <w:pPr>
              <w:rPr>
                <w:rFonts w:ascii="Times New Roman" w:hAnsi="Times New Roman"/>
                <w:sz w:val="26"/>
                <w:szCs w:val="26"/>
              </w:rPr>
            </w:pPr>
            <w:r>
              <w:rPr>
                <w:rFonts w:ascii="Times New Roman" w:hAnsi="Times New Roman"/>
                <w:sz w:val="26"/>
                <w:szCs w:val="26"/>
              </w:rPr>
              <w:lastRenderedPageBreak/>
              <w:t>6</w:t>
            </w:r>
            <w:r w:rsidR="009E3C2E">
              <w:rPr>
                <w:rFonts w:ascii="Times New Roman" w:hAnsi="Times New Roman"/>
                <w:sz w:val="26"/>
                <w:szCs w:val="26"/>
              </w:rPr>
              <w:t>.</w:t>
            </w:r>
          </w:p>
        </w:tc>
        <w:tc>
          <w:tcPr>
            <w:tcW w:w="3598" w:type="dxa"/>
          </w:tcPr>
          <w:p w:rsidR="004915A7" w:rsidRDefault="00004669" w:rsidP="009055FB">
            <w:pPr>
              <w:rPr>
                <w:rFonts w:ascii="Times New Roman" w:hAnsi="Times New Roman"/>
                <w:sz w:val="26"/>
                <w:szCs w:val="26"/>
              </w:rPr>
            </w:pPr>
            <w:r>
              <w:rPr>
                <w:rFonts w:ascii="Times New Roman" w:hAnsi="Times New Roman"/>
                <w:sz w:val="26"/>
                <w:szCs w:val="26"/>
              </w:rPr>
              <w:t>Nacionālās kvalitātes nodrošināšanas institūcijas iekšējo procedūru izstrāde, personāla apmācība, pieredzes apgūšana</w:t>
            </w:r>
          </w:p>
        </w:tc>
        <w:tc>
          <w:tcPr>
            <w:tcW w:w="1630" w:type="dxa"/>
          </w:tcPr>
          <w:p w:rsidR="004915A7" w:rsidRDefault="00004669" w:rsidP="009055FB">
            <w:pPr>
              <w:rPr>
                <w:rFonts w:ascii="Times New Roman" w:hAnsi="Times New Roman"/>
                <w:sz w:val="26"/>
                <w:szCs w:val="26"/>
              </w:rPr>
            </w:pPr>
            <w:r>
              <w:rPr>
                <w:rFonts w:ascii="Times New Roman" w:hAnsi="Times New Roman"/>
                <w:sz w:val="26"/>
                <w:szCs w:val="26"/>
              </w:rPr>
              <w:t>2015.</w:t>
            </w:r>
          </w:p>
        </w:tc>
        <w:tc>
          <w:tcPr>
            <w:tcW w:w="2829" w:type="dxa"/>
          </w:tcPr>
          <w:p w:rsidR="004915A7" w:rsidRDefault="00004669" w:rsidP="009055FB">
            <w:pPr>
              <w:rPr>
                <w:rFonts w:ascii="Times New Roman" w:hAnsi="Times New Roman"/>
                <w:sz w:val="26"/>
                <w:szCs w:val="26"/>
              </w:rPr>
            </w:pPr>
            <w:r>
              <w:rPr>
                <w:rFonts w:ascii="Times New Roman" w:hAnsi="Times New Roman"/>
                <w:sz w:val="26"/>
                <w:szCs w:val="26"/>
              </w:rPr>
              <w:t>AIC</w:t>
            </w:r>
          </w:p>
        </w:tc>
      </w:tr>
      <w:tr w:rsidR="009E3C2E" w:rsidTr="004915A7">
        <w:tc>
          <w:tcPr>
            <w:tcW w:w="1004" w:type="dxa"/>
          </w:tcPr>
          <w:p w:rsidR="009E3C2E" w:rsidRDefault="00E14398" w:rsidP="009055FB">
            <w:pPr>
              <w:rPr>
                <w:rFonts w:ascii="Times New Roman" w:hAnsi="Times New Roman"/>
                <w:sz w:val="26"/>
                <w:szCs w:val="26"/>
              </w:rPr>
            </w:pPr>
            <w:r>
              <w:rPr>
                <w:rFonts w:ascii="Times New Roman" w:hAnsi="Times New Roman"/>
                <w:sz w:val="26"/>
                <w:szCs w:val="26"/>
              </w:rPr>
              <w:t>7</w:t>
            </w:r>
            <w:r w:rsidR="009E3C2E">
              <w:rPr>
                <w:rFonts w:ascii="Times New Roman" w:hAnsi="Times New Roman"/>
                <w:sz w:val="26"/>
                <w:szCs w:val="26"/>
              </w:rPr>
              <w:t>.</w:t>
            </w:r>
          </w:p>
        </w:tc>
        <w:tc>
          <w:tcPr>
            <w:tcW w:w="3598" w:type="dxa"/>
          </w:tcPr>
          <w:p w:rsidR="009E3C2E" w:rsidRDefault="009E3C2E" w:rsidP="009055FB">
            <w:pPr>
              <w:rPr>
                <w:rFonts w:ascii="Times New Roman" w:hAnsi="Times New Roman"/>
                <w:sz w:val="26"/>
                <w:szCs w:val="26"/>
              </w:rPr>
            </w:pPr>
            <w:r>
              <w:rPr>
                <w:rFonts w:ascii="Times New Roman" w:hAnsi="Times New Roman"/>
                <w:sz w:val="26"/>
                <w:szCs w:val="26"/>
              </w:rPr>
              <w:t>Akreditācijas un licencēšanas procesa uzsākšana AIC</w:t>
            </w:r>
          </w:p>
        </w:tc>
        <w:tc>
          <w:tcPr>
            <w:tcW w:w="1630" w:type="dxa"/>
          </w:tcPr>
          <w:p w:rsidR="009E3C2E" w:rsidRDefault="009E3C2E" w:rsidP="009055FB">
            <w:pPr>
              <w:rPr>
                <w:rFonts w:ascii="Times New Roman" w:hAnsi="Times New Roman"/>
                <w:sz w:val="26"/>
                <w:szCs w:val="26"/>
              </w:rPr>
            </w:pPr>
            <w:r>
              <w:rPr>
                <w:rFonts w:ascii="Times New Roman" w:hAnsi="Times New Roman"/>
                <w:sz w:val="26"/>
                <w:szCs w:val="26"/>
              </w:rPr>
              <w:t>2015.</w:t>
            </w:r>
          </w:p>
          <w:p w:rsidR="009E3C2E" w:rsidRDefault="009E3C2E" w:rsidP="009055FB">
            <w:pPr>
              <w:rPr>
                <w:rFonts w:ascii="Times New Roman" w:hAnsi="Times New Roman"/>
                <w:sz w:val="26"/>
                <w:szCs w:val="26"/>
              </w:rPr>
            </w:pPr>
            <w:r>
              <w:rPr>
                <w:rFonts w:ascii="Times New Roman" w:hAnsi="Times New Roman"/>
                <w:sz w:val="26"/>
                <w:szCs w:val="26"/>
              </w:rPr>
              <w:t>II pusgads</w:t>
            </w:r>
          </w:p>
        </w:tc>
        <w:tc>
          <w:tcPr>
            <w:tcW w:w="2829" w:type="dxa"/>
          </w:tcPr>
          <w:p w:rsidR="009E3C2E" w:rsidRDefault="009E3C2E" w:rsidP="009055FB">
            <w:pPr>
              <w:rPr>
                <w:rFonts w:ascii="Times New Roman" w:hAnsi="Times New Roman"/>
                <w:sz w:val="26"/>
                <w:szCs w:val="26"/>
              </w:rPr>
            </w:pPr>
            <w:r>
              <w:rPr>
                <w:rFonts w:ascii="Times New Roman" w:hAnsi="Times New Roman"/>
                <w:sz w:val="26"/>
                <w:szCs w:val="26"/>
              </w:rPr>
              <w:t>AIC</w:t>
            </w:r>
          </w:p>
        </w:tc>
      </w:tr>
      <w:tr w:rsidR="00CD5B47" w:rsidTr="004915A7">
        <w:tc>
          <w:tcPr>
            <w:tcW w:w="1004" w:type="dxa"/>
          </w:tcPr>
          <w:p w:rsidR="00CD5B47" w:rsidRDefault="00E14398" w:rsidP="009055FB">
            <w:pPr>
              <w:rPr>
                <w:rFonts w:ascii="Times New Roman" w:hAnsi="Times New Roman"/>
                <w:sz w:val="26"/>
                <w:szCs w:val="26"/>
              </w:rPr>
            </w:pPr>
            <w:r>
              <w:rPr>
                <w:rFonts w:ascii="Times New Roman" w:hAnsi="Times New Roman"/>
                <w:sz w:val="26"/>
                <w:szCs w:val="26"/>
              </w:rPr>
              <w:t>8</w:t>
            </w:r>
            <w:r w:rsidR="009E3C2E">
              <w:rPr>
                <w:rFonts w:ascii="Times New Roman" w:hAnsi="Times New Roman"/>
                <w:sz w:val="26"/>
                <w:szCs w:val="26"/>
              </w:rPr>
              <w:t>.</w:t>
            </w:r>
          </w:p>
        </w:tc>
        <w:tc>
          <w:tcPr>
            <w:tcW w:w="3598" w:type="dxa"/>
          </w:tcPr>
          <w:p w:rsidR="00CD5B47" w:rsidRDefault="00004669" w:rsidP="009055FB">
            <w:pPr>
              <w:rPr>
                <w:rFonts w:ascii="Times New Roman" w:hAnsi="Times New Roman"/>
                <w:sz w:val="26"/>
                <w:szCs w:val="26"/>
              </w:rPr>
            </w:pPr>
            <w:r>
              <w:rPr>
                <w:rFonts w:ascii="Times New Roman" w:hAnsi="Times New Roman"/>
                <w:sz w:val="26"/>
                <w:szCs w:val="26"/>
              </w:rPr>
              <w:t>Nacionālās kvalitātes nodrošināšanas institūcijas stratēģijas izstrāde iekļūšanai ENQA un EQAR</w:t>
            </w:r>
            <w:r w:rsidR="009E3C2E">
              <w:rPr>
                <w:rFonts w:ascii="Times New Roman" w:hAnsi="Times New Roman"/>
                <w:sz w:val="26"/>
                <w:szCs w:val="26"/>
              </w:rPr>
              <w:t>, reģistrēšanās ENQA asociētā biedra statusā</w:t>
            </w:r>
          </w:p>
        </w:tc>
        <w:tc>
          <w:tcPr>
            <w:tcW w:w="1630" w:type="dxa"/>
          </w:tcPr>
          <w:p w:rsidR="00CD5B47" w:rsidRDefault="00004669" w:rsidP="009055FB">
            <w:pPr>
              <w:rPr>
                <w:rFonts w:ascii="Times New Roman" w:hAnsi="Times New Roman"/>
                <w:sz w:val="26"/>
                <w:szCs w:val="26"/>
              </w:rPr>
            </w:pPr>
            <w:r>
              <w:rPr>
                <w:rFonts w:ascii="Times New Roman" w:hAnsi="Times New Roman"/>
                <w:sz w:val="26"/>
                <w:szCs w:val="26"/>
              </w:rPr>
              <w:t>2016.</w:t>
            </w:r>
          </w:p>
          <w:p w:rsidR="001E530C" w:rsidRDefault="001E530C" w:rsidP="009055FB">
            <w:pPr>
              <w:rPr>
                <w:rFonts w:ascii="Times New Roman" w:hAnsi="Times New Roman"/>
                <w:sz w:val="26"/>
                <w:szCs w:val="26"/>
              </w:rPr>
            </w:pPr>
            <w:r>
              <w:rPr>
                <w:rFonts w:ascii="Times New Roman" w:hAnsi="Times New Roman"/>
                <w:sz w:val="26"/>
                <w:szCs w:val="26"/>
              </w:rPr>
              <w:t>I pusgads</w:t>
            </w:r>
          </w:p>
        </w:tc>
        <w:tc>
          <w:tcPr>
            <w:tcW w:w="2829" w:type="dxa"/>
          </w:tcPr>
          <w:p w:rsidR="00CD5B47" w:rsidRDefault="00004669" w:rsidP="009055FB">
            <w:pPr>
              <w:rPr>
                <w:rFonts w:ascii="Times New Roman" w:hAnsi="Times New Roman"/>
                <w:sz w:val="26"/>
                <w:szCs w:val="26"/>
              </w:rPr>
            </w:pPr>
            <w:r>
              <w:rPr>
                <w:rFonts w:ascii="Times New Roman" w:hAnsi="Times New Roman"/>
                <w:sz w:val="26"/>
                <w:szCs w:val="26"/>
              </w:rPr>
              <w:t>AIC</w:t>
            </w:r>
          </w:p>
        </w:tc>
      </w:tr>
      <w:tr w:rsidR="00CD5B47" w:rsidTr="004915A7">
        <w:tc>
          <w:tcPr>
            <w:tcW w:w="1004" w:type="dxa"/>
          </w:tcPr>
          <w:p w:rsidR="00CD5B47" w:rsidRDefault="00E14398" w:rsidP="009055FB">
            <w:pPr>
              <w:rPr>
                <w:rFonts w:ascii="Times New Roman" w:hAnsi="Times New Roman"/>
                <w:sz w:val="26"/>
                <w:szCs w:val="26"/>
              </w:rPr>
            </w:pPr>
            <w:r>
              <w:rPr>
                <w:rFonts w:ascii="Times New Roman" w:hAnsi="Times New Roman"/>
                <w:sz w:val="26"/>
                <w:szCs w:val="26"/>
              </w:rPr>
              <w:t>9</w:t>
            </w:r>
            <w:r w:rsidR="009E3C2E">
              <w:rPr>
                <w:rFonts w:ascii="Times New Roman" w:hAnsi="Times New Roman"/>
                <w:sz w:val="26"/>
                <w:szCs w:val="26"/>
              </w:rPr>
              <w:t>.</w:t>
            </w:r>
          </w:p>
        </w:tc>
        <w:tc>
          <w:tcPr>
            <w:tcW w:w="3598" w:type="dxa"/>
          </w:tcPr>
          <w:p w:rsidR="00CD5B47" w:rsidRDefault="00004669" w:rsidP="009055FB">
            <w:pPr>
              <w:rPr>
                <w:rFonts w:ascii="Times New Roman" w:hAnsi="Times New Roman"/>
                <w:sz w:val="26"/>
                <w:szCs w:val="26"/>
              </w:rPr>
            </w:pPr>
            <w:r>
              <w:rPr>
                <w:rFonts w:ascii="Times New Roman" w:hAnsi="Times New Roman"/>
                <w:sz w:val="26"/>
                <w:szCs w:val="26"/>
              </w:rPr>
              <w:t>Nacionālās kvalitātes nodrošināšanas institūcijas izvērtēšana atbilstoši ESG</w:t>
            </w:r>
          </w:p>
        </w:tc>
        <w:tc>
          <w:tcPr>
            <w:tcW w:w="1630" w:type="dxa"/>
          </w:tcPr>
          <w:p w:rsidR="00CD5B47" w:rsidRDefault="001E530C" w:rsidP="009055FB">
            <w:pPr>
              <w:rPr>
                <w:rFonts w:ascii="Times New Roman" w:hAnsi="Times New Roman"/>
                <w:sz w:val="26"/>
                <w:szCs w:val="26"/>
              </w:rPr>
            </w:pPr>
            <w:r>
              <w:rPr>
                <w:rFonts w:ascii="Times New Roman" w:hAnsi="Times New Roman"/>
                <w:sz w:val="26"/>
                <w:szCs w:val="26"/>
              </w:rPr>
              <w:t>201</w:t>
            </w:r>
            <w:r w:rsidR="009E3C2E">
              <w:rPr>
                <w:rFonts w:ascii="Times New Roman" w:hAnsi="Times New Roman"/>
                <w:sz w:val="26"/>
                <w:szCs w:val="26"/>
              </w:rPr>
              <w:t>7.</w:t>
            </w:r>
          </w:p>
          <w:p w:rsidR="001E530C" w:rsidRDefault="001E530C" w:rsidP="009055FB">
            <w:pPr>
              <w:rPr>
                <w:rFonts w:ascii="Times New Roman" w:hAnsi="Times New Roman"/>
                <w:sz w:val="26"/>
                <w:szCs w:val="26"/>
              </w:rPr>
            </w:pPr>
          </w:p>
        </w:tc>
        <w:tc>
          <w:tcPr>
            <w:tcW w:w="2829" w:type="dxa"/>
          </w:tcPr>
          <w:p w:rsidR="00CD5B47" w:rsidRDefault="00004669" w:rsidP="009055FB">
            <w:pPr>
              <w:rPr>
                <w:rFonts w:ascii="Times New Roman" w:hAnsi="Times New Roman"/>
                <w:sz w:val="26"/>
                <w:szCs w:val="26"/>
              </w:rPr>
            </w:pPr>
            <w:r>
              <w:rPr>
                <w:rFonts w:ascii="Times New Roman" w:hAnsi="Times New Roman"/>
                <w:sz w:val="26"/>
                <w:szCs w:val="26"/>
              </w:rPr>
              <w:t>AIC</w:t>
            </w:r>
          </w:p>
        </w:tc>
      </w:tr>
      <w:tr w:rsidR="00B9086F" w:rsidTr="004915A7">
        <w:tc>
          <w:tcPr>
            <w:tcW w:w="1004" w:type="dxa"/>
          </w:tcPr>
          <w:p w:rsidR="00B9086F" w:rsidRDefault="00E14398" w:rsidP="009055FB">
            <w:pPr>
              <w:rPr>
                <w:rFonts w:ascii="Times New Roman" w:hAnsi="Times New Roman"/>
                <w:sz w:val="26"/>
                <w:szCs w:val="26"/>
              </w:rPr>
            </w:pPr>
            <w:r>
              <w:rPr>
                <w:rFonts w:ascii="Times New Roman" w:hAnsi="Times New Roman"/>
                <w:sz w:val="26"/>
                <w:szCs w:val="26"/>
              </w:rPr>
              <w:t>10</w:t>
            </w:r>
            <w:r w:rsidR="00B9086F">
              <w:rPr>
                <w:rFonts w:ascii="Times New Roman" w:hAnsi="Times New Roman"/>
                <w:sz w:val="26"/>
                <w:szCs w:val="26"/>
              </w:rPr>
              <w:t>.</w:t>
            </w:r>
          </w:p>
        </w:tc>
        <w:tc>
          <w:tcPr>
            <w:tcW w:w="3598" w:type="dxa"/>
          </w:tcPr>
          <w:p w:rsidR="00B9086F" w:rsidRDefault="00B9086F" w:rsidP="009055FB">
            <w:pPr>
              <w:rPr>
                <w:rFonts w:ascii="Times New Roman" w:hAnsi="Times New Roman"/>
                <w:sz w:val="26"/>
                <w:szCs w:val="26"/>
              </w:rPr>
            </w:pPr>
            <w:r>
              <w:rPr>
                <w:rFonts w:ascii="Times New Roman" w:hAnsi="Times New Roman"/>
                <w:sz w:val="26"/>
                <w:szCs w:val="26"/>
              </w:rPr>
              <w:t>2019.gadā īstenojamās masveida studiju virzienu akreditācijas procesa organizatoriska plānošana un saskaņošana ar Augstskolām.</w:t>
            </w:r>
          </w:p>
        </w:tc>
        <w:tc>
          <w:tcPr>
            <w:tcW w:w="1630" w:type="dxa"/>
          </w:tcPr>
          <w:p w:rsidR="00B9086F" w:rsidRDefault="00B9086F" w:rsidP="009055FB">
            <w:pPr>
              <w:rPr>
                <w:rFonts w:ascii="Times New Roman" w:hAnsi="Times New Roman"/>
                <w:sz w:val="26"/>
                <w:szCs w:val="26"/>
              </w:rPr>
            </w:pPr>
            <w:r>
              <w:rPr>
                <w:rFonts w:ascii="Times New Roman" w:hAnsi="Times New Roman"/>
                <w:sz w:val="26"/>
                <w:szCs w:val="26"/>
              </w:rPr>
              <w:t>2017., 2018.</w:t>
            </w:r>
          </w:p>
        </w:tc>
        <w:tc>
          <w:tcPr>
            <w:tcW w:w="2829" w:type="dxa"/>
          </w:tcPr>
          <w:p w:rsidR="00B9086F" w:rsidRDefault="00B9086F" w:rsidP="009055FB">
            <w:pPr>
              <w:rPr>
                <w:rFonts w:ascii="Times New Roman" w:hAnsi="Times New Roman"/>
                <w:sz w:val="26"/>
                <w:szCs w:val="26"/>
              </w:rPr>
            </w:pPr>
            <w:r>
              <w:rPr>
                <w:rFonts w:ascii="Times New Roman" w:hAnsi="Times New Roman"/>
                <w:sz w:val="26"/>
                <w:szCs w:val="26"/>
              </w:rPr>
              <w:t>AIC, Augstskolas</w:t>
            </w:r>
          </w:p>
        </w:tc>
      </w:tr>
      <w:tr w:rsidR="00CD5B47" w:rsidTr="004915A7">
        <w:tc>
          <w:tcPr>
            <w:tcW w:w="1004" w:type="dxa"/>
          </w:tcPr>
          <w:p w:rsidR="00CD5B47" w:rsidRDefault="00E14398" w:rsidP="009055FB">
            <w:pPr>
              <w:rPr>
                <w:rFonts w:ascii="Times New Roman" w:hAnsi="Times New Roman"/>
                <w:sz w:val="26"/>
                <w:szCs w:val="26"/>
              </w:rPr>
            </w:pPr>
            <w:r>
              <w:rPr>
                <w:rFonts w:ascii="Times New Roman" w:hAnsi="Times New Roman"/>
                <w:sz w:val="26"/>
                <w:szCs w:val="26"/>
              </w:rPr>
              <w:t>11</w:t>
            </w:r>
            <w:r w:rsidR="00B9086F">
              <w:rPr>
                <w:rFonts w:ascii="Times New Roman" w:hAnsi="Times New Roman"/>
                <w:sz w:val="26"/>
                <w:szCs w:val="26"/>
              </w:rPr>
              <w:t>.</w:t>
            </w:r>
          </w:p>
        </w:tc>
        <w:tc>
          <w:tcPr>
            <w:tcW w:w="3598" w:type="dxa"/>
          </w:tcPr>
          <w:p w:rsidR="00CD5B47" w:rsidRDefault="00004669" w:rsidP="009055FB">
            <w:pPr>
              <w:rPr>
                <w:rFonts w:ascii="Times New Roman" w:hAnsi="Times New Roman"/>
                <w:sz w:val="26"/>
                <w:szCs w:val="26"/>
              </w:rPr>
            </w:pPr>
            <w:r>
              <w:rPr>
                <w:rFonts w:ascii="Times New Roman" w:hAnsi="Times New Roman"/>
                <w:sz w:val="26"/>
                <w:szCs w:val="26"/>
              </w:rPr>
              <w:t>Nacionālās kvalitātes nodrošināšanas institūcijas pieteikšanās EQAR un ENQA</w:t>
            </w:r>
          </w:p>
        </w:tc>
        <w:tc>
          <w:tcPr>
            <w:tcW w:w="1630" w:type="dxa"/>
          </w:tcPr>
          <w:p w:rsidR="00CD5B47" w:rsidRDefault="001E530C" w:rsidP="009055FB">
            <w:pPr>
              <w:rPr>
                <w:rFonts w:ascii="Times New Roman" w:hAnsi="Times New Roman"/>
                <w:sz w:val="26"/>
                <w:szCs w:val="26"/>
              </w:rPr>
            </w:pPr>
            <w:r>
              <w:rPr>
                <w:rFonts w:ascii="Times New Roman" w:hAnsi="Times New Roman"/>
                <w:sz w:val="26"/>
                <w:szCs w:val="26"/>
              </w:rPr>
              <w:t>201</w:t>
            </w:r>
            <w:r w:rsidR="009E3C2E">
              <w:rPr>
                <w:rFonts w:ascii="Times New Roman" w:hAnsi="Times New Roman"/>
                <w:sz w:val="26"/>
                <w:szCs w:val="26"/>
              </w:rPr>
              <w:t>8</w:t>
            </w:r>
            <w:r w:rsidR="00004669">
              <w:rPr>
                <w:rFonts w:ascii="Times New Roman" w:hAnsi="Times New Roman"/>
                <w:sz w:val="26"/>
                <w:szCs w:val="26"/>
              </w:rPr>
              <w:t>.</w:t>
            </w:r>
          </w:p>
          <w:p w:rsidR="009E3C2E" w:rsidRDefault="009E3C2E" w:rsidP="009055FB">
            <w:pPr>
              <w:rPr>
                <w:rFonts w:ascii="Times New Roman" w:hAnsi="Times New Roman"/>
                <w:sz w:val="26"/>
                <w:szCs w:val="26"/>
              </w:rPr>
            </w:pPr>
          </w:p>
        </w:tc>
        <w:tc>
          <w:tcPr>
            <w:tcW w:w="2829" w:type="dxa"/>
          </w:tcPr>
          <w:p w:rsidR="00CD5B47" w:rsidRDefault="00004669" w:rsidP="009055FB">
            <w:pPr>
              <w:rPr>
                <w:rFonts w:ascii="Times New Roman" w:hAnsi="Times New Roman"/>
                <w:sz w:val="26"/>
                <w:szCs w:val="26"/>
              </w:rPr>
            </w:pPr>
            <w:r>
              <w:rPr>
                <w:rFonts w:ascii="Times New Roman" w:hAnsi="Times New Roman"/>
                <w:sz w:val="26"/>
                <w:szCs w:val="26"/>
              </w:rPr>
              <w:t>AIC</w:t>
            </w:r>
          </w:p>
        </w:tc>
      </w:tr>
    </w:tbl>
    <w:p w:rsidR="004915A7" w:rsidRDefault="004915A7" w:rsidP="009055FB">
      <w:pPr>
        <w:spacing w:after="0" w:line="240" w:lineRule="auto"/>
        <w:rPr>
          <w:rFonts w:ascii="Times New Roman" w:hAnsi="Times New Roman" w:cs="Times New Roman"/>
          <w:sz w:val="26"/>
          <w:szCs w:val="26"/>
        </w:rPr>
      </w:pPr>
    </w:p>
    <w:p w:rsidR="00EE5758" w:rsidRDefault="00EE5758" w:rsidP="009055FB">
      <w:pPr>
        <w:pStyle w:val="ListParagraph"/>
        <w:spacing w:after="0" w:line="240" w:lineRule="auto"/>
        <w:ind w:left="792"/>
        <w:jc w:val="both"/>
        <w:rPr>
          <w:rFonts w:ascii="Times New Roman" w:hAnsi="Times New Roman" w:cs="Times New Roman"/>
          <w:sz w:val="26"/>
          <w:szCs w:val="26"/>
        </w:rPr>
      </w:pPr>
    </w:p>
    <w:p w:rsidR="00EE5758" w:rsidRDefault="00280EBE" w:rsidP="009055FB">
      <w:pPr>
        <w:pStyle w:val="Heading2"/>
        <w:spacing w:before="0" w:line="240" w:lineRule="auto"/>
        <w:rPr>
          <w:rFonts w:ascii="Times New Roman" w:hAnsi="Times New Roman" w:cs="Times New Roman"/>
          <w:b/>
          <w:color w:val="auto"/>
          <w:sz w:val="28"/>
          <w:szCs w:val="28"/>
        </w:rPr>
      </w:pPr>
      <w:bookmarkStart w:id="28" w:name="_Toc395890880"/>
      <w:r>
        <w:rPr>
          <w:rFonts w:ascii="Times New Roman" w:hAnsi="Times New Roman" w:cs="Times New Roman"/>
          <w:b/>
          <w:color w:val="auto"/>
          <w:sz w:val="28"/>
          <w:szCs w:val="28"/>
        </w:rPr>
        <w:t>5</w:t>
      </w:r>
      <w:r w:rsidR="00AE7266">
        <w:rPr>
          <w:rFonts w:ascii="Times New Roman" w:hAnsi="Times New Roman" w:cs="Times New Roman"/>
          <w:b/>
          <w:color w:val="auto"/>
          <w:sz w:val="28"/>
          <w:szCs w:val="28"/>
        </w:rPr>
        <w:t xml:space="preserve">.3. </w:t>
      </w:r>
      <w:r w:rsidR="005732FF" w:rsidRPr="00AE7266">
        <w:rPr>
          <w:rFonts w:ascii="Times New Roman" w:hAnsi="Times New Roman" w:cs="Times New Roman"/>
          <w:b/>
          <w:color w:val="auto"/>
          <w:sz w:val="28"/>
          <w:szCs w:val="28"/>
        </w:rPr>
        <w:t>Politikas dokumenti un tiesību akti</w:t>
      </w:r>
      <w:bookmarkEnd w:id="28"/>
    </w:p>
    <w:p w:rsidR="00616135" w:rsidRDefault="00616135" w:rsidP="009055FB">
      <w:pPr>
        <w:spacing w:after="0" w:line="240" w:lineRule="auto"/>
        <w:jc w:val="both"/>
        <w:rPr>
          <w:rFonts w:ascii="Times New Roman" w:hAnsi="Times New Roman" w:cs="Times New Roman"/>
          <w:sz w:val="26"/>
          <w:szCs w:val="26"/>
        </w:rPr>
      </w:pPr>
    </w:p>
    <w:p w:rsidR="00571A39" w:rsidRPr="00571A39" w:rsidRDefault="00571A39" w:rsidP="009055FB">
      <w:pPr>
        <w:spacing w:after="0" w:line="240" w:lineRule="auto"/>
        <w:jc w:val="both"/>
        <w:rPr>
          <w:rFonts w:ascii="Times New Roman" w:hAnsi="Times New Roman" w:cs="Times New Roman"/>
          <w:sz w:val="26"/>
          <w:szCs w:val="26"/>
        </w:rPr>
      </w:pPr>
      <w:r w:rsidRPr="00571A39">
        <w:rPr>
          <w:rFonts w:ascii="Times New Roman" w:hAnsi="Times New Roman" w:cs="Times New Roman"/>
          <w:sz w:val="26"/>
          <w:szCs w:val="26"/>
        </w:rPr>
        <w:t>Izstrādājamie tiesību akti:</w:t>
      </w:r>
    </w:p>
    <w:p w:rsidR="00516386" w:rsidRPr="00625425" w:rsidRDefault="00516386" w:rsidP="009055FB">
      <w:pPr>
        <w:pStyle w:val="ListParagraph"/>
        <w:numPr>
          <w:ilvl w:val="0"/>
          <w:numId w:val="30"/>
        </w:numPr>
        <w:spacing w:after="0" w:line="240" w:lineRule="auto"/>
        <w:jc w:val="both"/>
        <w:rPr>
          <w:rFonts w:ascii="Times New Roman" w:hAnsi="Times New Roman" w:cs="Times New Roman"/>
          <w:sz w:val="26"/>
          <w:szCs w:val="26"/>
        </w:rPr>
      </w:pPr>
      <w:r w:rsidRPr="00625425">
        <w:rPr>
          <w:rFonts w:ascii="Times New Roman" w:hAnsi="Times New Roman" w:cs="Times New Roman"/>
          <w:sz w:val="26"/>
          <w:szCs w:val="26"/>
        </w:rPr>
        <w:t xml:space="preserve">Grozījumi Augstskolu likumā – noteikt Akadēmiskās informācijas centru par </w:t>
      </w:r>
      <w:r w:rsidR="00E031F9" w:rsidRPr="00625425">
        <w:rPr>
          <w:rFonts w:ascii="Times New Roman" w:hAnsi="Times New Roman" w:cs="Times New Roman"/>
          <w:sz w:val="26"/>
          <w:szCs w:val="26"/>
        </w:rPr>
        <w:t xml:space="preserve">atbildīgo institūciju </w:t>
      </w:r>
      <w:r w:rsidRPr="00625425">
        <w:rPr>
          <w:rFonts w:ascii="Times New Roman" w:hAnsi="Times New Roman" w:cs="Times New Roman"/>
          <w:sz w:val="26"/>
          <w:szCs w:val="26"/>
        </w:rPr>
        <w:t>akreditācijas un licencēšanas organizēšan</w:t>
      </w:r>
      <w:r w:rsidR="00E031F9" w:rsidRPr="00625425">
        <w:rPr>
          <w:rFonts w:ascii="Times New Roman" w:hAnsi="Times New Roman" w:cs="Times New Roman"/>
          <w:sz w:val="26"/>
          <w:szCs w:val="26"/>
        </w:rPr>
        <w:t>ai</w:t>
      </w:r>
      <w:r w:rsidRPr="00625425">
        <w:rPr>
          <w:rFonts w:ascii="Times New Roman" w:hAnsi="Times New Roman" w:cs="Times New Roman"/>
          <w:sz w:val="26"/>
          <w:szCs w:val="26"/>
        </w:rPr>
        <w:t>;</w:t>
      </w:r>
    </w:p>
    <w:p w:rsidR="00516386" w:rsidRPr="00625425" w:rsidRDefault="00571A39" w:rsidP="009055FB">
      <w:pPr>
        <w:pStyle w:val="ListParagraph"/>
        <w:numPr>
          <w:ilvl w:val="0"/>
          <w:numId w:val="3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Grozījumi MK 25.09.2012. noteikumos</w:t>
      </w:r>
      <w:r w:rsidR="00516386" w:rsidRPr="00625425">
        <w:rPr>
          <w:rFonts w:ascii="Times New Roman" w:hAnsi="Times New Roman" w:cs="Times New Roman"/>
          <w:sz w:val="26"/>
          <w:szCs w:val="26"/>
        </w:rPr>
        <w:t xml:space="preserve"> Nr.668 “Augstskolu, koledžu un studiju virzienu akreditācijas noteikumi” – noteikt Akadēmiskās informācijas centra funkcijas un </w:t>
      </w:r>
      <w:r w:rsidR="000B3288" w:rsidRPr="00625425">
        <w:rPr>
          <w:rFonts w:ascii="Times New Roman" w:hAnsi="Times New Roman" w:cs="Times New Roman"/>
          <w:sz w:val="26"/>
          <w:szCs w:val="26"/>
        </w:rPr>
        <w:t xml:space="preserve">akreditācijas </w:t>
      </w:r>
      <w:r w:rsidR="00516386" w:rsidRPr="00625425">
        <w:rPr>
          <w:rFonts w:ascii="Times New Roman" w:hAnsi="Times New Roman" w:cs="Times New Roman"/>
          <w:sz w:val="26"/>
          <w:szCs w:val="26"/>
        </w:rPr>
        <w:t>procedūru;</w:t>
      </w:r>
    </w:p>
    <w:p w:rsidR="00212A83" w:rsidRDefault="00571A39" w:rsidP="009055FB">
      <w:pPr>
        <w:pStyle w:val="ListParagraph"/>
        <w:numPr>
          <w:ilvl w:val="0"/>
          <w:numId w:val="3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Grozījumi MK 25.04.2013. noteikumos</w:t>
      </w:r>
      <w:r w:rsidR="00516386" w:rsidRPr="00625425">
        <w:rPr>
          <w:rFonts w:ascii="Times New Roman" w:hAnsi="Times New Roman" w:cs="Times New Roman"/>
          <w:sz w:val="26"/>
          <w:szCs w:val="26"/>
        </w:rPr>
        <w:t xml:space="preserve"> Nr.230 “Studiju programmu licencēšanas noteikumi” – noteikt Akadēmiskās informācijas centra funkcijas </w:t>
      </w:r>
      <w:r w:rsidR="000B3288" w:rsidRPr="00625425">
        <w:rPr>
          <w:rFonts w:ascii="Times New Roman" w:hAnsi="Times New Roman" w:cs="Times New Roman"/>
          <w:sz w:val="26"/>
          <w:szCs w:val="26"/>
        </w:rPr>
        <w:t>un licencēšanas</w:t>
      </w:r>
      <w:r w:rsidR="003015FB">
        <w:rPr>
          <w:rFonts w:ascii="Times New Roman" w:hAnsi="Times New Roman" w:cs="Times New Roman"/>
          <w:sz w:val="26"/>
          <w:szCs w:val="26"/>
        </w:rPr>
        <w:t xml:space="preserve"> procedūru;</w:t>
      </w:r>
    </w:p>
    <w:p w:rsidR="003015FB" w:rsidRDefault="003015FB" w:rsidP="009055FB">
      <w:pPr>
        <w:pStyle w:val="ListParagraph"/>
        <w:numPr>
          <w:ilvl w:val="0"/>
          <w:numId w:val="3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MK noteikumi par specifiskā atbalsta mērķa 8.2.4 „</w:t>
      </w:r>
      <w:r w:rsidRPr="00583470">
        <w:rPr>
          <w:rFonts w:ascii="Times New Roman" w:hAnsi="Times New Roman" w:cs="Times New Roman"/>
          <w:sz w:val="26"/>
          <w:szCs w:val="26"/>
        </w:rPr>
        <w:t xml:space="preserve">Nodrošināt atbalstu EQAR aģentūrai izvirzīto prasību izpildei” </w:t>
      </w:r>
      <w:r>
        <w:rPr>
          <w:rFonts w:ascii="Times New Roman" w:hAnsi="Times New Roman" w:cs="Times New Roman"/>
          <w:sz w:val="26"/>
          <w:szCs w:val="26"/>
        </w:rPr>
        <w:t>īstenošanu</w:t>
      </w:r>
      <w:r w:rsidRPr="00583470">
        <w:rPr>
          <w:rFonts w:ascii="Times New Roman" w:hAnsi="Times New Roman" w:cs="Times New Roman"/>
          <w:sz w:val="26"/>
          <w:szCs w:val="26"/>
        </w:rPr>
        <w:t xml:space="preserve"> ES fondu plānošanas periodā 2014.-2020.gadam</w:t>
      </w:r>
      <w:r>
        <w:rPr>
          <w:rFonts w:ascii="Times New Roman" w:hAnsi="Times New Roman" w:cs="Times New Roman"/>
          <w:sz w:val="26"/>
          <w:szCs w:val="26"/>
        </w:rPr>
        <w:t>.</w:t>
      </w:r>
    </w:p>
    <w:p w:rsidR="005732FF" w:rsidRDefault="004F63B8" w:rsidP="009055FB">
      <w:pPr>
        <w:pStyle w:val="Heading1"/>
        <w:numPr>
          <w:ilvl w:val="0"/>
          <w:numId w:val="4"/>
        </w:numPr>
        <w:spacing w:before="0" w:line="240" w:lineRule="auto"/>
        <w:jc w:val="center"/>
        <w:rPr>
          <w:rFonts w:ascii="Times New Roman" w:hAnsi="Times New Roman" w:cs="Times New Roman"/>
          <w:color w:val="auto"/>
          <w:sz w:val="32"/>
          <w:szCs w:val="32"/>
        </w:rPr>
      </w:pPr>
      <w:bookmarkStart w:id="29" w:name="_Toc395890881"/>
      <w:r>
        <w:rPr>
          <w:rFonts w:ascii="Times New Roman" w:hAnsi="Times New Roman" w:cs="Times New Roman"/>
          <w:color w:val="auto"/>
          <w:sz w:val="32"/>
          <w:szCs w:val="32"/>
        </w:rPr>
        <w:lastRenderedPageBreak/>
        <w:t>Augstākās izglītības kvalitātes nodrošināšanas institūcijas darbības ilgtspējas nodrošinājums</w:t>
      </w:r>
      <w:bookmarkEnd w:id="29"/>
    </w:p>
    <w:p w:rsidR="00AE7266" w:rsidRDefault="00AE7266" w:rsidP="009055FB">
      <w:pPr>
        <w:pStyle w:val="ListParagraph"/>
        <w:spacing w:after="0" w:line="240" w:lineRule="auto"/>
        <w:ind w:left="0" w:firstLine="360"/>
        <w:contextualSpacing w:val="0"/>
        <w:jc w:val="both"/>
        <w:rPr>
          <w:rFonts w:ascii="Times New Roman" w:hAnsi="Times New Roman" w:cs="Times New Roman"/>
          <w:sz w:val="26"/>
          <w:szCs w:val="26"/>
        </w:rPr>
      </w:pPr>
    </w:p>
    <w:p w:rsidR="00A3301E" w:rsidRPr="006C0529" w:rsidRDefault="00A3301E" w:rsidP="009055FB">
      <w:pPr>
        <w:spacing w:after="0" w:line="240" w:lineRule="auto"/>
        <w:jc w:val="both"/>
        <w:rPr>
          <w:rFonts w:ascii="Times New Roman" w:hAnsi="Times New Roman" w:cs="Times New Roman"/>
          <w:sz w:val="26"/>
          <w:szCs w:val="26"/>
        </w:rPr>
      </w:pPr>
      <w:r w:rsidRPr="006C0529">
        <w:rPr>
          <w:rFonts w:ascii="Times New Roman" w:hAnsi="Times New Roman" w:cs="Times New Roman"/>
          <w:b/>
          <w:color w:val="222222"/>
          <w:sz w:val="26"/>
          <w:szCs w:val="26"/>
        </w:rPr>
        <w:t xml:space="preserve">Nepieciešamais finansējums: </w:t>
      </w:r>
    </w:p>
    <w:p w:rsidR="001941CB" w:rsidRPr="00356E48" w:rsidRDefault="001941CB" w:rsidP="009055FB">
      <w:pPr>
        <w:pStyle w:val="ListParagraph"/>
        <w:numPr>
          <w:ilvl w:val="0"/>
          <w:numId w:val="12"/>
        </w:numPr>
        <w:spacing w:after="0" w:line="240" w:lineRule="auto"/>
        <w:jc w:val="both"/>
        <w:rPr>
          <w:rFonts w:ascii="Times New Roman" w:hAnsi="Times New Roman" w:cs="Times New Roman"/>
          <w:sz w:val="26"/>
          <w:szCs w:val="26"/>
        </w:rPr>
      </w:pPr>
      <w:r w:rsidRPr="00F95550">
        <w:rPr>
          <w:rFonts w:ascii="Times New Roman" w:hAnsi="Times New Roman"/>
          <w:sz w:val="26"/>
          <w:szCs w:val="26"/>
        </w:rPr>
        <w:t>Samaksa ekspertiem par izvērtējumu</w:t>
      </w:r>
      <w:r>
        <w:rPr>
          <w:rFonts w:ascii="Times New Roman" w:hAnsi="Times New Roman"/>
          <w:sz w:val="26"/>
          <w:szCs w:val="26"/>
        </w:rPr>
        <w:t xml:space="preserve"> tiek aprēķināta, izmantojot Ministru kabineta 2013.gada 3.septembra noteikumus nr. 721 “Izglītības un zinātnes ministrijas maksas pakalpojumu cenrādis” (šo noteikumu anotācijā ir formula</w:t>
      </w:r>
      <w:r w:rsidR="00A77841">
        <w:rPr>
          <w:rFonts w:ascii="Times New Roman" w:hAnsi="Times New Roman"/>
          <w:sz w:val="26"/>
          <w:szCs w:val="26"/>
        </w:rPr>
        <w:t>, pēc</w:t>
      </w:r>
      <w:r>
        <w:rPr>
          <w:rFonts w:ascii="Times New Roman" w:hAnsi="Times New Roman"/>
          <w:sz w:val="26"/>
          <w:szCs w:val="26"/>
        </w:rPr>
        <w:t xml:space="preserve"> kuras nosaka atalgojumu ekspertiem). Atalgojums aprēķināts, pieņemot vidējos rādītājus, atbilstoši kuriem s</w:t>
      </w:r>
      <w:r w:rsidRPr="00F95550">
        <w:rPr>
          <w:rFonts w:ascii="Times New Roman" w:hAnsi="Times New Roman"/>
          <w:sz w:val="26"/>
          <w:szCs w:val="26"/>
        </w:rPr>
        <w:t>amaksa ekspertiem par 1 izvērtējumu s</w:t>
      </w:r>
      <w:r>
        <w:rPr>
          <w:rFonts w:ascii="Times New Roman" w:hAnsi="Times New Roman"/>
          <w:sz w:val="26"/>
          <w:szCs w:val="26"/>
        </w:rPr>
        <w:t>tudiju programmas licencēšanai  ir 562 EUR, s</w:t>
      </w:r>
      <w:r w:rsidRPr="00F95550">
        <w:rPr>
          <w:rFonts w:ascii="Times New Roman" w:hAnsi="Times New Roman"/>
          <w:sz w:val="26"/>
          <w:szCs w:val="26"/>
        </w:rPr>
        <w:t xml:space="preserve">amaksa ekspertiem par 1 izvērtējumu studiju </w:t>
      </w:r>
      <w:r>
        <w:rPr>
          <w:rFonts w:ascii="Times New Roman" w:hAnsi="Times New Roman"/>
          <w:sz w:val="26"/>
          <w:szCs w:val="26"/>
        </w:rPr>
        <w:t xml:space="preserve">virziena akreditācijai ir </w:t>
      </w:r>
      <w:r w:rsidR="00BF0254">
        <w:rPr>
          <w:rFonts w:ascii="Times New Roman" w:hAnsi="Times New Roman"/>
          <w:sz w:val="26"/>
          <w:szCs w:val="26"/>
        </w:rPr>
        <w:t>3071</w:t>
      </w:r>
      <w:r>
        <w:rPr>
          <w:rFonts w:ascii="Times New Roman" w:hAnsi="Times New Roman"/>
          <w:sz w:val="26"/>
          <w:szCs w:val="26"/>
        </w:rPr>
        <w:t xml:space="preserve"> EUR, s</w:t>
      </w:r>
      <w:r w:rsidRPr="00F95550">
        <w:rPr>
          <w:rFonts w:ascii="Times New Roman" w:hAnsi="Times New Roman"/>
          <w:sz w:val="26"/>
          <w:szCs w:val="26"/>
        </w:rPr>
        <w:t xml:space="preserve">amaksa ekspertiem par 1 izvērtējumu </w:t>
      </w:r>
      <w:r>
        <w:rPr>
          <w:rFonts w:ascii="Times New Roman" w:hAnsi="Times New Roman"/>
          <w:sz w:val="26"/>
          <w:szCs w:val="26"/>
        </w:rPr>
        <w:t xml:space="preserve">augstākās izglītības iestādes akreditācijai ir 4502 EUR. Kopā tas veido 2015.g.: </w:t>
      </w:r>
      <w:r w:rsidRPr="00356E48">
        <w:rPr>
          <w:rFonts w:ascii="Times New Roman" w:hAnsi="Times New Roman"/>
          <w:sz w:val="26"/>
          <w:szCs w:val="26"/>
        </w:rPr>
        <w:t>562*20+</w:t>
      </w:r>
      <w:r w:rsidR="00BF0254" w:rsidRPr="00356E48">
        <w:rPr>
          <w:rFonts w:ascii="Times New Roman" w:hAnsi="Times New Roman"/>
          <w:sz w:val="26"/>
          <w:szCs w:val="26"/>
        </w:rPr>
        <w:t xml:space="preserve">3071*28+4502*2=106232 EUR; 2016.g.: 562*15+3071*3=17643 EUR; </w:t>
      </w:r>
      <w:r w:rsidR="00EB492C" w:rsidRPr="00356E48">
        <w:rPr>
          <w:rFonts w:ascii="Times New Roman" w:hAnsi="Times New Roman"/>
          <w:sz w:val="26"/>
          <w:szCs w:val="26"/>
        </w:rPr>
        <w:t>2017.g.: 562*15+3071*10=39140 EUR</w:t>
      </w:r>
    </w:p>
    <w:p w:rsidR="00A3301E" w:rsidRPr="006C0529" w:rsidRDefault="00A3301E" w:rsidP="009055FB">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 xml:space="preserve">Tiek piemērota vidējā telpu cena par </w:t>
      </w:r>
      <w:r w:rsidR="00085E52">
        <w:rPr>
          <w:rFonts w:ascii="Times New Roman" w:hAnsi="Times New Roman" w:cs="Times New Roman"/>
          <w:sz w:val="26"/>
          <w:szCs w:val="26"/>
        </w:rPr>
        <w:t>m</w:t>
      </w:r>
      <w:r w:rsidR="00085E52" w:rsidRPr="00F95550">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 mēnesī 4 EUR/</w:t>
      </w:r>
      <w:r w:rsidR="00085E52" w:rsidRPr="00085E52">
        <w:rPr>
          <w:rFonts w:ascii="Times New Roman" w:hAnsi="Times New Roman" w:cs="Times New Roman"/>
          <w:sz w:val="26"/>
          <w:szCs w:val="26"/>
        </w:rPr>
        <w:t xml:space="preserve"> </w:t>
      </w:r>
      <w:r w:rsidR="00085E52">
        <w:rPr>
          <w:rFonts w:ascii="Times New Roman" w:hAnsi="Times New Roman" w:cs="Times New Roman"/>
          <w:sz w:val="26"/>
          <w:szCs w:val="26"/>
        </w:rPr>
        <w:t>m</w:t>
      </w:r>
      <w:r w:rsidR="00085E52"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 bez PVN (</w:t>
      </w:r>
      <w:hyperlink r:id="rId10" w:history="1">
        <w:r w:rsidRPr="006C0529">
          <w:rPr>
            <w:rStyle w:val="Hyperlink"/>
            <w:rFonts w:ascii="Times New Roman" w:hAnsi="Times New Roman" w:cs="Times New Roman"/>
            <w:sz w:val="26"/>
            <w:szCs w:val="26"/>
          </w:rPr>
          <w:t>www.vni.lv</w:t>
        </w:r>
      </w:hyperlink>
      <w:r w:rsidRPr="006C0529">
        <w:rPr>
          <w:rFonts w:ascii="Times New Roman" w:hAnsi="Times New Roman" w:cs="Times New Roman"/>
          <w:sz w:val="26"/>
          <w:szCs w:val="26"/>
        </w:rPr>
        <w:t xml:space="preserve"> 3,50 - 5 EUR/</w:t>
      </w:r>
      <w:r w:rsidR="00085E52" w:rsidRPr="00085E52">
        <w:rPr>
          <w:rFonts w:ascii="Times New Roman" w:hAnsi="Times New Roman" w:cs="Times New Roman"/>
          <w:sz w:val="26"/>
          <w:szCs w:val="26"/>
        </w:rPr>
        <w:t xml:space="preserve"> </w:t>
      </w:r>
      <w:r w:rsidR="00085E52">
        <w:rPr>
          <w:rFonts w:ascii="Times New Roman" w:hAnsi="Times New Roman" w:cs="Times New Roman"/>
          <w:sz w:val="26"/>
          <w:szCs w:val="26"/>
        </w:rPr>
        <w:t>m</w:t>
      </w:r>
      <w:r w:rsidR="00085E52"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  Telpu nomai un uzturēšanai gadā:  10 </w:t>
      </w:r>
      <w:r w:rsidR="00085E52" w:rsidRPr="00085E52">
        <w:rPr>
          <w:rFonts w:ascii="Times New Roman" w:hAnsi="Times New Roman" w:cs="Times New Roman"/>
          <w:sz w:val="26"/>
          <w:szCs w:val="26"/>
        </w:rPr>
        <w:t xml:space="preserve"> </w:t>
      </w:r>
      <w:r w:rsidR="00085E52">
        <w:rPr>
          <w:rFonts w:ascii="Times New Roman" w:hAnsi="Times New Roman" w:cs="Times New Roman"/>
          <w:sz w:val="26"/>
          <w:szCs w:val="26"/>
        </w:rPr>
        <w:t>m</w:t>
      </w:r>
      <w:r w:rsidR="00085E52"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/darbiniekam x </w:t>
      </w:r>
      <w:r w:rsidR="00B41B53">
        <w:rPr>
          <w:rFonts w:ascii="Times New Roman" w:hAnsi="Times New Roman" w:cs="Times New Roman"/>
          <w:sz w:val="26"/>
          <w:szCs w:val="26"/>
        </w:rPr>
        <w:t>6</w:t>
      </w:r>
      <w:r w:rsidRPr="006C0529">
        <w:rPr>
          <w:rFonts w:ascii="Times New Roman" w:hAnsi="Times New Roman" w:cs="Times New Roman"/>
          <w:sz w:val="26"/>
          <w:szCs w:val="26"/>
        </w:rPr>
        <w:t xml:space="preserve"> darbinieki</w:t>
      </w:r>
      <w:r w:rsidR="00085E52">
        <w:rPr>
          <w:rFonts w:ascii="Times New Roman" w:hAnsi="Times New Roman" w:cs="Times New Roman"/>
          <w:sz w:val="26"/>
          <w:szCs w:val="26"/>
        </w:rPr>
        <w:t xml:space="preserve"> + 30 m</w:t>
      </w:r>
      <w:r w:rsidR="00085E52" w:rsidRPr="00DD4013">
        <w:rPr>
          <w:rFonts w:ascii="Times New Roman" w:hAnsi="Times New Roman" w:cs="Times New Roman"/>
          <w:sz w:val="26"/>
          <w:szCs w:val="26"/>
          <w:vertAlign w:val="superscript"/>
        </w:rPr>
        <w:t>2</w:t>
      </w:r>
      <w:r w:rsidR="00085E52">
        <w:rPr>
          <w:rFonts w:ascii="Times New Roman" w:hAnsi="Times New Roman" w:cs="Times New Roman"/>
          <w:sz w:val="26"/>
          <w:szCs w:val="26"/>
        </w:rPr>
        <w:t xml:space="preserve"> sēžu zāle komisijas sēdēm un ekspertu diskusijām un tikšanās</w:t>
      </w:r>
      <w:r w:rsidR="00085E52" w:rsidRPr="006C0529">
        <w:rPr>
          <w:rFonts w:ascii="Times New Roman" w:hAnsi="Times New Roman" w:cs="Times New Roman"/>
          <w:sz w:val="26"/>
          <w:szCs w:val="26"/>
        </w:rPr>
        <w:t xml:space="preserve"> </w:t>
      </w:r>
      <w:r w:rsidR="00085E52">
        <w:rPr>
          <w:rFonts w:ascii="Times New Roman" w:hAnsi="Times New Roman" w:cs="Times New Roman"/>
          <w:sz w:val="26"/>
          <w:szCs w:val="26"/>
        </w:rPr>
        <w:t>+ 20 m</w:t>
      </w:r>
      <w:r w:rsidR="00085E52" w:rsidRPr="00DD4013">
        <w:rPr>
          <w:rFonts w:ascii="Times New Roman" w:hAnsi="Times New Roman" w:cs="Times New Roman"/>
          <w:sz w:val="26"/>
          <w:szCs w:val="26"/>
          <w:vertAlign w:val="superscript"/>
        </w:rPr>
        <w:t>2</w:t>
      </w:r>
      <w:r w:rsidR="00085E52">
        <w:rPr>
          <w:rFonts w:ascii="Times New Roman" w:hAnsi="Times New Roman" w:cs="Times New Roman"/>
          <w:sz w:val="26"/>
          <w:szCs w:val="26"/>
        </w:rPr>
        <w:t xml:space="preserve"> administrācijas un koplietošanas telpām  </w:t>
      </w:r>
      <w:r w:rsidRPr="006C0529">
        <w:rPr>
          <w:rFonts w:ascii="Times New Roman" w:hAnsi="Times New Roman" w:cs="Times New Roman"/>
          <w:sz w:val="26"/>
          <w:szCs w:val="26"/>
        </w:rPr>
        <w:t>x 4 EUR/</w:t>
      </w:r>
      <w:r w:rsidR="00085E52" w:rsidRPr="00085E52">
        <w:rPr>
          <w:rFonts w:ascii="Times New Roman" w:hAnsi="Times New Roman" w:cs="Times New Roman"/>
          <w:sz w:val="26"/>
          <w:szCs w:val="26"/>
        </w:rPr>
        <w:t xml:space="preserve"> </w:t>
      </w:r>
      <w:r w:rsidR="00085E52">
        <w:rPr>
          <w:rFonts w:ascii="Times New Roman" w:hAnsi="Times New Roman" w:cs="Times New Roman"/>
          <w:sz w:val="26"/>
          <w:szCs w:val="26"/>
        </w:rPr>
        <w:t>m</w:t>
      </w:r>
      <w:r w:rsidR="00085E52"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 mēnesī  x 1,21 (PVN) x 12 mēneši + </w:t>
      </w:r>
      <w:r w:rsidR="00085E52">
        <w:rPr>
          <w:rFonts w:ascii="Times New Roman" w:hAnsi="Times New Roman" w:cs="Times New Roman"/>
          <w:sz w:val="26"/>
          <w:szCs w:val="26"/>
        </w:rPr>
        <w:t>2</w:t>
      </w:r>
      <w:r w:rsidR="003A536F">
        <w:rPr>
          <w:rFonts w:ascii="Times New Roman" w:hAnsi="Times New Roman" w:cs="Times New Roman"/>
          <w:sz w:val="26"/>
          <w:szCs w:val="26"/>
        </w:rPr>
        <w:t>5</w:t>
      </w:r>
      <w:r w:rsidR="00085E52" w:rsidRPr="006C0529">
        <w:rPr>
          <w:rFonts w:ascii="Times New Roman" w:hAnsi="Times New Roman" w:cs="Times New Roman"/>
          <w:sz w:val="26"/>
          <w:szCs w:val="26"/>
        </w:rPr>
        <w:t xml:space="preserve">00 </w:t>
      </w:r>
      <w:r w:rsidRPr="006C0529">
        <w:rPr>
          <w:rFonts w:ascii="Times New Roman" w:hAnsi="Times New Roman" w:cs="Times New Roman"/>
          <w:sz w:val="26"/>
          <w:szCs w:val="26"/>
        </w:rPr>
        <w:t xml:space="preserve">EUR (komunālie maksājumi ) = </w:t>
      </w:r>
      <w:r w:rsidR="00B34989">
        <w:rPr>
          <w:rFonts w:ascii="Times New Roman" w:hAnsi="Times New Roman" w:cs="Times New Roman"/>
          <w:sz w:val="26"/>
          <w:szCs w:val="26"/>
        </w:rPr>
        <w:t>8888.8</w:t>
      </w:r>
      <w:r w:rsidR="00B34989" w:rsidRPr="006C0529">
        <w:rPr>
          <w:rFonts w:ascii="Times New Roman" w:hAnsi="Times New Roman" w:cs="Times New Roman"/>
          <w:sz w:val="26"/>
          <w:szCs w:val="26"/>
        </w:rPr>
        <w:t xml:space="preserve"> </w:t>
      </w:r>
      <w:r w:rsidRPr="006C0529">
        <w:rPr>
          <w:rFonts w:ascii="Times New Roman" w:hAnsi="Times New Roman" w:cs="Times New Roman"/>
          <w:sz w:val="26"/>
          <w:szCs w:val="26"/>
        </w:rPr>
        <w:t xml:space="preserve">EUR gadā. </w:t>
      </w:r>
      <w:r w:rsidR="001941CB" w:rsidRPr="006C0529">
        <w:rPr>
          <w:rFonts w:ascii="Times New Roman" w:hAnsi="Times New Roman" w:cs="Times New Roman"/>
          <w:sz w:val="26"/>
          <w:szCs w:val="26"/>
        </w:rPr>
        <w:t xml:space="preserve">Izdevumus telpu uzturēšanai un nomai aprēķina, piemērojot MK 18.01.2011. ieteikumus Nr. 1 "Vienotās prasības valsts institūciju biroju telpām" nosacījumus. Saskaņā ar minēto MK noteikumu 1.pielikuma 2.2.1.apakšpunktu viena darbinieka nosacītās darba vietas vidējā aprēķinātā platība ir 10 </w:t>
      </w:r>
      <w:r w:rsidR="001941CB">
        <w:rPr>
          <w:rFonts w:ascii="Times New Roman" w:hAnsi="Times New Roman" w:cs="Times New Roman"/>
          <w:sz w:val="26"/>
          <w:szCs w:val="26"/>
        </w:rPr>
        <w:t>m</w:t>
      </w:r>
      <w:r w:rsidR="001941CB" w:rsidRPr="001941CB">
        <w:rPr>
          <w:rFonts w:ascii="Times New Roman" w:hAnsi="Times New Roman" w:cs="Times New Roman"/>
          <w:sz w:val="26"/>
          <w:szCs w:val="26"/>
          <w:vertAlign w:val="superscript"/>
        </w:rPr>
        <w:t>2</w:t>
      </w:r>
      <w:r w:rsidR="001941CB" w:rsidRPr="006C0529">
        <w:rPr>
          <w:rFonts w:ascii="Times New Roman" w:hAnsi="Times New Roman" w:cs="Times New Roman"/>
          <w:sz w:val="26"/>
          <w:szCs w:val="26"/>
        </w:rPr>
        <w:t>.</w:t>
      </w:r>
    </w:p>
    <w:p w:rsidR="00A3301E" w:rsidRPr="006C0529" w:rsidRDefault="00A3301E" w:rsidP="009055FB">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 xml:space="preserve">Darba vietas izveidošana </w:t>
      </w:r>
      <w:r w:rsidR="00B41B53">
        <w:rPr>
          <w:rFonts w:ascii="Times New Roman" w:hAnsi="Times New Roman" w:cs="Times New Roman"/>
          <w:sz w:val="26"/>
          <w:szCs w:val="26"/>
        </w:rPr>
        <w:t>6 darbiniekiem: 6 x 1420 EUR = 8 520</w:t>
      </w:r>
      <w:r w:rsidRPr="006C0529">
        <w:rPr>
          <w:rFonts w:ascii="Times New Roman" w:hAnsi="Times New Roman" w:cs="Times New Roman"/>
          <w:sz w:val="26"/>
          <w:szCs w:val="26"/>
        </w:rPr>
        <w:t xml:space="preserve"> EUR (tikai </w:t>
      </w:r>
      <w:r w:rsidR="00B80238" w:rsidRPr="006C0529">
        <w:rPr>
          <w:rFonts w:ascii="Times New Roman" w:hAnsi="Times New Roman" w:cs="Times New Roman"/>
          <w:sz w:val="26"/>
          <w:szCs w:val="26"/>
        </w:rPr>
        <w:t xml:space="preserve">izveidošanas </w:t>
      </w:r>
      <w:r w:rsidRPr="006C0529">
        <w:rPr>
          <w:rFonts w:ascii="Times New Roman" w:hAnsi="Times New Roman" w:cs="Times New Roman"/>
          <w:sz w:val="26"/>
          <w:szCs w:val="26"/>
        </w:rPr>
        <w:t xml:space="preserve">gadā; datori ar programmatūru, lāzerprinteris ar toneru, biroja galdi, biroja krēsli, galda piederumi).  </w:t>
      </w:r>
    </w:p>
    <w:p w:rsidR="00A3301E" w:rsidRPr="006C0529" w:rsidRDefault="00A3301E" w:rsidP="009055FB">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Darbam nepieciešamie izdevumi 4500 EUR gadā (kancelejas preces, sakari, informatīvi semināri</w:t>
      </w:r>
      <w:r w:rsidR="00B80238" w:rsidRPr="006C0529">
        <w:rPr>
          <w:rFonts w:ascii="Times New Roman" w:hAnsi="Times New Roman" w:cs="Times New Roman"/>
          <w:sz w:val="26"/>
          <w:szCs w:val="26"/>
        </w:rPr>
        <w:t xml:space="preserve"> augstskolām</w:t>
      </w:r>
      <w:r w:rsidRPr="006C0529">
        <w:rPr>
          <w:rFonts w:ascii="Times New Roman" w:hAnsi="Times New Roman" w:cs="Times New Roman"/>
          <w:sz w:val="26"/>
          <w:szCs w:val="26"/>
        </w:rPr>
        <w:t xml:space="preserve">,  utt.). </w:t>
      </w:r>
    </w:p>
    <w:p w:rsidR="00A3301E" w:rsidRPr="006C0529" w:rsidRDefault="00A3301E" w:rsidP="009055FB">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Komandējumi uz ārzemēm – nepieciešami 6 ārvalstu komandējumi. (dienas nauda, vidēji – 37 EUR*4 dienas = 148 EUR; naktsmītnes apmaksa, vidēji – 80 EUR*3 naktis=240 EUR; ceļa izdevumi, vidēji – 340 EUR; dalības maksa, vidēji – 350 EUR). (148+240+340+350)*6</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6</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468 EUR gadā.</w:t>
      </w:r>
      <w:r w:rsidR="00AB4F93">
        <w:rPr>
          <w:rFonts w:ascii="Times New Roman" w:hAnsi="Times New Roman" w:cs="Times New Roman"/>
          <w:sz w:val="26"/>
          <w:szCs w:val="26"/>
        </w:rPr>
        <w:t xml:space="preserve"> 2016.g.</w:t>
      </w:r>
      <w:r w:rsidR="004B29B9">
        <w:rPr>
          <w:rFonts w:ascii="Times New Roman" w:hAnsi="Times New Roman" w:cs="Times New Roman"/>
          <w:sz w:val="26"/>
          <w:szCs w:val="26"/>
        </w:rPr>
        <w:t xml:space="preserve"> un 2017.g.</w:t>
      </w:r>
      <w:r w:rsidR="00AB4F93">
        <w:rPr>
          <w:rFonts w:ascii="Times New Roman" w:hAnsi="Times New Roman" w:cs="Times New Roman"/>
          <w:sz w:val="26"/>
          <w:szCs w:val="26"/>
        </w:rPr>
        <w:t>, sakarā ar aģentūras dalības starptautiskās organizācijās uzsākšanu</w:t>
      </w:r>
      <w:r w:rsidRPr="006C0529">
        <w:rPr>
          <w:rFonts w:ascii="Times New Roman" w:hAnsi="Times New Roman" w:cs="Times New Roman"/>
          <w:sz w:val="26"/>
          <w:szCs w:val="26"/>
        </w:rPr>
        <w:t xml:space="preserve"> </w:t>
      </w:r>
      <w:r w:rsidR="00AB4F93">
        <w:rPr>
          <w:rFonts w:ascii="Times New Roman" w:hAnsi="Times New Roman" w:cs="Times New Roman"/>
          <w:sz w:val="26"/>
          <w:szCs w:val="26"/>
        </w:rPr>
        <w:t>ārvalstu komandējumu skaits ir dubultots, lai nodrošinātu darbinieku profesionālās kompetences pilnveidošanos, starptautisko sakaru un profesionālo kontaktu attīstību</w:t>
      </w:r>
      <w:r w:rsidR="00CA47F0">
        <w:rPr>
          <w:rFonts w:ascii="Times New Roman" w:hAnsi="Times New Roman" w:cs="Times New Roman"/>
          <w:sz w:val="26"/>
          <w:szCs w:val="26"/>
        </w:rPr>
        <w:t>.</w:t>
      </w:r>
      <w:r w:rsidR="00AB4F93">
        <w:rPr>
          <w:rFonts w:ascii="Times New Roman" w:hAnsi="Times New Roman" w:cs="Times New Roman"/>
          <w:sz w:val="26"/>
          <w:szCs w:val="26"/>
        </w:rPr>
        <w:t xml:space="preserve"> </w:t>
      </w:r>
    </w:p>
    <w:p w:rsidR="00A3301E" w:rsidRPr="006C0529" w:rsidRDefault="00A3301E" w:rsidP="009055FB">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Komandējumiem Latvijā – nepieciešami 50 komandējumi gadā.(dienas nauda – 6 EUR; ceļa izdevumi (turp un atpakaļ), vidēji – 30 EUR). (6 EUR+30 EUR)*50</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1</w:t>
      </w:r>
      <w:r w:rsidR="00B41B53">
        <w:rPr>
          <w:rFonts w:ascii="Times New Roman" w:hAnsi="Times New Roman" w:cs="Times New Roman"/>
          <w:sz w:val="26"/>
          <w:szCs w:val="26"/>
        </w:rPr>
        <w:t xml:space="preserve"> </w:t>
      </w:r>
      <w:r w:rsidRPr="006C0529">
        <w:rPr>
          <w:rFonts w:ascii="Times New Roman" w:hAnsi="Times New Roman" w:cs="Times New Roman"/>
          <w:sz w:val="26"/>
          <w:szCs w:val="26"/>
        </w:rPr>
        <w:t>800 EUR</w:t>
      </w:r>
    </w:p>
    <w:p w:rsidR="00A3301E" w:rsidRPr="006C0529" w:rsidRDefault="00A3301E" w:rsidP="009055FB">
      <w:pPr>
        <w:pStyle w:val="ListParagraph"/>
        <w:numPr>
          <w:ilvl w:val="0"/>
          <w:numId w:val="12"/>
        </w:numPr>
        <w:spacing w:after="0" w:line="240" w:lineRule="auto"/>
        <w:jc w:val="both"/>
        <w:rPr>
          <w:rFonts w:ascii="Times New Roman" w:hAnsi="Times New Roman" w:cs="Times New Roman"/>
          <w:sz w:val="26"/>
          <w:szCs w:val="26"/>
        </w:rPr>
      </w:pPr>
      <w:r w:rsidRPr="006C0529">
        <w:rPr>
          <w:rFonts w:ascii="Times New Roman" w:hAnsi="Times New Roman" w:cs="Times New Roman"/>
          <w:sz w:val="26"/>
          <w:szCs w:val="26"/>
        </w:rPr>
        <w:t xml:space="preserve">Atlīdzība gadā </w:t>
      </w:r>
      <w:r w:rsidR="00775DB1">
        <w:rPr>
          <w:rFonts w:ascii="Times New Roman" w:hAnsi="Times New Roman" w:cs="Times New Roman"/>
          <w:sz w:val="26"/>
          <w:szCs w:val="26"/>
        </w:rPr>
        <w:t xml:space="preserve">6 </w:t>
      </w:r>
      <w:r w:rsidRPr="006C0529">
        <w:rPr>
          <w:rFonts w:ascii="Times New Roman" w:hAnsi="Times New Roman" w:cs="Times New Roman"/>
          <w:sz w:val="26"/>
          <w:szCs w:val="26"/>
        </w:rPr>
        <w:t>darbiniekiem: 1</w:t>
      </w:r>
      <w:r w:rsidR="002E1ED4" w:rsidRPr="006C0529">
        <w:rPr>
          <w:rFonts w:ascii="Times New Roman" w:hAnsi="Times New Roman" w:cs="Times New Roman"/>
          <w:sz w:val="26"/>
          <w:szCs w:val="26"/>
        </w:rPr>
        <w:t>400</w:t>
      </w:r>
      <w:r w:rsidRPr="006C0529">
        <w:rPr>
          <w:rFonts w:ascii="Times New Roman" w:hAnsi="Times New Roman" w:cs="Times New Roman"/>
          <w:sz w:val="26"/>
          <w:szCs w:val="26"/>
        </w:rPr>
        <w:t xml:space="preserve"> EUR/mēnesī x 1,2359 x 12 mēneši x </w:t>
      </w:r>
      <w:r w:rsidR="00B41B53">
        <w:rPr>
          <w:rFonts w:ascii="Times New Roman" w:hAnsi="Times New Roman" w:cs="Times New Roman"/>
          <w:sz w:val="26"/>
          <w:szCs w:val="26"/>
        </w:rPr>
        <w:t xml:space="preserve">6 </w:t>
      </w:r>
      <w:r w:rsidRPr="006C0529">
        <w:rPr>
          <w:rFonts w:ascii="Times New Roman" w:hAnsi="Times New Roman" w:cs="Times New Roman"/>
          <w:sz w:val="26"/>
          <w:szCs w:val="26"/>
        </w:rPr>
        <w:t xml:space="preserve">darbinieki = </w:t>
      </w:r>
      <w:r w:rsidR="00B41B53">
        <w:rPr>
          <w:rFonts w:ascii="Times New Roman" w:hAnsi="Times New Roman" w:cs="Times New Roman"/>
          <w:sz w:val="26"/>
          <w:szCs w:val="26"/>
        </w:rPr>
        <w:t>124 57</w:t>
      </w:r>
      <w:r w:rsidR="001F7459">
        <w:rPr>
          <w:rFonts w:ascii="Times New Roman" w:hAnsi="Times New Roman" w:cs="Times New Roman"/>
          <w:sz w:val="26"/>
          <w:szCs w:val="26"/>
        </w:rPr>
        <w:t>9</w:t>
      </w:r>
      <w:r w:rsidRPr="006C0529">
        <w:rPr>
          <w:rFonts w:ascii="Times New Roman" w:hAnsi="Times New Roman" w:cs="Times New Roman"/>
          <w:sz w:val="26"/>
          <w:szCs w:val="26"/>
        </w:rPr>
        <w:t xml:space="preserve"> EUR gadā. </w:t>
      </w:r>
    </w:p>
    <w:p w:rsidR="00356E48" w:rsidRDefault="002E1ED4" w:rsidP="009055FB">
      <w:pPr>
        <w:pStyle w:val="ListParagraph"/>
        <w:numPr>
          <w:ilvl w:val="0"/>
          <w:numId w:val="12"/>
        </w:numPr>
        <w:spacing w:after="0" w:line="240" w:lineRule="auto"/>
        <w:jc w:val="both"/>
        <w:rPr>
          <w:rFonts w:ascii="Times New Roman" w:hAnsi="Times New Roman" w:cs="Times New Roman"/>
          <w:sz w:val="26"/>
          <w:szCs w:val="26"/>
        </w:rPr>
      </w:pPr>
      <w:r w:rsidRPr="00F95550">
        <w:rPr>
          <w:rFonts w:ascii="Times New Roman" w:hAnsi="Times New Roman" w:cs="Times New Roman"/>
          <w:sz w:val="26"/>
          <w:szCs w:val="26"/>
        </w:rPr>
        <w:t>Atlīdzība gadā komisijas locekļiem</w:t>
      </w:r>
      <w:r w:rsidR="001C41D9" w:rsidRPr="00F95550">
        <w:rPr>
          <w:rFonts w:ascii="Times New Roman" w:hAnsi="Times New Roman" w:cs="Times New Roman"/>
          <w:sz w:val="26"/>
          <w:szCs w:val="26"/>
        </w:rPr>
        <w:t>, paredzot, ka 1 studiju programmas licencēšanas</w:t>
      </w:r>
      <w:r w:rsidR="006B054A" w:rsidRPr="00F95550">
        <w:rPr>
          <w:rFonts w:ascii="Times New Roman" w:hAnsi="Times New Roman" w:cs="Times New Roman"/>
          <w:sz w:val="26"/>
          <w:szCs w:val="26"/>
        </w:rPr>
        <w:t xml:space="preserve"> vai</w:t>
      </w:r>
      <w:r w:rsidR="001C41D9" w:rsidRPr="00F95550">
        <w:rPr>
          <w:rFonts w:ascii="Times New Roman" w:hAnsi="Times New Roman" w:cs="Times New Roman"/>
          <w:sz w:val="26"/>
          <w:szCs w:val="26"/>
        </w:rPr>
        <w:t xml:space="preserve"> 1 studiju virziena akreditācijas gadījumā komisijas loceklis </w:t>
      </w:r>
      <w:r w:rsidR="006B054A" w:rsidRPr="00F95550">
        <w:rPr>
          <w:rFonts w:ascii="Times New Roman" w:hAnsi="Times New Roman" w:cs="Times New Roman"/>
          <w:sz w:val="26"/>
          <w:szCs w:val="26"/>
        </w:rPr>
        <w:lastRenderedPageBreak/>
        <w:t>strādā 5 stundas, bet komisijas priekšsēdētājs 7 stundas</w:t>
      </w:r>
      <w:r w:rsidR="003B7CA1" w:rsidRPr="00F95550">
        <w:rPr>
          <w:rFonts w:ascii="Times New Roman" w:hAnsi="Times New Roman" w:cs="Times New Roman"/>
          <w:sz w:val="26"/>
          <w:szCs w:val="26"/>
        </w:rPr>
        <w:t xml:space="preserve">: 28 EUR stundā x </w:t>
      </w:r>
      <w:r w:rsidR="006B054A" w:rsidRPr="00F95550">
        <w:rPr>
          <w:rFonts w:ascii="Times New Roman" w:hAnsi="Times New Roman" w:cs="Times New Roman"/>
          <w:sz w:val="26"/>
          <w:szCs w:val="26"/>
        </w:rPr>
        <w:t xml:space="preserve">5 </w:t>
      </w:r>
      <w:r w:rsidR="003B7CA1" w:rsidRPr="00F95550">
        <w:rPr>
          <w:rFonts w:ascii="Times New Roman" w:hAnsi="Times New Roman" w:cs="Times New Roman"/>
          <w:sz w:val="26"/>
          <w:szCs w:val="26"/>
        </w:rPr>
        <w:t xml:space="preserve">stundas x 1,2359 x </w:t>
      </w:r>
      <w:r w:rsidR="006B054A" w:rsidRPr="00F95550">
        <w:rPr>
          <w:rFonts w:ascii="Times New Roman" w:hAnsi="Times New Roman" w:cs="Times New Roman"/>
          <w:sz w:val="26"/>
          <w:szCs w:val="26"/>
        </w:rPr>
        <w:t xml:space="preserve">6 </w:t>
      </w:r>
      <w:r w:rsidR="009947D0" w:rsidRPr="00F95550">
        <w:rPr>
          <w:rFonts w:ascii="Times New Roman" w:hAnsi="Times New Roman" w:cs="Times New Roman"/>
          <w:sz w:val="26"/>
          <w:szCs w:val="26"/>
        </w:rPr>
        <w:t>komisijas locekļi</w:t>
      </w:r>
      <w:r w:rsidR="006B054A" w:rsidRPr="00F95550">
        <w:rPr>
          <w:rFonts w:ascii="Times New Roman" w:hAnsi="Times New Roman" w:cs="Times New Roman"/>
          <w:sz w:val="26"/>
          <w:szCs w:val="26"/>
        </w:rPr>
        <w:t xml:space="preserve"> x 50 gadījumi</w:t>
      </w:r>
      <w:r w:rsidR="00561BBC" w:rsidRPr="00F95550">
        <w:rPr>
          <w:rFonts w:ascii="Times New Roman" w:hAnsi="Times New Roman" w:cs="Times New Roman"/>
          <w:sz w:val="26"/>
          <w:szCs w:val="26"/>
        </w:rPr>
        <w:t xml:space="preserve"> (2015.g., 18 gadījumi 2016.g., 25 gadījumi 2017.g.)</w:t>
      </w:r>
      <w:r w:rsidR="00915E7D" w:rsidRPr="00F95550">
        <w:rPr>
          <w:rFonts w:ascii="Times New Roman" w:hAnsi="Times New Roman" w:cs="Times New Roman"/>
          <w:sz w:val="26"/>
          <w:szCs w:val="26"/>
        </w:rPr>
        <w:t xml:space="preserve"> + 28 EUR stundā x 7 stundas x 1,2359 x 50 gadījumi (2015.g., 18 gadījumi 2016.g., 25 gadījumi 2017.g.)</w:t>
      </w:r>
      <w:r w:rsidR="003B7CA1" w:rsidRPr="00F95550">
        <w:rPr>
          <w:rFonts w:ascii="Times New Roman" w:hAnsi="Times New Roman" w:cs="Times New Roman"/>
          <w:sz w:val="26"/>
          <w:szCs w:val="26"/>
        </w:rPr>
        <w:t xml:space="preserve"> =</w:t>
      </w:r>
      <w:r w:rsidR="00F35904" w:rsidRPr="00F95550">
        <w:rPr>
          <w:rFonts w:ascii="Times New Roman" w:hAnsi="Times New Roman" w:cs="Times New Roman"/>
          <w:sz w:val="26"/>
          <w:szCs w:val="26"/>
        </w:rPr>
        <w:t xml:space="preserve"> 64019</w:t>
      </w:r>
      <w:r w:rsidR="00356E48">
        <w:rPr>
          <w:rFonts w:ascii="Times New Roman" w:hAnsi="Times New Roman" w:cs="Times New Roman"/>
          <w:sz w:val="26"/>
          <w:szCs w:val="26"/>
        </w:rPr>
        <w:t xml:space="preserve"> </w:t>
      </w:r>
      <w:r w:rsidR="009B28DB" w:rsidRPr="00F95550">
        <w:rPr>
          <w:rFonts w:ascii="Times New Roman" w:hAnsi="Times New Roman" w:cs="Times New Roman"/>
          <w:sz w:val="26"/>
          <w:szCs w:val="26"/>
        </w:rPr>
        <w:t>EUR</w:t>
      </w:r>
      <w:r w:rsidR="00C469E7" w:rsidRPr="00F95550">
        <w:rPr>
          <w:rFonts w:ascii="Times New Roman" w:hAnsi="Times New Roman" w:cs="Times New Roman"/>
          <w:sz w:val="26"/>
          <w:szCs w:val="26"/>
        </w:rPr>
        <w:t xml:space="preserve"> (2015.g., </w:t>
      </w:r>
      <w:r w:rsidR="009B28DB" w:rsidRPr="00F95550">
        <w:rPr>
          <w:rFonts w:ascii="Times New Roman" w:hAnsi="Times New Roman" w:cs="Times New Roman"/>
          <w:sz w:val="26"/>
          <w:szCs w:val="26"/>
        </w:rPr>
        <w:t>23047</w:t>
      </w:r>
      <w:r w:rsidR="00F35904" w:rsidRPr="00F95550">
        <w:rPr>
          <w:rFonts w:ascii="Times New Roman" w:hAnsi="Times New Roman" w:cs="Times New Roman"/>
          <w:sz w:val="26"/>
          <w:szCs w:val="26"/>
        </w:rPr>
        <w:t xml:space="preserve"> EUR</w:t>
      </w:r>
      <w:r w:rsidR="009B28DB" w:rsidRPr="00F95550">
        <w:rPr>
          <w:rFonts w:ascii="Times New Roman" w:hAnsi="Times New Roman" w:cs="Times New Roman"/>
          <w:sz w:val="26"/>
          <w:szCs w:val="26"/>
        </w:rPr>
        <w:t xml:space="preserve"> 2016.g.,</w:t>
      </w:r>
      <w:r w:rsidR="00B57D4D" w:rsidRPr="00F95550">
        <w:rPr>
          <w:rFonts w:ascii="Times New Roman" w:hAnsi="Times New Roman" w:cs="Times New Roman"/>
          <w:sz w:val="26"/>
          <w:szCs w:val="26"/>
        </w:rPr>
        <w:t xml:space="preserve"> 32009 EUR 2017.g.)</w:t>
      </w:r>
      <w:r w:rsidR="00F35904" w:rsidRPr="00F95550">
        <w:rPr>
          <w:rFonts w:ascii="Times New Roman" w:hAnsi="Times New Roman" w:cs="Times New Roman"/>
          <w:sz w:val="26"/>
          <w:szCs w:val="26"/>
        </w:rPr>
        <w:t xml:space="preserve"> </w:t>
      </w:r>
      <w:r w:rsidR="003B7CA1" w:rsidRPr="00F95550">
        <w:rPr>
          <w:rFonts w:ascii="Times New Roman" w:hAnsi="Times New Roman" w:cs="Times New Roman"/>
          <w:sz w:val="26"/>
          <w:szCs w:val="26"/>
        </w:rPr>
        <w:t xml:space="preserve"> </w:t>
      </w:r>
    </w:p>
    <w:p w:rsidR="000C0A97" w:rsidRPr="000C0A97" w:rsidRDefault="004A643F" w:rsidP="009055FB">
      <w:pPr>
        <w:pStyle w:val="ListParagraph"/>
        <w:numPr>
          <w:ilvl w:val="0"/>
          <w:numId w:val="12"/>
        </w:numPr>
        <w:spacing w:after="0" w:line="240" w:lineRule="auto"/>
        <w:jc w:val="both"/>
        <w:rPr>
          <w:rFonts w:ascii="Times New Roman" w:hAnsi="Times New Roman" w:cs="Times New Roman"/>
          <w:sz w:val="26"/>
          <w:szCs w:val="26"/>
        </w:rPr>
      </w:pPr>
      <w:r w:rsidRPr="00F95550">
        <w:rPr>
          <w:rFonts w:ascii="Times New Roman" w:hAnsi="Times New Roman" w:cs="Times New Roman"/>
          <w:sz w:val="26"/>
          <w:szCs w:val="26"/>
        </w:rPr>
        <w:t>Ekspertu apmācības</w:t>
      </w:r>
      <w:r w:rsidR="009545A3" w:rsidRPr="00F95550">
        <w:rPr>
          <w:rFonts w:ascii="Times New Roman" w:hAnsi="Times New Roman" w:cs="Times New Roman"/>
          <w:sz w:val="26"/>
          <w:szCs w:val="26"/>
        </w:rPr>
        <w:t xml:space="preserve">: </w:t>
      </w:r>
      <w:r w:rsidR="00961AF8" w:rsidRPr="00F95550">
        <w:rPr>
          <w:rFonts w:ascii="Times New Roman" w:hAnsi="Times New Roman" w:cs="Times New Roman"/>
          <w:sz w:val="26"/>
          <w:szCs w:val="26"/>
        </w:rPr>
        <w:t xml:space="preserve">ik gadu </w:t>
      </w:r>
      <w:r w:rsidR="009545A3" w:rsidRPr="00F95550">
        <w:rPr>
          <w:rFonts w:ascii="Times New Roman" w:hAnsi="Times New Roman" w:cs="Times New Roman"/>
          <w:sz w:val="26"/>
          <w:szCs w:val="26"/>
        </w:rPr>
        <w:t xml:space="preserve">paredzot organizēt 1 dienas </w:t>
      </w:r>
      <w:r w:rsidR="004B5BF4" w:rsidRPr="00F95550">
        <w:rPr>
          <w:rFonts w:ascii="Times New Roman" w:hAnsi="Times New Roman" w:cs="Times New Roman"/>
          <w:sz w:val="26"/>
          <w:szCs w:val="26"/>
        </w:rPr>
        <w:t xml:space="preserve">apmācības </w:t>
      </w:r>
      <w:r w:rsidR="003E60A8" w:rsidRPr="00F95550">
        <w:rPr>
          <w:rFonts w:ascii="Times New Roman" w:hAnsi="Times New Roman" w:cs="Times New Roman"/>
          <w:sz w:val="26"/>
          <w:szCs w:val="26"/>
        </w:rPr>
        <w:t>5</w:t>
      </w:r>
      <w:r w:rsidR="004B5BF4" w:rsidRPr="00F95550">
        <w:rPr>
          <w:rFonts w:ascii="Times New Roman" w:hAnsi="Times New Roman" w:cs="Times New Roman"/>
          <w:sz w:val="26"/>
          <w:szCs w:val="26"/>
        </w:rPr>
        <w:t xml:space="preserve"> grupām, katrā 20 cilvēku, kopumā iesaistot </w:t>
      </w:r>
      <w:r w:rsidR="003E60A8" w:rsidRPr="00F95550">
        <w:rPr>
          <w:rFonts w:ascii="Times New Roman" w:hAnsi="Times New Roman" w:cs="Times New Roman"/>
          <w:sz w:val="26"/>
          <w:szCs w:val="26"/>
        </w:rPr>
        <w:t>1</w:t>
      </w:r>
      <w:r w:rsidR="004B5BF4" w:rsidRPr="00F95550">
        <w:rPr>
          <w:rFonts w:ascii="Times New Roman" w:hAnsi="Times New Roman" w:cs="Times New Roman"/>
          <w:sz w:val="26"/>
          <w:szCs w:val="26"/>
        </w:rPr>
        <w:t xml:space="preserve">00 ekspertus – </w:t>
      </w:r>
      <w:r w:rsidR="003E60A8" w:rsidRPr="00F95550">
        <w:rPr>
          <w:rFonts w:ascii="Times New Roman" w:hAnsi="Times New Roman" w:cs="Times New Roman"/>
          <w:sz w:val="26"/>
          <w:szCs w:val="26"/>
        </w:rPr>
        <w:t>5</w:t>
      </w:r>
      <w:r w:rsidR="004B5BF4" w:rsidRPr="00F95550">
        <w:rPr>
          <w:rFonts w:ascii="Times New Roman" w:hAnsi="Times New Roman" w:cs="Times New Roman"/>
          <w:sz w:val="26"/>
          <w:szCs w:val="26"/>
        </w:rPr>
        <w:t xml:space="preserve">0 akadēmiskā personāla pārstāvjus, </w:t>
      </w:r>
      <w:r w:rsidR="003E60A8" w:rsidRPr="00F95550">
        <w:rPr>
          <w:rFonts w:ascii="Times New Roman" w:hAnsi="Times New Roman" w:cs="Times New Roman"/>
          <w:sz w:val="26"/>
          <w:szCs w:val="26"/>
        </w:rPr>
        <w:t>25</w:t>
      </w:r>
      <w:r w:rsidR="004B5BF4" w:rsidRPr="00F95550">
        <w:rPr>
          <w:rFonts w:ascii="Times New Roman" w:hAnsi="Times New Roman" w:cs="Times New Roman"/>
          <w:sz w:val="26"/>
          <w:szCs w:val="26"/>
        </w:rPr>
        <w:t xml:space="preserve"> student</w:t>
      </w:r>
      <w:r w:rsidR="003E60A8" w:rsidRPr="00F95550">
        <w:rPr>
          <w:rFonts w:ascii="Times New Roman" w:hAnsi="Times New Roman" w:cs="Times New Roman"/>
          <w:sz w:val="26"/>
          <w:szCs w:val="26"/>
        </w:rPr>
        <w:t>u</w:t>
      </w:r>
      <w:r w:rsidR="004B5BF4" w:rsidRPr="00F95550">
        <w:rPr>
          <w:rFonts w:ascii="Times New Roman" w:hAnsi="Times New Roman" w:cs="Times New Roman"/>
          <w:sz w:val="26"/>
          <w:szCs w:val="26"/>
        </w:rPr>
        <w:t xml:space="preserve"> un </w:t>
      </w:r>
      <w:r w:rsidR="003E60A8" w:rsidRPr="00F95550">
        <w:rPr>
          <w:rFonts w:ascii="Times New Roman" w:hAnsi="Times New Roman" w:cs="Times New Roman"/>
          <w:sz w:val="26"/>
          <w:szCs w:val="26"/>
        </w:rPr>
        <w:t>25</w:t>
      </w:r>
      <w:r w:rsidR="004B5BF4" w:rsidRPr="00F95550">
        <w:rPr>
          <w:rFonts w:ascii="Times New Roman" w:hAnsi="Times New Roman" w:cs="Times New Roman"/>
          <w:sz w:val="26"/>
          <w:szCs w:val="26"/>
        </w:rPr>
        <w:t xml:space="preserve"> darba devēju organizāciju pārstāvjus</w:t>
      </w:r>
      <w:r w:rsidR="003E60A8" w:rsidRPr="00F95550">
        <w:rPr>
          <w:rFonts w:ascii="Times New Roman" w:hAnsi="Times New Roman" w:cs="Times New Roman"/>
          <w:sz w:val="26"/>
          <w:szCs w:val="26"/>
        </w:rPr>
        <w:t xml:space="preserve">. Lektoru darba apmaksa: 200 EUR/dienā x </w:t>
      </w:r>
      <w:r w:rsidRPr="00F95550">
        <w:rPr>
          <w:rFonts w:ascii="Times New Roman" w:hAnsi="Times New Roman" w:cs="Times New Roman"/>
          <w:sz w:val="26"/>
          <w:szCs w:val="26"/>
        </w:rPr>
        <w:t xml:space="preserve"> </w:t>
      </w:r>
      <w:r w:rsidR="003E60A8" w:rsidRPr="00F95550">
        <w:rPr>
          <w:rFonts w:ascii="Times New Roman" w:hAnsi="Times New Roman" w:cs="Times New Roman"/>
          <w:sz w:val="26"/>
          <w:szCs w:val="26"/>
        </w:rPr>
        <w:t xml:space="preserve">1,2359 x 5 = 1235,9 EUR, </w:t>
      </w:r>
      <w:r w:rsidR="00670981" w:rsidRPr="00F95550">
        <w:rPr>
          <w:rFonts w:ascii="Times New Roman" w:hAnsi="Times New Roman" w:cs="Times New Roman"/>
          <w:sz w:val="26"/>
          <w:szCs w:val="26"/>
        </w:rPr>
        <w:t>semināra organizatoriskie izdevumi</w:t>
      </w:r>
      <w:r w:rsidR="00291541" w:rsidRPr="00F95550">
        <w:rPr>
          <w:rFonts w:ascii="Times New Roman" w:hAnsi="Times New Roman" w:cs="Times New Roman"/>
          <w:sz w:val="26"/>
          <w:szCs w:val="26"/>
        </w:rPr>
        <w:t xml:space="preserve">: materiāli 5 EUR x 100 dalībnieki = 500 EUR, </w:t>
      </w:r>
      <w:r w:rsidR="00266FB1" w:rsidRPr="00F95550">
        <w:rPr>
          <w:rFonts w:ascii="Times New Roman" w:hAnsi="Times New Roman" w:cs="Times New Roman"/>
          <w:sz w:val="26"/>
          <w:szCs w:val="26"/>
        </w:rPr>
        <w:t xml:space="preserve">pusdienas un kafijas pauzes: 100 dalībnieki un 4 pasniedzēji x 15 EUR = </w:t>
      </w:r>
      <w:r w:rsidR="002D5CF0" w:rsidRPr="00F95550">
        <w:rPr>
          <w:rFonts w:ascii="Times New Roman" w:hAnsi="Times New Roman" w:cs="Times New Roman"/>
          <w:sz w:val="26"/>
          <w:szCs w:val="26"/>
        </w:rPr>
        <w:t xml:space="preserve">1560 EUR, telpu īre 200 EUR x 5 dienas = 1000 EUR; kopā: </w:t>
      </w:r>
      <w:r w:rsidR="00356E48">
        <w:rPr>
          <w:rFonts w:ascii="Times New Roman" w:hAnsi="Times New Roman"/>
          <w:sz w:val="26"/>
          <w:szCs w:val="26"/>
        </w:rPr>
        <w:t>4296</w:t>
      </w:r>
      <w:r w:rsidR="00E36F9C">
        <w:rPr>
          <w:rFonts w:ascii="Times New Roman" w:hAnsi="Times New Roman"/>
          <w:sz w:val="26"/>
          <w:szCs w:val="26"/>
        </w:rPr>
        <w:t xml:space="preserve"> EUR/gadā</w:t>
      </w:r>
      <w:r w:rsidR="003E72A4">
        <w:rPr>
          <w:rFonts w:ascii="Times New Roman" w:hAnsi="Times New Roman"/>
          <w:sz w:val="26"/>
          <w:szCs w:val="26"/>
        </w:rPr>
        <w:t xml:space="preserve">. </w:t>
      </w:r>
    </w:p>
    <w:p w:rsidR="002840A8" w:rsidRPr="000C0A97" w:rsidRDefault="002840A8" w:rsidP="009055FB">
      <w:pPr>
        <w:pStyle w:val="ListParagraph"/>
        <w:numPr>
          <w:ilvl w:val="0"/>
          <w:numId w:val="12"/>
        </w:numPr>
        <w:spacing w:after="0" w:line="240" w:lineRule="auto"/>
        <w:jc w:val="both"/>
        <w:rPr>
          <w:rFonts w:ascii="Times New Roman" w:hAnsi="Times New Roman" w:cs="Times New Roman"/>
          <w:sz w:val="26"/>
          <w:szCs w:val="26"/>
        </w:rPr>
      </w:pPr>
      <w:r w:rsidRPr="00F95550">
        <w:rPr>
          <w:rFonts w:ascii="Times New Roman" w:hAnsi="Times New Roman"/>
          <w:sz w:val="26"/>
          <w:szCs w:val="26"/>
        </w:rPr>
        <w:t xml:space="preserve">Neparedzēti izdevumi, t.sk. apelācijas komisijas darba apmaksa. Tā kā nevar precīzi prognozēt iespējamo apelācijas gadījumu skaitu, nav iespējams noteikt, cik lieli līdzekļi būs nepieciešami tās darba apmaksai. </w:t>
      </w:r>
      <w:r w:rsidR="000C0A97">
        <w:rPr>
          <w:rFonts w:ascii="Times New Roman" w:hAnsi="Times New Roman"/>
          <w:sz w:val="26"/>
          <w:szCs w:val="26"/>
        </w:rPr>
        <w:t>Neparedzēti izdevumi pašlaik ir plānoti 0,6-2,6% robežās no institūcijas kopējā gada budžeta. Jāņem vērā, ka aģentūras darbs lielā mērā atkarīgs no augstskolu iniciatīvas veidot jaunas studiju programmas, tās iesniegt licencēšanai, kā arī augstskolu darba kvalitātes, līdz ar to nav iespējams pilnīgi precīzi prognozēt budžetu, jo nevar prognozēt augstskolu rīcības.</w:t>
      </w:r>
    </w:p>
    <w:p w:rsidR="003B7CA1" w:rsidRPr="00F95550" w:rsidRDefault="003B7CA1" w:rsidP="009055FB">
      <w:pPr>
        <w:pStyle w:val="ListParagraph"/>
        <w:numPr>
          <w:ilvl w:val="0"/>
          <w:numId w:val="12"/>
        </w:numPr>
        <w:spacing w:after="0" w:line="240" w:lineRule="auto"/>
        <w:jc w:val="both"/>
        <w:rPr>
          <w:rFonts w:ascii="Times New Roman" w:hAnsi="Times New Roman" w:cs="Times New Roman"/>
          <w:sz w:val="26"/>
          <w:szCs w:val="26"/>
        </w:rPr>
      </w:pPr>
      <w:r w:rsidRPr="00F95550">
        <w:rPr>
          <w:rFonts w:ascii="Times New Roman" w:hAnsi="Times New Roman" w:cs="Times New Roman"/>
          <w:sz w:val="26"/>
          <w:szCs w:val="26"/>
        </w:rPr>
        <w:t>Dalība starptautiskajās organizācijās:</w:t>
      </w:r>
    </w:p>
    <w:p w:rsidR="009947D0" w:rsidRPr="00F95550" w:rsidRDefault="009947D0" w:rsidP="009055FB">
      <w:pPr>
        <w:pStyle w:val="ListParagraph"/>
        <w:numPr>
          <w:ilvl w:val="1"/>
          <w:numId w:val="12"/>
        </w:numPr>
        <w:spacing w:after="0" w:line="240" w:lineRule="auto"/>
        <w:jc w:val="both"/>
        <w:rPr>
          <w:rFonts w:ascii="Times New Roman" w:hAnsi="Times New Roman" w:cs="Times New Roman"/>
          <w:sz w:val="26"/>
          <w:szCs w:val="26"/>
        </w:rPr>
      </w:pPr>
      <w:r w:rsidRPr="00F95550">
        <w:rPr>
          <w:rFonts w:ascii="Times New Roman" w:hAnsi="Times New Roman" w:cs="Times New Roman"/>
          <w:sz w:val="26"/>
          <w:szCs w:val="26"/>
        </w:rPr>
        <w:t>ENQA: kandidātiem – 2 </w:t>
      </w:r>
      <w:r w:rsidR="00F307BF" w:rsidRPr="00F95550">
        <w:rPr>
          <w:rFonts w:ascii="Times New Roman" w:hAnsi="Times New Roman" w:cs="Times New Roman"/>
          <w:sz w:val="26"/>
          <w:szCs w:val="26"/>
        </w:rPr>
        <w:t>317</w:t>
      </w:r>
      <w:r w:rsidRPr="00F95550">
        <w:rPr>
          <w:rFonts w:ascii="Times New Roman" w:hAnsi="Times New Roman" w:cs="Times New Roman"/>
          <w:sz w:val="26"/>
          <w:szCs w:val="26"/>
        </w:rPr>
        <w:t xml:space="preserve"> EUR gadā, pilntiesīgiem biedriem – 4 635 EUR;</w:t>
      </w:r>
    </w:p>
    <w:p w:rsidR="009947D0" w:rsidRPr="00F95550" w:rsidRDefault="009947D0" w:rsidP="009055FB">
      <w:pPr>
        <w:pStyle w:val="ListParagraph"/>
        <w:spacing w:after="0" w:line="240" w:lineRule="auto"/>
        <w:ind w:left="1800"/>
        <w:jc w:val="both"/>
        <w:rPr>
          <w:rFonts w:ascii="Times New Roman" w:hAnsi="Times New Roman" w:cs="Times New Roman"/>
          <w:sz w:val="26"/>
          <w:szCs w:val="26"/>
        </w:rPr>
      </w:pPr>
      <w:r w:rsidRPr="00F95550">
        <w:rPr>
          <w:rFonts w:ascii="Times New Roman" w:hAnsi="Times New Roman" w:cs="Times New Roman"/>
          <w:sz w:val="26"/>
          <w:szCs w:val="26"/>
        </w:rPr>
        <w:t>Dalība ENQA semināros 2 x gadā – dalības maksa 250 EUR x 2 = 500 EUR.</w:t>
      </w:r>
    </w:p>
    <w:p w:rsidR="009947D0" w:rsidRPr="00F95550" w:rsidRDefault="009947D0" w:rsidP="009055FB">
      <w:pPr>
        <w:pStyle w:val="ListParagraph"/>
        <w:spacing w:after="0" w:line="240" w:lineRule="auto"/>
        <w:ind w:left="1800"/>
        <w:jc w:val="both"/>
        <w:rPr>
          <w:rFonts w:ascii="Times New Roman" w:hAnsi="Times New Roman" w:cs="Times New Roman"/>
          <w:sz w:val="26"/>
          <w:szCs w:val="26"/>
        </w:rPr>
      </w:pPr>
      <w:r w:rsidRPr="00F95550">
        <w:rPr>
          <w:rFonts w:ascii="Times New Roman" w:hAnsi="Times New Roman" w:cs="Times New Roman"/>
          <w:sz w:val="26"/>
          <w:szCs w:val="26"/>
        </w:rPr>
        <w:t>Institūcijas izvērtēšana atbilstoši ESG – vidēji 30 000 EUR.</w:t>
      </w:r>
    </w:p>
    <w:p w:rsidR="009947D0" w:rsidRPr="00F95550" w:rsidRDefault="009947D0" w:rsidP="009055FB">
      <w:pPr>
        <w:pStyle w:val="ListParagraph"/>
        <w:numPr>
          <w:ilvl w:val="0"/>
          <w:numId w:val="29"/>
        </w:numPr>
        <w:spacing w:after="0" w:line="240" w:lineRule="auto"/>
        <w:jc w:val="both"/>
        <w:rPr>
          <w:rFonts w:ascii="Times New Roman" w:hAnsi="Times New Roman" w:cs="Times New Roman"/>
          <w:sz w:val="26"/>
          <w:szCs w:val="26"/>
        </w:rPr>
      </w:pPr>
      <w:r w:rsidRPr="00F95550">
        <w:rPr>
          <w:rFonts w:ascii="Times New Roman" w:hAnsi="Times New Roman" w:cs="Times New Roman"/>
          <w:sz w:val="26"/>
          <w:szCs w:val="26"/>
        </w:rPr>
        <w:t>EQAR: pieteikuma maksa – 1  248, 72 EUR; ikgadējā dalības maksa – 1 248, 72 EUR.</w:t>
      </w:r>
    </w:p>
    <w:p w:rsidR="00EB28EB" w:rsidRPr="00F95550" w:rsidRDefault="009F1559" w:rsidP="009055FB">
      <w:pPr>
        <w:pStyle w:val="ListParagraph"/>
        <w:numPr>
          <w:ilvl w:val="0"/>
          <w:numId w:val="43"/>
        </w:numPr>
        <w:spacing w:after="0" w:line="240" w:lineRule="auto"/>
        <w:jc w:val="both"/>
        <w:rPr>
          <w:rFonts w:ascii="Times New Roman" w:hAnsi="Times New Roman" w:cs="Times New Roman"/>
          <w:sz w:val="26"/>
          <w:szCs w:val="26"/>
        </w:rPr>
      </w:pPr>
      <w:r w:rsidRPr="00F95550">
        <w:rPr>
          <w:rFonts w:ascii="Times New Roman" w:hAnsi="Times New Roman"/>
          <w:sz w:val="26"/>
          <w:szCs w:val="26"/>
        </w:rPr>
        <w:t>IKVD stud</w:t>
      </w:r>
      <w:r w:rsidR="00EB28EB" w:rsidRPr="00F95550">
        <w:rPr>
          <w:rFonts w:ascii="Times New Roman" w:hAnsi="Times New Roman"/>
          <w:sz w:val="26"/>
          <w:szCs w:val="26"/>
        </w:rPr>
        <w:t>iju virzienu reģistra uzturēšanai</w:t>
      </w:r>
      <w:r w:rsidR="00EB28EB" w:rsidRPr="00F95550">
        <w:t xml:space="preserve"> </w:t>
      </w:r>
      <w:r w:rsidR="00EB28EB" w:rsidRPr="00F95550">
        <w:rPr>
          <w:rFonts w:ascii="Times New Roman" w:hAnsi="Times New Roman"/>
          <w:sz w:val="26"/>
          <w:szCs w:val="26"/>
        </w:rPr>
        <w:t>IKVD studiju virzienu reģistra uzturēšanai nepieciešamā finansējuma detalizēts aprēķins, kas pamato pieprasīto līdzekļu apjomu: 5 amata vietas (IKVD amatu klasificēšanas rezultātu apkopojums, saskaņots Valsts kancelejā 2013.gada 15.jūlijā) ar atalgojuma apmēru 47399 EUR gadā, darba devēja VSAOI apmērs gadā 11181 EUR, atlīdzība kopā 58580 EUR gadā. Preču un pakalpojumu izmaksas: telpu noma un uzturēšana 7134 EUR gadā, sakaru pakalpojumi (pasta izdevumi, telekomunikāciju pakalpojumi) 1290 EUR gadā, kancelejas preces 256 EUR gadā. Kopā preces un pakalpojumi 8680 EUR gadā.</w:t>
      </w:r>
    </w:p>
    <w:p w:rsidR="004F0E3E" w:rsidRPr="00F95550" w:rsidRDefault="004F0E3E" w:rsidP="009055FB">
      <w:pPr>
        <w:pStyle w:val="ListParagraph"/>
        <w:spacing w:after="0" w:line="240" w:lineRule="auto"/>
        <w:ind w:left="1080"/>
        <w:jc w:val="both"/>
        <w:rPr>
          <w:rFonts w:ascii="Times New Roman" w:hAnsi="Times New Roman" w:cs="Times New Roman"/>
          <w:sz w:val="26"/>
          <w:szCs w:val="26"/>
        </w:rPr>
      </w:pPr>
    </w:p>
    <w:p w:rsidR="00684F09" w:rsidRPr="00F95550" w:rsidRDefault="004F0E3E" w:rsidP="009055FB">
      <w:pPr>
        <w:pStyle w:val="ListParagraph"/>
        <w:spacing w:after="0" w:line="240" w:lineRule="auto"/>
        <w:ind w:left="1080"/>
        <w:jc w:val="right"/>
        <w:rPr>
          <w:rFonts w:ascii="Times New Roman" w:hAnsi="Times New Roman" w:cs="Times New Roman"/>
          <w:sz w:val="26"/>
          <w:szCs w:val="26"/>
        </w:rPr>
      </w:pPr>
      <w:r w:rsidRPr="00F95550">
        <w:rPr>
          <w:rFonts w:ascii="Times New Roman" w:hAnsi="Times New Roman" w:cs="Times New Roman"/>
          <w:i/>
          <w:sz w:val="26"/>
          <w:szCs w:val="26"/>
        </w:rPr>
        <w:t>4.tabula</w:t>
      </w:r>
    </w:p>
    <w:p w:rsidR="00A3301E" w:rsidRPr="00F95550" w:rsidRDefault="003774A1" w:rsidP="009055FB">
      <w:pPr>
        <w:spacing w:after="0" w:line="240" w:lineRule="auto"/>
        <w:jc w:val="center"/>
        <w:rPr>
          <w:rFonts w:ascii="Times New Roman" w:hAnsi="Times New Roman" w:cs="Times New Roman"/>
          <w:b/>
          <w:i/>
          <w:sz w:val="26"/>
          <w:szCs w:val="26"/>
        </w:rPr>
      </w:pPr>
      <w:r w:rsidRPr="00F95550">
        <w:rPr>
          <w:rFonts w:ascii="Times New Roman" w:hAnsi="Times New Roman" w:cs="Times New Roman"/>
          <w:b/>
          <w:i/>
          <w:sz w:val="26"/>
          <w:szCs w:val="26"/>
        </w:rPr>
        <w:t>Indikatīvas</w:t>
      </w:r>
      <w:r w:rsidR="00A3301E" w:rsidRPr="00F95550">
        <w:rPr>
          <w:rFonts w:ascii="Times New Roman" w:hAnsi="Times New Roman" w:cs="Times New Roman"/>
          <w:b/>
          <w:i/>
          <w:sz w:val="26"/>
          <w:szCs w:val="26"/>
        </w:rPr>
        <w:t xml:space="preserve"> </w:t>
      </w:r>
      <w:r w:rsidRPr="00F95550">
        <w:rPr>
          <w:rFonts w:ascii="Times New Roman" w:hAnsi="Times New Roman" w:cs="Times New Roman"/>
          <w:b/>
          <w:i/>
          <w:sz w:val="26"/>
          <w:szCs w:val="26"/>
        </w:rPr>
        <w:t xml:space="preserve">Latvijas augstākās izglītības kvalitātes nodrošināšanas institūcijas </w:t>
      </w:r>
      <w:r w:rsidR="00225920" w:rsidRPr="00F95550">
        <w:rPr>
          <w:rFonts w:ascii="Times New Roman" w:hAnsi="Times New Roman" w:cs="Times New Roman"/>
          <w:b/>
          <w:i/>
          <w:sz w:val="26"/>
          <w:szCs w:val="26"/>
        </w:rPr>
        <w:t xml:space="preserve">darbības un </w:t>
      </w:r>
      <w:r w:rsidR="00A3301E" w:rsidRPr="00F95550">
        <w:rPr>
          <w:rFonts w:ascii="Times New Roman" w:hAnsi="Times New Roman" w:cs="Times New Roman"/>
          <w:b/>
          <w:i/>
          <w:sz w:val="26"/>
          <w:szCs w:val="26"/>
        </w:rPr>
        <w:t>uzturēšanas izmaksas gadā</w:t>
      </w:r>
    </w:p>
    <w:p w:rsidR="00A3301E" w:rsidRPr="00F95550" w:rsidRDefault="00A3301E" w:rsidP="009055FB">
      <w:pPr>
        <w:spacing w:after="0" w:line="240" w:lineRule="auto"/>
        <w:jc w:val="center"/>
        <w:rPr>
          <w:rFonts w:ascii="Times New Roman" w:hAnsi="Times New Roman" w:cs="Times New Roman"/>
          <w:b/>
          <w:i/>
          <w:sz w:val="26"/>
          <w:szCs w:val="26"/>
        </w:rPr>
      </w:pPr>
    </w:p>
    <w:tbl>
      <w:tblPr>
        <w:tblStyle w:val="TableGrid"/>
        <w:tblW w:w="0" w:type="auto"/>
        <w:tblInd w:w="-5" w:type="dxa"/>
        <w:tblLook w:val="04A0" w:firstRow="1" w:lastRow="0" w:firstColumn="1" w:lastColumn="0" w:noHBand="0" w:noVBand="1"/>
      </w:tblPr>
      <w:tblGrid>
        <w:gridCol w:w="3222"/>
        <w:gridCol w:w="1711"/>
        <w:gridCol w:w="1984"/>
        <w:gridCol w:w="2127"/>
      </w:tblGrid>
      <w:tr w:rsidR="007B21F9" w:rsidRPr="00F95550" w:rsidTr="00225920">
        <w:tc>
          <w:tcPr>
            <w:tcW w:w="3222" w:type="dxa"/>
          </w:tcPr>
          <w:p w:rsidR="00225920" w:rsidRPr="00F95550" w:rsidRDefault="00225920" w:rsidP="009055FB">
            <w:pPr>
              <w:rPr>
                <w:rFonts w:ascii="Times New Roman" w:hAnsi="Times New Roman"/>
                <w:b/>
                <w:sz w:val="26"/>
                <w:szCs w:val="26"/>
              </w:rPr>
            </w:pPr>
            <w:r w:rsidRPr="00F95550">
              <w:rPr>
                <w:rFonts w:ascii="Times New Roman" w:hAnsi="Times New Roman"/>
                <w:b/>
                <w:sz w:val="26"/>
                <w:szCs w:val="26"/>
              </w:rPr>
              <w:t>Izdevumu pozīcija</w:t>
            </w:r>
          </w:p>
        </w:tc>
        <w:tc>
          <w:tcPr>
            <w:tcW w:w="1711" w:type="dxa"/>
          </w:tcPr>
          <w:p w:rsidR="00225920" w:rsidRPr="00F95550" w:rsidRDefault="00225920" w:rsidP="009055FB">
            <w:pPr>
              <w:rPr>
                <w:rFonts w:ascii="Times New Roman" w:hAnsi="Times New Roman"/>
                <w:b/>
                <w:sz w:val="26"/>
                <w:szCs w:val="26"/>
              </w:rPr>
            </w:pPr>
            <w:r w:rsidRPr="00F95550">
              <w:rPr>
                <w:rFonts w:ascii="Times New Roman" w:hAnsi="Times New Roman"/>
                <w:b/>
                <w:sz w:val="26"/>
                <w:szCs w:val="26"/>
              </w:rPr>
              <w:t>2015. (euro)</w:t>
            </w:r>
          </w:p>
        </w:tc>
        <w:tc>
          <w:tcPr>
            <w:tcW w:w="1984" w:type="dxa"/>
          </w:tcPr>
          <w:p w:rsidR="00225920" w:rsidRPr="00F95550" w:rsidRDefault="00225920" w:rsidP="009055FB">
            <w:pPr>
              <w:rPr>
                <w:rFonts w:ascii="Times New Roman" w:hAnsi="Times New Roman"/>
                <w:b/>
                <w:sz w:val="26"/>
                <w:szCs w:val="26"/>
              </w:rPr>
            </w:pPr>
            <w:r w:rsidRPr="00F95550">
              <w:rPr>
                <w:rFonts w:ascii="Times New Roman" w:hAnsi="Times New Roman"/>
                <w:b/>
                <w:sz w:val="26"/>
                <w:szCs w:val="26"/>
              </w:rPr>
              <w:t>2016. (euro)</w:t>
            </w:r>
          </w:p>
        </w:tc>
        <w:tc>
          <w:tcPr>
            <w:tcW w:w="2127" w:type="dxa"/>
          </w:tcPr>
          <w:p w:rsidR="00225920" w:rsidRPr="00F95550" w:rsidRDefault="00225920" w:rsidP="009055FB">
            <w:pPr>
              <w:rPr>
                <w:rFonts w:ascii="Times New Roman" w:hAnsi="Times New Roman"/>
                <w:b/>
                <w:sz w:val="26"/>
                <w:szCs w:val="26"/>
              </w:rPr>
            </w:pPr>
            <w:r w:rsidRPr="00F95550">
              <w:rPr>
                <w:rFonts w:ascii="Times New Roman" w:hAnsi="Times New Roman"/>
                <w:b/>
                <w:sz w:val="26"/>
                <w:szCs w:val="26"/>
              </w:rPr>
              <w:t>2017. (euro)</w:t>
            </w:r>
          </w:p>
        </w:tc>
      </w:tr>
      <w:tr w:rsidR="007B21F9" w:rsidRPr="0070281A" w:rsidTr="00225920">
        <w:tc>
          <w:tcPr>
            <w:tcW w:w="3222" w:type="dxa"/>
          </w:tcPr>
          <w:p w:rsidR="00DA483A" w:rsidRPr="00F95550" w:rsidRDefault="00DA483A" w:rsidP="009055FB">
            <w:pPr>
              <w:rPr>
                <w:rFonts w:ascii="Times New Roman" w:hAnsi="Times New Roman"/>
                <w:sz w:val="26"/>
                <w:szCs w:val="26"/>
              </w:rPr>
            </w:pPr>
            <w:r w:rsidRPr="00F95550">
              <w:rPr>
                <w:rFonts w:ascii="Times New Roman" w:hAnsi="Times New Roman"/>
                <w:sz w:val="26"/>
                <w:szCs w:val="26"/>
              </w:rPr>
              <w:t xml:space="preserve">Samaksa ekspertiem par izvērtējumu </w:t>
            </w:r>
          </w:p>
        </w:tc>
        <w:tc>
          <w:tcPr>
            <w:tcW w:w="1711" w:type="dxa"/>
          </w:tcPr>
          <w:p w:rsidR="00DA483A" w:rsidRPr="00F95550" w:rsidRDefault="00510F1B" w:rsidP="009055FB">
            <w:pPr>
              <w:rPr>
                <w:rFonts w:ascii="Times New Roman" w:hAnsi="Times New Roman"/>
                <w:sz w:val="26"/>
                <w:szCs w:val="26"/>
              </w:rPr>
            </w:pPr>
            <w:r w:rsidRPr="00F95550">
              <w:rPr>
                <w:rFonts w:ascii="Times New Roman" w:hAnsi="Times New Roman"/>
                <w:sz w:val="26"/>
                <w:szCs w:val="26"/>
              </w:rPr>
              <w:t>1062</w:t>
            </w:r>
            <w:r w:rsidR="000C0A97">
              <w:rPr>
                <w:rFonts w:ascii="Times New Roman" w:hAnsi="Times New Roman"/>
                <w:sz w:val="26"/>
                <w:szCs w:val="26"/>
              </w:rPr>
              <w:t>32</w:t>
            </w:r>
          </w:p>
        </w:tc>
        <w:tc>
          <w:tcPr>
            <w:tcW w:w="1984" w:type="dxa"/>
          </w:tcPr>
          <w:p w:rsidR="00DA483A" w:rsidRPr="00F95550" w:rsidRDefault="00911199" w:rsidP="009055FB">
            <w:pPr>
              <w:rPr>
                <w:rFonts w:ascii="Times New Roman" w:hAnsi="Times New Roman"/>
                <w:sz w:val="26"/>
                <w:szCs w:val="26"/>
              </w:rPr>
            </w:pPr>
            <w:r w:rsidRPr="00F95550">
              <w:rPr>
                <w:rFonts w:ascii="Times New Roman" w:hAnsi="Times New Roman"/>
                <w:sz w:val="26"/>
                <w:szCs w:val="26"/>
              </w:rPr>
              <w:t>176</w:t>
            </w:r>
            <w:r w:rsidR="000C0A97">
              <w:rPr>
                <w:rFonts w:ascii="Times New Roman" w:hAnsi="Times New Roman"/>
                <w:sz w:val="26"/>
                <w:szCs w:val="26"/>
              </w:rPr>
              <w:t>43</w:t>
            </w:r>
          </w:p>
        </w:tc>
        <w:tc>
          <w:tcPr>
            <w:tcW w:w="2127" w:type="dxa"/>
          </w:tcPr>
          <w:p w:rsidR="00DA483A" w:rsidRDefault="008A272D" w:rsidP="009055FB">
            <w:pPr>
              <w:rPr>
                <w:rFonts w:ascii="Times New Roman" w:hAnsi="Times New Roman"/>
                <w:sz w:val="26"/>
                <w:szCs w:val="26"/>
              </w:rPr>
            </w:pPr>
            <w:r w:rsidRPr="00F95550">
              <w:rPr>
                <w:rFonts w:ascii="Times New Roman" w:hAnsi="Times New Roman"/>
                <w:sz w:val="26"/>
                <w:szCs w:val="26"/>
              </w:rPr>
              <w:t>391</w:t>
            </w:r>
            <w:r w:rsidR="000C0A97">
              <w:rPr>
                <w:rFonts w:ascii="Times New Roman" w:hAnsi="Times New Roman"/>
                <w:sz w:val="26"/>
                <w:szCs w:val="26"/>
              </w:rPr>
              <w:t>4</w:t>
            </w:r>
            <w:r w:rsidRPr="00F95550">
              <w:rPr>
                <w:rFonts w:ascii="Times New Roman" w:hAnsi="Times New Roman"/>
                <w:sz w:val="26"/>
                <w:szCs w:val="26"/>
              </w:rPr>
              <w:t>0</w:t>
            </w:r>
          </w:p>
        </w:tc>
      </w:tr>
      <w:tr w:rsidR="007B21F9" w:rsidRPr="0070281A" w:rsidTr="00225920">
        <w:tc>
          <w:tcPr>
            <w:tcW w:w="3222"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lastRenderedPageBreak/>
              <w:t xml:space="preserve">Biroja noma un uzturēšana </w:t>
            </w:r>
          </w:p>
        </w:tc>
        <w:tc>
          <w:tcPr>
            <w:tcW w:w="1711" w:type="dxa"/>
          </w:tcPr>
          <w:p w:rsidR="00225920" w:rsidRPr="0070281A" w:rsidRDefault="009C14B6" w:rsidP="009055FB">
            <w:pPr>
              <w:rPr>
                <w:rFonts w:ascii="Times New Roman" w:hAnsi="Times New Roman"/>
                <w:sz w:val="26"/>
                <w:szCs w:val="26"/>
              </w:rPr>
            </w:pPr>
            <w:r>
              <w:rPr>
                <w:rFonts w:ascii="Times New Roman" w:hAnsi="Times New Roman"/>
                <w:sz w:val="26"/>
                <w:szCs w:val="26"/>
              </w:rPr>
              <w:t>8888</w:t>
            </w:r>
          </w:p>
        </w:tc>
        <w:tc>
          <w:tcPr>
            <w:tcW w:w="1984" w:type="dxa"/>
          </w:tcPr>
          <w:p w:rsidR="00225920" w:rsidRPr="0070281A" w:rsidRDefault="009C14B6" w:rsidP="009055FB">
            <w:pPr>
              <w:rPr>
                <w:rFonts w:ascii="Times New Roman" w:hAnsi="Times New Roman"/>
                <w:sz w:val="26"/>
                <w:szCs w:val="26"/>
              </w:rPr>
            </w:pPr>
            <w:r>
              <w:rPr>
                <w:rFonts w:ascii="Times New Roman" w:hAnsi="Times New Roman"/>
                <w:sz w:val="26"/>
                <w:szCs w:val="26"/>
              </w:rPr>
              <w:t>8888</w:t>
            </w:r>
          </w:p>
        </w:tc>
        <w:tc>
          <w:tcPr>
            <w:tcW w:w="2127" w:type="dxa"/>
          </w:tcPr>
          <w:p w:rsidR="00225920" w:rsidRPr="0070281A" w:rsidRDefault="009C14B6" w:rsidP="009055FB">
            <w:pPr>
              <w:rPr>
                <w:rFonts w:ascii="Times New Roman" w:hAnsi="Times New Roman"/>
                <w:sz w:val="26"/>
                <w:szCs w:val="26"/>
              </w:rPr>
            </w:pPr>
            <w:r>
              <w:rPr>
                <w:rFonts w:ascii="Times New Roman" w:hAnsi="Times New Roman"/>
                <w:sz w:val="26"/>
                <w:szCs w:val="26"/>
              </w:rPr>
              <w:t>8888</w:t>
            </w:r>
          </w:p>
        </w:tc>
      </w:tr>
      <w:tr w:rsidR="007B21F9" w:rsidRPr="0070281A" w:rsidTr="00225920">
        <w:tc>
          <w:tcPr>
            <w:tcW w:w="3222" w:type="dxa"/>
          </w:tcPr>
          <w:p w:rsidR="00225920" w:rsidRPr="0070281A" w:rsidRDefault="00225920" w:rsidP="009055FB">
            <w:pPr>
              <w:rPr>
                <w:rFonts w:ascii="Times New Roman" w:hAnsi="Times New Roman"/>
                <w:sz w:val="26"/>
                <w:szCs w:val="26"/>
              </w:rPr>
            </w:pPr>
            <w:r>
              <w:rPr>
                <w:rFonts w:ascii="Times New Roman" w:hAnsi="Times New Roman"/>
                <w:sz w:val="26"/>
                <w:szCs w:val="26"/>
              </w:rPr>
              <w:t>Darba vietu izveidošana</w:t>
            </w:r>
            <w:r w:rsidRPr="0070281A">
              <w:rPr>
                <w:rFonts w:ascii="Times New Roman" w:hAnsi="Times New Roman"/>
                <w:sz w:val="26"/>
                <w:szCs w:val="26"/>
              </w:rPr>
              <w:t xml:space="preserve"> </w:t>
            </w:r>
          </w:p>
        </w:tc>
        <w:tc>
          <w:tcPr>
            <w:tcW w:w="1711" w:type="dxa"/>
          </w:tcPr>
          <w:p w:rsidR="00225920" w:rsidRPr="0070281A" w:rsidRDefault="00225920" w:rsidP="009055FB">
            <w:pPr>
              <w:rPr>
                <w:rFonts w:ascii="Times New Roman" w:hAnsi="Times New Roman"/>
                <w:sz w:val="26"/>
                <w:szCs w:val="26"/>
              </w:rPr>
            </w:pPr>
            <w:r>
              <w:rPr>
                <w:rFonts w:ascii="Times New Roman" w:hAnsi="Times New Roman"/>
                <w:sz w:val="26"/>
                <w:szCs w:val="26"/>
              </w:rPr>
              <w:t>8 520</w:t>
            </w:r>
          </w:p>
        </w:tc>
        <w:tc>
          <w:tcPr>
            <w:tcW w:w="1984" w:type="dxa"/>
          </w:tcPr>
          <w:p w:rsidR="00225920" w:rsidRPr="0070281A" w:rsidRDefault="00225920" w:rsidP="009055FB">
            <w:pPr>
              <w:rPr>
                <w:rFonts w:ascii="Times New Roman" w:hAnsi="Times New Roman"/>
                <w:sz w:val="26"/>
                <w:szCs w:val="26"/>
              </w:rPr>
            </w:pPr>
            <w:r>
              <w:rPr>
                <w:rFonts w:ascii="Times New Roman" w:hAnsi="Times New Roman"/>
                <w:sz w:val="26"/>
                <w:szCs w:val="26"/>
              </w:rPr>
              <w:t>0</w:t>
            </w:r>
          </w:p>
        </w:tc>
        <w:tc>
          <w:tcPr>
            <w:tcW w:w="2127" w:type="dxa"/>
          </w:tcPr>
          <w:p w:rsidR="00225920" w:rsidRPr="0070281A" w:rsidRDefault="00225920" w:rsidP="009055FB">
            <w:pPr>
              <w:rPr>
                <w:rFonts w:ascii="Times New Roman" w:hAnsi="Times New Roman"/>
                <w:sz w:val="26"/>
                <w:szCs w:val="26"/>
              </w:rPr>
            </w:pPr>
            <w:r>
              <w:rPr>
                <w:rFonts w:ascii="Times New Roman" w:hAnsi="Times New Roman"/>
                <w:sz w:val="26"/>
                <w:szCs w:val="26"/>
              </w:rPr>
              <w:t>0</w:t>
            </w:r>
          </w:p>
        </w:tc>
      </w:tr>
      <w:tr w:rsidR="007B21F9" w:rsidRPr="0070281A" w:rsidTr="00225920">
        <w:tc>
          <w:tcPr>
            <w:tcW w:w="3222"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t>Biroja preces, sakari</w:t>
            </w:r>
          </w:p>
        </w:tc>
        <w:tc>
          <w:tcPr>
            <w:tcW w:w="1711"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t>4 500</w:t>
            </w:r>
          </w:p>
        </w:tc>
        <w:tc>
          <w:tcPr>
            <w:tcW w:w="1984"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t>4 500</w:t>
            </w:r>
          </w:p>
        </w:tc>
        <w:tc>
          <w:tcPr>
            <w:tcW w:w="2127"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t>4 500</w:t>
            </w:r>
          </w:p>
        </w:tc>
      </w:tr>
      <w:tr w:rsidR="007B21F9" w:rsidRPr="0070281A" w:rsidTr="00225920">
        <w:tc>
          <w:tcPr>
            <w:tcW w:w="3222"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t xml:space="preserve">Atlīdzība </w:t>
            </w:r>
            <w:r>
              <w:rPr>
                <w:rFonts w:ascii="Times New Roman" w:hAnsi="Times New Roman"/>
                <w:sz w:val="26"/>
                <w:szCs w:val="26"/>
              </w:rPr>
              <w:t>6</w:t>
            </w:r>
            <w:r w:rsidRPr="0070281A">
              <w:rPr>
                <w:rFonts w:ascii="Times New Roman" w:hAnsi="Times New Roman"/>
                <w:sz w:val="26"/>
                <w:szCs w:val="26"/>
              </w:rPr>
              <w:t xml:space="preserve"> darbiniekiem</w:t>
            </w:r>
          </w:p>
        </w:tc>
        <w:tc>
          <w:tcPr>
            <w:tcW w:w="1711" w:type="dxa"/>
          </w:tcPr>
          <w:p w:rsidR="00225920" w:rsidRPr="0070281A" w:rsidRDefault="00225920" w:rsidP="009055FB">
            <w:pPr>
              <w:rPr>
                <w:rFonts w:ascii="Times New Roman" w:hAnsi="Times New Roman"/>
                <w:sz w:val="26"/>
                <w:szCs w:val="26"/>
              </w:rPr>
            </w:pPr>
            <w:r>
              <w:rPr>
                <w:rFonts w:ascii="Times New Roman" w:hAnsi="Times New Roman"/>
                <w:sz w:val="26"/>
                <w:szCs w:val="26"/>
              </w:rPr>
              <w:t>124 579</w:t>
            </w:r>
          </w:p>
        </w:tc>
        <w:tc>
          <w:tcPr>
            <w:tcW w:w="1984" w:type="dxa"/>
          </w:tcPr>
          <w:p w:rsidR="00225920" w:rsidRDefault="00225920" w:rsidP="009055FB">
            <w:pPr>
              <w:rPr>
                <w:rFonts w:ascii="Times New Roman" w:hAnsi="Times New Roman"/>
                <w:sz w:val="26"/>
                <w:szCs w:val="26"/>
              </w:rPr>
            </w:pPr>
            <w:r>
              <w:rPr>
                <w:rFonts w:ascii="Times New Roman" w:hAnsi="Times New Roman"/>
                <w:sz w:val="26"/>
                <w:szCs w:val="26"/>
              </w:rPr>
              <w:t>124 579</w:t>
            </w:r>
          </w:p>
        </w:tc>
        <w:tc>
          <w:tcPr>
            <w:tcW w:w="2127" w:type="dxa"/>
          </w:tcPr>
          <w:p w:rsidR="00225920" w:rsidRDefault="00225920" w:rsidP="009055FB">
            <w:pPr>
              <w:rPr>
                <w:rFonts w:ascii="Times New Roman" w:hAnsi="Times New Roman"/>
                <w:sz w:val="26"/>
                <w:szCs w:val="26"/>
              </w:rPr>
            </w:pPr>
            <w:r>
              <w:rPr>
                <w:rFonts w:ascii="Times New Roman" w:hAnsi="Times New Roman"/>
                <w:sz w:val="26"/>
                <w:szCs w:val="26"/>
              </w:rPr>
              <w:t>124 579</w:t>
            </w:r>
          </w:p>
        </w:tc>
      </w:tr>
      <w:tr w:rsidR="007B21F9" w:rsidRPr="0070281A" w:rsidTr="00225920">
        <w:tc>
          <w:tcPr>
            <w:tcW w:w="3222" w:type="dxa"/>
          </w:tcPr>
          <w:p w:rsidR="00225920" w:rsidRPr="00F95550" w:rsidRDefault="00225920" w:rsidP="009055FB">
            <w:pPr>
              <w:rPr>
                <w:rFonts w:ascii="Times New Roman" w:hAnsi="Times New Roman"/>
                <w:sz w:val="26"/>
                <w:szCs w:val="26"/>
              </w:rPr>
            </w:pPr>
            <w:r w:rsidRPr="00F95550">
              <w:rPr>
                <w:rFonts w:ascii="Times New Roman" w:hAnsi="Times New Roman"/>
                <w:sz w:val="26"/>
                <w:szCs w:val="26"/>
              </w:rPr>
              <w:t xml:space="preserve">Atlīdzība </w:t>
            </w:r>
            <w:r w:rsidR="009632EA" w:rsidRPr="00F95550">
              <w:rPr>
                <w:rFonts w:ascii="Times New Roman" w:hAnsi="Times New Roman"/>
                <w:sz w:val="26"/>
                <w:szCs w:val="26"/>
              </w:rPr>
              <w:t xml:space="preserve">akreditācijas / licencēšanas </w:t>
            </w:r>
            <w:r w:rsidRPr="00F95550">
              <w:rPr>
                <w:rFonts w:ascii="Times New Roman" w:hAnsi="Times New Roman"/>
                <w:sz w:val="26"/>
                <w:szCs w:val="26"/>
              </w:rPr>
              <w:t>komisijas locekļiem</w:t>
            </w:r>
          </w:p>
        </w:tc>
        <w:tc>
          <w:tcPr>
            <w:tcW w:w="1711" w:type="dxa"/>
          </w:tcPr>
          <w:p w:rsidR="009B28DB" w:rsidRPr="00F95550" w:rsidRDefault="00DA1ACC" w:rsidP="009055FB">
            <w:pPr>
              <w:rPr>
                <w:rFonts w:ascii="Times New Roman" w:hAnsi="Times New Roman"/>
                <w:sz w:val="26"/>
                <w:szCs w:val="26"/>
              </w:rPr>
            </w:pPr>
            <w:r w:rsidRPr="00F95550">
              <w:rPr>
                <w:rFonts w:ascii="Times New Roman" w:hAnsi="Times New Roman"/>
                <w:sz w:val="26"/>
                <w:szCs w:val="26"/>
              </w:rPr>
              <w:t>64019</w:t>
            </w:r>
          </w:p>
          <w:p w:rsidR="00225920" w:rsidRPr="00F95550" w:rsidRDefault="00225920" w:rsidP="009055FB">
            <w:pPr>
              <w:rPr>
                <w:rFonts w:ascii="Times New Roman" w:hAnsi="Times New Roman"/>
                <w:sz w:val="26"/>
                <w:szCs w:val="26"/>
              </w:rPr>
            </w:pPr>
          </w:p>
        </w:tc>
        <w:tc>
          <w:tcPr>
            <w:tcW w:w="1984" w:type="dxa"/>
          </w:tcPr>
          <w:p w:rsidR="009B28DB" w:rsidRPr="00F95550" w:rsidRDefault="009B28DB" w:rsidP="009055FB">
            <w:pPr>
              <w:rPr>
                <w:rFonts w:ascii="Times New Roman" w:hAnsi="Times New Roman"/>
                <w:sz w:val="26"/>
                <w:szCs w:val="26"/>
              </w:rPr>
            </w:pPr>
            <w:r w:rsidRPr="00F95550">
              <w:rPr>
                <w:rFonts w:ascii="Times New Roman" w:hAnsi="Times New Roman"/>
                <w:sz w:val="26"/>
                <w:szCs w:val="26"/>
              </w:rPr>
              <w:t>23047</w:t>
            </w:r>
          </w:p>
          <w:p w:rsidR="00225920" w:rsidRPr="00F95550" w:rsidRDefault="00225920" w:rsidP="009055FB">
            <w:pPr>
              <w:rPr>
                <w:rFonts w:ascii="Times New Roman" w:hAnsi="Times New Roman"/>
                <w:sz w:val="26"/>
                <w:szCs w:val="26"/>
              </w:rPr>
            </w:pPr>
          </w:p>
        </w:tc>
        <w:tc>
          <w:tcPr>
            <w:tcW w:w="2127" w:type="dxa"/>
          </w:tcPr>
          <w:p w:rsidR="00B57D4D" w:rsidRPr="00F95550" w:rsidRDefault="008A272D" w:rsidP="009055FB">
            <w:pPr>
              <w:rPr>
                <w:rFonts w:ascii="Times New Roman" w:hAnsi="Times New Roman"/>
                <w:sz w:val="26"/>
                <w:szCs w:val="26"/>
              </w:rPr>
            </w:pPr>
            <w:r w:rsidRPr="00F95550">
              <w:rPr>
                <w:rFonts w:ascii="Times New Roman" w:hAnsi="Times New Roman"/>
                <w:sz w:val="26"/>
                <w:szCs w:val="26"/>
              </w:rPr>
              <w:t>32009</w:t>
            </w:r>
          </w:p>
          <w:p w:rsidR="00225920" w:rsidRDefault="00225920" w:rsidP="009055FB">
            <w:pPr>
              <w:rPr>
                <w:rFonts w:ascii="Times New Roman" w:hAnsi="Times New Roman"/>
                <w:sz w:val="26"/>
                <w:szCs w:val="26"/>
              </w:rPr>
            </w:pPr>
          </w:p>
        </w:tc>
      </w:tr>
      <w:tr w:rsidR="007B21F9" w:rsidRPr="0070281A" w:rsidTr="00225920">
        <w:tc>
          <w:tcPr>
            <w:tcW w:w="3222"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t>Komandējumi</w:t>
            </w:r>
          </w:p>
        </w:tc>
        <w:tc>
          <w:tcPr>
            <w:tcW w:w="1711" w:type="dxa"/>
          </w:tcPr>
          <w:p w:rsidR="00225920" w:rsidRPr="0070281A" w:rsidRDefault="00225920" w:rsidP="009055FB">
            <w:pPr>
              <w:rPr>
                <w:rFonts w:ascii="Times New Roman" w:hAnsi="Times New Roman"/>
                <w:sz w:val="26"/>
                <w:szCs w:val="26"/>
              </w:rPr>
            </w:pPr>
            <w:r w:rsidRPr="0070281A">
              <w:rPr>
                <w:rFonts w:ascii="Times New Roman" w:hAnsi="Times New Roman"/>
                <w:sz w:val="26"/>
                <w:szCs w:val="26"/>
              </w:rPr>
              <w:t>8 268</w:t>
            </w:r>
          </w:p>
        </w:tc>
        <w:tc>
          <w:tcPr>
            <w:tcW w:w="1984" w:type="dxa"/>
          </w:tcPr>
          <w:p w:rsidR="00225920" w:rsidRPr="0070281A" w:rsidRDefault="00AB4F93" w:rsidP="009055FB">
            <w:pPr>
              <w:rPr>
                <w:rFonts w:ascii="Times New Roman" w:hAnsi="Times New Roman"/>
                <w:sz w:val="26"/>
                <w:szCs w:val="26"/>
              </w:rPr>
            </w:pPr>
            <w:r>
              <w:rPr>
                <w:rFonts w:ascii="Times New Roman" w:hAnsi="Times New Roman"/>
                <w:sz w:val="26"/>
                <w:szCs w:val="26"/>
              </w:rPr>
              <w:t>14736</w:t>
            </w:r>
          </w:p>
        </w:tc>
        <w:tc>
          <w:tcPr>
            <w:tcW w:w="2127" w:type="dxa"/>
          </w:tcPr>
          <w:p w:rsidR="00225920" w:rsidRPr="0070281A" w:rsidRDefault="004B29B9" w:rsidP="009055FB">
            <w:pPr>
              <w:rPr>
                <w:rFonts w:ascii="Times New Roman" w:hAnsi="Times New Roman"/>
                <w:sz w:val="26"/>
                <w:szCs w:val="26"/>
              </w:rPr>
            </w:pPr>
            <w:r>
              <w:rPr>
                <w:rFonts w:ascii="Times New Roman" w:hAnsi="Times New Roman"/>
                <w:sz w:val="26"/>
                <w:szCs w:val="26"/>
              </w:rPr>
              <w:t>14736</w:t>
            </w:r>
          </w:p>
        </w:tc>
      </w:tr>
      <w:tr w:rsidR="007B21F9" w:rsidRPr="0070281A" w:rsidTr="00225920">
        <w:tc>
          <w:tcPr>
            <w:tcW w:w="3222" w:type="dxa"/>
          </w:tcPr>
          <w:p w:rsidR="00225920" w:rsidRPr="0070281A" w:rsidRDefault="00225920" w:rsidP="009055FB">
            <w:pPr>
              <w:rPr>
                <w:rFonts w:ascii="Times New Roman" w:hAnsi="Times New Roman"/>
                <w:sz w:val="26"/>
                <w:szCs w:val="26"/>
              </w:rPr>
            </w:pPr>
            <w:r>
              <w:rPr>
                <w:rFonts w:ascii="Times New Roman" w:hAnsi="Times New Roman"/>
                <w:sz w:val="26"/>
                <w:szCs w:val="26"/>
              </w:rPr>
              <w:t>Dalība ENQA</w:t>
            </w:r>
          </w:p>
        </w:tc>
        <w:tc>
          <w:tcPr>
            <w:tcW w:w="1711" w:type="dxa"/>
          </w:tcPr>
          <w:p w:rsidR="00225920" w:rsidRPr="0070281A" w:rsidRDefault="00225920" w:rsidP="009055FB">
            <w:pPr>
              <w:rPr>
                <w:rFonts w:ascii="Times New Roman" w:hAnsi="Times New Roman"/>
                <w:sz w:val="26"/>
                <w:szCs w:val="26"/>
              </w:rPr>
            </w:pPr>
            <w:r>
              <w:rPr>
                <w:rFonts w:ascii="Times New Roman" w:hAnsi="Times New Roman"/>
                <w:sz w:val="26"/>
                <w:szCs w:val="26"/>
              </w:rPr>
              <w:t>0</w:t>
            </w:r>
          </w:p>
        </w:tc>
        <w:tc>
          <w:tcPr>
            <w:tcW w:w="1984" w:type="dxa"/>
          </w:tcPr>
          <w:p w:rsidR="00225920" w:rsidRDefault="00225920" w:rsidP="009055FB">
            <w:pPr>
              <w:rPr>
                <w:rFonts w:ascii="Times New Roman" w:hAnsi="Times New Roman"/>
                <w:sz w:val="26"/>
                <w:szCs w:val="26"/>
              </w:rPr>
            </w:pPr>
            <w:r>
              <w:rPr>
                <w:rFonts w:ascii="Times New Roman" w:hAnsi="Times New Roman"/>
                <w:sz w:val="26"/>
                <w:szCs w:val="26"/>
              </w:rPr>
              <w:t>0</w:t>
            </w:r>
          </w:p>
        </w:tc>
        <w:tc>
          <w:tcPr>
            <w:tcW w:w="2127" w:type="dxa"/>
          </w:tcPr>
          <w:p w:rsidR="00225920" w:rsidRDefault="00225920" w:rsidP="009055FB">
            <w:pPr>
              <w:rPr>
                <w:rFonts w:ascii="Times New Roman" w:hAnsi="Times New Roman"/>
                <w:sz w:val="26"/>
                <w:szCs w:val="26"/>
              </w:rPr>
            </w:pPr>
            <w:r>
              <w:rPr>
                <w:rFonts w:ascii="Times New Roman" w:hAnsi="Times New Roman"/>
                <w:sz w:val="26"/>
                <w:szCs w:val="26"/>
              </w:rPr>
              <w:t>2817</w:t>
            </w:r>
          </w:p>
        </w:tc>
      </w:tr>
      <w:tr w:rsidR="007B21F9" w:rsidRPr="0070281A" w:rsidTr="00225920">
        <w:tc>
          <w:tcPr>
            <w:tcW w:w="3222" w:type="dxa"/>
          </w:tcPr>
          <w:p w:rsidR="00225920" w:rsidRDefault="00225920" w:rsidP="009055FB">
            <w:pPr>
              <w:rPr>
                <w:rFonts w:ascii="Times New Roman" w:hAnsi="Times New Roman"/>
                <w:sz w:val="26"/>
                <w:szCs w:val="26"/>
              </w:rPr>
            </w:pPr>
            <w:r>
              <w:rPr>
                <w:rFonts w:ascii="Times New Roman" w:hAnsi="Times New Roman"/>
                <w:sz w:val="26"/>
                <w:szCs w:val="26"/>
              </w:rPr>
              <w:t>Dalība EQAR</w:t>
            </w:r>
          </w:p>
        </w:tc>
        <w:tc>
          <w:tcPr>
            <w:tcW w:w="1711" w:type="dxa"/>
          </w:tcPr>
          <w:p w:rsidR="00225920" w:rsidRDefault="00225920" w:rsidP="009055FB">
            <w:pPr>
              <w:rPr>
                <w:rFonts w:ascii="Times New Roman" w:hAnsi="Times New Roman"/>
                <w:sz w:val="26"/>
                <w:szCs w:val="26"/>
              </w:rPr>
            </w:pPr>
            <w:r>
              <w:rPr>
                <w:rFonts w:ascii="Times New Roman" w:hAnsi="Times New Roman"/>
                <w:sz w:val="26"/>
                <w:szCs w:val="26"/>
              </w:rPr>
              <w:t>0</w:t>
            </w:r>
          </w:p>
        </w:tc>
        <w:tc>
          <w:tcPr>
            <w:tcW w:w="1984" w:type="dxa"/>
          </w:tcPr>
          <w:p w:rsidR="00225920" w:rsidRDefault="00225920" w:rsidP="009055FB">
            <w:pPr>
              <w:rPr>
                <w:rFonts w:ascii="Times New Roman" w:hAnsi="Times New Roman"/>
                <w:sz w:val="26"/>
                <w:szCs w:val="26"/>
              </w:rPr>
            </w:pPr>
            <w:r>
              <w:rPr>
                <w:rFonts w:ascii="Times New Roman" w:hAnsi="Times New Roman"/>
                <w:sz w:val="26"/>
                <w:szCs w:val="26"/>
              </w:rPr>
              <w:t>0</w:t>
            </w:r>
          </w:p>
        </w:tc>
        <w:tc>
          <w:tcPr>
            <w:tcW w:w="2127" w:type="dxa"/>
          </w:tcPr>
          <w:p w:rsidR="00225920" w:rsidRDefault="00225920" w:rsidP="009055FB">
            <w:pPr>
              <w:rPr>
                <w:rFonts w:ascii="Times New Roman" w:hAnsi="Times New Roman"/>
                <w:sz w:val="26"/>
                <w:szCs w:val="26"/>
              </w:rPr>
            </w:pPr>
            <w:r>
              <w:rPr>
                <w:rFonts w:ascii="Times New Roman" w:hAnsi="Times New Roman"/>
                <w:sz w:val="26"/>
                <w:szCs w:val="26"/>
              </w:rPr>
              <w:t>0</w:t>
            </w:r>
          </w:p>
        </w:tc>
      </w:tr>
      <w:tr w:rsidR="007B21F9" w:rsidRPr="0070281A" w:rsidTr="001C41D9">
        <w:tc>
          <w:tcPr>
            <w:tcW w:w="3222" w:type="dxa"/>
          </w:tcPr>
          <w:p w:rsidR="009A64CE" w:rsidRDefault="009A64CE" w:rsidP="009055FB">
            <w:pPr>
              <w:rPr>
                <w:rFonts w:ascii="Times New Roman" w:hAnsi="Times New Roman"/>
                <w:sz w:val="26"/>
                <w:szCs w:val="26"/>
              </w:rPr>
            </w:pPr>
            <w:r>
              <w:rPr>
                <w:rFonts w:ascii="Times New Roman" w:hAnsi="Times New Roman"/>
                <w:sz w:val="26"/>
                <w:szCs w:val="26"/>
              </w:rPr>
              <w:t>Institūcijas izvērtēšana atbilstoši ESG</w:t>
            </w:r>
          </w:p>
        </w:tc>
        <w:tc>
          <w:tcPr>
            <w:tcW w:w="1711" w:type="dxa"/>
          </w:tcPr>
          <w:p w:rsidR="009A64CE" w:rsidRDefault="009A64CE" w:rsidP="009055FB">
            <w:pPr>
              <w:rPr>
                <w:rFonts w:ascii="Times New Roman" w:hAnsi="Times New Roman"/>
                <w:sz w:val="26"/>
                <w:szCs w:val="26"/>
              </w:rPr>
            </w:pPr>
            <w:r>
              <w:rPr>
                <w:rFonts w:ascii="Times New Roman" w:hAnsi="Times New Roman"/>
                <w:sz w:val="26"/>
                <w:szCs w:val="26"/>
              </w:rPr>
              <w:t>0</w:t>
            </w:r>
          </w:p>
        </w:tc>
        <w:tc>
          <w:tcPr>
            <w:tcW w:w="1984" w:type="dxa"/>
          </w:tcPr>
          <w:p w:rsidR="009A64CE" w:rsidRDefault="009A64CE" w:rsidP="009055FB">
            <w:pPr>
              <w:rPr>
                <w:rFonts w:ascii="Times New Roman" w:hAnsi="Times New Roman"/>
                <w:sz w:val="26"/>
                <w:szCs w:val="26"/>
              </w:rPr>
            </w:pPr>
            <w:r>
              <w:rPr>
                <w:rFonts w:ascii="Times New Roman" w:hAnsi="Times New Roman"/>
                <w:sz w:val="26"/>
                <w:szCs w:val="26"/>
              </w:rPr>
              <w:t>0</w:t>
            </w:r>
          </w:p>
        </w:tc>
        <w:tc>
          <w:tcPr>
            <w:tcW w:w="2127" w:type="dxa"/>
          </w:tcPr>
          <w:p w:rsidR="009A64CE" w:rsidRDefault="009A64CE" w:rsidP="009055FB">
            <w:pPr>
              <w:rPr>
                <w:rFonts w:ascii="Times New Roman" w:hAnsi="Times New Roman"/>
                <w:sz w:val="26"/>
                <w:szCs w:val="26"/>
              </w:rPr>
            </w:pPr>
            <w:r>
              <w:rPr>
                <w:rFonts w:ascii="Times New Roman" w:hAnsi="Times New Roman"/>
                <w:sz w:val="26"/>
                <w:szCs w:val="26"/>
              </w:rPr>
              <w:t>30 000</w:t>
            </w:r>
          </w:p>
        </w:tc>
      </w:tr>
      <w:tr w:rsidR="007B21F9" w:rsidRPr="0070281A" w:rsidTr="00225920">
        <w:tc>
          <w:tcPr>
            <w:tcW w:w="3222" w:type="dxa"/>
          </w:tcPr>
          <w:p w:rsidR="009A64CE" w:rsidRDefault="004A643F" w:rsidP="009055FB">
            <w:pPr>
              <w:rPr>
                <w:rFonts w:ascii="Times New Roman" w:hAnsi="Times New Roman"/>
                <w:sz w:val="26"/>
                <w:szCs w:val="26"/>
              </w:rPr>
            </w:pPr>
            <w:r>
              <w:rPr>
                <w:rFonts w:ascii="Times New Roman" w:hAnsi="Times New Roman"/>
                <w:sz w:val="26"/>
                <w:szCs w:val="26"/>
              </w:rPr>
              <w:t>Ekspertu apmācības</w:t>
            </w:r>
          </w:p>
        </w:tc>
        <w:tc>
          <w:tcPr>
            <w:tcW w:w="1711" w:type="dxa"/>
          </w:tcPr>
          <w:p w:rsidR="009A64CE" w:rsidRDefault="009F667D" w:rsidP="009055FB">
            <w:pPr>
              <w:rPr>
                <w:rFonts w:ascii="Times New Roman" w:hAnsi="Times New Roman"/>
                <w:sz w:val="26"/>
                <w:szCs w:val="26"/>
              </w:rPr>
            </w:pPr>
            <w:r>
              <w:rPr>
                <w:rFonts w:ascii="Times New Roman" w:hAnsi="Times New Roman"/>
                <w:sz w:val="26"/>
                <w:szCs w:val="26"/>
              </w:rPr>
              <w:t>4296</w:t>
            </w:r>
          </w:p>
        </w:tc>
        <w:tc>
          <w:tcPr>
            <w:tcW w:w="1984" w:type="dxa"/>
          </w:tcPr>
          <w:p w:rsidR="009A64CE" w:rsidRDefault="009F667D" w:rsidP="009055FB">
            <w:pPr>
              <w:rPr>
                <w:rFonts w:ascii="Times New Roman" w:hAnsi="Times New Roman"/>
                <w:sz w:val="26"/>
                <w:szCs w:val="26"/>
              </w:rPr>
            </w:pPr>
            <w:r>
              <w:rPr>
                <w:rFonts w:ascii="Times New Roman" w:hAnsi="Times New Roman"/>
                <w:sz w:val="26"/>
                <w:szCs w:val="26"/>
              </w:rPr>
              <w:t>4296</w:t>
            </w:r>
          </w:p>
        </w:tc>
        <w:tc>
          <w:tcPr>
            <w:tcW w:w="2127" w:type="dxa"/>
          </w:tcPr>
          <w:p w:rsidR="009A64CE" w:rsidRDefault="009F667D" w:rsidP="009055FB">
            <w:pPr>
              <w:rPr>
                <w:rFonts w:ascii="Times New Roman" w:hAnsi="Times New Roman"/>
                <w:sz w:val="26"/>
                <w:szCs w:val="26"/>
              </w:rPr>
            </w:pPr>
            <w:r>
              <w:rPr>
                <w:rFonts w:ascii="Times New Roman" w:hAnsi="Times New Roman"/>
                <w:sz w:val="26"/>
                <w:szCs w:val="26"/>
              </w:rPr>
              <w:t>4296</w:t>
            </w:r>
          </w:p>
        </w:tc>
      </w:tr>
      <w:tr w:rsidR="007B21F9" w:rsidRPr="0070281A" w:rsidDel="009A64CE" w:rsidTr="00225920">
        <w:tc>
          <w:tcPr>
            <w:tcW w:w="3222" w:type="dxa"/>
          </w:tcPr>
          <w:p w:rsidR="009A64CE" w:rsidDel="009A64CE" w:rsidRDefault="009A64CE" w:rsidP="009055FB">
            <w:pPr>
              <w:rPr>
                <w:rFonts w:ascii="Times New Roman" w:hAnsi="Times New Roman"/>
                <w:sz w:val="26"/>
                <w:szCs w:val="26"/>
              </w:rPr>
            </w:pPr>
            <w:r w:rsidRPr="009A64CE">
              <w:rPr>
                <w:rFonts w:ascii="Times New Roman" w:hAnsi="Times New Roman"/>
                <w:sz w:val="26"/>
                <w:szCs w:val="26"/>
              </w:rPr>
              <w:t>IKVD studiju virzienu reģistra uzturēšana</w:t>
            </w:r>
          </w:p>
        </w:tc>
        <w:tc>
          <w:tcPr>
            <w:tcW w:w="1711" w:type="dxa"/>
          </w:tcPr>
          <w:p w:rsidR="009A64CE" w:rsidDel="009A64CE" w:rsidRDefault="009A64CE" w:rsidP="009055FB">
            <w:pPr>
              <w:rPr>
                <w:rFonts w:ascii="Times New Roman" w:hAnsi="Times New Roman"/>
                <w:sz w:val="26"/>
                <w:szCs w:val="26"/>
              </w:rPr>
            </w:pPr>
            <w:r>
              <w:rPr>
                <w:rFonts w:ascii="Times New Roman" w:hAnsi="Times New Roman"/>
                <w:sz w:val="26"/>
                <w:szCs w:val="26"/>
              </w:rPr>
              <w:t>67260</w:t>
            </w:r>
          </w:p>
        </w:tc>
        <w:tc>
          <w:tcPr>
            <w:tcW w:w="1984" w:type="dxa"/>
          </w:tcPr>
          <w:p w:rsidR="009A64CE" w:rsidDel="009A64CE" w:rsidRDefault="009A64CE" w:rsidP="009055FB">
            <w:pPr>
              <w:rPr>
                <w:rFonts w:ascii="Times New Roman" w:hAnsi="Times New Roman"/>
                <w:sz w:val="26"/>
                <w:szCs w:val="26"/>
              </w:rPr>
            </w:pPr>
            <w:r>
              <w:rPr>
                <w:rFonts w:ascii="Times New Roman" w:hAnsi="Times New Roman"/>
                <w:sz w:val="26"/>
                <w:szCs w:val="26"/>
              </w:rPr>
              <w:t>67260</w:t>
            </w:r>
          </w:p>
        </w:tc>
        <w:tc>
          <w:tcPr>
            <w:tcW w:w="2127" w:type="dxa"/>
          </w:tcPr>
          <w:p w:rsidR="009A64CE" w:rsidDel="009A64CE" w:rsidRDefault="009A64CE" w:rsidP="009055FB">
            <w:pPr>
              <w:rPr>
                <w:rFonts w:ascii="Times New Roman" w:hAnsi="Times New Roman"/>
                <w:sz w:val="26"/>
                <w:szCs w:val="26"/>
              </w:rPr>
            </w:pPr>
            <w:r>
              <w:rPr>
                <w:rFonts w:ascii="Times New Roman" w:hAnsi="Times New Roman"/>
                <w:sz w:val="26"/>
                <w:szCs w:val="26"/>
              </w:rPr>
              <w:t>67260</w:t>
            </w:r>
          </w:p>
        </w:tc>
      </w:tr>
      <w:tr w:rsidR="009F667D" w:rsidRPr="0070281A" w:rsidDel="009A64CE" w:rsidTr="00225920">
        <w:tc>
          <w:tcPr>
            <w:tcW w:w="3222" w:type="dxa"/>
          </w:tcPr>
          <w:p w:rsidR="009F667D" w:rsidRPr="009A64CE" w:rsidRDefault="009F667D" w:rsidP="009055FB">
            <w:pPr>
              <w:rPr>
                <w:rFonts w:ascii="Times New Roman" w:hAnsi="Times New Roman"/>
                <w:sz w:val="26"/>
                <w:szCs w:val="26"/>
              </w:rPr>
            </w:pPr>
            <w:r>
              <w:rPr>
                <w:rFonts w:ascii="Times New Roman" w:hAnsi="Times New Roman"/>
                <w:sz w:val="26"/>
                <w:szCs w:val="26"/>
              </w:rPr>
              <w:t>Neparedzēti izdevumi, t.sk., apelācijas komisijas darba apmaksa</w:t>
            </w:r>
          </w:p>
        </w:tc>
        <w:tc>
          <w:tcPr>
            <w:tcW w:w="1711" w:type="dxa"/>
          </w:tcPr>
          <w:p w:rsidR="009F667D" w:rsidRDefault="009F667D" w:rsidP="009055FB">
            <w:pPr>
              <w:rPr>
                <w:rFonts w:ascii="Times New Roman" w:hAnsi="Times New Roman"/>
                <w:sz w:val="26"/>
                <w:szCs w:val="26"/>
              </w:rPr>
            </w:pPr>
            <w:r>
              <w:rPr>
                <w:rFonts w:ascii="Times New Roman" w:hAnsi="Times New Roman"/>
                <w:sz w:val="26"/>
                <w:szCs w:val="26"/>
              </w:rPr>
              <w:t>2469</w:t>
            </w:r>
          </w:p>
        </w:tc>
        <w:tc>
          <w:tcPr>
            <w:tcW w:w="1984" w:type="dxa"/>
          </w:tcPr>
          <w:p w:rsidR="009F667D" w:rsidRDefault="009F667D" w:rsidP="009055FB">
            <w:pPr>
              <w:rPr>
                <w:rFonts w:ascii="Times New Roman" w:hAnsi="Times New Roman"/>
                <w:sz w:val="26"/>
                <w:szCs w:val="26"/>
              </w:rPr>
            </w:pPr>
            <w:r>
              <w:rPr>
                <w:rFonts w:ascii="Times New Roman" w:hAnsi="Times New Roman"/>
                <w:sz w:val="26"/>
                <w:szCs w:val="26"/>
              </w:rPr>
              <w:t>7252</w:t>
            </w:r>
          </w:p>
        </w:tc>
        <w:tc>
          <w:tcPr>
            <w:tcW w:w="2127" w:type="dxa"/>
          </w:tcPr>
          <w:p w:rsidR="009F667D" w:rsidRDefault="009F667D" w:rsidP="009055FB">
            <w:pPr>
              <w:rPr>
                <w:rFonts w:ascii="Times New Roman" w:hAnsi="Times New Roman"/>
                <w:sz w:val="26"/>
                <w:szCs w:val="26"/>
              </w:rPr>
            </w:pPr>
            <w:r>
              <w:rPr>
                <w:rFonts w:ascii="Times New Roman" w:hAnsi="Times New Roman"/>
                <w:sz w:val="26"/>
                <w:szCs w:val="26"/>
              </w:rPr>
              <w:t>5654</w:t>
            </w:r>
          </w:p>
        </w:tc>
      </w:tr>
      <w:tr w:rsidR="007B21F9" w:rsidRPr="0070281A" w:rsidTr="00225920">
        <w:tc>
          <w:tcPr>
            <w:tcW w:w="3222" w:type="dxa"/>
          </w:tcPr>
          <w:p w:rsidR="00225920" w:rsidRPr="0070281A" w:rsidRDefault="00225920" w:rsidP="009055FB">
            <w:pPr>
              <w:jc w:val="right"/>
              <w:rPr>
                <w:rFonts w:ascii="Times New Roman" w:hAnsi="Times New Roman"/>
                <w:b/>
                <w:sz w:val="26"/>
                <w:szCs w:val="26"/>
              </w:rPr>
            </w:pPr>
            <w:r w:rsidRPr="0070281A">
              <w:rPr>
                <w:rFonts w:ascii="Times New Roman" w:hAnsi="Times New Roman"/>
                <w:b/>
                <w:sz w:val="26"/>
                <w:szCs w:val="26"/>
              </w:rPr>
              <w:t>Kopā</w:t>
            </w:r>
          </w:p>
        </w:tc>
        <w:tc>
          <w:tcPr>
            <w:tcW w:w="1711" w:type="dxa"/>
            <w:vAlign w:val="center"/>
          </w:tcPr>
          <w:p w:rsidR="0054495B" w:rsidRDefault="00510F1B" w:rsidP="009055FB">
            <w:pPr>
              <w:jc w:val="right"/>
              <w:rPr>
                <w:rFonts w:ascii="Times New Roman" w:eastAsia="Times New Roman" w:hAnsi="Times New Roman"/>
                <w:b/>
                <w:color w:val="000000"/>
                <w:sz w:val="26"/>
                <w:szCs w:val="26"/>
              </w:rPr>
            </w:pPr>
            <w:r>
              <w:rPr>
                <w:rFonts w:ascii="Times New Roman" w:eastAsia="Times New Roman" w:hAnsi="Times New Roman"/>
                <w:b/>
                <w:color w:val="000000"/>
                <w:sz w:val="26"/>
                <w:szCs w:val="26"/>
              </w:rPr>
              <w:t>3990</w:t>
            </w:r>
            <w:r w:rsidR="009F667D">
              <w:rPr>
                <w:rFonts w:ascii="Times New Roman" w:eastAsia="Times New Roman" w:hAnsi="Times New Roman"/>
                <w:b/>
                <w:color w:val="000000"/>
                <w:sz w:val="26"/>
                <w:szCs w:val="26"/>
              </w:rPr>
              <w:t>31</w:t>
            </w:r>
          </w:p>
          <w:p w:rsidR="00225920" w:rsidRPr="009E1BC8" w:rsidRDefault="00CA73D5" w:rsidP="009055FB">
            <w:pPr>
              <w:jc w:val="right"/>
              <w:rPr>
                <w:rFonts w:ascii="Times New Roman" w:hAnsi="Times New Roman"/>
                <w:b/>
                <w:bCs/>
                <w:color w:val="000000"/>
                <w:sz w:val="26"/>
                <w:szCs w:val="26"/>
              </w:rPr>
            </w:pPr>
            <w:r>
              <w:rPr>
                <w:rFonts w:ascii="Times New Roman" w:hAnsi="Times New Roman"/>
                <w:b/>
                <w:bCs/>
                <w:color w:val="000000"/>
                <w:sz w:val="26"/>
                <w:szCs w:val="26"/>
              </w:rPr>
              <w:t> </w:t>
            </w:r>
          </w:p>
        </w:tc>
        <w:tc>
          <w:tcPr>
            <w:tcW w:w="1984" w:type="dxa"/>
            <w:vAlign w:val="center"/>
          </w:tcPr>
          <w:p w:rsidR="0054495B" w:rsidRDefault="0054495B" w:rsidP="009055FB">
            <w:pPr>
              <w:jc w:val="right"/>
              <w:rPr>
                <w:rFonts w:ascii="Times New Roman" w:eastAsia="Times New Roman" w:hAnsi="Times New Roman"/>
                <w:b/>
                <w:color w:val="000000"/>
                <w:sz w:val="26"/>
                <w:szCs w:val="26"/>
              </w:rPr>
            </w:pPr>
            <w:r>
              <w:rPr>
                <w:rFonts w:ascii="Times New Roman" w:eastAsia="Times New Roman" w:hAnsi="Times New Roman"/>
                <w:b/>
                <w:color w:val="000000"/>
                <w:sz w:val="26"/>
                <w:szCs w:val="26"/>
              </w:rPr>
              <w:t>2722</w:t>
            </w:r>
            <w:r w:rsidR="009F667D">
              <w:rPr>
                <w:rFonts w:ascii="Times New Roman" w:eastAsia="Times New Roman" w:hAnsi="Times New Roman"/>
                <w:b/>
                <w:color w:val="000000"/>
                <w:sz w:val="26"/>
                <w:szCs w:val="26"/>
              </w:rPr>
              <w:t>01</w:t>
            </w:r>
          </w:p>
          <w:p w:rsidR="00225920" w:rsidRPr="009E1BC8" w:rsidRDefault="00CA73D5" w:rsidP="009055FB">
            <w:pPr>
              <w:jc w:val="right"/>
              <w:rPr>
                <w:rFonts w:ascii="Times New Roman" w:hAnsi="Times New Roman"/>
                <w:b/>
                <w:bCs/>
                <w:color w:val="000000"/>
                <w:sz w:val="26"/>
                <w:szCs w:val="26"/>
              </w:rPr>
            </w:pPr>
            <w:r>
              <w:rPr>
                <w:rFonts w:ascii="Times New Roman" w:hAnsi="Times New Roman"/>
                <w:b/>
                <w:bCs/>
                <w:color w:val="000000"/>
                <w:sz w:val="26"/>
                <w:szCs w:val="26"/>
              </w:rPr>
              <w:t> </w:t>
            </w:r>
          </w:p>
        </w:tc>
        <w:tc>
          <w:tcPr>
            <w:tcW w:w="2127" w:type="dxa"/>
            <w:vAlign w:val="center"/>
          </w:tcPr>
          <w:p w:rsidR="009D5260" w:rsidRDefault="009D5260" w:rsidP="009055FB">
            <w:pPr>
              <w:jc w:val="right"/>
              <w:rPr>
                <w:rFonts w:ascii="Times New Roman" w:eastAsia="Times New Roman" w:hAnsi="Times New Roman"/>
                <w:b/>
                <w:color w:val="000000"/>
                <w:sz w:val="26"/>
                <w:szCs w:val="26"/>
              </w:rPr>
            </w:pPr>
            <w:r>
              <w:rPr>
                <w:rFonts w:ascii="Times New Roman" w:eastAsia="Times New Roman" w:hAnsi="Times New Roman"/>
                <w:b/>
                <w:color w:val="000000"/>
                <w:sz w:val="26"/>
                <w:szCs w:val="26"/>
              </w:rPr>
              <w:t>3338</w:t>
            </w:r>
            <w:r w:rsidR="009F667D">
              <w:rPr>
                <w:rFonts w:ascii="Times New Roman" w:eastAsia="Times New Roman" w:hAnsi="Times New Roman"/>
                <w:b/>
                <w:color w:val="000000"/>
                <w:sz w:val="26"/>
                <w:szCs w:val="26"/>
              </w:rPr>
              <w:t>79</w:t>
            </w:r>
          </w:p>
          <w:p w:rsidR="00225920" w:rsidRPr="009E1BC8" w:rsidRDefault="00225920" w:rsidP="009055FB">
            <w:pPr>
              <w:jc w:val="right"/>
              <w:rPr>
                <w:rFonts w:ascii="Times New Roman" w:hAnsi="Times New Roman"/>
                <w:b/>
                <w:bCs/>
                <w:color w:val="000000"/>
                <w:sz w:val="26"/>
                <w:szCs w:val="26"/>
              </w:rPr>
            </w:pPr>
          </w:p>
        </w:tc>
      </w:tr>
    </w:tbl>
    <w:p w:rsidR="00532930" w:rsidRDefault="00532930" w:rsidP="009055FB">
      <w:pPr>
        <w:pStyle w:val="ListParagraph"/>
        <w:spacing w:after="0" w:line="240" w:lineRule="auto"/>
        <w:ind w:firstLine="720"/>
        <w:jc w:val="both"/>
        <w:rPr>
          <w:rFonts w:ascii="Times New Roman" w:hAnsi="Times New Roman" w:cs="Times New Roman"/>
          <w:sz w:val="26"/>
          <w:szCs w:val="26"/>
        </w:rPr>
      </w:pPr>
    </w:p>
    <w:p w:rsidR="0015450E" w:rsidRPr="00CD6294" w:rsidRDefault="0015450E" w:rsidP="009055FB">
      <w:pPr>
        <w:spacing w:after="0" w:line="240" w:lineRule="auto"/>
        <w:jc w:val="both"/>
        <w:rPr>
          <w:rFonts w:ascii="Times New Roman" w:hAnsi="Times New Roman"/>
          <w:sz w:val="26"/>
          <w:szCs w:val="26"/>
        </w:rPr>
      </w:pPr>
      <w:r w:rsidRPr="00CD6294">
        <w:rPr>
          <w:rFonts w:ascii="Times New Roman" w:eastAsia="Times New Roman" w:hAnsi="Times New Roman" w:cs="Times New Roman"/>
          <w:color w:val="000000"/>
          <w:sz w:val="26"/>
          <w:szCs w:val="26"/>
        </w:rPr>
        <w:t xml:space="preserve">Eiropas Savienības struktūrfondu </w:t>
      </w:r>
      <w:r>
        <w:rPr>
          <w:rFonts w:ascii="Times New Roman" w:eastAsia="Times New Roman" w:hAnsi="Times New Roman" w:cs="Times New Roman"/>
          <w:color w:val="000000"/>
          <w:sz w:val="26"/>
          <w:szCs w:val="26"/>
        </w:rPr>
        <w:t>plānošanas periodā 2014.-2020.gadam specifiskā atbalsta mērķa 8.2.4 „</w:t>
      </w:r>
      <w:r w:rsidRPr="00706847">
        <w:rPr>
          <w:rFonts w:ascii="Times New Roman" w:eastAsia="Times New Roman" w:hAnsi="Times New Roman" w:cs="Times New Roman"/>
          <w:color w:val="000000"/>
          <w:sz w:val="26"/>
          <w:szCs w:val="26"/>
        </w:rPr>
        <w:t xml:space="preserve">Nodrošināt atbalstu EQAR aģentūrai izvirzīto prasību izpildei” ietvaros </w:t>
      </w:r>
      <w:r w:rsidRPr="00CD6294">
        <w:rPr>
          <w:rFonts w:ascii="Times New Roman" w:eastAsia="Times New Roman" w:hAnsi="Times New Roman" w:cs="Times New Roman"/>
          <w:color w:val="000000"/>
          <w:sz w:val="26"/>
          <w:szCs w:val="26"/>
        </w:rPr>
        <w:t>paredzēts finansējum</w:t>
      </w:r>
      <w:r>
        <w:rPr>
          <w:rFonts w:ascii="Times New Roman" w:eastAsia="Times New Roman" w:hAnsi="Times New Roman" w:cs="Times New Roman"/>
          <w:color w:val="000000"/>
          <w:sz w:val="26"/>
          <w:szCs w:val="26"/>
        </w:rPr>
        <w:t>s</w:t>
      </w:r>
      <w:r w:rsidRPr="00CD6294">
        <w:rPr>
          <w:rFonts w:ascii="Times New Roman" w:hAnsi="Times New Roman" w:cs="Times New Roman"/>
          <w:sz w:val="26"/>
          <w:szCs w:val="26"/>
        </w:rPr>
        <w:t xml:space="preserve"> nacionālās augstākās izglītības kvalitātes nodrošināšanas aģentūras sākotnējās darbības kvalitātes atbalsta pasākumiem un kapacitātes stiprināšanai</w:t>
      </w:r>
      <w:r>
        <w:rPr>
          <w:rFonts w:ascii="Times New Roman" w:hAnsi="Times New Roman" w:cs="Times New Roman"/>
          <w:sz w:val="26"/>
          <w:szCs w:val="26"/>
        </w:rPr>
        <w:t xml:space="preserve"> </w:t>
      </w:r>
      <w:r w:rsidRPr="00CD6294">
        <w:rPr>
          <w:rFonts w:ascii="Times New Roman" w:hAnsi="Times New Roman" w:cs="Times New Roman"/>
          <w:sz w:val="26"/>
          <w:szCs w:val="26"/>
        </w:rPr>
        <w:t xml:space="preserve">1 500 000 EUR apmērā (tajā skaitā  </w:t>
      </w:r>
      <w:r w:rsidRPr="00CD6294">
        <w:rPr>
          <w:rFonts w:ascii="Times New Roman" w:eastAsia="Times New Roman" w:hAnsi="Times New Roman" w:cs="Times New Roman"/>
          <w:color w:val="000000"/>
          <w:sz w:val="26"/>
          <w:szCs w:val="26"/>
        </w:rPr>
        <w:t>Eiropas Sociālā fonda</w:t>
      </w:r>
      <w:r w:rsidRPr="00CD6294">
        <w:rPr>
          <w:rFonts w:ascii="Times New Roman" w:hAnsi="Times New Roman" w:cs="Times New Roman"/>
          <w:sz w:val="26"/>
          <w:szCs w:val="26"/>
        </w:rPr>
        <w:t xml:space="preserve"> finansējums – 1 275 000 EUR)</w:t>
      </w:r>
      <w:r>
        <w:rPr>
          <w:rFonts w:ascii="Times New Roman" w:hAnsi="Times New Roman" w:cs="Times New Roman"/>
          <w:sz w:val="26"/>
          <w:szCs w:val="26"/>
        </w:rPr>
        <w:t xml:space="preserve">. </w:t>
      </w:r>
      <w:r w:rsidRPr="00CD6294">
        <w:rPr>
          <w:rFonts w:ascii="Times New Roman" w:hAnsi="Times New Roman" w:cs="Times New Roman"/>
          <w:sz w:val="26"/>
          <w:szCs w:val="26"/>
        </w:rPr>
        <w:t xml:space="preserve">Projektu </w:t>
      </w:r>
      <w:r w:rsidRPr="00CD6294">
        <w:rPr>
          <w:rFonts w:ascii="Times New Roman" w:hAnsi="Times New Roman"/>
          <w:sz w:val="26"/>
          <w:szCs w:val="26"/>
        </w:rPr>
        <w:t>atlasi plānots uzsākt 2015.gad</w:t>
      </w:r>
      <w:r>
        <w:rPr>
          <w:rFonts w:ascii="Times New Roman" w:hAnsi="Times New Roman"/>
          <w:sz w:val="26"/>
          <w:szCs w:val="26"/>
        </w:rPr>
        <w:t>ā</w:t>
      </w:r>
      <w:r w:rsidRPr="00CD6294">
        <w:rPr>
          <w:rFonts w:ascii="Times New Roman" w:hAnsi="Times New Roman"/>
          <w:sz w:val="26"/>
          <w:szCs w:val="26"/>
        </w:rPr>
        <w:t>, lai nodrošinātu ESF finansējuma pieejamību 2016.gadā. Plānotais projekt</w:t>
      </w:r>
      <w:r>
        <w:rPr>
          <w:rFonts w:ascii="Times New Roman" w:hAnsi="Times New Roman"/>
          <w:sz w:val="26"/>
          <w:szCs w:val="26"/>
        </w:rPr>
        <w:t>a</w:t>
      </w:r>
      <w:r w:rsidRPr="00CD6294">
        <w:rPr>
          <w:rFonts w:ascii="Times New Roman" w:hAnsi="Times New Roman"/>
          <w:sz w:val="26"/>
          <w:szCs w:val="26"/>
        </w:rPr>
        <w:t xml:space="preserve"> ilgums aptuveni 3-3,5 gadi</w:t>
      </w:r>
      <w:r>
        <w:rPr>
          <w:rFonts w:ascii="Times New Roman" w:hAnsi="Times New Roman"/>
          <w:sz w:val="26"/>
          <w:szCs w:val="26"/>
        </w:rPr>
        <w:t>. Projekta ieviešanas nosacījums – nodrošināt, ka l</w:t>
      </w:r>
      <w:r w:rsidRPr="00706847">
        <w:rPr>
          <w:rFonts w:ascii="Times New Roman" w:hAnsi="Times New Roman"/>
          <w:sz w:val="26"/>
          <w:szCs w:val="26"/>
        </w:rPr>
        <w:t>īdz 2018.gada beigām</w:t>
      </w:r>
      <w:r>
        <w:rPr>
          <w:rFonts w:ascii="Times New Roman" w:hAnsi="Times New Roman"/>
          <w:sz w:val="26"/>
          <w:szCs w:val="26"/>
        </w:rPr>
        <w:t xml:space="preserve"> ir iesniegti visi nepieciešamie dokumenti</w:t>
      </w:r>
      <w:r w:rsidRPr="00706847">
        <w:rPr>
          <w:rFonts w:ascii="Times New Roman" w:hAnsi="Times New Roman"/>
          <w:sz w:val="26"/>
          <w:szCs w:val="26"/>
        </w:rPr>
        <w:t xml:space="preserve"> EQAR reģistrēšanai, </w:t>
      </w:r>
      <w:r>
        <w:rPr>
          <w:rFonts w:ascii="Times New Roman" w:hAnsi="Times New Roman"/>
          <w:sz w:val="26"/>
          <w:szCs w:val="26"/>
        </w:rPr>
        <w:t>lai</w:t>
      </w:r>
      <w:r w:rsidRPr="00706847">
        <w:rPr>
          <w:rFonts w:ascii="Times New Roman" w:hAnsi="Times New Roman"/>
          <w:sz w:val="26"/>
          <w:szCs w:val="26"/>
        </w:rPr>
        <w:t xml:space="preserve"> oficiāls lēmums par reģistrēšanu EQAR reģistrā </w:t>
      </w:r>
      <w:r>
        <w:rPr>
          <w:rFonts w:ascii="Times New Roman" w:hAnsi="Times New Roman"/>
          <w:sz w:val="26"/>
          <w:szCs w:val="26"/>
        </w:rPr>
        <w:t>tiktu</w:t>
      </w:r>
      <w:r w:rsidRPr="00706847">
        <w:rPr>
          <w:rFonts w:ascii="Times New Roman" w:hAnsi="Times New Roman"/>
          <w:sz w:val="26"/>
          <w:szCs w:val="26"/>
        </w:rPr>
        <w:t xml:space="preserve"> pieņemts</w:t>
      </w:r>
      <w:r>
        <w:rPr>
          <w:rFonts w:ascii="Times New Roman" w:hAnsi="Times New Roman"/>
          <w:sz w:val="26"/>
          <w:szCs w:val="26"/>
        </w:rPr>
        <w:t xml:space="preserve"> ne vēlāk kā 2019.gadā</w:t>
      </w:r>
      <w:r w:rsidRPr="00706847">
        <w:rPr>
          <w:rFonts w:ascii="Times New Roman" w:hAnsi="Times New Roman"/>
          <w:sz w:val="26"/>
          <w:szCs w:val="26"/>
        </w:rPr>
        <w:t>.</w:t>
      </w:r>
      <w:r>
        <w:rPr>
          <w:rFonts w:ascii="Times New Roman" w:hAnsi="Times New Roman"/>
          <w:sz w:val="26"/>
          <w:szCs w:val="26"/>
        </w:rPr>
        <w:t xml:space="preserve"> Sasniedzamais projekta rezultāta rādītājs – ESF atbalstu saņēmusī institūcija atbilst EQAR aģentūrai izvirzītajām prasībām.</w:t>
      </w:r>
    </w:p>
    <w:p w:rsidR="00532930" w:rsidRPr="00F95550" w:rsidRDefault="00532930" w:rsidP="009055FB">
      <w:pPr>
        <w:pStyle w:val="ListParagraph"/>
        <w:spacing w:after="0" w:line="240" w:lineRule="auto"/>
        <w:ind w:left="0" w:firstLine="720"/>
        <w:jc w:val="both"/>
        <w:rPr>
          <w:rFonts w:ascii="Times New Roman" w:hAnsi="Times New Roman" w:cs="Times New Roman"/>
          <w:sz w:val="26"/>
          <w:szCs w:val="26"/>
        </w:rPr>
      </w:pPr>
      <w:r w:rsidRPr="00654249">
        <w:rPr>
          <w:rFonts w:ascii="Times New Roman" w:hAnsi="Times New Roman" w:cs="Times New Roman"/>
          <w:sz w:val="26"/>
          <w:szCs w:val="26"/>
        </w:rPr>
        <w:t>Indikatīvi Latvijas augstākās izglītības kvalitātes nodrošināšanas institūcijas ieņēmumi</w:t>
      </w:r>
      <w:r>
        <w:rPr>
          <w:rFonts w:ascii="Times New Roman" w:hAnsi="Times New Roman" w:cs="Times New Roman"/>
          <w:sz w:val="26"/>
          <w:szCs w:val="26"/>
        </w:rPr>
        <w:t xml:space="preserve"> ir atspoguļoti 5.tabulā.</w:t>
      </w:r>
      <w:r w:rsidRPr="008C65D8">
        <w:rPr>
          <w:rFonts w:ascii="Times New Roman" w:hAnsi="Times New Roman" w:cs="Times New Roman"/>
          <w:sz w:val="26"/>
          <w:szCs w:val="26"/>
        </w:rPr>
        <w:t xml:space="preserve"> 2015.gada laikā provizoriski ti</w:t>
      </w:r>
      <w:r>
        <w:rPr>
          <w:rFonts w:ascii="Times New Roman" w:hAnsi="Times New Roman" w:cs="Times New Roman"/>
          <w:sz w:val="26"/>
          <w:szCs w:val="26"/>
        </w:rPr>
        <w:t xml:space="preserve">ek plānota 28 studiju virzienu </w:t>
      </w:r>
      <w:r w:rsidRPr="008C65D8">
        <w:rPr>
          <w:rFonts w:ascii="Times New Roman" w:hAnsi="Times New Roman" w:cs="Times New Roman"/>
          <w:sz w:val="26"/>
          <w:szCs w:val="26"/>
        </w:rPr>
        <w:t xml:space="preserve">akreditācija, kas saskaņā ar MK 2013.gada 3.septembra noteikumiem Nr. 721 “Izglītības un zinātnes ministrijas maksas pakalpojumu cenrādis” radītu </w:t>
      </w:r>
      <w:r>
        <w:rPr>
          <w:rFonts w:ascii="Times New Roman" w:hAnsi="Times New Roman" w:cs="Times New Roman"/>
          <w:sz w:val="26"/>
          <w:szCs w:val="26"/>
        </w:rPr>
        <w:t>institūcijai</w:t>
      </w:r>
      <w:r w:rsidRPr="008C65D8">
        <w:rPr>
          <w:rFonts w:ascii="Times New Roman" w:hAnsi="Times New Roman" w:cs="Times New Roman"/>
          <w:sz w:val="26"/>
          <w:szCs w:val="26"/>
        </w:rPr>
        <w:t xml:space="preserve"> ienākumus 115 4</w:t>
      </w:r>
      <w:r>
        <w:rPr>
          <w:rFonts w:ascii="Times New Roman" w:hAnsi="Times New Roman" w:cs="Times New Roman"/>
          <w:sz w:val="26"/>
          <w:szCs w:val="26"/>
        </w:rPr>
        <w:t>44</w:t>
      </w:r>
      <w:r w:rsidRPr="008C65D8">
        <w:rPr>
          <w:rFonts w:ascii="Times New Roman" w:hAnsi="Times New Roman" w:cs="Times New Roman"/>
          <w:sz w:val="26"/>
          <w:szCs w:val="26"/>
        </w:rPr>
        <w:t xml:space="preserve"> EUR apmērā</w:t>
      </w:r>
      <w:r>
        <w:rPr>
          <w:rFonts w:ascii="Times New Roman" w:hAnsi="Times New Roman" w:cs="Times New Roman"/>
          <w:sz w:val="26"/>
          <w:szCs w:val="26"/>
        </w:rPr>
        <w:t xml:space="preserve"> (4123</w:t>
      </w:r>
      <w:r w:rsidRPr="008C65D8">
        <w:rPr>
          <w:rFonts w:ascii="Times New Roman" w:hAnsi="Times New Roman" w:cs="Times New Roman"/>
          <w:sz w:val="26"/>
          <w:szCs w:val="26"/>
        </w:rPr>
        <w:t>*28</w:t>
      </w:r>
      <w:r>
        <w:rPr>
          <w:rFonts w:ascii="Times New Roman" w:hAnsi="Times New Roman" w:cs="Times New Roman"/>
          <w:sz w:val="26"/>
          <w:szCs w:val="26"/>
        </w:rPr>
        <w:t xml:space="preserve"> </w:t>
      </w:r>
      <w:r w:rsidRPr="008C65D8">
        <w:rPr>
          <w:rFonts w:ascii="Times New Roman" w:hAnsi="Times New Roman" w:cs="Times New Roman"/>
          <w:sz w:val="26"/>
          <w:szCs w:val="26"/>
        </w:rPr>
        <w:t xml:space="preserve">(summa par studiju virziena akreditāciju, kuram atbilst viena studiju programma)). Papildus 2015.gada laikā var prognozēt 20 studiju programmu licencēšanas gadījumus, kas radītu </w:t>
      </w:r>
      <w:r>
        <w:rPr>
          <w:rFonts w:ascii="Times New Roman" w:hAnsi="Times New Roman" w:cs="Times New Roman"/>
          <w:sz w:val="26"/>
          <w:szCs w:val="26"/>
        </w:rPr>
        <w:t>institūcijai ienākumus 14 500</w:t>
      </w:r>
      <w:r w:rsidRPr="008C65D8">
        <w:rPr>
          <w:rFonts w:ascii="Times New Roman" w:hAnsi="Times New Roman" w:cs="Times New Roman"/>
          <w:sz w:val="26"/>
          <w:szCs w:val="26"/>
        </w:rPr>
        <w:t xml:space="preserve"> EUR apmērā</w:t>
      </w:r>
      <w:r>
        <w:rPr>
          <w:rFonts w:ascii="Times New Roman" w:hAnsi="Times New Roman" w:cs="Times New Roman"/>
          <w:sz w:val="26"/>
          <w:szCs w:val="26"/>
        </w:rPr>
        <w:t xml:space="preserve"> (725</w:t>
      </w:r>
      <w:r w:rsidRPr="008C65D8">
        <w:rPr>
          <w:rFonts w:ascii="Times New Roman" w:hAnsi="Times New Roman" w:cs="Times New Roman"/>
          <w:sz w:val="26"/>
          <w:szCs w:val="26"/>
        </w:rPr>
        <w:t>*20)</w:t>
      </w:r>
      <w:r>
        <w:rPr>
          <w:rFonts w:ascii="Times New Roman" w:hAnsi="Times New Roman" w:cs="Times New Roman"/>
          <w:sz w:val="26"/>
          <w:szCs w:val="26"/>
        </w:rPr>
        <w:t xml:space="preserve">, kā arī 2 augstākās izglītības iestāžu akreditācija, kas dos ienākumus </w:t>
      </w:r>
      <w:r w:rsidRPr="00F95550">
        <w:rPr>
          <w:rFonts w:ascii="Times New Roman" w:hAnsi="Times New Roman"/>
          <w:sz w:val="26"/>
          <w:szCs w:val="26"/>
        </w:rPr>
        <w:t>11610 EUR</w:t>
      </w:r>
      <w:r>
        <w:rPr>
          <w:rFonts w:ascii="Times New Roman" w:hAnsi="Times New Roman" w:cs="Times New Roman"/>
          <w:sz w:val="26"/>
          <w:szCs w:val="26"/>
        </w:rPr>
        <w:t xml:space="preserve"> (</w:t>
      </w:r>
      <w:r w:rsidRPr="00DD4013">
        <w:rPr>
          <w:rFonts w:ascii="Times New Roman" w:hAnsi="Times New Roman"/>
          <w:sz w:val="26"/>
          <w:szCs w:val="26"/>
        </w:rPr>
        <w:t>5805</w:t>
      </w:r>
      <w:r>
        <w:rPr>
          <w:rFonts w:ascii="Times New Roman" w:hAnsi="Times New Roman"/>
          <w:sz w:val="26"/>
          <w:szCs w:val="26"/>
        </w:rPr>
        <w:t>*2)</w:t>
      </w:r>
      <w:r w:rsidRPr="008C65D8">
        <w:rPr>
          <w:rFonts w:ascii="Times New Roman" w:hAnsi="Times New Roman" w:cs="Times New Roman"/>
          <w:sz w:val="26"/>
          <w:szCs w:val="26"/>
        </w:rPr>
        <w:t xml:space="preserve">. Var secināt, ka kopējie </w:t>
      </w:r>
      <w:r>
        <w:rPr>
          <w:rFonts w:ascii="Times New Roman" w:hAnsi="Times New Roman" w:cs="Times New Roman"/>
          <w:sz w:val="26"/>
          <w:szCs w:val="26"/>
        </w:rPr>
        <w:t>institūcijas</w:t>
      </w:r>
      <w:r w:rsidRPr="008C65D8">
        <w:rPr>
          <w:rFonts w:ascii="Times New Roman" w:hAnsi="Times New Roman" w:cs="Times New Roman"/>
          <w:sz w:val="26"/>
          <w:szCs w:val="26"/>
        </w:rPr>
        <w:t xml:space="preserve"> ienākumi 2015.gada laikā būs </w:t>
      </w:r>
      <w:r>
        <w:rPr>
          <w:rFonts w:ascii="Times New Roman" w:hAnsi="Times New Roman" w:cs="Times New Roman"/>
          <w:sz w:val="26"/>
          <w:szCs w:val="26"/>
        </w:rPr>
        <w:t>141554</w:t>
      </w:r>
      <w:r w:rsidRPr="008C65D8">
        <w:rPr>
          <w:rFonts w:ascii="Times New Roman" w:hAnsi="Times New Roman" w:cs="Times New Roman"/>
          <w:sz w:val="26"/>
          <w:szCs w:val="26"/>
        </w:rPr>
        <w:t xml:space="preserve"> EUR, un šie līdzekļi tiks izlietoti akreditācijas vajadzību nodroš</w:t>
      </w:r>
      <w:r>
        <w:rPr>
          <w:rFonts w:ascii="Times New Roman" w:hAnsi="Times New Roman" w:cs="Times New Roman"/>
          <w:sz w:val="26"/>
          <w:szCs w:val="26"/>
        </w:rPr>
        <w:t xml:space="preserve">ināšanai, t.sk. ekspertu atalgojumam </w:t>
      </w:r>
      <w:r>
        <w:rPr>
          <w:rFonts w:ascii="Times New Roman" w:hAnsi="Times New Roman"/>
          <w:sz w:val="26"/>
          <w:szCs w:val="26"/>
        </w:rPr>
        <w:t>10623</w:t>
      </w:r>
      <w:r w:rsidRPr="00F95550">
        <w:rPr>
          <w:rFonts w:ascii="Times New Roman" w:hAnsi="Times New Roman"/>
          <w:sz w:val="26"/>
          <w:szCs w:val="26"/>
        </w:rPr>
        <w:t>2 EUR</w:t>
      </w:r>
      <w:r w:rsidRPr="008C65D8">
        <w:rPr>
          <w:rFonts w:ascii="Times New Roman" w:hAnsi="Times New Roman" w:cs="Times New Roman"/>
          <w:sz w:val="26"/>
          <w:szCs w:val="26"/>
        </w:rPr>
        <w:t>.</w:t>
      </w:r>
      <w:r>
        <w:rPr>
          <w:rFonts w:ascii="Times New Roman" w:hAnsi="Times New Roman" w:cs="Times New Roman"/>
          <w:sz w:val="26"/>
          <w:szCs w:val="26"/>
        </w:rPr>
        <w:t xml:space="preserve"> </w:t>
      </w:r>
      <w:r w:rsidRPr="008C65D8">
        <w:rPr>
          <w:rFonts w:ascii="Times New Roman" w:hAnsi="Times New Roman" w:cs="Times New Roman"/>
          <w:sz w:val="26"/>
          <w:szCs w:val="26"/>
        </w:rPr>
        <w:t xml:space="preserve"> </w:t>
      </w:r>
      <w:r w:rsidRPr="00F95550">
        <w:rPr>
          <w:rFonts w:ascii="Times New Roman" w:hAnsi="Times New Roman" w:cs="Times New Roman"/>
          <w:sz w:val="26"/>
          <w:szCs w:val="26"/>
        </w:rPr>
        <w:t>No ienākumiem 141 581 EUR apmērā institūcija var novirzīt darbības nodrošināšanai 3</w:t>
      </w:r>
      <w:r>
        <w:rPr>
          <w:rFonts w:ascii="Times New Roman" w:hAnsi="Times New Roman" w:cs="Times New Roman"/>
          <w:sz w:val="26"/>
          <w:szCs w:val="26"/>
        </w:rPr>
        <w:t>5322</w:t>
      </w:r>
      <w:r w:rsidRPr="00F95550">
        <w:rPr>
          <w:rFonts w:ascii="Times New Roman" w:hAnsi="Times New Roman" w:cs="Times New Roman"/>
          <w:sz w:val="26"/>
          <w:szCs w:val="26"/>
        </w:rPr>
        <w:t xml:space="preserve"> EUR. </w:t>
      </w:r>
      <w:r>
        <w:rPr>
          <w:rFonts w:ascii="Times New Roman" w:hAnsi="Times New Roman" w:cs="Times New Roman"/>
          <w:sz w:val="26"/>
          <w:szCs w:val="26"/>
        </w:rPr>
        <w:t xml:space="preserve">Turpmākajiem gadiem ienākumi ir aplēsti, ņemot vērā, ka 2016. un 2017.gadā ir </w:t>
      </w:r>
      <w:r>
        <w:rPr>
          <w:rFonts w:ascii="Times New Roman" w:hAnsi="Times New Roman" w:cs="Times New Roman"/>
          <w:sz w:val="26"/>
          <w:szCs w:val="26"/>
        </w:rPr>
        <w:lastRenderedPageBreak/>
        <w:t>prognozējami 3 studiju virzienu a</w:t>
      </w:r>
      <w:r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 T.i., </w:t>
      </w:r>
      <w:r w:rsidRPr="00F95550">
        <w:rPr>
          <w:rFonts w:ascii="Times New Roman" w:hAnsi="Times New Roman" w:cs="Times New Roman"/>
          <w:sz w:val="26"/>
          <w:szCs w:val="26"/>
        </w:rPr>
        <w:t xml:space="preserve">2 nākamajos gados sakarā ar mazāku akreditācijas gadījumu skaitu, ieņēmumi samazināsies un institūcijas darbībai ir neizbēgams pārtraukums, darbinieku </w:t>
      </w:r>
      <w:r>
        <w:rPr>
          <w:rFonts w:ascii="Times New Roman" w:hAnsi="Times New Roman" w:cs="Times New Roman"/>
          <w:sz w:val="26"/>
          <w:szCs w:val="26"/>
        </w:rPr>
        <w:t>atlaišana un līdz šim veikto investīciju zaudēšana</w:t>
      </w:r>
      <w:r w:rsidRPr="00F95550">
        <w:rPr>
          <w:rFonts w:ascii="Times New Roman" w:hAnsi="Times New Roman" w:cs="Times New Roman"/>
          <w:sz w:val="26"/>
          <w:szCs w:val="26"/>
        </w:rPr>
        <w:t xml:space="preserve">. Šāda nestabilitāte ir fundamentāls apdraudējums visai augstākās izglītības ārējās kvalitātes nodrošināšanas sistēmas pastāvēšanai Latvijā. Lai būtu iespējama </w:t>
      </w:r>
      <w:r>
        <w:rPr>
          <w:rFonts w:ascii="Times New Roman" w:hAnsi="Times New Roman" w:cs="Times New Roman"/>
          <w:sz w:val="26"/>
          <w:szCs w:val="26"/>
        </w:rPr>
        <w:t>ilgtspējīga</w:t>
      </w:r>
      <w:r w:rsidRPr="00F95550">
        <w:rPr>
          <w:rFonts w:ascii="Times New Roman" w:hAnsi="Times New Roman" w:cs="Times New Roman"/>
          <w:sz w:val="26"/>
          <w:szCs w:val="26"/>
        </w:rPr>
        <w:t xml:space="preserve"> Latvijas augstākās izglītības kvalitātes nodrošināšanas institūcijas darbība, priekšnoteikums ir stabils finansējums, tādēļ 2015.g. prognozējamo izveidojušos deficītu </w:t>
      </w:r>
      <w:r w:rsidRPr="00F95550">
        <w:rPr>
          <w:rFonts w:ascii="Times New Roman" w:eastAsia="Times New Roman" w:hAnsi="Times New Roman" w:cs="Times New Roman"/>
          <w:color w:val="000000"/>
          <w:sz w:val="26"/>
          <w:szCs w:val="26"/>
          <w:lang w:eastAsia="lv-LV"/>
        </w:rPr>
        <w:t xml:space="preserve">257477 EUR apmērā ir jānosedz no valsts budžeta. Pretējā gadījumā ir jāveic grozījumi </w:t>
      </w:r>
      <w:r w:rsidRPr="00F95550">
        <w:rPr>
          <w:rFonts w:ascii="Times New Roman" w:hAnsi="Times New Roman" w:cs="Times New Roman"/>
          <w:sz w:val="26"/>
          <w:szCs w:val="26"/>
        </w:rPr>
        <w:t>MK 2013.gada 3.septembra noteikumos Nr. 721 “Izglītības un zinātnes ministrijas maksas pakalpojumu cenrādis”, paredzot samaksas par akreditāciju vai licencēšanu pa</w:t>
      </w:r>
      <w:r>
        <w:rPr>
          <w:rFonts w:ascii="Times New Roman" w:hAnsi="Times New Roman" w:cs="Times New Roman"/>
          <w:sz w:val="26"/>
          <w:szCs w:val="26"/>
        </w:rPr>
        <w:t>augstināšanu</w:t>
      </w:r>
      <w:r w:rsidRPr="00F95550">
        <w:rPr>
          <w:rFonts w:ascii="Times New Roman" w:hAnsi="Times New Roman" w:cs="Times New Roman"/>
          <w:sz w:val="26"/>
          <w:szCs w:val="26"/>
        </w:rPr>
        <w:t>.</w:t>
      </w:r>
    </w:p>
    <w:p w:rsidR="00532930" w:rsidRPr="008C65D8" w:rsidRDefault="00532930" w:rsidP="009055FB">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Turpmākajiem gadiem ienākumi ir aplēsti, ņemot vērā, ka 2016. un 2017.gadā ir prognozējami 3 studiju virzienu a</w:t>
      </w:r>
      <w:r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 </w:t>
      </w:r>
    </w:p>
    <w:p w:rsidR="004F0E3E" w:rsidRDefault="004F0E3E" w:rsidP="009055FB">
      <w:pPr>
        <w:pStyle w:val="ListParagraph"/>
        <w:spacing w:after="0" w:line="240" w:lineRule="auto"/>
        <w:ind w:left="0" w:firstLine="360"/>
        <w:contextualSpacing w:val="0"/>
        <w:jc w:val="both"/>
        <w:rPr>
          <w:rFonts w:ascii="Times New Roman" w:eastAsia="Times New Roman" w:hAnsi="Times New Roman"/>
          <w:b/>
          <w:color w:val="000000"/>
          <w:sz w:val="26"/>
          <w:szCs w:val="26"/>
        </w:rPr>
      </w:pPr>
    </w:p>
    <w:p w:rsidR="004F0E3E" w:rsidRPr="00DD4013" w:rsidRDefault="004F0E3E" w:rsidP="009055FB">
      <w:pPr>
        <w:pStyle w:val="ListParagraph"/>
        <w:spacing w:after="0" w:line="240" w:lineRule="auto"/>
        <w:ind w:left="1080"/>
        <w:jc w:val="right"/>
        <w:rPr>
          <w:rFonts w:ascii="Times New Roman" w:hAnsi="Times New Roman" w:cs="Times New Roman"/>
          <w:sz w:val="26"/>
          <w:szCs w:val="26"/>
          <w:highlight w:val="cyan"/>
        </w:rPr>
      </w:pPr>
      <w:r>
        <w:rPr>
          <w:rFonts w:ascii="Times New Roman" w:hAnsi="Times New Roman" w:cs="Times New Roman"/>
          <w:i/>
          <w:sz w:val="26"/>
          <w:szCs w:val="26"/>
        </w:rPr>
        <w:t>5.tabula</w:t>
      </w:r>
    </w:p>
    <w:p w:rsidR="00E46E92" w:rsidRDefault="00E46E92" w:rsidP="009055FB">
      <w:pPr>
        <w:pStyle w:val="ListParagraph"/>
        <w:spacing w:after="0" w:line="240" w:lineRule="auto"/>
        <w:ind w:left="0" w:firstLine="360"/>
        <w:contextualSpacing w:val="0"/>
        <w:jc w:val="both"/>
      </w:pPr>
    </w:p>
    <w:p w:rsidR="00ED088F" w:rsidRPr="003774A1" w:rsidRDefault="00ED088F" w:rsidP="009055FB">
      <w:pPr>
        <w:spacing w:after="0" w:line="240" w:lineRule="auto"/>
        <w:jc w:val="center"/>
        <w:rPr>
          <w:rFonts w:ascii="Times New Roman" w:hAnsi="Times New Roman" w:cs="Times New Roman"/>
          <w:b/>
          <w:i/>
          <w:sz w:val="26"/>
          <w:szCs w:val="26"/>
        </w:rPr>
      </w:pPr>
      <w:r w:rsidRPr="00F95550">
        <w:rPr>
          <w:rFonts w:ascii="Times New Roman" w:hAnsi="Times New Roman" w:cs="Times New Roman"/>
          <w:b/>
          <w:i/>
          <w:sz w:val="26"/>
          <w:szCs w:val="26"/>
        </w:rPr>
        <w:t>I</w:t>
      </w:r>
      <w:r w:rsidR="0089574A" w:rsidRPr="00F95550">
        <w:rPr>
          <w:rFonts w:ascii="Times New Roman" w:hAnsi="Times New Roman" w:cs="Times New Roman"/>
          <w:b/>
          <w:i/>
          <w:sz w:val="26"/>
          <w:szCs w:val="26"/>
        </w:rPr>
        <w:t>ndikatīvi</w:t>
      </w:r>
      <w:r w:rsidRPr="00F95550">
        <w:rPr>
          <w:rFonts w:ascii="Times New Roman" w:hAnsi="Times New Roman" w:cs="Times New Roman"/>
          <w:b/>
          <w:i/>
          <w:sz w:val="26"/>
          <w:szCs w:val="26"/>
        </w:rPr>
        <w:t xml:space="preserve"> Latvijas augstākās izglītības kvalitātes nodrošināšanas institūcijas</w:t>
      </w:r>
      <w:r w:rsidRPr="003774A1">
        <w:rPr>
          <w:rFonts w:ascii="Times New Roman" w:hAnsi="Times New Roman" w:cs="Times New Roman"/>
          <w:b/>
          <w:i/>
          <w:sz w:val="26"/>
          <w:szCs w:val="26"/>
        </w:rPr>
        <w:t xml:space="preserve"> </w:t>
      </w:r>
      <w:r>
        <w:rPr>
          <w:rFonts w:ascii="Times New Roman" w:hAnsi="Times New Roman" w:cs="Times New Roman"/>
          <w:b/>
          <w:i/>
          <w:sz w:val="26"/>
          <w:szCs w:val="26"/>
        </w:rPr>
        <w:t xml:space="preserve">ieņēmumi </w:t>
      </w:r>
      <w:r w:rsidR="0089574A">
        <w:rPr>
          <w:rFonts w:ascii="Times New Roman" w:hAnsi="Times New Roman" w:cs="Times New Roman"/>
          <w:b/>
          <w:i/>
          <w:sz w:val="26"/>
          <w:szCs w:val="26"/>
        </w:rPr>
        <w:t xml:space="preserve">un izdevumi ekspertu darba atalgošanai </w:t>
      </w:r>
      <w:r>
        <w:rPr>
          <w:rFonts w:ascii="Times New Roman" w:hAnsi="Times New Roman" w:cs="Times New Roman"/>
          <w:b/>
          <w:i/>
          <w:sz w:val="26"/>
          <w:szCs w:val="26"/>
        </w:rPr>
        <w:t>no maksas pakalpojumiem</w:t>
      </w:r>
    </w:p>
    <w:p w:rsidR="00ED088F" w:rsidRDefault="00ED088F" w:rsidP="009055FB">
      <w:pPr>
        <w:pStyle w:val="ListParagraph"/>
        <w:spacing w:after="0" w:line="240" w:lineRule="auto"/>
        <w:ind w:left="0" w:firstLine="360"/>
        <w:contextualSpacing w:val="0"/>
        <w:jc w:val="both"/>
      </w:pPr>
    </w:p>
    <w:tbl>
      <w:tblPr>
        <w:tblStyle w:val="TableGrid"/>
        <w:tblW w:w="0" w:type="auto"/>
        <w:tblLook w:val="04A0" w:firstRow="1" w:lastRow="0" w:firstColumn="1" w:lastColumn="0" w:noHBand="0" w:noVBand="1"/>
      </w:tblPr>
      <w:tblGrid>
        <w:gridCol w:w="5070"/>
        <w:gridCol w:w="1323"/>
        <w:gridCol w:w="1323"/>
        <w:gridCol w:w="1323"/>
      </w:tblGrid>
      <w:tr w:rsidR="00A16717" w:rsidTr="00F95550">
        <w:tc>
          <w:tcPr>
            <w:tcW w:w="5070" w:type="dxa"/>
          </w:tcPr>
          <w:p w:rsidR="00E77E8B" w:rsidRPr="00F95550" w:rsidRDefault="00E77E8B" w:rsidP="009055FB">
            <w:pPr>
              <w:rPr>
                <w:rFonts w:ascii="Times New Roman" w:hAnsi="Times New Roman"/>
                <w:sz w:val="26"/>
                <w:szCs w:val="26"/>
              </w:rPr>
            </w:pP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2015.</w:t>
            </w:r>
            <w:r w:rsidR="001372D6">
              <w:rPr>
                <w:rFonts w:ascii="Times New Roman" w:hAnsi="Times New Roman"/>
                <w:sz w:val="26"/>
                <w:szCs w:val="26"/>
              </w:rPr>
              <w:t>g.</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2016.</w:t>
            </w:r>
            <w:r w:rsidR="001372D6">
              <w:rPr>
                <w:rFonts w:ascii="Times New Roman" w:hAnsi="Times New Roman"/>
                <w:sz w:val="26"/>
                <w:szCs w:val="26"/>
              </w:rPr>
              <w:t>g.</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2017.</w:t>
            </w:r>
            <w:r w:rsidR="001372D6">
              <w:rPr>
                <w:rFonts w:ascii="Times New Roman" w:hAnsi="Times New Roman"/>
                <w:sz w:val="26"/>
                <w:szCs w:val="26"/>
              </w:rPr>
              <w:t>g.</w:t>
            </w:r>
          </w:p>
        </w:tc>
      </w:tr>
      <w:tr w:rsidR="00A16717"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Studiju programmu licencēšanas gadījumu skaits</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20</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15</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15</w:t>
            </w:r>
          </w:p>
        </w:tc>
      </w:tr>
      <w:tr w:rsidR="00A16717" w:rsidRPr="005A0712"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 xml:space="preserve">Vienas studiju programmas licencēšanas cena (EUR) </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725</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725</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725</w:t>
            </w:r>
          </w:p>
        </w:tc>
      </w:tr>
      <w:tr w:rsidR="00A16717" w:rsidRPr="00F95550" w:rsidTr="00F95550">
        <w:tc>
          <w:tcPr>
            <w:tcW w:w="5070" w:type="dxa"/>
          </w:tcPr>
          <w:p w:rsidR="00E77E8B" w:rsidRPr="00F95550" w:rsidRDefault="00081D6C" w:rsidP="009055FB">
            <w:pPr>
              <w:rPr>
                <w:rFonts w:ascii="Times New Roman" w:hAnsi="Times New Roman"/>
                <w:b/>
                <w:sz w:val="26"/>
                <w:szCs w:val="26"/>
              </w:rPr>
            </w:pPr>
            <w:r w:rsidRPr="00F95550">
              <w:rPr>
                <w:rFonts w:ascii="Times New Roman" w:hAnsi="Times New Roman"/>
                <w:b/>
                <w:sz w:val="26"/>
                <w:szCs w:val="26"/>
              </w:rPr>
              <w:t>Ieņēmumi no samaksas par studiju programmu licencēšanu (EUR)</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145</w:t>
            </w:r>
            <w:r w:rsidR="0091512E">
              <w:rPr>
                <w:rFonts w:ascii="Times New Roman" w:hAnsi="Times New Roman"/>
                <w:b/>
                <w:sz w:val="26"/>
                <w:szCs w:val="26"/>
              </w:rPr>
              <w:t>00</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108</w:t>
            </w:r>
            <w:r w:rsidR="0091512E">
              <w:rPr>
                <w:rFonts w:ascii="Times New Roman" w:hAnsi="Times New Roman"/>
                <w:b/>
                <w:sz w:val="26"/>
                <w:szCs w:val="26"/>
              </w:rPr>
              <w:t>75</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108</w:t>
            </w:r>
            <w:r w:rsidR="0091512E">
              <w:rPr>
                <w:rFonts w:ascii="Times New Roman" w:hAnsi="Times New Roman"/>
                <w:b/>
                <w:sz w:val="26"/>
                <w:szCs w:val="26"/>
              </w:rPr>
              <w:t>75</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Samaksa ekspertiem par 1 izvērtējumu studiju programmas licencēšanai (EUR)</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562</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562</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562</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Kopējā samaksa ekspertiem par studiju programmu licencēšanu (EUR)</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112</w:t>
            </w:r>
            <w:r w:rsidR="0091512E">
              <w:rPr>
                <w:rFonts w:ascii="Times New Roman" w:hAnsi="Times New Roman"/>
                <w:sz w:val="26"/>
                <w:szCs w:val="26"/>
              </w:rPr>
              <w:t>40</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84</w:t>
            </w:r>
            <w:r w:rsidR="0091512E">
              <w:rPr>
                <w:rFonts w:ascii="Times New Roman" w:hAnsi="Times New Roman"/>
                <w:sz w:val="26"/>
                <w:szCs w:val="26"/>
              </w:rPr>
              <w:t>30</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84</w:t>
            </w:r>
            <w:r w:rsidR="0091512E">
              <w:rPr>
                <w:rFonts w:ascii="Times New Roman" w:hAnsi="Times New Roman"/>
                <w:sz w:val="26"/>
                <w:szCs w:val="26"/>
              </w:rPr>
              <w:t>30</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Studiju virzienu ar 1 studiju programmu akreditācijas gadījumu skaits</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28</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3</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10</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Viena studiju virziena ar vienu studiju programmu akreditācijas cena (EUR)</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4123</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4123</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4123</w:t>
            </w:r>
          </w:p>
        </w:tc>
      </w:tr>
      <w:tr w:rsidR="00A16717" w:rsidRPr="00F95550" w:rsidTr="00F95550">
        <w:tc>
          <w:tcPr>
            <w:tcW w:w="5070" w:type="dxa"/>
          </w:tcPr>
          <w:p w:rsidR="00E77E8B" w:rsidRPr="00F95550" w:rsidRDefault="00081D6C" w:rsidP="009055FB">
            <w:pPr>
              <w:rPr>
                <w:rFonts w:ascii="Times New Roman" w:hAnsi="Times New Roman"/>
                <w:b/>
                <w:sz w:val="26"/>
                <w:szCs w:val="26"/>
              </w:rPr>
            </w:pPr>
            <w:r w:rsidRPr="00F95550">
              <w:rPr>
                <w:rFonts w:ascii="Times New Roman" w:hAnsi="Times New Roman"/>
                <w:b/>
                <w:sz w:val="26"/>
                <w:szCs w:val="26"/>
              </w:rPr>
              <w:t>Ieņēmumi no studiju virzienu akreditācijas (EUR)</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1154</w:t>
            </w:r>
            <w:r w:rsidR="0091512E">
              <w:rPr>
                <w:rFonts w:ascii="Times New Roman" w:hAnsi="Times New Roman"/>
                <w:b/>
                <w:sz w:val="26"/>
                <w:szCs w:val="26"/>
              </w:rPr>
              <w:t>44</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123</w:t>
            </w:r>
            <w:r w:rsidR="0091512E">
              <w:rPr>
                <w:rFonts w:ascii="Times New Roman" w:hAnsi="Times New Roman"/>
                <w:b/>
                <w:sz w:val="26"/>
                <w:szCs w:val="26"/>
              </w:rPr>
              <w:t>69</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4123</w:t>
            </w:r>
            <w:r w:rsidR="0091512E">
              <w:rPr>
                <w:rFonts w:ascii="Times New Roman" w:hAnsi="Times New Roman"/>
                <w:b/>
                <w:sz w:val="26"/>
                <w:szCs w:val="26"/>
              </w:rPr>
              <w:t>0</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Samaksa ekspertiem par 1 izvērtējumu studiju virziena akreditācijai (EUR)</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3071</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3071</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3071</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Kopējā samaksa ekspertiem par studiju programmu akreditāciju (EUR)</w:t>
            </w:r>
          </w:p>
        </w:tc>
        <w:tc>
          <w:tcPr>
            <w:tcW w:w="1323" w:type="dxa"/>
          </w:tcPr>
          <w:p w:rsidR="00E77E8B" w:rsidRPr="00F95550" w:rsidRDefault="0091512E" w:rsidP="009055FB">
            <w:pPr>
              <w:rPr>
                <w:rFonts w:ascii="Times New Roman" w:hAnsi="Times New Roman"/>
                <w:sz w:val="26"/>
                <w:szCs w:val="26"/>
              </w:rPr>
            </w:pPr>
            <w:r>
              <w:rPr>
                <w:rFonts w:ascii="Times New Roman" w:hAnsi="Times New Roman"/>
                <w:sz w:val="26"/>
                <w:szCs w:val="26"/>
              </w:rPr>
              <w:t>85988</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92</w:t>
            </w:r>
            <w:r w:rsidR="0091512E">
              <w:rPr>
                <w:rFonts w:ascii="Times New Roman" w:hAnsi="Times New Roman"/>
                <w:sz w:val="26"/>
                <w:szCs w:val="26"/>
              </w:rPr>
              <w:t>13</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3071</w:t>
            </w:r>
            <w:r w:rsidR="0091512E">
              <w:rPr>
                <w:rFonts w:ascii="Times New Roman" w:hAnsi="Times New Roman"/>
                <w:sz w:val="26"/>
                <w:szCs w:val="26"/>
              </w:rPr>
              <w:t>0</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Augstākās izglītības iestāžu akreditācijas gadījumu skaits</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2</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0</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0</w:t>
            </w:r>
          </w:p>
        </w:tc>
      </w:tr>
      <w:tr w:rsidR="00A16717" w:rsidRPr="00166983"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Vienas augstākās izglītības iestādes akreditācijas cena (EUR)</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5805</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5805</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5805</w:t>
            </w:r>
          </w:p>
        </w:tc>
      </w:tr>
      <w:tr w:rsidR="00A16717" w:rsidRPr="00F95550" w:rsidTr="00F95550">
        <w:tc>
          <w:tcPr>
            <w:tcW w:w="5070" w:type="dxa"/>
          </w:tcPr>
          <w:p w:rsidR="00E77E8B" w:rsidRPr="00F95550" w:rsidRDefault="00081D6C" w:rsidP="009055FB">
            <w:pPr>
              <w:rPr>
                <w:rFonts w:ascii="Times New Roman" w:hAnsi="Times New Roman"/>
                <w:b/>
                <w:sz w:val="26"/>
                <w:szCs w:val="26"/>
              </w:rPr>
            </w:pPr>
            <w:r w:rsidRPr="00F95550">
              <w:rPr>
                <w:rFonts w:ascii="Times New Roman" w:hAnsi="Times New Roman"/>
                <w:b/>
                <w:sz w:val="26"/>
                <w:szCs w:val="26"/>
              </w:rPr>
              <w:t>Ieņēmumi no augstākās izglītības iestāžu akreditācijas (EUR)</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11610</w:t>
            </w:r>
          </w:p>
        </w:tc>
        <w:tc>
          <w:tcPr>
            <w:tcW w:w="1323" w:type="dxa"/>
          </w:tcPr>
          <w:p w:rsidR="00E77E8B" w:rsidRPr="00F95550" w:rsidRDefault="00081D6C" w:rsidP="009055FB">
            <w:pPr>
              <w:rPr>
                <w:rFonts w:ascii="Times New Roman" w:hAnsi="Times New Roman"/>
                <w:b/>
                <w:sz w:val="26"/>
                <w:szCs w:val="26"/>
              </w:rPr>
            </w:pPr>
            <w:r w:rsidRPr="00F95550">
              <w:rPr>
                <w:rFonts w:ascii="Times New Roman" w:hAnsi="Times New Roman"/>
                <w:b/>
                <w:sz w:val="26"/>
                <w:szCs w:val="26"/>
              </w:rPr>
              <w:t>0</w:t>
            </w:r>
          </w:p>
        </w:tc>
        <w:tc>
          <w:tcPr>
            <w:tcW w:w="1323" w:type="dxa"/>
          </w:tcPr>
          <w:p w:rsidR="00E77E8B" w:rsidRPr="00F95550" w:rsidRDefault="00081D6C" w:rsidP="009055FB">
            <w:pPr>
              <w:rPr>
                <w:rFonts w:ascii="Times New Roman" w:hAnsi="Times New Roman"/>
                <w:b/>
                <w:sz w:val="26"/>
                <w:szCs w:val="26"/>
              </w:rPr>
            </w:pPr>
            <w:r w:rsidRPr="00F95550">
              <w:rPr>
                <w:rFonts w:ascii="Times New Roman" w:hAnsi="Times New Roman"/>
                <w:b/>
                <w:sz w:val="26"/>
                <w:szCs w:val="26"/>
              </w:rPr>
              <w:t>0</w:t>
            </w:r>
          </w:p>
        </w:tc>
      </w:tr>
      <w:tr w:rsidR="00A16717"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lastRenderedPageBreak/>
              <w:t>Samaksa ekspertiem par vienas augstākās izglītības iestādes akreditāciju (EUR)</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4502</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0</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0</w:t>
            </w:r>
          </w:p>
        </w:tc>
      </w:tr>
      <w:tr w:rsidR="00A16717" w:rsidTr="00F95550">
        <w:tc>
          <w:tcPr>
            <w:tcW w:w="5070"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Kopējā samaksa ekspertiem par augstākās izglītības iestāžu akreditāciju akreditāciju (EUR)</w:t>
            </w:r>
          </w:p>
        </w:tc>
        <w:tc>
          <w:tcPr>
            <w:tcW w:w="1323" w:type="dxa"/>
          </w:tcPr>
          <w:p w:rsidR="00E77E8B" w:rsidRPr="00F95550" w:rsidRDefault="004F0E3E" w:rsidP="009055FB">
            <w:pPr>
              <w:rPr>
                <w:rFonts w:ascii="Times New Roman" w:hAnsi="Times New Roman"/>
                <w:sz w:val="26"/>
                <w:szCs w:val="26"/>
              </w:rPr>
            </w:pPr>
            <w:r w:rsidRPr="00F95550">
              <w:rPr>
                <w:rFonts w:ascii="Times New Roman" w:hAnsi="Times New Roman"/>
                <w:sz w:val="26"/>
                <w:szCs w:val="26"/>
              </w:rPr>
              <w:t>9004</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0</w:t>
            </w:r>
          </w:p>
        </w:tc>
        <w:tc>
          <w:tcPr>
            <w:tcW w:w="1323" w:type="dxa"/>
          </w:tcPr>
          <w:p w:rsidR="00E77E8B" w:rsidRPr="00F95550" w:rsidRDefault="00081D6C" w:rsidP="009055FB">
            <w:pPr>
              <w:rPr>
                <w:rFonts w:ascii="Times New Roman" w:hAnsi="Times New Roman"/>
                <w:sz w:val="26"/>
                <w:szCs w:val="26"/>
              </w:rPr>
            </w:pPr>
            <w:r w:rsidRPr="00F95550">
              <w:rPr>
                <w:rFonts w:ascii="Times New Roman" w:hAnsi="Times New Roman"/>
                <w:sz w:val="26"/>
                <w:szCs w:val="26"/>
              </w:rPr>
              <w:t>0</w:t>
            </w:r>
          </w:p>
        </w:tc>
      </w:tr>
      <w:tr w:rsidR="00A16717" w:rsidRPr="002209DD" w:rsidTr="00F95550">
        <w:tc>
          <w:tcPr>
            <w:tcW w:w="5070" w:type="dxa"/>
          </w:tcPr>
          <w:p w:rsidR="00E77E8B" w:rsidRPr="00F95550" w:rsidRDefault="00081D6C" w:rsidP="009055FB">
            <w:pPr>
              <w:jc w:val="right"/>
              <w:rPr>
                <w:rFonts w:ascii="Times New Roman" w:hAnsi="Times New Roman"/>
                <w:b/>
                <w:sz w:val="26"/>
                <w:szCs w:val="26"/>
              </w:rPr>
            </w:pPr>
            <w:r w:rsidRPr="00F95550">
              <w:rPr>
                <w:rFonts w:ascii="Times New Roman" w:hAnsi="Times New Roman"/>
                <w:b/>
                <w:sz w:val="26"/>
                <w:szCs w:val="26"/>
              </w:rPr>
              <w:t>Kopējie ieņēmumi (EUR)</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1415</w:t>
            </w:r>
            <w:r w:rsidR="0091512E">
              <w:rPr>
                <w:rFonts w:ascii="Times New Roman" w:hAnsi="Times New Roman"/>
                <w:b/>
                <w:sz w:val="26"/>
                <w:szCs w:val="26"/>
              </w:rPr>
              <w:t>54</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232</w:t>
            </w:r>
            <w:r w:rsidR="0091512E">
              <w:rPr>
                <w:rFonts w:ascii="Times New Roman" w:hAnsi="Times New Roman"/>
                <w:b/>
                <w:sz w:val="26"/>
                <w:szCs w:val="26"/>
              </w:rPr>
              <w:t>44</w:t>
            </w:r>
          </w:p>
        </w:tc>
        <w:tc>
          <w:tcPr>
            <w:tcW w:w="1323" w:type="dxa"/>
          </w:tcPr>
          <w:p w:rsidR="00E77E8B" w:rsidRPr="00F95550" w:rsidRDefault="00081D6C" w:rsidP="009055FB">
            <w:pPr>
              <w:rPr>
                <w:rFonts w:ascii="Times New Roman" w:hAnsi="Times New Roman"/>
                <w:b/>
                <w:sz w:val="26"/>
                <w:szCs w:val="26"/>
              </w:rPr>
            </w:pPr>
            <w:r>
              <w:rPr>
                <w:rFonts w:ascii="Times New Roman" w:hAnsi="Times New Roman"/>
                <w:b/>
                <w:sz w:val="26"/>
                <w:szCs w:val="26"/>
              </w:rPr>
              <w:t>521</w:t>
            </w:r>
            <w:r w:rsidR="0091512E">
              <w:rPr>
                <w:rFonts w:ascii="Times New Roman" w:hAnsi="Times New Roman"/>
                <w:b/>
                <w:sz w:val="26"/>
                <w:szCs w:val="26"/>
              </w:rPr>
              <w:t>05</w:t>
            </w:r>
          </w:p>
        </w:tc>
      </w:tr>
      <w:tr w:rsidR="00A16717" w:rsidRPr="002209DD" w:rsidTr="00F95550">
        <w:tc>
          <w:tcPr>
            <w:tcW w:w="5070" w:type="dxa"/>
          </w:tcPr>
          <w:p w:rsidR="00E77E8B" w:rsidRPr="00F95550" w:rsidRDefault="00081D6C" w:rsidP="009055FB">
            <w:pPr>
              <w:jc w:val="right"/>
              <w:rPr>
                <w:rFonts w:ascii="Times New Roman" w:hAnsi="Times New Roman"/>
                <w:b/>
                <w:sz w:val="26"/>
                <w:szCs w:val="26"/>
              </w:rPr>
            </w:pPr>
            <w:r w:rsidRPr="00F95550">
              <w:rPr>
                <w:rFonts w:ascii="Times New Roman" w:hAnsi="Times New Roman"/>
                <w:b/>
                <w:sz w:val="26"/>
                <w:szCs w:val="26"/>
              </w:rPr>
              <w:t>Kopējie izdevumi samaksai ekspertiem (EUR)</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1062</w:t>
            </w:r>
            <w:r w:rsidR="0091512E">
              <w:rPr>
                <w:rFonts w:ascii="Times New Roman" w:hAnsi="Times New Roman"/>
                <w:b/>
                <w:sz w:val="26"/>
                <w:szCs w:val="26"/>
              </w:rPr>
              <w:t>3</w:t>
            </w:r>
            <w:r w:rsidRPr="00F95550">
              <w:rPr>
                <w:rFonts w:ascii="Times New Roman" w:hAnsi="Times New Roman"/>
                <w:b/>
                <w:sz w:val="26"/>
                <w:szCs w:val="26"/>
              </w:rPr>
              <w:t>2</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176</w:t>
            </w:r>
            <w:r w:rsidR="0091512E">
              <w:rPr>
                <w:rFonts w:ascii="Times New Roman" w:hAnsi="Times New Roman"/>
                <w:b/>
                <w:sz w:val="26"/>
                <w:szCs w:val="26"/>
              </w:rPr>
              <w:t>43</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391</w:t>
            </w:r>
            <w:r w:rsidR="0091512E">
              <w:rPr>
                <w:rFonts w:ascii="Times New Roman" w:hAnsi="Times New Roman"/>
                <w:b/>
                <w:sz w:val="26"/>
                <w:szCs w:val="26"/>
              </w:rPr>
              <w:t>4</w:t>
            </w:r>
            <w:r w:rsidRPr="00F95550">
              <w:rPr>
                <w:rFonts w:ascii="Times New Roman" w:hAnsi="Times New Roman"/>
                <w:b/>
                <w:sz w:val="26"/>
                <w:szCs w:val="26"/>
              </w:rPr>
              <w:t>0</w:t>
            </w:r>
          </w:p>
        </w:tc>
      </w:tr>
      <w:tr w:rsidR="00A16717" w:rsidRPr="002209DD" w:rsidTr="00F95550">
        <w:tc>
          <w:tcPr>
            <w:tcW w:w="5070" w:type="dxa"/>
          </w:tcPr>
          <w:p w:rsidR="00E77E8B" w:rsidRPr="00F95550" w:rsidRDefault="00081D6C" w:rsidP="009055FB">
            <w:pPr>
              <w:jc w:val="right"/>
              <w:rPr>
                <w:rFonts w:ascii="Times New Roman" w:hAnsi="Times New Roman"/>
                <w:b/>
                <w:sz w:val="26"/>
                <w:szCs w:val="26"/>
              </w:rPr>
            </w:pPr>
            <w:r w:rsidRPr="00F95550">
              <w:rPr>
                <w:rFonts w:ascii="Times New Roman" w:hAnsi="Times New Roman"/>
                <w:b/>
                <w:sz w:val="26"/>
                <w:szCs w:val="26"/>
              </w:rPr>
              <w:t>Atlikums administratīvo izdevumu segšanai (EUR)</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353</w:t>
            </w:r>
            <w:r w:rsidR="0091512E">
              <w:rPr>
                <w:rFonts w:ascii="Times New Roman" w:hAnsi="Times New Roman"/>
                <w:b/>
                <w:sz w:val="26"/>
                <w:szCs w:val="26"/>
              </w:rPr>
              <w:t>22</w:t>
            </w:r>
          </w:p>
        </w:tc>
        <w:tc>
          <w:tcPr>
            <w:tcW w:w="1323" w:type="dxa"/>
          </w:tcPr>
          <w:p w:rsidR="00E77E8B" w:rsidRPr="00F95550" w:rsidRDefault="004F0E3E" w:rsidP="009055FB">
            <w:pPr>
              <w:rPr>
                <w:rFonts w:ascii="Times New Roman" w:hAnsi="Times New Roman"/>
                <w:b/>
                <w:sz w:val="26"/>
                <w:szCs w:val="26"/>
              </w:rPr>
            </w:pPr>
            <w:r w:rsidRPr="00F95550">
              <w:rPr>
                <w:rFonts w:ascii="Times New Roman" w:hAnsi="Times New Roman"/>
                <w:b/>
                <w:sz w:val="26"/>
                <w:szCs w:val="26"/>
              </w:rPr>
              <w:t>5</w:t>
            </w:r>
            <w:r w:rsidR="0091512E">
              <w:rPr>
                <w:rFonts w:ascii="Times New Roman" w:hAnsi="Times New Roman"/>
                <w:b/>
                <w:sz w:val="26"/>
                <w:szCs w:val="26"/>
              </w:rPr>
              <w:t>601</w:t>
            </w:r>
          </w:p>
        </w:tc>
        <w:tc>
          <w:tcPr>
            <w:tcW w:w="1323" w:type="dxa"/>
          </w:tcPr>
          <w:p w:rsidR="00E77E8B" w:rsidRPr="00F95550" w:rsidRDefault="004F0E3E" w:rsidP="009055FB">
            <w:pPr>
              <w:rPr>
                <w:rFonts w:ascii="Times New Roman" w:hAnsi="Times New Roman"/>
                <w:b/>
                <w:sz w:val="26"/>
                <w:szCs w:val="26"/>
              </w:rPr>
            </w:pPr>
            <w:r>
              <w:rPr>
                <w:rFonts w:ascii="Times New Roman" w:hAnsi="Times New Roman"/>
                <w:b/>
                <w:sz w:val="26"/>
                <w:szCs w:val="26"/>
              </w:rPr>
              <w:t>129</w:t>
            </w:r>
            <w:r w:rsidR="0091512E">
              <w:rPr>
                <w:rFonts w:ascii="Times New Roman" w:hAnsi="Times New Roman"/>
                <w:b/>
                <w:sz w:val="26"/>
                <w:szCs w:val="26"/>
              </w:rPr>
              <w:t>65</w:t>
            </w:r>
          </w:p>
        </w:tc>
      </w:tr>
    </w:tbl>
    <w:p w:rsidR="00E77E8B" w:rsidRDefault="00E77E8B" w:rsidP="009055FB">
      <w:pPr>
        <w:pStyle w:val="ListParagraph"/>
        <w:spacing w:after="0" w:line="240" w:lineRule="auto"/>
        <w:ind w:left="0" w:firstLine="360"/>
        <w:contextualSpacing w:val="0"/>
        <w:jc w:val="both"/>
      </w:pPr>
    </w:p>
    <w:p w:rsidR="00EF1B84" w:rsidRPr="003224D9" w:rsidRDefault="00EF1B84" w:rsidP="009055FB">
      <w:pPr>
        <w:pStyle w:val="ListParagraph"/>
        <w:spacing w:after="0" w:line="240" w:lineRule="auto"/>
        <w:ind w:left="0" w:firstLine="720"/>
        <w:jc w:val="both"/>
        <w:rPr>
          <w:rFonts w:ascii="Times New Roman" w:hAnsi="Times New Roman" w:cs="Times New Roman"/>
          <w:b/>
          <w:sz w:val="26"/>
          <w:szCs w:val="26"/>
        </w:rPr>
      </w:pPr>
      <w:r>
        <w:rPr>
          <w:rFonts w:ascii="Times New Roman" w:hAnsi="Times New Roman" w:cs="Times New Roman"/>
          <w:sz w:val="26"/>
          <w:szCs w:val="26"/>
        </w:rPr>
        <w:t>Ņemot vērā, ka ieņēmumi no maksas pakalpojumu sniegšanas nav pietiekami, ir jāparedz pastāvīgs finansējums no valsts budžeta</w:t>
      </w:r>
      <w:r w:rsidR="003224D9">
        <w:rPr>
          <w:rFonts w:ascii="Times New Roman" w:hAnsi="Times New Roman" w:cs="Times New Roman"/>
          <w:sz w:val="26"/>
          <w:szCs w:val="26"/>
        </w:rPr>
        <w:t xml:space="preserve"> (skat.2.pielikumu “</w:t>
      </w:r>
      <w:r w:rsidR="003224D9" w:rsidRPr="003224D9">
        <w:rPr>
          <w:rFonts w:ascii="Times New Roman" w:hAnsi="Times New Roman" w:cs="Times New Roman"/>
          <w:sz w:val="26"/>
          <w:szCs w:val="26"/>
        </w:rPr>
        <w:t>Politikas plānošanas dokumenta ietekme uz valsts budžeta dotāciju Izglītības un zinātnes ministrijā</w:t>
      </w:r>
      <w:r w:rsidR="003224D9">
        <w:rPr>
          <w:rFonts w:ascii="Times New Roman" w:hAnsi="Times New Roman" w:cs="Times New Roman"/>
          <w:sz w:val="26"/>
          <w:szCs w:val="26"/>
        </w:rPr>
        <w:t xml:space="preserve"> jebkuram no koncepcijā piedāvātajiem akreditācijas aģentūras variantiem”)</w:t>
      </w:r>
      <w:r w:rsidRPr="003224D9">
        <w:rPr>
          <w:rFonts w:ascii="Times New Roman" w:hAnsi="Times New Roman" w:cs="Times New Roman"/>
          <w:sz w:val="26"/>
          <w:szCs w:val="26"/>
        </w:rPr>
        <w:t>, tādejādi nodrošinot institūcijas darbības ilgtspēju (skat.6.tabulu).</w:t>
      </w:r>
      <w:r w:rsidR="003224D9" w:rsidRPr="003224D9">
        <w:rPr>
          <w:rFonts w:ascii="Times New Roman" w:hAnsi="Times New Roman" w:cs="Times New Roman"/>
          <w:sz w:val="26"/>
          <w:szCs w:val="26"/>
        </w:rPr>
        <w:t xml:space="preserve"> </w:t>
      </w:r>
    </w:p>
    <w:p w:rsidR="00E77E8B" w:rsidRDefault="00E77E8B" w:rsidP="009055FB">
      <w:pPr>
        <w:pStyle w:val="ListParagraph"/>
        <w:spacing w:after="0" w:line="240" w:lineRule="auto"/>
        <w:ind w:left="0" w:firstLine="360"/>
        <w:contextualSpacing w:val="0"/>
        <w:jc w:val="both"/>
      </w:pPr>
    </w:p>
    <w:p w:rsidR="004F0E3E" w:rsidRPr="00DD4013" w:rsidRDefault="004F0E3E" w:rsidP="009055FB">
      <w:pPr>
        <w:pStyle w:val="ListParagraph"/>
        <w:spacing w:after="0" w:line="240" w:lineRule="auto"/>
        <w:ind w:left="1080"/>
        <w:jc w:val="right"/>
        <w:rPr>
          <w:rFonts w:ascii="Times New Roman" w:hAnsi="Times New Roman" w:cs="Times New Roman"/>
          <w:sz w:val="26"/>
          <w:szCs w:val="26"/>
          <w:highlight w:val="cyan"/>
        </w:rPr>
      </w:pPr>
      <w:r>
        <w:rPr>
          <w:rFonts w:ascii="Times New Roman" w:hAnsi="Times New Roman" w:cs="Times New Roman"/>
          <w:i/>
          <w:sz w:val="26"/>
          <w:szCs w:val="26"/>
        </w:rPr>
        <w:t>6.tabula</w:t>
      </w:r>
    </w:p>
    <w:p w:rsidR="004F0E3E" w:rsidRDefault="004F0E3E" w:rsidP="009055FB">
      <w:pPr>
        <w:spacing w:after="0" w:line="240" w:lineRule="auto"/>
        <w:jc w:val="center"/>
        <w:rPr>
          <w:rFonts w:ascii="Times New Roman" w:hAnsi="Times New Roman" w:cs="Times New Roman"/>
          <w:b/>
          <w:i/>
          <w:sz w:val="26"/>
          <w:szCs w:val="26"/>
        </w:rPr>
      </w:pPr>
    </w:p>
    <w:p w:rsidR="0086698D" w:rsidRDefault="003774A1" w:rsidP="009055FB">
      <w:pPr>
        <w:spacing w:after="0" w:line="240" w:lineRule="auto"/>
        <w:jc w:val="center"/>
        <w:rPr>
          <w:rFonts w:ascii="Times New Roman" w:hAnsi="Times New Roman" w:cs="Times New Roman"/>
          <w:b/>
          <w:i/>
          <w:sz w:val="26"/>
          <w:szCs w:val="26"/>
        </w:rPr>
      </w:pPr>
      <w:r w:rsidRPr="003774A1">
        <w:rPr>
          <w:rFonts w:ascii="Times New Roman" w:hAnsi="Times New Roman" w:cs="Times New Roman"/>
          <w:b/>
          <w:i/>
          <w:sz w:val="26"/>
          <w:szCs w:val="26"/>
        </w:rPr>
        <w:t xml:space="preserve">Indikatīvi Latvijas augstākās izglītības kvalitātes nodrošināšanas institūcijas </w:t>
      </w:r>
      <w:r w:rsidR="0086698D" w:rsidRPr="003774A1">
        <w:rPr>
          <w:rFonts w:ascii="Times New Roman" w:hAnsi="Times New Roman" w:cs="Times New Roman"/>
          <w:b/>
          <w:i/>
          <w:sz w:val="26"/>
          <w:szCs w:val="26"/>
        </w:rPr>
        <w:t xml:space="preserve">ieņēmumi </w:t>
      </w:r>
    </w:p>
    <w:p w:rsidR="003774A1" w:rsidRPr="003774A1" w:rsidRDefault="003774A1" w:rsidP="009055FB">
      <w:pPr>
        <w:spacing w:after="0" w:line="240" w:lineRule="auto"/>
        <w:jc w:val="center"/>
        <w:rPr>
          <w:i/>
        </w:rPr>
      </w:pPr>
    </w:p>
    <w:tbl>
      <w:tblPr>
        <w:tblW w:w="9204" w:type="dxa"/>
        <w:tblInd w:w="55" w:type="dxa"/>
        <w:tblLook w:val="04A0" w:firstRow="1" w:lastRow="0" w:firstColumn="1" w:lastColumn="0" w:noHBand="0" w:noVBand="1"/>
      </w:tblPr>
      <w:tblGrid>
        <w:gridCol w:w="5015"/>
        <w:gridCol w:w="1417"/>
        <w:gridCol w:w="1386"/>
        <w:gridCol w:w="1386"/>
      </w:tblGrid>
      <w:tr w:rsidR="00A16717" w:rsidRPr="00B211EB" w:rsidTr="00F95550">
        <w:trPr>
          <w:trHeight w:val="747"/>
        </w:trPr>
        <w:tc>
          <w:tcPr>
            <w:tcW w:w="5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17" w:rsidRPr="00B211EB" w:rsidRDefault="00A16717" w:rsidP="009055FB">
            <w:pPr>
              <w:spacing w:after="0" w:line="240" w:lineRule="auto"/>
              <w:rPr>
                <w:rFonts w:ascii="Times New Roman" w:eastAsia="Times New Roman" w:hAnsi="Times New Roman" w:cs="Times New Roman"/>
                <w:b/>
                <w:bCs/>
                <w:color w:val="000000"/>
                <w:sz w:val="26"/>
                <w:szCs w:val="26"/>
                <w:lang w:eastAsia="lv-LV"/>
              </w:rPr>
            </w:pPr>
            <w:r w:rsidRPr="00B211EB">
              <w:rPr>
                <w:rFonts w:ascii="Times New Roman" w:eastAsia="Times New Roman" w:hAnsi="Times New Roman" w:cs="Times New Roman"/>
                <w:b/>
                <w:bCs/>
                <w:color w:val="000000"/>
                <w:sz w:val="26"/>
                <w:szCs w:val="26"/>
                <w:lang w:eastAsia="lv-LV"/>
              </w:rPr>
              <w:t>Ieņēmumi</w:t>
            </w:r>
          </w:p>
        </w:tc>
        <w:tc>
          <w:tcPr>
            <w:tcW w:w="1417" w:type="dxa"/>
            <w:tcBorders>
              <w:top w:val="single" w:sz="4" w:space="0" w:color="auto"/>
              <w:left w:val="nil"/>
              <w:bottom w:val="single" w:sz="4" w:space="0" w:color="auto"/>
              <w:right w:val="single" w:sz="4" w:space="0" w:color="auto"/>
            </w:tcBorders>
            <w:shd w:val="clear" w:color="auto" w:fill="auto"/>
            <w:noWrap/>
            <w:hideMark/>
          </w:tcPr>
          <w:p w:rsidR="00A16717" w:rsidRPr="0070281A" w:rsidRDefault="00A16717" w:rsidP="009055FB">
            <w:pPr>
              <w:spacing w:after="0" w:line="240" w:lineRule="auto"/>
              <w:rPr>
                <w:rFonts w:ascii="Times New Roman" w:hAnsi="Times New Roman"/>
                <w:b/>
                <w:sz w:val="26"/>
                <w:szCs w:val="26"/>
              </w:rPr>
            </w:pPr>
            <w:r>
              <w:rPr>
                <w:rFonts w:ascii="Times New Roman" w:hAnsi="Times New Roman"/>
                <w:b/>
                <w:sz w:val="26"/>
                <w:szCs w:val="26"/>
              </w:rPr>
              <w:t>2015. (euro)</w:t>
            </w:r>
          </w:p>
        </w:tc>
        <w:tc>
          <w:tcPr>
            <w:tcW w:w="1386" w:type="dxa"/>
            <w:tcBorders>
              <w:top w:val="single" w:sz="4" w:space="0" w:color="auto"/>
              <w:left w:val="nil"/>
              <w:bottom w:val="single" w:sz="4" w:space="0" w:color="auto"/>
              <w:right w:val="single" w:sz="4" w:space="0" w:color="auto"/>
            </w:tcBorders>
            <w:shd w:val="clear" w:color="auto" w:fill="auto"/>
            <w:noWrap/>
            <w:hideMark/>
          </w:tcPr>
          <w:p w:rsidR="00A16717" w:rsidRPr="0070281A" w:rsidRDefault="00A16717" w:rsidP="009055FB">
            <w:pPr>
              <w:spacing w:after="0" w:line="240" w:lineRule="auto"/>
              <w:rPr>
                <w:rFonts w:ascii="Times New Roman" w:hAnsi="Times New Roman"/>
                <w:b/>
                <w:sz w:val="26"/>
                <w:szCs w:val="26"/>
              </w:rPr>
            </w:pPr>
            <w:r>
              <w:rPr>
                <w:rFonts w:ascii="Times New Roman" w:hAnsi="Times New Roman"/>
                <w:b/>
                <w:sz w:val="26"/>
                <w:szCs w:val="26"/>
              </w:rPr>
              <w:t>2016. (euro)</w:t>
            </w:r>
          </w:p>
        </w:tc>
        <w:tc>
          <w:tcPr>
            <w:tcW w:w="1386" w:type="dxa"/>
            <w:tcBorders>
              <w:top w:val="single" w:sz="4" w:space="0" w:color="auto"/>
              <w:left w:val="nil"/>
              <w:bottom w:val="single" w:sz="4" w:space="0" w:color="auto"/>
              <w:right w:val="single" w:sz="4" w:space="0" w:color="auto"/>
            </w:tcBorders>
            <w:shd w:val="clear" w:color="auto" w:fill="auto"/>
            <w:noWrap/>
            <w:hideMark/>
          </w:tcPr>
          <w:p w:rsidR="00A16717" w:rsidRPr="0070281A" w:rsidRDefault="00A16717" w:rsidP="009055FB">
            <w:pPr>
              <w:spacing w:after="0" w:line="240" w:lineRule="auto"/>
              <w:rPr>
                <w:rFonts w:ascii="Times New Roman" w:hAnsi="Times New Roman"/>
                <w:b/>
                <w:sz w:val="26"/>
                <w:szCs w:val="26"/>
              </w:rPr>
            </w:pPr>
            <w:r>
              <w:rPr>
                <w:rFonts w:ascii="Times New Roman" w:hAnsi="Times New Roman"/>
                <w:b/>
                <w:sz w:val="26"/>
                <w:szCs w:val="26"/>
              </w:rPr>
              <w:t>2017. (euro)</w:t>
            </w:r>
          </w:p>
        </w:tc>
      </w:tr>
      <w:tr w:rsidR="0091512E" w:rsidRPr="00B211EB" w:rsidTr="0091512E">
        <w:trPr>
          <w:trHeight w:val="424"/>
        </w:trPr>
        <w:tc>
          <w:tcPr>
            <w:tcW w:w="5015" w:type="dxa"/>
            <w:tcBorders>
              <w:top w:val="nil"/>
              <w:left w:val="single" w:sz="4" w:space="0" w:color="auto"/>
              <w:bottom w:val="single" w:sz="4" w:space="0" w:color="auto"/>
              <w:right w:val="single" w:sz="4" w:space="0" w:color="auto"/>
            </w:tcBorders>
            <w:shd w:val="clear" w:color="auto" w:fill="auto"/>
            <w:vAlign w:val="bottom"/>
            <w:hideMark/>
          </w:tcPr>
          <w:p w:rsidR="0091512E" w:rsidRDefault="0091512E" w:rsidP="009055FB">
            <w:pPr>
              <w:spacing w:after="0" w:line="240" w:lineRule="auto"/>
              <w:rPr>
                <w:rFonts w:ascii="Times New Roman" w:eastAsia="Times New Roman" w:hAnsi="Times New Roman" w:cs="Times New Roman"/>
                <w:color w:val="000000"/>
                <w:sz w:val="26"/>
                <w:szCs w:val="26"/>
                <w:lang w:eastAsia="lv-LV"/>
              </w:rPr>
            </w:pPr>
            <w:r w:rsidRPr="00B211EB">
              <w:rPr>
                <w:rFonts w:ascii="Times New Roman" w:eastAsia="Times New Roman" w:hAnsi="Times New Roman" w:cs="Times New Roman"/>
                <w:color w:val="000000"/>
                <w:sz w:val="26"/>
                <w:szCs w:val="26"/>
                <w:lang w:eastAsia="lv-LV"/>
              </w:rPr>
              <w:t>Plānotie ie</w:t>
            </w:r>
            <w:r>
              <w:rPr>
                <w:rFonts w:ascii="Times New Roman" w:eastAsia="Times New Roman" w:hAnsi="Times New Roman" w:cs="Times New Roman"/>
                <w:color w:val="000000"/>
                <w:sz w:val="26"/>
                <w:szCs w:val="26"/>
                <w:lang w:eastAsia="lv-LV"/>
              </w:rPr>
              <w:t>ņēmumi</w:t>
            </w:r>
          </w:p>
        </w:tc>
        <w:tc>
          <w:tcPr>
            <w:tcW w:w="1417" w:type="dxa"/>
            <w:tcBorders>
              <w:top w:val="nil"/>
              <w:left w:val="nil"/>
              <w:bottom w:val="single" w:sz="4" w:space="0" w:color="auto"/>
              <w:right w:val="single" w:sz="4" w:space="0" w:color="auto"/>
            </w:tcBorders>
            <w:shd w:val="clear" w:color="auto" w:fill="auto"/>
            <w:noWrap/>
            <w:hideMark/>
          </w:tcPr>
          <w:p w:rsidR="0091512E" w:rsidRPr="00F95550" w:rsidRDefault="0091512E" w:rsidP="009055FB">
            <w:pPr>
              <w:spacing w:after="0" w:line="240" w:lineRule="auto"/>
              <w:rPr>
                <w:rFonts w:ascii="Times New Roman" w:eastAsia="Calibri" w:hAnsi="Times New Roman" w:cs="Times New Roman"/>
                <w:b/>
                <w:sz w:val="26"/>
                <w:szCs w:val="26"/>
                <w:lang w:eastAsia="lv-LV"/>
              </w:rPr>
            </w:pPr>
            <w:r w:rsidRPr="00F95550">
              <w:rPr>
                <w:rFonts w:ascii="Times New Roman" w:hAnsi="Times New Roman"/>
                <w:b/>
                <w:sz w:val="26"/>
                <w:szCs w:val="26"/>
              </w:rPr>
              <w:t>1415</w:t>
            </w:r>
            <w:r>
              <w:rPr>
                <w:rFonts w:ascii="Times New Roman" w:hAnsi="Times New Roman"/>
                <w:b/>
                <w:sz w:val="26"/>
                <w:szCs w:val="26"/>
              </w:rPr>
              <w:t>54</w:t>
            </w:r>
          </w:p>
        </w:tc>
        <w:tc>
          <w:tcPr>
            <w:tcW w:w="1386" w:type="dxa"/>
            <w:tcBorders>
              <w:top w:val="nil"/>
              <w:left w:val="nil"/>
              <w:bottom w:val="single" w:sz="4" w:space="0" w:color="auto"/>
              <w:right w:val="single" w:sz="4" w:space="0" w:color="auto"/>
            </w:tcBorders>
            <w:shd w:val="clear" w:color="auto" w:fill="auto"/>
            <w:noWrap/>
            <w:hideMark/>
          </w:tcPr>
          <w:p w:rsidR="0091512E" w:rsidRPr="00F95550" w:rsidRDefault="0091512E" w:rsidP="009055FB">
            <w:pPr>
              <w:spacing w:after="0" w:line="240" w:lineRule="auto"/>
              <w:rPr>
                <w:rFonts w:ascii="Times New Roman" w:eastAsia="Calibri" w:hAnsi="Times New Roman" w:cs="Times New Roman"/>
                <w:b/>
                <w:sz w:val="26"/>
                <w:szCs w:val="26"/>
                <w:lang w:eastAsia="lv-LV"/>
              </w:rPr>
            </w:pPr>
            <w:r w:rsidRPr="00F95550">
              <w:rPr>
                <w:rFonts w:ascii="Times New Roman" w:hAnsi="Times New Roman"/>
                <w:b/>
                <w:sz w:val="26"/>
                <w:szCs w:val="26"/>
              </w:rPr>
              <w:t>232</w:t>
            </w:r>
            <w:r>
              <w:rPr>
                <w:rFonts w:ascii="Times New Roman" w:hAnsi="Times New Roman"/>
                <w:b/>
                <w:sz w:val="26"/>
                <w:szCs w:val="26"/>
              </w:rPr>
              <w:t>44</w:t>
            </w:r>
          </w:p>
        </w:tc>
        <w:tc>
          <w:tcPr>
            <w:tcW w:w="1386" w:type="dxa"/>
            <w:tcBorders>
              <w:top w:val="nil"/>
              <w:left w:val="nil"/>
              <w:bottom w:val="single" w:sz="4" w:space="0" w:color="auto"/>
              <w:right w:val="single" w:sz="4" w:space="0" w:color="auto"/>
            </w:tcBorders>
            <w:shd w:val="clear" w:color="auto" w:fill="auto"/>
            <w:noWrap/>
            <w:hideMark/>
          </w:tcPr>
          <w:p w:rsidR="0091512E" w:rsidRPr="00F95550" w:rsidRDefault="0091512E" w:rsidP="009055FB">
            <w:pPr>
              <w:spacing w:after="0" w:line="240" w:lineRule="auto"/>
              <w:rPr>
                <w:rFonts w:ascii="Times New Roman" w:eastAsia="Calibri" w:hAnsi="Times New Roman" w:cs="Times New Roman"/>
                <w:b/>
                <w:sz w:val="26"/>
                <w:szCs w:val="26"/>
                <w:lang w:eastAsia="lv-LV"/>
              </w:rPr>
            </w:pPr>
            <w:r>
              <w:rPr>
                <w:rFonts w:ascii="Times New Roman" w:hAnsi="Times New Roman"/>
                <w:b/>
                <w:sz w:val="26"/>
                <w:szCs w:val="26"/>
              </w:rPr>
              <w:t>52105</w:t>
            </w:r>
          </w:p>
        </w:tc>
      </w:tr>
      <w:tr w:rsidR="00A16717" w:rsidRPr="00B211EB" w:rsidTr="00F95550">
        <w:trPr>
          <w:trHeight w:val="345"/>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rsidR="00A16717" w:rsidRPr="00B211EB" w:rsidRDefault="00A16717" w:rsidP="009055FB">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V</w:t>
            </w:r>
            <w:r w:rsidRPr="00B211EB">
              <w:rPr>
                <w:rFonts w:ascii="Times New Roman" w:eastAsia="Times New Roman" w:hAnsi="Times New Roman" w:cs="Times New Roman"/>
                <w:color w:val="000000"/>
                <w:sz w:val="26"/>
                <w:szCs w:val="26"/>
                <w:lang w:eastAsia="lv-LV"/>
              </w:rPr>
              <w:t>alsts budžets</w:t>
            </w:r>
          </w:p>
        </w:tc>
        <w:tc>
          <w:tcPr>
            <w:tcW w:w="1417" w:type="dxa"/>
            <w:tcBorders>
              <w:top w:val="nil"/>
              <w:left w:val="nil"/>
              <w:bottom w:val="single" w:sz="4" w:space="0" w:color="auto"/>
              <w:right w:val="single" w:sz="4" w:space="0" w:color="auto"/>
            </w:tcBorders>
            <w:shd w:val="clear" w:color="auto" w:fill="auto"/>
            <w:noWrap/>
            <w:vAlign w:val="bottom"/>
            <w:hideMark/>
          </w:tcPr>
          <w:p w:rsidR="00A16717" w:rsidRPr="00B211EB" w:rsidRDefault="00A16717" w:rsidP="009055FB">
            <w:pPr>
              <w:spacing w:after="0" w:line="240" w:lineRule="auto"/>
              <w:jc w:val="right"/>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257477</w:t>
            </w:r>
          </w:p>
        </w:tc>
        <w:tc>
          <w:tcPr>
            <w:tcW w:w="1386" w:type="dxa"/>
            <w:tcBorders>
              <w:top w:val="nil"/>
              <w:left w:val="nil"/>
              <w:bottom w:val="single" w:sz="4" w:space="0" w:color="auto"/>
              <w:right w:val="single" w:sz="4" w:space="0" w:color="auto"/>
            </w:tcBorders>
            <w:shd w:val="clear" w:color="auto" w:fill="auto"/>
            <w:noWrap/>
            <w:vAlign w:val="bottom"/>
            <w:hideMark/>
          </w:tcPr>
          <w:p w:rsidR="00A16717" w:rsidRPr="00B211EB" w:rsidRDefault="00A16717" w:rsidP="009055FB">
            <w:pPr>
              <w:spacing w:after="0" w:line="240" w:lineRule="auto"/>
              <w:jc w:val="right"/>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248957</w:t>
            </w:r>
          </w:p>
        </w:tc>
        <w:tc>
          <w:tcPr>
            <w:tcW w:w="1386" w:type="dxa"/>
            <w:tcBorders>
              <w:top w:val="nil"/>
              <w:left w:val="nil"/>
              <w:bottom w:val="single" w:sz="4" w:space="0" w:color="auto"/>
              <w:right w:val="single" w:sz="4" w:space="0" w:color="auto"/>
            </w:tcBorders>
            <w:shd w:val="clear" w:color="auto" w:fill="auto"/>
            <w:noWrap/>
            <w:vAlign w:val="bottom"/>
            <w:hideMark/>
          </w:tcPr>
          <w:p w:rsidR="00A16717" w:rsidRPr="00B211EB" w:rsidRDefault="00A16717" w:rsidP="009055FB">
            <w:pPr>
              <w:spacing w:after="0" w:line="240" w:lineRule="auto"/>
              <w:jc w:val="right"/>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281774</w:t>
            </w:r>
          </w:p>
        </w:tc>
      </w:tr>
      <w:tr w:rsidR="00A16717" w:rsidRPr="00B211EB" w:rsidTr="00F95550">
        <w:trPr>
          <w:trHeight w:val="345"/>
        </w:trPr>
        <w:tc>
          <w:tcPr>
            <w:tcW w:w="5015" w:type="dxa"/>
            <w:tcBorders>
              <w:top w:val="nil"/>
              <w:left w:val="single" w:sz="4" w:space="0" w:color="auto"/>
              <w:bottom w:val="single" w:sz="4" w:space="0" w:color="auto"/>
              <w:right w:val="single" w:sz="4" w:space="0" w:color="auto"/>
            </w:tcBorders>
            <w:shd w:val="clear" w:color="auto" w:fill="auto"/>
            <w:noWrap/>
            <w:vAlign w:val="bottom"/>
            <w:hideMark/>
          </w:tcPr>
          <w:p w:rsidR="00A16717" w:rsidRPr="00B211EB" w:rsidRDefault="00A16717" w:rsidP="009055FB">
            <w:pPr>
              <w:spacing w:after="0" w:line="240" w:lineRule="auto"/>
              <w:jc w:val="right"/>
              <w:rPr>
                <w:rFonts w:ascii="Times New Roman" w:eastAsia="Times New Roman" w:hAnsi="Times New Roman" w:cs="Times New Roman"/>
                <w:b/>
                <w:color w:val="000000"/>
                <w:sz w:val="26"/>
                <w:szCs w:val="26"/>
                <w:lang w:eastAsia="lv-LV"/>
              </w:rPr>
            </w:pPr>
            <w:r w:rsidRPr="00B211EB">
              <w:rPr>
                <w:rFonts w:ascii="Times New Roman" w:eastAsia="Times New Roman" w:hAnsi="Times New Roman" w:cs="Times New Roman"/>
                <w:b/>
                <w:color w:val="000000"/>
                <w:sz w:val="26"/>
                <w:szCs w:val="26"/>
                <w:lang w:eastAsia="lv-LV"/>
              </w:rPr>
              <w:t> Kopā</w:t>
            </w:r>
          </w:p>
        </w:tc>
        <w:tc>
          <w:tcPr>
            <w:tcW w:w="1417" w:type="dxa"/>
            <w:tcBorders>
              <w:top w:val="nil"/>
              <w:left w:val="nil"/>
              <w:bottom w:val="single" w:sz="4" w:space="0" w:color="auto"/>
              <w:right w:val="single" w:sz="4" w:space="0" w:color="auto"/>
            </w:tcBorders>
            <w:shd w:val="clear" w:color="auto" w:fill="auto"/>
            <w:noWrap/>
            <w:vAlign w:val="bottom"/>
            <w:hideMark/>
          </w:tcPr>
          <w:p w:rsidR="001C41D9" w:rsidRDefault="0091512E" w:rsidP="009055FB">
            <w:pPr>
              <w:spacing w:after="0" w:line="240" w:lineRule="auto"/>
              <w:jc w:val="right"/>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399031</w:t>
            </w:r>
          </w:p>
        </w:tc>
        <w:tc>
          <w:tcPr>
            <w:tcW w:w="1386" w:type="dxa"/>
            <w:tcBorders>
              <w:top w:val="nil"/>
              <w:left w:val="nil"/>
              <w:bottom w:val="single" w:sz="4" w:space="0" w:color="auto"/>
              <w:right w:val="single" w:sz="4" w:space="0" w:color="auto"/>
            </w:tcBorders>
            <w:shd w:val="clear" w:color="auto" w:fill="auto"/>
            <w:noWrap/>
            <w:vAlign w:val="bottom"/>
            <w:hideMark/>
          </w:tcPr>
          <w:p w:rsidR="001C41D9" w:rsidRDefault="0091512E" w:rsidP="009055FB">
            <w:pPr>
              <w:spacing w:after="0" w:line="240" w:lineRule="auto"/>
              <w:jc w:val="right"/>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272201</w:t>
            </w:r>
          </w:p>
        </w:tc>
        <w:tc>
          <w:tcPr>
            <w:tcW w:w="1386" w:type="dxa"/>
            <w:tcBorders>
              <w:top w:val="nil"/>
              <w:left w:val="nil"/>
              <w:bottom w:val="single" w:sz="4" w:space="0" w:color="auto"/>
              <w:right w:val="single" w:sz="4" w:space="0" w:color="auto"/>
            </w:tcBorders>
            <w:shd w:val="clear" w:color="auto" w:fill="auto"/>
            <w:noWrap/>
            <w:vAlign w:val="bottom"/>
            <w:hideMark/>
          </w:tcPr>
          <w:p w:rsidR="001C41D9" w:rsidRDefault="0091512E" w:rsidP="009055FB">
            <w:pPr>
              <w:spacing w:after="0" w:line="240" w:lineRule="auto"/>
              <w:jc w:val="right"/>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333879</w:t>
            </w:r>
          </w:p>
        </w:tc>
      </w:tr>
    </w:tbl>
    <w:p w:rsidR="008C65D8" w:rsidRDefault="008C65D8" w:rsidP="009055FB">
      <w:pPr>
        <w:pStyle w:val="ListParagraph"/>
        <w:spacing w:after="0" w:line="240" w:lineRule="auto"/>
        <w:ind w:left="0" w:firstLine="360"/>
        <w:contextualSpacing w:val="0"/>
        <w:jc w:val="both"/>
      </w:pPr>
    </w:p>
    <w:p w:rsidR="00B211EB" w:rsidRDefault="00B211EB" w:rsidP="009055FB">
      <w:pPr>
        <w:pStyle w:val="ListParagraph"/>
        <w:spacing w:after="0" w:line="240" w:lineRule="auto"/>
        <w:ind w:left="0" w:firstLine="360"/>
        <w:contextualSpacing w:val="0"/>
        <w:jc w:val="both"/>
      </w:pPr>
    </w:p>
    <w:p w:rsidR="00065707" w:rsidRDefault="00065707" w:rsidP="009055FB">
      <w:pPr>
        <w:pStyle w:val="ListParagraph"/>
        <w:spacing w:after="0" w:line="240" w:lineRule="auto"/>
        <w:ind w:firstLine="720"/>
        <w:jc w:val="both"/>
        <w:rPr>
          <w:rFonts w:ascii="Times New Roman" w:hAnsi="Times New Roman" w:cs="Times New Roman"/>
          <w:sz w:val="26"/>
          <w:szCs w:val="26"/>
        </w:rPr>
      </w:pPr>
    </w:p>
    <w:p w:rsidR="00280EBE" w:rsidRPr="00AE7266" w:rsidRDefault="00280EBE" w:rsidP="009055FB">
      <w:pPr>
        <w:pStyle w:val="Heading1"/>
        <w:numPr>
          <w:ilvl w:val="0"/>
          <w:numId w:val="4"/>
        </w:numPr>
        <w:spacing w:before="0" w:line="240" w:lineRule="auto"/>
        <w:jc w:val="center"/>
        <w:rPr>
          <w:rFonts w:ascii="Times New Roman" w:hAnsi="Times New Roman" w:cs="Times New Roman"/>
          <w:color w:val="auto"/>
          <w:sz w:val="32"/>
          <w:szCs w:val="32"/>
        </w:rPr>
      </w:pPr>
      <w:bookmarkStart w:id="30" w:name="313140"/>
      <w:bookmarkStart w:id="31" w:name="piel2"/>
      <w:bookmarkStart w:id="32" w:name="_Toc395890882"/>
      <w:bookmarkEnd w:id="30"/>
      <w:bookmarkEnd w:id="31"/>
      <w:r w:rsidRPr="00AE7266">
        <w:rPr>
          <w:rFonts w:ascii="Times New Roman" w:hAnsi="Times New Roman" w:cs="Times New Roman"/>
          <w:color w:val="auto"/>
          <w:sz w:val="32"/>
          <w:szCs w:val="32"/>
        </w:rPr>
        <w:t>Prognozes par sekām, ja netiks risinātas problēmas</w:t>
      </w:r>
      <w:bookmarkEnd w:id="32"/>
    </w:p>
    <w:p w:rsidR="00280EBE" w:rsidRPr="005732FF" w:rsidRDefault="00280EBE" w:rsidP="009055FB">
      <w:pPr>
        <w:pStyle w:val="ListParagraph"/>
        <w:spacing w:after="0" w:line="240" w:lineRule="auto"/>
        <w:ind w:left="360"/>
        <w:jc w:val="both"/>
        <w:rPr>
          <w:rFonts w:ascii="Times New Roman" w:hAnsi="Times New Roman" w:cs="Times New Roman"/>
          <w:b/>
          <w:sz w:val="26"/>
          <w:szCs w:val="26"/>
        </w:rPr>
      </w:pPr>
    </w:p>
    <w:p w:rsidR="00CE7125" w:rsidRPr="00486EE2" w:rsidRDefault="00CE7125" w:rsidP="009055F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73F15" w:rsidRPr="00D73F15">
        <w:rPr>
          <w:rFonts w:ascii="Times New Roman" w:hAnsi="Times New Roman" w:cs="Times New Roman"/>
          <w:sz w:val="26"/>
          <w:szCs w:val="26"/>
        </w:rPr>
        <w:t xml:space="preserve">Ja netiks izveidota vienota ārējas kvalitātes nodrošināšanas sistēma un </w:t>
      </w:r>
      <w:r w:rsidR="005C4F1A" w:rsidRPr="003774A1">
        <w:rPr>
          <w:rFonts w:ascii="Times New Roman" w:hAnsi="Times New Roman" w:cs="Times New Roman"/>
          <w:sz w:val="26"/>
          <w:szCs w:val="26"/>
        </w:rPr>
        <w:t>Latvijas augstākās izglītības kvalit</w:t>
      </w:r>
      <w:r w:rsidR="005C4F1A">
        <w:rPr>
          <w:rFonts w:ascii="Times New Roman" w:hAnsi="Times New Roman" w:cs="Times New Roman"/>
          <w:sz w:val="26"/>
          <w:szCs w:val="26"/>
        </w:rPr>
        <w:t>ātes nodrošināšanas institūcija</w:t>
      </w:r>
      <w:r w:rsidR="00D73F15" w:rsidRPr="00D73F15">
        <w:rPr>
          <w:rFonts w:ascii="Times New Roman" w:hAnsi="Times New Roman" w:cs="Times New Roman"/>
          <w:sz w:val="26"/>
          <w:szCs w:val="26"/>
        </w:rPr>
        <w:t xml:space="preserve">, kvalitātes nodrošināšanas sistēma nedarbosies sistemātiski un atbilstoši Eiropas kvalitātes standartiem un </w:t>
      </w:r>
      <w:r w:rsidR="00D73F15" w:rsidRPr="00486EE2">
        <w:rPr>
          <w:rFonts w:ascii="Times New Roman" w:hAnsi="Times New Roman" w:cs="Times New Roman"/>
          <w:sz w:val="26"/>
          <w:szCs w:val="26"/>
        </w:rPr>
        <w:t>vadlīnijām, tas radīs draudus Latvijā iegūtās augstākās izglītības atzīšanai citās valstīs (diplomatzīšanas problēmas, ārvalstu studentu piesaiste, mobilitāte). Starptautiskajā kontekstā zudīs ticamība Latvijas augstākai izglītībai. Latvija kā Lisabonas Konvencijas  dalībvalsts  nepildīs uzņemtās saistības, kā arī nespēs pilnvērtīgi iekļauties Eiropas vienotās augstākās izglītības telpas veidošanas procesā.</w:t>
      </w:r>
    </w:p>
    <w:p w:rsidR="0015450E" w:rsidRDefault="0015450E" w:rsidP="009055FB">
      <w:pPr>
        <w:spacing w:after="0" w:line="240" w:lineRule="auto"/>
        <w:ind w:firstLine="720"/>
        <w:jc w:val="both"/>
        <w:rPr>
          <w:rFonts w:ascii="Times New Roman" w:hAnsi="Times New Roman" w:cs="Times New Roman"/>
          <w:b/>
          <w:sz w:val="26"/>
          <w:szCs w:val="26"/>
        </w:rPr>
      </w:pPr>
      <w:r w:rsidRPr="00486EE2">
        <w:rPr>
          <w:rFonts w:ascii="Times New Roman" w:hAnsi="Times New Roman" w:cs="Times New Roman"/>
          <w:bCs/>
          <w:sz w:val="26"/>
          <w:szCs w:val="26"/>
        </w:rPr>
        <w:t>Netiks nodrošināta saistību izpilde, kas izriet no 2014.gada 2.jūnijā apstiprinātā</w:t>
      </w:r>
      <w:r>
        <w:rPr>
          <w:rFonts w:ascii="Times New Roman" w:hAnsi="Times New Roman" w:cs="Times New Roman"/>
          <w:bCs/>
          <w:sz w:val="26"/>
          <w:szCs w:val="26"/>
        </w:rPr>
        <w:t xml:space="preserve"> </w:t>
      </w:r>
      <w:r>
        <w:rPr>
          <w:rFonts w:ascii="Times New Roman" w:hAnsi="Times New Roman" w:cs="Times New Roman"/>
          <w:bCs/>
          <w:noProof/>
          <w:sz w:val="26"/>
          <w:szCs w:val="26"/>
        </w:rPr>
        <w:t xml:space="preserve">partnerības nolīguma starp </w:t>
      </w:r>
      <w:r w:rsidRPr="00684F09">
        <w:rPr>
          <w:rFonts w:ascii="Times New Roman" w:hAnsi="Times New Roman" w:cs="Times New Roman"/>
          <w:bCs/>
          <w:noProof/>
          <w:sz w:val="26"/>
          <w:szCs w:val="26"/>
        </w:rPr>
        <w:t>Eiropas Komisij</w:t>
      </w:r>
      <w:r>
        <w:rPr>
          <w:rFonts w:ascii="Times New Roman" w:hAnsi="Times New Roman" w:cs="Times New Roman"/>
          <w:bCs/>
          <w:noProof/>
          <w:sz w:val="26"/>
          <w:szCs w:val="26"/>
        </w:rPr>
        <w:t xml:space="preserve">u un </w:t>
      </w:r>
      <w:r w:rsidRPr="00684F09">
        <w:rPr>
          <w:rFonts w:ascii="Times New Roman" w:hAnsi="Times New Roman" w:cs="Times New Roman"/>
          <w:bCs/>
          <w:noProof/>
          <w:sz w:val="26"/>
          <w:szCs w:val="26"/>
        </w:rPr>
        <w:t>Latviju</w:t>
      </w:r>
      <w:r>
        <w:rPr>
          <w:rFonts w:ascii="Times New Roman" w:hAnsi="Times New Roman" w:cs="Times New Roman"/>
          <w:bCs/>
          <w:noProof/>
          <w:sz w:val="26"/>
          <w:szCs w:val="26"/>
        </w:rPr>
        <w:t xml:space="preserve"> „</w:t>
      </w:r>
      <w:r w:rsidRPr="00684F09">
        <w:rPr>
          <w:rFonts w:ascii="Times New Roman" w:hAnsi="Times New Roman" w:cs="Times New Roman"/>
          <w:bCs/>
          <w:noProof/>
          <w:sz w:val="26"/>
          <w:szCs w:val="26"/>
        </w:rPr>
        <w:t>Partnerības līgums Eiropas Savienības fondu 2014.-2020.gada plānošanas periodam</w:t>
      </w:r>
      <w:r>
        <w:rPr>
          <w:rFonts w:ascii="Times New Roman" w:hAnsi="Times New Roman" w:cs="Times New Roman"/>
          <w:bCs/>
          <w:noProof/>
          <w:sz w:val="26"/>
          <w:szCs w:val="26"/>
        </w:rPr>
        <w:t xml:space="preserve">”, kas nosaka, </w:t>
      </w:r>
      <w:r w:rsidRPr="00684F09">
        <w:rPr>
          <w:rFonts w:ascii="Times New Roman" w:hAnsi="Times New Roman" w:cs="Times New Roman"/>
          <w:bCs/>
          <w:noProof/>
          <w:sz w:val="26"/>
          <w:szCs w:val="26"/>
        </w:rPr>
        <w:t xml:space="preserve">ka 2015.gadā </w:t>
      </w:r>
      <w:r>
        <w:rPr>
          <w:rFonts w:ascii="Times New Roman" w:hAnsi="Times New Roman" w:cs="Times New Roman"/>
          <w:bCs/>
          <w:noProof/>
          <w:sz w:val="26"/>
          <w:szCs w:val="26"/>
        </w:rPr>
        <w:t>plānots izveidot n</w:t>
      </w:r>
      <w:r w:rsidRPr="00684F09">
        <w:rPr>
          <w:rFonts w:ascii="Times New Roman" w:hAnsi="Times New Roman" w:cs="Times New Roman"/>
          <w:bCs/>
          <w:noProof/>
          <w:sz w:val="26"/>
          <w:szCs w:val="26"/>
        </w:rPr>
        <w:t>acionālo</w:t>
      </w:r>
      <w:r w:rsidRPr="00D36683">
        <w:rPr>
          <w:rFonts w:ascii="Times New Roman" w:hAnsi="Times New Roman" w:cs="Times New Roman"/>
          <w:sz w:val="26"/>
          <w:szCs w:val="26"/>
        </w:rPr>
        <w:t xml:space="preserve"> </w:t>
      </w:r>
      <w:r w:rsidRPr="003774A1">
        <w:rPr>
          <w:rFonts w:ascii="Times New Roman" w:hAnsi="Times New Roman" w:cs="Times New Roman"/>
          <w:sz w:val="26"/>
          <w:szCs w:val="26"/>
        </w:rPr>
        <w:t>augstākās izglītības kvalit</w:t>
      </w:r>
      <w:r>
        <w:rPr>
          <w:rFonts w:ascii="Times New Roman" w:hAnsi="Times New Roman" w:cs="Times New Roman"/>
          <w:sz w:val="26"/>
          <w:szCs w:val="26"/>
        </w:rPr>
        <w:t>ātes nodrošināšanas</w:t>
      </w:r>
      <w:r w:rsidRPr="00684F09">
        <w:rPr>
          <w:rFonts w:ascii="Times New Roman" w:hAnsi="Times New Roman" w:cs="Times New Roman"/>
          <w:bCs/>
          <w:noProof/>
          <w:sz w:val="26"/>
          <w:szCs w:val="26"/>
        </w:rPr>
        <w:t xml:space="preserve"> aģentūru, </w:t>
      </w:r>
      <w:r>
        <w:rPr>
          <w:rFonts w:ascii="Times New Roman" w:hAnsi="Times New Roman" w:cs="Times New Roman"/>
          <w:bCs/>
          <w:noProof/>
          <w:sz w:val="26"/>
          <w:szCs w:val="26"/>
        </w:rPr>
        <w:t xml:space="preserve">tās </w:t>
      </w:r>
      <w:r w:rsidRPr="00684F09">
        <w:rPr>
          <w:rFonts w:ascii="Times New Roman" w:hAnsi="Times New Roman" w:cs="Times New Roman"/>
          <w:bCs/>
          <w:noProof/>
          <w:sz w:val="26"/>
          <w:szCs w:val="26"/>
        </w:rPr>
        <w:t>izveides izmaksas sedzot no valsts budžeta līdzekļiem.</w:t>
      </w:r>
      <w:r>
        <w:rPr>
          <w:rFonts w:ascii="Times New Roman" w:hAnsi="Times New Roman" w:cs="Times New Roman"/>
          <w:bCs/>
          <w:noProof/>
          <w:sz w:val="26"/>
          <w:szCs w:val="26"/>
        </w:rPr>
        <w:t xml:space="preserve"> Minētās saistības neizpilde </w:t>
      </w:r>
      <w:r>
        <w:rPr>
          <w:rFonts w:ascii="Times New Roman" w:hAnsi="Times New Roman" w:cs="Times New Roman"/>
          <w:bCs/>
          <w:noProof/>
          <w:sz w:val="26"/>
          <w:szCs w:val="26"/>
        </w:rPr>
        <w:lastRenderedPageBreak/>
        <w:t>apdraud plānotā ES fondu finansējuma pieejamību augstākās izglītības attīstībai par kopējo finansējumu aptuveni 125 milj. EUR plānošanas periodā 2014.-2020.gadam.</w:t>
      </w:r>
    </w:p>
    <w:p w:rsidR="00D73F15" w:rsidRPr="00D73F15" w:rsidRDefault="00D73F15" w:rsidP="009055FB">
      <w:pPr>
        <w:spacing w:after="0" w:line="240" w:lineRule="auto"/>
        <w:jc w:val="both"/>
        <w:rPr>
          <w:rFonts w:ascii="Times New Roman" w:hAnsi="Times New Roman" w:cs="Times New Roman"/>
          <w:b/>
          <w:sz w:val="26"/>
          <w:szCs w:val="26"/>
        </w:rPr>
      </w:pPr>
    </w:p>
    <w:p w:rsidR="00D73F15" w:rsidRDefault="00D73F15" w:rsidP="009055FB">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Vienlaikus ir jāvērš uzmanība uz šādiem riskiem:</w:t>
      </w:r>
    </w:p>
    <w:p w:rsidR="00F15465" w:rsidRDefault="00F15465" w:rsidP="009055FB">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Šobrīd akreditāciju un licencēšanu organizē IZM, Augstākās izglītības, zinātnes un inovāciju departamentā uz laiku izveidojot divas darbavietas (detalizēts apraksts 2.1.apakšnodaļā). Ņemot vērā, ka nākamais visaptverošs akreditācijas posms ir paredzēts 2018.- 2019.gadā, pie esošās kapacitātes, cilvēkresursiem un finanšu resursiem</w:t>
      </w:r>
      <w:r>
        <w:rPr>
          <w:rFonts w:ascii="Times New Roman" w:hAnsi="Times New Roman" w:cs="Times New Roman"/>
          <w:sz w:val="26"/>
          <w:szCs w:val="26"/>
        </w:rPr>
        <w:t>, nebūs</w:t>
      </w:r>
      <w:r w:rsidRPr="00F15465">
        <w:rPr>
          <w:rFonts w:ascii="Times New Roman" w:hAnsi="Times New Roman" w:cs="Times New Roman"/>
          <w:sz w:val="26"/>
          <w:szCs w:val="26"/>
        </w:rPr>
        <w:t xml:space="preserve"> iespējams nodrošināt akreditācijas procesa organizēšanu nepieciešamajā apjomā un termiņos. </w:t>
      </w:r>
    </w:p>
    <w:p w:rsidR="00F15465" w:rsidRDefault="00F15465" w:rsidP="009055FB">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Valsts finansējuma trūkuma dēļ, Latvijas akreditācijas institūcijai  nav iespējams iekļūt EQAR reģistrā</w:t>
      </w:r>
      <w:r>
        <w:rPr>
          <w:rFonts w:ascii="Times New Roman" w:hAnsi="Times New Roman" w:cs="Times New Roman"/>
          <w:sz w:val="26"/>
          <w:szCs w:val="26"/>
        </w:rPr>
        <w:t xml:space="preserve"> un ENQA</w:t>
      </w:r>
      <w:r w:rsidRPr="00F15465">
        <w:rPr>
          <w:rFonts w:ascii="Times New Roman" w:hAnsi="Times New Roman" w:cs="Times New Roman"/>
          <w:sz w:val="26"/>
          <w:szCs w:val="26"/>
        </w:rPr>
        <w:t>, tādējādi  Latvija nespēs pilnvērtīgi iekļauties Eiropas vienotās augstākās izglītības telpas veidošanas procesā</w:t>
      </w:r>
      <w:r>
        <w:rPr>
          <w:rFonts w:ascii="Times New Roman" w:hAnsi="Times New Roman" w:cs="Times New Roman"/>
          <w:sz w:val="26"/>
          <w:szCs w:val="26"/>
        </w:rPr>
        <w:t>.</w:t>
      </w:r>
    </w:p>
    <w:p w:rsidR="00F15465" w:rsidRDefault="00F15465" w:rsidP="009055FB">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Netiks ievērots ES Padomes ieteikums par Latvijas 2014.gada valsts reformu programmu un ar ko sniedz Padomes atzinumu par Latvijas 2014.gada stabilitātes programmu, kas nosaka</w:t>
      </w:r>
      <w:r w:rsidR="006E78EB">
        <w:rPr>
          <w:rFonts w:ascii="Times New Roman" w:hAnsi="Times New Roman" w:cs="Times New Roman"/>
          <w:sz w:val="26"/>
          <w:szCs w:val="26"/>
        </w:rPr>
        <w:t xml:space="preserve"> jau 2015.gadā </w:t>
      </w:r>
      <w:r w:rsidRPr="00F15465">
        <w:rPr>
          <w:rFonts w:ascii="Times New Roman" w:hAnsi="Times New Roman" w:cs="Times New Roman"/>
          <w:sz w:val="26"/>
          <w:szCs w:val="26"/>
        </w:rPr>
        <w:t xml:space="preserve">izveidot neatkarīgu augstākās izglītības akreditācijas aģentūru. </w:t>
      </w:r>
    </w:p>
    <w:p w:rsidR="00F15465" w:rsidRPr="00F15465" w:rsidRDefault="00F15465" w:rsidP="009055FB">
      <w:pPr>
        <w:pStyle w:val="ListParagraph"/>
        <w:numPr>
          <w:ilvl w:val="0"/>
          <w:numId w:val="41"/>
        </w:numPr>
        <w:spacing w:after="0" w:line="240" w:lineRule="auto"/>
        <w:jc w:val="both"/>
        <w:rPr>
          <w:rFonts w:ascii="Times New Roman" w:hAnsi="Times New Roman" w:cs="Times New Roman"/>
          <w:sz w:val="26"/>
          <w:szCs w:val="26"/>
        </w:rPr>
      </w:pPr>
      <w:r w:rsidRPr="00F15465">
        <w:rPr>
          <w:rFonts w:ascii="Times New Roman" w:hAnsi="Times New Roman" w:cs="Times New Roman"/>
          <w:sz w:val="26"/>
          <w:szCs w:val="26"/>
        </w:rPr>
        <w:t>Nebūs iespējams izmantot Eiropas Sociālā fonda finansējumu, kas ir plānots nacionālās augstākās izglītības kvalitātes nodrošināšanas aģentūras sākotnējās darbības kvalitātes atbalsta pasākumiem un kapacitātes stiprināšanai, lai nodrošinātu nepieciešamo prasību izpildi, lai reģistrētos EQAR, jo nebūs institūcijas, kam to novirzīt.</w:t>
      </w:r>
    </w:p>
    <w:p w:rsidR="00F15465" w:rsidRPr="00F15465" w:rsidRDefault="00F15465" w:rsidP="009055FB">
      <w:pPr>
        <w:spacing w:after="0" w:line="240" w:lineRule="auto"/>
        <w:ind w:left="720"/>
        <w:jc w:val="both"/>
        <w:rPr>
          <w:rFonts w:ascii="Times New Roman" w:hAnsi="Times New Roman" w:cs="Times New Roman"/>
          <w:sz w:val="26"/>
          <w:szCs w:val="26"/>
        </w:rPr>
      </w:pPr>
    </w:p>
    <w:p w:rsidR="009026B7" w:rsidRDefault="009026B7" w:rsidP="009055F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1069BB" w:rsidRDefault="001069BB" w:rsidP="009055FB">
      <w:pPr>
        <w:spacing w:after="0" w:line="240" w:lineRule="auto"/>
        <w:ind w:firstLine="720"/>
        <w:rPr>
          <w:rFonts w:ascii="Times New Roman" w:hAnsi="Times New Roman" w:cs="Times New Roman"/>
          <w:sz w:val="26"/>
          <w:szCs w:val="26"/>
        </w:rPr>
      </w:pPr>
      <w:r w:rsidRPr="001069BB">
        <w:rPr>
          <w:rFonts w:ascii="Times New Roman" w:hAnsi="Times New Roman" w:cs="Times New Roman"/>
          <w:sz w:val="26"/>
          <w:szCs w:val="26"/>
        </w:rPr>
        <w:t xml:space="preserve">Izglītības un zinātnes ministres p.i. – </w:t>
      </w:r>
    </w:p>
    <w:p w:rsidR="001069BB" w:rsidRPr="001069BB" w:rsidRDefault="001069BB" w:rsidP="009055FB">
      <w:pPr>
        <w:spacing w:after="0" w:line="240" w:lineRule="auto"/>
        <w:ind w:firstLine="720"/>
        <w:rPr>
          <w:rFonts w:ascii="Times New Roman" w:hAnsi="Times New Roman" w:cs="Times New Roman"/>
          <w:sz w:val="26"/>
          <w:szCs w:val="26"/>
        </w:rPr>
      </w:pPr>
      <w:r w:rsidRPr="001069BB">
        <w:rPr>
          <w:rFonts w:ascii="Times New Roman" w:hAnsi="Times New Roman" w:cs="Times New Roman"/>
          <w:sz w:val="26"/>
          <w:szCs w:val="26"/>
        </w:rPr>
        <w:t>Kultūras ministre</w:t>
      </w:r>
      <w:r w:rsidRPr="001069BB">
        <w:rPr>
          <w:rFonts w:ascii="Times New Roman" w:hAnsi="Times New Roman" w:cs="Times New Roman"/>
          <w:sz w:val="26"/>
          <w:szCs w:val="26"/>
        </w:rPr>
        <w:tab/>
      </w:r>
      <w:r w:rsidRPr="001069BB">
        <w:rPr>
          <w:rFonts w:ascii="Times New Roman" w:hAnsi="Times New Roman" w:cs="Times New Roman"/>
          <w:sz w:val="26"/>
          <w:szCs w:val="26"/>
        </w:rPr>
        <w:tab/>
      </w:r>
      <w:r w:rsidRPr="001069BB">
        <w:rPr>
          <w:rFonts w:ascii="Times New Roman" w:hAnsi="Times New Roman" w:cs="Times New Roman"/>
          <w:sz w:val="26"/>
          <w:szCs w:val="26"/>
        </w:rPr>
        <w:tab/>
      </w:r>
      <w:r w:rsidRPr="001069BB">
        <w:rPr>
          <w:rFonts w:ascii="Times New Roman" w:hAnsi="Times New Roman" w:cs="Times New Roman"/>
          <w:sz w:val="26"/>
          <w:szCs w:val="26"/>
        </w:rPr>
        <w:tab/>
      </w:r>
      <w:r w:rsidRPr="001069BB">
        <w:rPr>
          <w:rFonts w:ascii="Times New Roman" w:hAnsi="Times New Roman" w:cs="Times New Roman"/>
          <w:sz w:val="26"/>
          <w:szCs w:val="26"/>
        </w:rPr>
        <w:tab/>
        <w:t>Dace Melbārde</w:t>
      </w:r>
    </w:p>
    <w:p w:rsidR="00E0240A" w:rsidRPr="00E0240A" w:rsidRDefault="00E0240A" w:rsidP="009055FB">
      <w:pPr>
        <w:spacing w:after="0" w:line="240" w:lineRule="auto"/>
        <w:jc w:val="both"/>
        <w:rPr>
          <w:rFonts w:ascii="Times New Roman" w:hAnsi="Times New Roman" w:cs="Times New Roman"/>
          <w:sz w:val="26"/>
          <w:szCs w:val="26"/>
        </w:rPr>
      </w:pPr>
    </w:p>
    <w:p w:rsidR="00E0240A" w:rsidRPr="00E0240A" w:rsidRDefault="00E0240A" w:rsidP="009055FB">
      <w:pPr>
        <w:spacing w:after="0" w:line="240" w:lineRule="auto"/>
        <w:jc w:val="both"/>
        <w:rPr>
          <w:rFonts w:ascii="Times New Roman" w:hAnsi="Times New Roman" w:cs="Times New Roman"/>
          <w:sz w:val="26"/>
          <w:szCs w:val="26"/>
        </w:rPr>
      </w:pPr>
      <w:r w:rsidRPr="00E0240A">
        <w:rPr>
          <w:rFonts w:ascii="Times New Roman" w:hAnsi="Times New Roman" w:cs="Times New Roman"/>
          <w:sz w:val="26"/>
          <w:szCs w:val="26"/>
        </w:rPr>
        <w:tab/>
      </w:r>
    </w:p>
    <w:p w:rsidR="00E0240A" w:rsidRPr="00E0240A" w:rsidRDefault="00E0240A" w:rsidP="009055FB">
      <w:pPr>
        <w:spacing w:after="0" w:line="240" w:lineRule="auto"/>
        <w:ind w:firstLine="720"/>
        <w:jc w:val="both"/>
        <w:rPr>
          <w:rFonts w:ascii="Times New Roman" w:hAnsi="Times New Roman" w:cs="Times New Roman"/>
          <w:sz w:val="26"/>
          <w:szCs w:val="26"/>
        </w:rPr>
      </w:pPr>
      <w:r w:rsidRPr="00E0240A">
        <w:rPr>
          <w:rFonts w:ascii="Times New Roman" w:hAnsi="Times New Roman" w:cs="Times New Roman"/>
          <w:sz w:val="26"/>
          <w:szCs w:val="26"/>
        </w:rPr>
        <w:t>Vizē:</w:t>
      </w:r>
    </w:p>
    <w:p w:rsidR="001B2A20" w:rsidRPr="00E0240A" w:rsidRDefault="00E0240A" w:rsidP="009055FB">
      <w:pPr>
        <w:spacing w:after="0" w:line="240" w:lineRule="auto"/>
        <w:ind w:firstLine="720"/>
        <w:jc w:val="both"/>
        <w:rPr>
          <w:rFonts w:ascii="Times New Roman" w:hAnsi="Times New Roman" w:cs="Times New Roman"/>
          <w:sz w:val="26"/>
          <w:szCs w:val="26"/>
        </w:rPr>
      </w:pPr>
      <w:r w:rsidRPr="00E0240A">
        <w:rPr>
          <w:rFonts w:ascii="Times New Roman" w:hAnsi="Times New Roman" w:cs="Times New Roman"/>
          <w:sz w:val="26"/>
          <w:szCs w:val="26"/>
        </w:rPr>
        <w:t>V</w:t>
      </w:r>
      <w:r w:rsidR="001069BB">
        <w:rPr>
          <w:rFonts w:ascii="Times New Roman" w:hAnsi="Times New Roman" w:cs="Times New Roman"/>
          <w:sz w:val="26"/>
          <w:szCs w:val="26"/>
        </w:rPr>
        <w:t>alsts sekretāre</w:t>
      </w:r>
      <w:r w:rsidR="001069BB">
        <w:rPr>
          <w:rFonts w:ascii="Times New Roman" w:hAnsi="Times New Roman" w:cs="Times New Roman"/>
          <w:sz w:val="26"/>
          <w:szCs w:val="26"/>
        </w:rPr>
        <w:tab/>
      </w:r>
      <w:r w:rsidR="001069BB">
        <w:rPr>
          <w:rFonts w:ascii="Times New Roman" w:hAnsi="Times New Roman" w:cs="Times New Roman"/>
          <w:sz w:val="26"/>
          <w:szCs w:val="26"/>
        </w:rPr>
        <w:tab/>
        <w:t xml:space="preserve">          </w:t>
      </w:r>
      <w:r w:rsidR="001069BB">
        <w:rPr>
          <w:rFonts w:ascii="Times New Roman" w:hAnsi="Times New Roman" w:cs="Times New Roman"/>
          <w:sz w:val="26"/>
          <w:szCs w:val="26"/>
        </w:rPr>
        <w:tab/>
      </w:r>
      <w:r w:rsidR="001069BB">
        <w:rPr>
          <w:rFonts w:ascii="Times New Roman" w:hAnsi="Times New Roman" w:cs="Times New Roman"/>
          <w:sz w:val="26"/>
          <w:szCs w:val="26"/>
        </w:rPr>
        <w:tab/>
      </w:r>
      <w:r w:rsidR="001069BB">
        <w:rPr>
          <w:rFonts w:ascii="Times New Roman" w:hAnsi="Times New Roman" w:cs="Times New Roman"/>
          <w:sz w:val="26"/>
          <w:szCs w:val="26"/>
        </w:rPr>
        <w:tab/>
      </w:r>
      <w:r w:rsidRPr="00E0240A">
        <w:rPr>
          <w:rFonts w:ascii="Times New Roman" w:hAnsi="Times New Roman" w:cs="Times New Roman"/>
          <w:sz w:val="26"/>
          <w:szCs w:val="26"/>
        </w:rPr>
        <w:t>S</w:t>
      </w:r>
      <w:r w:rsidR="001069BB">
        <w:rPr>
          <w:rFonts w:ascii="Times New Roman" w:hAnsi="Times New Roman" w:cs="Times New Roman"/>
          <w:sz w:val="26"/>
          <w:szCs w:val="26"/>
        </w:rPr>
        <w:t xml:space="preserve">anda </w:t>
      </w:r>
      <w:r w:rsidRPr="00E0240A">
        <w:rPr>
          <w:rFonts w:ascii="Times New Roman" w:hAnsi="Times New Roman" w:cs="Times New Roman"/>
          <w:sz w:val="26"/>
          <w:szCs w:val="26"/>
        </w:rPr>
        <w:t>Liepiņa</w:t>
      </w:r>
      <w:r w:rsidRPr="00E0240A">
        <w:rPr>
          <w:rFonts w:ascii="Times New Roman" w:hAnsi="Times New Roman" w:cs="Times New Roman"/>
          <w:sz w:val="26"/>
          <w:szCs w:val="26"/>
        </w:rPr>
        <w:tab/>
      </w:r>
    </w:p>
    <w:p w:rsidR="001B2A20" w:rsidRDefault="001B2A20" w:rsidP="009055FB">
      <w:pPr>
        <w:pStyle w:val="ListParagraph"/>
        <w:spacing w:after="0" w:line="240" w:lineRule="auto"/>
        <w:ind w:firstLine="360"/>
        <w:jc w:val="both"/>
        <w:rPr>
          <w:rFonts w:ascii="Times New Roman" w:hAnsi="Times New Roman" w:cs="Times New Roman"/>
          <w:sz w:val="26"/>
          <w:szCs w:val="26"/>
        </w:rPr>
      </w:pPr>
    </w:p>
    <w:p w:rsidR="00787957" w:rsidRDefault="00787957" w:rsidP="009055FB">
      <w:pPr>
        <w:pStyle w:val="ListParagraph"/>
        <w:spacing w:after="0" w:line="240" w:lineRule="auto"/>
        <w:ind w:firstLine="360"/>
        <w:jc w:val="both"/>
        <w:rPr>
          <w:rFonts w:ascii="Times New Roman" w:hAnsi="Times New Roman" w:cs="Times New Roman"/>
          <w:sz w:val="26"/>
          <w:szCs w:val="26"/>
        </w:rPr>
      </w:pPr>
    </w:p>
    <w:p w:rsidR="00787957" w:rsidRDefault="00787957" w:rsidP="009055FB">
      <w:pPr>
        <w:pStyle w:val="ListParagraph"/>
        <w:spacing w:after="0" w:line="240" w:lineRule="auto"/>
        <w:ind w:firstLine="360"/>
        <w:jc w:val="both"/>
        <w:rPr>
          <w:rFonts w:ascii="Times New Roman" w:hAnsi="Times New Roman" w:cs="Times New Roman"/>
          <w:sz w:val="26"/>
          <w:szCs w:val="26"/>
        </w:rPr>
      </w:pPr>
    </w:p>
    <w:p w:rsidR="0086698D" w:rsidRDefault="00AA0915" w:rsidP="009055FB">
      <w:pPr>
        <w:spacing w:after="0" w:line="240" w:lineRule="auto"/>
        <w:rPr>
          <w:rFonts w:ascii="Times New Roman" w:hAnsi="Times New Roman"/>
          <w:sz w:val="20"/>
        </w:rPr>
      </w:pPr>
      <w:r>
        <w:rPr>
          <w:rFonts w:ascii="Times New Roman" w:hAnsi="Times New Roman"/>
          <w:sz w:val="20"/>
        </w:rPr>
        <w:t>08.10</w:t>
      </w:r>
      <w:r w:rsidR="009E3C2E">
        <w:rPr>
          <w:rFonts w:ascii="Times New Roman" w:hAnsi="Times New Roman"/>
          <w:sz w:val="20"/>
        </w:rPr>
        <w:t>.</w:t>
      </w:r>
      <w:r w:rsidR="0086698D">
        <w:rPr>
          <w:rFonts w:ascii="Times New Roman" w:hAnsi="Times New Roman"/>
          <w:sz w:val="20"/>
        </w:rPr>
        <w:t>2014.</w:t>
      </w:r>
    </w:p>
    <w:p w:rsidR="0086698D" w:rsidRDefault="001069BB" w:rsidP="009055FB">
      <w:pPr>
        <w:spacing w:after="0" w:line="240" w:lineRule="auto"/>
        <w:rPr>
          <w:rFonts w:ascii="Times New Roman" w:hAnsi="Times New Roman"/>
          <w:sz w:val="20"/>
        </w:rPr>
      </w:pPr>
      <w:r>
        <w:rPr>
          <w:rFonts w:ascii="Times New Roman" w:hAnsi="Times New Roman"/>
          <w:sz w:val="20"/>
        </w:rPr>
        <w:t>1</w:t>
      </w:r>
      <w:r w:rsidR="00DD3071">
        <w:rPr>
          <w:rFonts w:ascii="Times New Roman" w:hAnsi="Times New Roman"/>
          <w:sz w:val="20"/>
        </w:rPr>
        <w:t>123</w:t>
      </w:r>
      <w:r w:rsidR="00562A1E">
        <w:rPr>
          <w:rFonts w:ascii="Times New Roman" w:hAnsi="Times New Roman"/>
          <w:sz w:val="20"/>
        </w:rPr>
        <w:t>2</w:t>
      </w:r>
    </w:p>
    <w:p w:rsidR="0086698D" w:rsidRPr="009321E7" w:rsidRDefault="0086698D" w:rsidP="009055FB">
      <w:pPr>
        <w:spacing w:after="0" w:line="240" w:lineRule="auto"/>
        <w:rPr>
          <w:rFonts w:ascii="Times New Roman" w:hAnsi="Times New Roman"/>
          <w:sz w:val="20"/>
        </w:rPr>
      </w:pPr>
      <w:r w:rsidRPr="009321E7">
        <w:rPr>
          <w:rFonts w:ascii="Times New Roman" w:hAnsi="Times New Roman"/>
          <w:sz w:val="20"/>
        </w:rPr>
        <w:t>J.Silka</w:t>
      </w:r>
    </w:p>
    <w:p w:rsidR="0086698D" w:rsidRDefault="0086698D" w:rsidP="009055FB">
      <w:pPr>
        <w:spacing w:after="0" w:line="240" w:lineRule="auto"/>
        <w:rPr>
          <w:rStyle w:val="Hyperlink"/>
          <w:rFonts w:ascii="Times New Roman" w:hAnsi="Times New Roman"/>
          <w:sz w:val="20"/>
        </w:rPr>
      </w:pPr>
      <w:r w:rsidRPr="009321E7">
        <w:rPr>
          <w:rFonts w:ascii="Times New Roman" w:hAnsi="Times New Roman"/>
          <w:sz w:val="20"/>
        </w:rPr>
        <w:t xml:space="preserve">67047785, </w:t>
      </w:r>
      <w:hyperlink r:id="rId11" w:history="1">
        <w:r w:rsidRPr="006105DB">
          <w:rPr>
            <w:rStyle w:val="Hyperlink"/>
            <w:rFonts w:ascii="Times New Roman" w:hAnsi="Times New Roman"/>
            <w:sz w:val="20"/>
          </w:rPr>
          <w:t>jolanta.silka@izm.gov.lv</w:t>
        </w:r>
      </w:hyperlink>
    </w:p>
    <w:p w:rsidR="002977BD" w:rsidRDefault="002977BD" w:rsidP="009055FB">
      <w:pPr>
        <w:spacing w:after="0" w:line="240" w:lineRule="auto"/>
        <w:rPr>
          <w:rFonts w:ascii="Times New Roman" w:hAnsi="Times New Roman"/>
          <w:sz w:val="20"/>
        </w:rPr>
      </w:pPr>
      <w:r>
        <w:rPr>
          <w:rFonts w:ascii="Times New Roman" w:hAnsi="Times New Roman"/>
          <w:sz w:val="20"/>
        </w:rPr>
        <w:t>I.Stūre</w:t>
      </w:r>
    </w:p>
    <w:p w:rsidR="001B2A20" w:rsidRPr="008C65D8" w:rsidRDefault="002977BD" w:rsidP="009055FB">
      <w:pPr>
        <w:spacing w:after="0" w:line="240" w:lineRule="auto"/>
        <w:rPr>
          <w:rFonts w:ascii="Times New Roman" w:hAnsi="Times New Roman" w:cs="Times New Roman"/>
          <w:sz w:val="26"/>
          <w:szCs w:val="26"/>
        </w:rPr>
      </w:pPr>
      <w:r w:rsidRPr="009321E7">
        <w:rPr>
          <w:rFonts w:ascii="Times New Roman" w:hAnsi="Times New Roman"/>
          <w:sz w:val="20"/>
        </w:rPr>
        <w:t>67047</w:t>
      </w:r>
      <w:r>
        <w:rPr>
          <w:rFonts w:ascii="Times New Roman" w:hAnsi="Times New Roman"/>
          <w:sz w:val="20"/>
        </w:rPr>
        <w:t xml:space="preserve">899, </w:t>
      </w:r>
      <w:hyperlink r:id="rId12" w:history="1">
        <w:r w:rsidRPr="005C6D44">
          <w:rPr>
            <w:rStyle w:val="Hyperlink"/>
            <w:rFonts w:ascii="Times New Roman" w:hAnsi="Times New Roman"/>
            <w:sz w:val="20"/>
          </w:rPr>
          <w:t>inese.sture@izm.gov.lv</w:t>
        </w:r>
      </w:hyperlink>
    </w:p>
    <w:sectPr w:rsidR="001B2A20" w:rsidRPr="008C65D8" w:rsidSect="00BB6614">
      <w:headerReference w:type="default" r:id="rId13"/>
      <w:footerReference w:type="default" r:id="rId14"/>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8B" w:rsidRDefault="000E1B8B" w:rsidP="00BB6614">
      <w:pPr>
        <w:spacing w:after="0" w:line="240" w:lineRule="auto"/>
      </w:pPr>
      <w:r>
        <w:separator/>
      </w:r>
    </w:p>
  </w:endnote>
  <w:endnote w:type="continuationSeparator" w:id="0">
    <w:p w:rsidR="000E1B8B" w:rsidRDefault="000E1B8B" w:rsidP="00BB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DF" w:rsidRPr="003B1D57" w:rsidRDefault="006D5EDF">
    <w:pPr>
      <w:pStyle w:val="Footer"/>
      <w:rPr>
        <w:rFonts w:ascii="Times New Roman" w:hAnsi="Times New Roman" w:cs="Times New Roman"/>
        <w:sz w:val="20"/>
        <w:szCs w:val="20"/>
      </w:rPr>
    </w:pPr>
    <w:r>
      <w:rPr>
        <w:rFonts w:ascii="Times New Roman" w:hAnsi="Times New Roman" w:cs="Times New Roman"/>
        <w:sz w:val="20"/>
        <w:szCs w:val="20"/>
      </w:rPr>
      <w:t>IZMkonc_</w:t>
    </w:r>
    <w:r w:rsidR="00562A1E">
      <w:rPr>
        <w:rFonts w:ascii="Times New Roman" w:hAnsi="Times New Roman" w:cs="Times New Roman"/>
        <w:sz w:val="20"/>
        <w:szCs w:val="20"/>
      </w:rPr>
      <w:t>09</w:t>
    </w:r>
    <w:r>
      <w:rPr>
        <w:rFonts w:ascii="Times New Roman" w:hAnsi="Times New Roman" w:cs="Times New Roman"/>
        <w:sz w:val="20"/>
        <w:szCs w:val="20"/>
      </w:rPr>
      <w:t>10</w:t>
    </w:r>
    <w:r w:rsidRPr="00EE1656">
      <w:rPr>
        <w:rFonts w:ascii="Times New Roman" w:hAnsi="Times New Roman" w:cs="Times New Roman"/>
        <w:sz w:val="20"/>
        <w:szCs w:val="20"/>
      </w:rPr>
      <w:t>14_kvalagent</w:t>
    </w:r>
    <w:r>
      <w:rPr>
        <w:rFonts w:ascii="Times New Roman" w:hAnsi="Times New Roman" w:cs="Times New Roman"/>
        <w:sz w:val="20"/>
        <w:szCs w:val="20"/>
      </w:rPr>
      <w:t>; Koncepcija “Latvijas augstākās izglītības ārējās kvalitātes nodrošināšanas sistēmas pilnveide”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8B" w:rsidRDefault="000E1B8B" w:rsidP="00BB6614">
      <w:pPr>
        <w:spacing w:after="0" w:line="240" w:lineRule="auto"/>
      </w:pPr>
      <w:r>
        <w:separator/>
      </w:r>
    </w:p>
  </w:footnote>
  <w:footnote w:type="continuationSeparator" w:id="0">
    <w:p w:rsidR="000E1B8B" w:rsidRDefault="000E1B8B" w:rsidP="00BB6614">
      <w:pPr>
        <w:spacing w:after="0" w:line="240" w:lineRule="auto"/>
      </w:pPr>
      <w:r>
        <w:continuationSeparator/>
      </w:r>
    </w:p>
  </w:footnote>
  <w:footnote w:id="1">
    <w:p w:rsidR="006D5EDF" w:rsidRPr="00F15465" w:rsidRDefault="006D5EDF">
      <w:pPr>
        <w:pStyle w:val="FootnoteText"/>
      </w:pPr>
      <w:r w:rsidRPr="00F15465">
        <w:rPr>
          <w:rStyle w:val="FootnoteReference"/>
        </w:rPr>
        <w:footnoteRef/>
      </w:r>
      <w:r w:rsidRPr="00F15465">
        <w:t xml:space="preserve"> </w:t>
      </w:r>
      <w:r w:rsidRPr="00F15465">
        <w:rPr>
          <w:bCs/>
          <w:noProof/>
        </w:rPr>
        <w:t>ES Padomes ieteikums par Latvijas 2014.gada valsts reformu programmu un ar ko sniedz Padomes atzinumu par Latvijas 2014.gada stabilitātes programmu</w:t>
      </w:r>
      <w:r w:rsidRPr="00F15465">
        <w:t xml:space="preserve"> pieejams: </w:t>
      </w:r>
      <w:r>
        <w:t>h</w:t>
      </w:r>
      <w:r w:rsidRPr="00F15465">
        <w:t>ttp://ec.europa.eu/europe2020/pdf/csr2014/csr2014_latvia_lv.pdf</w:t>
      </w:r>
    </w:p>
  </w:footnote>
  <w:footnote w:id="2">
    <w:p w:rsidR="006D5EDF" w:rsidRPr="009055FB" w:rsidRDefault="006D5EDF" w:rsidP="009055FB">
      <w:pPr>
        <w:autoSpaceDE w:val="0"/>
        <w:autoSpaceDN w:val="0"/>
        <w:adjustRightInd w:val="0"/>
        <w:spacing w:after="0" w:line="240" w:lineRule="auto"/>
        <w:jc w:val="both"/>
        <w:rPr>
          <w:rFonts w:ascii="Times New Roman" w:hAnsi="Times New Roman" w:cs="Times New Roman"/>
          <w:sz w:val="20"/>
          <w:szCs w:val="20"/>
        </w:rPr>
      </w:pPr>
      <w:r w:rsidRPr="009055FB">
        <w:rPr>
          <w:rStyle w:val="FootnoteReference"/>
          <w:rFonts w:ascii="Times New Roman" w:hAnsi="Times New Roman" w:cs="Times New Roman"/>
          <w:sz w:val="20"/>
          <w:szCs w:val="20"/>
        </w:rPr>
        <w:footnoteRef/>
      </w:r>
      <w:r w:rsidRPr="009055FB">
        <w:rPr>
          <w:rFonts w:ascii="Times New Roman" w:hAnsi="Times New Roman" w:cs="Times New Roman"/>
          <w:sz w:val="20"/>
          <w:szCs w:val="20"/>
        </w:rPr>
        <w:t xml:space="preserve"> Informācija par Projekta rezultātiem izklāstīta IZM informatīvajā ziņojumā „</w:t>
      </w:r>
      <w:r w:rsidRPr="009055FB">
        <w:rPr>
          <w:rFonts w:ascii="Times New Roman" w:hAnsi="Times New Roman" w:cs="Times New Roman"/>
          <w:color w:val="000000"/>
          <w:sz w:val="20"/>
          <w:szCs w:val="20"/>
          <w:lang w:eastAsia="zh-CN"/>
        </w:rPr>
        <w:t xml:space="preserve">Par augstākās izglītības studiju programmu izvērtējuma gala rezultātiem, kā arī augstākajai izglītībai piešķirtā valsts budžeta finansējuma izlietojumu 2012.gadā un budžeta vietu sadali 2014.gadā”. Ziņojuma projekts pieejams interneta vietnē </w:t>
      </w:r>
      <w:hyperlink r:id="rId1" w:history="1">
        <w:r w:rsidRPr="009055FB">
          <w:rPr>
            <w:rStyle w:val="Hyperlink"/>
            <w:rFonts w:ascii="Times New Roman" w:hAnsi="Times New Roman" w:cs="Times New Roman"/>
            <w:sz w:val="20"/>
            <w:szCs w:val="20"/>
            <w:lang w:eastAsia="zh-CN"/>
          </w:rPr>
          <w:t>http://www.izm.gov.lv/nozares-politika/izglitiba/augstaka-izglitiba.html</w:t>
        </w:r>
      </w:hyperlink>
    </w:p>
  </w:footnote>
  <w:footnote w:id="3">
    <w:p w:rsidR="006D5EDF" w:rsidRPr="00B24501" w:rsidRDefault="006D5EDF" w:rsidP="00BF480B">
      <w:pPr>
        <w:pStyle w:val="FootnoteText"/>
        <w:jc w:val="both"/>
      </w:pPr>
      <w:r w:rsidRPr="00B24501">
        <w:rPr>
          <w:rStyle w:val="FootnoteReference"/>
        </w:rPr>
        <w:footnoteRef/>
      </w:r>
      <w:r w:rsidRPr="00B24501">
        <w:t xml:space="preserve"> Pieņemti </w:t>
      </w:r>
      <w:r>
        <w:t xml:space="preserve">par augstāko izglītību atbildīgo </w:t>
      </w:r>
      <w:r w:rsidRPr="00B24501">
        <w:t>ministru samitā, 2005.gadā, Bergenā, Norvēģijā un tos izstrādāja darba grupa, kuras sastāvā ir pārstāvji no Eiropas asociācijas kvalitātes nodrošināšanai augstākajā izglītībā (ENQA), Eiropas studentu apvienības (ESU), Eiropas universitāšu asociācijas (EUA), Eiropas augstākās izglītības institūciju asociācijas (EURASHE)</w:t>
      </w:r>
      <w:r>
        <w:t xml:space="preserve">. Dokuments pieejams: </w:t>
      </w:r>
      <w:r w:rsidRPr="00EA4E86">
        <w:t>http://www.enqa.eu/wp-content/uploads/2013/06/ESG_3edition-2.pdf</w:t>
      </w:r>
    </w:p>
  </w:footnote>
  <w:footnote w:id="4">
    <w:p w:rsidR="006D5EDF" w:rsidRDefault="006D5EDF">
      <w:pPr>
        <w:pStyle w:val="FootnoteText"/>
      </w:pPr>
      <w:r>
        <w:rPr>
          <w:rStyle w:val="FootnoteReference"/>
        </w:rPr>
        <w:footnoteRef/>
      </w:r>
      <w:r>
        <w:t xml:space="preserve"> </w:t>
      </w:r>
      <w:r>
        <w:rPr>
          <w:lang w:val="en"/>
        </w:rPr>
        <w:t xml:space="preserve">Revising the Standards and Guidelines for Quality Assurance in the European Higher Education Area Pieejams: </w:t>
      </w:r>
      <w:r w:rsidRPr="002A03C2">
        <w:t>http://issuu.com/revisionesg/docs/esg_revision_-_proposal</w:t>
      </w:r>
    </w:p>
  </w:footnote>
  <w:footnote w:id="5">
    <w:p w:rsidR="006D5EDF" w:rsidRDefault="006D5EDF" w:rsidP="00E102F3">
      <w:r>
        <w:rPr>
          <w:rStyle w:val="FootnoteReference"/>
        </w:rPr>
        <w:footnoteRef/>
      </w:r>
      <w:r>
        <w:t xml:space="preserve"> </w:t>
      </w:r>
      <w:hyperlink r:id="rId2" w:history="1">
        <w:r w:rsidRPr="006967B3">
          <w:rPr>
            <w:rStyle w:val="Hyperlink"/>
            <w:rFonts w:ascii="Times New Roman" w:hAnsi="Times New Roman" w:cs="Times New Roman"/>
            <w:sz w:val="20"/>
            <w:szCs w:val="20"/>
          </w:rPr>
          <w:t>AIKNC statūti</w:t>
        </w:r>
      </w:hyperlink>
      <w:r>
        <w:rPr>
          <w:rFonts w:ascii="Times New Roman" w:hAnsi="Times New Roman" w:cs="Times New Roman"/>
          <w:sz w:val="20"/>
          <w:szCs w:val="20"/>
        </w:rPr>
        <w:t>, ar 2010.g. veiktajiem grozījumiem.</w:t>
      </w:r>
      <w:r w:rsidRPr="006967B3">
        <w:rPr>
          <w:rFonts w:ascii="Times New Roman" w:hAnsi="Times New Roman" w:cs="Times New Roman"/>
          <w:color w:val="365F91" w:themeColor="accent1" w:themeShade="BF"/>
          <w:sz w:val="20"/>
          <w:szCs w:val="20"/>
        </w:rPr>
        <w:t xml:space="preserve"> . pieejami http://www.aiknc.lv/lv/kopmat/</w:t>
      </w:r>
    </w:p>
  </w:footnote>
  <w:footnote w:id="6">
    <w:p w:rsidR="006D5EDF" w:rsidRDefault="006D5EDF" w:rsidP="009067CF">
      <w:pPr>
        <w:pStyle w:val="FootnoteText"/>
        <w:jc w:val="both"/>
      </w:pPr>
      <w:r w:rsidRPr="0033312F">
        <w:rPr>
          <w:rStyle w:val="FootnoteReference"/>
        </w:rPr>
        <w:footnoteRef/>
      </w:r>
      <w:r w:rsidRPr="0033312F">
        <w:t xml:space="preserve"> </w:t>
      </w:r>
      <w:r w:rsidRPr="0033312F">
        <w:rPr>
          <w:lang w:val="en-US"/>
        </w:rPr>
        <w:t>Report of the Panel of the external review of</w:t>
      </w:r>
      <w:r w:rsidRPr="0033312F">
        <w:t xml:space="preserve"> </w:t>
      </w:r>
      <w:r w:rsidRPr="0033312F">
        <w:rPr>
          <w:lang w:val="en-US"/>
        </w:rPr>
        <w:t>Latvian Foundation “</w:t>
      </w:r>
      <w:r w:rsidRPr="0033312F">
        <w:t>HIGHER EDUCATION QUALITY EVALUATION CENTRE” (AIKNC): http://www.aiknc.lv/lv/kopmat/</w:t>
      </w:r>
    </w:p>
  </w:footnote>
  <w:footnote w:id="7">
    <w:p w:rsidR="006D5EDF" w:rsidRPr="00F15465" w:rsidRDefault="006D5EDF" w:rsidP="00E07C8E">
      <w:pPr>
        <w:pStyle w:val="FootnoteText"/>
      </w:pPr>
      <w:r>
        <w:rPr>
          <w:rStyle w:val="FootnoteReference"/>
        </w:rPr>
        <w:footnoteRef/>
      </w:r>
      <w:r>
        <w:t xml:space="preserve"> </w:t>
      </w:r>
      <w:r w:rsidRPr="00F15465">
        <w:rPr>
          <w:bCs/>
          <w:noProof/>
        </w:rPr>
        <w:t>ES Padomes ieteikums par Latvijas 2014.gada valsts reformu programmu un ar ko sniedz Padomes atzinumu par Latvijas 2014.gada stabilitātes programmu</w:t>
      </w:r>
      <w:r w:rsidRPr="00F15465">
        <w:t xml:space="preserve"> pieejams: </w:t>
      </w:r>
      <w:r>
        <w:t>h</w:t>
      </w:r>
      <w:r w:rsidRPr="00F15465">
        <w:t>ttp://ec.europa.eu/europe2020/pdf/csr2014/csr2014_latvia_lv.pdf</w:t>
      </w:r>
    </w:p>
    <w:p w:rsidR="006D5EDF" w:rsidRDefault="006D5EDF">
      <w:pPr>
        <w:pStyle w:val="FootnoteText"/>
      </w:pPr>
    </w:p>
  </w:footnote>
  <w:footnote w:id="8">
    <w:p w:rsidR="006D5EDF" w:rsidRPr="009974B6" w:rsidRDefault="006D5EDF" w:rsidP="00D02539">
      <w:pPr>
        <w:pStyle w:val="FootnoteText"/>
        <w:jc w:val="both"/>
      </w:pPr>
      <w:r>
        <w:rPr>
          <w:rStyle w:val="FootnoteReference"/>
        </w:rPr>
        <w:footnoteRef/>
      </w:r>
      <w:r>
        <w:t xml:space="preserve"> </w:t>
      </w:r>
      <w:r w:rsidRPr="008E0182">
        <w:t xml:space="preserve">Boloņas process - Eiropas vienotās augstākās izglītības telpas veidošanas process. Sākās 1999. gada 19. jūnijā, </w:t>
      </w:r>
      <w:r w:rsidRPr="009974B6">
        <w:t>kad 29 Eiropas valstu izglītības ministri parakstīja Boloņas deklarāciju. Šobrīd Boloņas procesā piedalās 48 valstis.</w:t>
      </w:r>
    </w:p>
  </w:footnote>
  <w:footnote w:id="9">
    <w:p w:rsidR="006D5EDF" w:rsidRPr="000D5FFB" w:rsidRDefault="006D5EDF" w:rsidP="00D02539">
      <w:pPr>
        <w:autoSpaceDE w:val="0"/>
        <w:autoSpaceDN w:val="0"/>
        <w:adjustRightInd w:val="0"/>
        <w:spacing w:after="0" w:line="240" w:lineRule="auto"/>
        <w:jc w:val="both"/>
        <w:rPr>
          <w:rFonts w:eastAsia="Times New Roman"/>
          <w:sz w:val="20"/>
          <w:szCs w:val="20"/>
          <w:lang w:eastAsia="lv-LV"/>
        </w:rPr>
      </w:pPr>
      <w:r w:rsidRPr="009974B6">
        <w:rPr>
          <w:rStyle w:val="FootnoteReference"/>
          <w:rFonts w:ascii="Times New Roman" w:hAnsi="Times New Roman" w:cs="Times New Roman"/>
          <w:sz w:val="20"/>
          <w:szCs w:val="20"/>
        </w:rPr>
        <w:footnoteRef/>
      </w:r>
      <w:r w:rsidRPr="009974B6">
        <w:rPr>
          <w:rFonts w:ascii="Times New Roman" w:hAnsi="Times New Roman" w:cs="Times New Roman"/>
          <w:sz w:val="20"/>
          <w:szCs w:val="20"/>
        </w:rPr>
        <w:t xml:space="preserve"> </w:t>
      </w:r>
      <w:r w:rsidRPr="009974B6">
        <w:rPr>
          <w:rFonts w:ascii="Times New Roman" w:eastAsia="Times New Roman" w:hAnsi="Times New Roman" w:cs="Times New Roman"/>
          <w:sz w:val="20"/>
          <w:szCs w:val="20"/>
          <w:lang w:eastAsia="lv-LV"/>
        </w:rPr>
        <w:t>The Bologna Process Independent Assessment. The first decade of working on the European Higher Education Area Volume 1 Detailed assessment report. http://ec.europa.eu/education/higher-education/doc/bologna_process/independent_assessment_1_detailed_rept.pdf</w:t>
      </w:r>
    </w:p>
  </w:footnote>
  <w:footnote w:id="10">
    <w:p w:rsidR="006D5EDF" w:rsidRDefault="006D5EDF">
      <w:pPr>
        <w:pStyle w:val="FootnoteText"/>
      </w:pPr>
      <w:r>
        <w:rPr>
          <w:rStyle w:val="FootnoteReference"/>
        </w:rPr>
        <w:footnoteRef/>
      </w:r>
      <w:r>
        <w:t xml:space="preserve"> Boloņas procesa ministru sanāksmju dokumenti un pieņemtie komunikē pieejami Boloņas procesa oficiālajā vietnē </w:t>
      </w:r>
      <w:r w:rsidRPr="002C2798">
        <w:t>http://www.ehea.info/article-details.aspx?ArticleId=43</w:t>
      </w:r>
    </w:p>
  </w:footnote>
  <w:footnote w:id="11">
    <w:p w:rsidR="006D5EDF" w:rsidRPr="000B0D40" w:rsidRDefault="006D5EDF" w:rsidP="00D02539">
      <w:pPr>
        <w:pStyle w:val="Default"/>
        <w:jc w:val="both"/>
        <w:rPr>
          <w:sz w:val="20"/>
          <w:szCs w:val="20"/>
        </w:rPr>
      </w:pPr>
      <w:r w:rsidRPr="000B0D40">
        <w:rPr>
          <w:rStyle w:val="FootnoteReference"/>
          <w:sz w:val="20"/>
          <w:szCs w:val="20"/>
        </w:rPr>
        <w:footnoteRef/>
      </w:r>
      <w:r w:rsidRPr="000B0D40">
        <w:rPr>
          <w:sz w:val="20"/>
          <w:szCs w:val="20"/>
        </w:rPr>
        <w:t xml:space="preserve">  </w:t>
      </w:r>
      <w:r w:rsidRPr="000B0D40">
        <w:rPr>
          <w:iCs/>
          <w:sz w:val="20"/>
          <w:szCs w:val="20"/>
        </w:rPr>
        <w:t>Eiropas Augstākās Izglītības Ministru Prāgas 2001. gada 19. maija apspriedes komunikē..</w:t>
      </w:r>
    </w:p>
  </w:footnote>
  <w:footnote w:id="12">
    <w:p w:rsidR="006D5EDF" w:rsidRPr="00B24501" w:rsidRDefault="006D5EDF" w:rsidP="00D02539">
      <w:pPr>
        <w:pStyle w:val="FootnoteText"/>
        <w:jc w:val="both"/>
      </w:pPr>
      <w:r w:rsidRPr="00B24501">
        <w:rPr>
          <w:rStyle w:val="FootnoteReference"/>
        </w:rPr>
        <w:footnoteRef/>
      </w:r>
      <w:r w:rsidRPr="00B24501">
        <w:t xml:space="preserve"> Augstā</w:t>
      </w:r>
      <w:r>
        <w:t>kās izglītības Ministru Komunikē</w:t>
      </w:r>
      <w:r w:rsidRPr="00B24501">
        <w:t xml:space="preserve"> Pieņemts konferencē Berlīnē 2003. gada 19. Septembrī</w:t>
      </w:r>
      <w:r>
        <w:t xml:space="preserve">, pieejams </w:t>
      </w:r>
      <w:r w:rsidRPr="005C030C">
        <w:t>http://www.ehea.info/article-details.aspx?ArticleId=43</w:t>
      </w:r>
    </w:p>
  </w:footnote>
  <w:footnote w:id="13">
    <w:p w:rsidR="006D5EDF" w:rsidRPr="00B24501" w:rsidRDefault="006D5EDF" w:rsidP="00D02539">
      <w:pPr>
        <w:pStyle w:val="FootnoteText"/>
        <w:jc w:val="both"/>
      </w:pPr>
      <w:r w:rsidRPr="00B24501">
        <w:rPr>
          <w:rStyle w:val="FootnoteReference"/>
        </w:rPr>
        <w:footnoteRef/>
      </w:r>
      <w:r w:rsidRPr="00B24501">
        <w:t xml:space="preserve"> Pieņemti ministru, kas atbild par augstāko izglītību, samitā, 2005.gadā, Bergenā, Norvēģijā un tos izstrādāja darba grupa, kuras sastāvā ir pārstāvji no Eiropas asociācijas kvalitātes nodrošināšanai augstākajā izglītībā (ENQA), Eiropas studentu apvienības (ESU), Eiropas universitāšu asociācijas (EUA), Eiropas augstākās izglītības institūciju asociācijas (EURASHE)</w:t>
      </w:r>
      <w:r>
        <w:t xml:space="preserve">. Dokuments pieejams: </w:t>
      </w:r>
      <w:r w:rsidRPr="00EA4E86">
        <w:t>http://www.enqa.eu/wp-content/uploads/2013/06/ESG_3edition-2.pdf</w:t>
      </w:r>
    </w:p>
  </w:footnote>
  <w:footnote w:id="14">
    <w:p w:rsidR="006D5EDF" w:rsidRDefault="006D5EDF" w:rsidP="00E74647">
      <w:pPr>
        <w:pStyle w:val="FootnoteText"/>
        <w:jc w:val="both"/>
      </w:pPr>
      <w:r>
        <w:rPr>
          <w:rStyle w:val="FootnoteReference"/>
        </w:rPr>
        <w:footnoteRef/>
      </w:r>
      <w:r>
        <w:t xml:space="preserve"> Eiropas Augstākās izglītības ministru konferences komunikē Bergenā, 2005. gada 19. – 20. Maijā, pieejams </w:t>
      </w:r>
      <w:r w:rsidRPr="005C030C">
        <w:t>http://www.ehea.info/article-details.aspx?ArticleId=43</w:t>
      </w:r>
    </w:p>
  </w:footnote>
  <w:footnote w:id="15">
    <w:p w:rsidR="006D5EDF" w:rsidRPr="00B24501" w:rsidRDefault="006D5EDF" w:rsidP="00904AFE">
      <w:pPr>
        <w:pStyle w:val="FootnoteText"/>
      </w:pPr>
      <w:r w:rsidRPr="00B24501">
        <w:rPr>
          <w:rStyle w:val="FootnoteReference"/>
        </w:rPr>
        <w:footnoteRef/>
      </w:r>
      <w:r w:rsidRPr="00B24501">
        <w:t xml:space="preserve"> Bukarestes ministru komunikē (2012) http://www.aic.lv/bolona/2010_12/ministerial_12/Bucharest_Communique_2012.pdf</w:t>
      </w:r>
    </w:p>
  </w:footnote>
  <w:footnote w:id="16">
    <w:p w:rsidR="006D5EDF" w:rsidRPr="00B24501" w:rsidRDefault="006D5EDF" w:rsidP="00E74647">
      <w:pPr>
        <w:pStyle w:val="FootnoteText"/>
        <w:jc w:val="both"/>
      </w:pPr>
      <w:r w:rsidRPr="00B24501">
        <w:rPr>
          <w:rStyle w:val="FootnoteReference"/>
        </w:rPr>
        <w:footnoteRef/>
      </w:r>
      <w:r w:rsidRPr="00B24501">
        <w:t xml:space="preserve">The European Higher Education Area in 2012: Bologna process Implementation report. Eurydice. 2012.  </w:t>
      </w:r>
      <w:hyperlink r:id="rId3" w:history="1">
        <w:r w:rsidRPr="00B24501">
          <w:rPr>
            <w:rStyle w:val="Hyperlink"/>
          </w:rPr>
          <w:t>http://www.aic.lv/bolona/2010_12/Reports_2012/BPImplementation_Rep.pdf</w:t>
        </w:r>
      </w:hyperlink>
      <w:r w:rsidRPr="00B24501">
        <w:t xml:space="preserve"> </w:t>
      </w:r>
    </w:p>
  </w:footnote>
  <w:footnote w:id="17">
    <w:p w:rsidR="006D5EDF" w:rsidRPr="001852E9" w:rsidRDefault="006D5EDF" w:rsidP="00E74647">
      <w:pPr>
        <w:pStyle w:val="FootnoteText"/>
        <w:jc w:val="both"/>
      </w:pPr>
      <w:r w:rsidRPr="00B24501">
        <w:rPr>
          <w:rStyle w:val="FootnoteReference"/>
        </w:rPr>
        <w:footnoteRef/>
      </w:r>
      <w:r w:rsidRPr="00B24501">
        <w:t xml:space="preserve"> The Bologna Process Independent Assessment. The first decade of working on the European H</w:t>
      </w:r>
      <w:r w:rsidRPr="001852E9">
        <w:t>igher Education Area Volume 1 Detailed assessment report. http://ec.europa.eu/education/higher-education/doc/bologna_process/independent_assessment_1_detailed_rept.pdf</w:t>
      </w:r>
    </w:p>
  </w:footnote>
  <w:footnote w:id="18">
    <w:p w:rsidR="006D5EDF" w:rsidRPr="001852E9" w:rsidRDefault="006D5EDF" w:rsidP="004F4EDC">
      <w:pPr>
        <w:pStyle w:val="FootnoteText"/>
        <w:jc w:val="both"/>
      </w:pPr>
      <w:r w:rsidRPr="001852E9">
        <w:rPr>
          <w:rStyle w:val="FootnoteReference"/>
        </w:rPr>
        <w:footnoteRef/>
      </w:r>
      <w:r w:rsidRPr="001852E9">
        <w:t xml:space="preserve"> The European Higher Education Area in 2012: Bologna process Implementation report. Eurydice. 2012. </w:t>
      </w:r>
      <w:hyperlink r:id="rId4" w:history="1">
        <w:r w:rsidRPr="001852E9">
          <w:t>http://www.aic.lv/bolona/2010_12/Reports_2012/BPImplementation_Rep.pdf</w:t>
        </w:r>
      </w:hyperlink>
    </w:p>
    <w:p w:rsidR="006D5EDF" w:rsidRPr="001852E9" w:rsidRDefault="006D5EDF" w:rsidP="004F4EDC">
      <w:pPr>
        <w:pStyle w:val="FootnoteText"/>
        <w:jc w:val="both"/>
      </w:pPr>
      <w:r w:rsidRPr="001852E9">
        <w:t>Eiropas asociācijas kvalitātes nodrošināšanai augstākajā izglītībā (ENQA) mājas lapa www.enqa.eu</w:t>
      </w:r>
    </w:p>
  </w:footnote>
  <w:footnote w:id="19">
    <w:p w:rsidR="006D5EDF" w:rsidRDefault="006D5EDF">
      <w:pPr>
        <w:pStyle w:val="FootnoteText"/>
      </w:pPr>
      <w:r>
        <w:rPr>
          <w:rStyle w:val="FootnoteReference"/>
        </w:rPr>
        <w:footnoteRef/>
      </w:r>
      <w:r>
        <w:t xml:space="preserve"> Informācija uz 23.07.2014., pieejama EQAR mājas lapā: </w:t>
      </w:r>
      <w:hyperlink r:id="rId5" w:history="1">
        <w:r w:rsidRPr="00A93CB9">
          <w:rPr>
            <w:rStyle w:val="Hyperlink"/>
          </w:rPr>
          <w:t>http://eqar.eu/register/search.html</w:t>
        </w:r>
      </w:hyperlink>
      <w:r>
        <w:t xml:space="preserve"> </w:t>
      </w:r>
    </w:p>
  </w:footnote>
  <w:footnote w:id="20">
    <w:p w:rsidR="006D5EDF" w:rsidRPr="00D00B6D" w:rsidRDefault="006D5EDF" w:rsidP="006D7794">
      <w:pPr>
        <w:pStyle w:val="FootnoteText"/>
        <w:jc w:val="both"/>
      </w:pPr>
      <w:r w:rsidRPr="00D00B6D">
        <w:rPr>
          <w:rStyle w:val="FootnoteReference"/>
        </w:rPr>
        <w:footnoteRef/>
      </w:r>
      <w:r w:rsidRPr="00D00B6D">
        <w:t xml:space="preserve"> 1998. gada 24. septembra Ieteikums 98/561/EK (OV L 270, 7.10.1998)</w:t>
      </w:r>
    </w:p>
  </w:footnote>
  <w:footnote w:id="21">
    <w:p w:rsidR="006D5EDF" w:rsidRPr="00D00B6D" w:rsidRDefault="006D5EDF" w:rsidP="006D7794">
      <w:pPr>
        <w:pStyle w:val="FootnoteText"/>
        <w:jc w:val="both"/>
      </w:pPr>
      <w:r w:rsidRPr="00D00B6D">
        <w:rPr>
          <w:rStyle w:val="FootnoteReference"/>
        </w:rPr>
        <w:footnoteRef/>
      </w:r>
      <w:r w:rsidRPr="00D00B6D">
        <w:t xml:space="preserve"> 2006. gada 15. februāra Ieteikums 2006/143/EK (OV L 64, 4.3.2006.)</w:t>
      </w:r>
    </w:p>
  </w:footnote>
  <w:footnote w:id="22">
    <w:p w:rsidR="006D5EDF" w:rsidRPr="00D00B6D" w:rsidRDefault="006D5EDF" w:rsidP="006D7794">
      <w:pPr>
        <w:pStyle w:val="FootnoteText"/>
        <w:jc w:val="both"/>
      </w:pPr>
      <w:r w:rsidRPr="00D00B6D">
        <w:rPr>
          <w:rStyle w:val="FootnoteReference"/>
        </w:rPr>
        <w:footnoteRef/>
      </w:r>
      <w:r w:rsidRPr="00D00B6D">
        <w:t xml:space="preserve"> http://eur-lex.europa.eu/LexUriServ/LexUriServ.do?uri=COM:2009:0487:FIN:LV:PDF</w:t>
      </w:r>
    </w:p>
  </w:footnote>
  <w:footnote w:id="23">
    <w:p w:rsidR="006D5EDF" w:rsidRPr="00D00B6D" w:rsidRDefault="006D5EDF" w:rsidP="006D7794">
      <w:pPr>
        <w:pStyle w:val="FootnoteText"/>
        <w:jc w:val="both"/>
      </w:pPr>
      <w:r w:rsidRPr="00D00B6D">
        <w:rPr>
          <w:rStyle w:val="FootnoteReference"/>
        </w:rPr>
        <w:footnoteRef/>
      </w:r>
      <w:r w:rsidRPr="00D00B6D">
        <w:t xml:space="preserve"> Pilnvarojums sniegts </w:t>
      </w:r>
      <w:r w:rsidRPr="00D00B6D">
        <w:rPr>
          <w:color w:val="333333"/>
          <w:szCs w:val="26"/>
        </w:rPr>
        <w:t>ministru tikšanās laikā Londonā, 2007.gada maijā</w:t>
      </w:r>
    </w:p>
  </w:footnote>
  <w:footnote w:id="24">
    <w:p w:rsidR="006D5EDF" w:rsidRPr="00315B1C" w:rsidRDefault="006D5EDF" w:rsidP="006D7794">
      <w:pPr>
        <w:pStyle w:val="FootnoteText"/>
        <w:jc w:val="both"/>
      </w:pPr>
      <w:r w:rsidRPr="00315B1C">
        <w:rPr>
          <w:rStyle w:val="FootnoteReference"/>
        </w:rPr>
        <w:footnoteRef/>
      </w:r>
      <w:r w:rsidRPr="00315B1C">
        <w:t xml:space="preserve"> Eiropas kultūras konvencija (1954.) stājās spēkā</w:t>
      </w:r>
      <w:r w:rsidRPr="00315B1C">
        <w:rPr>
          <w:color w:val="333333"/>
          <w:sz w:val="24"/>
          <w:szCs w:val="24"/>
        </w:rPr>
        <w:t xml:space="preserve"> </w:t>
      </w:r>
      <w:r w:rsidRPr="00315B1C">
        <w:t xml:space="preserve">1992.gadā 7.maijā; http://www.likumi.lv/doc.php?id=71841 </w:t>
      </w:r>
    </w:p>
  </w:footnote>
  <w:footnote w:id="25">
    <w:p w:rsidR="006D5EDF" w:rsidRPr="00B24501" w:rsidRDefault="006D5EDF" w:rsidP="00D02539">
      <w:pPr>
        <w:pStyle w:val="FootnoteText"/>
        <w:jc w:val="both"/>
      </w:pPr>
      <w:r w:rsidRPr="00B24501">
        <w:rPr>
          <w:rStyle w:val="FootnoteReference"/>
        </w:rPr>
        <w:footnoteRef/>
      </w:r>
      <w:r w:rsidRPr="00B24501">
        <w:t xml:space="preserve"> The Bologna Process Independent Assessment. The first decade of working on the European Higher Education Area Volume 1 Detailed assessment report. </w:t>
      </w:r>
      <w:hyperlink r:id="rId6" w:history="1">
        <w:r w:rsidRPr="00B24501">
          <w:t>http://ec.europa.eu/education/higher-education/doc/bologna_process/</w:t>
        </w:r>
      </w:hyperlink>
      <w:r w:rsidRPr="00B24501">
        <w:t xml:space="preserve"> independent_assessment_1_detailed_rept.pdf</w:t>
      </w:r>
    </w:p>
  </w:footnote>
  <w:footnote w:id="26">
    <w:p w:rsidR="006D5EDF" w:rsidRDefault="006D5EDF">
      <w:pPr>
        <w:pStyle w:val="FootnoteText"/>
      </w:pPr>
      <w:r>
        <w:rPr>
          <w:rStyle w:val="FootnoteReference"/>
        </w:rPr>
        <w:footnoteRef/>
      </w:r>
      <w:r>
        <w:t xml:space="preserve"> </w:t>
      </w:r>
      <w:r>
        <w:rPr>
          <w:lang w:val="en"/>
        </w:rPr>
        <w:t xml:space="preserve">Revising the Standards and Guidelines for Quality Assurance in the European Higher Education Area Pieejams: </w:t>
      </w:r>
      <w:r w:rsidRPr="002A03C2">
        <w:t>http://issuu.com/revisionesg/docs/esg_revision_-_proposal</w:t>
      </w:r>
    </w:p>
  </w:footnote>
  <w:footnote w:id="27">
    <w:p w:rsidR="006D5EDF" w:rsidRPr="008C501D" w:rsidRDefault="006D5EDF" w:rsidP="008C501D">
      <w:pPr>
        <w:spacing w:after="0" w:line="240" w:lineRule="auto"/>
        <w:jc w:val="both"/>
        <w:rPr>
          <w:rFonts w:ascii="Times New Roman" w:hAnsi="Times New Roman" w:cs="Times New Roman"/>
          <w:sz w:val="20"/>
          <w:szCs w:val="20"/>
        </w:rPr>
      </w:pPr>
      <w:r>
        <w:rPr>
          <w:rStyle w:val="FootnoteReference"/>
        </w:rPr>
        <w:footnoteRef/>
      </w:r>
      <w:r>
        <w:t xml:space="preserve"> </w:t>
      </w:r>
      <w:r w:rsidRPr="008C501D">
        <w:rPr>
          <w:rFonts w:ascii="Times New Roman" w:hAnsi="Times New Roman" w:cs="Times New Roman"/>
          <w:sz w:val="20"/>
          <w:szCs w:val="20"/>
        </w:rPr>
        <w:t>ReferNet pamatuzdevums ir nodrošināt salīdzināmu informāciju par profesionālās izglītības sistēmas attīstību Eiropas Savienības valstīs.</w:t>
      </w:r>
      <w:r>
        <w:rPr>
          <w:rFonts w:ascii="Times New Roman" w:hAnsi="Times New Roman" w:cs="Times New Roman"/>
          <w:sz w:val="20"/>
          <w:szCs w:val="20"/>
        </w:rPr>
        <w:t xml:space="preserve"> </w:t>
      </w:r>
    </w:p>
    <w:p w:rsidR="006D5EDF" w:rsidRDefault="006D5EDF">
      <w:pPr>
        <w:pStyle w:val="FootnoteText"/>
      </w:pPr>
      <w:r>
        <w:rPr>
          <w:sz w:val="19"/>
          <w:szCs w:val="19"/>
        </w:rPr>
        <w:t xml:space="preserve">ReferNet is a network of institutions created by Cedefop in 2002 to provide information on national vocational education and training (VET) systems and policies in the EU Member States, Iceland and Norway. </w:t>
      </w:r>
      <w:hyperlink r:id="rId7" w:history="1">
        <w:r w:rsidRPr="00677B40">
          <w:rPr>
            <w:rStyle w:val="Hyperlink"/>
            <w:sz w:val="19"/>
            <w:szCs w:val="19"/>
          </w:rPr>
          <w:t>http://www.cedefop.europa.eu/EN/about-cedefop/networks/refernet/refernet.aspx</w:t>
        </w:r>
      </w:hyperlink>
      <w:r w:rsidRPr="00677B40">
        <w:rPr>
          <w:sz w:val="19"/>
          <w:szCs w:val="19"/>
        </w:rPr>
        <w:t xml:space="preserve"> </w:t>
      </w:r>
    </w:p>
  </w:footnote>
  <w:footnote w:id="28">
    <w:p w:rsidR="006D5EDF" w:rsidRPr="008C501D" w:rsidRDefault="006D5EDF" w:rsidP="008C501D">
      <w:pPr>
        <w:spacing w:after="0" w:line="240" w:lineRule="auto"/>
        <w:jc w:val="both"/>
        <w:rPr>
          <w:rFonts w:ascii="Times New Roman" w:hAnsi="Times New Roman" w:cs="Times New Roman"/>
          <w:sz w:val="20"/>
          <w:szCs w:val="20"/>
        </w:rPr>
      </w:pPr>
      <w:r w:rsidRPr="008C501D">
        <w:rPr>
          <w:rStyle w:val="FootnoteReference"/>
          <w:rFonts w:ascii="Times New Roman" w:hAnsi="Times New Roman" w:cs="Times New Roman"/>
          <w:sz w:val="20"/>
          <w:szCs w:val="20"/>
        </w:rPr>
        <w:footnoteRef/>
      </w:r>
      <w:r w:rsidRPr="008C501D">
        <w:rPr>
          <w:rFonts w:ascii="Times New Roman" w:hAnsi="Times New Roman" w:cs="Times New Roman"/>
          <w:sz w:val="20"/>
          <w:szCs w:val="20"/>
        </w:rPr>
        <w:t xml:space="preserve"> Europass ir vienots 5 standartizētu dokumentu kopums zināšanu, prasmju un iemaņu apliecināšanai, kas tika izveidots 2004.gadā un ar Eiropas Parlamenta un Padomes lēmumu 2005.gadā tika ieviests visās Eiropas Savienības un Eiropas Savienības sadarbības valstīs.</w:t>
      </w:r>
    </w:p>
    <w:p w:rsidR="006D5EDF" w:rsidRDefault="006D5EDF">
      <w:pPr>
        <w:pStyle w:val="FootnoteText"/>
      </w:pPr>
    </w:p>
  </w:footnote>
  <w:footnote w:id="29">
    <w:p w:rsidR="006D5EDF" w:rsidRDefault="006D5EDF">
      <w:pPr>
        <w:pStyle w:val="FootnoteText"/>
      </w:pPr>
      <w:r>
        <w:rPr>
          <w:rStyle w:val="FootnoteReference"/>
        </w:rPr>
        <w:footnoteRef/>
      </w:r>
      <w:r>
        <w:t xml:space="preserve"> IZM 2014.gada 14.aprīļa rīkojums Nr.206 “”Par augstākās izglītības akreditācijas stratēģijas veidošanu”</w:t>
      </w:r>
    </w:p>
  </w:footnote>
  <w:footnote w:id="30">
    <w:p w:rsidR="004A24D2" w:rsidRDefault="004A24D2">
      <w:pPr>
        <w:pStyle w:val="FootnoteText"/>
      </w:pPr>
      <w:r>
        <w:rPr>
          <w:rStyle w:val="FootnoteReference"/>
        </w:rPr>
        <w:footnoteRef/>
      </w:r>
      <w:r>
        <w:t xml:space="preserve"> Specifiskais atbalsta mērķis 8.2.4 „Nodrošināt atbalstu EQAR aģentūrai izvirzīto prasību izpildei” ES fondu plānošanas periodā 2014.-2020.gadam.</w:t>
      </w:r>
    </w:p>
  </w:footnote>
  <w:footnote w:id="31">
    <w:p w:rsidR="004A24D2" w:rsidRDefault="004A24D2">
      <w:pPr>
        <w:pStyle w:val="FootnoteText"/>
      </w:pPr>
      <w:r>
        <w:rPr>
          <w:rStyle w:val="FootnoteReference"/>
        </w:rPr>
        <w:footnoteRef/>
      </w:r>
      <w:r>
        <w:t xml:space="preserve"> Plānotais atbalsts specifiskais atbalsta mērķa 8.2.4 „Nodrošināt atbalstu EQAR aģentūrai izvirzīto prasību izpildei” ietvaros ES fondu plānošanas periodā 2014.-2020.gadam.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091240"/>
      <w:docPartObj>
        <w:docPartGallery w:val="Page Numbers (Top of Page)"/>
        <w:docPartUnique/>
      </w:docPartObj>
    </w:sdtPr>
    <w:sdtEndPr>
      <w:rPr>
        <w:rFonts w:ascii="Times New Roman" w:hAnsi="Times New Roman" w:cs="Times New Roman"/>
        <w:noProof/>
        <w:sz w:val="24"/>
        <w:szCs w:val="24"/>
      </w:rPr>
    </w:sdtEndPr>
    <w:sdtContent>
      <w:p w:rsidR="006D5EDF" w:rsidRPr="00BB6614" w:rsidRDefault="006D5EDF">
        <w:pPr>
          <w:pStyle w:val="Header"/>
          <w:jc w:val="center"/>
          <w:rPr>
            <w:rFonts w:ascii="Times New Roman" w:hAnsi="Times New Roman" w:cs="Times New Roman"/>
            <w:sz w:val="24"/>
            <w:szCs w:val="24"/>
          </w:rPr>
        </w:pPr>
        <w:r w:rsidRPr="00BB6614">
          <w:rPr>
            <w:rFonts w:ascii="Times New Roman" w:hAnsi="Times New Roman" w:cs="Times New Roman"/>
            <w:sz w:val="24"/>
            <w:szCs w:val="24"/>
          </w:rPr>
          <w:fldChar w:fldCharType="begin"/>
        </w:r>
        <w:r w:rsidRPr="00BB6614">
          <w:rPr>
            <w:rFonts w:ascii="Times New Roman" w:hAnsi="Times New Roman" w:cs="Times New Roman"/>
            <w:sz w:val="24"/>
            <w:szCs w:val="24"/>
          </w:rPr>
          <w:instrText xml:space="preserve"> PAGE   \* MERGEFORMAT </w:instrText>
        </w:r>
        <w:r w:rsidRPr="00BB6614">
          <w:rPr>
            <w:rFonts w:ascii="Times New Roman" w:hAnsi="Times New Roman" w:cs="Times New Roman"/>
            <w:sz w:val="24"/>
            <w:szCs w:val="24"/>
          </w:rPr>
          <w:fldChar w:fldCharType="separate"/>
        </w:r>
        <w:r w:rsidR="00942F97">
          <w:rPr>
            <w:rFonts w:ascii="Times New Roman" w:hAnsi="Times New Roman" w:cs="Times New Roman"/>
            <w:noProof/>
            <w:sz w:val="24"/>
            <w:szCs w:val="24"/>
          </w:rPr>
          <w:t>4</w:t>
        </w:r>
        <w:r w:rsidRPr="00BB6614">
          <w:rPr>
            <w:rFonts w:ascii="Times New Roman" w:hAnsi="Times New Roman" w:cs="Times New Roman"/>
            <w:noProof/>
            <w:sz w:val="24"/>
            <w:szCs w:val="24"/>
          </w:rPr>
          <w:fldChar w:fldCharType="end"/>
        </w:r>
      </w:p>
    </w:sdtContent>
  </w:sdt>
  <w:p w:rsidR="006D5EDF" w:rsidRDefault="006D5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1775B"/>
    <w:multiLevelType w:val="hybridMultilevel"/>
    <w:tmpl w:val="624ED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AB0B16"/>
    <w:multiLevelType w:val="hybridMultilevel"/>
    <w:tmpl w:val="D97877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404BC4"/>
    <w:multiLevelType w:val="hybridMultilevel"/>
    <w:tmpl w:val="A7946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CD38B2"/>
    <w:multiLevelType w:val="hybridMultilevel"/>
    <w:tmpl w:val="8C18FE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033DD4"/>
    <w:multiLevelType w:val="hybridMultilevel"/>
    <w:tmpl w:val="86C6D00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0A064353"/>
    <w:multiLevelType w:val="hybridMultilevel"/>
    <w:tmpl w:val="ED404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F561BF5"/>
    <w:multiLevelType w:val="hybridMultilevel"/>
    <w:tmpl w:val="75DCE8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4430FF3"/>
    <w:multiLevelType w:val="hybridMultilevel"/>
    <w:tmpl w:val="2564F9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7584E73"/>
    <w:multiLevelType w:val="hybridMultilevel"/>
    <w:tmpl w:val="ACB88D44"/>
    <w:lvl w:ilvl="0" w:tplc="04260001">
      <w:start w:val="1"/>
      <w:numFmt w:val="bullet"/>
      <w:lvlText w:val=""/>
      <w:lvlJc w:val="left"/>
      <w:pPr>
        <w:ind w:left="1050" w:hanging="360"/>
      </w:pPr>
      <w:rPr>
        <w:rFonts w:ascii="Symbol" w:hAnsi="Symbo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11">
    <w:nsid w:val="17C640F9"/>
    <w:multiLevelType w:val="hybridMultilevel"/>
    <w:tmpl w:val="B86A4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92376F3"/>
    <w:multiLevelType w:val="hybridMultilevel"/>
    <w:tmpl w:val="44B8D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AB30597"/>
    <w:multiLevelType w:val="hybridMultilevel"/>
    <w:tmpl w:val="63902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CE82D13"/>
    <w:multiLevelType w:val="hybridMultilevel"/>
    <w:tmpl w:val="D9E0E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E2362C6"/>
    <w:multiLevelType w:val="multilevel"/>
    <w:tmpl w:val="82488D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944898"/>
    <w:multiLevelType w:val="hybridMultilevel"/>
    <w:tmpl w:val="EEA82880"/>
    <w:lvl w:ilvl="0" w:tplc="FB3A8164">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8557E9"/>
    <w:multiLevelType w:val="hybridMultilevel"/>
    <w:tmpl w:val="B9CE9CC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nsid w:val="25C705E3"/>
    <w:multiLevelType w:val="hybridMultilevel"/>
    <w:tmpl w:val="03D8F6F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29C64B18"/>
    <w:multiLevelType w:val="hybridMultilevel"/>
    <w:tmpl w:val="7FA42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3A2A76"/>
    <w:multiLevelType w:val="multilevel"/>
    <w:tmpl w:val="4D04E21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0E67DB"/>
    <w:multiLevelType w:val="hybridMultilevel"/>
    <w:tmpl w:val="118218DC"/>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2">
    <w:nsid w:val="42A73050"/>
    <w:multiLevelType w:val="hybridMultilevel"/>
    <w:tmpl w:val="5B82147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444E27D2"/>
    <w:multiLevelType w:val="hybridMultilevel"/>
    <w:tmpl w:val="68C4C5F8"/>
    <w:lvl w:ilvl="0" w:tplc="DF045AD0">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B105ADF"/>
    <w:multiLevelType w:val="hybridMultilevel"/>
    <w:tmpl w:val="C9AC5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E9D1448"/>
    <w:multiLevelType w:val="hybridMultilevel"/>
    <w:tmpl w:val="BEE4D808"/>
    <w:lvl w:ilvl="0" w:tplc="76F4CB7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6">
    <w:nsid w:val="4F4F4663"/>
    <w:multiLevelType w:val="hybridMultilevel"/>
    <w:tmpl w:val="3AC4C7BE"/>
    <w:lvl w:ilvl="0" w:tplc="CCD49D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7">
    <w:nsid w:val="50E366E3"/>
    <w:multiLevelType w:val="hybridMultilevel"/>
    <w:tmpl w:val="3DF8B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8643F2B"/>
    <w:multiLevelType w:val="hybridMultilevel"/>
    <w:tmpl w:val="19DC8D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5ABA692E"/>
    <w:multiLevelType w:val="hybridMultilevel"/>
    <w:tmpl w:val="A4E8C4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1D56CC6"/>
    <w:multiLevelType w:val="hybridMultilevel"/>
    <w:tmpl w:val="58B23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4A00AA8"/>
    <w:multiLevelType w:val="hybridMultilevel"/>
    <w:tmpl w:val="79C867E8"/>
    <w:lvl w:ilvl="0" w:tplc="BA40BE56">
      <w:start w:val="10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6BE75465"/>
    <w:multiLevelType w:val="hybridMultilevel"/>
    <w:tmpl w:val="9D728D0E"/>
    <w:lvl w:ilvl="0" w:tplc="B37AC77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385898"/>
    <w:multiLevelType w:val="hybridMultilevel"/>
    <w:tmpl w:val="0088A4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EF878AB"/>
    <w:multiLevelType w:val="hybridMultilevel"/>
    <w:tmpl w:val="88861094"/>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35">
    <w:nsid w:val="74D5734A"/>
    <w:multiLevelType w:val="hybridMultilevel"/>
    <w:tmpl w:val="72B87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5D377AA"/>
    <w:multiLevelType w:val="hybridMultilevel"/>
    <w:tmpl w:val="44083AF4"/>
    <w:lvl w:ilvl="0" w:tplc="ED569E78">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7583B70"/>
    <w:multiLevelType w:val="hybridMultilevel"/>
    <w:tmpl w:val="0102EEAA"/>
    <w:lvl w:ilvl="0" w:tplc="CCD49DE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nsid w:val="7BC03598"/>
    <w:multiLevelType w:val="hybridMultilevel"/>
    <w:tmpl w:val="977E5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CC97D01"/>
    <w:multiLevelType w:val="hybridMultilevel"/>
    <w:tmpl w:val="E3BC37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nsid w:val="7D847A2A"/>
    <w:multiLevelType w:val="hybridMultilevel"/>
    <w:tmpl w:val="BD54DC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nsid w:val="7EFF5A3C"/>
    <w:multiLevelType w:val="hybridMultilevel"/>
    <w:tmpl w:val="0B52A290"/>
    <w:lvl w:ilvl="0" w:tplc="24D8C6BE">
      <w:start w:val="10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F4725AB"/>
    <w:multiLevelType w:val="hybridMultilevel"/>
    <w:tmpl w:val="CB0E9358"/>
    <w:lvl w:ilvl="0" w:tplc="AAACFB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F941818"/>
    <w:multiLevelType w:val="hybridMultilevel"/>
    <w:tmpl w:val="EE94592C"/>
    <w:lvl w:ilvl="0" w:tplc="9440C27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41"/>
  </w:num>
  <w:num w:numId="3">
    <w:abstractNumId w:val="31"/>
  </w:num>
  <w:num w:numId="4">
    <w:abstractNumId w:val="16"/>
  </w:num>
  <w:num w:numId="5">
    <w:abstractNumId w:val="26"/>
  </w:num>
  <w:num w:numId="6">
    <w:abstractNumId w:val="37"/>
  </w:num>
  <w:num w:numId="7">
    <w:abstractNumId w:val="20"/>
  </w:num>
  <w:num w:numId="8">
    <w:abstractNumId w:val="42"/>
  </w:num>
  <w:num w:numId="9">
    <w:abstractNumId w:val="32"/>
  </w:num>
  <w:num w:numId="10">
    <w:abstractNumId w:val="0"/>
  </w:num>
  <w:num w:numId="11">
    <w:abstractNumId w:val="30"/>
  </w:num>
  <w:num w:numId="12">
    <w:abstractNumId w:val="18"/>
  </w:num>
  <w:num w:numId="13">
    <w:abstractNumId w:val="13"/>
  </w:num>
  <w:num w:numId="14">
    <w:abstractNumId w:val="33"/>
  </w:num>
  <w:num w:numId="15">
    <w:abstractNumId w:val="14"/>
  </w:num>
  <w:num w:numId="16">
    <w:abstractNumId w:val="21"/>
  </w:num>
  <w:num w:numId="17">
    <w:abstractNumId w:val="34"/>
  </w:num>
  <w:num w:numId="18">
    <w:abstractNumId w:val="19"/>
  </w:num>
  <w:num w:numId="19">
    <w:abstractNumId w:val="35"/>
  </w:num>
  <w:num w:numId="20">
    <w:abstractNumId w:val="28"/>
  </w:num>
  <w:num w:numId="21">
    <w:abstractNumId w:val="6"/>
  </w:num>
  <w:num w:numId="22">
    <w:abstractNumId w:val="27"/>
  </w:num>
  <w:num w:numId="23">
    <w:abstractNumId w:val="3"/>
  </w:num>
  <w:num w:numId="24">
    <w:abstractNumId w:val="17"/>
  </w:num>
  <w:num w:numId="25">
    <w:abstractNumId w:val="25"/>
  </w:num>
  <w:num w:numId="26">
    <w:abstractNumId w:val="23"/>
  </w:num>
  <w:num w:numId="27">
    <w:abstractNumId w:val="40"/>
  </w:num>
  <w:num w:numId="28">
    <w:abstractNumId w:val="22"/>
  </w:num>
  <w:num w:numId="29">
    <w:abstractNumId w:val="5"/>
  </w:num>
  <w:num w:numId="30">
    <w:abstractNumId w:val="38"/>
  </w:num>
  <w:num w:numId="31">
    <w:abstractNumId w:val="43"/>
  </w:num>
  <w:num w:numId="32">
    <w:abstractNumId w:val="9"/>
  </w:num>
  <w:num w:numId="33">
    <w:abstractNumId w:val="7"/>
  </w:num>
  <w:num w:numId="34">
    <w:abstractNumId w:val="2"/>
  </w:num>
  <w:num w:numId="35">
    <w:abstractNumId w:val="11"/>
  </w:num>
  <w:num w:numId="36">
    <w:abstractNumId w:val="1"/>
  </w:num>
  <w:num w:numId="37">
    <w:abstractNumId w:val="24"/>
  </w:num>
  <w:num w:numId="38">
    <w:abstractNumId w:val="36"/>
  </w:num>
  <w:num w:numId="39">
    <w:abstractNumId w:val="12"/>
  </w:num>
  <w:num w:numId="40">
    <w:abstractNumId w:val="10"/>
  </w:num>
  <w:num w:numId="41">
    <w:abstractNumId w:val="29"/>
  </w:num>
  <w:num w:numId="42">
    <w:abstractNumId w:val="4"/>
  </w:num>
  <w:num w:numId="43">
    <w:abstractNumId w:val="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D4"/>
    <w:rsid w:val="00002569"/>
    <w:rsid w:val="00004669"/>
    <w:rsid w:val="0000582B"/>
    <w:rsid w:val="00007C93"/>
    <w:rsid w:val="000140EC"/>
    <w:rsid w:val="000141FB"/>
    <w:rsid w:val="00014F4A"/>
    <w:rsid w:val="000160E7"/>
    <w:rsid w:val="000179DE"/>
    <w:rsid w:val="00020120"/>
    <w:rsid w:val="000203DD"/>
    <w:rsid w:val="00022205"/>
    <w:rsid w:val="00022CC0"/>
    <w:rsid w:val="00030DC7"/>
    <w:rsid w:val="00031C18"/>
    <w:rsid w:val="00034B2C"/>
    <w:rsid w:val="00041F34"/>
    <w:rsid w:val="000441B8"/>
    <w:rsid w:val="00046C65"/>
    <w:rsid w:val="00052412"/>
    <w:rsid w:val="000525D4"/>
    <w:rsid w:val="00055BA6"/>
    <w:rsid w:val="00063D17"/>
    <w:rsid w:val="00063F97"/>
    <w:rsid w:val="00065707"/>
    <w:rsid w:val="00065B6B"/>
    <w:rsid w:val="00076690"/>
    <w:rsid w:val="00081D6C"/>
    <w:rsid w:val="00082AA8"/>
    <w:rsid w:val="00085E52"/>
    <w:rsid w:val="00087C11"/>
    <w:rsid w:val="000917C3"/>
    <w:rsid w:val="00091C16"/>
    <w:rsid w:val="00092A06"/>
    <w:rsid w:val="0009325D"/>
    <w:rsid w:val="00093A10"/>
    <w:rsid w:val="000A206A"/>
    <w:rsid w:val="000A4166"/>
    <w:rsid w:val="000A6F93"/>
    <w:rsid w:val="000A7CD0"/>
    <w:rsid w:val="000B11B2"/>
    <w:rsid w:val="000B3288"/>
    <w:rsid w:val="000C0A97"/>
    <w:rsid w:val="000D143F"/>
    <w:rsid w:val="000D44B4"/>
    <w:rsid w:val="000D6D6A"/>
    <w:rsid w:val="000E1539"/>
    <w:rsid w:val="000E1B8B"/>
    <w:rsid w:val="000E6F61"/>
    <w:rsid w:val="000F3F73"/>
    <w:rsid w:val="000F624D"/>
    <w:rsid w:val="000F7842"/>
    <w:rsid w:val="000F7B87"/>
    <w:rsid w:val="00104320"/>
    <w:rsid w:val="001069BB"/>
    <w:rsid w:val="00110039"/>
    <w:rsid w:val="00111FBE"/>
    <w:rsid w:val="001136AE"/>
    <w:rsid w:val="001152F5"/>
    <w:rsid w:val="00117E18"/>
    <w:rsid w:val="00121F61"/>
    <w:rsid w:val="001319FC"/>
    <w:rsid w:val="0013395F"/>
    <w:rsid w:val="001372D6"/>
    <w:rsid w:val="0014110C"/>
    <w:rsid w:val="001425EF"/>
    <w:rsid w:val="00147E3E"/>
    <w:rsid w:val="001525BE"/>
    <w:rsid w:val="001538A4"/>
    <w:rsid w:val="001538E4"/>
    <w:rsid w:val="0015450E"/>
    <w:rsid w:val="00156A8F"/>
    <w:rsid w:val="00172AFB"/>
    <w:rsid w:val="001814FD"/>
    <w:rsid w:val="001839D6"/>
    <w:rsid w:val="001857F4"/>
    <w:rsid w:val="001941CB"/>
    <w:rsid w:val="001969D7"/>
    <w:rsid w:val="00196FE7"/>
    <w:rsid w:val="001971A6"/>
    <w:rsid w:val="001A1EEB"/>
    <w:rsid w:val="001A7C41"/>
    <w:rsid w:val="001B0E88"/>
    <w:rsid w:val="001B2A20"/>
    <w:rsid w:val="001C41D9"/>
    <w:rsid w:val="001C5576"/>
    <w:rsid w:val="001C59F9"/>
    <w:rsid w:val="001C6078"/>
    <w:rsid w:val="001E39F9"/>
    <w:rsid w:val="001E530C"/>
    <w:rsid w:val="001F13B0"/>
    <w:rsid w:val="001F1A2B"/>
    <w:rsid w:val="001F7459"/>
    <w:rsid w:val="00202ACE"/>
    <w:rsid w:val="00203A1C"/>
    <w:rsid w:val="00203E25"/>
    <w:rsid w:val="00212A83"/>
    <w:rsid w:val="00213963"/>
    <w:rsid w:val="002141B1"/>
    <w:rsid w:val="002179DE"/>
    <w:rsid w:val="002209DD"/>
    <w:rsid w:val="00220DFC"/>
    <w:rsid w:val="00225920"/>
    <w:rsid w:val="00232AB5"/>
    <w:rsid w:val="002352C0"/>
    <w:rsid w:val="00237854"/>
    <w:rsid w:val="00242531"/>
    <w:rsid w:val="00251505"/>
    <w:rsid w:val="00261291"/>
    <w:rsid w:val="002625C2"/>
    <w:rsid w:val="00266493"/>
    <w:rsid w:val="00266FB1"/>
    <w:rsid w:val="00270A10"/>
    <w:rsid w:val="0027467A"/>
    <w:rsid w:val="00274700"/>
    <w:rsid w:val="002767E9"/>
    <w:rsid w:val="00280EBE"/>
    <w:rsid w:val="00281124"/>
    <w:rsid w:val="0028243B"/>
    <w:rsid w:val="002840A8"/>
    <w:rsid w:val="002861A2"/>
    <w:rsid w:val="00291541"/>
    <w:rsid w:val="00293353"/>
    <w:rsid w:val="002936F5"/>
    <w:rsid w:val="002945F9"/>
    <w:rsid w:val="00295654"/>
    <w:rsid w:val="002967B8"/>
    <w:rsid w:val="002977BD"/>
    <w:rsid w:val="002A03C2"/>
    <w:rsid w:val="002A0CBD"/>
    <w:rsid w:val="002B0378"/>
    <w:rsid w:val="002B2F40"/>
    <w:rsid w:val="002C1512"/>
    <w:rsid w:val="002C2798"/>
    <w:rsid w:val="002C5558"/>
    <w:rsid w:val="002D2FD4"/>
    <w:rsid w:val="002D3543"/>
    <w:rsid w:val="002D3F19"/>
    <w:rsid w:val="002D5CF0"/>
    <w:rsid w:val="002E1123"/>
    <w:rsid w:val="002E1ED4"/>
    <w:rsid w:val="002E6F10"/>
    <w:rsid w:val="002E71C4"/>
    <w:rsid w:val="002F1814"/>
    <w:rsid w:val="003015FB"/>
    <w:rsid w:val="00304470"/>
    <w:rsid w:val="00310087"/>
    <w:rsid w:val="00315FD6"/>
    <w:rsid w:val="003224D9"/>
    <w:rsid w:val="003311C0"/>
    <w:rsid w:val="00332297"/>
    <w:rsid w:val="0033444A"/>
    <w:rsid w:val="00334801"/>
    <w:rsid w:val="00335A88"/>
    <w:rsid w:val="00337AAC"/>
    <w:rsid w:val="00341AC6"/>
    <w:rsid w:val="0034236E"/>
    <w:rsid w:val="003425CE"/>
    <w:rsid w:val="003504CA"/>
    <w:rsid w:val="00355509"/>
    <w:rsid w:val="00356E48"/>
    <w:rsid w:val="00360779"/>
    <w:rsid w:val="00362184"/>
    <w:rsid w:val="00366A8F"/>
    <w:rsid w:val="0036784F"/>
    <w:rsid w:val="00371246"/>
    <w:rsid w:val="003774A1"/>
    <w:rsid w:val="00377B12"/>
    <w:rsid w:val="00377E8C"/>
    <w:rsid w:val="003939DA"/>
    <w:rsid w:val="00397BB2"/>
    <w:rsid w:val="003A3939"/>
    <w:rsid w:val="003A3C90"/>
    <w:rsid w:val="003A5236"/>
    <w:rsid w:val="003A536F"/>
    <w:rsid w:val="003B1D57"/>
    <w:rsid w:val="003B2163"/>
    <w:rsid w:val="003B5F73"/>
    <w:rsid w:val="003B7BF4"/>
    <w:rsid w:val="003B7CA1"/>
    <w:rsid w:val="003C1AF7"/>
    <w:rsid w:val="003C246B"/>
    <w:rsid w:val="003C64E3"/>
    <w:rsid w:val="003D071C"/>
    <w:rsid w:val="003D0B0E"/>
    <w:rsid w:val="003D171E"/>
    <w:rsid w:val="003E1EE6"/>
    <w:rsid w:val="003E5A8F"/>
    <w:rsid w:val="003E60A8"/>
    <w:rsid w:val="003E6734"/>
    <w:rsid w:val="003E72A4"/>
    <w:rsid w:val="003E7BD0"/>
    <w:rsid w:val="003F55CE"/>
    <w:rsid w:val="003F7926"/>
    <w:rsid w:val="00400BC7"/>
    <w:rsid w:val="00404A0E"/>
    <w:rsid w:val="00410783"/>
    <w:rsid w:val="004114F0"/>
    <w:rsid w:val="00411BA9"/>
    <w:rsid w:val="00426A05"/>
    <w:rsid w:val="00427F0E"/>
    <w:rsid w:val="004300A7"/>
    <w:rsid w:val="004301AB"/>
    <w:rsid w:val="004323BE"/>
    <w:rsid w:val="0043521E"/>
    <w:rsid w:val="00454F46"/>
    <w:rsid w:val="00467B7B"/>
    <w:rsid w:val="00473C17"/>
    <w:rsid w:val="00477D1F"/>
    <w:rsid w:val="00486EE2"/>
    <w:rsid w:val="00487DED"/>
    <w:rsid w:val="00490C21"/>
    <w:rsid w:val="004915A7"/>
    <w:rsid w:val="00494A23"/>
    <w:rsid w:val="00495DAF"/>
    <w:rsid w:val="004A24D2"/>
    <w:rsid w:val="004A525A"/>
    <w:rsid w:val="004A643F"/>
    <w:rsid w:val="004B29B9"/>
    <w:rsid w:val="004B47E6"/>
    <w:rsid w:val="004B5BF4"/>
    <w:rsid w:val="004B5CCD"/>
    <w:rsid w:val="004B6B2A"/>
    <w:rsid w:val="004C172F"/>
    <w:rsid w:val="004C2964"/>
    <w:rsid w:val="004C52DC"/>
    <w:rsid w:val="004C7B97"/>
    <w:rsid w:val="004C7CEF"/>
    <w:rsid w:val="004D42B9"/>
    <w:rsid w:val="004D4BCF"/>
    <w:rsid w:val="004E1B50"/>
    <w:rsid w:val="004F0914"/>
    <w:rsid w:val="004F0BE6"/>
    <w:rsid w:val="004F0E3E"/>
    <w:rsid w:val="004F1E09"/>
    <w:rsid w:val="004F4EDC"/>
    <w:rsid w:val="004F63B8"/>
    <w:rsid w:val="00502419"/>
    <w:rsid w:val="00502C73"/>
    <w:rsid w:val="00507515"/>
    <w:rsid w:val="00507B09"/>
    <w:rsid w:val="00510229"/>
    <w:rsid w:val="00510F1B"/>
    <w:rsid w:val="00512AFA"/>
    <w:rsid w:val="00513A2F"/>
    <w:rsid w:val="00516386"/>
    <w:rsid w:val="005208D6"/>
    <w:rsid w:val="0053048C"/>
    <w:rsid w:val="00530BDD"/>
    <w:rsid w:val="00532930"/>
    <w:rsid w:val="0054310E"/>
    <w:rsid w:val="0054392D"/>
    <w:rsid w:val="00543D41"/>
    <w:rsid w:val="00543E13"/>
    <w:rsid w:val="0054495B"/>
    <w:rsid w:val="00550F90"/>
    <w:rsid w:val="005531A6"/>
    <w:rsid w:val="00555031"/>
    <w:rsid w:val="005606FB"/>
    <w:rsid w:val="0056139A"/>
    <w:rsid w:val="00561BBC"/>
    <w:rsid w:val="005627FB"/>
    <w:rsid w:val="00562A1E"/>
    <w:rsid w:val="00566A0E"/>
    <w:rsid w:val="00566E77"/>
    <w:rsid w:val="00567BC2"/>
    <w:rsid w:val="00571A39"/>
    <w:rsid w:val="005732FF"/>
    <w:rsid w:val="005737F7"/>
    <w:rsid w:val="005757EE"/>
    <w:rsid w:val="0057586C"/>
    <w:rsid w:val="00577446"/>
    <w:rsid w:val="00591641"/>
    <w:rsid w:val="00593C58"/>
    <w:rsid w:val="005A0ED8"/>
    <w:rsid w:val="005B025B"/>
    <w:rsid w:val="005B4064"/>
    <w:rsid w:val="005C030C"/>
    <w:rsid w:val="005C1956"/>
    <w:rsid w:val="005C46BB"/>
    <w:rsid w:val="005C4C11"/>
    <w:rsid w:val="005C4F1A"/>
    <w:rsid w:val="005C776B"/>
    <w:rsid w:val="005D09CF"/>
    <w:rsid w:val="005E1DCD"/>
    <w:rsid w:val="005E3A6C"/>
    <w:rsid w:val="005E495C"/>
    <w:rsid w:val="0060115D"/>
    <w:rsid w:val="00606F65"/>
    <w:rsid w:val="00611EBE"/>
    <w:rsid w:val="00614C7C"/>
    <w:rsid w:val="00616135"/>
    <w:rsid w:val="00620EA4"/>
    <w:rsid w:val="00625425"/>
    <w:rsid w:val="0062547D"/>
    <w:rsid w:val="00636698"/>
    <w:rsid w:val="00640D31"/>
    <w:rsid w:val="00640D3E"/>
    <w:rsid w:val="0064693B"/>
    <w:rsid w:val="00650BD2"/>
    <w:rsid w:val="00654249"/>
    <w:rsid w:val="00655BB4"/>
    <w:rsid w:val="006603D9"/>
    <w:rsid w:val="006607C9"/>
    <w:rsid w:val="00664B6C"/>
    <w:rsid w:val="00665377"/>
    <w:rsid w:val="006679DA"/>
    <w:rsid w:val="00670981"/>
    <w:rsid w:val="00677B40"/>
    <w:rsid w:val="006837A8"/>
    <w:rsid w:val="00684F09"/>
    <w:rsid w:val="00690826"/>
    <w:rsid w:val="00694927"/>
    <w:rsid w:val="00697224"/>
    <w:rsid w:val="006A47E0"/>
    <w:rsid w:val="006B054A"/>
    <w:rsid w:val="006B1CA1"/>
    <w:rsid w:val="006B33EA"/>
    <w:rsid w:val="006C0529"/>
    <w:rsid w:val="006C65DA"/>
    <w:rsid w:val="006D0086"/>
    <w:rsid w:val="006D5EDF"/>
    <w:rsid w:val="006D7794"/>
    <w:rsid w:val="006E3DDC"/>
    <w:rsid w:val="006E5454"/>
    <w:rsid w:val="006E6101"/>
    <w:rsid w:val="006E786A"/>
    <w:rsid w:val="006E78EB"/>
    <w:rsid w:val="006F21A7"/>
    <w:rsid w:val="006F7271"/>
    <w:rsid w:val="007010DC"/>
    <w:rsid w:val="007017D7"/>
    <w:rsid w:val="0070281A"/>
    <w:rsid w:val="00704ACD"/>
    <w:rsid w:val="00710632"/>
    <w:rsid w:val="00710EA4"/>
    <w:rsid w:val="00716066"/>
    <w:rsid w:val="0072251D"/>
    <w:rsid w:val="00736272"/>
    <w:rsid w:val="00736FBA"/>
    <w:rsid w:val="007379EE"/>
    <w:rsid w:val="00741C51"/>
    <w:rsid w:val="0074286D"/>
    <w:rsid w:val="00745BD6"/>
    <w:rsid w:val="00750CAB"/>
    <w:rsid w:val="00751451"/>
    <w:rsid w:val="00754393"/>
    <w:rsid w:val="0076340B"/>
    <w:rsid w:val="00764950"/>
    <w:rsid w:val="00771474"/>
    <w:rsid w:val="007752F5"/>
    <w:rsid w:val="00775DB1"/>
    <w:rsid w:val="00787957"/>
    <w:rsid w:val="00797E6C"/>
    <w:rsid w:val="00797F27"/>
    <w:rsid w:val="007A1CDE"/>
    <w:rsid w:val="007A71B6"/>
    <w:rsid w:val="007A7B6A"/>
    <w:rsid w:val="007B21F9"/>
    <w:rsid w:val="007B55E0"/>
    <w:rsid w:val="007C0520"/>
    <w:rsid w:val="007C0D59"/>
    <w:rsid w:val="007C16CA"/>
    <w:rsid w:val="007C2CB6"/>
    <w:rsid w:val="007E1D84"/>
    <w:rsid w:val="007E43DA"/>
    <w:rsid w:val="007F4163"/>
    <w:rsid w:val="007F4795"/>
    <w:rsid w:val="00813E41"/>
    <w:rsid w:val="008149B9"/>
    <w:rsid w:val="008155BD"/>
    <w:rsid w:val="00815ADC"/>
    <w:rsid w:val="0082541B"/>
    <w:rsid w:val="008268F4"/>
    <w:rsid w:val="00827C5F"/>
    <w:rsid w:val="00833537"/>
    <w:rsid w:val="00834DBF"/>
    <w:rsid w:val="008403FD"/>
    <w:rsid w:val="008442D1"/>
    <w:rsid w:val="008462B1"/>
    <w:rsid w:val="00852E86"/>
    <w:rsid w:val="00854D2A"/>
    <w:rsid w:val="00860457"/>
    <w:rsid w:val="008605E6"/>
    <w:rsid w:val="00865D0A"/>
    <w:rsid w:val="0086698D"/>
    <w:rsid w:val="008678B9"/>
    <w:rsid w:val="00872228"/>
    <w:rsid w:val="00876DC8"/>
    <w:rsid w:val="008814C3"/>
    <w:rsid w:val="0089574A"/>
    <w:rsid w:val="008969B9"/>
    <w:rsid w:val="008A272D"/>
    <w:rsid w:val="008A5D9A"/>
    <w:rsid w:val="008B06D7"/>
    <w:rsid w:val="008B438D"/>
    <w:rsid w:val="008B4EE2"/>
    <w:rsid w:val="008B6701"/>
    <w:rsid w:val="008C17EA"/>
    <w:rsid w:val="008C1AF0"/>
    <w:rsid w:val="008C501D"/>
    <w:rsid w:val="008C61BD"/>
    <w:rsid w:val="008C65D8"/>
    <w:rsid w:val="008C7A96"/>
    <w:rsid w:val="008D5884"/>
    <w:rsid w:val="008D5E4D"/>
    <w:rsid w:val="008E0A75"/>
    <w:rsid w:val="008E3D9A"/>
    <w:rsid w:val="008F1B31"/>
    <w:rsid w:val="008F3B3E"/>
    <w:rsid w:val="009016C2"/>
    <w:rsid w:val="009026B7"/>
    <w:rsid w:val="00904AFE"/>
    <w:rsid w:val="009055FB"/>
    <w:rsid w:val="009067CF"/>
    <w:rsid w:val="00911199"/>
    <w:rsid w:val="0091360D"/>
    <w:rsid w:val="0091512E"/>
    <w:rsid w:val="00915E7D"/>
    <w:rsid w:val="009217BF"/>
    <w:rsid w:val="00923162"/>
    <w:rsid w:val="00924452"/>
    <w:rsid w:val="009245AF"/>
    <w:rsid w:val="00925D37"/>
    <w:rsid w:val="00927E3E"/>
    <w:rsid w:val="0093149F"/>
    <w:rsid w:val="00932E0D"/>
    <w:rsid w:val="009343F3"/>
    <w:rsid w:val="009351AA"/>
    <w:rsid w:val="00942F97"/>
    <w:rsid w:val="0094625A"/>
    <w:rsid w:val="009513C2"/>
    <w:rsid w:val="009545A3"/>
    <w:rsid w:val="00955541"/>
    <w:rsid w:val="00955BE4"/>
    <w:rsid w:val="00961AF8"/>
    <w:rsid w:val="009632EA"/>
    <w:rsid w:val="009633C0"/>
    <w:rsid w:val="00980083"/>
    <w:rsid w:val="00982AC8"/>
    <w:rsid w:val="00985355"/>
    <w:rsid w:val="009947D0"/>
    <w:rsid w:val="00997373"/>
    <w:rsid w:val="009974B6"/>
    <w:rsid w:val="00997509"/>
    <w:rsid w:val="009A2F5B"/>
    <w:rsid w:val="009A64CE"/>
    <w:rsid w:val="009B21A5"/>
    <w:rsid w:val="009B28DB"/>
    <w:rsid w:val="009C14B6"/>
    <w:rsid w:val="009C35DC"/>
    <w:rsid w:val="009D0C07"/>
    <w:rsid w:val="009D1732"/>
    <w:rsid w:val="009D2811"/>
    <w:rsid w:val="009D4AE9"/>
    <w:rsid w:val="009D5260"/>
    <w:rsid w:val="009D7386"/>
    <w:rsid w:val="009E1BC8"/>
    <w:rsid w:val="009E3C2E"/>
    <w:rsid w:val="009E7120"/>
    <w:rsid w:val="009F1559"/>
    <w:rsid w:val="009F2565"/>
    <w:rsid w:val="009F667D"/>
    <w:rsid w:val="00A01416"/>
    <w:rsid w:val="00A06EE5"/>
    <w:rsid w:val="00A06FC8"/>
    <w:rsid w:val="00A133C1"/>
    <w:rsid w:val="00A13697"/>
    <w:rsid w:val="00A16717"/>
    <w:rsid w:val="00A16874"/>
    <w:rsid w:val="00A1757C"/>
    <w:rsid w:val="00A3301E"/>
    <w:rsid w:val="00A33A4A"/>
    <w:rsid w:val="00A42455"/>
    <w:rsid w:val="00A45BA9"/>
    <w:rsid w:val="00A52B90"/>
    <w:rsid w:val="00A569A1"/>
    <w:rsid w:val="00A574AB"/>
    <w:rsid w:val="00A63A10"/>
    <w:rsid w:val="00A77841"/>
    <w:rsid w:val="00A8137F"/>
    <w:rsid w:val="00A83036"/>
    <w:rsid w:val="00AA0915"/>
    <w:rsid w:val="00AB4F93"/>
    <w:rsid w:val="00AC3B41"/>
    <w:rsid w:val="00AC46C1"/>
    <w:rsid w:val="00AC502A"/>
    <w:rsid w:val="00AC6833"/>
    <w:rsid w:val="00AD7A70"/>
    <w:rsid w:val="00AE1F06"/>
    <w:rsid w:val="00AE7266"/>
    <w:rsid w:val="00AE7C2D"/>
    <w:rsid w:val="00AF1828"/>
    <w:rsid w:val="00AF1C34"/>
    <w:rsid w:val="00AF1D55"/>
    <w:rsid w:val="00AF54F2"/>
    <w:rsid w:val="00AF6418"/>
    <w:rsid w:val="00B014F9"/>
    <w:rsid w:val="00B01F8F"/>
    <w:rsid w:val="00B03347"/>
    <w:rsid w:val="00B04C1A"/>
    <w:rsid w:val="00B05239"/>
    <w:rsid w:val="00B16272"/>
    <w:rsid w:val="00B211EB"/>
    <w:rsid w:val="00B24C37"/>
    <w:rsid w:val="00B32C46"/>
    <w:rsid w:val="00B33A6E"/>
    <w:rsid w:val="00B34627"/>
    <w:rsid w:val="00B34989"/>
    <w:rsid w:val="00B40B76"/>
    <w:rsid w:val="00B41226"/>
    <w:rsid w:val="00B41B53"/>
    <w:rsid w:val="00B44DE1"/>
    <w:rsid w:val="00B57D4D"/>
    <w:rsid w:val="00B616C5"/>
    <w:rsid w:val="00B629D4"/>
    <w:rsid w:val="00B63883"/>
    <w:rsid w:val="00B658D5"/>
    <w:rsid w:val="00B66139"/>
    <w:rsid w:val="00B67815"/>
    <w:rsid w:val="00B75A1B"/>
    <w:rsid w:val="00B80238"/>
    <w:rsid w:val="00B81366"/>
    <w:rsid w:val="00B8265E"/>
    <w:rsid w:val="00B9086F"/>
    <w:rsid w:val="00B96A98"/>
    <w:rsid w:val="00BA600B"/>
    <w:rsid w:val="00BB33AD"/>
    <w:rsid w:val="00BB6614"/>
    <w:rsid w:val="00BB675C"/>
    <w:rsid w:val="00BB792F"/>
    <w:rsid w:val="00BC5BF7"/>
    <w:rsid w:val="00BD57C8"/>
    <w:rsid w:val="00BD6D93"/>
    <w:rsid w:val="00BE2840"/>
    <w:rsid w:val="00BE31F6"/>
    <w:rsid w:val="00BF0254"/>
    <w:rsid w:val="00BF3936"/>
    <w:rsid w:val="00BF480B"/>
    <w:rsid w:val="00BF55B7"/>
    <w:rsid w:val="00C02CAE"/>
    <w:rsid w:val="00C04CD9"/>
    <w:rsid w:val="00C05AA3"/>
    <w:rsid w:val="00C1123D"/>
    <w:rsid w:val="00C17439"/>
    <w:rsid w:val="00C208EA"/>
    <w:rsid w:val="00C252CD"/>
    <w:rsid w:val="00C31CE3"/>
    <w:rsid w:val="00C32D24"/>
    <w:rsid w:val="00C361AC"/>
    <w:rsid w:val="00C41AD7"/>
    <w:rsid w:val="00C42CA8"/>
    <w:rsid w:val="00C469E7"/>
    <w:rsid w:val="00C470D3"/>
    <w:rsid w:val="00C51347"/>
    <w:rsid w:val="00C53D8D"/>
    <w:rsid w:val="00C56EF1"/>
    <w:rsid w:val="00C64BEC"/>
    <w:rsid w:val="00C67DFA"/>
    <w:rsid w:val="00C856B3"/>
    <w:rsid w:val="00C90D94"/>
    <w:rsid w:val="00C97164"/>
    <w:rsid w:val="00CA0139"/>
    <w:rsid w:val="00CA29A1"/>
    <w:rsid w:val="00CA47F0"/>
    <w:rsid w:val="00CA5F04"/>
    <w:rsid w:val="00CA73D5"/>
    <w:rsid w:val="00CB2C8D"/>
    <w:rsid w:val="00CC12E3"/>
    <w:rsid w:val="00CC22C8"/>
    <w:rsid w:val="00CC2E1A"/>
    <w:rsid w:val="00CC2EEB"/>
    <w:rsid w:val="00CC43AC"/>
    <w:rsid w:val="00CC6E2E"/>
    <w:rsid w:val="00CD5B47"/>
    <w:rsid w:val="00CD7BFA"/>
    <w:rsid w:val="00CE58A3"/>
    <w:rsid w:val="00CE5B7F"/>
    <w:rsid w:val="00CE6074"/>
    <w:rsid w:val="00CE7125"/>
    <w:rsid w:val="00CE769A"/>
    <w:rsid w:val="00CF106F"/>
    <w:rsid w:val="00D02539"/>
    <w:rsid w:val="00D12A9E"/>
    <w:rsid w:val="00D24E15"/>
    <w:rsid w:val="00D252A0"/>
    <w:rsid w:val="00D305D3"/>
    <w:rsid w:val="00D31AA4"/>
    <w:rsid w:val="00D32171"/>
    <w:rsid w:val="00D45FF2"/>
    <w:rsid w:val="00D5359D"/>
    <w:rsid w:val="00D54186"/>
    <w:rsid w:val="00D57DBF"/>
    <w:rsid w:val="00D6266D"/>
    <w:rsid w:val="00D73F15"/>
    <w:rsid w:val="00D77E21"/>
    <w:rsid w:val="00D81D3A"/>
    <w:rsid w:val="00D836F8"/>
    <w:rsid w:val="00D838CA"/>
    <w:rsid w:val="00D84D68"/>
    <w:rsid w:val="00D87CE5"/>
    <w:rsid w:val="00D907DA"/>
    <w:rsid w:val="00D90FE2"/>
    <w:rsid w:val="00D96F14"/>
    <w:rsid w:val="00DA1ACC"/>
    <w:rsid w:val="00DA483A"/>
    <w:rsid w:val="00DA68E0"/>
    <w:rsid w:val="00DB3677"/>
    <w:rsid w:val="00DB63B8"/>
    <w:rsid w:val="00DC3AE4"/>
    <w:rsid w:val="00DC508E"/>
    <w:rsid w:val="00DC53B8"/>
    <w:rsid w:val="00DD2AE4"/>
    <w:rsid w:val="00DD3071"/>
    <w:rsid w:val="00DF48D0"/>
    <w:rsid w:val="00DF5E61"/>
    <w:rsid w:val="00DF6BC1"/>
    <w:rsid w:val="00E0240A"/>
    <w:rsid w:val="00E031F9"/>
    <w:rsid w:val="00E0574F"/>
    <w:rsid w:val="00E07C8E"/>
    <w:rsid w:val="00E102F3"/>
    <w:rsid w:val="00E109B7"/>
    <w:rsid w:val="00E11539"/>
    <w:rsid w:val="00E11E04"/>
    <w:rsid w:val="00E13B82"/>
    <w:rsid w:val="00E14398"/>
    <w:rsid w:val="00E308F4"/>
    <w:rsid w:val="00E30F3F"/>
    <w:rsid w:val="00E36F9C"/>
    <w:rsid w:val="00E41597"/>
    <w:rsid w:val="00E41D58"/>
    <w:rsid w:val="00E43DBE"/>
    <w:rsid w:val="00E46E92"/>
    <w:rsid w:val="00E64CBB"/>
    <w:rsid w:val="00E66D8B"/>
    <w:rsid w:val="00E74647"/>
    <w:rsid w:val="00E77E8B"/>
    <w:rsid w:val="00E82C71"/>
    <w:rsid w:val="00E83EB5"/>
    <w:rsid w:val="00E844A2"/>
    <w:rsid w:val="00E95AA8"/>
    <w:rsid w:val="00EA06DD"/>
    <w:rsid w:val="00EA2C02"/>
    <w:rsid w:val="00EA4E86"/>
    <w:rsid w:val="00EB1051"/>
    <w:rsid w:val="00EB28EB"/>
    <w:rsid w:val="00EB492C"/>
    <w:rsid w:val="00EB6E1A"/>
    <w:rsid w:val="00EB7442"/>
    <w:rsid w:val="00EC0709"/>
    <w:rsid w:val="00EC60AE"/>
    <w:rsid w:val="00ED088F"/>
    <w:rsid w:val="00ED2356"/>
    <w:rsid w:val="00ED4F07"/>
    <w:rsid w:val="00EE1656"/>
    <w:rsid w:val="00EE5758"/>
    <w:rsid w:val="00EE619D"/>
    <w:rsid w:val="00EE61EE"/>
    <w:rsid w:val="00EF1B84"/>
    <w:rsid w:val="00EF45C2"/>
    <w:rsid w:val="00EF5183"/>
    <w:rsid w:val="00F01E85"/>
    <w:rsid w:val="00F048EF"/>
    <w:rsid w:val="00F07634"/>
    <w:rsid w:val="00F1093E"/>
    <w:rsid w:val="00F10947"/>
    <w:rsid w:val="00F12397"/>
    <w:rsid w:val="00F13C66"/>
    <w:rsid w:val="00F14169"/>
    <w:rsid w:val="00F15465"/>
    <w:rsid w:val="00F278E2"/>
    <w:rsid w:val="00F307BF"/>
    <w:rsid w:val="00F3376D"/>
    <w:rsid w:val="00F35904"/>
    <w:rsid w:val="00F41AF4"/>
    <w:rsid w:val="00F42589"/>
    <w:rsid w:val="00F45CC6"/>
    <w:rsid w:val="00F51298"/>
    <w:rsid w:val="00F60F52"/>
    <w:rsid w:val="00F61E8D"/>
    <w:rsid w:val="00F62552"/>
    <w:rsid w:val="00F65E99"/>
    <w:rsid w:val="00F66935"/>
    <w:rsid w:val="00F71B10"/>
    <w:rsid w:val="00F75271"/>
    <w:rsid w:val="00F91025"/>
    <w:rsid w:val="00F929AC"/>
    <w:rsid w:val="00F92B78"/>
    <w:rsid w:val="00F95550"/>
    <w:rsid w:val="00F97D24"/>
    <w:rsid w:val="00FA09D0"/>
    <w:rsid w:val="00FA59F5"/>
    <w:rsid w:val="00FA6CA3"/>
    <w:rsid w:val="00FA7566"/>
    <w:rsid w:val="00FB0D23"/>
    <w:rsid w:val="00FB4D4A"/>
    <w:rsid w:val="00FC032F"/>
    <w:rsid w:val="00FC3AF1"/>
    <w:rsid w:val="00FC41CB"/>
    <w:rsid w:val="00FC4AAD"/>
    <w:rsid w:val="00FC5125"/>
    <w:rsid w:val="00FC713A"/>
    <w:rsid w:val="00FD1A4C"/>
    <w:rsid w:val="00FD2293"/>
    <w:rsid w:val="00FD6EDF"/>
    <w:rsid w:val="00FE3E20"/>
    <w:rsid w:val="00FE50C1"/>
    <w:rsid w:val="00FF3F4A"/>
    <w:rsid w:val="00FF42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3B54A-DEBE-40F2-B990-D46ADB4C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D4"/>
  </w:style>
  <w:style w:type="paragraph" w:styleId="Heading1">
    <w:name w:val="heading 1"/>
    <w:basedOn w:val="Normal"/>
    <w:next w:val="Normal"/>
    <w:link w:val="Heading1Char"/>
    <w:uiPriority w:val="9"/>
    <w:qFormat/>
    <w:rsid w:val="00052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0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25D4"/>
    <w:pPr>
      <w:ind w:left="720"/>
      <w:contextualSpacing/>
    </w:pPr>
  </w:style>
  <w:style w:type="character" w:customStyle="1" w:styleId="Heading1Char">
    <w:name w:val="Heading 1 Char"/>
    <w:basedOn w:val="DefaultParagraphFont"/>
    <w:link w:val="Heading1"/>
    <w:uiPriority w:val="9"/>
    <w:rsid w:val="000525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25D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12AFA"/>
    <w:pPr>
      <w:tabs>
        <w:tab w:val="left" w:pos="440"/>
        <w:tab w:val="right" w:leader="dot" w:pos="9072"/>
      </w:tabs>
      <w:spacing w:after="100"/>
    </w:pPr>
    <w:rPr>
      <w:rFonts w:ascii="Times New Roman" w:hAnsi="Times New Roman" w:cs="Times New Roman"/>
      <w:b/>
      <w:noProof/>
      <w:sz w:val="26"/>
      <w:szCs w:val="26"/>
    </w:rPr>
  </w:style>
  <w:style w:type="character" w:styleId="Hyperlink">
    <w:name w:val="Hyperlink"/>
    <w:basedOn w:val="DefaultParagraphFont"/>
    <w:uiPriority w:val="99"/>
    <w:unhideWhenUsed/>
    <w:rsid w:val="000525D4"/>
    <w:rPr>
      <w:color w:val="0000FF" w:themeColor="hyperlink"/>
      <w:u w:val="single"/>
    </w:rPr>
  </w:style>
  <w:style w:type="character" w:customStyle="1" w:styleId="ListParagraphChar">
    <w:name w:val="List Paragraph Char"/>
    <w:link w:val="ListParagraph"/>
    <w:uiPriority w:val="34"/>
    <w:locked/>
    <w:rsid w:val="000525D4"/>
  </w:style>
  <w:style w:type="paragraph" w:styleId="TOC2">
    <w:name w:val="toc 2"/>
    <w:basedOn w:val="Normal"/>
    <w:next w:val="Normal"/>
    <w:autoRedefine/>
    <w:uiPriority w:val="39"/>
    <w:unhideWhenUsed/>
    <w:rsid w:val="000525D4"/>
    <w:pPr>
      <w:spacing w:after="100"/>
      <w:ind w:left="220"/>
    </w:pPr>
  </w:style>
  <w:style w:type="paragraph" w:styleId="BalloonText">
    <w:name w:val="Balloon Text"/>
    <w:basedOn w:val="Normal"/>
    <w:link w:val="BalloonTextChar"/>
    <w:uiPriority w:val="99"/>
    <w:semiHidden/>
    <w:unhideWhenUsed/>
    <w:rsid w:val="0005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D4"/>
    <w:rPr>
      <w:rFonts w:ascii="Tahoma" w:hAnsi="Tahoma" w:cs="Tahoma"/>
      <w:sz w:val="16"/>
      <w:szCs w:val="16"/>
    </w:rPr>
  </w:style>
  <w:style w:type="table" w:styleId="TableGrid">
    <w:name w:val="Table Grid"/>
    <w:basedOn w:val="TableNormal"/>
    <w:uiPriority w:val="39"/>
    <w:rsid w:val="000E1539"/>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6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14"/>
  </w:style>
  <w:style w:type="paragraph" w:styleId="Footer">
    <w:name w:val="footer"/>
    <w:basedOn w:val="Normal"/>
    <w:link w:val="FooterChar"/>
    <w:uiPriority w:val="99"/>
    <w:unhideWhenUsed/>
    <w:rsid w:val="00BB6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14"/>
  </w:style>
  <w:style w:type="paragraph" w:styleId="FootnoteText">
    <w:name w:val="footnote text"/>
    <w:basedOn w:val="Normal"/>
    <w:link w:val="FootnoteTextChar"/>
    <w:uiPriority w:val="99"/>
    <w:rsid w:val="00172AF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172AF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172AFB"/>
    <w:rPr>
      <w:vertAlign w:val="superscript"/>
    </w:rPr>
  </w:style>
  <w:style w:type="character" w:customStyle="1" w:styleId="Heading2Char">
    <w:name w:val="Heading 2 Char"/>
    <w:basedOn w:val="DefaultParagraphFont"/>
    <w:link w:val="Heading2"/>
    <w:uiPriority w:val="9"/>
    <w:rsid w:val="00510229"/>
    <w:rPr>
      <w:rFonts w:asciiTheme="majorHAnsi" w:eastAsiaTheme="majorEastAsia" w:hAnsiTheme="majorHAnsi" w:cstheme="majorBidi"/>
      <w:color w:val="365F91" w:themeColor="accent1" w:themeShade="BF"/>
      <w:sz w:val="26"/>
      <w:szCs w:val="26"/>
    </w:rPr>
  </w:style>
  <w:style w:type="paragraph" w:customStyle="1" w:styleId="Default">
    <w:name w:val="Default"/>
    <w:rsid w:val="002425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90D9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442D1"/>
    <w:pPr>
      <w:spacing w:after="100"/>
      <w:ind w:left="440"/>
    </w:pPr>
  </w:style>
  <w:style w:type="character" w:styleId="HTMLAcronym">
    <w:name w:val="HTML Acronym"/>
    <w:basedOn w:val="DefaultParagraphFont"/>
    <w:uiPriority w:val="99"/>
    <w:semiHidden/>
    <w:unhideWhenUsed/>
    <w:rsid w:val="001969D7"/>
  </w:style>
  <w:style w:type="paragraph" w:customStyle="1" w:styleId="tv2131">
    <w:name w:val="tv2131"/>
    <w:basedOn w:val="Normal"/>
    <w:rsid w:val="00B8136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amatteksts">
    <w:name w:val="Pamatteksts"/>
    <w:basedOn w:val="Default"/>
    <w:next w:val="Default"/>
    <w:uiPriority w:val="99"/>
    <w:rsid w:val="004915A7"/>
    <w:rPr>
      <w:color w:val="auto"/>
    </w:rPr>
  </w:style>
  <w:style w:type="paragraph" w:customStyle="1" w:styleId="naisc">
    <w:name w:val="naisc"/>
    <w:basedOn w:val="Normal"/>
    <w:rsid w:val="0028243B"/>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DefaultParagraphFont"/>
    <w:rsid w:val="0054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495">
      <w:bodyDiv w:val="1"/>
      <w:marLeft w:val="0"/>
      <w:marRight w:val="0"/>
      <w:marTop w:val="0"/>
      <w:marBottom w:val="0"/>
      <w:divBdr>
        <w:top w:val="none" w:sz="0" w:space="0" w:color="auto"/>
        <w:left w:val="none" w:sz="0" w:space="0" w:color="auto"/>
        <w:bottom w:val="none" w:sz="0" w:space="0" w:color="auto"/>
        <w:right w:val="none" w:sz="0" w:space="0" w:color="auto"/>
      </w:divBdr>
      <w:divsChild>
        <w:div w:id="424149953">
          <w:marLeft w:val="0"/>
          <w:marRight w:val="0"/>
          <w:marTop w:val="0"/>
          <w:marBottom w:val="0"/>
          <w:divBdr>
            <w:top w:val="none" w:sz="0" w:space="0" w:color="auto"/>
            <w:left w:val="none" w:sz="0" w:space="0" w:color="auto"/>
            <w:bottom w:val="none" w:sz="0" w:space="0" w:color="auto"/>
            <w:right w:val="none" w:sz="0" w:space="0" w:color="auto"/>
          </w:divBdr>
          <w:divsChild>
            <w:div w:id="1847790773">
              <w:marLeft w:val="0"/>
              <w:marRight w:val="0"/>
              <w:marTop w:val="0"/>
              <w:marBottom w:val="0"/>
              <w:divBdr>
                <w:top w:val="none" w:sz="0" w:space="0" w:color="auto"/>
                <w:left w:val="none" w:sz="0" w:space="0" w:color="auto"/>
                <w:bottom w:val="none" w:sz="0" w:space="0" w:color="auto"/>
                <w:right w:val="none" w:sz="0" w:space="0" w:color="auto"/>
              </w:divBdr>
              <w:divsChild>
                <w:div w:id="1703245395">
                  <w:marLeft w:val="0"/>
                  <w:marRight w:val="0"/>
                  <w:marTop w:val="0"/>
                  <w:marBottom w:val="0"/>
                  <w:divBdr>
                    <w:top w:val="none" w:sz="0" w:space="0" w:color="auto"/>
                    <w:left w:val="none" w:sz="0" w:space="0" w:color="auto"/>
                    <w:bottom w:val="none" w:sz="0" w:space="0" w:color="auto"/>
                    <w:right w:val="none" w:sz="0" w:space="0" w:color="auto"/>
                  </w:divBdr>
                  <w:divsChild>
                    <w:div w:id="806168124">
                      <w:marLeft w:val="0"/>
                      <w:marRight w:val="0"/>
                      <w:marTop w:val="0"/>
                      <w:marBottom w:val="0"/>
                      <w:divBdr>
                        <w:top w:val="none" w:sz="0" w:space="0" w:color="auto"/>
                        <w:left w:val="none" w:sz="0" w:space="0" w:color="auto"/>
                        <w:bottom w:val="none" w:sz="0" w:space="0" w:color="auto"/>
                        <w:right w:val="none" w:sz="0" w:space="0" w:color="auto"/>
                      </w:divBdr>
                      <w:divsChild>
                        <w:div w:id="1071199777">
                          <w:marLeft w:val="0"/>
                          <w:marRight w:val="0"/>
                          <w:marTop w:val="0"/>
                          <w:marBottom w:val="0"/>
                          <w:divBdr>
                            <w:top w:val="none" w:sz="0" w:space="0" w:color="auto"/>
                            <w:left w:val="none" w:sz="0" w:space="0" w:color="auto"/>
                            <w:bottom w:val="none" w:sz="0" w:space="0" w:color="auto"/>
                            <w:right w:val="none" w:sz="0" w:space="0" w:color="auto"/>
                          </w:divBdr>
                          <w:divsChild>
                            <w:div w:id="1726415013">
                              <w:marLeft w:val="0"/>
                              <w:marRight w:val="0"/>
                              <w:marTop w:val="400"/>
                              <w:marBottom w:val="0"/>
                              <w:divBdr>
                                <w:top w:val="none" w:sz="0" w:space="0" w:color="auto"/>
                                <w:left w:val="none" w:sz="0" w:space="0" w:color="auto"/>
                                <w:bottom w:val="none" w:sz="0" w:space="0" w:color="auto"/>
                                <w:right w:val="none" w:sz="0" w:space="0" w:color="auto"/>
                              </w:divBdr>
                            </w:div>
                            <w:div w:id="1090084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60120">
      <w:bodyDiv w:val="1"/>
      <w:marLeft w:val="0"/>
      <w:marRight w:val="0"/>
      <w:marTop w:val="0"/>
      <w:marBottom w:val="0"/>
      <w:divBdr>
        <w:top w:val="none" w:sz="0" w:space="0" w:color="auto"/>
        <w:left w:val="none" w:sz="0" w:space="0" w:color="auto"/>
        <w:bottom w:val="none" w:sz="0" w:space="0" w:color="auto"/>
        <w:right w:val="none" w:sz="0" w:space="0" w:color="auto"/>
      </w:divBdr>
    </w:div>
    <w:div w:id="525170169">
      <w:bodyDiv w:val="1"/>
      <w:marLeft w:val="0"/>
      <w:marRight w:val="0"/>
      <w:marTop w:val="0"/>
      <w:marBottom w:val="0"/>
      <w:divBdr>
        <w:top w:val="none" w:sz="0" w:space="0" w:color="auto"/>
        <w:left w:val="none" w:sz="0" w:space="0" w:color="auto"/>
        <w:bottom w:val="none" w:sz="0" w:space="0" w:color="auto"/>
        <w:right w:val="none" w:sz="0" w:space="0" w:color="auto"/>
      </w:divBdr>
    </w:div>
    <w:div w:id="912474386">
      <w:bodyDiv w:val="1"/>
      <w:marLeft w:val="0"/>
      <w:marRight w:val="0"/>
      <w:marTop w:val="0"/>
      <w:marBottom w:val="0"/>
      <w:divBdr>
        <w:top w:val="none" w:sz="0" w:space="0" w:color="auto"/>
        <w:left w:val="none" w:sz="0" w:space="0" w:color="auto"/>
        <w:bottom w:val="none" w:sz="0" w:space="0" w:color="auto"/>
        <w:right w:val="none" w:sz="0" w:space="0" w:color="auto"/>
      </w:divBdr>
    </w:div>
    <w:div w:id="1193231077">
      <w:bodyDiv w:val="1"/>
      <w:marLeft w:val="0"/>
      <w:marRight w:val="0"/>
      <w:marTop w:val="0"/>
      <w:marBottom w:val="0"/>
      <w:divBdr>
        <w:top w:val="none" w:sz="0" w:space="0" w:color="auto"/>
        <w:left w:val="none" w:sz="0" w:space="0" w:color="auto"/>
        <w:bottom w:val="none" w:sz="0" w:space="0" w:color="auto"/>
        <w:right w:val="none" w:sz="0" w:space="0" w:color="auto"/>
      </w:divBdr>
      <w:divsChild>
        <w:div w:id="59711912">
          <w:marLeft w:val="0"/>
          <w:marRight w:val="0"/>
          <w:marTop w:val="0"/>
          <w:marBottom w:val="150"/>
          <w:divBdr>
            <w:top w:val="none" w:sz="0" w:space="0" w:color="auto"/>
            <w:left w:val="none" w:sz="0" w:space="0" w:color="auto"/>
            <w:bottom w:val="none" w:sz="0" w:space="0" w:color="auto"/>
            <w:right w:val="none" w:sz="0" w:space="0" w:color="auto"/>
          </w:divBdr>
          <w:divsChild>
            <w:div w:id="541870822">
              <w:marLeft w:val="0"/>
              <w:marRight w:val="0"/>
              <w:marTop w:val="0"/>
              <w:marBottom w:val="0"/>
              <w:divBdr>
                <w:top w:val="none" w:sz="0" w:space="0" w:color="auto"/>
                <w:left w:val="none" w:sz="0" w:space="0" w:color="auto"/>
                <w:bottom w:val="none" w:sz="0" w:space="0" w:color="auto"/>
                <w:right w:val="none" w:sz="0" w:space="0" w:color="auto"/>
              </w:divBdr>
              <w:divsChild>
                <w:div w:id="2143842429">
                  <w:marLeft w:val="0"/>
                  <w:marRight w:val="0"/>
                  <w:marTop w:val="0"/>
                  <w:marBottom w:val="0"/>
                  <w:divBdr>
                    <w:top w:val="none" w:sz="0" w:space="0" w:color="auto"/>
                    <w:left w:val="none" w:sz="0" w:space="0" w:color="auto"/>
                    <w:bottom w:val="none" w:sz="0" w:space="0" w:color="auto"/>
                    <w:right w:val="none" w:sz="0" w:space="0" w:color="auto"/>
                  </w:divBdr>
                  <w:divsChild>
                    <w:div w:id="2142914628">
                      <w:marLeft w:val="150"/>
                      <w:marRight w:val="150"/>
                      <w:marTop w:val="150"/>
                      <w:marBottom w:val="150"/>
                      <w:divBdr>
                        <w:top w:val="none" w:sz="0" w:space="0" w:color="auto"/>
                        <w:left w:val="none" w:sz="0" w:space="0" w:color="auto"/>
                        <w:bottom w:val="none" w:sz="0" w:space="0" w:color="auto"/>
                        <w:right w:val="none" w:sz="0" w:space="0" w:color="auto"/>
                      </w:divBdr>
                      <w:divsChild>
                        <w:div w:id="535973403">
                          <w:marLeft w:val="0"/>
                          <w:marRight w:val="0"/>
                          <w:marTop w:val="0"/>
                          <w:marBottom w:val="0"/>
                          <w:divBdr>
                            <w:top w:val="none" w:sz="0" w:space="0" w:color="auto"/>
                            <w:left w:val="none" w:sz="0" w:space="0" w:color="auto"/>
                            <w:bottom w:val="none" w:sz="0" w:space="0" w:color="auto"/>
                            <w:right w:val="none" w:sz="0" w:space="0" w:color="auto"/>
                          </w:divBdr>
                          <w:divsChild>
                            <w:div w:id="13686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50615">
      <w:bodyDiv w:val="1"/>
      <w:marLeft w:val="0"/>
      <w:marRight w:val="0"/>
      <w:marTop w:val="0"/>
      <w:marBottom w:val="0"/>
      <w:divBdr>
        <w:top w:val="none" w:sz="0" w:space="0" w:color="auto"/>
        <w:left w:val="none" w:sz="0" w:space="0" w:color="auto"/>
        <w:bottom w:val="none" w:sz="0" w:space="0" w:color="auto"/>
        <w:right w:val="none" w:sz="0" w:space="0" w:color="auto"/>
      </w:divBdr>
    </w:div>
    <w:div w:id="2011130714">
      <w:bodyDiv w:val="1"/>
      <w:marLeft w:val="0"/>
      <w:marRight w:val="0"/>
      <w:marTop w:val="0"/>
      <w:marBottom w:val="0"/>
      <w:divBdr>
        <w:top w:val="none" w:sz="0" w:space="0" w:color="auto"/>
        <w:left w:val="none" w:sz="0" w:space="0" w:color="auto"/>
        <w:bottom w:val="none" w:sz="0" w:space="0" w:color="auto"/>
        <w:right w:val="none" w:sz="0" w:space="0" w:color="auto"/>
      </w:divBdr>
      <w:divsChild>
        <w:div w:id="257251064">
          <w:marLeft w:val="0"/>
          <w:marRight w:val="0"/>
          <w:marTop w:val="0"/>
          <w:marBottom w:val="0"/>
          <w:divBdr>
            <w:top w:val="none" w:sz="0" w:space="0" w:color="auto"/>
            <w:left w:val="none" w:sz="0" w:space="0" w:color="auto"/>
            <w:bottom w:val="none" w:sz="0" w:space="0" w:color="auto"/>
            <w:right w:val="none" w:sz="0" w:space="0" w:color="auto"/>
          </w:divBdr>
          <w:divsChild>
            <w:div w:id="1548755467">
              <w:marLeft w:val="0"/>
              <w:marRight w:val="0"/>
              <w:marTop w:val="0"/>
              <w:marBottom w:val="0"/>
              <w:divBdr>
                <w:top w:val="none" w:sz="0" w:space="0" w:color="auto"/>
                <w:left w:val="none" w:sz="0" w:space="0" w:color="auto"/>
                <w:bottom w:val="none" w:sz="0" w:space="0" w:color="auto"/>
                <w:right w:val="none" w:sz="0" w:space="0" w:color="auto"/>
              </w:divBdr>
              <w:divsChild>
                <w:div w:id="1322738227">
                  <w:marLeft w:val="0"/>
                  <w:marRight w:val="0"/>
                  <w:marTop w:val="0"/>
                  <w:marBottom w:val="0"/>
                  <w:divBdr>
                    <w:top w:val="none" w:sz="0" w:space="0" w:color="auto"/>
                    <w:left w:val="none" w:sz="0" w:space="0" w:color="auto"/>
                    <w:bottom w:val="none" w:sz="0" w:space="0" w:color="auto"/>
                    <w:right w:val="none" w:sz="0" w:space="0" w:color="auto"/>
                  </w:divBdr>
                  <w:divsChild>
                    <w:div w:id="1809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20782">
      <w:bodyDiv w:val="1"/>
      <w:marLeft w:val="0"/>
      <w:marRight w:val="0"/>
      <w:marTop w:val="0"/>
      <w:marBottom w:val="0"/>
      <w:divBdr>
        <w:top w:val="none" w:sz="0" w:space="0" w:color="auto"/>
        <w:left w:val="none" w:sz="0" w:space="0" w:color="auto"/>
        <w:bottom w:val="none" w:sz="0" w:space="0" w:color="auto"/>
        <w:right w:val="none" w:sz="0" w:space="0" w:color="auto"/>
      </w:divBdr>
      <w:divsChild>
        <w:div w:id="1664620535">
          <w:marLeft w:val="0"/>
          <w:marRight w:val="0"/>
          <w:marTop w:val="0"/>
          <w:marBottom w:val="0"/>
          <w:divBdr>
            <w:top w:val="none" w:sz="0" w:space="0" w:color="auto"/>
            <w:left w:val="none" w:sz="0" w:space="0" w:color="auto"/>
            <w:bottom w:val="none" w:sz="0" w:space="0" w:color="auto"/>
            <w:right w:val="none" w:sz="0" w:space="0" w:color="auto"/>
          </w:divBdr>
          <w:divsChild>
            <w:div w:id="2077319527">
              <w:marLeft w:val="0"/>
              <w:marRight w:val="0"/>
              <w:marTop w:val="0"/>
              <w:marBottom w:val="0"/>
              <w:divBdr>
                <w:top w:val="none" w:sz="0" w:space="0" w:color="auto"/>
                <w:left w:val="none" w:sz="0" w:space="0" w:color="auto"/>
                <w:bottom w:val="none" w:sz="0" w:space="0" w:color="auto"/>
                <w:right w:val="none" w:sz="0" w:space="0" w:color="auto"/>
              </w:divBdr>
              <w:divsChild>
                <w:div w:id="1396704800">
                  <w:marLeft w:val="0"/>
                  <w:marRight w:val="0"/>
                  <w:marTop w:val="0"/>
                  <w:marBottom w:val="0"/>
                  <w:divBdr>
                    <w:top w:val="none" w:sz="0" w:space="0" w:color="auto"/>
                    <w:left w:val="none" w:sz="0" w:space="0" w:color="auto"/>
                    <w:bottom w:val="none" w:sz="0" w:space="0" w:color="auto"/>
                    <w:right w:val="none" w:sz="0" w:space="0" w:color="auto"/>
                  </w:divBdr>
                  <w:divsChild>
                    <w:div w:id="419103733">
                      <w:marLeft w:val="0"/>
                      <w:marRight w:val="0"/>
                      <w:marTop w:val="0"/>
                      <w:marBottom w:val="0"/>
                      <w:divBdr>
                        <w:top w:val="none" w:sz="0" w:space="0" w:color="auto"/>
                        <w:left w:val="none" w:sz="0" w:space="0" w:color="auto"/>
                        <w:bottom w:val="none" w:sz="0" w:space="0" w:color="auto"/>
                        <w:right w:val="none" w:sz="0" w:space="0" w:color="auto"/>
                      </w:divBdr>
                      <w:divsChild>
                        <w:div w:id="401294986">
                          <w:marLeft w:val="0"/>
                          <w:marRight w:val="0"/>
                          <w:marTop w:val="0"/>
                          <w:marBottom w:val="0"/>
                          <w:divBdr>
                            <w:top w:val="none" w:sz="0" w:space="0" w:color="auto"/>
                            <w:left w:val="none" w:sz="0" w:space="0" w:color="auto"/>
                            <w:bottom w:val="none" w:sz="0" w:space="0" w:color="auto"/>
                            <w:right w:val="none" w:sz="0" w:space="0" w:color="auto"/>
                          </w:divBdr>
                          <w:divsChild>
                            <w:div w:id="6627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sture@iz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anta.silk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ic.lv/bolona/2010_12/Reports_2012/BPImplementation_Rep.pdf" TargetMode="External"/><Relationship Id="rId7" Type="http://schemas.openxmlformats.org/officeDocument/2006/relationships/hyperlink" Target="http://www.cedefop.europa.eu/EN/about-cedefop/networks/refernet/refernet.aspx" TargetMode="External"/><Relationship Id="rId2" Type="http://schemas.openxmlformats.org/officeDocument/2006/relationships/hyperlink" Target="http://www.aiknc.lv/static_media/dati/materiali/LV/Statuti251110.doc" TargetMode="External"/><Relationship Id="rId1" Type="http://schemas.openxmlformats.org/officeDocument/2006/relationships/hyperlink" Target="http://www.izm.gov.lv/nozares-politika/izglitiba/augstaka-izglitiba.html" TargetMode="External"/><Relationship Id="rId6" Type="http://schemas.openxmlformats.org/officeDocument/2006/relationships/hyperlink" Target="http://ec.europa.eu/education/higher-education/doc/bologna_process/" TargetMode="External"/><Relationship Id="rId5" Type="http://schemas.openxmlformats.org/officeDocument/2006/relationships/hyperlink" Target="http://eqar.eu/register/search.html" TargetMode="External"/><Relationship Id="rId4" Type="http://schemas.openxmlformats.org/officeDocument/2006/relationships/hyperlink" Target="http://www.aic.lv/bolona/2010_12/Reports_2012/BPImplementation_Re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E9A2-0BAA-489A-AE07-455BEE03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58321</Words>
  <Characters>33244</Characters>
  <Application>Microsoft Office Word</Application>
  <DocSecurity>0</DocSecurity>
  <Lines>277</Lines>
  <Paragraphs>182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Linda Upīte</cp:lastModifiedBy>
  <cp:revision>2</cp:revision>
  <cp:lastPrinted>2014-10-07T07:34:00Z</cp:lastPrinted>
  <dcterms:created xsi:type="dcterms:W3CDTF">2014-10-09T12:11:00Z</dcterms:created>
  <dcterms:modified xsi:type="dcterms:W3CDTF">2014-10-09T12:11:00Z</dcterms:modified>
</cp:coreProperties>
</file>