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8FD" w:rsidRDefault="007D6129" w:rsidP="00150FC7">
      <w:pPr>
        <w:jc w:val="center"/>
        <w:rPr>
          <w:rFonts w:ascii="Times New Roman" w:hAnsi="Times New Roman" w:cs="Times New Roman"/>
          <w:b/>
          <w:sz w:val="32"/>
          <w:szCs w:val="32"/>
        </w:rPr>
      </w:pPr>
      <w:r>
        <w:rPr>
          <w:rFonts w:ascii="Times New Roman" w:hAnsi="Times New Roman" w:cs="Times New Roman"/>
          <w:b/>
          <w:sz w:val="32"/>
          <w:szCs w:val="32"/>
        </w:rPr>
        <w:t>Koncepcijas “</w:t>
      </w:r>
      <w:r w:rsidR="009C1F5F">
        <w:rPr>
          <w:rFonts w:ascii="Times New Roman" w:hAnsi="Times New Roman" w:cs="Times New Roman"/>
          <w:b/>
          <w:sz w:val="32"/>
          <w:szCs w:val="32"/>
        </w:rPr>
        <w:t>Latvijas a</w:t>
      </w:r>
      <w:r w:rsidR="00E66D8B" w:rsidRPr="00BC7BD8">
        <w:rPr>
          <w:rFonts w:ascii="Times New Roman" w:hAnsi="Times New Roman" w:cs="Times New Roman"/>
          <w:b/>
          <w:sz w:val="32"/>
          <w:szCs w:val="32"/>
        </w:rPr>
        <w:t>ugstākās izglītības</w:t>
      </w:r>
      <w:r w:rsidR="00E66D8B">
        <w:rPr>
          <w:rFonts w:ascii="Times New Roman" w:hAnsi="Times New Roman" w:cs="Times New Roman"/>
          <w:b/>
          <w:sz w:val="32"/>
          <w:szCs w:val="32"/>
        </w:rPr>
        <w:t xml:space="preserve"> ārējās</w:t>
      </w:r>
      <w:r w:rsidR="00E66D8B" w:rsidRPr="00BC7BD8">
        <w:rPr>
          <w:rFonts w:ascii="Times New Roman" w:hAnsi="Times New Roman" w:cs="Times New Roman"/>
          <w:b/>
          <w:sz w:val="32"/>
          <w:szCs w:val="32"/>
        </w:rPr>
        <w:t xml:space="preserve"> kvalitātes nodrošināšanas sistēmas pilnveide</w:t>
      </w:r>
      <w:r>
        <w:rPr>
          <w:rFonts w:ascii="Times New Roman" w:hAnsi="Times New Roman" w:cs="Times New Roman"/>
          <w:b/>
          <w:sz w:val="32"/>
          <w:szCs w:val="32"/>
        </w:rPr>
        <w:t>”</w:t>
      </w:r>
    </w:p>
    <w:p w:rsidR="00150FC7" w:rsidRDefault="00150FC7" w:rsidP="00150FC7">
      <w:pPr>
        <w:jc w:val="center"/>
        <w:rPr>
          <w:rFonts w:ascii="Times New Roman" w:hAnsi="Times New Roman" w:cs="Times New Roman"/>
          <w:b/>
          <w:sz w:val="32"/>
          <w:szCs w:val="32"/>
        </w:rPr>
      </w:pPr>
      <w:r>
        <w:rPr>
          <w:rFonts w:ascii="Times New Roman" w:hAnsi="Times New Roman" w:cs="Times New Roman"/>
          <w:b/>
          <w:sz w:val="32"/>
          <w:szCs w:val="32"/>
        </w:rPr>
        <w:t>K</w:t>
      </w:r>
      <w:r w:rsidR="007D6129">
        <w:rPr>
          <w:rFonts w:ascii="Times New Roman" w:hAnsi="Times New Roman" w:cs="Times New Roman"/>
          <w:b/>
          <w:sz w:val="32"/>
          <w:szCs w:val="32"/>
        </w:rPr>
        <w:t>opsavilkums</w:t>
      </w:r>
    </w:p>
    <w:p w:rsidR="002767E9" w:rsidRPr="001F457F" w:rsidRDefault="002767E9" w:rsidP="00150FC7">
      <w:pPr>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Koncepcija "</w:t>
      </w:r>
      <w:r w:rsidR="009C1F5F">
        <w:rPr>
          <w:rFonts w:ascii="Times New Roman" w:hAnsi="Times New Roman" w:cs="Times New Roman"/>
          <w:bCs/>
          <w:noProof/>
          <w:sz w:val="26"/>
          <w:szCs w:val="26"/>
        </w:rPr>
        <w:t>Latvijas a</w:t>
      </w:r>
      <w:r w:rsidRPr="001F457F">
        <w:rPr>
          <w:rFonts w:ascii="Times New Roman" w:hAnsi="Times New Roman" w:cs="Times New Roman"/>
          <w:bCs/>
          <w:noProof/>
          <w:sz w:val="26"/>
          <w:szCs w:val="26"/>
        </w:rPr>
        <w:t xml:space="preserve">ugstākās izglītības </w:t>
      </w:r>
      <w:r w:rsidR="009C1F5F">
        <w:rPr>
          <w:rFonts w:ascii="Times New Roman" w:hAnsi="Times New Roman" w:cs="Times New Roman"/>
          <w:bCs/>
          <w:noProof/>
          <w:sz w:val="26"/>
          <w:szCs w:val="26"/>
        </w:rPr>
        <w:t xml:space="preserve">ārējās </w:t>
      </w:r>
      <w:r w:rsidRPr="001F457F">
        <w:rPr>
          <w:rFonts w:ascii="Times New Roman" w:hAnsi="Times New Roman" w:cs="Times New Roman"/>
          <w:bCs/>
          <w:noProof/>
          <w:sz w:val="26"/>
          <w:szCs w:val="26"/>
        </w:rPr>
        <w:t>kvalitātes nodrošināšanas sistēmas pilnveide" ir ar sociālajiem partneriem saskaņots redzējums</w:t>
      </w:r>
      <w:r w:rsidR="00B16272" w:rsidRPr="001F457F">
        <w:rPr>
          <w:rFonts w:ascii="Times New Roman" w:hAnsi="Times New Roman" w:cs="Times New Roman"/>
          <w:bCs/>
          <w:noProof/>
          <w:sz w:val="26"/>
          <w:szCs w:val="26"/>
        </w:rPr>
        <w:t xml:space="preserve"> </w:t>
      </w:r>
      <w:r w:rsidRPr="00837C10">
        <w:rPr>
          <w:rFonts w:ascii="Times New Roman" w:hAnsi="Times New Roman" w:cs="Times New Roman"/>
          <w:b/>
          <w:bCs/>
          <w:noProof/>
          <w:sz w:val="26"/>
          <w:szCs w:val="26"/>
        </w:rPr>
        <w:t>augstākās izglītības ilgtspējīgas kvalitātes nodrošināšanas ins</w:t>
      </w:r>
      <w:r w:rsidR="007D6129" w:rsidRPr="00837C10">
        <w:rPr>
          <w:rFonts w:ascii="Times New Roman" w:hAnsi="Times New Roman" w:cs="Times New Roman"/>
          <w:b/>
          <w:bCs/>
          <w:noProof/>
          <w:sz w:val="26"/>
          <w:szCs w:val="26"/>
        </w:rPr>
        <w:t>titucionālas sistēmas izveidei</w:t>
      </w:r>
      <w:r w:rsidR="009C1F5F">
        <w:rPr>
          <w:rFonts w:ascii="Times New Roman" w:hAnsi="Times New Roman" w:cs="Times New Roman"/>
          <w:bCs/>
          <w:noProof/>
          <w:sz w:val="26"/>
          <w:szCs w:val="26"/>
        </w:rPr>
        <w:t xml:space="preserve">, paredzot </w:t>
      </w:r>
      <w:r w:rsidR="009C1F5F" w:rsidRPr="009C1F5F">
        <w:rPr>
          <w:rFonts w:ascii="Times New Roman" w:hAnsi="Times New Roman" w:cs="Times New Roman"/>
          <w:bCs/>
          <w:noProof/>
          <w:sz w:val="26"/>
          <w:szCs w:val="26"/>
        </w:rPr>
        <w:t>paredzot izveidot nacionālo augstākās izglītības kvalitātes nodrošināšanas institūciju kā aktuālo augstākās izglītības kvalitātes nodrošināšanas principu ieviešanas un akreditācijas un licencēšanas organizēšanas centru.</w:t>
      </w:r>
    </w:p>
    <w:p w:rsidR="00B16272" w:rsidRPr="001F457F" w:rsidRDefault="00B16272" w:rsidP="001F457F">
      <w:pPr>
        <w:spacing w:after="0" w:line="240" w:lineRule="auto"/>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 xml:space="preserve">Koncepcija ir izstrādāta, </w:t>
      </w:r>
      <w:r w:rsidR="00F929AC" w:rsidRPr="001F457F">
        <w:rPr>
          <w:rFonts w:ascii="Times New Roman" w:hAnsi="Times New Roman" w:cs="Times New Roman"/>
          <w:bCs/>
          <w:noProof/>
          <w:sz w:val="26"/>
          <w:szCs w:val="26"/>
        </w:rPr>
        <w:t>izpildot šādus uzdevumus:</w:t>
      </w:r>
    </w:p>
    <w:p w:rsidR="00B16272" w:rsidRPr="001F457F" w:rsidRDefault="00B16272" w:rsidP="001F457F">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v</w:t>
      </w:r>
      <w:r w:rsidR="005737F7" w:rsidRPr="001F457F">
        <w:rPr>
          <w:rFonts w:ascii="Times New Roman" w:hAnsi="Times New Roman" w:cs="Times New Roman"/>
          <w:bCs/>
          <w:noProof/>
          <w:sz w:val="26"/>
          <w:szCs w:val="26"/>
        </w:rPr>
        <w:t>iens no Deklarācijas par Laimdotas Straujumas vadītā Ministru kabineta iecerēto darbību 23.punktā iekļautajiem uzdevumiem ir turpināt veidot Nacionālo akreditācijas aģentūru augstākās izglītības programmu akreditācijas organizēšanai.</w:t>
      </w:r>
      <w:r w:rsidR="003F55CE" w:rsidRPr="001F457F">
        <w:rPr>
          <w:rFonts w:ascii="Times New Roman" w:hAnsi="Times New Roman" w:cs="Times New Roman"/>
          <w:bCs/>
          <w:noProof/>
          <w:sz w:val="26"/>
          <w:szCs w:val="26"/>
        </w:rPr>
        <w:t xml:space="preserve"> Līdz ar to valdības rīcības plānā ir iekļauts uzdevums sagatavot koncepciju "Latvijas augstākās izglītības kvalitātes nodrošināšanas sistēmas pilnveide", sniedzot priekšlikumus Nacionālās augstākās izglītības ārējās kvalitātes nodrošināšanas aģentūras izveidei. </w:t>
      </w:r>
    </w:p>
    <w:p w:rsidR="00B16272" w:rsidRPr="001F457F" w:rsidRDefault="007A7B6A" w:rsidP="001F457F">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ES Padomes i</w:t>
      </w:r>
      <w:r w:rsidR="000203DD" w:rsidRPr="001F457F">
        <w:rPr>
          <w:rFonts w:ascii="Times New Roman" w:hAnsi="Times New Roman" w:cs="Times New Roman"/>
          <w:bCs/>
          <w:noProof/>
          <w:sz w:val="26"/>
          <w:szCs w:val="26"/>
        </w:rPr>
        <w:t>eteikums par L</w:t>
      </w:r>
      <w:r w:rsidRPr="001F457F">
        <w:rPr>
          <w:rFonts w:ascii="Times New Roman" w:hAnsi="Times New Roman" w:cs="Times New Roman"/>
          <w:bCs/>
          <w:noProof/>
          <w:sz w:val="26"/>
          <w:szCs w:val="26"/>
        </w:rPr>
        <w:t>atvija</w:t>
      </w:r>
      <w:r w:rsidR="000203DD" w:rsidRPr="001F457F">
        <w:rPr>
          <w:rFonts w:ascii="Times New Roman" w:hAnsi="Times New Roman" w:cs="Times New Roman"/>
          <w:bCs/>
          <w:noProof/>
          <w:sz w:val="26"/>
          <w:szCs w:val="26"/>
        </w:rPr>
        <w:t>s</w:t>
      </w:r>
      <w:r w:rsidRPr="001F457F">
        <w:rPr>
          <w:rFonts w:ascii="Times New Roman" w:hAnsi="Times New Roman" w:cs="Times New Roman"/>
          <w:bCs/>
          <w:noProof/>
          <w:sz w:val="26"/>
          <w:szCs w:val="26"/>
        </w:rPr>
        <w:t xml:space="preserve"> 2014.gada valsts reformu programmu </w:t>
      </w:r>
      <w:r w:rsidR="000203DD" w:rsidRPr="001F457F">
        <w:rPr>
          <w:rFonts w:ascii="Times New Roman" w:hAnsi="Times New Roman" w:cs="Times New Roman"/>
          <w:bCs/>
          <w:noProof/>
          <w:sz w:val="26"/>
          <w:szCs w:val="26"/>
        </w:rPr>
        <w:t>un ar ko sniedz Padomes atzinumu par Latvijas 2014.gada stabilitātes programmu</w:t>
      </w:r>
      <w:r w:rsidR="00B16272" w:rsidRPr="001F457F">
        <w:rPr>
          <w:rFonts w:ascii="Times New Roman" w:hAnsi="Times New Roman" w:cs="Times New Roman"/>
          <w:bCs/>
          <w:noProof/>
          <w:sz w:val="26"/>
          <w:szCs w:val="26"/>
        </w:rPr>
        <w:t xml:space="preserve"> nosaka izveidot neatkarīgu augstākās izglītības akreditācijas aģentūru. </w:t>
      </w:r>
    </w:p>
    <w:p w:rsidR="00055AC5" w:rsidRDefault="00390074" w:rsidP="00055AC5">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0754A4">
        <w:rPr>
          <w:rFonts w:ascii="Times New Roman" w:hAnsi="Times New Roman" w:cs="Times New Roman"/>
          <w:sz w:val="26"/>
          <w:szCs w:val="26"/>
        </w:rPr>
        <w:t>2014.gada 20.jūnijā Eiropas Komisijas apstiprinātais Latvijas Partnerības līgumu Eiropas Savienības investīciju fondu 2014. - 2020.gada plānošanas periodam</w:t>
      </w:r>
      <w:r w:rsidRPr="000754A4">
        <w:rPr>
          <w:sz w:val="26"/>
          <w:szCs w:val="26"/>
        </w:rPr>
        <w:t xml:space="preserve"> </w:t>
      </w:r>
      <w:r w:rsidR="00055AC5">
        <w:rPr>
          <w:rFonts w:ascii="Times New Roman" w:hAnsi="Times New Roman" w:cs="Times New Roman"/>
          <w:bCs/>
          <w:noProof/>
          <w:sz w:val="26"/>
          <w:szCs w:val="26"/>
        </w:rPr>
        <w:t xml:space="preserve">nosaka, </w:t>
      </w:r>
      <w:r w:rsidR="00055AC5" w:rsidRPr="00684F09">
        <w:rPr>
          <w:rFonts w:ascii="Times New Roman" w:hAnsi="Times New Roman" w:cs="Times New Roman"/>
          <w:bCs/>
          <w:noProof/>
          <w:sz w:val="26"/>
          <w:szCs w:val="26"/>
        </w:rPr>
        <w:t xml:space="preserve">ka “(170)... Nacionālo aģentūru plānots izveidot 2015.gadā, izveides izmaksas sedzot no valsts budžeta līdzekļiem. EQAR aģentūras izmantošana akreditācijā veicinās augstākās izglītības kvalitātes kultūras attīstību atbilstoši labākajiem standartiem EAIT, vienlaikus palielinās uzticamību Latvijas augstākajai izglītībai un tajā iegūtajiem diplomiem, kā arī palīdzēs veidot kontaktus ar partneriem ārvalstīs, tādejādi sekmējot starptautisko sadarbību.” Eiropas Sociālā fonda finansējumu plānots novirzīt nacionālās augstākās izglītības kvalitātes nodrošināšanas institūcijas sākotnējās darbības kvalitātes atbalsta pasākumiem un kapacitātes stiprināšanai ar mērķi iekļūt EQAR. </w:t>
      </w:r>
    </w:p>
    <w:p w:rsidR="00E3289B" w:rsidRDefault="00E3289B" w:rsidP="00055AC5">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0754A4">
        <w:rPr>
          <w:rFonts w:ascii="Times New Roman" w:hAnsi="Times New Roman" w:cs="Times New Roman"/>
          <w:color w:val="000000"/>
          <w:sz w:val="26"/>
          <w:szCs w:val="26"/>
        </w:rPr>
        <w:t>2014.gada 2.septembra Ministru kabineta sēdē apstiprināt</w:t>
      </w:r>
      <w:r>
        <w:rPr>
          <w:rFonts w:ascii="Times New Roman" w:hAnsi="Times New Roman" w:cs="Times New Roman"/>
          <w:color w:val="000000"/>
          <w:sz w:val="26"/>
          <w:szCs w:val="26"/>
        </w:rPr>
        <w:t>ā</w:t>
      </w:r>
      <w:r w:rsidRPr="000754A4">
        <w:rPr>
          <w:rFonts w:ascii="Times New Roman" w:hAnsi="Times New Roman" w:cs="Times New Roman"/>
          <w:color w:val="000000"/>
          <w:sz w:val="26"/>
          <w:szCs w:val="26"/>
        </w:rPr>
        <w:t xml:space="preserve"> ES struktūrfondu un Kohēzijas fonda 2014.–2020.gada plānošanas perioda Darbības programma „Izaugsme un nodarbinātība”</w:t>
      </w:r>
      <w:r>
        <w:rPr>
          <w:rFonts w:ascii="Times New Roman" w:hAnsi="Times New Roman" w:cs="Times New Roman"/>
          <w:color w:val="000000"/>
          <w:sz w:val="26"/>
          <w:szCs w:val="26"/>
        </w:rPr>
        <w:t>, kas</w:t>
      </w:r>
      <w:r w:rsidRPr="000754A4">
        <w:rPr>
          <w:rFonts w:ascii="Times New Roman" w:hAnsi="Times New Roman" w:cs="Times New Roman"/>
          <w:color w:val="000000"/>
          <w:sz w:val="26"/>
          <w:szCs w:val="26"/>
        </w:rPr>
        <w:t xml:space="preserve"> paredz atbalstu</w:t>
      </w:r>
      <w:r w:rsidRPr="000754A4">
        <w:rPr>
          <w:rFonts w:ascii="Times New Roman" w:hAnsi="Times New Roman" w:cs="Times New Roman"/>
          <w:sz w:val="26"/>
          <w:szCs w:val="26"/>
        </w:rPr>
        <w:t xml:space="preserve">  nacionālās augstākās izglītības kvalitātes nodrošināšanas aģentūras sākotnējās darbības kvalitātes atbalsta pasākumiem un personāla apmācībai. Eiropas Sociālā fonda investīciju rezultātā plānots izveidot institūciju Latvijā, kas atbilst EQAR aģentūrai izvirzītajām prasībām</w:t>
      </w:r>
      <w:r w:rsidR="00253BD6">
        <w:rPr>
          <w:rFonts w:ascii="Times New Roman" w:hAnsi="Times New Roman" w:cs="Times New Roman"/>
          <w:sz w:val="26"/>
          <w:szCs w:val="26"/>
        </w:rPr>
        <w:t>.</w:t>
      </w:r>
    </w:p>
    <w:p w:rsidR="00055AC5" w:rsidRPr="00684F09" w:rsidRDefault="00055AC5" w:rsidP="00055AC5">
      <w:pPr>
        <w:pStyle w:val="ListParagraph"/>
        <w:numPr>
          <w:ilvl w:val="0"/>
          <w:numId w:val="32"/>
        </w:numPr>
        <w:spacing w:after="0" w:line="240" w:lineRule="auto"/>
        <w:ind w:firstLine="720"/>
        <w:jc w:val="both"/>
        <w:rPr>
          <w:rFonts w:ascii="Times New Roman" w:hAnsi="Times New Roman" w:cs="Times New Roman"/>
          <w:bCs/>
          <w:noProof/>
          <w:sz w:val="26"/>
          <w:szCs w:val="26"/>
        </w:rPr>
      </w:pPr>
      <w:r w:rsidRPr="00684F09">
        <w:rPr>
          <w:rFonts w:ascii="Times New Roman" w:hAnsi="Times New Roman" w:cs="Times New Roman"/>
          <w:sz w:val="26"/>
          <w:szCs w:val="26"/>
        </w:rPr>
        <w:t xml:space="preserve">MK 2012.gada 25.septembra sēdes protokollēmuma (prot. Nr.53 45.§) „Noteikumu projekts „Augstskolu, koledžu un studiju virzienu </w:t>
      </w:r>
      <w:r w:rsidRPr="00684F09">
        <w:rPr>
          <w:rFonts w:ascii="Times New Roman" w:hAnsi="Times New Roman" w:cs="Times New Roman"/>
          <w:sz w:val="26"/>
          <w:szCs w:val="26"/>
        </w:rPr>
        <w:lastRenderedPageBreak/>
        <w:t>akreditācijas noteikumi”” 5.punktā dot</w:t>
      </w:r>
      <w:r>
        <w:rPr>
          <w:rFonts w:ascii="Times New Roman" w:hAnsi="Times New Roman" w:cs="Times New Roman"/>
          <w:sz w:val="26"/>
          <w:szCs w:val="26"/>
        </w:rPr>
        <w:t>ais uzdevums</w:t>
      </w:r>
      <w:r w:rsidRPr="00684F09">
        <w:rPr>
          <w:rFonts w:ascii="Times New Roman" w:hAnsi="Times New Roman" w:cs="Times New Roman"/>
          <w:sz w:val="26"/>
          <w:szCs w:val="26"/>
        </w:rPr>
        <w:t xml:space="preserve"> (Nr.2012-UZD-3401)</w:t>
      </w:r>
      <w:r>
        <w:rPr>
          <w:rFonts w:ascii="Times New Roman" w:hAnsi="Times New Roman" w:cs="Times New Roman"/>
          <w:sz w:val="26"/>
          <w:szCs w:val="26"/>
        </w:rPr>
        <w:t xml:space="preserve"> sniegt informāciju </w:t>
      </w:r>
      <w:r w:rsidRPr="00684F09">
        <w:rPr>
          <w:rFonts w:ascii="Times New Roman" w:hAnsi="Times New Roman" w:cs="Times New Roman"/>
          <w:sz w:val="26"/>
          <w:szCs w:val="26"/>
        </w:rPr>
        <w:t>par Eiropas augstākās izglītības kvalitātes nodrošināšanas reģistra darbību, tai skaitā par to, kā Latvijas Republikas institūcija varētu iekļūt</w:t>
      </w:r>
      <w:r>
        <w:rPr>
          <w:rFonts w:ascii="Times New Roman" w:hAnsi="Times New Roman" w:cs="Times New Roman"/>
          <w:sz w:val="26"/>
          <w:szCs w:val="26"/>
        </w:rPr>
        <w:t xml:space="preserve"> šajā reģistrā</w:t>
      </w:r>
      <w:r w:rsidRPr="00684F09">
        <w:rPr>
          <w:rFonts w:ascii="Times New Roman" w:hAnsi="Times New Roman" w:cs="Times New Roman"/>
          <w:sz w:val="26"/>
          <w:szCs w:val="26"/>
        </w:rPr>
        <w:t>.</w:t>
      </w:r>
    </w:p>
    <w:p w:rsidR="00055AC5" w:rsidRDefault="00055AC5" w:rsidP="00055AC5">
      <w:pPr>
        <w:spacing w:after="0" w:line="240" w:lineRule="auto"/>
        <w:ind w:firstLine="360"/>
        <w:jc w:val="both"/>
        <w:rPr>
          <w:rFonts w:ascii="Times New Roman" w:hAnsi="Times New Roman" w:cs="Times New Roman"/>
          <w:bCs/>
          <w:noProof/>
          <w:sz w:val="26"/>
          <w:szCs w:val="26"/>
        </w:rPr>
      </w:pPr>
      <w:r>
        <w:rPr>
          <w:rFonts w:ascii="Times New Roman" w:hAnsi="Times New Roman" w:cs="Times New Roman"/>
          <w:bCs/>
          <w:noProof/>
          <w:sz w:val="26"/>
          <w:szCs w:val="26"/>
        </w:rPr>
        <w:t>Koncepcija sastāv no esošās situācijas par augstākās izglītības kvalitātes nodrošināšanas jautājumiem Latvijā un EAIT valstīs raksturojuma, Latvijas augstākās izglītības kvalitātes nodrošināšnas sistēmas izvērtējuma, izskatot iespējamos variantus augstākās izglītības kvalitātes nodrošināšanas institūcijas izveidei  un sniedzot priekšlikumu šādas institūcijas izveidei ar mērķi uzlabot augstākās izglītības kvalitātes nodrošināšanas sistēmu.</w:t>
      </w:r>
    </w:p>
    <w:p w:rsidR="007D6129" w:rsidRPr="009A17EE" w:rsidRDefault="007D6129" w:rsidP="009A17EE">
      <w:pPr>
        <w:spacing w:after="0" w:line="240" w:lineRule="auto"/>
        <w:jc w:val="both"/>
        <w:rPr>
          <w:rFonts w:ascii="Times New Roman" w:hAnsi="Times New Roman" w:cs="Times New Roman"/>
          <w:bCs/>
          <w:noProof/>
          <w:sz w:val="26"/>
          <w:szCs w:val="26"/>
        </w:rPr>
      </w:pPr>
    </w:p>
    <w:p w:rsidR="007D6129" w:rsidRPr="001F457F" w:rsidRDefault="00416F67" w:rsidP="001F457F">
      <w:pPr>
        <w:spacing w:after="0" w:line="240" w:lineRule="auto"/>
        <w:ind w:firstLine="720"/>
        <w:jc w:val="both"/>
        <w:rPr>
          <w:rFonts w:ascii="Times New Roman" w:hAnsi="Times New Roman" w:cs="Times New Roman"/>
          <w:b/>
          <w:bCs/>
          <w:noProof/>
          <w:sz w:val="26"/>
          <w:szCs w:val="26"/>
        </w:rPr>
      </w:pPr>
      <w:r>
        <w:rPr>
          <w:rFonts w:ascii="Times New Roman" w:hAnsi="Times New Roman" w:cs="Times New Roman"/>
          <w:b/>
          <w:sz w:val="26"/>
          <w:szCs w:val="26"/>
        </w:rPr>
        <w:t>Koncepcijas mērķis ir i</w:t>
      </w:r>
      <w:r w:rsidR="009C1F5F" w:rsidRPr="009C1F5F">
        <w:rPr>
          <w:rFonts w:ascii="Times New Roman" w:hAnsi="Times New Roman" w:cs="Times New Roman"/>
          <w:b/>
          <w:sz w:val="26"/>
          <w:szCs w:val="26"/>
        </w:rPr>
        <w:t xml:space="preserve">zveidot Latvijas nacionālās kvalitātes nodrošināšanas institūciju, lai pilnveidotu Latvijas augstākās izglītības ārējās kvalitātes nodrošināšanas sistēmu, </w:t>
      </w:r>
      <w:r w:rsidR="009C1F5F" w:rsidRPr="009C1F5F">
        <w:rPr>
          <w:rFonts w:ascii="Times New Roman" w:hAnsi="Times New Roman" w:cs="Times New Roman"/>
          <w:sz w:val="26"/>
          <w:szCs w:val="26"/>
        </w:rPr>
        <w:t>kas darbotos atbilstoši Eiropas kvalitātes standartiem un vadlīnijām un veicinātu Latvijas augstākās izglītības kvalitāti, atpazīstamību un starptautisku atzīšanu.</w:t>
      </w:r>
      <w:r w:rsidR="009C1F5F">
        <w:rPr>
          <w:rFonts w:ascii="Times New Roman" w:hAnsi="Times New Roman" w:cs="Times New Roman"/>
          <w:bCs/>
          <w:noProof/>
          <w:sz w:val="26"/>
          <w:szCs w:val="26"/>
        </w:rPr>
        <w:t xml:space="preserve"> </w:t>
      </w:r>
      <w:r w:rsidR="007D6129" w:rsidRPr="00837C10">
        <w:rPr>
          <w:rFonts w:ascii="Times New Roman" w:hAnsi="Times New Roman" w:cs="Times New Roman"/>
          <w:bCs/>
          <w:noProof/>
          <w:sz w:val="26"/>
          <w:szCs w:val="26"/>
        </w:rPr>
        <w:t>1</w:t>
      </w:r>
      <w:r w:rsidR="007D6129" w:rsidRPr="001F457F">
        <w:rPr>
          <w:rFonts w:ascii="Times New Roman" w:hAnsi="Times New Roman" w:cs="Times New Roman"/>
          <w:bCs/>
          <w:noProof/>
          <w:sz w:val="26"/>
          <w:szCs w:val="26"/>
        </w:rPr>
        <w:t>990.gados Latvija bija viena no tām Boloņas procesa valstīm, kas izveidoja augstākās izglītības akreditācijas sistēmu, tādējādi ierindojoties starp augstākās izglītības nacionālo sistēmu attīstības līderiem EAIT. Taču pašreiz pastāv tikai atsevišķi kvalitātes nodrošināšanas sistēmas elementi un to nevar nosaukt par vienotu sistēmu.</w:t>
      </w:r>
    </w:p>
    <w:p w:rsidR="007D6129" w:rsidRPr="001F457F" w:rsidRDefault="007D6129" w:rsidP="001F457F">
      <w:pPr>
        <w:spacing w:after="0" w:line="240" w:lineRule="auto"/>
        <w:ind w:firstLine="720"/>
        <w:jc w:val="both"/>
        <w:rPr>
          <w:rFonts w:ascii="Times New Roman" w:hAnsi="Times New Roman" w:cs="Times New Roman"/>
          <w:b/>
          <w:bCs/>
          <w:noProof/>
          <w:sz w:val="26"/>
          <w:szCs w:val="26"/>
        </w:rPr>
      </w:pPr>
      <w:r w:rsidRPr="001F457F">
        <w:rPr>
          <w:rFonts w:ascii="Times New Roman" w:hAnsi="Times New Roman" w:cs="Times New Roman"/>
          <w:bCs/>
          <w:noProof/>
          <w:sz w:val="26"/>
          <w:szCs w:val="26"/>
        </w:rPr>
        <w:t xml:space="preserve">Turklāt, Latvija ir ratificējusi Lisabonas konvenciju un parakstījusi Boloņas deklarāciju, ar kuru apņemas izveidot ārējās kvalitātes nodrošināšanas sistēmu atbilstoši </w:t>
      </w:r>
      <w:r w:rsidR="00A141E6" w:rsidRPr="001F457F">
        <w:rPr>
          <w:rFonts w:ascii="Times New Roman" w:hAnsi="Times New Roman" w:cs="Times New Roman"/>
          <w:bCs/>
          <w:noProof/>
          <w:sz w:val="26"/>
          <w:szCs w:val="26"/>
        </w:rPr>
        <w:t xml:space="preserve">Eiropas asociācijas kvalitātes nodrošināšanai augstākajā izglītībā </w:t>
      </w:r>
      <w:r w:rsidR="00A141E6" w:rsidRPr="001F457F">
        <w:rPr>
          <w:rFonts w:ascii="Times New Roman" w:hAnsi="Times New Roman" w:cs="Times New Roman"/>
          <w:bCs/>
          <w:i/>
          <w:noProof/>
          <w:sz w:val="26"/>
          <w:szCs w:val="26"/>
        </w:rPr>
        <w:t>(European Association for Quality Assurance in Higher Education)</w:t>
      </w:r>
      <w:r w:rsidR="00A141E6" w:rsidRPr="001F457F">
        <w:rPr>
          <w:rFonts w:ascii="Times New Roman" w:hAnsi="Times New Roman" w:cs="Times New Roman"/>
          <w:bCs/>
          <w:noProof/>
          <w:sz w:val="26"/>
          <w:szCs w:val="26"/>
        </w:rPr>
        <w:t xml:space="preserve"> izstrādātie</w:t>
      </w:r>
      <w:r w:rsidR="00C814EE" w:rsidRPr="001F457F">
        <w:rPr>
          <w:rFonts w:ascii="Times New Roman" w:hAnsi="Times New Roman" w:cs="Times New Roman"/>
          <w:bCs/>
          <w:noProof/>
          <w:sz w:val="26"/>
          <w:szCs w:val="26"/>
        </w:rPr>
        <w:t>m</w:t>
      </w:r>
      <w:r w:rsidR="00A141E6" w:rsidRPr="001F457F">
        <w:rPr>
          <w:rFonts w:ascii="Times New Roman" w:hAnsi="Times New Roman" w:cs="Times New Roman"/>
          <w:bCs/>
          <w:noProof/>
          <w:sz w:val="26"/>
          <w:szCs w:val="26"/>
        </w:rPr>
        <w:t xml:space="preserve"> standarti</w:t>
      </w:r>
      <w:r w:rsidR="00C814EE" w:rsidRPr="001F457F">
        <w:rPr>
          <w:rFonts w:ascii="Times New Roman" w:hAnsi="Times New Roman" w:cs="Times New Roman"/>
          <w:bCs/>
          <w:noProof/>
          <w:sz w:val="26"/>
          <w:szCs w:val="26"/>
        </w:rPr>
        <w:t>em un vadlīnijām</w:t>
      </w:r>
      <w:r w:rsidR="00A141E6" w:rsidRPr="001F457F">
        <w:rPr>
          <w:rFonts w:ascii="Times New Roman" w:hAnsi="Times New Roman" w:cs="Times New Roman"/>
          <w:bCs/>
          <w:noProof/>
          <w:sz w:val="26"/>
          <w:szCs w:val="26"/>
        </w:rPr>
        <w:t xml:space="preserve"> kvalitātes nodrošināšanai Eiropas Augstākās izglītības telpā</w:t>
      </w:r>
      <w:r w:rsidRPr="001F457F">
        <w:rPr>
          <w:rFonts w:ascii="Times New Roman" w:hAnsi="Times New Roman" w:cs="Times New Roman"/>
          <w:bCs/>
          <w:i/>
          <w:noProof/>
          <w:sz w:val="26"/>
          <w:szCs w:val="26"/>
        </w:rPr>
        <w:t>.</w:t>
      </w:r>
      <w:r w:rsidRPr="001F457F">
        <w:rPr>
          <w:rFonts w:ascii="Times New Roman" w:hAnsi="Times New Roman" w:cs="Times New Roman"/>
          <w:bCs/>
          <w:noProof/>
          <w:sz w:val="26"/>
          <w:szCs w:val="26"/>
        </w:rPr>
        <w:t xml:space="preserve"> Tādējādi, pamatproblēma ir ārējās kvalitātes nodrošināšanas sistēmas daļēja atbilstība </w:t>
      </w:r>
      <w:r w:rsidR="00C814EE" w:rsidRPr="001F457F">
        <w:rPr>
          <w:rFonts w:ascii="Times New Roman" w:hAnsi="Times New Roman" w:cs="Times New Roman"/>
          <w:bCs/>
          <w:noProof/>
          <w:sz w:val="26"/>
          <w:szCs w:val="26"/>
        </w:rPr>
        <w:t>minētajiem standartiem un vadlīnijām</w:t>
      </w:r>
      <w:r w:rsidRPr="001F457F">
        <w:rPr>
          <w:rFonts w:ascii="Times New Roman" w:hAnsi="Times New Roman" w:cs="Times New Roman"/>
          <w:bCs/>
          <w:noProof/>
          <w:sz w:val="26"/>
          <w:szCs w:val="26"/>
        </w:rPr>
        <w:t>.</w:t>
      </w:r>
    </w:p>
    <w:p w:rsidR="007D6129" w:rsidRPr="001F457F" w:rsidRDefault="007D6129" w:rsidP="001F457F">
      <w:pPr>
        <w:spacing w:after="0" w:line="240" w:lineRule="auto"/>
        <w:jc w:val="both"/>
        <w:rPr>
          <w:rFonts w:ascii="Times New Roman" w:hAnsi="Times New Roman" w:cs="Times New Roman"/>
          <w:b/>
          <w:bCs/>
          <w:noProof/>
          <w:sz w:val="26"/>
          <w:szCs w:val="26"/>
        </w:rPr>
      </w:pPr>
    </w:p>
    <w:p w:rsidR="00FD446E" w:rsidRPr="001F457F" w:rsidRDefault="00FD446E" w:rsidP="001F457F">
      <w:pPr>
        <w:spacing w:after="0" w:line="240" w:lineRule="auto"/>
        <w:ind w:firstLine="720"/>
        <w:jc w:val="both"/>
        <w:rPr>
          <w:rFonts w:ascii="Times New Roman" w:hAnsi="Times New Roman" w:cs="Times New Roman"/>
          <w:bCs/>
          <w:noProof/>
          <w:sz w:val="26"/>
          <w:szCs w:val="26"/>
        </w:rPr>
      </w:pPr>
      <w:r w:rsidRPr="001F457F">
        <w:rPr>
          <w:rFonts w:ascii="Times New Roman" w:hAnsi="Times New Roman" w:cs="Times New Roman"/>
          <w:bCs/>
          <w:noProof/>
          <w:sz w:val="26"/>
          <w:szCs w:val="26"/>
        </w:rPr>
        <w:t>Lai nodrošinātu Latvijas ārējās kvalitātes nodrošināšanas sistēmas atbilstību standartiem un vadlīnijām kvalitātes nodrošināšanai Eiropas Augstākās izglītības telpā, itek piedāvāts nodot kvalitātes nodrošināšanas funkcijas, t.sk. akreditācijas un licencēšans organizēšanu, Akadēmiskās informācijas centram</w:t>
      </w:r>
      <w:r w:rsidR="00AD18B0" w:rsidRPr="001F457F">
        <w:rPr>
          <w:rFonts w:ascii="Times New Roman" w:hAnsi="Times New Roman" w:cs="Times New Roman"/>
          <w:bCs/>
          <w:noProof/>
          <w:sz w:val="26"/>
          <w:szCs w:val="26"/>
        </w:rPr>
        <w:t xml:space="preserve"> (turpmāk - AIC)</w:t>
      </w:r>
      <w:r w:rsidRPr="001F457F">
        <w:rPr>
          <w:rFonts w:ascii="Times New Roman" w:hAnsi="Times New Roman" w:cs="Times New Roman"/>
          <w:bCs/>
          <w:noProof/>
          <w:sz w:val="26"/>
          <w:szCs w:val="26"/>
        </w:rPr>
        <w:t xml:space="preserve">. </w:t>
      </w:r>
    </w:p>
    <w:p w:rsidR="00AD18B0" w:rsidRPr="001F457F" w:rsidRDefault="00AD18B0" w:rsidP="001F457F">
      <w:pPr>
        <w:spacing w:after="0" w:line="240" w:lineRule="auto"/>
        <w:ind w:firstLine="720"/>
        <w:jc w:val="both"/>
        <w:rPr>
          <w:rFonts w:ascii="Times New Roman" w:hAnsi="Times New Roman" w:cs="Times New Roman"/>
          <w:sz w:val="26"/>
          <w:szCs w:val="26"/>
        </w:rPr>
      </w:pPr>
      <w:r w:rsidRPr="001F457F">
        <w:rPr>
          <w:rFonts w:ascii="Times New Roman" w:hAnsi="Times New Roman" w:cs="Times New Roman"/>
          <w:sz w:val="26"/>
          <w:szCs w:val="26"/>
        </w:rPr>
        <w:t xml:space="preserve">AIC ir nodibinājums, kas darbojās saskaņā ar statūtiem, kuri reģistrēti biedrību un nodibinājuma reģistrā 2009.gada 24.novembrī. Saskaņā ar Izglītības likuma 11. panta piekto daļu </w:t>
      </w:r>
      <w:r w:rsidR="009C1F5F">
        <w:rPr>
          <w:rFonts w:ascii="Times New Roman" w:hAnsi="Times New Roman" w:cs="Times New Roman"/>
          <w:sz w:val="26"/>
          <w:szCs w:val="26"/>
        </w:rPr>
        <w:t xml:space="preserve">un Augstskolu likuma 85.pantu </w:t>
      </w:r>
      <w:r w:rsidRPr="001F457F">
        <w:rPr>
          <w:rFonts w:ascii="Times New Roman" w:hAnsi="Times New Roman" w:cs="Times New Roman"/>
          <w:sz w:val="26"/>
          <w:szCs w:val="26"/>
        </w:rPr>
        <w:t xml:space="preserve">AIC </w:t>
      </w:r>
      <w:r w:rsidR="009C1F5F">
        <w:rPr>
          <w:rFonts w:ascii="Times New Roman" w:hAnsi="Times New Roman" w:cs="Times New Roman"/>
          <w:sz w:val="26"/>
          <w:szCs w:val="26"/>
        </w:rPr>
        <w:t>veic</w:t>
      </w:r>
      <w:r w:rsidRPr="001F457F">
        <w:rPr>
          <w:rFonts w:ascii="Times New Roman" w:hAnsi="Times New Roman" w:cs="Times New Roman"/>
          <w:sz w:val="26"/>
          <w:szCs w:val="26"/>
        </w:rPr>
        <w:t xml:space="preserve"> ārvalstīs izsniegtu izglītības dokumentu un akadēmiskos grādus apliecinošu dokumentu ekspertīzi un citas ar izglītības dokumentu atzīšanu un starptautisko informācijas apmaiņu saistītas funkcijas.</w:t>
      </w:r>
    </w:p>
    <w:p w:rsidR="00AD18B0" w:rsidRDefault="00AD18B0" w:rsidP="001F457F">
      <w:pPr>
        <w:spacing w:after="0" w:line="240" w:lineRule="auto"/>
        <w:ind w:firstLine="720"/>
        <w:jc w:val="both"/>
        <w:rPr>
          <w:rFonts w:ascii="Times New Roman" w:hAnsi="Times New Roman" w:cs="Times New Roman"/>
          <w:sz w:val="26"/>
          <w:szCs w:val="26"/>
        </w:rPr>
      </w:pPr>
      <w:r w:rsidRPr="001F457F">
        <w:rPr>
          <w:rFonts w:ascii="Times New Roman" w:hAnsi="Times New Roman" w:cs="Times New Roman"/>
          <w:sz w:val="26"/>
          <w:szCs w:val="26"/>
        </w:rPr>
        <w:t xml:space="preserve">Ņemot vērā, ka kvalitātes nodrošināšanas funkcijas sevī ietver apjomīgu veicamo uzdevumu klāstu, AIC būtu nepieciešams izveidot </w:t>
      </w:r>
      <w:r w:rsidR="009C1F5F">
        <w:rPr>
          <w:rFonts w:ascii="Times New Roman" w:hAnsi="Times New Roman" w:cs="Times New Roman"/>
          <w:sz w:val="26"/>
          <w:szCs w:val="26"/>
        </w:rPr>
        <w:t xml:space="preserve">departamentu/ </w:t>
      </w:r>
      <w:r w:rsidRPr="001F457F">
        <w:rPr>
          <w:rFonts w:ascii="Times New Roman" w:hAnsi="Times New Roman" w:cs="Times New Roman"/>
          <w:sz w:val="26"/>
          <w:szCs w:val="26"/>
        </w:rPr>
        <w:t>nodaļu, kuras kompetencē būtu organizēt augstskolu un studiju virzienu akreditāciju un studiju programmu licencēšan</w:t>
      </w:r>
      <w:r w:rsidR="006D6ACF" w:rsidRPr="001F457F">
        <w:rPr>
          <w:rFonts w:ascii="Times New Roman" w:hAnsi="Times New Roman" w:cs="Times New Roman"/>
          <w:sz w:val="26"/>
          <w:szCs w:val="26"/>
        </w:rPr>
        <w:t>u, sākot no augstskolu pašnovērtējuma ziņojuma saņemšanas (sniedzot arī atbalstu augstskolām pašnovērtējuma sagatavošanā), ekspertu atlases un vizītes sagatavošanas, līdz lēmuma pieņemšanas sagatavošanas</w:t>
      </w:r>
      <w:r w:rsidR="00416F67">
        <w:rPr>
          <w:rFonts w:ascii="Times New Roman" w:hAnsi="Times New Roman" w:cs="Times New Roman"/>
          <w:sz w:val="26"/>
          <w:szCs w:val="26"/>
        </w:rPr>
        <w:t>,</w:t>
      </w:r>
      <w:r w:rsidR="006D6ACF" w:rsidRPr="001F457F">
        <w:rPr>
          <w:rFonts w:ascii="Times New Roman" w:hAnsi="Times New Roman" w:cs="Times New Roman"/>
          <w:sz w:val="26"/>
          <w:szCs w:val="26"/>
        </w:rPr>
        <w:t xml:space="preserve"> </w:t>
      </w:r>
      <w:r w:rsidRPr="001F457F">
        <w:rPr>
          <w:rFonts w:ascii="Times New Roman" w:hAnsi="Times New Roman" w:cs="Times New Roman"/>
          <w:sz w:val="26"/>
          <w:szCs w:val="26"/>
        </w:rPr>
        <w:t>kā arī citi a</w:t>
      </w:r>
      <w:r w:rsidR="006D6ACF" w:rsidRPr="001F457F">
        <w:rPr>
          <w:rFonts w:ascii="Times New Roman" w:hAnsi="Times New Roman" w:cs="Times New Roman"/>
          <w:sz w:val="26"/>
          <w:szCs w:val="26"/>
        </w:rPr>
        <w:t>r kvalitāti saistītie uzdevumi</w:t>
      </w:r>
      <w:r w:rsidRPr="001F457F">
        <w:rPr>
          <w:rFonts w:ascii="Times New Roman" w:hAnsi="Times New Roman" w:cs="Times New Roman"/>
          <w:sz w:val="26"/>
          <w:szCs w:val="26"/>
        </w:rPr>
        <w:t xml:space="preserve">. Respektīvi, AIC būtu tā iestāde, kas veic kvalitātes nodrošināšanas funkciju izpildi, veicot regulāru kvalitātes monitoringu, sniedzot atbalstu gan </w:t>
      </w:r>
      <w:r w:rsidRPr="001F457F">
        <w:rPr>
          <w:rFonts w:ascii="Times New Roman" w:hAnsi="Times New Roman" w:cs="Times New Roman"/>
          <w:sz w:val="26"/>
          <w:szCs w:val="26"/>
        </w:rPr>
        <w:lastRenderedPageBreak/>
        <w:t>augstskolām, gan ekspertiem, organizējot ekspertu apmācības un informatīvus seminārus augstskolām, nodrošinot ticamas informācijas publisku pieejamību.</w:t>
      </w:r>
    </w:p>
    <w:p w:rsidR="000228F4" w:rsidRDefault="000228F4" w:rsidP="003D3587">
      <w:pPr>
        <w:spacing w:after="0" w:line="240" w:lineRule="auto"/>
        <w:ind w:firstLine="720"/>
        <w:jc w:val="right"/>
        <w:rPr>
          <w:rFonts w:ascii="Times New Roman" w:hAnsi="Times New Roman" w:cs="Times New Roman"/>
          <w:i/>
          <w:sz w:val="26"/>
          <w:szCs w:val="26"/>
        </w:rPr>
      </w:pPr>
    </w:p>
    <w:p w:rsidR="003D3587" w:rsidRPr="003D3587" w:rsidRDefault="003D3587" w:rsidP="003D3587">
      <w:pPr>
        <w:spacing w:after="0" w:line="240" w:lineRule="auto"/>
        <w:ind w:firstLine="720"/>
        <w:jc w:val="right"/>
        <w:rPr>
          <w:rFonts w:ascii="Times New Roman" w:hAnsi="Times New Roman" w:cs="Times New Roman"/>
          <w:i/>
          <w:sz w:val="26"/>
          <w:szCs w:val="26"/>
        </w:rPr>
      </w:pPr>
      <w:r>
        <w:rPr>
          <w:rFonts w:ascii="Times New Roman" w:hAnsi="Times New Roman" w:cs="Times New Roman"/>
          <w:i/>
          <w:sz w:val="26"/>
          <w:szCs w:val="26"/>
        </w:rPr>
        <w:t>1.attēls</w:t>
      </w:r>
    </w:p>
    <w:p w:rsidR="00D928FD" w:rsidRDefault="009A17EE" w:rsidP="009A17EE">
      <w:pPr>
        <w:spacing w:after="0" w:line="240" w:lineRule="auto"/>
        <w:ind w:firstLine="720"/>
        <w:jc w:val="center"/>
        <w:rPr>
          <w:rFonts w:ascii="Times New Roman" w:hAnsi="Times New Roman" w:cs="Times New Roman"/>
          <w:sz w:val="26"/>
          <w:szCs w:val="26"/>
        </w:rPr>
      </w:pPr>
      <w:r w:rsidRPr="00DC3AE4">
        <w:rPr>
          <w:rFonts w:ascii="Times New Roman" w:hAnsi="Times New Roman" w:cs="Times New Roman"/>
          <w:b/>
          <w:sz w:val="26"/>
          <w:szCs w:val="26"/>
        </w:rPr>
        <w:t>Latvijas augstākās izglītības kvalitātes nodrošināšanas institūcijas darbība Akadēmiskās informācijas centra struktūrā</w:t>
      </w:r>
    </w:p>
    <w:p w:rsidR="00D928FD" w:rsidRPr="001F457F" w:rsidRDefault="00D928FD" w:rsidP="001F457F">
      <w:pPr>
        <w:spacing w:after="0" w:line="240" w:lineRule="auto"/>
        <w:ind w:firstLine="720"/>
        <w:jc w:val="both"/>
        <w:rPr>
          <w:rFonts w:ascii="Times New Roman" w:hAnsi="Times New Roman" w:cs="Times New Roman"/>
          <w:sz w:val="26"/>
          <w:szCs w:val="26"/>
        </w:rPr>
      </w:pPr>
      <w:r w:rsidRPr="00FB0D23">
        <w:rPr>
          <w:rFonts w:ascii="Times New Roman" w:hAnsi="Times New Roman" w:cs="Times New Roman"/>
          <w:b/>
          <w:noProof/>
          <w:sz w:val="26"/>
          <w:szCs w:val="26"/>
          <w:lang w:eastAsia="lv-LV"/>
        </w:rPr>
        <w:drawing>
          <wp:inline distT="0" distB="0" distL="0" distR="0">
            <wp:extent cx="5268753" cy="4248150"/>
            <wp:effectExtent l="19050" t="0" r="8097"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8753" cy="4248150"/>
                    </a:xfrm>
                    <a:prstGeom prst="rect">
                      <a:avLst/>
                    </a:prstGeom>
                    <a:noFill/>
                    <a:ln>
                      <a:noFill/>
                    </a:ln>
                  </pic:spPr>
                </pic:pic>
              </a:graphicData>
            </a:graphic>
          </wp:inline>
        </w:drawing>
      </w:r>
    </w:p>
    <w:p w:rsidR="00D928FD" w:rsidRDefault="00D928FD" w:rsidP="001F457F">
      <w:pPr>
        <w:spacing w:after="0" w:line="240" w:lineRule="auto"/>
        <w:ind w:firstLine="720"/>
        <w:jc w:val="both"/>
        <w:rPr>
          <w:rFonts w:ascii="Times New Roman" w:hAnsi="Times New Roman" w:cs="Times New Roman"/>
          <w:sz w:val="26"/>
          <w:szCs w:val="26"/>
        </w:rPr>
      </w:pPr>
    </w:p>
    <w:p w:rsidR="0020029C" w:rsidRPr="001F457F" w:rsidRDefault="0020029C" w:rsidP="001F457F">
      <w:pPr>
        <w:spacing w:after="0" w:line="240" w:lineRule="auto"/>
        <w:ind w:firstLine="720"/>
        <w:jc w:val="both"/>
        <w:rPr>
          <w:rFonts w:ascii="Times New Roman" w:hAnsi="Times New Roman" w:cs="Times New Roman"/>
          <w:sz w:val="26"/>
          <w:szCs w:val="26"/>
        </w:rPr>
      </w:pPr>
      <w:r w:rsidRPr="001F457F">
        <w:rPr>
          <w:rFonts w:ascii="Times New Roman" w:hAnsi="Times New Roman" w:cs="Times New Roman"/>
          <w:sz w:val="26"/>
          <w:szCs w:val="26"/>
        </w:rPr>
        <w:t>I</w:t>
      </w:r>
      <w:r w:rsidR="006D6ACF" w:rsidRPr="001F457F">
        <w:rPr>
          <w:rFonts w:ascii="Times New Roman" w:hAnsi="Times New Roman" w:cs="Times New Roman"/>
          <w:sz w:val="26"/>
          <w:szCs w:val="26"/>
        </w:rPr>
        <w:t>evērojot E</w:t>
      </w:r>
      <w:r w:rsidRPr="001F457F">
        <w:rPr>
          <w:rFonts w:ascii="Times New Roman" w:hAnsi="Times New Roman" w:cs="Times New Roman"/>
          <w:sz w:val="26"/>
          <w:szCs w:val="26"/>
        </w:rPr>
        <w:t xml:space="preserve">iropas augstākās izglītības telpas </w:t>
      </w:r>
      <w:r w:rsidR="006D6ACF" w:rsidRPr="001F457F">
        <w:rPr>
          <w:rFonts w:ascii="Times New Roman" w:hAnsi="Times New Roman" w:cs="Times New Roman"/>
          <w:sz w:val="26"/>
          <w:szCs w:val="26"/>
        </w:rPr>
        <w:t xml:space="preserve">attīstības principus, kas nosaka, ka kvalitātes nodrošināšanas institūcijas drīkst darboties arī ārpus savas valsts robežām, AIC kā kvalitātes nodrošināšanas institūcija varētu iekļūt </w:t>
      </w:r>
      <w:r w:rsidRPr="001F457F">
        <w:rPr>
          <w:rFonts w:ascii="Times New Roman" w:hAnsi="Times New Roman" w:cs="Times New Roman"/>
          <w:bCs/>
          <w:noProof/>
          <w:sz w:val="26"/>
          <w:szCs w:val="26"/>
        </w:rPr>
        <w:t xml:space="preserve">Eiropas asociācijā kvalitātes nodrošināšanai augstākajā izglītībā </w:t>
      </w:r>
      <w:r w:rsidR="006D6ACF" w:rsidRPr="001F457F">
        <w:rPr>
          <w:rFonts w:ascii="Times New Roman" w:hAnsi="Times New Roman" w:cs="Times New Roman"/>
          <w:sz w:val="26"/>
          <w:szCs w:val="26"/>
        </w:rPr>
        <w:t xml:space="preserve">un </w:t>
      </w:r>
      <w:r w:rsidRPr="001F457F">
        <w:rPr>
          <w:rFonts w:ascii="Times New Roman" w:hAnsi="Times New Roman" w:cs="Times New Roman"/>
          <w:sz w:val="26"/>
          <w:szCs w:val="26"/>
        </w:rPr>
        <w:t>Eiropas augstākās izglītības kvalitātes nodrošināšanas reģistrā</w:t>
      </w:r>
      <w:r w:rsidR="006D6ACF" w:rsidRPr="001F457F">
        <w:rPr>
          <w:rFonts w:ascii="Times New Roman" w:hAnsi="Times New Roman" w:cs="Times New Roman"/>
          <w:sz w:val="26"/>
          <w:szCs w:val="26"/>
        </w:rPr>
        <w:t>, izejot starptautisko novērtēšanu un izpildot attiecīgus kritērijus.</w:t>
      </w:r>
    </w:p>
    <w:p w:rsidR="0020029C" w:rsidRPr="001F457F" w:rsidRDefault="006D6ACF" w:rsidP="001F457F">
      <w:pPr>
        <w:spacing w:after="0" w:line="240" w:lineRule="auto"/>
        <w:ind w:firstLine="720"/>
        <w:jc w:val="both"/>
        <w:rPr>
          <w:rFonts w:ascii="Times New Roman" w:hAnsi="Times New Roman" w:cs="Times New Roman"/>
          <w:sz w:val="26"/>
          <w:szCs w:val="26"/>
        </w:rPr>
      </w:pPr>
      <w:r w:rsidRPr="001F457F">
        <w:rPr>
          <w:rFonts w:ascii="Times New Roman" w:hAnsi="Times New Roman" w:cs="Times New Roman"/>
          <w:sz w:val="26"/>
          <w:szCs w:val="26"/>
        </w:rPr>
        <w:t xml:space="preserve"> </w:t>
      </w:r>
      <w:r w:rsidR="0020029C" w:rsidRPr="001F457F">
        <w:rPr>
          <w:rFonts w:ascii="Times New Roman" w:hAnsi="Times New Roman" w:cs="Times New Roman"/>
          <w:sz w:val="26"/>
          <w:szCs w:val="26"/>
        </w:rPr>
        <w:t xml:space="preserve">Lai nodotu kvalitātes novērtēšanas nodrošināšanas funkcijas AIC, ir nepieciešams veikt normatīvo aktu grozījumus, vienlaikus paredzot arī finansējuma piešķiršanu. Savukārt AIC organizētu savu darbību un pārveidotu struktūru tā, lai varētu nodrošināt kvalitātes nodrošināšanas funkcijas. </w:t>
      </w:r>
    </w:p>
    <w:p w:rsidR="006D6ACF" w:rsidRPr="001F457F" w:rsidRDefault="006D6ACF" w:rsidP="001F457F">
      <w:pPr>
        <w:spacing w:after="0" w:line="240" w:lineRule="auto"/>
        <w:ind w:firstLine="720"/>
        <w:jc w:val="both"/>
        <w:rPr>
          <w:rFonts w:ascii="Times New Roman" w:hAnsi="Times New Roman" w:cs="Times New Roman"/>
          <w:sz w:val="26"/>
          <w:szCs w:val="26"/>
        </w:rPr>
      </w:pPr>
    </w:p>
    <w:p w:rsidR="000228F4" w:rsidRPr="00F95550" w:rsidRDefault="000228F4" w:rsidP="000228F4">
      <w:pPr>
        <w:pStyle w:val="ListParagraph"/>
        <w:spacing w:after="0" w:line="240" w:lineRule="auto"/>
        <w:ind w:left="1080"/>
        <w:jc w:val="right"/>
        <w:rPr>
          <w:rFonts w:ascii="Times New Roman" w:hAnsi="Times New Roman" w:cs="Times New Roman"/>
          <w:sz w:val="26"/>
          <w:szCs w:val="26"/>
        </w:rPr>
      </w:pPr>
      <w:r>
        <w:rPr>
          <w:rFonts w:ascii="Times New Roman" w:hAnsi="Times New Roman" w:cs="Times New Roman"/>
          <w:i/>
          <w:sz w:val="26"/>
          <w:szCs w:val="26"/>
        </w:rPr>
        <w:t>1</w:t>
      </w:r>
      <w:r w:rsidRPr="00F95550">
        <w:rPr>
          <w:rFonts w:ascii="Times New Roman" w:hAnsi="Times New Roman" w:cs="Times New Roman"/>
          <w:i/>
          <w:sz w:val="26"/>
          <w:szCs w:val="26"/>
        </w:rPr>
        <w:t>.tabula</w:t>
      </w:r>
    </w:p>
    <w:p w:rsidR="000228F4" w:rsidRPr="00F95550" w:rsidRDefault="000228F4" w:rsidP="000228F4">
      <w:pPr>
        <w:spacing w:after="0" w:line="240" w:lineRule="auto"/>
        <w:jc w:val="center"/>
        <w:rPr>
          <w:rFonts w:ascii="Times New Roman" w:hAnsi="Times New Roman" w:cs="Times New Roman"/>
          <w:b/>
          <w:i/>
          <w:sz w:val="26"/>
          <w:szCs w:val="26"/>
        </w:rPr>
      </w:pPr>
      <w:r w:rsidRPr="00F95550">
        <w:rPr>
          <w:rFonts w:ascii="Times New Roman" w:hAnsi="Times New Roman" w:cs="Times New Roman"/>
          <w:b/>
          <w:i/>
          <w:sz w:val="26"/>
          <w:szCs w:val="26"/>
        </w:rPr>
        <w:t>Indikatīvas Latvijas augstākās izglītības kvalitātes nodrošināšanas institūcijas darbības un uzturēšanas izmaksas gadā</w:t>
      </w:r>
    </w:p>
    <w:p w:rsidR="000228F4" w:rsidRPr="00F95550" w:rsidRDefault="000228F4" w:rsidP="000228F4">
      <w:pPr>
        <w:spacing w:after="0" w:line="240" w:lineRule="auto"/>
        <w:jc w:val="center"/>
        <w:rPr>
          <w:rFonts w:ascii="Times New Roman" w:hAnsi="Times New Roman" w:cs="Times New Roman"/>
          <w:b/>
          <w:i/>
          <w:sz w:val="26"/>
          <w:szCs w:val="26"/>
        </w:rPr>
      </w:pPr>
    </w:p>
    <w:tbl>
      <w:tblPr>
        <w:tblStyle w:val="TableGrid"/>
        <w:tblW w:w="0" w:type="auto"/>
        <w:tblInd w:w="-5" w:type="dxa"/>
        <w:tblLook w:val="04A0" w:firstRow="1" w:lastRow="0" w:firstColumn="1" w:lastColumn="0" w:noHBand="0" w:noVBand="1"/>
      </w:tblPr>
      <w:tblGrid>
        <w:gridCol w:w="3222"/>
        <w:gridCol w:w="1711"/>
        <w:gridCol w:w="1984"/>
        <w:gridCol w:w="2127"/>
      </w:tblGrid>
      <w:tr w:rsidR="000228F4" w:rsidRPr="00F95550" w:rsidTr="008D5CFD">
        <w:tc>
          <w:tcPr>
            <w:tcW w:w="3222" w:type="dxa"/>
          </w:tcPr>
          <w:p w:rsidR="000228F4" w:rsidRPr="00F95550" w:rsidRDefault="000228F4" w:rsidP="008D5CFD">
            <w:pPr>
              <w:rPr>
                <w:rFonts w:ascii="Times New Roman" w:hAnsi="Times New Roman"/>
                <w:b/>
                <w:sz w:val="26"/>
                <w:szCs w:val="26"/>
              </w:rPr>
            </w:pPr>
          </w:p>
        </w:tc>
        <w:tc>
          <w:tcPr>
            <w:tcW w:w="1711" w:type="dxa"/>
          </w:tcPr>
          <w:p w:rsidR="000228F4" w:rsidRPr="00F95550" w:rsidRDefault="000228F4" w:rsidP="00FB6E07">
            <w:pPr>
              <w:jc w:val="center"/>
              <w:rPr>
                <w:rFonts w:ascii="Times New Roman" w:hAnsi="Times New Roman"/>
                <w:b/>
                <w:sz w:val="26"/>
                <w:szCs w:val="26"/>
              </w:rPr>
            </w:pPr>
            <w:r w:rsidRPr="00F95550">
              <w:rPr>
                <w:rFonts w:ascii="Times New Roman" w:hAnsi="Times New Roman"/>
                <w:b/>
                <w:sz w:val="26"/>
                <w:szCs w:val="26"/>
              </w:rPr>
              <w:t>2015. (euro)</w:t>
            </w:r>
          </w:p>
        </w:tc>
        <w:tc>
          <w:tcPr>
            <w:tcW w:w="1984" w:type="dxa"/>
          </w:tcPr>
          <w:p w:rsidR="000228F4" w:rsidRPr="00F95550" w:rsidRDefault="000228F4" w:rsidP="00FB6E07">
            <w:pPr>
              <w:jc w:val="center"/>
              <w:rPr>
                <w:rFonts w:ascii="Times New Roman" w:hAnsi="Times New Roman"/>
                <w:b/>
                <w:sz w:val="26"/>
                <w:szCs w:val="26"/>
              </w:rPr>
            </w:pPr>
            <w:r w:rsidRPr="00F95550">
              <w:rPr>
                <w:rFonts w:ascii="Times New Roman" w:hAnsi="Times New Roman"/>
                <w:b/>
                <w:sz w:val="26"/>
                <w:szCs w:val="26"/>
              </w:rPr>
              <w:t>2016. (euro)</w:t>
            </w:r>
          </w:p>
        </w:tc>
        <w:tc>
          <w:tcPr>
            <w:tcW w:w="2127" w:type="dxa"/>
          </w:tcPr>
          <w:p w:rsidR="000228F4" w:rsidRPr="00F95550" w:rsidRDefault="000228F4" w:rsidP="00FB6E07">
            <w:pPr>
              <w:jc w:val="center"/>
              <w:rPr>
                <w:rFonts w:ascii="Times New Roman" w:hAnsi="Times New Roman"/>
                <w:b/>
                <w:sz w:val="26"/>
                <w:szCs w:val="26"/>
              </w:rPr>
            </w:pPr>
            <w:r w:rsidRPr="00F95550">
              <w:rPr>
                <w:rFonts w:ascii="Times New Roman" w:hAnsi="Times New Roman"/>
                <w:b/>
                <w:sz w:val="26"/>
                <w:szCs w:val="26"/>
              </w:rPr>
              <w:t>2017. (euro)</w:t>
            </w:r>
          </w:p>
        </w:tc>
      </w:tr>
      <w:tr w:rsidR="000228F4" w:rsidRPr="0070281A" w:rsidTr="00EA51C3">
        <w:tc>
          <w:tcPr>
            <w:tcW w:w="9044" w:type="dxa"/>
            <w:gridSpan w:val="4"/>
          </w:tcPr>
          <w:p w:rsidR="000228F4" w:rsidRPr="00F95550" w:rsidRDefault="000228F4" w:rsidP="00FB6E07">
            <w:pPr>
              <w:rPr>
                <w:rFonts w:ascii="Times New Roman" w:hAnsi="Times New Roman"/>
                <w:sz w:val="26"/>
                <w:szCs w:val="26"/>
              </w:rPr>
            </w:pPr>
            <w:r>
              <w:rPr>
                <w:rFonts w:ascii="Times New Roman" w:hAnsi="Times New Roman"/>
                <w:b/>
                <w:sz w:val="26"/>
                <w:szCs w:val="26"/>
              </w:rPr>
              <w:t>Izdevumi</w:t>
            </w:r>
          </w:p>
        </w:tc>
      </w:tr>
      <w:tr w:rsidR="000228F4" w:rsidRPr="0070281A" w:rsidTr="008D5CFD">
        <w:tc>
          <w:tcPr>
            <w:tcW w:w="3222" w:type="dxa"/>
          </w:tcPr>
          <w:p w:rsidR="000228F4" w:rsidRPr="00F95550" w:rsidRDefault="000228F4" w:rsidP="008D5CFD">
            <w:pPr>
              <w:rPr>
                <w:rFonts w:ascii="Times New Roman" w:hAnsi="Times New Roman"/>
                <w:sz w:val="26"/>
                <w:szCs w:val="26"/>
              </w:rPr>
            </w:pPr>
            <w:r w:rsidRPr="00F95550">
              <w:rPr>
                <w:rFonts w:ascii="Times New Roman" w:hAnsi="Times New Roman"/>
                <w:sz w:val="26"/>
                <w:szCs w:val="26"/>
              </w:rPr>
              <w:lastRenderedPageBreak/>
              <w:t xml:space="preserve">Samaksa ekspertiem par izvērtējumu </w:t>
            </w:r>
          </w:p>
        </w:tc>
        <w:tc>
          <w:tcPr>
            <w:tcW w:w="1711" w:type="dxa"/>
          </w:tcPr>
          <w:p w:rsidR="000228F4" w:rsidRPr="00F95550" w:rsidRDefault="000228F4" w:rsidP="00FB6E07">
            <w:pPr>
              <w:jc w:val="center"/>
              <w:rPr>
                <w:rFonts w:ascii="Times New Roman" w:hAnsi="Times New Roman"/>
                <w:sz w:val="26"/>
                <w:szCs w:val="26"/>
              </w:rPr>
            </w:pPr>
            <w:r w:rsidRPr="00F95550">
              <w:rPr>
                <w:rFonts w:ascii="Times New Roman" w:hAnsi="Times New Roman"/>
                <w:sz w:val="26"/>
                <w:szCs w:val="26"/>
              </w:rPr>
              <w:t>1062</w:t>
            </w:r>
            <w:r>
              <w:rPr>
                <w:rFonts w:ascii="Times New Roman" w:hAnsi="Times New Roman"/>
                <w:sz w:val="26"/>
                <w:szCs w:val="26"/>
              </w:rPr>
              <w:t>32</w:t>
            </w:r>
          </w:p>
        </w:tc>
        <w:tc>
          <w:tcPr>
            <w:tcW w:w="1984" w:type="dxa"/>
          </w:tcPr>
          <w:p w:rsidR="000228F4" w:rsidRPr="00F95550" w:rsidRDefault="000228F4" w:rsidP="00FB6E07">
            <w:pPr>
              <w:jc w:val="center"/>
              <w:rPr>
                <w:rFonts w:ascii="Times New Roman" w:hAnsi="Times New Roman"/>
                <w:sz w:val="26"/>
                <w:szCs w:val="26"/>
              </w:rPr>
            </w:pPr>
            <w:r w:rsidRPr="00F95550">
              <w:rPr>
                <w:rFonts w:ascii="Times New Roman" w:hAnsi="Times New Roman"/>
                <w:sz w:val="26"/>
                <w:szCs w:val="26"/>
              </w:rPr>
              <w:t>176</w:t>
            </w:r>
            <w:r>
              <w:rPr>
                <w:rFonts w:ascii="Times New Roman" w:hAnsi="Times New Roman"/>
                <w:sz w:val="26"/>
                <w:szCs w:val="26"/>
              </w:rPr>
              <w:t>43</w:t>
            </w:r>
          </w:p>
        </w:tc>
        <w:tc>
          <w:tcPr>
            <w:tcW w:w="2127" w:type="dxa"/>
          </w:tcPr>
          <w:p w:rsidR="000228F4" w:rsidRDefault="000228F4" w:rsidP="00FB6E07">
            <w:pPr>
              <w:jc w:val="center"/>
              <w:rPr>
                <w:rFonts w:ascii="Times New Roman" w:hAnsi="Times New Roman"/>
                <w:sz w:val="26"/>
                <w:szCs w:val="26"/>
              </w:rPr>
            </w:pPr>
            <w:r w:rsidRPr="00F95550">
              <w:rPr>
                <w:rFonts w:ascii="Times New Roman" w:hAnsi="Times New Roman"/>
                <w:sz w:val="26"/>
                <w:szCs w:val="26"/>
              </w:rPr>
              <w:t>391</w:t>
            </w:r>
            <w:r>
              <w:rPr>
                <w:rFonts w:ascii="Times New Roman" w:hAnsi="Times New Roman"/>
                <w:sz w:val="26"/>
                <w:szCs w:val="26"/>
              </w:rPr>
              <w:t>4</w:t>
            </w:r>
            <w:r w:rsidRPr="00F95550">
              <w:rPr>
                <w:rFonts w:ascii="Times New Roman" w:hAnsi="Times New Roman"/>
                <w:sz w:val="26"/>
                <w:szCs w:val="26"/>
              </w:rPr>
              <w:t>0</w:t>
            </w:r>
          </w:p>
        </w:tc>
      </w:tr>
      <w:tr w:rsidR="000228F4" w:rsidRPr="0070281A" w:rsidTr="008D5CFD">
        <w:tc>
          <w:tcPr>
            <w:tcW w:w="3222" w:type="dxa"/>
          </w:tcPr>
          <w:p w:rsidR="000228F4" w:rsidRPr="0070281A" w:rsidRDefault="000228F4" w:rsidP="008D5CFD">
            <w:pPr>
              <w:rPr>
                <w:rFonts w:ascii="Times New Roman" w:hAnsi="Times New Roman"/>
                <w:sz w:val="26"/>
                <w:szCs w:val="26"/>
              </w:rPr>
            </w:pPr>
            <w:r w:rsidRPr="0070281A">
              <w:rPr>
                <w:rFonts w:ascii="Times New Roman" w:hAnsi="Times New Roman"/>
                <w:sz w:val="26"/>
                <w:szCs w:val="26"/>
              </w:rPr>
              <w:t xml:space="preserve">Biroja noma un uzturēšana </w:t>
            </w:r>
          </w:p>
        </w:tc>
        <w:tc>
          <w:tcPr>
            <w:tcW w:w="1711"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8888</w:t>
            </w:r>
          </w:p>
        </w:tc>
        <w:tc>
          <w:tcPr>
            <w:tcW w:w="1984"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8888</w:t>
            </w:r>
          </w:p>
        </w:tc>
        <w:tc>
          <w:tcPr>
            <w:tcW w:w="2127"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8888</w:t>
            </w:r>
          </w:p>
        </w:tc>
      </w:tr>
      <w:tr w:rsidR="000228F4" w:rsidRPr="0070281A" w:rsidTr="008D5CFD">
        <w:tc>
          <w:tcPr>
            <w:tcW w:w="3222" w:type="dxa"/>
          </w:tcPr>
          <w:p w:rsidR="000228F4" w:rsidRPr="0070281A" w:rsidRDefault="000228F4" w:rsidP="008D5CFD">
            <w:pPr>
              <w:rPr>
                <w:rFonts w:ascii="Times New Roman" w:hAnsi="Times New Roman"/>
                <w:sz w:val="26"/>
                <w:szCs w:val="26"/>
              </w:rPr>
            </w:pPr>
            <w:r>
              <w:rPr>
                <w:rFonts w:ascii="Times New Roman" w:hAnsi="Times New Roman"/>
                <w:sz w:val="26"/>
                <w:szCs w:val="26"/>
              </w:rPr>
              <w:t>Darba vietu izveidošana</w:t>
            </w:r>
            <w:r w:rsidRPr="0070281A">
              <w:rPr>
                <w:rFonts w:ascii="Times New Roman" w:hAnsi="Times New Roman"/>
                <w:sz w:val="26"/>
                <w:szCs w:val="26"/>
              </w:rPr>
              <w:t xml:space="preserve"> </w:t>
            </w:r>
          </w:p>
        </w:tc>
        <w:tc>
          <w:tcPr>
            <w:tcW w:w="1711"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8 520</w:t>
            </w:r>
          </w:p>
        </w:tc>
        <w:tc>
          <w:tcPr>
            <w:tcW w:w="1984"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0</w:t>
            </w:r>
          </w:p>
        </w:tc>
        <w:tc>
          <w:tcPr>
            <w:tcW w:w="2127"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0</w:t>
            </w:r>
          </w:p>
        </w:tc>
      </w:tr>
      <w:tr w:rsidR="000228F4" w:rsidRPr="0070281A" w:rsidTr="008D5CFD">
        <w:tc>
          <w:tcPr>
            <w:tcW w:w="3222" w:type="dxa"/>
          </w:tcPr>
          <w:p w:rsidR="000228F4" w:rsidRPr="0070281A" w:rsidRDefault="000228F4" w:rsidP="008D5CFD">
            <w:pPr>
              <w:rPr>
                <w:rFonts w:ascii="Times New Roman" w:hAnsi="Times New Roman"/>
                <w:sz w:val="26"/>
                <w:szCs w:val="26"/>
              </w:rPr>
            </w:pPr>
            <w:r w:rsidRPr="0070281A">
              <w:rPr>
                <w:rFonts w:ascii="Times New Roman" w:hAnsi="Times New Roman"/>
                <w:sz w:val="26"/>
                <w:szCs w:val="26"/>
              </w:rPr>
              <w:t>Biroja preces, sakari</w:t>
            </w:r>
          </w:p>
        </w:tc>
        <w:tc>
          <w:tcPr>
            <w:tcW w:w="1711" w:type="dxa"/>
          </w:tcPr>
          <w:p w:rsidR="000228F4" w:rsidRPr="0070281A" w:rsidRDefault="000228F4" w:rsidP="00FB6E07">
            <w:pPr>
              <w:jc w:val="center"/>
              <w:rPr>
                <w:rFonts w:ascii="Times New Roman" w:hAnsi="Times New Roman"/>
                <w:sz w:val="26"/>
                <w:szCs w:val="26"/>
              </w:rPr>
            </w:pPr>
            <w:r w:rsidRPr="0070281A">
              <w:rPr>
                <w:rFonts w:ascii="Times New Roman" w:hAnsi="Times New Roman"/>
                <w:sz w:val="26"/>
                <w:szCs w:val="26"/>
              </w:rPr>
              <w:t>4 500</w:t>
            </w:r>
          </w:p>
        </w:tc>
        <w:tc>
          <w:tcPr>
            <w:tcW w:w="1984" w:type="dxa"/>
          </w:tcPr>
          <w:p w:rsidR="000228F4" w:rsidRPr="0070281A" w:rsidRDefault="000228F4" w:rsidP="00FB6E07">
            <w:pPr>
              <w:jc w:val="center"/>
              <w:rPr>
                <w:rFonts w:ascii="Times New Roman" w:hAnsi="Times New Roman"/>
                <w:sz w:val="26"/>
                <w:szCs w:val="26"/>
              </w:rPr>
            </w:pPr>
            <w:r w:rsidRPr="0070281A">
              <w:rPr>
                <w:rFonts w:ascii="Times New Roman" w:hAnsi="Times New Roman"/>
                <w:sz w:val="26"/>
                <w:szCs w:val="26"/>
              </w:rPr>
              <w:t>4 500</w:t>
            </w:r>
          </w:p>
        </w:tc>
        <w:tc>
          <w:tcPr>
            <w:tcW w:w="2127" w:type="dxa"/>
          </w:tcPr>
          <w:p w:rsidR="000228F4" w:rsidRPr="0070281A" w:rsidRDefault="000228F4" w:rsidP="00FB6E07">
            <w:pPr>
              <w:jc w:val="center"/>
              <w:rPr>
                <w:rFonts w:ascii="Times New Roman" w:hAnsi="Times New Roman"/>
                <w:sz w:val="26"/>
                <w:szCs w:val="26"/>
              </w:rPr>
            </w:pPr>
            <w:r w:rsidRPr="0070281A">
              <w:rPr>
                <w:rFonts w:ascii="Times New Roman" w:hAnsi="Times New Roman"/>
                <w:sz w:val="26"/>
                <w:szCs w:val="26"/>
              </w:rPr>
              <w:t>4 500</w:t>
            </w:r>
          </w:p>
        </w:tc>
      </w:tr>
      <w:tr w:rsidR="000228F4" w:rsidRPr="0070281A" w:rsidTr="008D5CFD">
        <w:tc>
          <w:tcPr>
            <w:tcW w:w="3222" w:type="dxa"/>
          </w:tcPr>
          <w:p w:rsidR="000228F4" w:rsidRPr="0070281A" w:rsidRDefault="000228F4" w:rsidP="008D5CFD">
            <w:pPr>
              <w:rPr>
                <w:rFonts w:ascii="Times New Roman" w:hAnsi="Times New Roman"/>
                <w:sz w:val="26"/>
                <w:szCs w:val="26"/>
              </w:rPr>
            </w:pPr>
            <w:r w:rsidRPr="0070281A">
              <w:rPr>
                <w:rFonts w:ascii="Times New Roman" w:hAnsi="Times New Roman"/>
                <w:sz w:val="26"/>
                <w:szCs w:val="26"/>
              </w:rPr>
              <w:t xml:space="preserve">Atlīdzība </w:t>
            </w:r>
            <w:r>
              <w:rPr>
                <w:rFonts w:ascii="Times New Roman" w:hAnsi="Times New Roman"/>
                <w:sz w:val="26"/>
                <w:szCs w:val="26"/>
              </w:rPr>
              <w:t>6</w:t>
            </w:r>
            <w:r w:rsidRPr="0070281A">
              <w:rPr>
                <w:rFonts w:ascii="Times New Roman" w:hAnsi="Times New Roman"/>
                <w:sz w:val="26"/>
                <w:szCs w:val="26"/>
              </w:rPr>
              <w:t xml:space="preserve"> darbiniekiem</w:t>
            </w:r>
          </w:p>
        </w:tc>
        <w:tc>
          <w:tcPr>
            <w:tcW w:w="1711"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124 579</w:t>
            </w:r>
          </w:p>
        </w:tc>
        <w:tc>
          <w:tcPr>
            <w:tcW w:w="1984" w:type="dxa"/>
          </w:tcPr>
          <w:p w:rsidR="000228F4" w:rsidRDefault="000228F4" w:rsidP="00FB6E07">
            <w:pPr>
              <w:jc w:val="center"/>
              <w:rPr>
                <w:rFonts w:ascii="Times New Roman" w:hAnsi="Times New Roman"/>
                <w:sz w:val="26"/>
                <w:szCs w:val="26"/>
              </w:rPr>
            </w:pPr>
            <w:r>
              <w:rPr>
                <w:rFonts w:ascii="Times New Roman" w:hAnsi="Times New Roman"/>
                <w:sz w:val="26"/>
                <w:szCs w:val="26"/>
              </w:rPr>
              <w:t>124 579</w:t>
            </w:r>
          </w:p>
        </w:tc>
        <w:tc>
          <w:tcPr>
            <w:tcW w:w="2127" w:type="dxa"/>
          </w:tcPr>
          <w:p w:rsidR="000228F4" w:rsidRDefault="000228F4" w:rsidP="00FB6E07">
            <w:pPr>
              <w:jc w:val="center"/>
              <w:rPr>
                <w:rFonts w:ascii="Times New Roman" w:hAnsi="Times New Roman"/>
                <w:sz w:val="26"/>
                <w:szCs w:val="26"/>
              </w:rPr>
            </w:pPr>
            <w:r>
              <w:rPr>
                <w:rFonts w:ascii="Times New Roman" w:hAnsi="Times New Roman"/>
                <w:sz w:val="26"/>
                <w:szCs w:val="26"/>
              </w:rPr>
              <w:t>124 579</w:t>
            </w:r>
          </w:p>
        </w:tc>
      </w:tr>
      <w:tr w:rsidR="000228F4" w:rsidRPr="0070281A" w:rsidTr="008D5CFD">
        <w:tc>
          <w:tcPr>
            <w:tcW w:w="3222" w:type="dxa"/>
          </w:tcPr>
          <w:p w:rsidR="000228F4" w:rsidRPr="00F95550" w:rsidRDefault="000228F4" w:rsidP="008D5CFD">
            <w:pPr>
              <w:rPr>
                <w:rFonts w:ascii="Times New Roman" w:hAnsi="Times New Roman"/>
                <w:sz w:val="26"/>
                <w:szCs w:val="26"/>
              </w:rPr>
            </w:pPr>
            <w:r w:rsidRPr="00F95550">
              <w:rPr>
                <w:rFonts w:ascii="Times New Roman" w:hAnsi="Times New Roman"/>
                <w:sz w:val="26"/>
                <w:szCs w:val="26"/>
              </w:rPr>
              <w:t>Atlīdzība akreditācijas / licencēšanas komisijas locekļiem</w:t>
            </w:r>
          </w:p>
        </w:tc>
        <w:tc>
          <w:tcPr>
            <w:tcW w:w="1711" w:type="dxa"/>
          </w:tcPr>
          <w:p w:rsidR="000228F4" w:rsidRPr="00F95550" w:rsidRDefault="000228F4" w:rsidP="00FB6E07">
            <w:pPr>
              <w:jc w:val="center"/>
              <w:rPr>
                <w:rFonts w:ascii="Times New Roman" w:hAnsi="Times New Roman"/>
                <w:sz w:val="26"/>
                <w:szCs w:val="26"/>
              </w:rPr>
            </w:pPr>
            <w:r w:rsidRPr="00F95550">
              <w:rPr>
                <w:rFonts w:ascii="Times New Roman" w:hAnsi="Times New Roman"/>
                <w:sz w:val="26"/>
                <w:szCs w:val="26"/>
              </w:rPr>
              <w:t>64019</w:t>
            </w:r>
          </w:p>
          <w:p w:rsidR="000228F4" w:rsidRPr="00F95550" w:rsidRDefault="000228F4" w:rsidP="00FB6E07">
            <w:pPr>
              <w:jc w:val="center"/>
              <w:rPr>
                <w:rFonts w:ascii="Times New Roman" w:hAnsi="Times New Roman"/>
                <w:sz w:val="26"/>
                <w:szCs w:val="26"/>
              </w:rPr>
            </w:pPr>
          </w:p>
        </w:tc>
        <w:tc>
          <w:tcPr>
            <w:tcW w:w="1984" w:type="dxa"/>
          </w:tcPr>
          <w:p w:rsidR="000228F4" w:rsidRPr="00F95550" w:rsidRDefault="000228F4" w:rsidP="00FB6E07">
            <w:pPr>
              <w:jc w:val="center"/>
              <w:rPr>
                <w:rFonts w:ascii="Times New Roman" w:hAnsi="Times New Roman"/>
                <w:sz w:val="26"/>
                <w:szCs w:val="26"/>
              </w:rPr>
            </w:pPr>
            <w:r w:rsidRPr="00F95550">
              <w:rPr>
                <w:rFonts w:ascii="Times New Roman" w:hAnsi="Times New Roman"/>
                <w:sz w:val="26"/>
                <w:szCs w:val="26"/>
              </w:rPr>
              <w:t>23047</w:t>
            </w:r>
          </w:p>
          <w:p w:rsidR="000228F4" w:rsidRPr="00F95550" w:rsidRDefault="000228F4" w:rsidP="00FB6E07">
            <w:pPr>
              <w:jc w:val="center"/>
              <w:rPr>
                <w:rFonts w:ascii="Times New Roman" w:hAnsi="Times New Roman"/>
                <w:sz w:val="26"/>
                <w:szCs w:val="26"/>
              </w:rPr>
            </w:pPr>
          </w:p>
        </w:tc>
        <w:tc>
          <w:tcPr>
            <w:tcW w:w="2127" w:type="dxa"/>
          </w:tcPr>
          <w:p w:rsidR="000228F4" w:rsidRPr="00F95550" w:rsidRDefault="000228F4" w:rsidP="00FB6E07">
            <w:pPr>
              <w:jc w:val="center"/>
              <w:rPr>
                <w:rFonts w:ascii="Times New Roman" w:hAnsi="Times New Roman"/>
                <w:sz w:val="26"/>
                <w:szCs w:val="26"/>
              </w:rPr>
            </w:pPr>
            <w:r w:rsidRPr="00F95550">
              <w:rPr>
                <w:rFonts w:ascii="Times New Roman" w:hAnsi="Times New Roman"/>
                <w:sz w:val="26"/>
                <w:szCs w:val="26"/>
              </w:rPr>
              <w:t>32009</w:t>
            </w:r>
          </w:p>
          <w:p w:rsidR="000228F4" w:rsidRDefault="000228F4" w:rsidP="00FB6E07">
            <w:pPr>
              <w:jc w:val="center"/>
              <w:rPr>
                <w:rFonts w:ascii="Times New Roman" w:hAnsi="Times New Roman"/>
                <w:sz w:val="26"/>
                <w:szCs w:val="26"/>
              </w:rPr>
            </w:pPr>
          </w:p>
        </w:tc>
      </w:tr>
      <w:tr w:rsidR="000228F4" w:rsidRPr="0070281A" w:rsidTr="008D5CFD">
        <w:tc>
          <w:tcPr>
            <w:tcW w:w="3222" w:type="dxa"/>
          </w:tcPr>
          <w:p w:rsidR="000228F4" w:rsidRPr="0070281A" w:rsidRDefault="000228F4" w:rsidP="008D5CFD">
            <w:pPr>
              <w:rPr>
                <w:rFonts w:ascii="Times New Roman" w:hAnsi="Times New Roman"/>
                <w:sz w:val="26"/>
                <w:szCs w:val="26"/>
              </w:rPr>
            </w:pPr>
            <w:r w:rsidRPr="0070281A">
              <w:rPr>
                <w:rFonts w:ascii="Times New Roman" w:hAnsi="Times New Roman"/>
                <w:sz w:val="26"/>
                <w:szCs w:val="26"/>
              </w:rPr>
              <w:t>Komandējumi</w:t>
            </w:r>
          </w:p>
        </w:tc>
        <w:tc>
          <w:tcPr>
            <w:tcW w:w="1711" w:type="dxa"/>
          </w:tcPr>
          <w:p w:rsidR="000228F4" w:rsidRPr="0070281A" w:rsidRDefault="000228F4" w:rsidP="00FB6E07">
            <w:pPr>
              <w:jc w:val="center"/>
              <w:rPr>
                <w:rFonts w:ascii="Times New Roman" w:hAnsi="Times New Roman"/>
                <w:sz w:val="26"/>
                <w:szCs w:val="26"/>
              </w:rPr>
            </w:pPr>
            <w:r w:rsidRPr="0070281A">
              <w:rPr>
                <w:rFonts w:ascii="Times New Roman" w:hAnsi="Times New Roman"/>
                <w:sz w:val="26"/>
                <w:szCs w:val="26"/>
              </w:rPr>
              <w:t>8 268</w:t>
            </w:r>
          </w:p>
        </w:tc>
        <w:tc>
          <w:tcPr>
            <w:tcW w:w="1984"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14736</w:t>
            </w:r>
          </w:p>
        </w:tc>
        <w:tc>
          <w:tcPr>
            <w:tcW w:w="2127"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14736</w:t>
            </w:r>
          </w:p>
        </w:tc>
      </w:tr>
      <w:tr w:rsidR="000228F4" w:rsidRPr="0070281A" w:rsidTr="008D5CFD">
        <w:tc>
          <w:tcPr>
            <w:tcW w:w="3222" w:type="dxa"/>
          </w:tcPr>
          <w:p w:rsidR="000228F4" w:rsidRPr="0070281A" w:rsidRDefault="000228F4" w:rsidP="008D5CFD">
            <w:pPr>
              <w:rPr>
                <w:rFonts w:ascii="Times New Roman" w:hAnsi="Times New Roman"/>
                <w:sz w:val="26"/>
                <w:szCs w:val="26"/>
              </w:rPr>
            </w:pPr>
            <w:r>
              <w:rPr>
                <w:rFonts w:ascii="Times New Roman" w:hAnsi="Times New Roman"/>
                <w:sz w:val="26"/>
                <w:szCs w:val="26"/>
              </w:rPr>
              <w:t>Dalība ENQA</w:t>
            </w:r>
          </w:p>
        </w:tc>
        <w:tc>
          <w:tcPr>
            <w:tcW w:w="1711" w:type="dxa"/>
          </w:tcPr>
          <w:p w:rsidR="000228F4" w:rsidRPr="0070281A" w:rsidRDefault="000228F4" w:rsidP="00FB6E07">
            <w:pPr>
              <w:jc w:val="center"/>
              <w:rPr>
                <w:rFonts w:ascii="Times New Roman" w:hAnsi="Times New Roman"/>
                <w:sz w:val="26"/>
                <w:szCs w:val="26"/>
              </w:rPr>
            </w:pPr>
            <w:r>
              <w:rPr>
                <w:rFonts w:ascii="Times New Roman" w:hAnsi="Times New Roman"/>
                <w:sz w:val="26"/>
                <w:szCs w:val="26"/>
              </w:rPr>
              <w:t>0</w:t>
            </w:r>
          </w:p>
        </w:tc>
        <w:tc>
          <w:tcPr>
            <w:tcW w:w="1984" w:type="dxa"/>
          </w:tcPr>
          <w:p w:rsidR="000228F4" w:rsidRDefault="000228F4" w:rsidP="00FB6E07">
            <w:pPr>
              <w:jc w:val="center"/>
              <w:rPr>
                <w:rFonts w:ascii="Times New Roman" w:hAnsi="Times New Roman"/>
                <w:sz w:val="26"/>
                <w:szCs w:val="26"/>
              </w:rPr>
            </w:pPr>
            <w:r>
              <w:rPr>
                <w:rFonts w:ascii="Times New Roman" w:hAnsi="Times New Roman"/>
                <w:sz w:val="26"/>
                <w:szCs w:val="26"/>
              </w:rPr>
              <w:t>0</w:t>
            </w:r>
          </w:p>
        </w:tc>
        <w:tc>
          <w:tcPr>
            <w:tcW w:w="2127" w:type="dxa"/>
          </w:tcPr>
          <w:p w:rsidR="000228F4" w:rsidRDefault="000228F4" w:rsidP="00FB6E07">
            <w:pPr>
              <w:jc w:val="center"/>
              <w:rPr>
                <w:rFonts w:ascii="Times New Roman" w:hAnsi="Times New Roman"/>
                <w:sz w:val="26"/>
                <w:szCs w:val="26"/>
              </w:rPr>
            </w:pPr>
            <w:r>
              <w:rPr>
                <w:rFonts w:ascii="Times New Roman" w:hAnsi="Times New Roman"/>
                <w:sz w:val="26"/>
                <w:szCs w:val="26"/>
              </w:rPr>
              <w:t>2817</w:t>
            </w:r>
          </w:p>
        </w:tc>
      </w:tr>
      <w:tr w:rsidR="000228F4" w:rsidRPr="0070281A" w:rsidTr="008D5CFD">
        <w:tc>
          <w:tcPr>
            <w:tcW w:w="3222" w:type="dxa"/>
          </w:tcPr>
          <w:p w:rsidR="000228F4" w:rsidRDefault="000228F4" w:rsidP="008D5CFD">
            <w:pPr>
              <w:rPr>
                <w:rFonts w:ascii="Times New Roman" w:hAnsi="Times New Roman"/>
                <w:sz w:val="26"/>
                <w:szCs w:val="26"/>
              </w:rPr>
            </w:pPr>
            <w:r>
              <w:rPr>
                <w:rFonts w:ascii="Times New Roman" w:hAnsi="Times New Roman"/>
                <w:sz w:val="26"/>
                <w:szCs w:val="26"/>
              </w:rPr>
              <w:t>Dalība EQAR</w:t>
            </w:r>
          </w:p>
        </w:tc>
        <w:tc>
          <w:tcPr>
            <w:tcW w:w="1711" w:type="dxa"/>
          </w:tcPr>
          <w:p w:rsidR="000228F4" w:rsidRDefault="000228F4" w:rsidP="00FB6E07">
            <w:pPr>
              <w:jc w:val="center"/>
              <w:rPr>
                <w:rFonts w:ascii="Times New Roman" w:hAnsi="Times New Roman"/>
                <w:sz w:val="26"/>
                <w:szCs w:val="26"/>
              </w:rPr>
            </w:pPr>
            <w:r>
              <w:rPr>
                <w:rFonts w:ascii="Times New Roman" w:hAnsi="Times New Roman"/>
                <w:sz w:val="26"/>
                <w:szCs w:val="26"/>
              </w:rPr>
              <w:t>0</w:t>
            </w:r>
          </w:p>
        </w:tc>
        <w:tc>
          <w:tcPr>
            <w:tcW w:w="1984" w:type="dxa"/>
          </w:tcPr>
          <w:p w:rsidR="000228F4" w:rsidRDefault="000228F4" w:rsidP="00FB6E07">
            <w:pPr>
              <w:jc w:val="center"/>
              <w:rPr>
                <w:rFonts w:ascii="Times New Roman" w:hAnsi="Times New Roman"/>
                <w:sz w:val="26"/>
                <w:szCs w:val="26"/>
              </w:rPr>
            </w:pPr>
            <w:r>
              <w:rPr>
                <w:rFonts w:ascii="Times New Roman" w:hAnsi="Times New Roman"/>
                <w:sz w:val="26"/>
                <w:szCs w:val="26"/>
              </w:rPr>
              <w:t>0</w:t>
            </w:r>
          </w:p>
        </w:tc>
        <w:tc>
          <w:tcPr>
            <w:tcW w:w="2127" w:type="dxa"/>
          </w:tcPr>
          <w:p w:rsidR="000228F4" w:rsidRDefault="000228F4" w:rsidP="00FB6E07">
            <w:pPr>
              <w:jc w:val="center"/>
              <w:rPr>
                <w:rFonts w:ascii="Times New Roman" w:hAnsi="Times New Roman"/>
                <w:sz w:val="26"/>
                <w:szCs w:val="26"/>
              </w:rPr>
            </w:pPr>
            <w:r>
              <w:rPr>
                <w:rFonts w:ascii="Times New Roman" w:hAnsi="Times New Roman"/>
                <w:sz w:val="26"/>
                <w:szCs w:val="26"/>
              </w:rPr>
              <w:t>0</w:t>
            </w:r>
          </w:p>
        </w:tc>
      </w:tr>
      <w:tr w:rsidR="000228F4" w:rsidRPr="0070281A" w:rsidTr="008D5CFD">
        <w:tc>
          <w:tcPr>
            <w:tcW w:w="3222" w:type="dxa"/>
          </w:tcPr>
          <w:p w:rsidR="000228F4" w:rsidRDefault="000228F4" w:rsidP="008D5CFD">
            <w:pPr>
              <w:rPr>
                <w:rFonts w:ascii="Times New Roman" w:hAnsi="Times New Roman"/>
                <w:sz w:val="26"/>
                <w:szCs w:val="26"/>
              </w:rPr>
            </w:pPr>
            <w:r>
              <w:rPr>
                <w:rFonts w:ascii="Times New Roman" w:hAnsi="Times New Roman"/>
                <w:sz w:val="26"/>
                <w:szCs w:val="26"/>
              </w:rPr>
              <w:t>Institūcijas izvērtēšana atbilstoši ESG</w:t>
            </w:r>
          </w:p>
        </w:tc>
        <w:tc>
          <w:tcPr>
            <w:tcW w:w="1711" w:type="dxa"/>
          </w:tcPr>
          <w:p w:rsidR="000228F4" w:rsidRDefault="000228F4" w:rsidP="00FB6E07">
            <w:pPr>
              <w:jc w:val="center"/>
              <w:rPr>
                <w:rFonts w:ascii="Times New Roman" w:hAnsi="Times New Roman"/>
                <w:sz w:val="26"/>
                <w:szCs w:val="26"/>
              </w:rPr>
            </w:pPr>
            <w:r>
              <w:rPr>
                <w:rFonts w:ascii="Times New Roman" w:hAnsi="Times New Roman"/>
                <w:sz w:val="26"/>
                <w:szCs w:val="26"/>
              </w:rPr>
              <w:t>0</w:t>
            </w:r>
          </w:p>
        </w:tc>
        <w:tc>
          <w:tcPr>
            <w:tcW w:w="1984" w:type="dxa"/>
          </w:tcPr>
          <w:p w:rsidR="000228F4" w:rsidRDefault="000228F4" w:rsidP="00FB6E07">
            <w:pPr>
              <w:jc w:val="center"/>
              <w:rPr>
                <w:rFonts w:ascii="Times New Roman" w:hAnsi="Times New Roman"/>
                <w:sz w:val="26"/>
                <w:szCs w:val="26"/>
              </w:rPr>
            </w:pPr>
            <w:r>
              <w:rPr>
                <w:rFonts w:ascii="Times New Roman" w:hAnsi="Times New Roman"/>
                <w:sz w:val="26"/>
                <w:szCs w:val="26"/>
              </w:rPr>
              <w:t>0</w:t>
            </w:r>
          </w:p>
        </w:tc>
        <w:tc>
          <w:tcPr>
            <w:tcW w:w="2127" w:type="dxa"/>
          </w:tcPr>
          <w:p w:rsidR="000228F4" w:rsidRDefault="000228F4" w:rsidP="00FB6E07">
            <w:pPr>
              <w:jc w:val="center"/>
              <w:rPr>
                <w:rFonts w:ascii="Times New Roman" w:hAnsi="Times New Roman"/>
                <w:sz w:val="26"/>
                <w:szCs w:val="26"/>
              </w:rPr>
            </w:pPr>
            <w:r>
              <w:rPr>
                <w:rFonts w:ascii="Times New Roman" w:hAnsi="Times New Roman"/>
                <w:sz w:val="26"/>
                <w:szCs w:val="26"/>
              </w:rPr>
              <w:t>30 000</w:t>
            </w:r>
          </w:p>
        </w:tc>
      </w:tr>
      <w:tr w:rsidR="000228F4" w:rsidRPr="0070281A" w:rsidTr="008D5CFD">
        <w:tc>
          <w:tcPr>
            <w:tcW w:w="3222" w:type="dxa"/>
          </w:tcPr>
          <w:p w:rsidR="000228F4" w:rsidRDefault="000228F4" w:rsidP="008D5CFD">
            <w:pPr>
              <w:rPr>
                <w:rFonts w:ascii="Times New Roman" w:hAnsi="Times New Roman"/>
                <w:sz w:val="26"/>
                <w:szCs w:val="26"/>
              </w:rPr>
            </w:pPr>
            <w:r>
              <w:rPr>
                <w:rFonts w:ascii="Times New Roman" w:hAnsi="Times New Roman"/>
                <w:sz w:val="26"/>
                <w:szCs w:val="26"/>
              </w:rPr>
              <w:t>Ekspertu apmācības</w:t>
            </w:r>
          </w:p>
        </w:tc>
        <w:tc>
          <w:tcPr>
            <w:tcW w:w="1711" w:type="dxa"/>
          </w:tcPr>
          <w:p w:rsidR="000228F4" w:rsidRDefault="000228F4" w:rsidP="00FB6E07">
            <w:pPr>
              <w:jc w:val="center"/>
              <w:rPr>
                <w:rFonts w:ascii="Times New Roman" w:hAnsi="Times New Roman"/>
                <w:sz w:val="26"/>
                <w:szCs w:val="26"/>
              </w:rPr>
            </w:pPr>
            <w:r>
              <w:rPr>
                <w:rFonts w:ascii="Times New Roman" w:hAnsi="Times New Roman"/>
                <w:sz w:val="26"/>
                <w:szCs w:val="26"/>
              </w:rPr>
              <w:t>4296</w:t>
            </w:r>
          </w:p>
        </w:tc>
        <w:tc>
          <w:tcPr>
            <w:tcW w:w="1984" w:type="dxa"/>
          </w:tcPr>
          <w:p w:rsidR="000228F4" w:rsidRDefault="000228F4" w:rsidP="00FB6E07">
            <w:pPr>
              <w:jc w:val="center"/>
              <w:rPr>
                <w:rFonts w:ascii="Times New Roman" w:hAnsi="Times New Roman"/>
                <w:sz w:val="26"/>
                <w:szCs w:val="26"/>
              </w:rPr>
            </w:pPr>
            <w:r>
              <w:rPr>
                <w:rFonts w:ascii="Times New Roman" w:hAnsi="Times New Roman"/>
                <w:sz w:val="26"/>
                <w:szCs w:val="26"/>
              </w:rPr>
              <w:t>4296</w:t>
            </w:r>
          </w:p>
        </w:tc>
        <w:tc>
          <w:tcPr>
            <w:tcW w:w="2127" w:type="dxa"/>
          </w:tcPr>
          <w:p w:rsidR="000228F4" w:rsidRDefault="000228F4" w:rsidP="00FB6E07">
            <w:pPr>
              <w:jc w:val="center"/>
              <w:rPr>
                <w:rFonts w:ascii="Times New Roman" w:hAnsi="Times New Roman"/>
                <w:sz w:val="26"/>
                <w:szCs w:val="26"/>
              </w:rPr>
            </w:pPr>
            <w:r>
              <w:rPr>
                <w:rFonts w:ascii="Times New Roman" w:hAnsi="Times New Roman"/>
                <w:sz w:val="26"/>
                <w:szCs w:val="26"/>
              </w:rPr>
              <w:t>4296</w:t>
            </w:r>
          </w:p>
        </w:tc>
      </w:tr>
      <w:tr w:rsidR="000228F4" w:rsidRPr="0070281A" w:rsidDel="009A64CE" w:rsidTr="008D5CFD">
        <w:tc>
          <w:tcPr>
            <w:tcW w:w="3222" w:type="dxa"/>
          </w:tcPr>
          <w:p w:rsidR="000228F4" w:rsidDel="009A64CE" w:rsidRDefault="000228F4" w:rsidP="008D5CFD">
            <w:pPr>
              <w:rPr>
                <w:rFonts w:ascii="Times New Roman" w:hAnsi="Times New Roman"/>
                <w:sz w:val="26"/>
                <w:szCs w:val="26"/>
              </w:rPr>
            </w:pPr>
            <w:r w:rsidRPr="009A64CE">
              <w:rPr>
                <w:rFonts w:ascii="Times New Roman" w:hAnsi="Times New Roman"/>
                <w:sz w:val="26"/>
                <w:szCs w:val="26"/>
              </w:rPr>
              <w:t>IKVD studiju virzienu reģistra uzturēšana</w:t>
            </w:r>
          </w:p>
        </w:tc>
        <w:tc>
          <w:tcPr>
            <w:tcW w:w="1711" w:type="dxa"/>
          </w:tcPr>
          <w:p w:rsidR="000228F4" w:rsidDel="009A64CE" w:rsidRDefault="000228F4" w:rsidP="00FB6E07">
            <w:pPr>
              <w:jc w:val="center"/>
              <w:rPr>
                <w:rFonts w:ascii="Times New Roman" w:hAnsi="Times New Roman"/>
                <w:sz w:val="26"/>
                <w:szCs w:val="26"/>
              </w:rPr>
            </w:pPr>
            <w:r>
              <w:rPr>
                <w:rFonts w:ascii="Times New Roman" w:hAnsi="Times New Roman"/>
                <w:sz w:val="26"/>
                <w:szCs w:val="26"/>
              </w:rPr>
              <w:t>67260</w:t>
            </w:r>
          </w:p>
        </w:tc>
        <w:tc>
          <w:tcPr>
            <w:tcW w:w="1984" w:type="dxa"/>
          </w:tcPr>
          <w:p w:rsidR="000228F4" w:rsidDel="009A64CE" w:rsidRDefault="000228F4" w:rsidP="00FB6E07">
            <w:pPr>
              <w:jc w:val="center"/>
              <w:rPr>
                <w:rFonts w:ascii="Times New Roman" w:hAnsi="Times New Roman"/>
                <w:sz w:val="26"/>
                <w:szCs w:val="26"/>
              </w:rPr>
            </w:pPr>
            <w:r>
              <w:rPr>
                <w:rFonts w:ascii="Times New Roman" w:hAnsi="Times New Roman"/>
                <w:sz w:val="26"/>
                <w:szCs w:val="26"/>
              </w:rPr>
              <w:t>67260</w:t>
            </w:r>
          </w:p>
        </w:tc>
        <w:tc>
          <w:tcPr>
            <w:tcW w:w="2127" w:type="dxa"/>
          </w:tcPr>
          <w:p w:rsidR="000228F4" w:rsidDel="009A64CE" w:rsidRDefault="000228F4" w:rsidP="00FB6E07">
            <w:pPr>
              <w:jc w:val="center"/>
              <w:rPr>
                <w:rFonts w:ascii="Times New Roman" w:hAnsi="Times New Roman"/>
                <w:sz w:val="26"/>
                <w:szCs w:val="26"/>
              </w:rPr>
            </w:pPr>
            <w:r>
              <w:rPr>
                <w:rFonts w:ascii="Times New Roman" w:hAnsi="Times New Roman"/>
                <w:sz w:val="26"/>
                <w:szCs w:val="26"/>
              </w:rPr>
              <w:t>67260</w:t>
            </w:r>
          </w:p>
        </w:tc>
      </w:tr>
      <w:tr w:rsidR="000228F4" w:rsidRPr="0070281A" w:rsidDel="009A64CE" w:rsidTr="008D5CFD">
        <w:tc>
          <w:tcPr>
            <w:tcW w:w="3222" w:type="dxa"/>
          </w:tcPr>
          <w:p w:rsidR="000228F4" w:rsidRPr="009A64CE" w:rsidRDefault="000228F4" w:rsidP="008D5CFD">
            <w:pPr>
              <w:rPr>
                <w:rFonts w:ascii="Times New Roman" w:hAnsi="Times New Roman"/>
                <w:sz w:val="26"/>
                <w:szCs w:val="26"/>
              </w:rPr>
            </w:pPr>
            <w:r>
              <w:rPr>
                <w:rFonts w:ascii="Times New Roman" w:hAnsi="Times New Roman"/>
                <w:sz w:val="26"/>
                <w:szCs w:val="26"/>
              </w:rPr>
              <w:t>Neparedzēti izdevumi, t.sk., apelācijas komisijas darba apmaksa</w:t>
            </w:r>
          </w:p>
        </w:tc>
        <w:tc>
          <w:tcPr>
            <w:tcW w:w="1711" w:type="dxa"/>
          </w:tcPr>
          <w:p w:rsidR="000228F4" w:rsidRDefault="000228F4" w:rsidP="00FB6E07">
            <w:pPr>
              <w:jc w:val="center"/>
              <w:rPr>
                <w:rFonts w:ascii="Times New Roman" w:hAnsi="Times New Roman"/>
                <w:sz w:val="26"/>
                <w:szCs w:val="26"/>
              </w:rPr>
            </w:pPr>
            <w:r>
              <w:rPr>
                <w:rFonts w:ascii="Times New Roman" w:hAnsi="Times New Roman"/>
                <w:sz w:val="26"/>
                <w:szCs w:val="26"/>
              </w:rPr>
              <w:t>2469</w:t>
            </w:r>
          </w:p>
        </w:tc>
        <w:tc>
          <w:tcPr>
            <w:tcW w:w="1984" w:type="dxa"/>
          </w:tcPr>
          <w:p w:rsidR="000228F4" w:rsidRDefault="000228F4" w:rsidP="00FB6E07">
            <w:pPr>
              <w:jc w:val="center"/>
              <w:rPr>
                <w:rFonts w:ascii="Times New Roman" w:hAnsi="Times New Roman"/>
                <w:sz w:val="26"/>
                <w:szCs w:val="26"/>
              </w:rPr>
            </w:pPr>
            <w:r>
              <w:rPr>
                <w:rFonts w:ascii="Times New Roman" w:hAnsi="Times New Roman"/>
                <w:sz w:val="26"/>
                <w:szCs w:val="26"/>
              </w:rPr>
              <w:t>7252</w:t>
            </w:r>
          </w:p>
        </w:tc>
        <w:tc>
          <w:tcPr>
            <w:tcW w:w="2127" w:type="dxa"/>
          </w:tcPr>
          <w:p w:rsidR="000228F4" w:rsidRDefault="000228F4" w:rsidP="00FB6E07">
            <w:pPr>
              <w:jc w:val="center"/>
              <w:rPr>
                <w:rFonts w:ascii="Times New Roman" w:hAnsi="Times New Roman"/>
                <w:sz w:val="26"/>
                <w:szCs w:val="26"/>
              </w:rPr>
            </w:pPr>
            <w:r>
              <w:rPr>
                <w:rFonts w:ascii="Times New Roman" w:hAnsi="Times New Roman"/>
                <w:sz w:val="26"/>
                <w:szCs w:val="26"/>
              </w:rPr>
              <w:t>5654</w:t>
            </w:r>
          </w:p>
        </w:tc>
      </w:tr>
      <w:tr w:rsidR="000228F4" w:rsidRPr="0070281A" w:rsidTr="008D5CFD">
        <w:tc>
          <w:tcPr>
            <w:tcW w:w="3222" w:type="dxa"/>
          </w:tcPr>
          <w:p w:rsidR="000228F4" w:rsidRPr="0070281A" w:rsidRDefault="000228F4" w:rsidP="008D5CFD">
            <w:pPr>
              <w:jc w:val="right"/>
              <w:rPr>
                <w:rFonts w:ascii="Times New Roman" w:hAnsi="Times New Roman"/>
                <w:b/>
                <w:sz w:val="26"/>
                <w:szCs w:val="26"/>
              </w:rPr>
            </w:pPr>
            <w:r w:rsidRPr="0070281A">
              <w:rPr>
                <w:rFonts w:ascii="Times New Roman" w:hAnsi="Times New Roman"/>
                <w:b/>
                <w:sz w:val="26"/>
                <w:szCs w:val="26"/>
              </w:rPr>
              <w:t>Kopā</w:t>
            </w:r>
          </w:p>
        </w:tc>
        <w:tc>
          <w:tcPr>
            <w:tcW w:w="1711" w:type="dxa"/>
            <w:vAlign w:val="center"/>
          </w:tcPr>
          <w:p w:rsidR="000228F4" w:rsidRPr="000228F4" w:rsidRDefault="000228F4" w:rsidP="00FB6E07">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399031</w:t>
            </w:r>
          </w:p>
        </w:tc>
        <w:tc>
          <w:tcPr>
            <w:tcW w:w="1984" w:type="dxa"/>
            <w:vAlign w:val="center"/>
          </w:tcPr>
          <w:p w:rsidR="000228F4" w:rsidRPr="000228F4" w:rsidRDefault="000228F4" w:rsidP="00FB6E07">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272201</w:t>
            </w:r>
          </w:p>
        </w:tc>
        <w:tc>
          <w:tcPr>
            <w:tcW w:w="2127" w:type="dxa"/>
            <w:vAlign w:val="center"/>
          </w:tcPr>
          <w:p w:rsidR="000228F4" w:rsidRPr="000228F4" w:rsidRDefault="000228F4" w:rsidP="00FB6E07">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333879</w:t>
            </w:r>
          </w:p>
        </w:tc>
      </w:tr>
      <w:tr w:rsidR="000228F4" w:rsidRPr="0070281A" w:rsidTr="00DD3DF2">
        <w:tc>
          <w:tcPr>
            <w:tcW w:w="9044" w:type="dxa"/>
            <w:gridSpan w:val="4"/>
          </w:tcPr>
          <w:p w:rsidR="000228F4" w:rsidRDefault="000228F4" w:rsidP="00FB6E07">
            <w:pPr>
              <w:rPr>
                <w:rFonts w:ascii="Times New Roman" w:eastAsia="Times New Roman" w:hAnsi="Times New Roman"/>
                <w:b/>
                <w:color w:val="000000"/>
                <w:sz w:val="26"/>
                <w:szCs w:val="26"/>
              </w:rPr>
            </w:pPr>
            <w:r w:rsidRPr="00B211EB">
              <w:rPr>
                <w:rFonts w:ascii="Times New Roman" w:eastAsia="Times New Roman" w:hAnsi="Times New Roman"/>
                <w:b/>
                <w:bCs/>
                <w:color w:val="000000"/>
                <w:sz w:val="26"/>
                <w:szCs w:val="26"/>
              </w:rPr>
              <w:t>Ieņēmumi</w:t>
            </w:r>
          </w:p>
        </w:tc>
      </w:tr>
      <w:tr w:rsidR="000228F4" w:rsidRPr="000228F4" w:rsidTr="008644B6">
        <w:tc>
          <w:tcPr>
            <w:tcW w:w="3222" w:type="dxa"/>
            <w:vAlign w:val="bottom"/>
          </w:tcPr>
          <w:p w:rsidR="000228F4" w:rsidRPr="000228F4" w:rsidRDefault="000228F4" w:rsidP="000228F4">
            <w:pPr>
              <w:rPr>
                <w:rFonts w:ascii="Times New Roman" w:eastAsia="Times New Roman" w:hAnsi="Times New Roman"/>
                <w:color w:val="000000"/>
                <w:sz w:val="26"/>
                <w:szCs w:val="26"/>
              </w:rPr>
            </w:pPr>
            <w:r w:rsidRPr="000228F4">
              <w:rPr>
                <w:rFonts w:ascii="Times New Roman" w:eastAsia="Times New Roman" w:hAnsi="Times New Roman"/>
                <w:color w:val="000000"/>
                <w:sz w:val="26"/>
                <w:szCs w:val="26"/>
              </w:rPr>
              <w:t>Ieņēmumi par akreditācijas un licencēšanas pakalpojumu sniegšanu</w:t>
            </w:r>
          </w:p>
        </w:tc>
        <w:tc>
          <w:tcPr>
            <w:tcW w:w="1711" w:type="dxa"/>
          </w:tcPr>
          <w:p w:rsidR="000228F4" w:rsidRPr="000228F4" w:rsidRDefault="000228F4" w:rsidP="00FB6E07">
            <w:pPr>
              <w:jc w:val="center"/>
              <w:rPr>
                <w:rFonts w:ascii="Times New Roman" w:hAnsi="Times New Roman"/>
                <w:sz w:val="26"/>
                <w:szCs w:val="26"/>
              </w:rPr>
            </w:pPr>
            <w:r w:rsidRPr="000228F4">
              <w:rPr>
                <w:rFonts w:ascii="Times New Roman" w:hAnsi="Times New Roman"/>
                <w:sz w:val="26"/>
                <w:szCs w:val="26"/>
              </w:rPr>
              <w:t>141554</w:t>
            </w:r>
          </w:p>
        </w:tc>
        <w:tc>
          <w:tcPr>
            <w:tcW w:w="1984" w:type="dxa"/>
          </w:tcPr>
          <w:p w:rsidR="000228F4" w:rsidRPr="000228F4" w:rsidRDefault="000228F4" w:rsidP="00FB6E07">
            <w:pPr>
              <w:jc w:val="center"/>
              <w:rPr>
                <w:rFonts w:ascii="Times New Roman" w:hAnsi="Times New Roman"/>
                <w:sz w:val="26"/>
                <w:szCs w:val="26"/>
              </w:rPr>
            </w:pPr>
            <w:r w:rsidRPr="000228F4">
              <w:rPr>
                <w:rFonts w:ascii="Times New Roman" w:hAnsi="Times New Roman"/>
                <w:sz w:val="26"/>
                <w:szCs w:val="26"/>
              </w:rPr>
              <w:t>23244</w:t>
            </w:r>
          </w:p>
        </w:tc>
        <w:tc>
          <w:tcPr>
            <w:tcW w:w="2127" w:type="dxa"/>
          </w:tcPr>
          <w:p w:rsidR="000228F4" w:rsidRPr="000228F4" w:rsidRDefault="000228F4" w:rsidP="00FB6E07">
            <w:pPr>
              <w:jc w:val="center"/>
              <w:rPr>
                <w:rFonts w:ascii="Times New Roman" w:hAnsi="Times New Roman"/>
                <w:sz w:val="26"/>
                <w:szCs w:val="26"/>
              </w:rPr>
            </w:pPr>
            <w:r w:rsidRPr="000228F4">
              <w:rPr>
                <w:rFonts w:ascii="Times New Roman" w:hAnsi="Times New Roman"/>
                <w:sz w:val="26"/>
                <w:szCs w:val="26"/>
              </w:rPr>
              <w:t>52105</w:t>
            </w:r>
          </w:p>
        </w:tc>
      </w:tr>
      <w:tr w:rsidR="000228F4" w:rsidRPr="0070281A" w:rsidTr="00084AF1">
        <w:tc>
          <w:tcPr>
            <w:tcW w:w="3222" w:type="dxa"/>
            <w:vAlign w:val="bottom"/>
          </w:tcPr>
          <w:p w:rsidR="000228F4" w:rsidRPr="00B211EB" w:rsidRDefault="000228F4" w:rsidP="000228F4">
            <w:pPr>
              <w:rPr>
                <w:rFonts w:ascii="Times New Roman" w:eastAsia="Times New Roman" w:hAnsi="Times New Roman"/>
                <w:color w:val="000000"/>
                <w:sz w:val="26"/>
                <w:szCs w:val="26"/>
              </w:rPr>
            </w:pPr>
            <w:r>
              <w:rPr>
                <w:rFonts w:ascii="Times New Roman" w:eastAsia="Times New Roman" w:hAnsi="Times New Roman"/>
                <w:color w:val="000000"/>
                <w:sz w:val="26"/>
                <w:szCs w:val="26"/>
              </w:rPr>
              <w:t>V</w:t>
            </w:r>
            <w:r w:rsidRPr="00B211EB">
              <w:rPr>
                <w:rFonts w:ascii="Times New Roman" w:eastAsia="Times New Roman" w:hAnsi="Times New Roman"/>
                <w:color w:val="000000"/>
                <w:sz w:val="26"/>
                <w:szCs w:val="26"/>
              </w:rPr>
              <w:t>alsts budžets</w:t>
            </w:r>
          </w:p>
        </w:tc>
        <w:tc>
          <w:tcPr>
            <w:tcW w:w="1711" w:type="dxa"/>
            <w:vAlign w:val="bottom"/>
          </w:tcPr>
          <w:p w:rsidR="000228F4" w:rsidRPr="00B211EB" w:rsidRDefault="000228F4" w:rsidP="00FB6E07">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257477</w:t>
            </w:r>
          </w:p>
        </w:tc>
        <w:tc>
          <w:tcPr>
            <w:tcW w:w="1984" w:type="dxa"/>
            <w:vAlign w:val="bottom"/>
          </w:tcPr>
          <w:p w:rsidR="000228F4" w:rsidRPr="00B211EB" w:rsidRDefault="000228F4" w:rsidP="00FB6E07">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248957</w:t>
            </w:r>
          </w:p>
        </w:tc>
        <w:tc>
          <w:tcPr>
            <w:tcW w:w="2127" w:type="dxa"/>
            <w:vAlign w:val="bottom"/>
          </w:tcPr>
          <w:p w:rsidR="000228F4" w:rsidRPr="00B211EB" w:rsidRDefault="000228F4" w:rsidP="00FB6E07">
            <w:pPr>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281774</w:t>
            </w:r>
          </w:p>
        </w:tc>
      </w:tr>
      <w:tr w:rsidR="000228F4" w:rsidRPr="0070281A" w:rsidTr="00084AF1">
        <w:tc>
          <w:tcPr>
            <w:tcW w:w="3222" w:type="dxa"/>
            <w:vAlign w:val="bottom"/>
          </w:tcPr>
          <w:p w:rsidR="000228F4" w:rsidRPr="00B211EB" w:rsidRDefault="000228F4" w:rsidP="000228F4">
            <w:pPr>
              <w:jc w:val="right"/>
              <w:rPr>
                <w:rFonts w:ascii="Times New Roman" w:eastAsia="Times New Roman" w:hAnsi="Times New Roman"/>
                <w:b/>
                <w:color w:val="000000"/>
                <w:sz w:val="26"/>
                <w:szCs w:val="26"/>
              </w:rPr>
            </w:pPr>
            <w:r w:rsidRPr="00B211EB">
              <w:rPr>
                <w:rFonts w:ascii="Times New Roman" w:eastAsia="Times New Roman" w:hAnsi="Times New Roman"/>
                <w:b/>
                <w:color w:val="000000"/>
                <w:sz w:val="26"/>
                <w:szCs w:val="26"/>
              </w:rPr>
              <w:t> Kopā</w:t>
            </w:r>
          </w:p>
        </w:tc>
        <w:tc>
          <w:tcPr>
            <w:tcW w:w="1711" w:type="dxa"/>
            <w:vAlign w:val="bottom"/>
          </w:tcPr>
          <w:p w:rsidR="000228F4" w:rsidRDefault="000228F4" w:rsidP="00FB6E07">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399031</w:t>
            </w:r>
          </w:p>
        </w:tc>
        <w:tc>
          <w:tcPr>
            <w:tcW w:w="1984" w:type="dxa"/>
            <w:vAlign w:val="bottom"/>
          </w:tcPr>
          <w:p w:rsidR="000228F4" w:rsidRDefault="000228F4" w:rsidP="00FB6E07">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272201</w:t>
            </w:r>
          </w:p>
        </w:tc>
        <w:tc>
          <w:tcPr>
            <w:tcW w:w="2127" w:type="dxa"/>
            <w:vAlign w:val="bottom"/>
          </w:tcPr>
          <w:p w:rsidR="000228F4" w:rsidRDefault="000228F4" w:rsidP="00FB6E07">
            <w:pPr>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333879</w:t>
            </w:r>
          </w:p>
        </w:tc>
      </w:tr>
    </w:tbl>
    <w:p w:rsidR="0086698D" w:rsidRPr="001F457F" w:rsidRDefault="0086698D" w:rsidP="001F457F">
      <w:pPr>
        <w:pStyle w:val="ListParagraph"/>
        <w:spacing w:after="0" w:line="240" w:lineRule="auto"/>
        <w:ind w:left="0" w:firstLine="360"/>
        <w:contextualSpacing w:val="0"/>
        <w:jc w:val="both"/>
        <w:rPr>
          <w:rFonts w:ascii="Times New Roman" w:hAnsi="Times New Roman" w:cs="Times New Roman"/>
          <w:sz w:val="26"/>
          <w:szCs w:val="26"/>
        </w:rPr>
      </w:pPr>
    </w:p>
    <w:p w:rsidR="000228F4" w:rsidRPr="00F95550" w:rsidRDefault="000228F4" w:rsidP="000228F4">
      <w:pPr>
        <w:pStyle w:val="ListParagraph"/>
        <w:spacing w:after="0" w:line="240" w:lineRule="auto"/>
        <w:ind w:left="0" w:firstLine="720"/>
        <w:jc w:val="both"/>
        <w:rPr>
          <w:rFonts w:ascii="Times New Roman" w:hAnsi="Times New Roman" w:cs="Times New Roman"/>
          <w:sz w:val="26"/>
          <w:szCs w:val="26"/>
        </w:rPr>
      </w:pPr>
      <w:r w:rsidRPr="008C65D8">
        <w:rPr>
          <w:rFonts w:ascii="Times New Roman" w:hAnsi="Times New Roman" w:cs="Times New Roman"/>
          <w:sz w:val="26"/>
          <w:szCs w:val="26"/>
        </w:rPr>
        <w:t>2015.gada laikā provizoriski ti</w:t>
      </w:r>
      <w:r>
        <w:rPr>
          <w:rFonts w:ascii="Times New Roman" w:hAnsi="Times New Roman" w:cs="Times New Roman"/>
          <w:sz w:val="26"/>
          <w:szCs w:val="26"/>
        </w:rPr>
        <w:t xml:space="preserve">ek plānota 28 studiju virzienu </w:t>
      </w:r>
      <w:r w:rsidRPr="008C65D8">
        <w:rPr>
          <w:rFonts w:ascii="Times New Roman" w:hAnsi="Times New Roman" w:cs="Times New Roman"/>
          <w:sz w:val="26"/>
          <w:szCs w:val="26"/>
        </w:rPr>
        <w:t xml:space="preserve">akreditācija, kas saskaņā ar MK 2013.gada 3.septembra noteikumiem Nr. 721 “Izglītības un zinātnes ministrijas maksas pakalpojumu cenrādis” radītu </w:t>
      </w:r>
      <w:r>
        <w:rPr>
          <w:rFonts w:ascii="Times New Roman" w:hAnsi="Times New Roman" w:cs="Times New Roman"/>
          <w:sz w:val="26"/>
          <w:szCs w:val="26"/>
        </w:rPr>
        <w:t>institūcijai</w:t>
      </w:r>
      <w:r w:rsidRPr="008C65D8">
        <w:rPr>
          <w:rFonts w:ascii="Times New Roman" w:hAnsi="Times New Roman" w:cs="Times New Roman"/>
          <w:sz w:val="26"/>
          <w:szCs w:val="26"/>
        </w:rPr>
        <w:t xml:space="preserve"> ienākumus 115 4</w:t>
      </w:r>
      <w:r>
        <w:rPr>
          <w:rFonts w:ascii="Times New Roman" w:hAnsi="Times New Roman" w:cs="Times New Roman"/>
          <w:sz w:val="26"/>
          <w:szCs w:val="26"/>
        </w:rPr>
        <w:t>44</w:t>
      </w:r>
      <w:r w:rsidRPr="008C65D8">
        <w:rPr>
          <w:rFonts w:ascii="Times New Roman" w:hAnsi="Times New Roman" w:cs="Times New Roman"/>
          <w:sz w:val="26"/>
          <w:szCs w:val="26"/>
        </w:rPr>
        <w:t xml:space="preserve"> EUR apmērā</w:t>
      </w:r>
      <w:r>
        <w:rPr>
          <w:rFonts w:ascii="Times New Roman" w:hAnsi="Times New Roman" w:cs="Times New Roman"/>
          <w:sz w:val="26"/>
          <w:szCs w:val="26"/>
        </w:rPr>
        <w:t xml:space="preserve"> (4123</w:t>
      </w:r>
      <w:r w:rsidRPr="008C65D8">
        <w:rPr>
          <w:rFonts w:ascii="Times New Roman" w:hAnsi="Times New Roman" w:cs="Times New Roman"/>
          <w:sz w:val="26"/>
          <w:szCs w:val="26"/>
        </w:rPr>
        <w:t>*28</w:t>
      </w:r>
      <w:r>
        <w:rPr>
          <w:rFonts w:ascii="Times New Roman" w:hAnsi="Times New Roman" w:cs="Times New Roman"/>
          <w:sz w:val="26"/>
          <w:szCs w:val="26"/>
        </w:rPr>
        <w:t xml:space="preserve"> </w:t>
      </w:r>
      <w:r w:rsidRPr="008C65D8">
        <w:rPr>
          <w:rFonts w:ascii="Times New Roman" w:hAnsi="Times New Roman" w:cs="Times New Roman"/>
          <w:sz w:val="26"/>
          <w:szCs w:val="26"/>
        </w:rPr>
        <w:t xml:space="preserve">(summa par studiju virziena akreditāciju, kuram atbilst viena studiju programma)). Papildus 2015.gada laikā var prognozēt 20 studiju programmu licencēšanas gadījumus, kas radītu </w:t>
      </w:r>
      <w:r>
        <w:rPr>
          <w:rFonts w:ascii="Times New Roman" w:hAnsi="Times New Roman" w:cs="Times New Roman"/>
          <w:sz w:val="26"/>
          <w:szCs w:val="26"/>
        </w:rPr>
        <w:t>institūcijai ienākumus 14 500</w:t>
      </w:r>
      <w:r w:rsidRPr="008C65D8">
        <w:rPr>
          <w:rFonts w:ascii="Times New Roman" w:hAnsi="Times New Roman" w:cs="Times New Roman"/>
          <w:sz w:val="26"/>
          <w:szCs w:val="26"/>
        </w:rPr>
        <w:t xml:space="preserve"> EUR apmērā</w:t>
      </w:r>
      <w:r>
        <w:rPr>
          <w:rFonts w:ascii="Times New Roman" w:hAnsi="Times New Roman" w:cs="Times New Roman"/>
          <w:sz w:val="26"/>
          <w:szCs w:val="26"/>
        </w:rPr>
        <w:t xml:space="preserve"> (725</w:t>
      </w:r>
      <w:r w:rsidRPr="008C65D8">
        <w:rPr>
          <w:rFonts w:ascii="Times New Roman" w:hAnsi="Times New Roman" w:cs="Times New Roman"/>
          <w:sz w:val="26"/>
          <w:szCs w:val="26"/>
        </w:rPr>
        <w:t>*20)</w:t>
      </w:r>
      <w:r>
        <w:rPr>
          <w:rFonts w:ascii="Times New Roman" w:hAnsi="Times New Roman" w:cs="Times New Roman"/>
          <w:sz w:val="26"/>
          <w:szCs w:val="26"/>
        </w:rPr>
        <w:t xml:space="preserve">, kā arī 2 augstākās izglītības iestāžu akreditācija, kas dos ienākumus </w:t>
      </w:r>
      <w:r w:rsidRPr="00F95550">
        <w:rPr>
          <w:rFonts w:ascii="Times New Roman" w:hAnsi="Times New Roman"/>
          <w:sz w:val="26"/>
          <w:szCs w:val="26"/>
        </w:rPr>
        <w:t>11610 EUR</w:t>
      </w:r>
      <w:r>
        <w:rPr>
          <w:rFonts w:ascii="Times New Roman" w:hAnsi="Times New Roman" w:cs="Times New Roman"/>
          <w:sz w:val="26"/>
          <w:szCs w:val="26"/>
        </w:rPr>
        <w:t xml:space="preserve"> (</w:t>
      </w:r>
      <w:r w:rsidRPr="00DD4013">
        <w:rPr>
          <w:rFonts w:ascii="Times New Roman" w:hAnsi="Times New Roman"/>
          <w:sz w:val="26"/>
          <w:szCs w:val="26"/>
        </w:rPr>
        <w:t>5805</w:t>
      </w:r>
      <w:r>
        <w:rPr>
          <w:rFonts w:ascii="Times New Roman" w:hAnsi="Times New Roman"/>
          <w:sz w:val="26"/>
          <w:szCs w:val="26"/>
        </w:rPr>
        <w:t>*2)</w:t>
      </w:r>
      <w:r w:rsidRPr="008C65D8">
        <w:rPr>
          <w:rFonts w:ascii="Times New Roman" w:hAnsi="Times New Roman" w:cs="Times New Roman"/>
          <w:sz w:val="26"/>
          <w:szCs w:val="26"/>
        </w:rPr>
        <w:t xml:space="preserve">. Var secināt, ka kopējie </w:t>
      </w:r>
      <w:r>
        <w:rPr>
          <w:rFonts w:ascii="Times New Roman" w:hAnsi="Times New Roman" w:cs="Times New Roman"/>
          <w:sz w:val="26"/>
          <w:szCs w:val="26"/>
        </w:rPr>
        <w:t>institūcijas</w:t>
      </w:r>
      <w:r w:rsidRPr="008C65D8">
        <w:rPr>
          <w:rFonts w:ascii="Times New Roman" w:hAnsi="Times New Roman" w:cs="Times New Roman"/>
          <w:sz w:val="26"/>
          <w:szCs w:val="26"/>
        </w:rPr>
        <w:t xml:space="preserve"> ienākumi 2015.gada laikā būs </w:t>
      </w:r>
      <w:r>
        <w:rPr>
          <w:rFonts w:ascii="Times New Roman" w:hAnsi="Times New Roman" w:cs="Times New Roman"/>
          <w:sz w:val="26"/>
          <w:szCs w:val="26"/>
        </w:rPr>
        <w:t>141554</w:t>
      </w:r>
      <w:r w:rsidRPr="008C65D8">
        <w:rPr>
          <w:rFonts w:ascii="Times New Roman" w:hAnsi="Times New Roman" w:cs="Times New Roman"/>
          <w:sz w:val="26"/>
          <w:szCs w:val="26"/>
        </w:rPr>
        <w:t xml:space="preserve"> EUR, un šie līdzekļi tiks izlietoti akreditācijas vajadzību nodroš</w:t>
      </w:r>
      <w:r>
        <w:rPr>
          <w:rFonts w:ascii="Times New Roman" w:hAnsi="Times New Roman" w:cs="Times New Roman"/>
          <w:sz w:val="26"/>
          <w:szCs w:val="26"/>
        </w:rPr>
        <w:t xml:space="preserve">ināšanai, t.sk. ekspertu atalgojumam </w:t>
      </w:r>
      <w:r>
        <w:rPr>
          <w:rFonts w:ascii="Times New Roman" w:hAnsi="Times New Roman"/>
          <w:sz w:val="26"/>
          <w:szCs w:val="26"/>
        </w:rPr>
        <w:t>10623</w:t>
      </w:r>
      <w:r w:rsidRPr="00F95550">
        <w:rPr>
          <w:rFonts w:ascii="Times New Roman" w:hAnsi="Times New Roman"/>
          <w:sz w:val="26"/>
          <w:szCs w:val="26"/>
        </w:rPr>
        <w:t>2 EUR</w:t>
      </w:r>
      <w:r w:rsidRPr="008C65D8">
        <w:rPr>
          <w:rFonts w:ascii="Times New Roman" w:hAnsi="Times New Roman" w:cs="Times New Roman"/>
          <w:sz w:val="26"/>
          <w:szCs w:val="26"/>
        </w:rPr>
        <w:t>.</w:t>
      </w:r>
      <w:r>
        <w:rPr>
          <w:rFonts w:ascii="Times New Roman" w:hAnsi="Times New Roman" w:cs="Times New Roman"/>
          <w:sz w:val="26"/>
          <w:szCs w:val="26"/>
        </w:rPr>
        <w:t xml:space="preserve"> </w:t>
      </w:r>
      <w:r w:rsidRPr="008C65D8">
        <w:rPr>
          <w:rFonts w:ascii="Times New Roman" w:hAnsi="Times New Roman" w:cs="Times New Roman"/>
          <w:sz w:val="26"/>
          <w:szCs w:val="26"/>
        </w:rPr>
        <w:t xml:space="preserve"> </w:t>
      </w:r>
      <w:r w:rsidRPr="00F95550">
        <w:rPr>
          <w:rFonts w:ascii="Times New Roman" w:hAnsi="Times New Roman" w:cs="Times New Roman"/>
          <w:sz w:val="26"/>
          <w:szCs w:val="26"/>
        </w:rPr>
        <w:t>No ienākumiem 141 581 EUR apmērā institūcija var novirzīt darbības nodrošināšanai 3</w:t>
      </w:r>
      <w:r>
        <w:rPr>
          <w:rFonts w:ascii="Times New Roman" w:hAnsi="Times New Roman" w:cs="Times New Roman"/>
          <w:sz w:val="26"/>
          <w:szCs w:val="26"/>
        </w:rPr>
        <w:t>5322</w:t>
      </w:r>
      <w:r w:rsidRPr="00F95550">
        <w:rPr>
          <w:rFonts w:ascii="Times New Roman" w:hAnsi="Times New Roman" w:cs="Times New Roman"/>
          <w:sz w:val="26"/>
          <w:szCs w:val="26"/>
        </w:rPr>
        <w:t xml:space="preserve"> EUR. </w:t>
      </w:r>
      <w:r>
        <w:rPr>
          <w:rFonts w:ascii="Times New Roman" w:hAnsi="Times New Roman" w:cs="Times New Roman"/>
          <w:sz w:val="26"/>
          <w:szCs w:val="26"/>
        </w:rPr>
        <w:t>Turpmākajiem gadiem ienākumi ir aplēsti, ņemot vērā, ka 2016. un 2017.gadā ir prognozējami 3 studiju virzienu a</w:t>
      </w:r>
      <w:r w:rsidRPr="008C65D8">
        <w:rPr>
          <w:rFonts w:ascii="Times New Roman" w:hAnsi="Times New Roman" w:cs="Times New Roman"/>
          <w:sz w:val="26"/>
          <w:szCs w:val="26"/>
        </w:rPr>
        <w:t>kreditācijas un</w:t>
      </w:r>
      <w:r>
        <w:rPr>
          <w:rFonts w:ascii="Times New Roman" w:hAnsi="Times New Roman" w:cs="Times New Roman"/>
          <w:sz w:val="26"/>
          <w:szCs w:val="26"/>
        </w:rPr>
        <w:t xml:space="preserve"> 15 studiju licencēšanas gadījumi. T.i., </w:t>
      </w:r>
      <w:r w:rsidRPr="00F95550">
        <w:rPr>
          <w:rFonts w:ascii="Times New Roman" w:hAnsi="Times New Roman" w:cs="Times New Roman"/>
          <w:sz w:val="26"/>
          <w:szCs w:val="26"/>
        </w:rPr>
        <w:t xml:space="preserve">2 nākamajos gados sakarā ar mazāku akreditācijas gadījumu skaitu, ieņēmumi samazināsies un institūcijas darbībai ir neizbēgams pārtraukums, darbinieku </w:t>
      </w:r>
      <w:r>
        <w:rPr>
          <w:rFonts w:ascii="Times New Roman" w:hAnsi="Times New Roman" w:cs="Times New Roman"/>
          <w:sz w:val="26"/>
          <w:szCs w:val="26"/>
        </w:rPr>
        <w:t>atlaišana un līdz šim veikto investīciju zaudēšana</w:t>
      </w:r>
      <w:r w:rsidRPr="00F95550">
        <w:rPr>
          <w:rFonts w:ascii="Times New Roman" w:hAnsi="Times New Roman" w:cs="Times New Roman"/>
          <w:sz w:val="26"/>
          <w:szCs w:val="26"/>
        </w:rPr>
        <w:t xml:space="preserve">. Šāda nestabilitāte ir fundamentāls apdraudējums visai augstākās izglītības ārējās kvalitātes nodrošināšanas sistēmas pastāvēšanai Latvijā. Lai būtu iespējama </w:t>
      </w:r>
      <w:r>
        <w:rPr>
          <w:rFonts w:ascii="Times New Roman" w:hAnsi="Times New Roman" w:cs="Times New Roman"/>
          <w:sz w:val="26"/>
          <w:szCs w:val="26"/>
        </w:rPr>
        <w:t>ilgtspējīga</w:t>
      </w:r>
      <w:r w:rsidRPr="00F95550">
        <w:rPr>
          <w:rFonts w:ascii="Times New Roman" w:hAnsi="Times New Roman" w:cs="Times New Roman"/>
          <w:sz w:val="26"/>
          <w:szCs w:val="26"/>
        </w:rPr>
        <w:t xml:space="preserve"> Latvijas augstākās izglītības kvalitātes nodrošināšanas institūcijas darbība, </w:t>
      </w:r>
      <w:r w:rsidRPr="00F95550">
        <w:rPr>
          <w:rFonts w:ascii="Times New Roman" w:hAnsi="Times New Roman" w:cs="Times New Roman"/>
          <w:sz w:val="26"/>
          <w:szCs w:val="26"/>
        </w:rPr>
        <w:lastRenderedPageBreak/>
        <w:t xml:space="preserve">priekšnoteikums ir stabils finansējums, tādēļ 2015.g. prognozējamo izveidojušos deficītu </w:t>
      </w:r>
      <w:r w:rsidRPr="00F95550">
        <w:rPr>
          <w:rFonts w:ascii="Times New Roman" w:eastAsia="Times New Roman" w:hAnsi="Times New Roman" w:cs="Times New Roman"/>
          <w:color w:val="000000"/>
          <w:sz w:val="26"/>
          <w:szCs w:val="26"/>
          <w:lang w:eastAsia="lv-LV"/>
        </w:rPr>
        <w:t xml:space="preserve">257477 EUR apmērā ir jānosedz no valsts budžeta. Pretējā gadījumā ir jāveic grozījumi </w:t>
      </w:r>
      <w:r w:rsidRPr="00F95550">
        <w:rPr>
          <w:rFonts w:ascii="Times New Roman" w:hAnsi="Times New Roman" w:cs="Times New Roman"/>
          <w:sz w:val="26"/>
          <w:szCs w:val="26"/>
        </w:rPr>
        <w:t>MK 2013.gada 3.septembra noteikumos Nr. 721 “Izglītības un zinātnes ministrijas maksas pakalpojumu cenrādis”, paredzot samaksas par akreditāciju vai licencēšanu pa</w:t>
      </w:r>
      <w:r>
        <w:rPr>
          <w:rFonts w:ascii="Times New Roman" w:hAnsi="Times New Roman" w:cs="Times New Roman"/>
          <w:sz w:val="26"/>
          <w:szCs w:val="26"/>
        </w:rPr>
        <w:t>augstināšanu</w:t>
      </w:r>
      <w:r w:rsidRPr="00F95550">
        <w:rPr>
          <w:rFonts w:ascii="Times New Roman" w:hAnsi="Times New Roman" w:cs="Times New Roman"/>
          <w:sz w:val="26"/>
          <w:szCs w:val="26"/>
        </w:rPr>
        <w:t>.</w:t>
      </w:r>
    </w:p>
    <w:p w:rsidR="000228F4" w:rsidRPr="008C65D8" w:rsidRDefault="000228F4" w:rsidP="000228F4">
      <w:pPr>
        <w:pStyle w:val="ListParagraph"/>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Turpmākajiem gadiem ienākumi ir aplēsti, ņemot vērā, ka 2016. un 2017.gadā ir prognozējami 3 studiju virzienu a</w:t>
      </w:r>
      <w:r w:rsidRPr="008C65D8">
        <w:rPr>
          <w:rFonts w:ascii="Times New Roman" w:hAnsi="Times New Roman" w:cs="Times New Roman"/>
          <w:sz w:val="26"/>
          <w:szCs w:val="26"/>
        </w:rPr>
        <w:t>kreditācijas un</w:t>
      </w:r>
      <w:r>
        <w:rPr>
          <w:rFonts w:ascii="Times New Roman" w:hAnsi="Times New Roman" w:cs="Times New Roman"/>
          <w:sz w:val="26"/>
          <w:szCs w:val="26"/>
        </w:rPr>
        <w:t xml:space="preserve"> 15 studiju licencēšanas gadījumi. </w:t>
      </w:r>
    </w:p>
    <w:p w:rsidR="000228F4" w:rsidRDefault="000228F4" w:rsidP="00725CCC">
      <w:pPr>
        <w:pStyle w:val="ListParagraph"/>
        <w:spacing w:after="0" w:line="240" w:lineRule="auto"/>
        <w:ind w:left="0" w:firstLine="720"/>
        <w:jc w:val="both"/>
        <w:rPr>
          <w:rFonts w:ascii="Times New Roman" w:hAnsi="Times New Roman" w:cs="Times New Roman"/>
          <w:sz w:val="26"/>
          <w:szCs w:val="26"/>
        </w:rPr>
      </w:pPr>
    </w:p>
    <w:p w:rsidR="006837A8" w:rsidRPr="001F457F" w:rsidRDefault="006837A8" w:rsidP="00725CCC">
      <w:pPr>
        <w:pStyle w:val="ListParagraph"/>
        <w:spacing w:after="0" w:line="240" w:lineRule="auto"/>
        <w:ind w:left="0" w:firstLine="720"/>
        <w:jc w:val="both"/>
        <w:rPr>
          <w:rFonts w:ascii="Times New Roman" w:hAnsi="Times New Roman" w:cs="Times New Roman"/>
          <w:sz w:val="26"/>
          <w:szCs w:val="26"/>
        </w:rPr>
      </w:pPr>
      <w:r w:rsidRPr="001F457F">
        <w:rPr>
          <w:rFonts w:ascii="Times New Roman" w:hAnsi="Times New Roman" w:cs="Times New Roman"/>
          <w:sz w:val="26"/>
          <w:szCs w:val="26"/>
        </w:rPr>
        <w:t xml:space="preserve">Ņemot vērā, ka ieņēmumi no maksas pakalpojumu sniegšanas nav pietiekami, </w:t>
      </w:r>
      <w:r w:rsidR="007E43DA" w:rsidRPr="001F457F">
        <w:rPr>
          <w:rFonts w:ascii="Times New Roman" w:hAnsi="Times New Roman" w:cs="Times New Roman"/>
          <w:sz w:val="26"/>
          <w:szCs w:val="26"/>
        </w:rPr>
        <w:t>ir</w:t>
      </w:r>
      <w:r w:rsidRPr="001F457F">
        <w:rPr>
          <w:rFonts w:ascii="Times New Roman" w:hAnsi="Times New Roman" w:cs="Times New Roman"/>
          <w:sz w:val="26"/>
          <w:szCs w:val="26"/>
        </w:rPr>
        <w:t xml:space="preserve"> jā</w:t>
      </w:r>
      <w:r w:rsidR="007E43DA" w:rsidRPr="001F457F">
        <w:rPr>
          <w:rFonts w:ascii="Times New Roman" w:hAnsi="Times New Roman" w:cs="Times New Roman"/>
          <w:sz w:val="26"/>
          <w:szCs w:val="26"/>
        </w:rPr>
        <w:t>paredz</w:t>
      </w:r>
      <w:r w:rsidRPr="001F457F">
        <w:rPr>
          <w:rFonts w:ascii="Times New Roman" w:hAnsi="Times New Roman" w:cs="Times New Roman"/>
          <w:sz w:val="26"/>
          <w:szCs w:val="26"/>
        </w:rPr>
        <w:t xml:space="preserve"> pastāvīgs finansējums no valsts budžet</w:t>
      </w:r>
      <w:r w:rsidR="007E43DA" w:rsidRPr="001F457F">
        <w:rPr>
          <w:rFonts w:ascii="Times New Roman" w:hAnsi="Times New Roman" w:cs="Times New Roman"/>
          <w:sz w:val="26"/>
          <w:szCs w:val="26"/>
        </w:rPr>
        <w:t>a</w:t>
      </w:r>
      <w:r w:rsidRPr="001F457F">
        <w:rPr>
          <w:rFonts w:ascii="Times New Roman" w:hAnsi="Times New Roman" w:cs="Times New Roman"/>
          <w:sz w:val="26"/>
          <w:szCs w:val="26"/>
        </w:rPr>
        <w:t xml:space="preserve">, tādejādi </w:t>
      </w:r>
      <w:r w:rsidR="007E43DA" w:rsidRPr="001F457F">
        <w:rPr>
          <w:rFonts w:ascii="Times New Roman" w:hAnsi="Times New Roman" w:cs="Times New Roman"/>
          <w:sz w:val="26"/>
          <w:szCs w:val="26"/>
        </w:rPr>
        <w:t>nodrošino</w:t>
      </w:r>
      <w:r w:rsidRPr="001F457F">
        <w:rPr>
          <w:rFonts w:ascii="Times New Roman" w:hAnsi="Times New Roman" w:cs="Times New Roman"/>
          <w:sz w:val="26"/>
          <w:szCs w:val="26"/>
        </w:rPr>
        <w:t xml:space="preserve">t institūcijas </w:t>
      </w:r>
      <w:r w:rsidR="007E43DA" w:rsidRPr="001F457F">
        <w:rPr>
          <w:rFonts w:ascii="Times New Roman" w:hAnsi="Times New Roman" w:cs="Times New Roman"/>
          <w:sz w:val="26"/>
          <w:szCs w:val="26"/>
        </w:rPr>
        <w:t xml:space="preserve">darbības </w:t>
      </w:r>
      <w:r w:rsidR="00AE6CA5">
        <w:rPr>
          <w:rFonts w:ascii="Times New Roman" w:hAnsi="Times New Roman" w:cs="Times New Roman"/>
          <w:sz w:val="26"/>
          <w:szCs w:val="26"/>
        </w:rPr>
        <w:t>ilg</w:t>
      </w:r>
      <w:r w:rsidRPr="001F457F">
        <w:rPr>
          <w:rFonts w:ascii="Times New Roman" w:hAnsi="Times New Roman" w:cs="Times New Roman"/>
          <w:sz w:val="26"/>
          <w:szCs w:val="26"/>
        </w:rPr>
        <w:t>t</w:t>
      </w:r>
      <w:r w:rsidR="00AE6CA5">
        <w:rPr>
          <w:rFonts w:ascii="Times New Roman" w:hAnsi="Times New Roman" w:cs="Times New Roman"/>
          <w:sz w:val="26"/>
          <w:szCs w:val="26"/>
        </w:rPr>
        <w:t>s</w:t>
      </w:r>
      <w:r w:rsidRPr="001F457F">
        <w:rPr>
          <w:rFonts w:ascii="Times New Roman" w:hAnsi="Times New Roman" w:cs="Times New Roman"/>
          <w:sz w:val="26"/>
          <w:szCs w:val="26"/>
        </w:rPr>
        <w:t>pēj</w:t>
      </w:r>
      <w:r w:rsidR="007E43DA" w:rsidRPr="001F457F">
        <w:rPr>
          <w:rFonts w:ascii="Times New Roman" w:hAnsi="Times New Roman" w:cs="Times New Roman"/>
          <w:sz w:val="26"/>
          <w:szCs w:val="26"/>
        </w:rPr>
        <w:t>u</w:t>
      </w:r>
      <w:r w:rsidRPr="001F457F">
        <w:rPr>
          <w:rFonts w:ascii="Times New Roman" w:hAnsi="Times New Roman" w:cs="Times New Roman"/>
          <w:sz w:val="26"/>
          <w:szCs w:val="26"/>
        </w:rPr>
        <w:t>.</w:t>
      </w:r>
    </w:p>
    <w:p w:rsidR="0060115D" w:rsidRPr="001F457F" w:rsidRDefault="00D714A2" w:rsidP="000228F4">
      <w:pPr>
        <w:pStyle w:val="ListParagraph"/>
        <w:spacing w:after="0" w:line="240" w:lineRule="auto"/>
        <w:ind w:left="0" w:firstLine="709"/>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Vienlaikus </w:t>
      </w:r>
      <w:r w:rsidRPr="00CD6294">
        <w:rPr>
          <w:rFonts w:ascii="Times New Roman" w:eastAsia="Times New Roman" w:hAnsi="Times New Roman" w:cs="Times New Roman"/>
          <w:color w:val="000000"/>
          <w:sz w:val="26"/>
          <w:szCs w:val="26"/>
        </w:rPr>
        <w:t xml:space="preserve">Eiropas Savienības struktūrfondu </w:t>
      </w:r>
      <w:r>
        <w:rPr>
          <w:rFonts w:ascii="Times New Roman" w:eastAsia="Times New Roman" w:hAnsi="Times New Roman" w:cs="Times New Roman"/>
          <w:color w:val="000000"/>
          <w:sz w:val="26"/>
          <w:szCs w:val="26"/>
        </w:rPr>
        <w:t>plānošanas periodā 2014.-2020.gadam specifiskā atbalsta mērķa 8.2.4 „</w:t>
      </w:r>
      <w:r w:rsidRPr="00706847">
        <w:rPr>
          <w:rFonts w:ascii="Times New Roman" w:eastAsia="Times New Roman" w:hAnsi="Times New Roman" w:cs="Times New Roman"/>
          <w:color w:val="000000"/>
          <w:sz w:val="26"/>
          <w:szCs w:val="26"/>
        </w:rPr>
        <w:t xml:space="preserve">Nodrošināt atbalstu EQAR aģentūrai izvirzīto prasību izpildei” ietvaros </w:t>
      </w:r>
      <w:r w:rsidRPr="00CD6294">
        <w:rPr>
          <w:rFonts w:ascii="Times New Roman" w:eastAsia="Times New Roman" w:hAnsi="Times New Roman" w:cs="Times New Roman"/>
          <w:color w:val="000000"/>
          <w:sz w:val="26"/>
          <w:szCs w:val="26"/>
        </w:rPr>
        <w:t>paredzēts finansējum</w:t>
      </w:r>
      <w:r>
        <w:rPr>
          <w:rFonts w:ascii="Times New Roman" w:eastAsia="Times New Roman" w:hAnsi="Times New Roman" w:cs="Times New Roman"/>
          <w:color w:val="000000"/>
          <w:sz w:val="26"/>
          <w:szCs w:val="26"/>
        </w:rPr>
        <w:t>s</w:t>
      </w:r>
      <w:r w:rsidRPr="00CD6294">
        <w:rPr>
          <w:rFonts w:ascii="Times New Roman" w:hAnsi="Times New Roman" w:cs="Times New Roman"/>
          <w:sz w:val="26"/>
          <w:szCs w:val="26"/>
        </w:rPr>
        <w:t xml:space="preserve"> nacionālās augstākās izglītības kvalitātes nodrošināšanas aģentūras sākotnējās darbības kvalitātes atbalsta pasākumiem un kapacitātes stiprināšanai</w:t>
      </w:r>
      <w:r>
        <w:rPr>
          <w:rFonts w:ascii="Times New Roman" w:hAnsi="Times New Roman" w:cs="Times New Roman"/>
          <w:sz w:val="26"/>
          <w:szCs w:val="26"/>
        </w:rPr>
        <w:t xml:space="preserve"> </w:t>
      </w:r>
      <w:r w:rsidRPr="00CD6294">
        <w:rPr>
          <w:rFonts w:ascii="Times New Roman" w:hAnsi="Times New Roman" w:cs="Times New Roman"/>
          <w:sz w:val="26"/>
          <w:szCs w:val="26"/>
        </w:rPr>
        <w:t>1 500 000 EUR apmērā</w:t>
      </w:r>
      <w:r>
        <w:rPr>
          <w:rFonts w:ascii="Times New Roman" w:hAnsi="Times New Roman" w:cs="Times New Roman"/>
          <w:sz w:val="26"/>
          <w:szCs w:val="26"/>
        </w:rPr>
        <w:t xml:space="preserve">. </w:t>
      </w:r>
      <w:r>
        <w:rPr>
          <w:rFonts w:ascii="Times New Roman" w:hAnsi="Times New Roman"/>
          <w:sz w:val="26"/>
          <w:szCs w:val="26"/>
        </w:rPr>
        <w:t>Projekta ieviešanas nosacījums – nodrošināt, ka l</w:t>
      </w:r>
      <w:r w:rsidRPr="00706847">
        <w:rPr>
          <w:rFonts w:ascii="Times New Roman" w:hAnsi="Times New Roman"/>
          <w:sz w:val="26"/>
          <w:szCs w:val="26"/>
        </w:rPr>
        <w:t>īdz 2018.gada beigām</w:t>
      </w:r>
      <w:r>
        <w:rPr>
          <w:rFonts w:ascii="Times New Roman" w:hAnsi="Times New Roman"/>
          <w:sz w:val="26"/>
          <w:szCs w:val="26"/>
        </w:rPr>
        <w:t xml:space="preserve"> ir iesniegti visi nepieciešamie dokumenti</w:t>
      </w:r>
      <w:r w:rsidRPr="00706847">
        <w:rPr>
          <w:rFonts w:ascii="Times New Roman" w:hAnsi="Times New Roman"/>
          <w:sz w:val="26"/>
          <w:szCs w:val="26"/>
        </w:rPr>
        <w:t xml:space="preserve"> EQAR reģistrēšanai, </w:t>
      </w:r>
      <w:r>
        <w:rPr>
          <w:rFonts w:ascii="Times New Roman" w:hAnsi="Times New Roman"/>
          <w:sz w:val="26"/>
          <w:szCs w:val="26"/>
        </w:rPr>
        <w:t>lai</w:t>
      </w:r>
      <w:r w:rsidRPr="00706847">
        <w:rPr>
          <w:rFonts w:ascii="Times New Roman" w:hAnsi="Times New Roman"/>
          <w:sz w:val="26"/>
          <w:szCs w:val="26"/>
        </w:rPr>
        <w:t xml:space="preserve"> oficiāls lēmums par reģistrēšanu EQAR reģistrā </w:t>
      </w:r>
      <w:r>
        <w:rPr>
          <w:rFonts w:ascii="Times New Roman" w:hAnsi="Times New Roman"/>
          <w:sz w:val="26"/>
          <w:szCs w:val="26"/>
        </w:rPr>
        <w:t>tiktu</w:t>
      </w:r>
      <w:r w:rsidRPr="00706847">
        <w:rPr>
          <w:rFonts w:ascii="Times New Roman" w:hAnsi="Times New Roman"/>
          <w:sz w:val="26"/>
          <w:szCs w:val="26"/>
        </w:rPr>
        <w:t xml:space="preserve"> pieņemts</w:t>
      </w:r>
      <w:r>
        <w:rPr>
          <w:rFonts w:ascii="Times New Roman" w:hAnsi="Times New Roman"/>
          <w:sz w:val="26"/>
          <w:szCs w:val="26"/>
        </w:rPr>
        <w:t xml:space="preserve"> ne vēlāk kā 2019.gadā</w:t>
      </w:r>
      <w:r w:rsidRPr="00706847">
        <w:rPr>
          <w:rFonts w:ascii="Times New Roman" w:hAnsi="Times New Roman"/>
          <w:sz w:val="26"/>
          <w:szCs w:val="26"/>
        </w:rPr>
        <w:t>.</w:t>
      </w:r>
      <w:r>
        <w:rPr>
          <w:rFonts w:ascii="Times New Roman" w:hAnsi="Times New Roman"/>
          <w:sz w:val="26"/>
          <w:szCs w:val="26"/>
        </w:rPr>
        <w:t xml:space="preserve"> Sasniedzamais projekta rezultāta rādītājs – ESF atbalstu saņēmusī institūcija atbilst EQAR aģentūrai izvirzītajām prasībām</w:t>
      </w:r>
      <w:r w:rsidR="004E29AB">
        <w:rPr>
          <w:rFonts w:ascii="Times New Roman" w:hAnsi="Times New Roman"/>
          <w:sz w:val="26"/>
          <w:szCs w:val="26"/>
        </w:rPr>
        <w:t>.</w:t>
      </w:r>
    </w:p>
    <w:p w:rsidR="0060115D" w:rsidRDefault="0060115D" w:rsidP="008C65D8">
      <w:pPr>
        <w:pStyle w:val="ListParagraph"/>
        <w:spacing w:after="0" w:line="240" w:lineRule="auto"/>
        <w:ind w:firstLine="360"/>
        <w:jc w:val="both"/>
        <w:rPr>
          <w:rFonts w:ascii="Times New Roman" w:hAnsi="Times New Roman" w:cs="Times New Roman"/>
          <w:sz w:val="26"/>
          <w:szCs w:val="26"/>
        </w:rPr>
      </w:pPr>
    </w:p>
    <w:p w:rsidR="00416F67" w:rsidRDefault="00416F67" w:rsidP="008C65D8">
      <w:pPr>
        <w:pStyle w:val="ListParagraph"/>
        <w:spacing w:after="0" w:line="240" w:lineRule="auto"/>
        <w:ind w:firstLine="360"/>
        <w:jc w:val="both"/>
        <w:rPr>
          <w:rFonts w:ascii="Times New Roman" w:hAnsi="Times New Roman" w:cs="Times New Roman"/>
          <w:sz w:val="26"/>
          <w:szCs w:val="26"/>
        </w:rPr>
      </w:pPr>
    </w:p>
    <w:p w:rsidR="003743F8" w:rsidRPr="003743F8" w:rsidRDefault="003743F8" w:rsidP="003743F8">
      <w:pPr>
        <w:ind w:left="709"/>
        <w:rPr>
          <w:rFonts w:ascii="Times New Roman" w:hAnsi="Times New Roman" w:cs="Times New Roman"/>
          <w:sz w:val="26"/>
          <w:szCs w:val="26"/>
        </w:rPr>
      </w:pPr>
      <w:r w:rsidRPr="003743F8">
        <w:rPr>
          <w:rFonts w:ascii="Times New Roman" w:hAnsi="Times New Roman" w:cs="Times New Roman"/>
          <w:sz w:val="26"/>
          <w:szCs w:val="26"/>
        </w:rPr>
        <w:t xml:space="preserve">Izglītības un zinātnes ministres p.i. – </w:t>
      </w:r>
    </w:p>
    <w:p w:rsidR="003743F8" w:rsidRPr="003743F8" w:rsidRDefault="003743F8" w:rsidP="003743F8">
      <w:pPr>
        <w:ind w:left="709"/>
        <w:rPr>
          <w:rFonts w:ascii="Times New Roman" w:hAnsi="Times New Roman" w:cs="Times New Roman"/>
          <w:sz w:val="26"/>
          <w:szCs w:val="26"/>
        </w:rPr>
      </w:pPr>
      <w:r>
        <w:rPr>
          <w:rFonts w:ascii="Times New Roman" w:hAnsi="Times New Roman" w:cs="Times New Roman"/>
          <w:sz w:val="26"/>
          <w:szCs w:val="26"/>
        </w:rPr>
        <w:t>Kultūras ministre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3743F8">
        <w:rPr>
          <w:rFonts w:ascii="Times New Roman" w:hAnsi="Times New Roman" w:cs="Times New Roman"/>
          <w:sz w:val="26"/>
          <w:szCs w:val="26"/>
        </w:rPr>
        <w:t>D. Melbārde</w:t>
      </w:r>
    </w:p>
    <w:p w:rsidR="007F7142" w:rsidRPr="007F7142" w:rsidRDefault="007F7142" w:rsidP="007F7142">
      <w:pPr>
        <w:pStyle w:val="ListParagraph"/>
        <w:spacing w:after="0" w:line="240" w:lineRule="auto"/>
        <w:ind w:firstLine="360"/>
        <w:jc w:val="both"/>
        <w:rPr>
          <w:rFonts w:ascii="Times New Roman" w:hAnsi="Times New Roman" w:cs="Times New Roman"/>
          <w:sz w:val="26"/>
          <w:szCs w:val="26"/>
        </w:rPr>
      </w:pPr>
    </w:p>
    <w:p w:rsidR="007F7142" w:rsidRPr="007F7142" w:rsidRDefault="007F7142" w:rsidP="007F7142">
      <w:pPr>
        <w:pStyle w:val="ListParagraph"/>
        <w:spacing w:after="0" w:line="240" w:lineRule="auto"/>
        <w:ind w:firstLine="360"/>
        <w:jc w:val="both"/>
        <w:rPr>
          <w:rFonts w:ascii="Times New Roman" w:hAnsi="Times New Roman" w:cs="Times New Roman"/>
          <w:sz w:val="26"/>
          <w:szCs w:val="26"/>
        </w:rPr>
      </w:pPr>
    </w:p>
    <w:p w:rsidR="007F7142" w:rsidRPr="00070CF1" w:rsidRDefault="00070CF1" w:rsidP="00070CF1">
      <w:pPr>
        <w:spacing w:after="0" w:line="240" w:lineRule="auto"/>
        <w:ind w:firstLine="720"/>
        <w:jc w:val="both"/>
        <w:rPr>
          <w:rFonts w:ascii="Times New Roman" w:hAnsi="Times New Roman" w:cs="Times New Roman"/>
          <w:sz w:val="26"/>
          <w:szCs w:val="26"/>
        </w:rPr>
      </w:pPr>
      <w:r w:rsidRPr="00070CF1">
        <w:rPr>
          <w:rFonts w:ascii="Times New Roman" w:hAnsi="Times New Roman" w:cs="Times New Roman"/>
          <w:sz w:val="26"/>
          <w:szCs w:val="26"/>
        </w:rPr>
        <w:t>Vi</w:t>
      </w:r>
      <w:r w:rsidR="007F7142" w:rsidRPr="00070CF1">
        <w:rPr>
          <w:rFonts w:ascii="Times New Roman" w:hAnsi="Times New Roman" w:cs="Times New Roman"/>
          <w:sz w:val="26"/>
          <w:szCs w:val="26"/>
        </w:rPr>
        <w:t>z</w:t>
      </w:r>
      <w:r w:rsidRPr="00070CF1">
        <w:rPr>
          <w:rFonts w:ascii="Times New Roman" w:hAnsi="Times New Roman" w:cs="Times New Roman"/>
          <w:sz w:val="26"/>
          <w:szCs w:val="26"/>
        </w:rPr>
        <w:t>ē</w:t>
      </w:r>
      <w:r w:rsidR="007F7142" w:rsidRPr="00070CF1">
        <w:rPr>
          <w:rFonts w:ascii="Times New Roman" w:hAnsi="Times New Roman" w:cs="Times New Roman"/>
          <w:sz w:val="26"/>
          <w:szCs w:val="26"/>
        </w:rPr>
        <w:t>:</w:t>
      </w:r>
    </w:p>
    <w:p w:rsidR="001B2A20" w:rsidRPr="00070CF1" w:rsidRDefault="007F7142" w:rsidP="00070CF1">
      <w:pPr>
        <w:spacing w:after="0" w:line="240" w:lineRule="auto"/>
        <w:ind w:firstLine="720"/>
        <w:jc w:val="both"/>
        <w:rPr>
          <w:rFonts w:ascii="Times New Roman" w:hAnsi="Times New Roman" w:cs="Times New Roman"/>
          <w:sz w:val="26"/>
          <w:szCs w:val="26"/>
        </w:rPr>
      </w:pPr>
      <w:r w:rsidRPr="00070CF1">
        <w:rPr>
          <w:rFonts w:ascii="Times New Roman" w:hAnsi="Times New Roman" w:cs="Times New Roman"/>
          <w:sz w:val="26"/>
          <w:szCs w:val="26"/>
        </w:rPr>
        <w:t>Valsts sekretāre</w:t>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r>
      <w:r w:rsidRPr="00070CF1">
        <w:rPr>
          <w:rFonts w:ascii="Times New Roman" w:hAnsi="Times New Roman" w:cs="Times New Roman"/>
          <w:sz w:val="26"/>
          <w:szCs w:val="26"/>
        </w:rPr>
        <w:tab/>
        <w:t>S.Liepiņa</w:t>
      </w:r>
    </w:p>
    <w:p w:rsidR="001B2A20" w:rsidRDefault="001B2A20" w:rsidP="008C65D8">
      <w:pPr>
        <w:pStyle w:val="ListParagraph"/>
        <w:spacing w:after="0" w:line="240" w:lineRule="auto"/>
        <w:ind w:firstLine="360"/>
        <w:jc w:val="both"/>
        <w:rPr>
          <w:rFonts w:ascii="Times New Roman" w:hAnsi="Times New Roman" w:cs="Times New Roman"/>
          <w:sz w:val="26"/>
          <w:szCs w:val="26"/>
        </w:rPr>
      </w:pPr>
    </w:p>
    <w:p w:rsidR="001B2A20" w:rsidRDefault="001B2A20" w:rsidP="008C65D8">
      <w:pPr>
        <w:pStyle w:val="ListParagraph"/>
        <w:spacing w:after="0" w:line="240" w:lineRule="auto"/>
        <w:ind w:firstLine="360"/>
        <w:jc w:val="both"/>
        <w:rPr>
          <w:rFonts w:ascii="Times New Roman" w:hAnsi="Times New Roman" w:cs="Times New Roman"/>
          <w:sz w:val="26"/>
          <w:szCs w:val="26"/>
        </w:rPr>
      </w:pPr>
    </w:p>
    <w:p w:rsidR="00837C10" w:rsidRDefault="00837C10" w:rsidP="008C65D8">
      <w:pPr>
        <w:pStyle w:val="ListParagraph"/>
        <w:spacing w:after="0" w:line="240" w:lineRule="auto"/>
        <w:ind w:firstLine="360"/>
        <w:jc w:val="both"/>
        <w:rPr>
          <w:rFonts w:ascii="Times New Roman" w:hAnsi="Times New Roman" w:cs="Times New Roman"/>
          <w:sz w:val="26"/>
          <w:szCs w:val="26"/>
        </w:rPr>
      </w:pPr>
    </w:p>
    <w:p w:rsidR="0086698D" w:rsidRPr="00F75B50" w:rsidRDefault="00F75B50" w:rsidP="0086698D">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19</w:t>
      </w:r>
      <w:r w:rsidR="00416F67" w:rsidRPr="00F75B50">
        <w:rPr>
          <w:rFonts w:ascii="Times New Roman" w:hAnsi="Times New Roman" w:cs="Times New Roman"/>
          <w:sz w:val="20"/>
          <w:szCs w:val="20"/>
        </w:rPr>
        <w:t>.08.2014</w:t>
      </w:r>
      <w:r w:rsidR="0086698D" w:rsidRPr="00F75B50">
        <w:rPr>
          <w:rFonts w:ascii="Times New Roman" w:hAnsi="Times New Roman" w:cs="Times New Roman"/>
          <w:sz w:val="20"/>
          <w:szCs w:val="20"/>
        </w:rPr>
        <w:t>.</w:t>
      </w:r>
    </w:p>
    <w:p w:rsidR="0086698D" w:rsidRPr="00F75B50" w:rsidRDefault="007F7142" w:rsidP="0086698D">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1</w:t>
      </w:r>
      <w:r w:rsidR="00FF7F0C">
        <w:rPr>
          <w:rFonts w:ascii="Times New Roman" w:hAnsi="Times New Roman" w:cs="Times New Roman"/>
          <w:sz w:val="20"/>
          <w:szCs w:val="20"/>
        </w:rPr>
        <w:t>289</w:t>
      </w:r>
    </w:p>
    <w:p w:rsidR="0086698D" w:rsidRPr="00F75B50" w:rsidRDefault="0086698D" w:rsidP="0086698D">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J.Silka</w:t>
      </w:r>
    </w:p>
    <w:p w:rsidR="001B2A20" w:rsidRPr="00F75B50" w:rsidRDefault="0086698D" w:rsidP="00837C10">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 xml:space="preserve">67047785, </w:t>
      </w:r>
      <w:hyperlink r:id="rId9" w:history="1">
        <w:r w:rsidRPr="00F75B50">
          <w:rPr>
            <w:rStyle w:val="Hyperlink"/>
            <w:rFonts w:ascii="Times New Roman" w:hAnsi="Times New Roman" w:cs="Times New Roman"/>
            <w:sz w:val="20"/>
            <w:szCs w:val="20"/>
          </w:rPr>
          <w:t>jolanta.silka@izm.gov.lv</w:t>
        </w:r>
      </w:hyperlink>
    </w:p>
    <w:p w:rsidR="00F75B50" w:rsidRPr="00F75B50" w:rsidRDefault="00F75B50" w:rsidP="00837C10">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I.Stūre</w:t>
      </w:r>
    </w:p>
    <w:p w:rsidR="00F75B50" w:rsidRPr="00F75B50" w:rsidRDefault="00F75B50" w:rsidP="00837C10">
      <w:pPr>
        <w:spacing w:after="0" w:line="240" w:lineRule="auto"/>
        <w:rPr>
          <w:rFonts w:ascii="Times New Roman" w:hAnsi="Times New Roman" w:cs="Times New Roman"/>
          <w:sz w:val="20"/>
          <w:szCs w:val="20"/>
        </w:rPr>
      </w:pPr>
      <w:r w:rsidRPr="00F75B50">
        <w:rPr>
          <w:rFonts w:ascii="Times New Roman" w:hAnsi="Times New Roman" w:cs="Times New Roman"/>
          <w:sz w:val="20"/>
          <w:szCs w:val="20"/>
        </w:rPr>
        <w:t>67047899, Inese.Sture@izm.gov.lv</w:t>
      </w:r>
    </w:p>
    <w:sectPr w:rsidR="00F75B50" w:rsidRPr="00F75B50" w:rsidSect="006E72AB">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0F" w:rsidRDefault="0070690F" w:rsidP="00BB6614">
      <w:pPr>
        <w:spacing w:after="0" w:line="240" w:lineRule="auto"/>
      </w:pPr>
      <w:r>
        <w:separator/>
      </w:r>
    </w:p>
  </w:endnote>
  <w:endnote w:type="continuationSeparator" w:id="0">
    <w:p w:rsidR="0070690F" w:rsidRDefault="0070690F" w:rsidP="00BB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9D" w:rsidRDefault="00D00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E6" w:rsidRPr="003B1D57" w:rsidRDefault="006F4405">
    <w:pPr>
      <w:pStyle w:val="Footer"/>
      <w:rPr>
        <w:rFonts w:ascii="Times New Roman" w:hAnsi="Times New Roman" w:cs="Times New Roman"/>
        <w:sz w:val="20"/>
        <w:szCs w:val="20"/>
      </w:rPr>
    </w:pPr>
    <w:r w:rsidRPr="006F4405">
      <w:rPr>
        <w:rFonts w:ascii="Times New Roman" w:hAnsi="Times New Roman" w:cs="Times New Roman"/>
        <w:sz w:val="20"/>
        <w:szCs w:val="20"/>
      </w:rPr>
      <w:t>IZMkops_</w:t>
    </w:r>
    <w:r w:rsidR="00D00E9D">
      <w:rPr>
        <w:rFonts w:ascii="Times New Roman" w:hAnsi="Times New Roman" w:cs="Times New Roman"/>
        <w:sz w:val="20"/>
        <w:szCs w:val="20"/>
      </w:rPr>
      <w:t>09</w:t>
    </w:r>
    <w:bookmarkStart w:id="0" w:name="_GoBack"/>
    <w:bookmarkEnd w:id="0"/>
    <w:r w:rsidRPr="006F4405">
      <w:rPr>
        <w:rFonts w:ascii="Times New Roman" w:hAnsi="Times New Roman" w:cs="Times New Roman"/>
        <w:sz w:val="20"/>
        <w:szCs w:val="20"/>
      </w:rPr>
      <w:t>1014_kvalagent</w:t>
    </w:r>
    <w:r w:rsidR="007E2146">
      <w:rPr>
        <w:rFonts w:ascii="Times New Roman" w:hAnsi="Times New Roman" w:cs="Times New Roman"/>
        <w:sz w:val="20"/>
        <w:szCs w:val="20"/>
      </w:rPr>
      <w:t xml:space="preserve">; Koncepcijas </w:t>
    </w:r>
    <w:r w:rsidR="00070CF1">
      <w:rPr>
        <w:rFonts w:ascii="Times New Roman" w:hAnsi="Times New Roman" w:cs="Times New Roman"/>
        <w:sz w:val="20"/>
        <w:szCs w:val="20"/>
      </w:rPr>
      <w:t>“A</w:t>
    </w:r>
    <w:r w:rsidR="00A141E6">
      <w:rPr>
        <w:rFonts w:ascii="Times New Roman" w:hAnsi="Times New Roman" w:cs="Times New Roman"/>
        <w:sz w:val="20"/>
        <w:szCs w:val="20"/>
      </w:rPr>
      <w:t>ugstākās izglītības ārējās kvalitātes n</w:t>
    </w:r>
    <w:r w:rsidR="00070CF1">
      <w:rPr>
        <w:rFonts w:ascii="Times New Roman" w:hAnsi="Times New Roman" w:cs="Times New Roman"/>
        <w:sz w:val="20"/>
        <w:szCs w:val="20"/>
      </w:rPr>
      <w:t>odrošināšanas sistēmas pilnveide”</w:t>
    </w:r>
    <w:r w:rsidR="007E2146">
      <w:rPr>
        <w:rFonts w:ascii="Times New Roman" w:hAnsi="Times New Roman" w:cs="Times New Roman"/>
        <w:sz w:val="20"/>
        <w:szCs w:val="20"/>
      </w:rPr>
      <w:t xml:space="preserve"> kopsavilkums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9D" w:rsidRDefault="00D00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0F" w:rsidRDefault="0070690F" w:rsidP="00BB6614">
      <w:pPr>
        <w:spacing w:after="0" w:line="240" w:lineRule="auto"/>
      </w:pPr>
      <w:r>
        <w:separator/>
      </w:r>
    </w:p>
  </w:footnote>
  <w:footnote w:type="continuationSeparator" w:id="0">
    <w:p w:rsidR="0070690F" w:rsidRDefault="0070690F" w:rsidP="00BB6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9D" w:rsidRDefault="00D00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091240"/>
      <w:docPartObj>
        <w:docPartGallery w:val="Page Numbers (Top of Page)"/>
        <w:docPartUnique/>
      </w:docPartObj>
    </w:sdtPr>
    <w:sdtEndPr>
      <w:rPr>
        <w:rFonts w:ascii="Times New Roman" w:hAnsi="Times New Roman" w:cs="Times New Roman"/>
        <w:noProof/>
        <w:sz w:val="24"/>
        <w:szCs w:val="24"/>
      </w:rPr>
    </w:sdtEndPr>
    <w:sdtContent>
      <w:p w:rsidR="00A141E6" w:rsidRPr="00BB6614" w:rsidRDefault="003E0AD1">
        <w:pPr>
          <w:pStyle w:val="Header"/>
          <w:jc w:val="center"/>
          <w:rPr>
            <w:rFonts w:ascii="Times New Roman" w:hAnsi="Times New Roman" w:cs="Times New Roman"/>
            <w:sz w:val="24"/>
            <w:szCs w:val="24"/>
          </w:rPr>
        </w:pPr>
        <w:r w:rsidRPr="00BB6614">
          <w:rPr>
            <w:rFonts w:ascii="Times New Roman" w:hAnsi="Times New Roman" w:cs="Times New Roman"/>
            <w:sz w:val="24"/>
            <w:szCs w:val="24"/>
          </w:rPr>
          <w:fldChar w:fldCharType="begin"/>
        </w:r>
        <w:r w:rsidR="00A141E6" w:rsidRPr="00BB6614">
          <w:rPr>
            <w:rFonts w:ascii="Times New Roman" w:hAnsi="Times New Roman" w:cs="Times New Roman"/>
            <w:sz w:val="24"/>
            <w:szCs w:val="24"/>
          </w:rPr>
          <w:instrText xml:space="preserve"> PAGE   \* MERGEFORMAT </w:instrText>
        </w:r>
        <w:r w:rsidRPr="00BB6614">
          <w:rPr>
            <w:rFonts w:ascii="Times New Roman" w:hAnsi="Times New Roman" w:cs="Times New Roman"/>
            <w:sz w:val="24"/>
            <w:szCs w:val="24"/>
          </w:rPr>
          <w:fldChar w:fldCharType="separate"/>
        </w:r>
        <w:r w:rsidR="00D00E9D">
          <w:rPr>
            <w:rFonts w:ascii="Times New Roman" w:hAnsi="Times New Roman" w:cs="Times New Roman"/>
            <w:noProof/>
            <w:sz w:val="24"/>
            <w:szCs w:val="24"/>
          </w:rPr>
          <w:t>1</w:t>
        </w:r>
        <w:r w:rsidRPr="00BB6614">
          <w:rPr>
            <w:rFonts w:ascii="Times New Roman" w:hAnsi="Times New Roman" w:cs="Times New Roman"/>
            <w:noProof/>
            <w:sz w:val="24"/>
            <w:szCs w:val="24"/>
          </w:rPr>
          <w:fldChar w:fldCharType="end"/>
        </w:r>
      </w:p>
    </w:sdtContent>
  </w:sdt>
  <w:p w:rsidR="00A141E6" w:rsidRDefault="00A14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9D" w:rsidRDefault="00D00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D8F"/>
    <w:multiLevelType w:val="hybridMultilevel"/>
    <w:tmpl w:val="67B89BB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404BC4"/>
    <w:multiLevelType w:val="hybridMultilevel"/>
    <w:tmpl w:val="A79460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033DD4"/>
    <w:multiLevelType w:val="hybridMultilevel"/>
    <w:tmpl w:val="86C6D00A"/>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nsid w:val="0A064353"/>
    <w:multiLevelType w:val="hybridMultilevel"/>
    <w:tmpl w:val="ED404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430FF3"/>
    <w:multiLevelType w:val="hybridMultilevel"/>
    <w:tmpl w:val="2564F9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14634F89"/>
    <w:multiLevelType w:val="hybridMultilevel"/>
    <w:tmpl w:val="110C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AB30597"/>
    <w:multiLevelType w:val="hybridMultilevel"/>
    <w:tmpl w:val="63902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CE82D13"/>
    <w:multiLevelType w:val="hybridMultilevel"/>
    <w:tmpl w:val="D9E0E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E2362C6"/>
    <w:multiLevelType w:val="multilevel"/>
    <w:tmpl w:val="82488D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944898"/>
    <w:multiLevelType w:val="hybridMultilevel"/>
    <w:tmpl w:val="EEA82880"/>
    <w:lvl w:ilvl="0" w:tplc="FB3A8164">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8557E9"/>
    <w:multiLevelType w:val="hybridMultilevel"/>
    <w:tmpl w:val="B9CE9CC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
    <w:nsid w:val="25C705E3"/>
    <w:multiLevelType w:val="hybridMultilevel"/>
    <w:tmpl w:val="03D8F6F6"/>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9C64B18"/>
    <w:multiLevelType w:val="hybridMultilevel"/>
    <w:tmpl w:val="4FFCD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93A2A76"/>
    <w:multiLevelType w:val="multilevel"/>
    <w:tmpl w:val="4D04E21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0E67DB"/>
    <w:multiLevelType w:val="hybridMultilevel"/>
    <w:tmpl w:val="118218DC"/>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5">
    <w:nsid w:val="42A73050"/>
    <w:multiLevelType w:val="hybridMultilevel"/>
    <w:tmpl w:val="5B82147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nsid w:val="444E27D2"/>
    <w:multiLevelType w:val="hybridMultilevel"/>
    <w:tmpl w:val="68C4C5F8"/>
    <w:lvl w:ilvl="0" w:tplc="DF045AD0">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4E9D1448"/>
    <w:multiLevelType w:val="hybridMultilevel"/>
    <w:tmpl w:val="BEE4D808"/>
    <w:lvl w:ilvl="0" w:tplc="76F4CB7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
    <w:nsid w:val="4F4F4663"/>
    <w:multiLevelType w:val="hybridMultilevel"/>
    <w:tmpl w:val="3AC4C7BE"/>
    <w:lvl w:ilvl="0" w:tplc="CCD49DE2">
      <w:start w:val="1"/>
      <w:numFmt w:val="bullet"/>
      <w:lvlText w:val="–"/>
      <w:lvlJc w:val="left"/>
      <w:pPr>
        <w:ind w:left="765" w:hanging="360"/>
      </w:pPr>
      <w:rPr>
        <w:rFonts w:ascii="Times New Roman"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9">
    <w:nsid w:val="50E366E3"/>
    <w:multiLevelType w:val="hybridMultilevel"/>
    <w:tmpl w:val="3DF8B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8643F2B"/>
    <w:multiLevelType w:val="hybridMultilevel"/>
    <w:tmpl w:val="19DC8D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61D56CC6"/>
    <w:multiLevelType w:val="hybridMultilevel"/>
    <w:tmpl w:val="58B23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4A00AA8"/>
    <w:multiLevelType w:val="hybridMultilevel"/>
    <w:tmpl w:val="79C867E8"/>
    <w:lvl w:ilvl="0" w:tplc="BA40BE56">
      <w:start w:val="10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6BE75465"/>
    <w:multiLevelType w:val="hybridMultilevel"/>
    <w:tmpl w:val="9D728D0E"/>
    <w:lvl w:ilvl="0" w:tplc="B37AC77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D385898"/>
    <w:multiLevelType w:val="hybridMultilevel"/>
    <w:tmpl w:val="0088A4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EF878AB"/>
    <w:multiLevelType w:val="hybridMultilevel"/>
    <w:tmpl w:val="88861094"/>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26">
    <w:nsid w:val="74D5734A"/>
    <w:multiLevelType w:val="hybridMultilevel"/>
    <w:tmpl w:val="72B87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7583B70"/>
    <w:multiLevelType w:val="hybridMultilevel"/>
    <w:tmpl w:val="0102EEAA"/>
    <w:lvl w:ilvl="0" w:tplc="CCD49DE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7BC03598"/>
    <w:multiLevelType w:val="hybridMultilevel"/>
    <w:tmpl w:val="977E5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D847A2A"/>
    <w:multiLevelType w:val="hybridMultilevel"/>
    <w:tmpl w:val="BD54DC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7EFF5A3C"/>
    <w:multiLevelType w:val="hybridMultilevel"/>
    <w:tmpl w:val="0B52A290"/>
    <w:lvl w:ilvl="0" w:tplc="24D8C6BE">
      <w:start w:val="10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F4725AB"/>
    <w:multiLevelType w:val="hybridMultilevel"/>
    <w:tmpl w:val="CB0E9358"/>
    <w:lvl w:ilvl="0" w:tplc="AAACFB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F941818"/>
    <w:multiLevelType w:val="hybridMultilevel"/>
    <w:tmpl w:val="EE94592C"/>
    <w:lvl w:ilvl="0" w:tplc="9440C27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30"/>
  </w:num>
  <w:num w:numId="3">
    <w:abstractNumId w:val="22"/>
  </w:num>
  <w:num w:numId="4">
    <w:abstractNumId w:val="9"/>
  </w:num>
  <w:num w:numId="5">
    <w:abstractNumId w:val="18"/>
  </w:num>
  <w:num w:numId="6">
    <w:abstractNumId w:val="27"/>
  </w:num>
  <w:num w:numId="7">
    <w:abstractNumId w:val="13"/>
  </w:num>
  <w:num w:numId="8">
    <w:abstractNumId w:val="31"/>
  </w:num>
  <w:num w:numId="9">
    <w:abstractNumId w:val="23"/>
  </w:num>
  <w:num w:numId="10">
    <w:abstractNumId w:val="0"/>
  </w:num>
  <w:num w:numId="11">
    <w:abstractNumId w:val="21"/>
  </w:num>
  <w:num w:numId="12">
    <w:abstractNumId w:val="11"/>
  </w:num>
  <w:num w:numId="13">
    <w:abstractNumId w:val="6"/>
  </w:num>
  <w:num w:numId="14">
    <w:abstractNumId w:val="24"/>
  </w:num>
  <w:num w:numId="15">
    <w:abstractNumId w:val="7"/>
  </w:num>
  <w:num w:numId="16">
    <w:abstractNumId w:val="14"/>
  </w:num>
  <w:num w:numId="17">
    <w:abstractNumId w:val="25"/>
  </w:num>
  <w:num w:numId="18">
    <w:abstractNumId w:val="12"/>
  </w:num>
  <w:num w:numId="19">
    <w:abstractNumId w:val="26"/>
  </w:num>
  <w:num w:numId="20">
    <w:abstractNumId w:val="20"/>
  </w:num>
  <w:num w:numId="21">
    <w:abstractNumId w:val="3"/>
  </w:num>
  <w:num w:numId="22">
    <w:abstractNumId w:val="19"/>
  </w:num>
  <w:num w:numId="23">
    <w:abstractNumId w:val="1"/>
  </w:num>
  <w:num w:numId="24">
    <w:abstractNumId w:val="10"/>
  </w:num>
  <w:num w:numId="25">
    <w:abstractNumId w:val="17"/>
  </w:num>
  <w:num w:numId="26">
    <w:abstractNumId w:val="16"/>
  </w:num>
  <w:num w:numId="27">
    <w:abstractNumId w:val="29"/>
  </w:num>
  <w:num w:numId="28">
    <w:abstractNumId w:val="15"/>
  </w:num>
  <w:num w:numId="29">
    <w:abstractNumId w:val="2"/>
  </w:num>
  <w:num w:numId="30">
    <w:abstractNumId w:val="28"/>
  </w:num>
  <w:num w:numId="31">
    <w:abstractNumId w:val="32"/>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D4"/>
    <w:rsid w:val="00004669"/>
    <w:rsid w:val="00007C93"/>
    <w:rsid w:val="000141FB"/>
    <w:rsid w:val="000160E7"/>
    <w:rsid w:val="000179DE"/>
    <w:rsid w:val="000203DD"/>
    <w:rsid w:val="00022205"/>
    <w:rsid w:val="000228F4"/>
    <w:rsid w:val="00022CC0"/>
    <w:rsid w:val="00030DC7"/>
    <w:rsid w:val="00031C18"/>
    <w:rsid w:val="00034B2C"/>
    <w:rsid w:val="00046C65"/>
    <w:rsid w:val="000525D4"/>
    <w:rsid w:val="00055AC5"/>
    <w:rsid w:val="00063D17"/>
    <w:rsid w:val="00070CF1"/>
    <w:rsid w:val="00084DB5"/>
    <w:rsid w:val="00087C11"/>
    <w:rsid w:val="00091C16"/>
    <w:rsid w:val="00092A06"/>
    <w:rsid w:val="00093A10"/>
    <w:rsid w:val="000A6F93"/>
    <w:rsid w:val="000B3675"/>
    <w:rsid w:val="000D143F"/>
    <w:rsid w:val="000D44B4"/>
    <w:rsid w:val="000E1539"/>
    <w:rsid w:val="000E6F61"/>
    <w:rsid w:val="000F3F73"/>
    <w:rsid w:val="000F624D"/>
    <w:rsid w:val="000F7B87"/>
    <w:rsid w:val="00110039"/>
    <w:rsid w:val="001152F5"/>
    <w:rsid w:val="00121F61"/>
    <w:rsid w:val="0013395F"/>
    <w:rsid w:val="0014110C"/>
    <w:rsid w:val="00147E3E"/>
    <w:rsid w:val="00150FC7"/>
    <w:rsid w:val="001525BE"/>
    <w:rsid w:val="001538E4"/>
    <w:rsid w:val="00156A8F"/>
    <w:rsid w:val="00172AFB"/>
    <w:rsid w:val="001814FD"/>
    <w:rsid w:val="001839D6"/>
    <w:rsid w:val="001857F4"/>
    <w:rsid w:val="001969D7"/>
    <w:rsid w:val="00196FE7"/>
    <w:rsid w:val="001A1EEB"/>
    <w:rsid w:val="001B2A20"/>
    <w:rsid w:val="001C6078"/>
    <w:rsid w:val="001F1A2B"/>
    <w:rsid w:val="001F457F"/>
    <w:rsid w:val="001F7459"/>
    <w:rsid w:val="0020029C"/>
    <w:rsid w:val="00203A1C"/>
    <w:rsid w:val="00203E25"/>
    <w:rsid w:val="00212A83"/>
    <w:rsid w:val="002141B1"/>
    <w:rsid w:val="002179DE"/>
    <w:rsid w:val="0024104B"/>
    <w:rsid w:val="00242531"/>
    <w:rsid w:val="00253BD6"/>
    <w:rsid w:val="00261291"/>
    <w:rsid w:val="00266493"/>
    <w:rsid w:val="0027467A"/>
    <w:rsid w:val="002767E9"/>
    <w:rsid w:val="00281124"/>
    <w:rsid w:val="002B2F40"/>
    <w:rsid w:val="002D2FD4"/>
    <w:rsid w:val="002D3543"/>
    <w:rsid w:val="002E1123"/>
    <w:rsid w:val="002E1ED4"/>
    <w:rsid w:val="002E71C4"/>
    <w:rsid w:val="002F1814"/>
    <w:rsid w:val="00310087"/>
    <w:rsid w:val="00315FD6"/>
    <w:rsid w:val="003311C0"/>
    <w:rsid w:val="00332297"/>
    <w:rsid w:val="0033444A"/>
    <w:rsid w:val="00335A88"/>
    <w:rsid w:val="00337AAC"/>
    <w:rsid w:val="0034236E"/>
    <w:rsid w:val="003504CA"/>
    <w:rsid w:val="00355509"/>
    <w:rsid w:val="00362184"/>
    <w:rsid w:val="003743F8"/>
    <w:rsid w:val="00390074"/>
    <w:rsid w:val="00397BB2"/>
    <w:rsid w:val="003A3939"/>
    <w:rsid w:val="003A3C90"/>
    <w:rsid w:val="003B1D57"/>
    <w:rsid w:val="003B2163"/>
    <w:rsid w:val="003B5F73"/>
    <w:rsid w:val="003B7BF4"/>
    <w:rsid w:val="003B7CA1"/>
    <w:rsid w:val="003D071C"/>
    <w:rsid w:val="003D0B0E"/>
    <w:rsid w:val="003D171E"/>
    <w:rsid w:val="003D3587"/>
    <w:rsid w:val="003E0AD1"/>
    <w:rsid w:val="003E1EE6"/>
    <w:rsid w:val="003F55CE"/>
    <w:rsid w:val="003F7926"/>
    <w:rsid w:val="00410783"/>
    <w:rsid w:val="004114F0"/>
    <w:rsid w:val="00411BA9"/>
    <w:rsid w:val="00416F67"/>
    <w:rsid w:val="00426A05"/>
    <w:rsid w:val="004300A7"/>
    <w:rsid w:val="004301AB"/>
    <w:rsid w:val="00454F46"/>
    <w:rsid w:val="00473C17"/>
    <w:rsid w:val="00477D1F"/>
    <w:rsid w:val="00487DED"/>
    <w:rsid w:val="00490C21"/>
    <w:rsid w:val="004915A7"/>
    <w:rsid w:val="004930F9"/>
    <w:rsid w:val="00494A23"/>
    <w:rsid w:val="00495DAF"/>
    <w:rsid w:val="004A525A"/>
    <w:rsid w:val="004C172F"/>
    <w:rsid w:val="004C2964"/>
    <w:rsid w:val="004C52DC"/>
    <w:rsid w:val="004C61D3"/>
    <w:rsid w:val="004C7B97"/>
    <w:rsid w:val="004C7CEF"/>
    <w:rsid w:val="004E1B50"/>
    <w:rsid w:val="004E29AB"/>
    <w:rsid w:val="004F0914"/>
    <w:rsid w:val="004F0BE6"/>
    <w:rsid w:val="004F1E09"/>
    <w:rsid w:val="004F63B8"/>
    <w:rsid w:val="00502419"/>
    <w:rsid w:val="00507515"/>
    <w:rsid w:val="00507B09"/>
    <w:rsid w:val="00510229"/>
    <w:rsid w:val="00513A2F"/>
    <w:rsid w:val="005208D6"/>
    <w:rsid w:val="0053048C"/>
    <w:rsid w:val="00530BDD"/>
    <w:rsid w:val="0054310E"/>
    <w:rsid w:val="00550F90"/>
    <w:rsid w:val="005606FB"/>
    <w:rsid w:val="0056139A"/>
    <w:rsid w:val="005627FB"/>
    <w:rsid w:val="00566E77"/>
    <w:rsid w:val="005732FF"/>
    <w:rsid w:val="005737F7"/>
    <w:rsid w:val="00577446"/>
    <w:rsid w:val="00593C58"/>
    <w:rsid w:val="005A0ED8"/>
    <w:rsid w:val="005B025B"/>
    <w:rsid w:val="005B4064"/>
    <w:rsid w:val="005C46BB"/>
    <w:rsid w:val="005C776B"/>
    <w:rsid w:val="005E1DCD"/>
    <w:rsid w:val="005E3A6C"/>
    <w:rsid w:val="0060115D"/>
    <w:rsid w:val="00614C7C"/>
    <w:rsid w:val="00616135"/>
    <w:rsid w:val="00620EA4"/>
    <w:rsid w:val="00627CE7"/>
    <w:rsid w:val="00650BD2"/>
    <w:rsid w:val="00655BB4"/>
    <w:rsid w:val="006603D9"/>
    <w:rsid w:val="00677B40"/>
    <w:rsid w:val="006837A8"/>
    <w:rsid w:val="00690826"/>
    <w:rsid w:val="00694927"/>
    <w:rsid w:val="006B1CA1"/>
    <w:rsid w:val="006C0529"/>
    <w:rsid w:val="006C65DA"/>
    <w:rsid w:val="006D6ACF"/>
    <w:rsid w:val="006D7794"/>
    <w:rsid w:val="006E3DDC"/>
    <w:rsid w:val="006E5454"/>
    <w:rsid w:val="006E72AB"/>
    <w:rsid w:val="006E786A"/>
    <w:rsid w:val="006F21A7"/>
    <w:rsid w:val="006F4405"/>
    <w:rsid w:val="007010DC"/>
    <w:rsid w:val="0070281A"/>
    <w:rsid w:val="0070690F"/>
    <w:rsid w:val="00710632"/>
    <w:rsid w:val="00716000"/>
    <w:rsid w:val="00716066"/>
    <w:rsid w:val="0072251D"/>
    <w:rsid w:val="00725CCC"/>
    <w:rsid w:val="00736272"/>
    <w:rsid w:val="00736FBA"/>
    <w:rsid w:val="00737339"/>
    <w:rsid w:val="0074286D"/>
    <w:rsid w:val="00751451"/>
    <w:rsid w:val="00754393"/>
    <w:rsid w:val="00771474"/>
    <w:rsid w:val="007752F5"/>
    <w:rsid w:val="00775DB1"/>
    <w:rsid w:val="00797E6C"/>
    <w:rsid w:val="007A71B6"/>
    <w:rsid w:val="007A7B6A"/>
    <w:rsid w:val="007B55E0"/>
    <w:rsid w:val="007C16CA"/>
    <w:rsid w:val="007C2CB6"/>
    <w:rsid w:val="007D6129"/>
    <w:rsid w:val="007D6881"/>
    <w:rsid w:val="007E1D84"/>
    <w:rsid w:val="007E2146"/>
    <w:rsid w:val="007E43DA"/>
    <w:rsid w:val="007F4795"/>
    <w:rsid w:val="007F7142"/>
    <w:rsid w:val="00813E41"/>
    <w:rsid w:val="008149B9"/>
    <w:rsid w:val="00833537"/>
    <w:rsid w:val="00837C10"/>
    <w:rsid w:val="008421E4"/>
    <w:rsid w:val="008442D1"/>
    <w:rsid w:val="008462B1"/>
    <w:rsid w:val="00852E86"/>
    <w:rsid w:val="00854D2A"/>
    <w:rsid w:val="00860249"/>
    <w:rsid w:val="00865D0A"/>
    <w:rsid w:val="0086698D"/>
    <w:rsid w:val="008814C3"/>
    <w:rsid w:val="008A5D9A"/>
    <w:rsid w:val="008B06D7"/>
    <w:rsid w:val="008B3E0E"/>
    <w:rsid w:val="008B438D"/>
    <w:rsid w:val="008B4EE2"/>
    <w:rsid w:val="008B6701"/>
    <w:rsid w:val="008C1AF0"/>
    <w:rsid w:val="008C501D"/>
    <w:rsid w:val="008C65D8"/>
    <w:rsid w:val="008F1B31"/>
    <w:rsid w:val="009067CF"/>
    <w:rsid w:val="009217BF"/>
    <w:rsid w:val="00927E3E"/>
    <w:rsid w:val="0093149F"/>
    <w:rsid w:val="009343F3"/>
    <w:rsid w:val="0094625A"/>
    <w:rsid w:val="009513C2"/>
    <w:rsid w:val="00955BE4"/>
    <w:rsid w:val="009633C0"/>
    <w:rsid w:val="00982AC8"/>
    <w:rsid w:val="00985355"/>
    <w:rsid w:val="009947D0"/>
    <w:rsid w:val="009974B6"/>
    <w:rsid w:val="00997509"/>
    <w:rsid w:val="009A17EE"/>
    <w:rsid w:val="009A1A72"/>
    <w:rsid w:val="009A2F5B"/>
    <w:rsid w:val="009B21A5"/>
    <w:rsid w:val="009C1F5F"/>
    <w:rsid w:val="009C4282"/>
    <w:rsid w:val="009D0C07"/>
    <w:rsid w:val="009D2811"/>
    <w:rsid w:val="009D4AE9"/>
    <w:rsid w:val="009E1BC8"/>
    <w:rsid w:val="009F1D03"/>
    <w:rsid w:val="00A01416"/>
    <w:rsid w:val="00A06EE5"/>
    <w:rsid w:val="00A10293"/>
    <w:rsid w:val="00A141E6"/>
    <w:rsid w:val="00A16874"/>
    <w:rsid w:val="00A1757C"/>
    <w:rsid w:val="00A3301E"/>
    <w:rsid w:val="00A42455"/>
    <w:rsid w:val="00A45BA9"/>
    <w:rsid w:val="00A52B90"/>
    <w:rsid w:val="00A569A1"/>
    <w:rsid w:val="00A574AB"/>
    <w:rsid w:val="00A63A10"/>
    <w:rsid w:val="00AC3B41"/>
    <w:rsid w:val="00AC502A"/>
    <w:rsid w:val="00AD18B0"/>
    <w:rsid w:val="00AE1F06"/>
    <w:rsid w:val="00AE6CA5"/>
    <w:rsid w:val="00AE7266"/>
    <w:rsid w:val="00AE7C2D"/>
    <w:rsid w:val="00AF1828"/>
    <w:rsid w:val="00AF1D55"/>
    <w:rsid w:val="00AF54F2"/>
    <w:rsid w:val="00AF6418"/>
    <w:rsid w:val="00B03347"/>
    <w:rsid w:val="00B16272"/>
    <w:rsid w:val="00B211EB"/>
    <w:rsid w:val="00B24C37"/>
    <w:rsid w:val="00B41B53"/>
    <w:rsid w:val="00B629D4"/>
    <w:rsid w:val="00B63883"/>
    <w:rsid w:val="00B658D5"/>
    <w:rsid w:val="00B66139"/>
    <w:rsid w:val="00B75A1B"/>
    <w:rsid w:val="00B80238"/>
    <w:rsid w:val="00B81366"/>
    <w:rsid w:val="00B8265E"/>
    <w:rsid w:val="00B82FC8"/>
    <w:rsid w:val="00B96A98"/>
    <w:rsid w:val="00BA600B"/>
    <w:rsid w:val="00BB33AD"/>
    <w:rsid w:val="00BB6614"/>
    <w:rsid w:val="00BB675C"/>
    <w:rsid w:val="00BB792F"/>
    <w:rsid w:val="00BC5BF7"/>
    <w:rsid w:val="00BD6D93"/>
    <w:rsid w:val="00BF55B7"/>
    <w:rsid w:val="00C04CD9"/>
    <w:rsid w:val="00C05AA3"/>
    <w:rsid w:val="00C208EA"/>
    <w:rsid w:val="00C252CD"/>
    <w:rsid w:val="00C31CE3"/>
    <w:rsid w:val="00C361AC"/>
    <w:rsid w:val="00C51347"/>
    <w:rsid w:val="00C53D8D"/>
    <w:rsid w:val="00C56EF1"/>
    <w:rsid w:val="00C63FCF"/>
    <w:rsid w:val="00C64BEC"/>
    <w:rsid w:val="00C814EE"/>
    <w:rsid w:val="00C90D94"/>
    <w:rsid w:val="00CA0139"/>
    <w:rsid w:val="00CA5F04"/>
    <w:rsid w:val="00CB2C8D"/>
    <w:rsid w:val="00CC12E3"/>
    <w:rsid w:val="00CC2130"/>
    <w:rsid w:val="00CC22C8"/>
    <w:rsid w:val="00CC2EEB"/>
    <w:rsid w:val="00CC43AC"/>
    <w:rsid w:val="00CC6E2E"/>
    <w:rsid w:val="00CD5B47"/>
    <w:rsid w:val="00CD7BFA"/>
    <w:rsid w:val="00CE085C"/>
    <w:rsid w:val="00CE3276"/>
    <w:rsid w:val="00CE5B7F"/>
    <w:rsid w:val="00CE6074"/>
    <w:rsid w:val="00CE769A"/>
    <w:rsid w:val="00D00E9D"/>
    <w:rsid w:val="00D02539"/>
    <w:rsid w:val="00D12A9E"/>
    <w:rsid w:val="00D24E15"/>
    <w:rsid w:val="00D305D3"/>
    <w:rsid w:val="00D32171"/>
    <w:rsid w:val="00D5359D"/>
    <w:rsid w:val="00D54186"/>
    <w:rsid w:val="00D57DBF"/>
    <w:rsid w:val="00D6266D"/>
    <w:rsid w:val="00D714A2"/>
    <w:rsid w:val="00D81D3A"/>
    <w:rsid w:val="00D82FCD"/>
    <w:rsid w:val="00D836F8"/>
    <w:rsid w:val="00D84D68"/>
    <w:rsid w:val="00D87CE5"/>
    <w:rsid w:val="00D90FE2"/>
    <w:rsid w:val="00D928FD"/>
    <w:rsid w:val="00DA68E0"/>
    <w:rsid w:val="00DB63B8"/>
    <w:rsid w:val="00DC508E"/>
    <w:rsid w:val="00DF48D0"/>
    <w:rsid w:val="00DF5E61"/>
    <w:rsid w:val="00DF6BC1"/>
    <w:rsid w:val="00E0574F"/>
    <w:rsid w:val="00E11E04"/>
    <w:rsid w:val="00E308F4"/>
    <w:rsid w:val="00E3289B"/>
    <w:rsid w:val="00E41597"/>
    <w:rsid w:val="00E41D58"/>
    <w:rsid w:val="00E46E92"/>
    <w:rsid w:val="00E64CBB"/>
    <w:rsid w:val="00E66D8B"/>
    <w:rsid w:val="00E74647"/>
    <w:rsid w:val="00E82C71"/>
    <w:rsid w:val="00E844A2"/>
    <w:rsid w:val="00E95AA8"/>
    <w:rsid w:val="00EB6E1A"/>
    <w:rsid w:val="00EC0709"/>
    <w:rsid w:val="00EC60AE"/>
    <w:rsid w:val="00ED4F07"/>
    <w:rsid w:val="00EE5758"/>
    <w:rsid w:val="00EE619D"/>
    <w:rsid w:val="00EE61EE"/>
    <w:rsid w:val="00EE66BC"/>
    <w:rsid w:val="00EF0E92"/>
    <w:rsid w:val="00EF45C2"/>
    <w:rsid w:val="00F048EF"/>
    <w:rsid w:val="00F07634"/>
    <w:rsid w:val="00F1093E"/>
    <w:rsid w:val="00F12397"/>
    <w:rsid w:val="00F13C66"/>
    <w:rsid w:val="00F278E2"/>
    <w:rsid w:val="00F307BF"/>
    <w:rsid w:val="00F41AF4"/>
    <w:rsid w:val="00F46F2D"/>
    <w:rsid w:val="00F60F52"/>
    <w:rsid w:val="00F64AC3"/>
    <w:rsid w:val="00F65E99"/>
    <w:rsid w:val="00F66935"/>
    <w:rsid w:val="00F71B10"/>
    <w:rsid w:val="00F75271"/>
    <w:rsid w:val="00F75B50"/>
    <w:rsid w:val="00F83037"/>
    <w:rsid w:val="00F91025"/>
    <w:rsid w:val="00F929AC"/>
    <w:rsid w:val="00F92B78"/>
    <w:rsid w:val="00FA7566"/>
    <w:rsid w:val="00FB4D4A"/>
    <w:rsid w:val="00FB6E07"/>
    <w:rsid w:val="00FC41CB"/>
    <w:rsid w:val="00FC4AAD"/>
    <w:rsid w:val="00FD2293"/>
    <w:rsid w:val="00FD446E"/>
    <w:rsid w:val="00FD6EDF"/>
    <w:rsid w:val="00FF7F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D16DF-565F-47E7-BA64-E2D9CDCD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5D4"/>
  </w:style>
  <w:style w:type="paragraph" w:styleId="Heading1">
    <w:name w:val="heading 1"/>
    <w:basedOn w:val="Normal"/>
    <w:next w:val="Normal"/>
    <w:link w:val="Heading1Char"/>
    <w:uiPriority w:val="9"/>
    <w:qFormat/>
    <w:rsid w:val="00052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0D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25D4"/>
    <w:pPr>
      <w:ind w:left="720"/>
      <w:contextualSpacing/>
    </w:pPr>
  </w:style>
  <w:style w:type="character" w:customStyle="1" w:styleId="Heading1Char">
    <w:name w:val="Heading 1 Char"/>
    <w:basedOn w:val="DefaultParagraphFont"/>
    <w:link w:val="Heading1"/>
    <w:uiPriority w:val="9"/>
    <w:rsid w:val="000525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525D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0525D4"/>
    <w:pPr>
      <w:tabs>
        <w:tab w:val="left" w:pos="440"/>
        <w:tab w:val="right" w:leader="dot" w:pos="8296"/>
      </w:tabs>
      <w:spacing w:after="100"/>
    </w:pPr>
    <w:rPr>
      <w:rFonts w:ascii="Times New Roman" w:hAnsi="Times New Roman" w:cs="Times New Roman"/>
      <w:b/>
      <w:noProof/>
      <w:sz w:val="26"/>
      <w:szCs w:val="26"/>
    </w:rPr>
  </w:style>
  <w:style w:type="character" w:styleId="Hyperlink">
    <w:name w:val="Hyperlink"/>
    <w:basedOn w:val="DefaultParagraphFont"/>
    <w:uiPriority w:val="99"/>
    <w:unhideWhenUsed/>
    <w:rsid w:val="000525D4"/>
    <w:rPr>
      <w:color w:val="0000FF" w:themeColor="hyperlink"/>
      <w:u w:val="single"/>
    </w:rPr>
  </w:style>
  <w:style w:type="character" w:customStyle="1" w:styleId="ListParagraphChar">
    <w:name w:val="List Paragraph Char"/>
    <w:link w:val="ListParagraph"/>
    <w:uiPriority w:val="34"/>
    <w:locked/>
    <w:rsid w:val="000525D4"/>
  </w:style>
  <w:style w:type="paragraph" w:styleId="TOC2">
    <w:name w:val="toc 2"/>
    <w:basedOn w:val="Normal"/>
    <w:next w:val="Normal"/>
    <w:autoRedefine/>
    <w:uiPriority w:val="39"/>
    <w:unhideWhenUsed/>
    <w:rsid w:val="000525D4"/>
    <w:pPr>
      <w:spacing w:after="100"/>
      <w:ind w:left="220"/>
    </w:pPr>
  </w:style>
  <w:style w:type="paragraph" w:styleId="BalloonText">
    <w:name w:val="Balloon Text"/>
    <w:basedOn w:val="Normal"/>
    <w:link w:val="BalloonTextChar"/>
    <w:uiPriority w:val="99"/>
    <w:semiHidden/>
    <w:unhideWhenUsed/>
    <w:rsid w:val="00052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D4"/>
    <w:rPr>
      <w:rFonts w:ascii="Tahoma" w:hAnsi="Tahoma" w:cs="Tahoma"/>
      <w:sz w:val="16"/>
      <w:szCs w:val="16"/>
    </w:rPr>
  </w:style>
  <w:style w:type="table" w:styleId="TableGrid">
    <w:name w:val="Table Grid"/>
    <w:basedOn w:val="TableNormal"/>
    <w:uiPriority w:val="39"/>
    <w:rsid w:val="000E1539"/>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B6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6614"/>
  </w:style>
  <w:style w:type="paragraph" w:styleId="Footer">
    <w:name w:val="footer"/>
    <w:basedOn w:val="Normal"/>
    <w:link w:val="FooterChar"/>
    <w:uiPriority w:val="99"/>
    <w:unhideWhenUsed/>
    <w:rsid w:val="00BB6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6614"/>
  </w:style>
  <w:style w:type="paragraph" w:styleId="FootnoteText">
    <w:name w:val="footnote text"/>
    <w:basedOn w:val="Normal"/>
    <w:link w:val="FootnoteTextChar"/>
    <w:uiPriority w:val="99"/>
    <w:rsid w:val="00172AFB"/>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172AF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172AFB"/>
    <w:rPr>
      <w:vertAlign w:val="superscript"/>
    </w:rPr>
  </w:style>
  <w:style w:type="character" w:customStyle="1" w:styleId="Heading2Char">
    <w:name w:val="Heading 2 Char"/>
    <w:basedOn w:val="DefaultParagraphFont"/>
    <w:link w:val="Heading2"/>
    <w:uiPriority w:val="9"/>
    <w:rsid w:val="00510229"/>
    <w:rPr>
      <w:rFonts w:asciiTheme="majorHAnsi" w:eastAsiaTheme="majorEastAsia" w:hAnsiTheme="majorHAnsi" w:cstheme="majorBidi"/>
      <w:color w:val="365F91" w:themeColor="accent1" w:themeShade="BF"/>
      <w:sz w:val="26"/>
      <w:szCs w:val="26"/>
    </w:rPr>
  </w:style>
  <w:style w:type="paragraph" w:customStyle="1" w:styleId="Default">
    <w:name w:val="Default"/>
    <w:rsid w:val="002425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C90D9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442D1"/>
    <w:pPr>
      <w:spacing w:after="100"/>
      <w:ind w:left="440"/>
    </w:pPr>
  </w:style>
  <w:style w:type="character" w:styleId="HTMLAcronym">
    <w:name w:val="HTML Acronym"/>
    <w:basedOn w:val="DefaultParagraphFont"/>
    <w:uiPriority w:val="99"/>
    <w:semiHidden/>
    <w:unhideWhenUsed/>
    <w:rsid w:val="001969D7"/>
  </w:style>
  <w:style w:type="paragraph" w:customStyle="1" w:styleId="tv2131">
    <w:name w:val="tv2131"/>
    <w:basedOn w:val="Normal"/>
    <w:rsid w:val="00B8136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amatteksts">
    <w:name w:val="Pamatteksts"/>
    <w:basedOn w:val="Default"/>
    <w:next w:val="Default"/>
    <w:uiPriority w:val="99"/>
    <w:rsid w:val="004915A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60120">
      <w:bodyDiv w:val="1"/>
      <w:marLeft w:val="0"/>
      <w:marRight w:val="0"/>
      <w:marTop w:val="0"/>
      <w:marBottom w:val="0"/>
      <w:divBdr>
        <w:top w:val="none" w:sz="0" w:space="0" w:color="auto"/>
        <w:left w:val="none" w:sz="0" w:space="0" w:color="auto"/>
        <w:bottom w:val="none" w:sz="0" w:space="0" w:color="auto"/>
        <w:right w:val="none" w:sz="0" w:space="0" w:color="auto"/>
      </w:divBdr>
    </w:div>
    <w:div w:id="525170169">
      <w:bodyDiv w:val="1"/>
      <w:marLeft w:val="0"/>
      <w:marRight w:val="0"/>
      <w:marTop w:val="0"/>
      <w:marBottom w:val="0"/>
      <w:divBdr>
        <w:top w:val="none" w:sz="0" w:space="0" w:color="auto"/>
        <w:left w:val="none" w:sz="0" w:space="0" w:color="auto"/>
        <w:bottom w:val="none" w:sz="0" w:space="0" w:color="auto"/>
        <w:right w:val="none" w:sz="0" w:space="0" w:color="auto"/>
      </w:divBdr>
    </w:div>
    <w:div w:id="912474386">
      <w:bodyDiv w:val="1"/>
      <w:marLeft w:val="0"/>
      <w:marRight w:val="0"/>
      <w:marTop w:val="0"/>
      <w:marBottom w:val="0"/>
      <w:divBdr>
        <w:top w:val="none" w:sz="0" w:space="0" w:color="auto"/>
        <w:left w:val="none" w:sz="0" w:space="0" w:color="auto"/>
        <w:bottom w:val="none" w:sz="0" w:space="0" w:color="auto"/>
        <w:right w:val="none" w:sz="0" w:space="0" w:color="auto"/>
      </w:divBdr>
    </w:div>
    <w:div w:id="1193231077">
      <w:bodyDiv w:val="1"/>
      <w:marLeft w:val="0"/>
      <w:marRight w:val="0"/>
      <w:marTop w:val="0"/>
      <w:marBottom w:val="0"/>
      <w:divBdr>
        <w:top w:val="none" w:sz="0" w:space="0" w:color="auto"/>
        <w:left w:val="none" w:sz="0" w:space="0" w:color="auto"/>
        <w:bottom w:val="none" w:sz="0" w:space="0" w:color="auto"/>
        <w:right w:val="none" w:sz="0" w:space="0" w:color="auto"/>
      </w:divBdr>
      <w:divsChild>
        <w:div w:id="59711912">
          <w:marLeft w:val="0"/>
          <w:marRight w:val="0"/>
          <w:marTop w:val="0"/>
          <w:marBottom w:val="150"/>
          <w:divBdr>
            <w:top w:val="none" w:sz="0" w:space="0" w:color="auto"/>
            <w:left w:val="none" w:sz="0" w:space="0" w:color="auto"/>
            <w:bottom w:val="none" w:sz="0" w:space="0" w:color="auto"/>
            <w:right w:val="none" w:sz="0" w:space="0" w:color="auto"/>
          </w:divBdr>
          <w:divsChild>
            <w:div w:id="541870822">
              <w:marLeft w:val="0"/>
              <w:marRight w:val="0"/>
              <w:marTop w:val="0"/>
              <w:marBottom w:val="0"/>
              <w:divBdr>
                <w:top w:val="none" w:sz="0" w:space="0" w:color="auto"/>
                <w:left w:val="none" w:sz="0" w:space="0" w:color="auto"/>
                <w:bottom w:val="none" w:sz="0" w:space="0" w:color="auto"/>
                <w:right w:val="none" w:sz="0" w:space="0" w:color="auto"/>
              </w:divBdr>
              <w:divsChild>
                <w:div w:id="2143842429">
                  <w:marLeft w:val="0"/>
                  <w:marRight w:val="0"/>
                  <w:marTop w:val="0"/>
                  <w:marBottom w:val="0"/>
                  <w:divBdr>
                    <w:top w:val="none" w:sz="0" w:space="0" w:color="auto"/>
                    <w:left w:val="none" w:sz="0" w:space="0" w:color="auto"/>
                    <w:bottom w:val="none" w:sz="0" w:space="0" w:color="auto"/>
                    <w:right w:val="none" w:sz="0" w:space="0" w:color="auto"/>
                  </w:divBdr>
                  <w:divsChild>
                    <w:div w:id="2142914628">
                      <w:marLeft w:val="150"/>
                      <w:marRight w:val="150"/>
                      <w:marTop w:val="150"/>
                      <w:marBottom w:val="150"/>
                      <w:divBdr>
                        <w:top w:val="none" w:sz="0" w:space="0" w:color="auto"/>
                        <w:left w:val="none" w:sz="0" w:space="0" w:color="auto"/>
                        <w:bottom w:val="none" w:sz="0" w:space="0" w:color="auto"/>
                        <w:right w:val="none" w:sz="0" w:space="0" w:color="auto"/>
                      </w:divBdr>
                      <w:divsChild>
                        <w:div w:id="535973403">
                          <w:marLeft w:val="0"/>
                          <w:marRight w:val="0"/>
                          <w:marTop w:val="0"/>
                          <w:marBottom w:val="0"/>
                          <w:divBdr>
                            <w:top w:val="none" w:sz="0" w:space="0" w:color="auto"/>
                            <w:left w:val="none" w:sz="0" w:space="0" w:color="auto"/>
                            <w:bottom w:val="none" w:sz="0" w:space="0" w:color="auto"/>
                            <w:right w:val="none" w:sz="0" w:space="0" w:color="auto"/>
                          </w:divBdr>
                          <w:divsChild>
                            <w:div w:id="13686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50615">
      <w:bodyDiv w:val="1"/>
      <w:marLeft w:val="0"/>
      <w:marRight w:val="0"/>
      <w:marTop w:val="0"/>
      <w:marBottom w:val="0"/>
      <w:divBdr>
        <w:top w:val="none" w:sz="0" w:space="0" w:color="auto"/>
        <w:left w:val="none" w:sz="0" w:space="0" w:color="auto"/>
        <w:bottom w:val="none" w:sz="0" w:space="0" w:color="auto"/>
        <w:right w:val="none" w:sz="0" w:space="0" w:color="auto"/>
      </w:divBdr>
    </w:div>
    <w:div w:id="2011130714">
      <w:bodyDiv w:val="1"/>
      <w:marLeft w:val="0"/>
      <w:marRight w:val="0"/>
      <w:marTop w:val="0"/>
      <w:marBottom w:val="0"/>
      <w:divBdr>
        <w:top w:val="none" w:sz="0" w:space="0" w:color="auto"/>
        <w:left w:val="none" w:sz="0" w:space="0" w:color="auto"/>
        <w:bottom w:val="none" w:sz="0" w:space="0" w:color="auto"/>
        <w:right w:val="none" w:sz="0" w:space="0" w:color="auto"/>
      </w:divBdr>
      <w:divsChild>
        <w:div w:id="257251064">
          <w:marLeft w:val="0"/>
          <w:marRight w:val="0"/>
          <w:marTop w:val="0"/>
          <w:marBottom w:val="0"/>
          <w:divBdr>
            <w:top w:val="none" w:sz="0" w:space="0" w:color="auto"/>
            <w:left w:val="none" w:sz="0" w:space="0" w:color="auto"/>
            <w:bottom w:val="none" w:sz="0" w:space="0" w:color="auto"/>
            <w:right w:val="none" w:sz="0" w:space="0" w:color="auto"/>
          </w:divBdr>
          <w:divsChild>
            <w:div w:id="1548755467">
              <w:marLeft w:val="0"/>
              <w:marRight w:val="0"/>
              <w:marTop w:val="0"/>
              <w:marBottom w:val="0"/>
              <w:divBdr>
                <w:top w:val="none" w:sz="0" w:space="0" w:color="auto"/>
                <w:left w:val="none" w:sz="0" w:space="0" w:color="auto"/>
                <w:bottom w:val="none" w:sz="0" w:space="0" w:color="auto"/>
                <w:right w:val="none" w:sz="0" w:space="0" w:color="auto"/>
              </w:divBdr>
              <w:divsChild>
                <w:div w:id="1322738227">
                  <w:marLeft w:val="0"/>
                  <w:marRight w:val="0"/>
                  <w:marTop w:val="0"/>
                  <w:marBottom w:val="0"/>
                  <w:divBdr>
                    <w:top w:val="none" w:sz="0" w:space="0" w:color="auto"/>
                    <w:left w:val="none" w:sz="0" w:space="0" w:color="auto"/>
                    <w:bottom w:val="none" w:sz="0" w:space="0" w:color="auto"/>
                    <w:right w:val="none" w:sz="0" w:space="0" w:color="auto"/>
                  </w:divBdr>
                  <w:divsChild>
                    <w:div w:id="18090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20782">
      <w:bodyDiv w:val="1"/>
      <w:marLeft w:val="0"/>
      <w:marRight w:val="0"/>
      <w:marTop w:val="0"/>
      <w:marBottom w:val="0"/>
      <w:divBdr>
        <w:top w:val="none" w:sz="0" w:space="0" w:color="auto"/>
        <w:left w:val="none" w:sz="0" w:space="0" w:color="auto"/>
        <w:bottom w:val="none" w:sz="0" w:space="0" w:color="auto"/>
        <w:right w:val="none" w:sz="0" w:space="0" w:color="auto"/>
      </w:divBdr>
      <w:divsChild>
        <w:div w:id="1664620535">
          <w:marLeft w:val="0"/>
          <w:marRight w:val="0"/>
          <w:marTop w:val="0"/>
          <w:marBottom w:val="0"/>
          <w:divBdr>
            <w:top w:val="none" w:sz="0" w:space="0" w:color="auto"/>
            <w:left w:val="none" w:sz="0" w:space="0" w:color="auto"/>
            <w:bottom w:val="none" w:sz="0" w:space="0" w:color="auto"/>
            <w:right w:val="none" w:sz="0" w:space="0" w:color="auto"/>
          </w:divBdr>
          <w:divsChild>
            <w:div w:id="2077319527">
              <w:marLeft w:val="0"/>
              <w:marRight w:val="0"/>
              <w:marTop w:val="0"/>
              <w:marBottom w:val="0"/>
              <w:divBdr>
                <w:top w:val="none" w:sz="0" w:space="0" w:color="auto"/>
                <w:left w:val="none" w:sz="0" w:space="0" w:color="auto"/>
                <w:bottom w:val="none" w:sz="0" w:space="0" w:color="auto"/>
                <w:right w:val="none" w:sz="0" w:space="0" w:color="auto"/>
              </w:divBdr>
              <w:divsChild>
                <w:div w:id="1396704800">
                  <w:marLeft w:val="0"/>
                  <w:marRight w:val="0"/>
                  <w:marTop w:val="0"/>
                  <w:marBottom w:val="0"/>
                  <w:divBdr>
                    <w:top w:val="none" w:sz="0" w:space="0" w:color="auto"/>
                    <w:left w:val="none" w:sz="0" w:space="0" w:color="auto"/>
                    <w:bottom w:val="none" w:sz="0" w:space="0" w:color="auto"/>
                    <w:right w:val="none" w:sz="0" w:space="0" w:color="auto"/>
                  </w:divBdr>
                  <w:divsChild>
                    <w:div w:id="419103733">
                      <w:marLeft w:val="0"/>
                      <w:marRight w:val="0"/>
                      <w:marTop w:val="0"/>
                      <w:marBottom w:val="0"/>
                      <w:divBdr>
                        <w:top w:val="none" w:sz="0" w:space="0" w:color="auto"/>
                        <w:left w:val="none" w:sz="0" w:space="0" w:color="auto"/>
                        <w:bottom w:val="none" w:sz="0" w:space="0" w:color="auto"/>
                        <w:right w:val="none" w:sz="0" w:space="0" w:color="auto"/>
                      </w:divBdr>
                      <w:divsChild>
                        <w:div w:id="401294986">
                          <w:marLeft w:val="0"/>
                          <w:marRight w:val="0"/>
                          <w:marTop w:val="0"/>
                          <w:marBottom w:val="0"/>
                          <w:divBdr>
                            <w:top w:val="none" w:sz="0" w:space="0" w:color="auto"/>
                            <w:left w:val="none" w:sz="0" w:space="0" w:color="auto"/>
                            <w:bottom w:val="none" w:sz="0" w:space="0" w:color="auto"/>
                            <w:right w:val="none" w:sz="0" w:space="0" w:color="auto"/>
                          </w:divBdr>
                          <w:divsChild>
                            <w:div w:id="6627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lanta.silka@iz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EBD9-4C69-4E42-9CC4-EE9A4173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7150</Words>
  <Characters>4076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Linda Upīte</cp:lastModifiedBy>
  <cp:revision>2</cp:revision>
  <cp:lastPrinted>2014-07-02T12:00:00Z</cp:lastPrinted>
  <dcterms:created xsi:type="dcterms:W3CDTF">2014-10-09T12:12:00Z</dcterms:created>
  <dcterms:modified xsi:type="dcterms:W3CDTF">2014-10-09T12:12:00Z</dcterms:modified>
</cp:coreProperties>
</file>